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477EE8" w14:textId="22C5AC6A" w:rsidR="00D13C61" w:rsidRPr="00100F0A" w:rsidRDefault="002D3DB9" w:rsidP="00D13C61">
      <w:pPr>
        <w:pStyle w:val="Subtitle"/>
        <w:rPr>
          <w:lang w:eastAsia="en-AU"/>
        </w:rPr>
      </w:pPr>
      <w:r>
        <w:rPr>
          <w:lang w:eastAsia="en-AU"/>
        </w:rPr>
        <w:t>Final</w:t>
      </w:r>
      <w:r w:rsidR="001B1D4E">
        <w:rPr>
          <w:lang w:eastAsia="en-AU"/>
        </w:rPr>
        <w:t xml:space="preserve"> (non-confidential version)</w:t>
      </w:r>
    </w:p>
    <w:p w14:paraId="16DC4B3F" w14:textId="7D39CA3B" w:rsidR="00B87C9E" w:rsidRPr="00100F0A" w:rsidRDefault="00512118" w:rsidP="000B1B45">
      <w:pPr>
        <w:pStyle w:val="Title"/>
        <w:rPr>
          <w:sz w:val="72"/>
          <w:szCs w:val="58"/>
        </w:rPr>
      </w:pPr>
      <w:r w:rsidRPr="00100F0A">
        <w:rPr>
          <w:sz w:val="72"/>
          <w:szCs w:val="58"/>
        </w:rPr>
        <w:t>Assessment of hazardous waste i</w:t>
      </w:r>
      <w:bookmarkStart w:id="1" w:name="_GoBack"/>
      <w:bookmarkEnd w:id="1"/>
      <w:r w:rsidRPr="00100F0A">
        <w:rPr>
          <w:sz w:val="72"/>
          <w:szCs w:val="58"/>
        </w:rPr>
        <w:t>nfrastructure needs and capacities in Australia 2018</w:t>
      </w:r>
    </w:p>
    <w:p w14:paraId="1C3F75DF" w14:textId="7B9A6794" w:rsidR="00D13C61" w:rsidRPr="00100F0A" w:rsidRDefault="002D3DB9" w:rsidP="001F137E">
      <w:pPr>
        <w:pStyle w:val="Date"/>
        <w:rPr>
          <w:sz w:val="28"/>
        </w:rPr>
      </w:pPr>
      <w:r>
        <w:rPr>
          <w:sz w:val="28"/>
        </w:rPr>
        <w:t>22 May</w:t>
      </w:r>
      <w:r w:rsidR="00AF5CE6">
        <w:rPr>
          <w:sz w:val="28"/>
        </w:rPr>
        <w:t xml:space="preserve"> 201</w:t>
      </w:r>
      <w:r>
        <w:rPr>
          <w:sz w:val="28"/>
        </w:rPr>
        <w:t>9</w:t>
      </w:r>
    </w:p>
    <w:p w14:paraId="4999B883" w14:textId="77777777" w:rsidR="00D13C61" w:rsidRPr="00100F0A" w:rsidRDefault="00D13C61"/>
    <w:p w14:paraId="294864E4" w14:textId="77777777" w:rsidR="003F0185" w:rsidRPr="00100F0A" w:rsidRDefault="003F0185"/>
    <w:p w14:paraId="59533680" w14:textId="77777777" w:rsidR="00B87C9E" w:rsidRPr="00100F0A" w:rsidRDefault="00D13C61" w:rsidP="001F137E">
      <w:pPr>
        <w:pStyle w:val="Date"/>
        <w:rPr>
          <w:sz w:val="22"/>
        </w:rPr>
      </w:pPr>
      <w:r w:rsidRPr="00100F0A">
        <w:rPr>
          <w:sz w:val="22"/>
        </w:rPr>
        <w:t>PREPARED FOR</w:t>
      </w:r>
    </w:p>
    <w:p w14:paraId="685EA4C3" w14:textId="51C660A9" w:rsidR="00B87C9E" w:rsidRPr="00100F0A" w:rsidRDefault="00512118" w:rsidP="00F179B8">
      <w:pPr>
        <w:pStyle w:val="ClientName"/>
      </w:pPr>
      <w:r w:rsidRPr="00100F0A">
        <w:t>Department of the Environment and Energy</w:t>
      </w:r>
    </w:p>
    <w:p w14:paraId="11E3CBFF" w14:textId="77777777" w:rsidR="00D13C61" w:rsidRPr="00100F0A" w:rsidRDefault="00D13C61" w:rsidP="00D13C61">
      <w:pPr>
        <w:rPr>
          <w:sz w:val="20"/>
        </w:rPr>
      </w:pPr>
    </w:p>
    <w:p w14:paraId="6B15B27A" w14:textId="410871FE" w:rsidR="00D13C61" w:rsidRPr="00100F0A" w:rsidRDefault="00D13C61" w:rsidP="001F137E">
      <w:pPr>
        <w:pStyle w:val="Date"/>
        <w:rPr>
          <w:sz w:val="22"/>
        </w:rPr>
      </w:pPr>
      <w:r w:rsidRPr="00100F0A">
        <w:rPr>
          <w:sz w:val="22"/>
        </w:rPr>
        <w:t>PREPARED IN ASSOCIATION WITH</w:t>
      </w:r>
    </w:p>
    <w:p w14:paraId="3A6CDF0B" w14:textId="7C89D4B4" w:rsidR="009F614F" w:rsidRPr="00100F0A" w:rsidRDefault="006649EF">
      <w:pPr>
        <w:rPr>
          <w:rFonts w:cs="Calibri"/>
          <w:sz w:val="28"/>
          <w:szCs w:val="32"/>
        </w:rPr>
      </w:pPr>
      <w:r w:rsidRPr="00100F0A">
        <w:rPr>
          <w:rFonts w:cs="Calibri"/>
          <w:noProof/>
          <w:sz w:val="28"/>
          <w:szCs w:val="32"/>
          <w:lang w:eastAsia="en-AU"/>
        </w:rPr>
        <w:drawing>
          <wp:anchor distT="0" distB="0" distL="114300" distR="114300" simplePos="0" relativeHeight="251648512" behindDoc="0" locked="0" layoutInCell="1" allowOverlap="1" wp14:anchorId="47D5736D" wp14:editId="19F0A949">
            <wp:simplePos x="0" y="0"/>
            <wp:positionH relativeFrom="margin">
              <wp:posOffset>2230755</wp:posOffset>
            </wp:positionH>
            <wp:positionV relativeFrom="paragraph">
              <wp:posOffset>89535</wp:posOffset>
            </wp:positionV>
            <wp:extent cx="2016760" cy="504825"/>
            <wp:effectExtent l="0" t="0" r="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016760" cy="504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0F0A">
        <w:rPr>
          <w:rFonts w:cs="Calibri"/>
          <w:noProof/>
          <w:sz w:val="28"/>
          <w:szCs w:val="32"/>
          <w:lang w:eastAsia="en-AU"/>
        </w:rPr>
        <w:drawing>
          <wp:anchor distT="0" distB="0" distL="114300" distR="114300" simplePos="0" relativeHeight="251640320" behindDoc="0" locked="0" layoutInCell="1" allowOverlap="1" wp14:anchorId="0274BC73" wp14:editId="54E645A5">
            <wp:simplePos x="0" y="0"/>
            <wp:positionH relativeFrom="margin">
              <wp:posOffset>40005</wp:posOffset>
            </wp:positionH>
            <wp:positionV relativeFrom="paragraph">
              <wp:posOffset>203835</wp:posOffset>
            </wp:positionV>
            <wp:extent cx="1856105" cy="342900"/>
            <wp:effectExtent l="0" t="0" r="0" b="0"/>
            <wp:wrapSquare wrapText="bothSides"/>
            <wp:docPr id="28" name="Picture 22"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610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B5720C" w14:textId="577BB36A" w:rsidR="00547C1A" w:rsidRPr="00100F0A" w:rsidRDefault="00547C1A">
      <w:r w:rsidRPr="00100F0A">
        <w:br w:type="page"/>
      </w:r>
    </w:p>
    <w:tbl>
      <w:tblPr>
        <w:tblStyle w:val="TableGrid"/>
        <w:tblpPr w:leftFromText="181" w:rightFromText="181" w:bottomFromText="4820" w:vertAnchor="page" w:tblpX="109" w:tblpY="1769"/>
        <w:tblOverlap w:val="never"/>
        <w:tblW w:w="0" w:type="auto"/>
        <w:tblBorders>
          <w:top w:val="single" w:sz="24" w:space="0" w:color="BEBEE1"/>
          <w:left w:val="single" w:sz="24" w:space="0" w:color="BEBEE1"/>
          <w:bottom w:val="single" w:sz="24" w:space="0" w:color="BEBEE1"/>
          <w:right w:val="single" w:sz="24" w:space="0" w:color="BEBEE1"/>
          <w:insideH w:val="single" w:sz="24" w:space="0" w:color="BEBEE1"/>
          <w:insideV w:val="single" w:sz="24" w:space="0" w:color="BEBEE1"/>
        </w:tblBorders>
        <w:tblLook w:val="04A0" w:firstRow="1" w:lastRow="0" w:firstColumn="1" w:lastColumn="0" w:noHBand="0" w:noVBand="1"/>
      </w:tblPr>
      <w:tblGrid>
        <w:gridCol w:w="2367"/>
        <w:gridCol w:w="6605"/>
      </w:tblGrid>
      <w:tr w:rsidR="00202222" w:rsidRPr="00100F0A" w14:paraId="14918C1B" w14:textId="77777777" w:rsidTr="00553D3C">
        <w:trPr>
          <w:cantSplit/>
          <w:trHeight w:val="20"/>
        </w:trPr>
        <w:tc>
          <w:tcPr>
            <w:tcW w:w="2379" w:type="dxa"/>
            <w:shd w:val="clear" w:color="auto" w:fill="BEBEE1"/>
          </w:tcPr>
          <w:p w14:paraId="34E53A62" w14:textId="77777777" w:rsidR="00202222" w:rsidRPr="00100F0A" w:rsidRDefault="00202222" w:rsidP="00131654">
            <w:pPr>
              <w:rPr>
                <w:color w:val="FFFFFF" w:themeColor="background1"/>
              </w:rPr>
            </w:pPr>
            <w:r w:rsidRPr="00100F0A">
              <w:rPr>
                <w:color w:val="FFFFFF" w:themeColor="background1"/>
              </w:rPr>
              <w:lastRenderedPageBreak/>
              <w:t>Report title</w:t>
            </w:r>
          </w:p>
        </w:tc>
        <w:tc>
          <w:tcPr>
            <w:tcW w:w="6660" w:type="dxa"/>
          </w:tcPr>
          <w:p w14:paraId="58FD9D8A" w14:textId="6942F2B3" w:rsidR="00202222" w:rsidRPr="00100F0A" w:rsidRDefault="00512118" w:rsidP="00131654">
            <w:r w:rsidRPr="00100F0A">
              <w:t>Assessment of hazardous waste infrastructure needs and capacities in Australia 2018</w:t>
            </w:r>
          </w:p>
        </w:tc>
      </w:tr>
      <w:tr w:rsidR="00202222" w:rsidRPr="00100F0A" w14:paraId="49223B49" w14:textId="77777777" w:rsidTr="00553D3C">
        <w:trPr>
          <w:cantSplit/>
          <w:trHeight w:val="20"/>
        </w:trPr>
        <w:tc>
          <w:tcPr>
            <w:tcW w:w="2379" w:type="dxa"/>
            <w:shd w:val="clear" w:color="auto" w:fill="BEBEE1"/>
          </w:tcPr>
          <w:p w14:paraId="2EB89A89" w14:textId="77777777" w:rsidR="00202222" w:rsidRPr="00100F0A" w:rsidRDefault="00202222" w:rsidP="00131654">
            <w:pPr>
              <w:rPr>
                <w:color w:val="FFFFFF" w:themeColor="background1"/>
              </w:rPr>
            </w:pPr>
            <w:r w:rsidRPr="00100F0A">
              <w:rPr>
                <w:color w:val="FFFFFF" w:themeColor="background1"/>
              </w:rPr>
              <w:t>Client</w:t>
            </w:r>
          </w:p>
        </w:tc>
        <w:tc>
          <w:tcPr>
            <w:tcW w:w="6660" w:type="dxa"/>
          </w:tcPr>
          <w:p w14:paraId="7B0D527B" w14:textId="1CE592C3" w:rsidR="00202222" w:rsidRPr="00100F0A" w:rsidRDefault="00512118" w:rsidP="00131654">
            <w:r w:rsidRPr="00100F0A">
              <w:t>Department of the Environment and Energy</w:t>
            </w:r>
          </w:p>
        </w:tc>
      </w:tr>
      <w:tr w:rsidR="00202222" w:rsidRPr="00100F0A" w14:paraId="5F332069" w14:textId="77777777" w:rsidTr="00553D3C">
        <w:trPr>
          <w:cantSplit/>
          <w:trHeight w:val="20"/>
        </w:trPr>
        <w:tc>
          <w:tcPr>
            <w:tcW w:w="2379" w:type="dxa"/>
            <w:shd w:val="clear" w:color="auto" w:fill="BEBEE1"/>
          </w:tcPr>
          <w:p w14:paraId="41492A13" w14:textId="77777777" w:rsidR="00202222" w:rsidRPr="00100F0A" w:rsidRDefault="008F1ED6" w:rsidP="00131654">
            <w:pPr>
              <w:rPr>
                <w:color w:val="FFFFFF" w:themeColor="background1"/>
              </w:rPr>
            </w:pPr>
            <w:r w:rsidRPr="00100F0A">
              <w:rPr>
                <w:color w:val="FFFFFF" w:themeColor="background1"/>
              </w:rPr>
              <w:t xml:space="preserve">Status </w:t>
            </w:r>
          </w:p>
        </w:tc>
        <w:tc>
          <w:tcPr>
            <w:tcW w:w="6660" w:type="dxa"/>
          </w:tcPr>
          <w:p w14:paraId="2EDFEA7A" w14:textId="6650429A" w:rsidR="00202222" w:rsidRPr="00100F0A" w:rsidRDefault="002D3DB9" w:rsidP="00576B04">
            <w:r>
              <w:t>Final</w:t>
            </w:r>
            <w:r w:rsidR="001B1D4E">
              <w:t xml:space="preserve"> (non-confidential version)</w:t>
            </w:r>
          </w:p>
        </w:tc>
      </w:tr>
      <w:tr w:rsidR="00202222" w:rsidRPr="00100F0A" w14:paraId="3B504E43" w14:textId="77777777" w:rsidTr="00553D3C">
        <w:trPr>
          <w:cantSplit/>
          <w:trHeight w:val="20"/>
        </w:trPr>
        <w:tc>
          <w:tcPr>
            <w:tcW w:w="2379" w:type="dxa"/>
            <w:shd w:val="clear" w:color="auto" w:fill="BEBEE1"/>
          </w:tcPr>
          <w:p w14:paraId="476F5108" w14:textId="3FDDF9DA" w:rsidR="00202222" w:rsidRPr="00100F0A" w:rsidRDefault="00202222" w:rsidP="00131654">
            <w:pPr>
              <w:rPr>
                <w:color w:val="FFFFFF" w:themeColor="background1"/>
              </w:rPr>
            </w:pPr>
            <w:r w:rsidRPr="00100F0A">
              <w:rPr>
                <w:color w:val="FFFFFF" w:themeColor="background1"/>
              </w:rPr>
              <w:t>Authors</w:t>
            </w:r>
          </w:p>
        </w:tc>
        <w:tc>
          <w:tcPr>
            <w:tcW w:w="6660" w:type="dxa"/>
          </w:tcPr>
          <w:p w14:paraId="14848789" w14:textId="753B5EED" w:rsidR="00202222" w:rsidRPr="00100F0A" w:rsidRDefault="00512118" w:rsidP="00131654">
            <w:r w:rsidRPr="00100F0A">
              <w:t>Paul Randell, Geoff Latimer, Joe Pickin</w:t>
            </w:r>
          </w:p>
        </w:tc>
      </w:tr>
      <w:tr w:rsidR="00202222" w:rsidRPr="00100F0A" w14:paraId="70725886" w14:textId="77777777" w:rsidTr="00553D3C">
        <w:trPr>
          <w:cantSplit/>
          <w:trHeight w:val="20"/>
        </w:trPr>
        <w:tc>
          <w:tcPr>
            <w:tcW w:w="2379" w:type="dxa"/>
            <w:shd w:val="clear" w:color="auto" w:fill="BEBEE1"/>
          </w:tcPr>
          <w:p w14:paraId="12D742B9" w14:textId="0BBD6290" w:rsidR="00202222" w:rsidRPr="00100F0A" w:rsidRDefault="00202222" w:rsidP="00131654">
            <w:pPr>
              <w:rPr>
                <w:color w:val="FFFFFF" w:themeColor="background1"/>
              </w:rPr>
            </w:pPr>
            <w:r w:rsidRPr="00100F0A">
              <w:rPr>
                <w:color w:val="FFFFFF" w:themeColor="background1"/>
              </w:rPr>
              <w:t>Reviewers</w:t>
            </w:r>
          </w:p>
        </w:tc>
        <w:tc>
          <w:tcPr>
            <w:tcW w:w="6660" w:type="dxa"/>
          </w:tcPr>
          <w:sdt>
            <w:sdtPr>
              <w:alias w:val="Reviewers"/>
              <w:tag w:val="Reviewers"/>
              <w:id w:val="-1633706888"/>
              <w:placeholder>
                <w:docPart w:val="97BF9C35420B4ED4A142AEB6CE06E739"/>
              </w:placeholder>
              <w:dataBinding w:xpath="/root[1]/reviewers[1]" w:storeItemID="{A510F670-9325-470C-97D0-A9A4BC3018FA}"/>
              <w:text w:multiLine="1"/>
            </w:sdtPr>
            <w:sdtEndPr/>
            <w:sdtContent>
              <w:p w14:paraId="672779A3" w14:textId="0F788E65" w:rsidR="00202222" w:rsidRPr="00100F0A" w:rsidRDefault="00512118" w:rsidP="00131654">
                <w:r w:rsidRPr="00100F0A">
                  <w:t>Joe Pickin, Christine Wardle</w:t>
                </w:r>
              </w:p>
            </w:sdtContent>
          </w:sdt>
        </w:tc>
      </w:tr>
      <w:tr w:rsidR="00202222" w:rsidRPr="00100F0A" w14:paraId="542A24BD" w14:textId="77777777" w:rsidTr="00553D3C">
        <w:trPr>
          <w:cantSplit/>
          <w:trHeight w:val="20"/>
        </w:trPr>
        <w:tc>
          <w:tcPr>
            <w:tcW w:w="2379" w:type="dxa"/>
            <w:shd w:val="clear" w:color="auto" w:fill="BEBEE1"/>
          </w:tcPr>
          <w:p w14:paraId="6DBB059D" w14:textId="77777777" w:rsidR="00202222" w:rsidRPr="00100F0A" w:rsidRDefault="00202222" w:rsidP="00131654">
            <w:pPr>
              <w:rPr>
                <w:color w:val="FFFFFF" w:themeColor="background1"/>
              </w:rPr>
            </w:pPr>
            <w:r w:rsidRPr="00100F0A">
              <w:rPr>
                <w:color w:val="FFFFFF" w:themeColor="background1"/>
              </w:rPr>
              <w:t>Project number</w:t>
            </w:r>
          </w:p>
        </w:tc>
        <w:tc>
          <w:tcPr>
            <w:tcW w:w="6660" w:type="dxa"/>
          </w:tcPr>
          <w:sdt>
            <w:sdtPr>
              <w:alias w:val="Project Number"/>
              <w:tag w:val="Project Number"/>
              <w:id w:val="2056740685"/>
              <w:placeholder>
                <w:docPart w:val="97BF9C35420B4ED4A142AEB6CE06E739"/>
              </w:placeholder>
              <w:dataBinding w:xpath="/root[1]/projnumber[1]" w:storeItemID="{A510F670-9325-470C-97D0-A9A4BC3018FA}"/>
              <w:text w:multiLine="1"/>
            </w:sdtPr>
            <w:sdtEndPr/>
            <w:sdtContent>
              <w:p w14:paraId="3AD33878" w14:textId="4B8B5A27" w:rsidR="00202222" w:rsidRPr="00100F0A" w:rsidRDefault="00512118" w:rsidP="00131654">
                <w:r w:rsidRPr="00100F0A">
                  <w:t>P863</w:t>
                </w:r>
              </w:p>
            </w:sdtContent>
          </w:sdt>
        </w:tc>
      </w:tr>
      <w:tr w:rsidR="00202222" w:rsidRPr="00100F0A" w14:paraId="16677F53" w14:textId="77777777" w:rsidTr="00553D3C">
        <w:trPr>
          <w:cantSplit/>
          <w:trHeight w:val="20"/>
        </w:trPr>
        <w:tc>
          <w:tcPr>
            <w:tcW w:w="2379" w:type="dxa"/>
            <w:shd w:val="clear" w:color="auto" w:fill="BEBEE1"/>
          </w:tcPr>
          <w:p w14:paraId="6FD05BFF" w14:textId="77777777" w:rsidR="00202222" w:rsidRPr="00100F0A" w:rsidRDefault="00202222" w:rsidP="00131654">
            <w:pPr>
              <w:rPr>
                <w:color w:val="FFFFFF" w:themeColor="background1"/>
              </w:rPr>
            </w:pPr>
            <w:r w:rsidRPr="00100F0A">
              <w:rPr>
                <w:color w:val="FFFFFF" w:themeColor="background1"/>
              </w:rPr>
              <w:t>Report date</w:t>
            </w:r>
          </w:p>
        </w:tc>
        <w:tc>
          <w:tcPr>
            <w:tcW w:w="6660" w:type="dxa"/>
          </w:tcPr>
          <w:p w14:paraId="276630B6" w14:textId="6CCD8242" w:rsidR="00202222" w:rsidRPr="00100F0A" w:rsidRDefault="002D3DB9" w:rsidP="00553D3C">
            <w:r>
              <w:t>22 May 2019</w:t>
            </w:r>
          </w:p>
        </w:tc>
      </w:tr>
      <w:tr w:rsidR="00202222" w:rsidRPr="00100F0A" w14:paraId="756BE65E" w14:textId="77777777" w:rsidTr="00553D3C">
        <w:trPr>
          <w:cantSplit/>
          <w:trHeight w:val="20"/>
        </w:trPr>
        <w:tc>
          <w:tcPr>
            <w:tcW w:w="2379" w:type="dxa"/>
            <w:shd w:val="clear" w:color="auto" w:fill="BEBEE1"/>
          </w:tcPr>
          <w:p w14:paraId="1B8C5863" w14:textId="77777777" w:rsidR="00202222" w:rsidRPr="00100F0A" w:rsidRDefault="00202222" w:rsidP="00131654">
            <w:pPr>
              <w:rPr>
                <w:color w:val="FFFFFF" w:themeColor="background1"/>
              </w:rPr>
            </w:pPr>
            <w:r w:rsidRPr="00100F0A">
              <w:rPr>
                <w:color w:val="FFFFFF" w:themeColor="background1"/>
              </w:rPr>
              <w:t>Contract date</w:t>
            </w:r>
          </w:p>
        </w:tc>
        <w:tc>
          <w:tcPr>
            <w:tcW w:w="6660" w:type="dxa"/>
          </w:tcPr>
          <w:sdt>
            <w:sdtPr>
              <w:alias w:val="Contract Date"/>
              <w:tag w:val="Contract Date"/>
              <w:id w:val="-2091463638"/>
              <w:placeholder>
                <w:docPart w:val="0007DA39C98047538E429C2075C16B67"/>
              </w:placeholder>
              <w:dataBinding w:xpath="/root[1]/contractdate[1]" w:storeItemID="{A510F670-9325-470C-97D0-A9A4BC3018FA}"/>
              <w:date w:fullDate="2017-09-20T00:00:00Z">
                <w:dateFormat w:val="d MMMM yyyy"/>
                <w:lid w:val="en-AU"/>
                <w:storeMappedDataAs w:val="dateTime"/>
                <w:calendar w:val="gregorian"/>
              </w:date>
            </w:sdtPr>
            <w:sdtEndPr/>
            <w:sdtContent>
              <w:p w14:paraId="7227A182" w14:textId="4EE14CA1" w:rsidR="00202222" w:rsidRPr="00100F0A" w:rsidRDefault="00512118" w:rsidP="00131654">
                <w:r w:rsidRPr="00100F0A">
                  <w:t>20 September 2017</w:t>
                </w:r>
              </w:p>
            </w:sdtContent>
          </w:sdt>
        </w:tc>
      </w:tr>
      <w:tr w:rsidR="00202222" w:rsidRPr="00100F0A" w14:paraId="27C13889" w14:textId="77777777" w:rsidTr="00553D3C">
        <w:trPr>
          <w:cantSplit/>
          <w:trHeight w:val="20"/>
        </w:trPr>
        <w:tc>
          <w:tcPr>
            <w:tcW w:w="2379" w:type="dxa"/>
            <w:shd w:val="clear" w:color="auto" w:fill="BEBEE1"/>
          </w:tcPr>
          <w:p w14:paraId="4771A4F3" w14:textId="77777777" w:rsidR="00202222" w:rsidRPr="00100F0A" w:rsidRDefault="00202222" w:rsidP="00131654">
            <w:pPr>
              <w:rPr>
                <w:color w:val="FFFFFF" w:themeColor="background1"/>
              </w:rPr>
            </w:pPr>
            <w:r w:rsidRPr="00100F0A">
              <w:rPr>
                <w:color w:val="FFFFFF" w:themeColor="background1"/>
              </w:rPr>
              <w:t>Information current to</w:t>
            </w:r>
          </w:p>
        </w:tc>
        <w:tc>
          <w:tcPr>
            <w:tcW w:w="6660" w:type="dxa"/>
          </w:tcPr>
          <w:sdt>
            <w:sdtPr>
              <w:alias w:val="Info Current to"/>
              <w:tag w:val="Info Current to"/>
              <w:id w:val="-260923239"/>
              <w:placeholder>
                <w:docPart w:val="0007DA39C98047538E429C2075C16B67"/>
              </w:placeholder>
              <w:dataBinding w:xpath="/root[1]/infocurrent[1]" w:storeItemID="{A510F670-9325-470C-97D0-A9A4BC3018FA}"/>
              <w:date w:fullDate="2018-06-01T00:00:00Z">
                <w:dateFormat w:val="d MMMM yyyy"/>
                <w:lid w:val="en-AU"/>
                <w:storeMappedDataAs w:val="dateTime"/>
                <w:calendar w:val="gregorian"/>
              </w:date>
            </w:sdtPr>
            <w:sdtEndPr/>
            <w:sdtContent>
              <w:p w14:paraId="6DD1E168" w14:textId="5A1F5EC4" w:rsidR="00202222" w:rsidRPr="00100F0A" w:rsidRDefault="00512118" w:rsidP="00131654">
                <w:r w:rsidRPr="00100F0A">
                  <w:t>1 June 2018</w:t>
                </w:r>
              </w:p>
            </w:sdtContent>
          </w:sdt>
        </w:tc>
      </w:tr>
      <w:tr w:rsidR="00202222" w:rsidRPr="00100F0A" w14:paraId="2BCEF6BA" w14:textId="77777777" w:rsidTr="00553D3C">
        <w:trPr>
          <w:cantSplit/>
          <w:trHeight w:val="20"/>
        </w:trPr>
        <w:tc>
          <w:tcPr>
            <w:tcW w:w="2379" w:type="dxa"/>
            <w:shd w:val="clear" w:color="auto" w:fill="BEBEE1"/>
          </w:tcPr>
          <w:p w14:paraId="3AA2AD05" w14:textId="77777777" w:rsidR="00202222" w:rsidRPr="00100F0A" w:rsidRDefault="00202222" w:rsidP="00131654">
            <w:pPr>
              <w:rPr>
                <w:color w:val="FFFFFF" w:themeColor="background1"/>
              </w:rPr>
            </w:pPr>
            <w:r w:rsidRPr="00100F0A">
              <w:rPr>
                <w:color w:val="FFFFFF" w:themeColor="background1"/>
              </w:rPr>
              <w:t>Copyright</w:t>
            </w:r>
          </w:p>
        </w:tc>
        <w:tc>
          <w:tcPr>
            <w:tcW w:w="6660" w:type="dxa"/>
          </w:tcPr>
          <w:p w14:paraId="25E9FFF8" w14:textId="04166559" w:rsidR="00202222" w:rsidRPr="00100F0A" w:rsidRDefault="00512118" w:rsidP="00EF7F54">
            <w:r w:rsidRPr="00100F0A">
              <w:t>Department of the Environment and Energy; Blue Environment Pty Ltd</w:t>
            </w:r>
          </w:p>
        </w:tc>
      </w:tr>
    </w:tbl>
    <w:p w14:paraId="3DDC1995" w14:textId="77777777" w:rsidR="00BC53F5" w:rsidRPr="00100F0A" w:rsidRDefault="00BC53F5">
      <w:pPr>
        <w:rPr>
          <w:b/>
          <w:color w:val="4D4DB8"/>
        </w:rPr>
      </w:pPr>
      <w:r w:rsidRPr="00100F0A">
        <w:rPr>
          <w:rFonts w:cs="Calibri"/>
          <w:b/>
          <w:color w:val="4D4DB8"/>
        </w:rPr>
        <w:t>Disclaimer</w:t>
      </w:r>
    </w:p>
    <w:p w14:paraId="3FCE4511" w14:textId="62F8BB12" w:rsidR="00BC53F5" w:rsidRPr="00100F0A" w:rsidRDefault="00BC53F5" w:rsidP="003B3436">
      <w:pPr>
        <w:pStyle w:val="Disclaimer"/>
      </w:pPr>
      <w:r w:rsidRPr="00100F0A">
        <w:t xml:space="preserve">This report has been prepared for </w:t>
      </w:r>
      <w:r w:rsidR="00512118" w:rsidRPr="00100F0A">
        <w:t>Department of the Environment and Energy</w:t>
      </w:r>
      <w:r w:rsidRPr="00100F0A">
        <w:t xml:space="preserve"> in accordance with the terms and conditions of appointment dated</w:t>
      </w:r>
      <w:r w:rsidR="005F7EEB" w:rsidRPr="00100F0A">
        <w:t xml:space="preserve"> </w:t>
      </w:r>
      <w:sdt>
        <w:sdtPr>
          <w:alias w:val="Contract Date"/>
          <w:tag w:val="Contract Date"/>
          <w:id w:val="1429085077"/>
          <w:placeholder>
            <w:docPart w:val="F6C11163A25A49C8A2A801255F479597"/>
          </w:placeholder>
          <w:dataBinding w:xpath="/root[1]/contractdate[1]" w:storeItemID="{A510F670-9325-470C-97D0-A9A4BC3018FA}"/>
          <w:date w:fullDate="2017-09-20T00:00:00Z">
            <w:dateFormat w:val="d MMMM yyyy"/>
            <w:lid w:val="en-AU"/>
            <w:storeMappedDataAs w:val="dateTime"/>
            <w:calendar w:val="gregorian"/>
          </w:date>
        </w:sdtPr>
        <w:sdtEndPr/>
        <w:sdtContent>
          <w:r w:rsidR="00512118" w:rsidRPr="00100F0A">
            <w:t>20 September 2017</w:t>
          </w:r>
        </w:sdtContent>
      </w:sdt>
      <w:r w:rsidR="005D178B" w:rsidRPr="00100F0A">
        <w:t xml:space="preserve">, </w:t>
      </w:r>
      <w:r w:rsidRPr="00100F0A">
        <w:t xml:space="preserve">and is based on the assumptions and exclusions set out in our scope of work. Information in this document is current as of </w:t>
      </w:r>
      <w:sdt>
        <w:sdtPr>
          <w:alias w:val="Info Current to"/>
          <w:tag w:val="Info Current to"/>
          <w:id w:val="1936784007"/>
          <w:placeholder>
            <w:docPart w:val="E9C8F7E74F834F3E80BE414A8F623350"/>
          </w:placeholder>
          <w:dataBinding w:xpath="/root[1]/infocurrent[1]" w:storeItemID="{A510F670-9325-470C-97D0-A9A4BC3018FA}"/>
          <w:date w:fullDate="2018-06-01T00:00:00Z">
            <w:dateFormat w:val="d MMMM yyyy"/>
            <w:lid w:val="en-AU"/>
            <w:storeMappedDataAs w:val="dateTime"/>
            <w:calendar w:val="gregorian"/>
          </w:date>
        </w:sdtPr>
        <w:sdtEndPr/>
        <w:sdtContent>
          <w:r w:rsidR="00512118" w:rsidRPr="00100F0A">
            <w:t>1 June 2018</w:t>
          </w:r>
        </w:sdtContent>
      </w:sdt>
      <w:r w:rsidRPr="00100F0A">
        <w:t>. While all professional care has been undertaken in preparing this report, Blue Environment Pty Ltd cannot accept any responsibility for any use of or reliance on the contents of this report by any third party.</w:t>
      </w:r>
    </w:p>
    <w:p w14:paraId="673C7224" w14:textId="77777777" w:rsidR="00BC53F5" w:rsidRPr="00100F0A" w:rsidRDefault="00BC53F5" w:rsidP="001F137E">
      <w:pPr>
        <w:pStyle w:val="Disclaimer"/>
      </w:pPr>
      <w:r w:rsidRPr="00100F0A">
        <w:t xml:space="preserve">The mention of any company, product or process in this report does not constitute or imply endorsement </w:t>
      </w:r>
      <w:r w:rsidR="00217DFA" w:rsidRPr="00100F0A">
        <w:t>by Blue Environment Pty </w:t>
      </w:r>
      <w:r w:rsidRPr="00100F0A">
        <w:t>Ltd.</w:t>
      </w:r>
    </w:p>
    <w:p w14:paraId="14F3CE89" w14:textId="304AA99E" w:rsidR="001F137E" w:rsidRPr="00100F0A" w:rsidRDefault="001F137E" w:rsidP="001F137E">
      <w:pPr>
        <w:pStyle w:val="Disclaimer"/>
      </w:pPr>
      <w:r w:rsidRPr="00100F0A">
        <w:rPr>
          <w:rFonts w:cs="Calibri"/>
        </w:rPr>
        <w:t xml:space="preserve">© </w:t>
      </w:r>
      <w:r w:rsidR="00512118" w:rsidRPr="00100F0A">
        <w:t>Department of the Environment and Energy; Blue Environment Pty Ltd</w:t>
      </w:r>
      <w:r w:rsidR="004D4A33" w:rsidRPr="00100F0A">
        <w:rPr>
          <w:rFonts w:cs="Calibri"/>
        </w:rPr>
        <w:t xml:space="preserve"> </w:t>
      </w:r>
    </w:p>
    <w:p w14:paraId="6847101F" w14:textId="77777777" w:rsidR="00BC53F5" w:rsidRPr="00100F0A" w:rsidRDefault="00BC53F5" w:rsidP="00CB41BD">
      <w:pPr>
        <w:pStyle w:val="BodyText"/>
      </w:pPr>
    </w:p>
    <w:p w14:paraId="09425181" w14:textId="77777777" w:rsidR="00BC53F5" w:rsidRPr="00100F0A" w:rsidRDefault="006475A9" w:rsidP="009A4DB5">
      <w:pPr>
        <w:rPr>
          <w:rFonts w:asciiTheme="minorHAnsi" w:hAnsiTheme="minorHAnsi" w:cstheme="minorHAnsi"/>
          <w:color w:val="4D4DB8"/>
          <w:sz w:val="26"/>
          <w:szCs w:val="26"/>
        </w:rPr>
      </w:pPr>
      <w:r w:rsidRPr="00100F0A">
        <w:rPr>
          <w:rFonts w:asciiTheme="minorHAnsi" w:hAnsiTheme="minorHAnsi" w:cstheme="minorHAnsi"/>
          <w:color w:val="4D4DB8"/>
          <w:sz w:val="26"/>
          <w:szCs w:val="26"/>
        </w:rPr>
        <w:t xml:space="preserve">Blue Environment prints on 100% recycled </w:t>
      </w:r>
      <w:r w:rsidR="00BC53F5" w:rsidRPr="00100F0A">
        <w:rPr>
          <w:rFonts w:asciiTheme="minorHAnsi" w:hAnsiTheme="minorHAnsi" w:cstheme="minorHAnsi"/>
          <w:color w:val="4D4DB8"/>
          <w:sz w:val="26"/>
          <w:szCs w:val="26"/>
        </w:rPr>
        <w:t>paper</w:t>
      </w:r>
    </w:p>
    <w:p w14:paraId="503D65FA" w14:textId="77777777" w:rsidR="00BC53F5" w:rsidRPr="00100F0A" w:rsidRDefault="00BC53F5" w:rsidP="00CB41BD">
      <w:pPr>
        <w:pStyle w:val="BodyText"/>
      </w:pPr>
    </w:p>
    <w:p w14:paraId="5E7E16CA" w14:textId="77777777" w:rsidR="00547C1A" w:rsidRPr="00100F0A" w:rsidRDefault="00490D7E" w:rsidP="005E59B0">
      <w:pPr>
        <w:pStyle w:val="Address"/>
      </w:pPr>
      <w:r w:rsidRPr="00100F0A">
        <w:t>Blue Environment Pty L</w:t>
      </w:r>
      <w:r w:rsidR="00BC53F5" w:rsidRPr="00100F0A">
        <w:t>td</w:t>
      </w:r>
    </w:p>
    <w:p w14:paraId="263D1D99" w14:textId="77777777" w:rsidR="00BC53F5" w:rsidRPr="00100F0A" w:rsidRDefault="00490D7E" w:rsidP="005E59B0">
      <w:pPr>
        <w:pStyle w:val="Address"/>
      </w:pPr>
      <w:r w:rsidRPr="00100F0A">
        <w:t>ABN</w:t>
      </w:r>
      <w:r w:rsidR="00BC53F5" w:rsidRPr="00100F0A">
        <w:t xml:space="preserve"> 78 118 663 997</w:t>
      </w:r>
    </w:p>
    <w:p w14:paraId="11A544BC" w14:textId="77777777" w:rsidR="00BC53F5" w:rsidRPr="00100F0A" w:rsidRDefault="008D77C5" w:rsidP="005E59B0">
      <w:pPr>
        <w:pStyle w:val="Address"/>
      </w:pPr>
      <w:r w:rsidRPr="00100F0A">
        <w:t>Suite 20</w:t>
      </w:r>
      <w:r w:rsidR="005B3BA0" w:rsidRPr="00100F0A">
        <w:t>9</w:t>
      </w:r>
      <w:r w:rsidRPr="00100F0A">
        <w:t>, 838 Collins St, Docklands Vic 3008</w:t>
      </w:r>
    </w:p>
    <w:p w14:paraId="0C4AA516" w14:textId="77777777" w:rsidR="00BC53F5" w:rsidRPr="00100F0A" w:rsidRDefault="00490D7E" w:rsidP="005E59B0">
      <w:pPr>
        <w:pStyle w:val="Address"/>
      </w:pPr>
      <w:r w:rsidRPr="00100F0A">
        <w:t>E</w:t>
      </w:r>
      <w:r w:rsidR="00BC53F5" w:rsidRPr="00100F0A">
        <w:t>mail: blue@blueenvironment.com.au</w:t>
      </w:r>
    </w:p>
    <w:p w14:paraId="26ABE6BB" w14:textId="77777777" w:rsidR="00BC53F5" w:rsidRPr="00100F0A" w:rsidRDefault="00490D7E" w:rsidP="005E59B0">
      <w:pPr>
        <w:pStyle w:val="Address"/>
      </w:pPr>
      <w:r w:rsidRPr="00100F0A">
        <w:t>W</w:t>
      </w:r>
      <w:r w:rsidR="00BC53F5" w:rsidRPr="00100F0A">
        <w:t>eb: www.blueenvironment.com.au</w:t>
      </w:r>
    </w:p>
    <w:p w14:paraId="2BBF4E14" w14:textId="77777777" w:rsidR="005E59B0" w:rsidRPr="00100F0A" w:rsidRDefault="00490D7E" w:rsidP="005E59B0">
      <w:pPr>
        <w:pStyle w:val="Address"/>
      </w:pPr>
      <w:r w:rsidRPr="00100F0A">
        <w:t>P</w:t>
      </w:r>
      <w:r w:rsidR="00BC53F5" w:rsidRPr="00100F0A">
        <w:t xml:space="preserve">hone: +61 3 </w:t>
      </w:r>
      <w:r w:rsidR="008D77C5" w:rsidRPr="00100F0A">
        <w:t>9081 0440</w:t>
      </w:r>
      <w:r w:rsidR="00BC53F5" w:rsidRPr="00100F0A">
        <w:t xml:space="preserve"> / +61 3 </w:t>
      </w:r>
      <w:r w:rsidR="008D77C5" w:rsidRPr="00100F0A">
        <w:t>5426 3536</w:t>
      </w:r>
    </w:p>
    <w:p w14:paraId="65232D4E" w14:textId="77777777" w:rsidR="00202222" w:rsidRPr="00100F0A" w:rsidRDefault="00202222" w:rsidP="005E59B0">
      <w:pPr>
        <w:pStyle w:val="Address"/>
      </w:pPr>
    </w:p>
    <w:p w14:paraId="118DF396" w14:textId="77777777" w:rsidR="00217DFA" w:rsidRPr="00100F0A" w:rsidRDefault="00217DFA" w:rsidP="005E59B0">
      <w:pPr>
        <w:pStyle w:val="Address"/>
        <w:sectPr w:rsidR="00217DFA" w:rsidRPr="00100F0A" w:rsidSect="00131654">
          <w:headerReference w:type="even" r:id="rId12"/>
          <w:headerReference w:type="default" r:id="rId13"/>
          <w:footerReference w:type="even" r:id="rId14"/>
          <w:footerReference w:type="default" r:id="rId15"/>
          <w:headerReference w:type="first" r:id="rId16"/>
          <w:footerReference w:type="first" r:id="rId17"/>
          <w:pgSz w:w="11906" w:h="16838" w:code="9"/>
          <w:pgMar w:top="4275" w:right="1077" w:bottom="1440" w:left="1797" w:header="709" w:footer="709" w:gutter="0"/>
          <w:cols w:space="708"/>
          <w:titlePg/>
          <w:docGrid w:linePitch="360"/>
        </w:sectPr>
      </w:pPr>
    </w:p>
    <w:p w14:paraId="0DC68AB3" w14:textId="77777777" w:rsidR="00547C1A" w:rsidRPr="00100F0A" w:rsidRDefault="00586128" w:rsidP="00CD1D4D">
      <w:pPr>
        <w:rPr>
          <w:b/>
          <w:color w:val="000099"/>
          <w:sz w:val="40"/>
          <w:szCs w:val="40"/>
        </w:rPr>
      </w:pPr>
      <w:bookmarkStart w:id="2" w:name="_Toc481574269"/>
      <w:r w:rsidRPr="00100F0A">
        <w:rPr>
          <w:b/>
          <w:color w:val="000099"/>
          <w:sz w:val="40"/>
          <w:szCs w:val="40"/>
        </w:rPr>
        <w:lastRenderedPageBreak/>
        <w:t>Contents</w:t>
      </w:r>
      <w:bookmarkEnd w:id="2"/>
    </w:p>
    <w:p w14:paraId="14C3BA44" w14:textId="77777777" w:rsidR="00D85E30" w:rsidRPr="00100F0A" w:rsidRDefault="00D85E30" w:rsidP="009E6EAE">
      <w:pPr>
        <w:pStyle w:val="AppendixSubheadings"/>
        <w:rPr>
          <w:sz w:val="22"/>
        </w:rPr>
      </w:pPr>
    </w:p>
    <w:p w14:paraId="6A8880A1" w14:textId="45EE10D8" w:rsidR="006E4AAD" w:rsidRDefault="005B2574">
      <w:pPr>
        <w:pStyle w:val="TOC1"/>
        <w:rPr>
          <w:rFonts w:asciiTheme="minorHAnsi" w:eastAsiaTheme="minorEastAsia" w:hAnsiTheme="minorHAnsi"/>
          <w:b w:val="0"/>
          <w:noProof/>
          <w:color w:val="auto"/>
          <w:lang w:eastAsia="en-AU"/>
        </w:rPr>
      </w:pPr>
      <w:r>
        <w:rPr>
          <w:b w:val="0"/>
        </w:rPr>
        <w:fldChar w:fldCharType="begin"/>
      </w:r>
      <w:r>
        <w:rPr>
          <w:b w:val="0"/>
        </w:rPr>
        <w:instrText xml:space="preserve"> TOC \o "1-2" \h \z \u </w:instrText>
      </w:r>
      <w:r>
        <w:rPr>
          <w:b w:val="0"/>
        </w:rPr>
        <w:fldChar w:fldCharType="separate"/>
      </w:r>
      <w:hyperlink w:anchor="_Toc13225521" w:history="1">
        <w:r w:rsidR="006E4AAD" w:rsidRPr="009764D7">
          <w:rPr>
            <w:rStyle w:val="Hyperlink"/>
            <w:noProof/>
          </w:rPr>
          <w:t>At a glance</w:t>
        </w:r>
        <w:r w:rsidR="006E4AAD">
          <w:rPr>
            <w:noProof/>
            <w:webHidden/>
          </w:rPr>
          <w:tab/>
        </w:r>
        <w:r w:rsidR="006E4AAD">
          <w:rPr>
            <w:noProof/>
            <w:webHidden/>
          </w:rPr>
          <w:fldChar w:fldCharType="begin"/>
        </w:r>
        <w:r w:rsidR="006E4AAD">
          <w:rPr>
            <w:noProof/>
            <w:webHidden/>
          </w:rPr>
          <w:instrText xml:space="preserve"> PAGEREF _Toc13225521 \h </w:instrText>
        </w:r>
        <w:r w:rsidR="006E4AAD">
          <w:rPr>
            <w:noProof/>
            <w:webHidden/>
          </w:rPr>
        </w:r>
        <w:r w:rsidR="006E4AAD">
          <w:rPr>
            <w:noProof/>
            <w:webHidden/>
          </w:rPr>
          <w:fldChar w:fldCharType="separate"/>
        </w:r>
        <w:r w:rsidR="00EB634D">
          <w:rPr>
            <w:noProof/>
            <w:webHidden/>
          </w:rPr>
          <w:t>viii</w:t>
        </w:r>
        <w:r w:rsidR="006E4AAD">
          <w:rPr>
            <w:noProof/>
            <w:webHidden/>
          </w:rPr>
          <w:fldChar w:fldCharType="end"/>
        </w:r>
      </w:hyperlink>
    </w:p>
    <w:p w14:paraId="11BB911C" w14:textId="4C4E1C53" w:rsidR="006E4AAD" w:rsidRDefault="00A1102D">
      <w:pPr>
        <w:pStyle w:val="TOC1"/>
        <w:rPr>
          <w:rFonts w:asciiTheme="minorHAnsi" w:eastAsiaTheme="minorEastAsia" w:hAnsiTheme="minorHAnsi"/>
          <w:b w:val="0"/>
          <w:noProof/>
          <w:color w:val="auto"/>
          <w:lang w:eastAsia="en-AU"/>
        </w:rPr>
      </w:pPr>
      <w:hyperlink w:anchor="_Toc13225522" w:history="1">
        <w:r w:rsidR="006E4AAD" w:rsidRPr="009764D7">
          <w:rPr>
            <w:rStyle w:val="Hyperlink"/>
            <w:noProof/>
          </w:rPr>
          <w:t>Summary</w:t>
        </w:r>
        <w:r w:rsidR="006E4AAD">
          <w:rPr>
            <w:noProof/>
            <w:webHidden/>
          </w:rPr>
          <w:tab/>
        </w:r>
        <w:r w:rsidR="006E4AAD">
          <w:rPr>
            <w:noProof/>
            <w:webHidden/>
          </w:rPr>
          <w:fldChar w:fldCharType="begin"/>
        </w:r>
        <w:r w:rsidR="006E4AAD">
          <w:rPr>
            <w:noProof/>
            <w:webHidden/>
          </w:rPr>
          <w:instrText xml:space="preserve"> PAGEREF _Toc13225522 \h </w:instrText>
        </w:r>
        <w:r w:rsidR="006E4AAD">
          <w:rPr>
            <w:noProof/>
            <w:webHidden/>
          </w:rPr>
        </w:r>
        <w:r w:rsidR="006E4AAD">
          <w:rPr>
            <w:noProof/>
            <w:webHidden/>
          </w:rPr>
          <w:fldChar w:fldCharType="separate"/>
        </w:r>
        <w:r w:rsidR="00EB634D">
          <w:rPr>
            <w:noProof/>
            <w:webHidden/>
          </w:rPr>
          <w:t>xi</w:t>
        </w:r>
        <w:r w:rsidR="006E4AAD">
          <w:rPr>
            <w:noProof/>
            <w:webHidden/>
          </w:rPr>
          <w:fldChar w:fldCharType="end"/>
        </w:r>
      </w:hyperlink>
    </w:p>
    <w:p w14:paraId="63BA92DF" w14:textId="2E29AC93" w:rsidR="006E4AAD" w:rsidRDefault="00A1102D">
      <w:pPr>
        <w:pStyle w:val="TOC2"/>
        <w:rPr>
          <w:rFonts w:asciiTheme="minorHAnsi" w:eastAsiaTheme="minorEastAsia" w:hAnsiTheme="minorHAnsi"/>
          <w:noProof/>
          <w:color w:val="auto"/>
          <w:lang w:eastAsia="en-AU"/>
        </w:rPr>
      </w:pPr>
      <w:hyperlink w:anchor="_Toc13225523" w:history="1">
        <w:r w:rsidR="006E4AAD" w:rsidRPr="009764D7">
          <w:rPr>
            <w:rStyle w:val="Hyperlink"/>
            <w:noProof/>
          </w:rPr>
          <w:t>Conclusions and recommendations</w:t>
        </w:r>
        <w:r w:rsidR="006E4AAD">
          <w:rPr>
            <w:noProof/>
            <w:webHidden/>
          </w:rPr>
          <w:tab/>
        </w:r>
        <w:r w:rsidR="006E4AAD">
          <w:rPr>
            <w:noProof/>
            <w:webHidden/>
          </w:rPr>
          <w:fldChar w:fldCharType="begin"/>
        </w:r>
        <w:r w:rsidR="006E4AAD">
          <w:rPr>
            <w:noProof/>
            <w:webHidden/>
          </w:rPr>
          <w:instrText xml:space="preserve"> PAGEREF _Toc13225523 \h </w:instrText>
        </w:r>
        <w:r w:rsidR="006E4AAD">
          <w:rPr>
            <w:noProof/>
            <w:webHidden/>
          </w:rPr>
        </w:r>
        <w:r w:rsidR="006E4AAD">
          <w:rPr>
            <w:noProof/>
            <w:webHidden/>
          </w:rPr>
          <w:fldChar w:fldCharType="separate"/>
        </w:r>
        <w:r w:rsidR="00EB634D">
          <w:rPr>
            <w:noProof/>
            <w:webHidden/>
          </w:rPr>
          <w:t>xxiii</w:t>
        </w:r>
        <w:r w:rsidR="006E4AAD">
          <w:rPr>
            <w:noProof/>
            <w:webHidden/>
          </w:rPr>
          <w:fldChar w:fldCharType="end"/>
        </w:r>
      </w:hyperlink>
    </w:p>
    <w:p w14:paraId="07A15B98" w14:textId="77720C82" w:rsidR="006E4AAD" w:rsidRDefault="00A1102D">
      <w:pPr>
        <w:pStyle w:val="TOC1"/>
        <w:rPr>
          <w:rFonts w:asciiTheme="minorHAnsi" w:eastAsiaTheme="minorEastAsia" w:hAnsiTheme="minorHAnsi"/>
          <w:b w:val="0"/>
          <w:noProof/>
          <w:color w:val="auto"/>
          <w:lang w:eastAsia="en-AU"/>
        </w:rPr>
      </w:pPr>
      <w:hyperlink w:anchor="_Toc13225524" w:history="1">
        <w:r w:rsidR="006E4AAD" w:rsidRPr="009764D7">
          <w:rPr>
            <w:rStyle w:val="Hyperlink"/>
            <w:noProof/>
          </w:rPr>
          <w:t>1.</w:t>
        </w:r>
        <w:r w:rsidR="006E4AAD">
          <w:rPr>
            <w:rFonts w:asciiTheme="minorHAnsi" w:eastAsiaTheme="minorEastAsia" w:hAnsiTheme="minorHAnsi"/>
            <w:b w:val="0"/>
            <w:noProof/>
            <w:color w:val="auto"/>
            <w:lang w:eastAsia="en-AU"/>
          </w:rPr>
          <w:tab/>
        </w:r>
        <w:r w:rsidR="006E4AAD" w:rsidRPr="009764D7">
          <w:rPr>
            <w:rStyle w:val="Hyperlink"/>
            <w:noProof/>
          </w:rPr>
          <w:t>Introduction</w:t>
        </w:r>
        <w:r w:rsidR="006E4AAD">
          <w:rPr>
            <w:noProof/>
            <w:webHidden/>
          </w:rPr>
          <w:tab/>
        </w:r>
        <w:r w:rsidR="006E4AAD">
          <w:rPr>
            <w:noProof/>
            <w:webHidden/>
          </w:rPr>
          <w:fldChar w:fldCharType="begin"/>
        </w:r>
        <w:r w:rsidR="006E4AAD">
          <w:rPr>
            <w:noProof/>
            <w:webHidden/>
          </w:rPr>
          <w:instrText xml:space="preserve"> PAGEREF _Toc13225524 \h </w:instrText>
        </w:r>
        <w:r w:rsidR="006E4AAD">
          <w:rPr>
            <w:noProof/>
            <w:webHidden/>
          </w:rPr>
        </w:r>
        <w:r w:rsidR="006E4AAD">
          <w:rPr>
            <w:noProof/>
            <w:webHidden/>
          </w:rPr>
          <w:fldChar w:fldCharType="separate"/>
        </w:r>
        <w:r w:rsidR="00EB634D">
          <w:rPr>
            <w:noProof/>
            <w:webHidden/>
          </w:rPr>
          <w:t>1</w:t>
        </w:r>
        <w:r w:rsidR="006E4AAD">
          <w:rPr>
            <w:noProof/>
            <w:webHidden/>
          </w:rPr>
          <w:fldChar w:fldCharType="end"/>
        </w:r>
      </w:hyperlink>
    </w:p>
    <w:p w14:paraId="54437CE1" w14:textId="3588403F" w:rsidR="006E4AAD" w:rsidRDefault="00A1102D">
      <w:pPr>
        <w:pStyle w:val="TOC2"/>
        <w:rPr>
          <w:rFonts w:asciiTheme="minorHAnsi" w:eastAsiaTheme="minorEastAsia" w:hAnsiTheme="minorHAnsi"/>
          <w:noProof/>
          <w:color w:val="auto"/>
          <w:lang w:eastAsia="en-AU"/>
        </w:rPr>
      </w:pPr>
      <w:hyperlink w:anchor="_Toc13225525" w:history="1">
        <w:r w:rsidR="006E4AAD" w:rsidRPr="009764D7">
          <w:rPr>
            <w:rStyle w:val="Hyperlink"/>
            <w:noProof/>
            <w14:scene3d>
              <w14:camera w14:prst="orthographicFront"/>
              <w14:lightRig w14:rig="threePt" w14:dir="t">
                <w14:rot w14:lat="0" w14:lon="0" w14:rev="0"/>
              </w14:lightRig>
            </w14:scene3d>
          </w:rPr>
          <w:t>1.1</w:t>
        </w:r>
        <w:r w:rsidR="006E4AAD">
          <w:rPr>
            <w:rFonts w:asciiTheme="minorHAnsi" w:eastAsiaTheme="minorEastAsia" w:hAnsiTheme="minorHAnsi"/>
            <w:noProof/>
            <w:color w:val="auto"/>
            <w:lang w:eastAsia="en-AU"/>
          </w:rPr>
          <w:tab/>
        </w:r>
        <w:r w:rsidR="006E4AAD" w:rsidRPr="009764D7">
          <w:rPr>
            <w:rStyle w:val="Hyperlink"/>
            <w:noProof/>
          </w:rPr>
          <w:t>Project origins and scope</w:t>
        </w:r>
        <w:r w:rsidR="006E4AAD">
          <w:rPr>
            <w:noProof/>
            <w:webHidden/>
          </w:rPr>
          <w:tab/>
        </w:r>
        <w:r w:rsidR="006E4AAD">
          <w:rPr>
            <w:noProof/>
            <w:webHidden/>
          </w:rPr>
          <w:fldChar w:fldCharType="begin"/>
        </w:r>
        <w:r w:rsidR="006E4AAD">
          <w:rPr>
            <w:noProof/>
            <w:webHidden/>
          </w:rPr>
          <w:instrText xml:space="preserve"> PAGEREF _Toc13225525 \h </w:instrText>
        </w:r>
        <w:r w:rsidR="006E4AAD">
          <w:rPr>
            <w:noProof/>
            <w:webHidden/>
          </w:rPr>
        </w:r>
        <w:r w:rsidR="006E4AAD">
          <w:rPr>
            <w:noProof/>
            <w:webHidden/>
          </w:rPr>
          <w:fldChar w:fldCharType="separate"/>
        </w:r>
        <w:r w:rsidR="00EB634D">
          <w:rPr>
            <w:noProof/>
            <w:webHidden/>
          </w:rPr>
          <w:t>1</w:t>
        </w:r>
        <w:r w:rsidR="006E4AAD">
          <w:rPr>
            <w:noProof/>
            <w:webHidden/>
          </w:rPr>
          <w:fldChar w:fldCharType="end"/>
        </w:r>
      </w:hyperlink>
    </w:p>
    <w:p w14:paraId="3C1AB974" w14:textId="1EDFA59C" w:rsidR="006E4AAD" w:rsidRDefault="00A1102D">
      <w:pPr>
        <w:pStyle w:val="TOC2"/>
        <w:rPr>
          <w:rFonts w:asciiTheme="minorHAnsi" w:eastAsiaTheme="minorEastAsia" w:hAnsiTheme="minorHAnsi"/>
          <w:noProof/>
          <w:color w:val="auto"/>
          <w:lang w:eastAsia="en-AU"/>
        </w:rPr>
      </w:pPr>
      <w:hyperlink w:anchor="_Toc13225526" w:history="1">
        <w:r w:rsidR="006E4AAD" w:rsidRPr="009764D7">
          <w:rPr>
            <w:rStyle w:val="Hyperlink"/>
            <w:noProof/>
            <w14:scene3d>
              <w14:camera w14:prst="orthographicFront"/>
              <w14:lightRig w14:rig="threePt" w14:dir="t">
                <w14:rot w14:lat="0" w14:lon="0" w14:rev="0"/>
              </w14:lightRig>
            </w14:scene3d>
          </w:rPr>
          <w:t>1.2</w:t>
        </w:r>
        <w:r w:rsidR="006E4AAD">
          <w:rPr>
            <w:rFonts w:asciiTheme="minorHAnsi" w:eastAsiaTheme="minorEastAsia" w:hAnsiTheme="minorHAnsi"/>
            <w:noProof/>
            <w:color w:val="auto"/>
            <w:lang w:eastAsia="en-AU"/>
          </w:rPr>
          <w:tab/>
        </w:r>
        <w:r w:rsidR="006E4AAD" w:rsidRPr="009764D7">
          <w:rPr>
            <w:rStyle w:val="Hyperlink"/>
            <w:noProof/>
          </w:rPr>
          <w:t>Project context and key definitions</w:t>
        </w:r>
        <w:r w:rsidR="006E4AAD">
          <w:rPr>
            <w:noProof/>
            <w:webHidden/>
          </w:rPr>
          <w:tab/>
        </w:r>
        <w:r w:rsidR="006E4AAD">
          <w:rPr>
            <w:noProof/>
            <w:webHidden/>
          </w:rPr>
          <w:fldChar w:fldCharType="begin"/>
        </w:r>
        <w:r w:rsidR="006E4AAD">
          <w:rPr>
            <w:noProof/>
            <w:webHidden/>
          </w:rPr>
          <w:instrText xml:space="preserve"> PAGEREF _Toc13225526 \h </w:instrText>
        </w:r>
        <w:r w:rsidR="006E4AAD">
          <w:rPr>
            <w:noProof/>
            <w:webHidden/>
          </w:rPr>
        </w:r>
        <w:r w:rsidR="006E4AAD">
          <w:rPr>
            <w:noProof/>
            <w:webHidden/>
          </w:rPr>
          <w:fldChar w:fldCharType="separate"/>
        </w:r>
        <w:r w:rsidR="00EB634D">
          <w:rPr>
            <w:noProof/>
            <w:webHidden/>
          </w:rPr>
          <w:t>1</w:t>
        </w:r>
        <w:r w:rsidR="006E4AAD">
          <w:rPr>
            <w:noProof/>
            <w:webHidden/>
          </w:rPr>
          <w:fldChar w:fldCharType="end"/>
        </w:r>
      </w:hyperlink>
    </w:p>
    <w:p w14:paraId="68495853" w14:textId="48F3C471" w:rsidR="006E4AAD" w:rsidRDefault="00A1102D">
      <w:pPr>
        <w:pStyle w:val="TOC2"/>
        <w:rPr>
          <w:rFonts w:asciiTheme="minorHAnsi" w:eastAsiaTheme="minorEastAsia" w:hAnsiTheme="minorHAnsi"/>
          <w:noProof/>
          <w:color w:val="auto"/>
          <w:lang w:eastAsia="en-AU"/>
        </w:rPr>
      </w:pPr>
      <w:hyperlink w:anchor="_Toc13225527" w:history="1">
        <w:r w:rsidR="006E4AAD" w:rsidRPr="009764D7">
          <w:rPr>
            <w:rStyle w:val="Hyperlink"/>
            <w:noProof/>
            <w14:scene3d>
              <w14:camera w14:prst="orthographicFront"/>
              <w14:lightRig w14:rig="threePt" w14:dir="t">
                <w14:rot w14:lat="0" w14:lon="0" w14:rev="0"/>
              </w14:lightRig>
            </w14:scene3d>
          </w:rPr>
          <w:t>1.3</w:t>
        </w:r>
        <w:r w:rsidR="006E4AAD">
          <w:rPr>
            <w:rFonts w:asciiTheme="minorHAnsi" w:eastAsiaTheme="minorEastAsia" w:hAnsiTheme="minorHAnsi"/>
            <w:noProof/>
            <w:color w:val="auto"/>
            <w:lang w:eastAsia="en-AU"/>
          </w:rPr>
          <w:tab/>
        </w:r>
        <w:r w:rsidR="006E4AAD" w:rsidRPr="009764D7">
          <w:rPr>
            <w:rStyle w:val="Hyperlink"/>
            <w:noProof/>
          </w:rPr>
          <w:t>The structure of this document</w:t>
        </w:r>
        <w:r w:rsidR="006E4AAD">
          <w:rPr>
            <w:noProof/>
            <w:webHidden/>
          </w:rPr>
          <w:tab/>
        </w:r>
        <w:r w:rsidR="006E4AAD">
          <w:rPr>
            <w:noProof/>
            <w:webHidden/>
          </w:rPr>
          <w:fldChar w:fldCharType="begin"/>
        </w:r>
        <w:r w:rsidR="006E4AAD">
          <w:rPr>
            <w:noProof/>
            <w:webHidden/>
          </w:rPr>
          <w:instrText xml:space="preserve"> PAGEREF _Toc13225527 \h </w:instrText>
        </w:r>
        <w:r w:rsidR="006E4AAD">
          <w:rPr>
            <w:noProof/>
            <w:webHidden/>
          </w:rPr>
        </w:r>
        <w:r w:rsidR="006E4AAD">
          <w:rPr>
            <w:noProof/>
            <w:webHidden/>
          </w:rPr>
          <w:fldChar w:fldCharType="separate"/>
        </w:r>
        <w:r w:rsidR="00EB634D">
          <w:rPr>
            <w:noProof/>
            <w:webHidden/>
          </w:rPr>
          <w:t>4</w:t>
        </w:r>
        <w:r w:rsidR="006E4AAD">
          <w:rPr>
            <w:noProof/>
            <w:webHidden/>
          </w:rPr>
          <w:fldChar w:fldCharType="end"/>
        </w:r>
      </w:hyperlink>
    </w:p>
    <w:p w14:paraId="60CE6967" w14:textId="59E0DE7C" w:rsidR="006E4AAD" w:rsidRDefault="00A1102D">
      <w:pPr>
        <w:pStyle w:val="TOC2"/>
        <w:rPr>
          <w:rFonts w:asciiTheme="minorHAnsi" w:eastAsiaTheme="minorEastAsia" w:hAnsiTheme="minorHAnsi"/>
          <w:noProof/>
          <w:color w:val="auto"/>
          <w:lang w:eastAsia="en-AU"/>
        </w:rPr>
      </w:pPr>
      <w:hyperlink w:anchor="_Toc13225528" w:history="1">
        <w:r w:rsidR="006E4AAD" w:rsidRPr="009764D7">
          <w:rPr>
            <w:rStyle w:val="Hyperlink"/>
            <w:noProof/>
            <w14:scene3d>
              <w14:camera w14:prst="orthographicFront"/>
              <w14:lightRig w14:rig="threePt" w14:dir="t">
                <w14:rot w14:lat="0" w14:lon="0" w14:rev="0"/>
              </w14:lightRig>
            </w14:scene3d>
          </w:rPr>
          <w:t>1.4</w:t>
        </w:r>
        <w:r w:rsidR="006E4AAD">
          <w:rPr>
            <w:rFonts w:asciiTheme="minorHAnsi" w:eastAsiaTheme="minorEastAsia" w:hAnsiTheme="minorHAnsi"/>
            <w:noProof/>
            <w:color w:val="auto"/>
            <w:lang w:eastAsia="en-AU"/>
          </w:rPr>
          <w:tab/>
        </w:r>
        <w:r w:rsidR="006E4AAD" w:rsidRPr="009764D7">
          <w:rPr>
            <w:rStyle w:val="Hyperlink"/>
            <w:noProof/>
          </w:rPr>
          <w:t>Other project outputs</w:t>
        </w:r>
        <w:r w:rsidR="006E4AAD">
          <w:rPr>
            <w:noProof/>
            <w:webHidden/>
          </w:rPr>
          <w:tab/>
        </w:r>
        <w:r w:rsidR="006E4AAD">
          <w:rPr>
            <w:noProof/>
            <w:webHidden/>
          </w:rPr>
          <w:fldChar w:fldCharType="begin"/>
        </w:r>
        <w:r w:rsidR="006E4AAD">
          <w:rPr>
            <w:noProof/>
            <w:webHidden/>
          </w:rPr>
          <w:instrText xml:space="preserve"> PAGEREF _Toc13225528 \h </w:instrText>
        </w:r>
        <w:r w:rsidR="006E4AAD">
          <w:rPr>
            <w:noProof/>
            <w:webHidden/>
          </w:rPr>
        </w:r>
        <w:r w:rsidR="006E4AAD">
          <w:rPr>
            <w:noProof/>
            <w:webHidden/>
          </w:rPr>
          <w:fldChar w:fldCharType="separate"/>
        </w:r>
        <w:r w:rsidR="00EB634D">
          <w:rPr>
            <w:noProof/>
            <w:webHidden/>
          </w:rPr>
          <w:t>4</w:t>
        </w:r>
        <w:r w:rsidR="006E4AAD">
          <w:rPr>
            <w:noProof/>
            <w:webHidden/>
          </w:rPr>
          <w:fldChar w:fldCharType="end"/>
        </w:r>
      </w:hyperlink>
    </w:p>
    <w:p w14:paraId="69AE7AEB" w14:textId="58D20995" w:rsidR="006E4AAD" w:rsidRDefault="00A1102D">
      <w:pPr>
        <w:pStyle w:val="TOC1"/>
        <w:rPr>
          <w:rFonts w:asciiTheme="minorHAnsi" w:eastAsiaTheme="minorEastAsia" w:hAnsiTheme="minorHAnsi"/>
          <w:b w:val="0"/>
          <w:noProof/>
          <w:color w:val="auto"/>
          <w:lang w:eastAsia="en-AU"/>
        </w:rPr>
      </w:pPr>
      <w:hyperlink w:anchor="_Toc13225529" w:history="1">
        <w:r w:rsidR="006E4AAD" w:rsidRPr="009764D7">
          <w:rPr>
            <w:rStyle w:val="Hyperlink"/>
            <w:noProof/>
          </w:rPr>
          <w:t>2.</w:t>
        </w:r>
        <w:r w:rsidR="006E4AAD">
          <w:rPr>
            <w:rFonts w:asciiTheme="minorHAnsi" w:eastAsiaTheme="minorEastAsia" w:hAnsiTheme="minorHAnsi"/>
            <w:b w:val="0"/>
            <w:noProof/>
            <w:color w:val="auto"/>
            <w:lang w:eastAsia="en-AU"/>
          </w:rPr>
          <w:tab/>
        </w:r>
        <w:r w:rsidR="006E4AAD" w:rsidRPr="009764D7">
          <w:rPr>
            <w:rStyle w:val="Hyperlink"/>
            <w:noProof/>
          </w:rPr>
          <w:t>Projections of hazardous waste infrastructure needs</w:t>
        </w:r>
        <w:r w:rsidR="006E4AAD">
          <w:rPr>
            <w:noProof/>
            <w:webHidden/>
          </w:rPr>
          <w:tab/>
        </w:r>
        <w:r w:rsidR="006E4AAD">
          <w:rPr>
            <w:noProof/>
            <w:webHidden/>
          </w:rPr>
          <w:fldChar w:fldCharType="begin"/>
        </w:r>
        <w:r w:rsidR="006E4AAD">
          <w:rPr>
            <w:noProof/>
            <w:webHidden/>
          </w:rPr>
          <w:instrText xml:space="preserve"> PAGEREF _Toc13225529 \h </w:instrText>
        </w:r>
        <w:r w:rsidR="006E4AAD">
          <w:rPr>
            <w:noProof/>
            <w:webHidden/>
          </w:rPr>
        </w:r>
        <w:r w:rsidR="006E4AAD">
          <w:rPr>
            <w:noProof/>
            <w:webHidden/>
          </w:rPr>
          <w:fldChar w:fldCharType="separate"/>
        </w:r>
        <w:r w:rsidR="00EB634D">
          <w:rPr>
            <w:noProof/>
            <w:webHidden/>
          </w:rPr>
          <w:t>6</w:t>
        </w:r>
        <w:r w:rsidR="006E4AAD">
          <w:rPr>
            <w:noProof/>
            <w:webHidden/>
          </w:rPr>
          <w:fldChar w:fldCharType="end"/>
        </w:r>
      </w:hyperlink>
    </w:p>
    <w:p w14:paraId="65AE75CA" w14:textId="359415FD" w:rsidR="006E4AAD" w:rsidRDefault="00A1102D">
      <w:pPr>
        <w:pStyle w:val="TOC2"/>
        <w:rPr>
          <w:rFonts w:asciiTheme="minorHAnsi" w:eastAsiaTheme="minorEastAsia" w:hAnsiTheme="minorHAnsi"/>
          <w:noProof/>
          <w:color w:val="auto"/>
          <w:lang w:eastAsia="en-AU"/>
        </w:rPr>
      </w:pPr>
      <w:hyperlink w:anchor="_Toc13225530" w:history="1">
        <w:r w:rsidR="006E4AAD" w:rsidRPr="009764D7">
          <w:rPr>
            <w:rStyle w:val="Hyperlink"/>
            <w:noProof/>
            <w14:scene3d>
              <w14:camera w14:prst="orthographicFront"/>
              <w14:lightRig w14:rig="threePt" w14:dir="t">
                <w14:rot w14:lat="0" w14:lon="0" w14:rev="0"/>
              </w14:lightRig>
            </w14:scene3d>
          </w:rPr>
          <w:t>2.1</w:t>
        </w:r>
        <w:r w:rsidR="006E4AAD">
          <w:rPr>
            <w:rFonts w:asciiTheme="minorHAnsi" w:eastAsiaTheme="minorEastAsia" w:hAnsiTheme="minorHAnsi"/>
            <w:noProof/>
            <w:color w:val="auto"/>
            <w:lang w:eastAsia="en-AU"/>
          </w:rPr>
          <w:tab/>
        </w:r>
        <w:r w:rsidR="006E4AAD" w:rsidRPr="009764D7">
          <w:rPr>
            <w:rStyle w:val="Hyperlink"/>
            <w:noProof/>
          </w:rPr>
          <w:t>Overview of the approach to the projections</w:t>
        </w:r>
        <w:r w:rsidR="006E4AAD">
          <w:rPr>
            <w:noProof/>
            <w:webHidden/>
          </w:rPr>
          <w:tab/>
        </w:r>
        <w:r w:rsidR="006E4AAD">
          <w:rPr>
            <w:noProof/>
            <w:webHidden/>
          </w:rPr>
          <w:fldChar w:fldCharType="begin"/>
        </w:r>
        <w:r w:rsidR="006E4AAD">
          <w:rPr>
            <w:noProof/>
            <w:webHidden/>
          </w:rPr>
          <w:instrText xml:space="preserve"> PAGEREF _Toc13225530 \h </w:instrText>
        </w:r>
        <w:r w:rsidR="006E4AAD">
          <w:rPr>
            <w:noProof/>
            <w:webHidden/>
          </w:rPr>
        </w:r>
        <w:r w:rsidR="006E4AAD">
          <w:rPr>
            <w:noProof/>
            <w:webHidden/>
          </w:rPr>
          <w:fldChar w:fldCharType="separate"/>
        </w:r>
        <w:r w:rsidR="00EB634D">
          <w:rPr>
            <w:noProof/>
            <w:webHidden/>
          </w:rPr>
          <w:t>6</w:t>
        </w:r>
        <w:r w:rsidR="006E4AAD">
          <w:rPr>
            <w:noProof/>
            <w:webHidden/>
          </w:rPr>
          <w:fldChar w:fldCharType="end"/>
        </w:r>
      </w:hyperlink>
    </w:p>
    <w:p w14:paraId="70E9C037" w14:textId="14A5732F" w:rsidR="006E4AAD" w:rsidRDefault="00A1102D">
      <w:pPr>
        <w:pStyle w:val="TOC2"/>
        <w:rPr>
          <w:rFonts w:asciiTheme="minorHAnsi" w:eastAsiaTheme="minorEastAsia" w:hAnsiTheme="minorHAnsi"/>
          <w:noProof/>
          <w:color w:val="auto"/>
          <w:lang w:eastAsia="en-AU"/>
        </w:rPr>
      </w:pPr>
      <w:hyperlink w:anchor="_Toc13225531" w:history="1">
        <w:r w:rsidR="006E4AAD" w:rsidRPr="009764D7">
          <w:rPr>
            <w:rStyle w:val="Hyperlink"/>
            <w:noProof/>
            <w14:scene3d>
              <w14:camera w14:prst="orthographicFront"/>
              <w14:lightRig w14:rig="threePt" w14:dir="t">
                <w14:rot w14:lat="0" w14:lon="0" w14:rev="0"/>
              </w14:lightRig>
            </w14:scene3d>
          </w:rPr>
          <w:t>2.2</w:t>
        </w:r>
        <w:r w:rsidR="006E4AAD">
          <w:rPr>
            <w:rFonts w:asciiTheme="minorHAnsi" w:eastAsiaTheme="minorEastAsia" w:hAnsiTheme="minorHAnsi"/>
            <w:noProof/>
            <w:color w:val="auto"/>
            <w:lang w:eastAsia="en-AU"/>
          </w:rPr>
          <w:tab/>
        </w:r>
        <w:r w:rsidR="006E4AAD" w:rsidRPr="009764D7">
          <w:rPr>
            <w:rStyle w:val="Hyperlink"/>
            <w:noProof/>
          </w:rPr>
          <w:t>Waste groups</w:t>
        </w:r>
        <w:r w:rsidR="006E4AAD">
          <w:rPr>
            <w:noProof/>
            <w:webHidden/>
          </w:rPr>
          <w:tab/>
        </w:r>
        <w:r w:rsidR="006E4AAD">
          <w:rPr>
            <w:noProof/>
            <w:webHidden/>
          </w:rPr>
          <w:fldChar w:fldCharType="begin"/>
        </w:r>
        <w:r w:rsidR="006E4AAD">
          <w:rPr>
            <w:noProof/>
            <w:webHidden/>
          </w:rPr>
          <w:instrText xml:space="preserve"> PAGEREF _Toc13225531 \h </w:instrText>
        </w:r>
        <w:r w:rsidR="006E4AAD">
          <w:rPr>
            <w:noProof/>
            <w:webHidden/>
          </w:rPr>
        </w:r>
        <w:r w:rsidR="006E4AAD">
          <w:rPr>
            <w:noProof/>
            <w:webHidden/>
          </w:rPr>
          <w:fldChar w:fldCharType="separate"/>
        </w:r>
        <w:r w:rsidR="00EB634D">
          <w:rPr>
            <w:noProof/>
            <w:webHidden/>
          </w:rPr>
          <w:t>6</w:t>
        </w:r>
        <w:r w:rsidR="006E4AAD">
          <w:rPr>
            <w:noProof/>
            <w:webHidden/>
          </w:rPr>
          <w:fldChar w:fldCharType="end"/>
        </w:r>
      </w:hyperlink>
    </w:p>
    <w:p w14:paraId="527FE528" w14:textId="0ACE6730" w:rsidR="006E4AAD" w:rsidRDefault="00A1102D">
      <w:pPr>
        <w:pStyle w:val="TOC2"/>
        <w:rPr>
          <w:rFonts w:asciiTheme="minorHAnsi" w:eastAsiaTheme="minorEastAsia" w:hAnsiTheme="minorHAnsi"/>
          <w:noProof/>
          <w:color w:val="auto"/>
          <w:lang w:eastAsia="en-AU"/>
        </w:rPr>
      </w:pPr>
      <w:hyperlink w:anchor="_Toc13225532" w:history="1">
        <w:r w:rsidR="006E4AAD" w:rsidRPr="009764D7">
          <w:rPr>
            <w:rStyle w:val="Hyperlink"/>
            <w:noProof/>
            <w14:scene3d>
              <w14:camera w14:prst="orthographicFront"/>
              <w14:lightRig w14:rig="threePt" w14:dir="t">
                <w14:rot w14:lat="0" w14:lon="0" w14:rev="0"/>
              </w14:lightRig>
            </w14:scene3d>
          </w:rPr>
          <w:t>2.3</w:t>
        </w:r>
        <w:r w:rsidR="006E4AAD">
          <w:rPr>
            <w:rFonts w:asciiTheme="minorHAnsi" w:eastAsiaTheme="minorEastAsia" w:hAnsiTheme="minorHAnsi"/>
            <w:noProof/>
            <w:color w:val="auto"/>
            <w:lang w:eastAsia="en-AU"/>
          </w:rPr>
          <w:tab/>
        </w:r>
        <w:r w:rsidR="006E4AAD" w:rsidRPr="009764D7">
          <w:rPr>
            <w:rStyle w:val="Hyperlink"/>
            <w:noProof/>
          </w:rPr>
          <w:t>Data inputs to the projections</w:t>
        </w:r>
        <w:r w:rsidR="006E4AAD">
          <w:rPr>
            <w:noProof/>
            <w:webHidden/>
          </w:rPr>
          <w:tab/>
        </w:r>
        <w:r w:rsidR="006E4AAD">
          <w:rPr>
            <w:noProof/>
            <w:webHidden/>
          </w:rPr>
          <w:fldChar w:fldCharType="begin"/>
        </w:r>
        <w:r w:rsidR="006E4AAD">
          <w:rPr>
            <w:noProof/>
            <w:webHidden/>
          </w:rPr>
          <w:instrText xml:space="preserve"> PAGEREF _Toc13225532 \h </w:instrText>
        </w:r>
        <w:r w:rsidR="006E4AAD">
          <w:rPr>
            <w:noProof/>
            <w:webHidden/>
          </w:rPr>
        </w:r>
        <w:r w:rsidR="006E4AAD">
          <w:rPr>
            <w:noProof/>
            <w:webHidden/>
          </w:rPr>
          <w:fldChar w:fldCharType="separate"/>
        </w:r>
        <w:r w:rsidR="00EB634D">
          <w:rPr>
            <w:noProof/>
            <w:webHidden/>
          </w:rPr>
          <w:t>9</w:t>
        </w:r>
        <w:r w:rsidR="006E4AAD">
          <w:rPr>
            <w:noProof/>
            <w:webHidden/>
          </w:rPr>
          <w:fldChar w:fldCharType="end"/>
        </w:r>
      </w:hyperlink>
    </w:p>
    <w:p w14:paraId="0F870E05" w14:textId="1D2A8C5F" w:rsidR="006E4AAD" w:rsidRDefault="00A1102D">
      <w:pPr>
        <w:pStyle w:val="TOC2"/>
        <w:rPr>
          <w:rFonts w:asciiTheme="minorHAnsi" w:eastAsiaTheme="minorEastAsia" w:hAnsiTheme="minorHAnsi"/>
          <w:noProof/>
          <w:color w:val="auto"/>
          <w:lang w:eastAsia="en-AU"/>
        </w:rPr>
      </w:pPr>
      <w:hyperlink w:anchor="_Toc13225533" w:history="1">
        <w:r w:rsidR="006E4AAD" w:rsidRPr="009764D7">
          <w:rPr>
            <w:rStyle w:val="Hyperlink"/>
            <w:noProof/>
            <w14:scene3d>
              <w14:camera w14:prst="orthographicFront"/>
              <w14:lightRig w14:rig="threePt" w14:dir="t">
                <w14:rot w14:lat="0" w14:lon="0" w14:rev="0"/>
              </w14:lightRig>
            </w14:scene3d>
          </w:rPr>
          <w:t>2.4</w:t>
        </w:r>
        <w:r w:rsidR="006E4AAD">
          <w:rPr>
            <w:rFonts w:asciiTheme="minorHAnsi" w:eastAsiaTheme="minorEastAsia" w:hAnsiTheme="minorHAnsi"/>
            <w:noProof/>
            <w:color w:val="auto"/>
            <w:lang w:eastAsia="en-AU"/>
          </w:rPr>
          <w:tab/>
        </w:r>
        <w:r w:rsidR="006E4AAD" w:rsidRPr="009764D7">
          <w:rPr>
            <w:rStyle w:val="Hyperlink"/>
            <w:noProof/>
          </w:rPr>
          <w:t>Establishing the starting point</w:t>
        </w:r>
        <w:r w:rsidR="006E4AAD">
          <w:rPr>
            <w:noProof/>
            <w:webHidden/>
          </w:rPr>
          <w:tab/>
        </w:r>
        <w:r w:rsidR="006E4AAD">
          <w:rPr>
            <w:noProof/>
            <w:webHidden/>
          </w:rPr>
          <w:fldChar w:fldCharType="begin"/>
        </w:r>
        <w:r w:rsidR="006E4AAD">
          <w:rPr>
            <w:noProof/>
            <w:webHidden/>
          </w:rPr>
          <w:instrText xml:space="preserve"> PAGEREF _Toc13225533 \h </w:instrText>
        </w:r>
        <w:r w:rsidR="006E4AAD">
          <w:rPr>
            <w:noProof/>
            <w:webHidden/>
          </w:rPr>
        </w:r>
        <w:r w:rsidR="006E4AAD">
          <w:rPr>
            <w:noProof/>
            <w:webHidden/>
          </w:rPr>
          <w:fldChar w:fldCharType="separate"/>
        </w:r>
        <w:r w:rsidR="00EB634D">
          <w:rPr>
            <w:noProof/>
            <w:webHidden/>
          </w:rPr>
          <w:t>11</w:t>
        </w:r>
        <w:r w:rsidR="006E4AAD">
          <w:rPr>
            <w:noProof/>
            <w:webHidden/>
          </w:rPr>
          <w:fldChar w:fldCharType="end"/>
        </w:r>
      </w:hyperlink>
    </w:p>
    <w:p w14:paraId="4B318B2A" w14:textId="38AF29C5" w:rsidR="006E4AAD" w:rsidRDefault="00A1102D">
      <w:pPr>
        <w:pStyle w:val="TOC2"/>
        <w:rPr>
          <w:rFonts w:asciiTheme="minorHAnsi" w:eastAsiaTheme="minorEastAsia" w:hAnsiTheme="minorHAnsi"/>
          <w:noProof/>
          <w:color w:val="auto"/>
          <w:lang w:eastAsia="en-AU"/>
        </w:rPr>
      </w:pPr>
      <w:hyperlink w:anchor="_Toc13225534" w:history="1">
        <w:r w:rsidR="006E4AAD" w:rsidRPr="009764D7">
          <w:rPr>
            <w:rStyle w:val="Hyperlink"/>
            <w:noProof/>
            <w14:scene3d>
              <w14:camera w14:prst="orthographicFront"/>
              <w14:lightRig w14:rig="threePt" w14:dir="t">
                <w14:rot w14:lat="0" w14:lon="0" w14:rev="0"/>
              </w14:lightRig>
            </w14:scene3d>
          </w:rPr>
          <w:t>2.5</w:t>
        </w:r>
        <w:r w:rsidR="006E4AAD">
          <w:rPr>
            <w:rFonts w:asciiTheme="minorHAnsi" w:eastAsiaTheme="minorEastAsia" w:hAnsiTheme="minorHAnsi"/>
            <w:noProof/>
            <w:color w:val="auto"/>
            <w:lang w:eastAsia="en-AU"/>
          </w:rPr>
          <w:tab/>
        </w:r>
        <w:r w:rsidR="006E4AAD" w:rsidRPr="009764D7">
          <w:rPr>
            <w:rStyle w:val="Hyperlink"/>
            <w:noProof/>
          </w:rPr>
          <w:t>Scenarios for hazardous wastes arising</w:t>
        </w:r>
        <w:r w:rsidR="006E4AAD">
          <w:rPr>
            <w:noProof/>
            <w:webHidden/>
          </w:rPr>
          <w:tab/>
        </w:r>
        <w:r w:rsidR="006E4AAD">
          <w:rPr>
            <w:noProof/>
            <w:webHidden/>
          </w:rPr>
          <w:fldChar w:fldCharType="begin"/>
        </w:r>
        <w:r w:rsidR="006E4AAD">
          <w:rPr>
            <w:noProof/>
            <w:webHidden/>
          </w:rPr>
          <w:instrText xml:space="preserve"> PAGEREF _Toc13225534 \h </w:instrText>
        </w:r>
        <w:r w:rsidR="006E4AAD">
          <w:rPr>
            <w:noProof/>
            <w:webHidden/>
          </w:rPr>
        </w:r>
        <w:r w:rsidR="006E4AAD">
          <w:rPr>
            <w:noProof/>
            <w:webHidden/>
          </w:rPr>
          <w:fldChar w:fldCharType="separate"/>
        </w:r>
        <w:r w:rsidR="00EB634D">
          <w:rPr>
            <w:noProof/>
            <w:webHidden/>
          </w:rPr>
          <w:t>13</w:t>
        </w:r>
        <w:r w:rsidR="006E4AAD">
          <w:rPr>
            <w:noProof/>
            <w:webHidden/>
          </w:rPr>
          <w:fldChar w:fldCharType="end"/>
        </w:r>
      </w:hyperlink>
    </w:p>
    <w:p w14:paraId="46B4B0AF" w14:textId="2D8999E7" w:rsidR="006E4AAD" w:rsidRDefault="00A1102D">
      <w:pPr>
        <w:pStyle w:val="TOC2"/>
        <w:rPr>
          <w:rFonts w:asciiTheme="minorHAnsi" w:eastAsiaTheme="minorEastAsia" w:hAnsiTheme="minorHAnsi"/>
          <w:noProof/>
          <w:color w:val="auto"/>
          <w:lang w:eastAsia="en-AU"/>
        </w:rPr>
      </w:pPr>
      <w:hyperlink w:anchor="_Toc13225535" w:history="1">
        <w:r w:rsidR="006E4AAD" w:rsidRPr="009764D7">
          <w:rPr>
            <w:rStyle w:val="Hyperlink"/>
            <w:noProof/>
            <w14:scene3d>
              <w14:camera w14:prst="orthographicFront"/>
              <w14:lightRig w14:rig="threePt" w14:dir="t">
                <w14:rot w14:lat="0" w14:lon="0" w14:rev="0"/>
              </w14:lightRig>
            </w14:scene3d>
          </w:rPr>
          <w:t>2.6</w:t>
        </w:r>
        <w:r w:rsidR="006E4AAD">
          <w:rPr>
            <w:rFonts w:asciiTheme="minorHAnsi" w:eastAsiaTheme="minorEastAsia" w:hAnsiTheme="minorHAnsi"/>
            <w:noProof/>
            <w:color w:val="auto"/>
            <w:lang w:eastAsia="en-AU"/>
          </w:rPr>
          <w:tab/>
        </w:r>
        <w:r w:rsidR="006E4AAD" w:rsidRPr="009764D7">
          <w:rPr>
            <w:rStyle w:val="Hyperlink"/>
            <w:noProof/>
          </w:rPr>
          <w:t>Comparison of the differences between these projections and those prepared in 2014-15</w:t>
        </w:r>
        <w:r w:rsidR="006E4AAD">
          <w:rPr>
            <w:noProof/>
            <w:webHidden/>
          </w:rPr>
          <w:tab/>
        </w:r>
        <w:r w:rsidR="006E4AAD">
          <w:rPr>
            <w:noProof/>
            <w:webHidden/>
          </w:rPr>
          <w:fldChar w:fldCharType="begin"/>
        </w:r>
        <w:r w:rsidR="006E4AAD">
          <w:rPr>
            <w:noProof/>
            <w:webHidden/>
          </w:rPr>
          <w:instrText xml:space="preserve"> PAGEREF _Toc13225535 \h </w:instrText>
        </w:r>
        <w:r w:rsidR="006E4AAD">
          <w:rPr>
            <w:noProof/>
            <w:webHidden/>
          </w:rPr>
        </w:r>
        <w:r w:rsidR="006E4AAD">
          <w:rPr>
            <w:noProof/>
            <w:webHidden/>
          </w:rPr>
          <w:fldChar w:fldCharType="separate"/>
        </w:r>
        <w:r w:rsidR="00EB634D">
          <w:rPr>
            <w:noProof/>
            <w:webHidden/>
          </w:rPr>
          <w:t>19</w:t>
        </w:r>
        <w:r w:rsidR="006E4AAD">
          <w:rPr>
            <w:noProof/>
            <w:webHidden/>
          </w:rPr>
          <w:fldChar w:fldCharType="end"/>
        </w:r>
      </w:hyperlink>
    </w:p>
    <w:p w14:paraId="1CEB0F08" w14:textId="03559412" w:rsidR="006E4AAD" w:rsidRDefault="00A1102D">
      <w:pPr>
        <w:pStyle w:val="TOC2"/>
        <w:rPr>
          <w:rFonts w:asciiTheme="minorHAnsi" w:eastAsiaTheme="minorEastAsia" w:hAnsiTheme="minorHAnsi"/>
          <w:noProof/>
          <w:color w:val="auto"/>
          <w:lang w:eastAsia="en-AU"/>
        </w:rPr>
      </w:pPr>
      <w:hyperlink w:anchor="_Toc13225536" w:history="1">
        <w:r w:rsidR="006E4AAD" w:rsidRPr="009764D7">
          <w:rPr>
            <w:rStyle w:val="Hyperlink"/>
            <w:noProof/>
            <w14:scene3d>
              <w14:camera w14:prst="orthographicFront"/>
              <w14:lightRig w14:rig="threePt" w14:dir="t">
                <w14:rot w14:lat="0" w14:lon="0" w14:rev="0"/>
              </w14:lightRig>
            </w14:scene3d>
          </w:rPr>
          <w:t>2.7</w:t>
        </w:r>
        <w:r w:rsidR="006E4AAD">
          <w:rPr>
            <w:rFonts w:asciiTheme="minorHAnsi" w:eastAsiaTheme="minorEastAsia" w:hAnsiTheme="minorHAnsi"/>
            <w:noProof/>
            <w:color w:val="auto"/>
            <w:lang w:eastAsia="en-AU"/>
          </w:rPr>
          <w:tab/>
        </w:r>
        <w:r w:rsidR="006E4AAD" w:rsidRPr="009764D7">
          <w:rPr>
            <w:rStyle w:val="Hyperlink"/>
            <w:noProof/>
          </w:rPr>
          <w:t>Projections of hazardous waste arising by group</w:t>
        </w:r>
        <w:r w:rsidR="006E4AAD">
          <w:rPr>
            <w:noProof/>
            <w:webHidden/>
          </w:rPr>
          <w:tab/>
        </w:r>
        <w:r w:rsidR="006E4AAD">
          <w:rPr>
            <w:noProof/>
            <w:webHidden/>
          </w:rPr>
          <w:fldChar w:fldCharType="begin"/>
        </w:r>
        <w:r w:rsidR="006E4AAD">
          <w:rPr>
            <w:noProof/>
            <w:webHidden/>
          </w:rPr>
          <w:instrText xml:space="preserve"> PAGEREF _Toc13225536 \h </w:instrText>
        </w:r>
        <w:r w:rsidR="006E4AAD">
          <w:rPr>
            <w:noProof/>
            <w:webHidden/>
          </w:rPr>
        </w:r>
        <w:r w:rsidR="006E4AAD">
          <w:rPr>
            <w:noProof/>
            <w:webHidden/>
          </w:rPr>
          <w:fldChar w:fldCharType="separate"/>
        </w:r>
        <w:r w:rsidR="00EB634D">
          <w:rPr>
            <w:noProof/>
            <w:webHidden/>
          </w:rPr>
          <w:t>22</w:t>
        </w:r>
        <w:r w:rsidR="006E4AAD">
          <w:rPr>
            <w:noProof/>
            <w:webHidden/>
          </w:rPr>
          <w:fldChar w:fldCharType="end"/>
        </w:r>
      </w:hyperlink>
    </w:p>
    <w:p w14:paraId="00AC5723" w14:textId="6E8CCC29" w:rsidR="006E4AAD" w:rsidRDefault="00A1102D">
      <w:pPr>
        <w:pStyle w:val="TOC2"/>
        <w:rPr>
          <w:rFonts w:asciiTheme="minorHAnsi" w:eastAsiaTheme="minorEastAsia" w:hAnsiTheme="minorHAnsi"/>
          <w:noProof/>
          <w:color w:val="auto"/>
          <w:lang w:eastAsia="en-AU"/>
        </w:rPr>
      </w:pPr>
      <w:hyperlink w:anchor="_Toc13225537" w:history="1">
        <w:r w:rsidR="006E4AAD" w:rsidRPr="009764D7">
          <w:rPr>
            <w:rStyle w:val="Hyperlink"/>
            <w:noProof/>
            <w14:scene3d>
              <w14:camera w14:prst="orthographicFront"/>
              <w14:lightRig w14:rig="threePt" w14:dir="t">
                <w14:rot w14:lat="0" w14:lon="0" w14:rev="0"/>
              </w14:lightRig>
            </w14:scene3d>
          </w:rPr>
          <w:t>2.8</w:t>
        </w:r>
        <w:r w:rsidR="006E4AAD">
          <w:rPr>
            <w:rFonts w:asciiTheme="minorHAnsi" w:eastAsiaTheme="minorEastAsia" w:hAnsiTheme="minorHAnsi"/>
            <w:noProof/>
            <w:color w:val="auto"/>
            <w:lang w:eastAsia="en-AU"/>
          </w:rPr>
          <w:tab/>
        </w:r>
        <w:r w:rsidR="006E4AAD" w:rsidRPr="009764D7">
          <w:rPr>
            <w:rStyle w:val="Hyperlink"/>
            <w:noProof/>
          </w:rPr>
          <w:t>Management of hazardous waste</w:t>
        </w:r>
        <w:r w:rsidR="006E4AAD">
          <w:rPr>
            <w:noProof/>
            <w:webHidden/>
          </w:rPr>
          <w:tab/>
        </w:r>
        <w:r w:rsidR="006E4AAD">
          <w:rPr>
            <w:noProof/>
            <w:webHidden/>
          </w:rPr>
          <w:fldChar w:fldCharType="begin"/>
        </w:r>
        <w:r w:rsidR="006E4AAD">
          <w:rPr>
            <w:noProof/>
            <w:webHidden/>
          </w:rPr>
          <w:instrText xml:space="preserve"> PAGEREF _Toc13225537 \h </w:instrText>
        </w:r>
        <w:r w:rsidR="006E4AAD">
          <w:rPr>
            <w:noProof/>
            <w:webHidden/>
          </w:rPr>
        </w:r>
        <w:r w:rsidR="006E4AAD">
          <w:rPr>
            <w:noProof/>
            <w:webHidden/>
          </w:rPr>
          <w:fldChar w:fldCharType="separate"/>
        </w:r>
        <w:r w:rsidR="00EB634D">
          <w:rPr>
            <w:noProof/>
            <w:webHidden/>
          </w:rPr>
          <w:t>76</w:t>
        </w:r>
        <w:r w:rsidR="006E4AAD">
          <w:rPr>
            <w:noProof/>
            <w:webHidden/>
          </w:rPr>
          <w:fldChar w:fldCharType="end"/>
        </w:r>
      </w:hyperlink>
    </w:p>
    <w:p w14:paraId="6E979A27" w14:textId="3A57FD17" w:rsidR="006E4AAD" w:rsidRDefault="00A1102D">
      <w:pPr>
        <w:pStyle w:val="TOC1"/>
        <w:rPr>
          <w:rFonts w:asciiTheme="minorHAnsi" w:eastAsiaTheme="minorEastAsia" w:hAnsiTheme="minorHAnsi"/>
          <w:b w:val="0"/>
          <w:noProof/>
          <w:color w:val="auto"/>
          <w:lang w:eastAsia="en-AU"/>
        </w:rPr>
      </w:pPr>
      <w:hyperlink w:anchor="_Toc13225538" w:history="1">
        <w:r w:rsidR="006E4AAD" w:rsidRPr="009764D7">
          <w:rPr>
            <w:rStyle w:val="Hyperlink"/>
            <w:noProof/>
          </w:rPr>
          <w:t>3.</w:t>
        </w:r>
        <w:r w:rsidR="006E4AAD">
          <w:rPr>
            <w:rFonts w:asciiTheme="minorHAnsi" w:eastAsiaTheme="minorEastAsia" w:hAnsiTheme="minorHAnsi"/>
            <w:b w:val="0"/>
            <w:noProof/>
            <w:color w:val="auto"/>
            <w:lang w:eastAsia="en-AU"/>
          </w:rPr>
          <w:tab/>
        </w:r>
        <w:r w:rsidR="006E4AAD" w:rsidRPr="009764D7">
          <w:rPr>
            <w:rStyle w:val="Hyperlink"/>
            <w:noProof/>
          </w:rPr>
          <w:t>Hazardous waste infrastructure assessment</w:t>
        </w:r>
        <w:r w:rsidR="006E4AAD">
          <w:rPr>
            <w:noProof/>
            <w:webHidden/>
          </w:rPr>
          <w:tab/>
        </w:r>
        <w:r w:rsidR="006E4AAD">
          <w:rPr>
            <w:noProof/>
            <w:webHidden/>
          </w:rPr>
          <w:fldChar w:fldCharType="begin"/>
        </w:r>
        <w:r w:rsidR="006E4AAD">
          <w:rPr>
            <w:noProof/>
            <w:webHidden/>
          </w:rPr>
          <w:instrText xml:space="preserve"> PAGEREF _Toc13225538 \h </w:instrText>
        </w:r>
        <w:r w:rsidR="006E4AAD">
          <w:rPr>
            <w:noProof/>
            <w:webHidden/>
          </w:rPr>
        </w:r>
        <w:r w:rsidR="006E4AAD">
          <w:rPr>
            <w:noProof/>
            <w:webHidden/>
          </w:rPr>
          <w:fldChar w:fldCharType="separate"/>
        </w:r>
        <w:r w:rsidR="00EB634D">
          <w:rPr>
            <w:noProof/>
            <w:webHidden/>
          </w:rPr>
          <w:t>84</w:t>
        </w:r>
        <w:r w:rsidR="006E4AAD">
          <w:rPr>
            <w:noProof/>
            <w:webHidden/>
          </w:rPr>
          <w:fldChar w:fldCharType="end"/>
        </w:r>
      </w:hyperlink>
    </w:p>
    <w:p w14:paraId="4901AC1A" w14:textId="62437B0D" w:rsidR="006E4AAD" w:rsidRDefault="00A1102D">
      <w:pPr>
        <w:pStyle w:val="TOC2"/>
        <w:rPr>
          <w:rFonts w:asciiTheme="minorHAnsi" w:eastAsiaTheme="minorEastAsia" w:hAnsiTheme="minorHAnsi"/>
          <w:noProof/>
          <w:color w:val="auto"/>
          <w:lang w:eastAsia="en-AU"/>
        </w:rPr>
      </w:pPr>
      <w:hyperlink w:anchor="_Toc13225539" w:history="1">
        <w:r w:rsidR="006E4AAD" w:rsidRPr="009764D7">
          <w:rPr>
            <w:rStyle w:val="Hyperlink"/>
            <w:noProof/>
            <w14:scene3d>
              <w14:camera w14:prst="orthographicFront"/>
              <w14:lightRig w14:rig="threePt" w14:dir="t">
                <w14:rot w14:lat="0" w14:lon="0" w14:rev="0"/>
              </w14:lightRig>
            </w14:scene3d>
          </w:rPr>
          <w:t>3.1</w:t>
        </w:r>
        <w:r w:rsidR="006E4AAD">
          <w:rPr>
            <w:rFonts w:asciiTheme="minorHAnsi" w:eastAsiaTheme="minorEastAsia" w:hAnsiTheme="minorHAnsi"/>
            <w:noProof/>
            <w:color w:val="auto"/>
            <w:lang w:eastAsia="en-AU"/>
          </w:rPr>
          <w:tab/>
        </w:r>
        <w:r w:rsidR="006E4AAD" w:rsidRPr="009764D7">
          <w:rPr>
            <w:rStyle w:val="Hyperlink"/>
            <w:noProof/>
          </w:rPr>
          <w:t>Scope of infrastructure assessment</w:t>
        </w:r>
        <w:r w:rsidR="006E4AAD">
          <w:rPr>
            <w:noProof/>
            <w:webHidden/>
          </w:rPr>
          <w:tab/>
        </w:r>
        <w:r w:rsidR="006E4AAD">
          <w:rPr>
            <w:noProof/>
            <w:webHidden/>
          </w:rPr>
          <w:fldChar w:fldCharType="begin"/>
        </w:r>
        <w:r w:rsidR="006E4AAD">
          <w:rPr>
            <w:noProof/>
            <w:webHidden/>
          </w:rPr>
          <w:instrText xml:space="preserve"> PAGEREF _Toc13225539 \h </w:instrText>
        </w:r>
        <w:r w:rsidR="006E4AAD">
          <w:rPr>
            <w:noProof/>
            <w:webHidden/>
          </w:rPr>
        </w:r>
        <w:r w:rsidR="006E4AAD">
          <w:rPr>
            <w:noProof/>
            <w:webHidden/>
          </w:rPr>
          <w:fldChar w:fldCharType="separate"/>
        </w:r>
        <w:r w:rsidR="00EB634D">
          <w:rPr>
            <w:noProof/>
            <w:webHidden/>
          </w:rPr>
          <w:t>84</w:t>
        </w:r>
        <w:r w:rsidR="006E4AAD">
          <w:rPr>
            <w:noProof/>
            <w:webHidden/>
          </w:rPr>
          <w:fldChar w:fldCharType="end"/>
        </w:r>
      </w:hyperlink>
    </w:p>
    <w:p w14:paraId="6034300B" w14:textId="624F958E" w:rsidR="006E4AAD" w:rsidRDefault="00A1102D">
      <w:pPr>
        <w:pStyle w:val="TOC2"/>
        <w:rPr>
          <w:rFonts w:asciiTheme="minorHAnsi" w:eastAsiaTheme="minorEastAsia" w:hAnsiTheme="minorHAnsi"/>
          <w:noProof/>
          <w:color w:val="auto"/>
          <w:lang w:eastAsia="en-AU"/>
        </w:rPr>
      </w:pPr>
      <w:hyperlink w:anchor="_Toc13225540" w:history="1">
        <w:r w:rsidR="006E4AAD" w:rsidRPr="009764D7">
          <w:rPr>
            <w:rStyle w:val="Hyperlink"/>
            <w:noProof/>
            <w14:scene3d>
              <w14:camera w14:prst="orthographicFront"/>
              <w14:lightRig w14:rig="threePt" w14:dir="t">
                <w14:rot w14:lat="0" w14:lon="0" w14:rev="0"/>
              </w14:lightRig>
            </w14:scene3d>
          </w:rPr>
          <w:t>3.2</w:t>
        </w:r>
        <w:r w:rsidR="006E4AAD">
          <w:rPr>
            <w:rFonts w:asciiTheme="minorHAnsi" w:eastAsiaTheme="minorEastAsia" w:hAnsiTheme="minorHAnsi"/>
            <w:noProof/>
            <w:color w:val="auto"/>
            <w:lang w:eastAsia="en-AU"/>
          </w:rPr>
          <w:tab/>
        </w:r>
        <w:r w:rsidR="006E4AAD" w:rsidRPr="009764D7">
          <w:rPr>
            <w:rStyle w:val="Hyperlink"/>
            <w:noProof/>
          </w:rPr>
          <w:t>Infrastructure groups</w:t>
        </w:r>
        <w:r w:rsidR="006E4AAD">
          <w:rPr>
            <w:noProof/>
            <w:webHidden/>
          </w:rPr>
          <w:tab/>
        </w:r>
        <w:r w:rsidR="006E4AAD">
          <w:rPr>
            <w:noProof/>
            <w:webHidden/>
          </w:rPr>
          <w:fldChar w:fldCharType="begin"/>
        </w:r>
        <w:r w:rsidR="006E4AAD">
          <w:rPr>
            <w:noProof/>
            <w:webHidden/>
          </w:rPr>
          <w:instrText xml:space="preserve"> PAGEREF _Toc13225540 \h </w:instrText>
        </w:r>
        <w:r w:rsidR="006E4AAD">
          <w:rPr>
            <w:noProof/>
            <w:webHidden/>
          </w:rPr>
        </w:r>
        <w:r w:rsidR="006E4AAD">
          <w:rPr>
            <w:noProof/>
            <w:webHidden/>
          </w:rPr>
          <w:fldChar w:fldCharType="separate"/>
        </w:r>
        <w:r w:rsidR="00EB634D">
          <w:rPr>
            <w:noProof/>
            <w:webHidden/>
          </w:rPr>
          <w:t>85</w:t>
        </w:r>
        <w:r w:rsidR="006E4AAD">
          <w:rPr>
            <w:noProof/>
            <w:webHidden/>
          </w:rPr>
          <w:fldChar w:fldCharType="end"/>
        </w:r>
      </w:hyperlink>
    </w:p>
    <w:p w14:paraId="4D240497" w14:textId="28FC46B0" w:rsidR="006E4AAD" w:rsidRDefault="00A1102D">
      <w:pPr>
        <w:pStyle w:val="TOC2"/>
        <w:rPr>
          <w:rFonts w:asciiTheme="minorHAnsi" w:eastAsiaTheme="minorEastAsia" w:hAnsiTheme="minorHAnsi"/>
          <w:noProof/>
          <w:color w:val="auto"/>
          <w:lang w:eastAsia="en-AU"/>
        </w:rPr>
      </w:pPr>
      <w:hyperlink w:anchor="_Toc13225541" w:history="1">
        <w:r w:rsidR="006E4AAD" w:rsidRPr="009764D7">
          <w:rPr>
            <w:rStyle w:val="Hyperlink"/>
            <w:noProof/>
            <w14:scene3d>
              <w14:camera w14:prst="orthographicFront"/>
              <w14:lightRig w14:rig="threePt" w14:dir="t">
                <w14:rot w14:lat="0" w14:lon="0" w14:rev="0"/>
              </w14:lightRig>
            </w14:scene3d>
          </w:rPr>
          <w:t>3.3</w:t>
        </w:r>
        <w:r w:rsidR="006E4AAD">
          <w:rPr>
            <w:rFonts w:asciiTheme="minorHAnsi" w:eastAsiaTheme="minorEastAsia" w:hAnsiTheme="minorHAnsi"/>
            <w:noProof/>
            <w:color w:val="auto"/>
            <w:lang w:eastAsia="en-AU"/>
          </w:rPr>
          <w:tab/>
        </w:r>
        <w:r w:rsidR="006E4AAD" w:rsidRPr="009764D7">
          <w:rPr>
            <w:rStyle w:val="Hyperlink"/>
            <w:noProof/>
          </w:rPr>
          <w:t>Industry consultation and database updates</w:t>
        </w:r>
        <w:r w:rsidR="006E4AAD">
          <w:rPr>
            <w:noProof/>
            <w:webHidden/>
          </w:rPr>
          <w:tab/>
        </w:r>
        <w:r w:rsidR="006E4AAD">
          <w:rPr>
            <w:noProof/>
            <w:webHidden/>
          </w:rPr>
          <w:fldChar w:fldCharType="begin"/>
        </w:r>
        <w:r w:rsidR="006E4AAD">
          <w:rPr>
            <w:noProof/>
            <w:webHidden/>
          </w:rPr>
          <w:instrText xml:space="preserve"> PAGEREF _Toc13225541 \h </w:instrText>
        </w:r>
        <w:r w:rsidR="006E4AAD">
          <w:rPr>
            <w:noProof/>
            <w:webHidden/>
          </w:rPr>
        </w:r>
        <w:r w:rsidR="006E4AAD">
          <w:rPr>
            <w:noProof/>
            <w:webHidden/>
          </w:rPr>
          <w:fldChar w:fldCharType="separate"/>
        </w:r>
        <w:r w:rsidR="00EB634D">
          <w:rPr>
            <w:noProof/>
            <w:webHidden/>
          </w:rPr>
          <w:t>88</w:t>
        </w:r>
        <w:r w:rsidR="006E4AAD">
          <w:rPr>
            <w:noProof/>
            <w:webHidden/>
          </w:rPr>
          <w:fldChar w:fldCharType="end"/>
        </w:r>
      </w:hyperlink>
    </w:p>
    <w:p w14:paraId="79D0F296" w14:textId="6EC19B94" w:rsidR="006E4AAD" w:rsidRDefault="00A1102D">
      <w:pPr>
        <w:pStyle w:val="TOC2"/>
        <w:rPr>
          <w:rFonts w:asciiTheme="minorHAnsi" w:eastAsiaTheme="minorEastAsia" w:hAnsiTheme="minorHAnsi"/>
          <w:noProof/>
          <w:color w:val="auto"/>
          <w:lang w:eastAsia="en-AU"/>
        </w:rPr>
      </w:pPr>
      <w:hyperlink w:anchor="_Toc13225542" w:history="1">
        <w:r w:rsidR="006E4AAD" w:rsidRPr="009764D7">
          <w:rPr>
            <w:rStyle w:val="Hyperlink"/>
            <w:noProof/>
            <w14:scene3d>
              <w14:camera w14:prst="orthographicFront"/>
              <w14:lightRig w14:rig="threePt" w14:dir="t">
                <w14:rot w14:lat="0" w14:lon="0" w14:rev="0"/>
              </w14:lightRig>
            </w14:scene3d>
          </w:rPr>
          <w:t>3.4</w:t>
        </w:r>
        <w:r w:rsidR="006E4AAD">
          <w:rPr>
            <w:rFonts w:asciiTheme="minorHAnsi" w:eastAsiaTheme="minorEastAsia" w:hAnsiTheme="minorHAnsi"/>
            <w:noProof/>
            <w:color w:val="auto"/>
            <w:lang w:eastAsia="en-AU"/>
          </w:rPr>
          <w:tab/>
        </w:r>
        <w:r w:rsidR="006E4AAD" w:rsidRPr="009764D7">
          <w:rPr>
            <w:rStyle w:val="Hyperlink"/>
            <w:noProof/>
          </w:rPr>
          <w:t>National capacity estimates of hazardous waste infrastructure</w:t>
        </w:r>
        <w:r w:rsidR="006E4AAD">
          <w:rPr>
            <w:noProof/>
            <w:webHidden/>
          </w:rPr>
          <w:tab/>
        </w:r>
        <w:r w:rsidR="006E4AAD">
          <w:rPr>
            <w:noProof/>
            <w:webHidden/>
          </w:rPr>
          <w:fldChar w:fldCharType="begin"/>
        </w:r>
        <w:r w:rsidR="006E4AAD">
          <w:rPr>
            <w:noProof/>
            <w:webHidden/>
          </w:rPr>
          <w:instrText xml:space="preserve"> PAGEREF _Toc13225542 \h </w:instrText>
        </w:r>
        <w:r w:rsidR="006E4AAD">
          <w:rPr>
            <w:noProof/>
            <w:webHidden/>
          </w:rPr>
        </w:r>
        <w:r w:rsidR="006E4AAD">
          <w:rPr>
            <w:noProof/>
            <w:webHidden/>
          </w:rPr>
          <w:fldChar w:fldCharType="separate"/>
        </w:r>
        <w:r w:rsidR="00EB634D">
          <w:rPr>
            <w:noProof/>
            <w:webHidden/>
          </w:rPr>
          <w:t>90</w:t>
        </w:r>
        <w:r w:rsidR="006E4AAD">
          <w:rPr>
            <w:noProof/>
            <w:webHidden/>
          </w:rPr>
          <w:fldChar w:fldCharType="end"/>
        </w:r>
      </w:hyperlink>
    </w:p>
    <w:p w14:paraId="5FF76D9C" w14:textId="3A63C47B" w:rsidR="006E4AAD" w:rsidRDefault="00A1102D">
      <w:pPr>
        <w:pStyle w:val="TOC2"/>
        <w:rPr>
          <w:rFonts w:asciiTheme="minorHAnsi" w:eastAsiaTheme="minorEastAsia" w:hAnsiTheme="minorHAnsi"/>
          <w:noProof/>
          <w:color w:val="auto"/>
          <w:lang w:eastAsia="en-AU"/>
        </w:rPr>
      </w:pPr>
      <w:hyperlink w:anchor="_Toc13225543" w:history="1">
        <w:r w:rsidR="006E4AAD" w:rsidRPr="009764D7">
          <w:rPr>
            <w:rStyle w:val="Hyperlink"/>
            <w:noProof/>
            <w14:scene3d>
              <w14:camera w14:prst="orthographicFront"/>
              <w14:lightRig w14:rig="threePt" w14:dir="t">
                <w14:rot w14:lat="0" w14:lon="0" w14:rev="0"/>
              </w14:lightRig>
            </w14:scene3d>
          </w:rPr>
          <w:t>3.5</w:t>
        </w:r>
        <w:r w:rsidR="006E4AAD">
          <w:rPr>
            <w:rFonts w:asciiTheme="minorHAnsi" w:eastAsiaTheme="minorEastAsia" w:hAnsiTheme="minorHAnsi"/>
            <w:noProof/>
            <w:color w:val="auto"/>
            <w:lang w:eastAsia="en-AU"/>
          </w:rPr>
          <w:tab/>
        </w:r>
        <w:r w:rsidR="006E4AAD" w:rsidRPr="009764D7">
          <w:rPr>
            <w:rStyle w:val="Hyperlink"/>
            <w:noProof/>
          </w:rPr>
          <w:t>Jurisdictional capacity estimates of hazardous waste infrastructure</w:t>
        </w:r>
        <w:r w:rsidR="006E4AAD">
          <w:rPr>
            <w:noProof/>
            <w:webHidden/>
          </w:rPr>
          <w:tab/>
        </w:r>
        <w:r w:rsidR="006E4AAD">
          <w:rPr>
            <w:noProof/>
            <w:webHidden/>
          </w:rPr>
          <w:fldChar w:fldCharType="begin"/>
        </w:r>
        <w:r w:rsidR="006E4AAD">
          <w:rPr>
            <w:noProof/>
            <w:webHidden/>
          </w:rPr>
          <w:instrText xml:space="preserve"> PAGEREF _Toc13225543 \h </w:instrText>
        </w:r>
        <w:r w:rsidR="006E4AAD">
          <w:rPr>
            <w:noProof/>
            <w:webHidden/>
          </w:rPr>
        </w:r>
        <w:r w:rsidR="006E4AAD">
          <w:rPr>
            <w:noProof/>
            <w:webHidden/>
          </w:rPr>
          <w:fldChar w:fldCharType="separate"/>
        </w:r>
        <w:r w:rsidR="00EB634D">
          <w:rPr>
            <w:noProof/>
            <w:webHidden/>
          </w:rPr>
          <w:t>92</w:t>
        </w:r>
        <w:r w:rsidR="006E4AAD">
          <w:rPr>
            <w:noProof/>
            <w:webHidden/>
          </w:rPr>
          <w:fldChar w:fldCharType="end"/>
        </w:r>
      </w:hyperlink>
    </w:p>
    <w:p w14:paraId="3234E319" w14:textId="52A1FB9B" w:rsidR="006E4AAD" w:rsidRDefault="00A1102D">
      <w:pPr>
        <w:pStyle w:val="TOC2"/>
        <w:rPr>
          <w:rFonts w:asciiTheme="minorHAnsi" w:eastAsiaTheme="minorEastAsia" w:hAnsiTheme="minorHAnsi"/>
          <w:noProof/>
          <w:color w:val="auto"/>
          <w:lang w:eastAsia="en-AU"/>
        </w:rPr>
      </w:pPr>
      <w:hyperlink w:anchor="_Toc13225544" w:history="1">
        <w:r w:rsidR="006E4AAD" w:rsidRPr="009764D7">
          <w:rPr>
            <w:rStyle w:val="Hyperlink"/>
            <w:noProof/>
            <w14:scene3d>
              <w14:camera w14:prst="orthographicFront"/>
              <w14:lightRig w14:rig="threePt" w14:dir="t">
                <w14:rot w14:lat="0" w14:lon="0" w14:rev="0"/>
              </w14:lightRig>
            </w14:scene3d>
          </w:rPr>
          <w:t>3.6</w:t>
        </w:r>
        <w:r w:rsidR="006E4AAD">
          <w:rPr>
            <w:rFonts w:asciiTheme="minorHAnsi" w:eastAsiaTheme="minorEastAsia" w:hAnsiTheme="minorHAnsi"/>
            <w:noProof/>
            <w:color w:val="auto"/>
            <w:lang w:eastAsia="en-AU"/>
          </w:rPr>
          <w:tab/>
        </w:r>
        <w:r w:rsidR="006E4AAD" w:rsidRPr="009764D7">
          <w:rPr>
            <w:rStyle w:val="Hyperlink"/>
            <w:noProof/>
          </w:rPr>
          <w:t>Key issues raised by industry during consultation</w:t>
        </w:r>
        <w:r w:rsidR="006E4AAD">
          <w:rPr>
            <w:noProof/>
            <w:webHidden/>
          </w:rPr>
          <w:tab/>
        </w:r>
        <w:r w:rsidR="006E4AAD">
          <w:rPr>
            <w:noProof/>
            <w:webHidden/>
          </w:rPr>
          <w:fldChar w:fldCharType="begin"/>
        </w:r>
        <w:r w:rsidR="006E4AAD">
          <w:rPr>
            <w:noProof/>
            <w:webHidden/>
          </w:rPr>
          <w:instrText xml:space="preserve"> PAGEREF _Toc13225544 \h </w:instrText>
        </w:r>
        <w:r w:rsidR="006E4AAD">
          <w:rPr>
            <w:noProof/>
            <w:webHidden/>
          </w:rPr>
        </w:r>
        <w:r w:rsidR="006E4AAD">
          <w:rPr>
            <w:noProof/>
            <w:webHidden/>
          </w:rPr>
          <w:fldChar w:fldCharType="separate"/>
        </w:r>
        <w:r w:rsidR="00EB634D">
          <w:rPr>
            <w:noProof/>
            <w:webHidden/>
          </w:rPr>
          <w:t>95</w:t>
        </w:r>
        <w:r w:rsidR="006E4AAD">
          <w:rPr>
            <w:noProof/>
            <w:webHidden/>
          </w:rPr>
          <w:fldChar w:fldCharType="end"/>
        </w:r>
      </w:hyperlink>
    </w:p>
    <w:p w14:paraId="31F8FF5D" w14:textId="101B698A" w:rsidR="006E4AAD" w:rsidRDefault="00A1102D">
      <w:pPr>
        <w:pStyle w:val="TOC1"/>
        <w:rPr>
          <w:rFonts w:asciiTheme="minorHAnsi" w:eastAsiaTheme="minorEastAsia" w:hAnsiTheme="minorHAnsi"/>
          <w:b w:val="0"/>
          <w:noProof/>
          <w:color w:val="auto"/>
          <w:lang w:eastAsia="en-AU"/>
        </w:rPr>
      </w:pPr>
      <w:hyperlink w:anchor="_Toc13225545" w:history="1">
        <w:r w:rsidR="006E4AAD" w:rsidRPr="009764D7">
          <w:rPr>
            <w:rStyle w:val="Hyperlink"/>
            <w:noProof/>
          </w:rPr>
          <w:t>4.</w:t>
        </w:r>
        <w:r w:rsidR="006E4AAD">
          <w:rPr>
            <w:rFonts w:asciiTheme="minorHAnsi" w:eastAsiaTheme="minorEastAsia" w:hAnsiTheme="minorHAnsi"/>
            <w:b w:val="0"/>
            <w:noProof/>
            <w:color w:val="auto"/>
            <w:lang w:eastAsia="en-AU"/>
          </w:rPr>
          <w:tab/>
        </w:r>
        <w:r w:rsidR="006E4AAD" w:rsidRPr="009764D7">
          <w:rPr>
            <w:rStyle w:val="Hyperlink"/>
            <w:noProof/>
          </w:rPr>
          <w:t>Assessment of projected need vs capacity of hazardous waste infrastructure</w:t>
        </w:r>
        <w:r w:rsidR="006E4AAD">
          <w:rPr>
            <w:noProof/>
            <w:webHidden/>
          </w:rPr>
          <w:tab/>
        </w:r>
        <w:r w:rsidR="006E4AAD">
          <w:rPr>
            <w:noProof/>
            <w:webHidden/>
          </w:rPr>
          <w:fldChar w:fldCharType="begin"/>
        </w:r>
        <w:r w:rsidR="006E4AAD">
          <w:rPr>
            <w:noProof/>
            <w:webHidden/>
          </w:rPr>
          <w:instrText xml:space="preserve"> PAGEREF _Toc13225545 \h </w:instrText>
        </w:r>
        <w:r w:rsidR="006E4AAD">
          <w:rPr>
            <w:noProof/>
            <w:webHidden/>
          </w:rPr>
        </w:r>
        <w:r w:rsidR="006E4AAD">
          <w:rPr>
            <w:noProof/>
            <w:webHidden/>
          </w:rPr>
          <w:fldChar w:fldCharType="separate"/>
        </w:r>
        <w:r w:rsidR="00EB634D">
          <w:rPr>
            <w:noProof/>
            <w:webHidden/>
          </w:rPr>
          <w:t>99</w:t>
        </w:r>
        <w:r w:rsidR="006E4AAD">
          <w:rPr>
            <w:noProof/>
            <w:webHidden/>
          </w:rPr>
          <w:fldChar w:fldCharType="end"/>
        </w:r>
      </w:hyperlink>
    </w:p>
    <w:p w14:paraId="38695EFD" w14:textId="233945E8" w:rsidR="006E4AAD" w:rsidRDefault="00A1102D">
      <w:pPr>
        <w:pStyle w:val="TOC2"/>
        <w:rPr>
          <w:rFonts w:asciiTheme="minorHAnsi" w:eastAsiaTheme="minorEastAsia" w:hAnsiTheme="minorHAnsi"/>
          <w:noProof/>
          <w:color w:val="auto"/>
          <w:lang w:eastAsia="en-AU"/>
        </w:rPr>
      </w:pPr>
      <w:hyperlink w:anchor="_Toc13225546" w:history="1">
        <w:r w:rsidR="006E4AAD" w:rsidRPr="009764D7">
          <w:rPr>
            <w:rStyle w:val="Hyperlink"/>
            <w:noProof/>
            <w14:scene3d>
              <w14:camera w14:prst="orthographicFront"/>
              <w14:lightRig w14:rig="threePt" w14:dir="t">
                <w14:rot w14:lat="0" w14:lon="0" w14:rev="0"/>
              </w14:lightRig>
            </w14:scene3d>
          </w:rPr>
          <w:t>4.1</w:t>
        </w:r>
        <w:r w:rsidR="006E4AAD">
          <w:rPr>
            <w:rFonts w:asciiTheme="minorHAnsi" w:eastAsiaTheme="minorEastAsia" w:hAnsiTheme="minorHAnsi"/>
            <w:noProof/>
            <w:color w:val="auto"/>
            <w:lang w:eastAsia="en-AU"/>
          </w:rPr>
          <w:tab/>
        </w:r>
        <w:r w:rsidR="006E4AAD" w:rsidRPr="009764D7">
          <w:rPr>
            <w:rStyle w:val="Hyperlink"/>
            <w:noProof/>
          </w:rPr>
          <w:t>Method</w:t>
        </w:r>
        <w:r w:rsidR="006E4AAD">
          <w:rPr>
            <w:noProof/>
            <w:webHidden/>
          </w:rPr>
          <w:tab/>
        </w:r>
        <w:r w:rsidR="006E4AAD">
          <w:rPr>
            <w:noProof/>
            <w:webHidden/>
          </w:rPr>
          <w:fldChar w:fldCharType="begin"/>
        </w:r>
        <w:r w:rsidR="006E4AAD">
          <w:rPr>
            <w:noProof/>
            <w:webHidden/>
          </w:rPr>
          <w:instrText xml:space="preserve"> PAGEREF _Toc13225546 \h </w:instrText>
        </w:r>
        <w:r w:rsidR="006E4AAD">
          <w:rPr>
            <w:noProof/>
            <w:webHidden/>
          </w:rPr>
        </w:r>
        <w:r w:rsidR="006E4AAD">
          <w:rPr>
            <w:noProof/>
            <w:webHidden/>
          </w:rPr>
          <w:fldChar w:fldCharType="separate"/>
        </w:r>
        <w:r w:rsidR="00EB634D">
          <w:rPr>
            <w:noProof/>
            <w:webHidden/>
          </w:rPr>
          <w:t>99</w:t>
        </w:r>
        <w:r w:rsidR="006E4AAD">
          <w:rPr>
            <w:noProof/>
            <w:webHidden/>
          </w:rPr>
          <w:fldChar w:fldCharType="end"/>
        </w:r>
      </w:hyperlink>
    </w:p>
    <w:p w14:paraId="3D6DDF56" w14:textId="757843ED" w:rsidR="006E4AAD" w:rsidRDefault="00A1102D">
      <w:pPr>
        <w:pStyle w:val="TOC2"/>
        <w:rPr>
          <w:rFonts w:asciiTheme="minorHAnsi" w:eastAsiaTheme="minorEastAsia" w:hAnsiTheme="minorHAnsi"/>
          <w:noProof/>
          <w:color w:val="auto"/>
          <w:lang w:eastAsia="en-AU"/>
        </w:rPr>
      </w:pPr>
      <w:hyperlink w:anchor="_Toc13225547" w:history="1">
        <w:r w:rsidR="006E4AAD" w:rsidRPr="009764D7">
          <w:rPr>
            <w:rStyle w:val="Hyperlink"/>
            <w:noProof/>
            <w14:scene3d>
              <w14:camera w14:prst="orthographicFront"/>
              <w14:lightRig w14:rig="threePt" w14:dir="t">
                <w14:rot w14:lat="0" w14:lon="0" w14:rev="0"/>
              </w14:lightRig>
            </w14:scene3d>
          </w:rPr>
          <w:t>4.2</w:t>
        </w:r>
        <w:r w:rsidR="006E4AAD">
          <w:rPr>
            <w:rFonts w:asciiTheme="minorHAnsi" w:eastAsiaTheme="minorEastAsia" w:hAnsiTheme="minorHAnsi"/>
            <w:noProof/>
            <w:color w:val="auto"/>
            <w:lang w:eastAsia="en-AU"/>
          </w:rPr>
          <w:tab/>
        </w:r>
        <w:r w:rsidR="006E4AAD" w:rsidRPr="009764D7">
          <w:rPr>
            <w:rStyle w:val="Hyperlink"/>
            <w:noProof/>
          </w:rPr>
          <w:t>Limitations and uncertainty</w:t>
        </w:r>
        <w:r w:rsidR="006E4AAD">
          <w:rPr>
            <w:noProof/>
            <w:webHidden/>
          </w:rPr>
          <w:tab/>
        </w:r>
        <w:r w:rsidR="006E4AAD">
          <w:rPr>
            <w:noProof/>
            <w:webHidden/>
          </w:rPr>
          <w:fldChar w:fldCharType="begin"/>
        </w:r>
        <w:r w:rsidR="006E4AAD">
          <w:rPr>
            <w:noProof/>
            <w:webHidden/>
          </w:rPr>
          <w:instrText xml:space="preserve"> PAGEREF _Toc13225547 \h </w:instrText>
        </w:r>
        <w:r w:rsidR="006E4AAD">
          <w:rPr>
            <w:noProof/>
            <w:webHidden/>
          </w:rPr>
        </w:r>
        <w:r w:rsidR="006E4AAD">
          <w:rPr>
            <w:noProof/>
            <w:webHidden/>
          </w:rPr>
          <w:fldChar w:fldCharType="separate"/>
        </w:r>
        <w:r w:rsidR="00EB634D">
          <w:rPr>
            <w:noProof/>
            <w:webHidden/>
          </w:rPr>
          <w:t>103</w:t>
        </w:r>
        <w:r w:rsidR="006E4AAD">
          <w:rPr>
            <w:noProof/>
            <w:webHidden/>
          </w:rPr>
          <w:fldChar w:fldCharType="end"/>
        </w:r>
      </w:hyperlink>
    </w:p>
    <w:p w14:paraId="3B1DAE66" w14:textId="2EC9E673" w:rsidR="006E4AAD" w:rsidRDefault="00A1102D">
      <w:pPr>
        <w:pStyle w:val="TOC2"/>
        <w:rPr>
          <w:rFonts w:asciiTheme="minorHAnsi" w:eastAsiaTheme="minorEastAsia" w:hAnsiTheme="minorHAnsi"/>
          <w:noProof/>
          <w:color w:val="auto"/>
          <w:lang w:eastAsia="en-AU"/>
        </w:rPr>
      </w:pPr>
      <w:hyperlink w:anchor="_Toc13225548" w:history="1">
        <w:r w:rsidR="006E4AAD" w:rsidRPr="009764D7">
          <w:rPr>
            <w:rStyle w:val="Hyperlink"/>
            <w:noProof/>
            <w14:scene3d>
              <w14:camera w14:prst="orthographicFront"/>
              <w14:lightRig w14:rig="threePt" w14:dir="t">
                <w14:rot w14:lat="0" w14:lon="0" w14:rev="0"/>
              </w14:lightRig>
            </w14:scene3d>
          </w:rPr>
          <w:t>4.3</w:t>
        </w:r>
        <w:r w:rsidR="006E4AAD">
          <w:rPr>
            <w:rFonts w:asciiTheme="minorHAnsi" w:eastAsiaTheme="minorEastAsia" w:hAnsiTheme="minorHAnsi"/>
            <w:noProof/>
            <w:color w:val="auto"/>
            <w:lang w:eastAsia="en-AU"/>
          </w:rPr>
          <w:tab/>
        </w:r>
        <w:r w:rsidR="006E4AAD" w:rsidRPr="009764D7">
          <w:rPr>
            <w:rStyle w:val="Hyperlink"/>
            <w:noProof/>
          </w:rPr>
          <w:t>National assessment of need vs capacity by infrastructure group</w:t>
        </w:r>
        <w:r w:rsidR="006E4AAD">
          <w:rPr>
            <w:noProof/>
            <w:webHidden/>
          </w:rPr>
          <w:tab/>
        </w:r>
        <w:r w:rsidR="006E4AAD">
          <w:rPr>
            <w:noProof/>
            <w:webHidden/>
          </w:rPr>
          <w:fldChar w:fldCharType="begin"/>
        </w:r>
        <w:r w:rsidR="006E4AAD">
          <w:rPr>
            <w:noProof/>
            <w:webHidden/>
          </w:rPr>
          <w:instrText xml:space="preserve"> PAGEREF _Toc13225548 \h </w:instrText>
        </w:r>
        <w:r w:rsidR="006E4AAD">
          <w:rPr>
            <w:noProof/>
            <w:webHidden/>
          </w:rPr>
        </w:r>
        <w:r w:rsidR="006E4AAD">
          <w:rPr>
            <w:noProof/>
            <w:webHidden/>
          </w:rPr>
          <w:fldChar w:fldCharType="separate"/>
        </w:r>
        <w:r w:rsidR="00EB634D">
          <w:rPr>
            <w:noProof/>
            <w:webHidden/>
          </w:rPr>
          <w:t>107</w:t>
        </w:r>
        <w:r w:rsidR="006E4AAD">
          <w:rPr>
            <w:noProof/>
            <w:webHidden/>
          </w:rPr>
          <w:fldChar w:fldCharType="end"/>
        </w:r>
      </w:hyperlink>
    </w:p>
    <w:p w14:paraId="7CB855D1" w14:textId="51FF5082" w:rsidR="006E4AAD" w:rsidRDefault="00A1102D">
      <w:pPr>
        <w:pStyle w:val="TOC2"/>
        <w:rPr>
          <w:rFonts w:asciiTheme="minorHAnsi" w:eastAsiaTheme="minorEastAsia" w:hAnsiTheme="minorHAnsi"/>
          <w:noProof/>
          <w:color w:val="auto"/>
          <w:lang w:eastAsia="en-AU"/>
        </w:rPr>
      </w:pPr>
      <w:hyperlink w:anchor="_Toc13225549" w:history="1">
        <w:r w:rsidR="006E4AAD" w:rsidRPr="009764D7">
          <w:rPr>
            <w:rStyle w:val="Hyperlink"/>
            <w:noProof/>
            <w14:scene3d>
              <w14:camera w14:prst="orthographicFront"/>
              <w14:lightRig w14:rig="threePt" w14:dir="t">
                <w14:rot w14:lat="0" w14:lon="0" w14:rev="0"/>
              </w14:lightRig>
            </w14:scene3d>
          </w:rPr>
          <w:t>4.4</w:t>
        </w:r>
        <w:r w:rsidR="006E4AAD">
          <w:rPr>
            <w:rFonts w:asciiTheme="minorHAnsi" w:eastAsiaTheme="minorEastAsia" w:hAnsiTheme="minorHAnsi"/>
            <w:noProof/>
            <w:color w:val="auto"/>
            <w:lang w:eastAsia="en-AU"/>
          </w:rPr>
          <w:tab/>
        </w:r>
        <w:r w:rsidR="006E4AAD" w:rsidRPr="009764D7">
          <w:rPr>
            <w:rStyle w:val="Hyperlink"/>
            <w:noProof/>
          </w:rPr>
          <w:t>Jurisdictional assessment of need versus capacity</w:t>
        </w:r>
        <w:r w:rsidR="006E4AAD">
          <w:rPr>
            <w:noProof/>
            <w:webHidden/>
          </w:rPr>
          <w:tab/>
        </w:r>
        <w:r w:rsidR="006E4AAD">
          <w:rPr>
            <w:noProof/>
            <w:webHidden/>
          </w:rPr>
          <w:fldChar w:fldCharType="begin"/>
        </w:r>
        <w:r w:rsidR="006E4AAD">
          <w:rPr>
            <w:noProof/>
            <w:webHidden/>
          </w:rPr>
          <w:instrText xml:space="preserve"> PAGEREF _Toc13225549 \h </w:instrText>
        </w:r>
        <w:r w:rsidR="006E4AAD">
          <w:rPr>
            <w:noProof/>
            <w:webHidden/>
          </w:rPr>
        </w:r>
        <w:r w:rsidR="006E4AAD">
          <w:rPr>
            <w:noProof/>
            <w:webHidden/>
          </w:rPr>
          <w:fldChar w:fldCharType="separate"/>
        </w:r>
        <w:r w:rsidR="00EB634D">
          <w:rPr>
            <w:noProof/>
            <w:webHidden/>
          </w:rPr>
          <w:t>123</w:t>
        </w:r>
        <w:r w:rsidR="006E4AAD">
          <w:rPr>
            <w:noProof/>
            <w:webHidden/>
          </w:rPr>
          <w:fldChar w:fldCharType="end"/>
        </w:r>
      </w:hyperlink>
    </w:p>
    <w:p w14:paraId="46C1402A" w14:textId="54115667" w:rsidR="006E4AAD" w:rsidRDefault="00A1102D">
      <w:pPr>
        <w:pStyle w:val="TOC1"/>
        <w:rPr>
          <w:rFonts w:asciiTheme="minorHAnsi" w:eastAsiaTheme="minorEastAsia" w:hAnsiTheme="minorHAnsi"/>
          <w:b w:val="0"/>
          <w:noProof/>
          <w:color w:val="auto"/>
          <w:lang w:eastAsia="en-AU"/>
        </w:rPr>
      </w:pPr>
      <w:hyperlink w:anchor="_Toc13225550" w:history="1">
        <w:r w:rsidR="006E4AAD" w:rsidRPr="009764D7">
          <w:rPr>
            <w:rStyle w:val="Hyperlink"/>
            <w:noProof/>
          </w:rPr>
          <w:t>5.</w:t>
        </w:r>
        <w:r w:rsidR="006E4AAD">
          <w:rPr>
            <w:rFonts w:asciiTheme="minorHAnsi" w:eastAsiaTheme="minorEastAsia" w:hAnsiTheme="minorHAnsi"/>
            <w:b w:val="0"/>
            <w:noProof/>
            <w:color w:val="auto"/>
            <w:lang w:eastAsia="en-AU"/>
          </w:rPr>
          <w:tab/>
        </w:r>
        <w:r w:rsidR="006E4AAD" w:rsidRPr="009764D7">
          <w:rPr>
            <w:rStyle w:val="Hyperlink"/>
            <w:noProof/>
          </w:rPr>
          <w:t>Conclusions and recommendations</w:t>
        </w:r>
        <w:r w:rsidR="006E4AAD">
          <w:rPr>
            <w:noProof/>
            <w:webHidden/>
          </w:rPr>
          <w:tab/>
        </w:r>
        <w:r w:rsidR="006E4AAD">
          <w:rPr>
            <w:noProof/>
            <w:webHidden/>
          </w:rPr>
          <w:fldChar w:fldCharType="begin"/>
        </w:r>
        <w:r w:rsidR="006E4AAD">
          <w:rPr>
            <w:noProof/>
            <w:webHidden/>
          </w:rPr>
          <w:instrText xml:space="preserve"> PAGEREF _Toc13225550 \h </w:instrText>
        </w:r>
        <w:r w:rsidR="006E4AAD">
          <w:rPr>
            <w:noProof/>
            <w:webHidden/>
          </w:rPr>
        </w:r>
        <w:r w:rsidR="006E4AAD">
          <w:rPr>
            <w:noProof/>
            <w:webHidden/>
          </w:rPr>
          <w:fldChar w:fldCharType="separate"/>
        </w:r>
        <w:r w:rsidR="00EB634D">
          <w:rPr>
            <w:noProof/>
            <w:webHidden/>
          </w:rPr>
          <w:t>141</w:t>
        </w:r>
        <w:r w:rsidR="006E4AAD">
          <w:rPr>
            <w:noProof/>
            <w:webHidden/>
          </w:rPr>
          <w:fldChar w:fldCharType="end"/>
        </w:r>
      </w:hyperlink>
    </w:p>
    <w:p w14:paraId="7EC7743B" w14:textId="233EB342" w:rsidR="006E4AAD" w:rsidRDefault="00A1102D">
      <w:pPr>
        <w:pStyle w:val="TOC2"/>
        <w:rPr>
          <w:rFonts w:asciiTheme="minorHAnsi" w:eastAsiaTheme="minorEastAsia" w:hAnsiTheme="minorHAnsi"/>
          <w:noProof/>
          <w:color w:val="auto"/>
          <w:lang w:eastAsia="en-AU"/>
        </w:rPr>
      </w:pPr>
      <w:hyperlink w:anchor="_Toc13225551" w:history="1">
        <w:r w:rsidR="006E4AAD" w:rsidRPr="009764D7">
          <w:rPr>
            <w:rStyle w:val="Hyperlink"/>
            <w:noProof/>
            <w14:scene3d>
              <w14:camera w14:prst="orthographicFront"/>
              <w14:lightRig w14:rig="threePt" w14:dir="t">
                <w14:rot w14:lat="0" w14:lon="0" w14:rev="0"/>
              </w14:lightRig>
            </w14:scene3d>
          </w:rPr>
          <w:t>5.1</w:t>
        </w:r>
        <w:r w:rsidR="006E4AAD">
          <w:rPr>
            <w:rFonts w:asciiTheme="minorHAnsi" w:eastAsiaTheme="minorEastAsia" w:hAnsiTheme="minorHAnsi"/>
            <w:noProof/>
            <w:color w:val="auto"/>
            <w:lang w:eastAsia="en-AU"/>
          </w:rPr>
          <w:tab/>
        </w:r>
        <w:r w:rsidR="006E4AAD" w:rsidRPr="009764D7">
          <w:rPr>
            <w:rStyle w:val="Hyperlink"/>
            <w:noProof/>
          </w:rPr>
          <w:t>Hazardous waste arisings and management and current issues</w:t>
        </w:r>
        <w:r w:rsidR="006E4AAD">
          <w:rPr>
            <w:noProof/>
            <w:webHidden/>
          </w:rPr>
          <w:tab/>
        </w:r>
        <w:r w:rsidR="006E4AAD">
          <w:rPr>
            <w:noProof/>
            <w:webHidden/>
          </w:rPr>
          <w:fldChar w:fldCharType="begin"/>
        </w:r>
        <w:r w:rsidR="006E4AAD">
          <w:rPr>
            <w:noProof/>
            <w:webHidden/>
          </w:rPr>
          <w:instrText xml:space="preserve"> PAGEREF _Toc13225551 \h </w:instrText>
        </w:r>
        <w:r w:rsidR="006E4AAD">
          <w:rPr>
            <w:noProof/>
            <w:webHidden/>
          </w:rPr>
        </w:r>
        <w:r w:rsidR="006E4AAD">
          <w:rPr>
            <w:noProof/>
            <w:webHidden/>
          </w:rPr>
          <w:fldChar w:fldCharType="separate"/>
        </w:r>
        <w:r w:rsidR="00EB634D">
          <w:rPr>
            <w:noProof/>
            <w:webHidden/>
          </w:rPr>
          <w:t>141</w:t>
        </w:r>
        <w:r w:rsidR="006E4AAD">
          <w:rPr>
            <w:noProof/>
            <w:webHidden/>
          </w:rPr>
          <w:fldChar w:fldCharType="end"/>
        </w:r>
      </w:hyperlink>
    </w:p>
    <w:p w14:paraId="44C2E7A1" w14:textId="51BF670F" w:rsidR="006E4AAD" w:rsidRDefault="00A1102D">
      <w:pPr>
        <w:pStyle w:val="TOC2"/>
        <w:rPr>
          <w:rFonts w:asciiTheme="minorHAnsi" w:eastAsiaTheme="minorEastAsia" w:hAnsiTheme="minorHAnsi"/>
          <w:noProof/>
          <w:color w:val="auto"/>
          <w:lang w:eastAsia="en-AU"/>
        </w:rPr>
      </w:pPr>
      <w:hyperlink w:anchor="_Toc13225552" w:history="1">
        <w:r w:rsidR="006E4AAD" w:rsidRPr="009764D7">
          <w:rPr>
            <w:rStyle w:val="Hyperlink"/>
            <w:noProof/>
            <w14:scene3d>
              <w14:camera w14:prst="orthographicFront"/>
              <w14:lightRig w14:rig="threePt" w14:dir="t">
                <w14:rot w14:lat="0" w14:lon="0" w14:rev="0"/>
              </w14:lightRig>
            </w14:scene3d>
          </w:rPr>
          <w:t>5.2</w:t>
        </w:r>
        <w:r w:rsidR="006E4AAD">
          <w:rPr>
            <w:rFonts w:asciiTheme="minorHAnsi" w:eastAsiaTheme="minorEastAsia" w:hAnsiTheme="minorHAnsi"/>
            <w:noProof/>
            <w:color w:val="auto"/>
            <w:lang w:eastAsia="en-AU"/>
          </w:rPr>
          <w:tab/>
        </w:r>
        <w:r w:rsidR="006E4AAD" w:rsidRPr="009764D7">
          <w:rPr>
            <w:rStyle w:val="Hyperlink"/>
            <w:noProof/>
          </w:rPr>
          <w:t>Hazardous waste packaging recycling facilities</w:t>
        </w:r>
        <w:r w:rsidR="006E4AAD">
          <w:rPr>
            <w:noProof/>
            <w:webHidden/>
          </w:rPr>
          <w:tab/>
        </w:r>
        <w:r w:rsidR="006E4AAD">
          <w:rPr>
            <w:noProof/>
            <w:webHidden/>
          </w:rPr>
          <w:fldChar w:fldCharType="begin"/>
        </w:r>
        <w:r w:rsidR="006E4AAD">
          <w:rPr>
            <w:noProof/>
            <w:webHidden/>
          </w:rPr>
          <w:instrText xml:space="preserve"> PAGEREF _Toc13225552 \h </w:instrText>
        </w:r>
        <w:r w:rsidR="006E4AAD">
          <w:rPr>
            <w:noProof/>
            <w:webHidden/>
          </w:rPr>
        </w:r>
        <w:r w:rsidR="006E4AAD">
          <w:rPr>
            <w:noProof/>
            <w:webHidden/>
          </w:rPr>
          <w:fldChar w:fldCharType="separate"/>
        </w:r>
        <w:r w:rsidR="00EB634D">
          <w:rPr>
            <w:noProof/>
            <w:webHidden/>
          </w:rPr>
          <w:t>142</w:t>
        </w:r>
        <w:r w:rsidR="006E4AAD">
          <w:rPr>
            <w:noProof/>
            <w:webHidden/>
          </w:rPr>
          <w:fldChar w:fldCharType="end"/>
        </w:r>
      </w:hyperlink>
    </w:p>
    <w:p w14:paraId="043CF06C" w14:textId="06FB6145" w:rsidR="006E4AAD" w:rsidRDefault="00A1102D">
      <w:pPr>
        <w:pStyle w:val="TOC2"/>
        <w:rPr>
          <w:rFonts w:asciiTheme="minorHAnsi" w:eastAsiaTheme="minorEastAsia" w:hAnsiTheme="minorHAnsi"/>
          <w:noProof/>
          <w:color w:val="auto"/>
          <w:lang w:eastAsia="en-AU"/>
        </w:rPr>
      </w:pPr>
      <w:hyperlink w:anchor="_Toc13225553" w:history="1">
        <w:r w:rsidR="006E4AAD" w:rsidRPr="009764D7">
          <w:rPr>
            <w:rStyle w:val="Hyperlink"/>
            <w:noProof/>
            <w14:scene3d>
              <w14:camera w14:prst="orthographicFront"/>
              <w14:lightRig w14:rig="threePt" w14:dir="t">
                <w14:rot w14:lat="0" w14:lon="0" w14:rev="0"/>
              </w14:lightRig>
            </w14:scene3d>
          </w:rPr>
          <w:t>5.3</w:t>
        </w:r>
        <w:r w:rsidR="006E4AAD">
          <w:rPr>
            <w:rFonts w:asciiTheme="minorHAnsi" w:eastAsiaTheme="minorEastAsia" w:hAnsiTheme="minorHAnsi"/>
            <w:noProof/>
            <w:color w:val="auto"/>
            <w:lang w:eastAsia="en-AU"/>
          </w:rPr>
          <w:tab/>
        </w:r>
        <w:r w:rsidR="006E4AAD" w:rsidRPr="009764D7">
          <w:rPr>
            <w:rStyle w:val="Hyperlink"/>
            <w:noProof/>
          </w:rPr>
          <w:t>E-waste major physical/chemical &amp; disassembly facilities</w:t>
        </w:r>
        <w:r w:rsidR="006E4AAD">
          <w:rPr>
            <w:noProof/>
            <w:webHidden/>
          </w:rPr>
          <w:tab/>
        </w:r>
        <w:r w:rsidR="006E4AAD">
          <w:rPr>
            <w:noProof/>
            <w:webHidden/>
          </w:rPr>
          <w:fldChar w:fldCharType="begin"/>
        </w:r>
        <w:r w:rsidR="006E4AAD">
          <w:rPr>
            <w:noProof/>
            <w:webHidden/>
          </w:rPr>
          <w:instrText xml:space="preserve"> PAGEREF _Toc13225553 \h </w:instrText>
        </w:r>
        <w:r w:rsidR="006E4AAD">
          <w:rPr>
            <w:noProof/>
            <w:webHidden/>
          </w:rPr>
        </w:r>
        <w:r w:rsidR="006E4AAD">
          <w:rPr>
            <w:noProof/>
            <w:webHidden/>
          </w:rPr>
          <w:fldChar w:fldCharType="separate"/>
        </w:r>
        <w:r w:rsidR="00EB634D">
          <w:rPr>
            <w:noProof/>
            <w:webHidden/>
          </w:rPr>
          <w:t>142</w:t>
        </w:r>
        <w:r w:rsidR="006E4AAD">
          <w:rPr>
            <w:noProof/>
            <w:webHidden/>
          </w:rPr>
          <w:fldChar w:fldCharType="end"/>
        </w:r>
      </w:hyperlink>
    </w:p>
    <w:p w14:paraId="30E0060C" w14:textId="50D2BBD4" w:rsidR="006E4AAD" w:rsidRDefault="00A1102D">
      <w:pPr>
        <w:pStyle w:val="TOC2"/>
        <w:rPr>
          <w:rFonts w:asciiTheme="minorHAnsi" w:eastAsiaTheme="minorEastAsia" w:hAnsiTheme="minorHAnsi"/>
          <w:noProof/>
          <w:color w:val="auto"/>
          <w:lang w:eastAsia="en-AU"/>
        </w:rPr>
      </w:pPr>
      <w:hyperlink w:anchor="_Toc13225554" w:history="1">
        <w:r w:rsidR="006E4AAD" w:rsidRPr="009764D7">
          <w:rPr>
            <w:rStyle w:val="Hyperlink"/>
            <w:noProof/>
            <w14:scene3d>
              <w14:camera w14:prst="orthographicFront"/>
              <w14:lightRig w14:rig="threePt" w14:dir="t">
                <w14:rot w14:lat="0" w14:lon="0" w14:rev="0"/>
              </w14:lightRig>
            </w14:scene3d>
          </w:rPr>
          <w:t>5.4</w:t>
        </w:r>
        <w:r w:rsidR="006E4AAD">
          <w:rPr>
            <w:rFonts w:asciiTheme="minorHAnsi" w:eastAsiaTheme="minorEastAsia" w:hAnsiTheme="minorHAnsi"/>
            <w:noProof/>
            <w:color w:val="auto"/>
            <w:lang w:eastAsia="en-AU"/>
          </w:rPr>
          <w:tab/>
        </w:r>
        <w:r w:rsidR="006E4AAD" w:rsidRPr="009764D7">
          <w:rPr>
            <w:rStyle w:val="Hyperlink"/>
            <w:noProof/>
          </w:rPr>
          <w:t>Oil re-refining facilities</w:t>
        </w:r>
        <w:r w:rsidR="006E4AAD">
          <w:rPr>
            <w:noProof/>
            <w:webHidden/>
          </w:rPr>
          <w:tab/>
        </w:r>
        <w:r w:rsidR="006E4AAD">
          <w:rPr>
            <w:noProof/>
            <w:webHidden/>
          </w:rPr>
          <w:fldChar w:fldCharType="begin"/>
        </w:r>
        <w:r w:rsidR="006E4AAD">
          <w:rPr>
            <w:noProof/>
            <w:webHidden/>
          </w:rPr>
          <w:instrText xml:space="preserve"> PAGEREF _Toc13225554 \h </w:instrText>
        </w:r>
        <w:r w:rsidR="006E4AAD">
          <w:rPr>
            <w:noProof/>
            <w:webHidden/>
          </w:rPr>
        </w:r>
        <w:r w:rsidR="006E4AAD">
          <w:rPr>
            <w:noProof/>
            <w:webHidden/>
          </w:rPr>
          <w:fldChar w:fldCharType="separate"/>
        </w:r>
        <w:r w:rsidR="00EB634D">
          <w:rPr>
            <w:noProof/>
            <w:webHidden/>
          </w:rPr>
          <w:t>143</w:t>
        </w:r>
        <w:r w:rsidR="006E4AAD">
          <w:rPr>
            <w:noProof/>
            <w:webHidden/>
          </w:rPr>
          <w:fldChar w:fldCharType="end"/>
        </w:r>
      </w:hyperlink>
    </w:p>
    <w:p w14:paraId="1D54D7A6" w14:textId="29E1CAA5" w:rsidR="006E4AAD" w:rsidRDefault="00A1102D">
      <w:pPr>
        <w:pStyle w:val="TOC2"/>
        <w:rPr>
          <w:rFonts w:asciiTheme="minorHAnsi" w:eastAsiaTheme="minorEastAsia" w:hAnsiTheme="minorHAnsi"/>
          <w:noProof/>
          <w:color w:val="auto"/>
          <w:lang w:eastAsia="en-AU"/>
        </w:rPr>
      </w:pPr>
      <w:hyperlink w:anchor="_Toc13225555" w:history="1">
        <w:r w:rsidR="006E4AAD" w:rsidRPr="009764D7">
          <w:rPr>
            <w:rStyle w:val="Hyperlink"/>
            <w:noProof/>
            <w14:scene3d>
              <w14:camera w14:prst="orthographicFront"/>
              <w14:lightRig w14:rig="threePt" w14:dir="t">
                <w14:rot w14:lat="0" w14:lon="0" w14:rev="0"/>
              </w14:lightRig>
            </w14:scene3d>
          </w:rPr>
          <w:t>5.5</w:t>
        </w:r>
        <w:r w:rsidR="006E4AAD">
          <w:rPr>
            <w:rFonts w:asciiTheme="minorHAnsi" w:eastAsiaTheme="minorEastAsia" w:hAnsiTheme="minorHAnsi"/>
            <w:noProof/>
            <w:color w:val="auto"/>
            <w:lang w:eastAsia="en-AU"/>
          </w:rPr>
          <w:tab/>
        </w:r>
        <w:r w:rsidR="006E4AAD" w:rsidRPr="009764D7">
          <w:rPr>
            <w:rStyle w:val="Hyperlink"/>
            <w:noProof/>
          </w:rPr>
          <w:t>Lead recycling facilities</w:t>
        </w:r>
        <w:r w:rsidR="006E4AAD">
          <w:rPr>
            <w:noProof/>
            <w:webHidden/>
          </w:rPr>
          <w:tab/>
        </w:r>
        <w:r w:rsidR="006E4AAD">
          <w:rPr>
            <w:noProof/>
            <w:webHidden/>
          </w:rPr>
          <w:fldChar w:fldCharType="begin"/>
        </w:r>
        <w:r w:rsidR="006E4AAD">
          <w:rPr>
            <w:noProof/>
            <w:webHidden/>
          </w:rPr>
          <w:instrText xml:space="preserve"> PAGEREF _Toc13225555 \h </w:instrText>
        </w:r>
        <w:r w:rsidR="006E4AAD">
          <w:rPr>
            <w:noProof/>
            <w:webHidden/>
          </w:rPr>
        </w:r>
        <w:r w:rsidR="006E4AAD">
          <w:rPr>
            <w:noProof/>
            <w:webHidden/>
          </w:rPr>
          <w:fldChar w:fldCharType="separate"/>
        </w:r>
        <w:r w:rsidR="00EB634D">
          <w:rPr>
            <w:noProof/>
            <w:webHidden/>
          </w:rPr>
          <w:t>144</w:t>
        </w:r>
        <w:r w:rsidR="006E4AAD">
          <w:rPr>
            <w:noProof/>
            <w:webHidden/>
          </w:rPr>
          <w:fldChar w:fldCharType="end"/>
        </w:r>
      </w:hyperlink>
    </w:p>
    <w:p w14:paraId="5AE1B440" w14:textId="527AB474" w:rsidR="006E4AAD" w:rsidRDefault="00A1102D">
      <w:pPr>
        <w:pStyle w:val="TOC2"/>
        <w:rPr>
          <w:rFonts w:asciiTheme="minorHAnsi" w:eastAsiaTheme="minorEastAsia" w:hAnsiTheme="minorHAnsi"/>
          <w:noProof/>
          <w:color w:val="auto"/>
          <w:lang w:eastAsia="en-AU"/>
        </w:rPr>
      </w:pPr>
      <w:hyperlink w:anchor="_Toc13225556" w:history="1">
        <w:r w:rsidR="006E4AAD" w:rsidRPr="009764D7">
          <w:rPr>
            <w:rStyle w:val="Hyperlink"/>
            <w:noProof/>
            <w14:scene3d>
              <w14:camera w14:prst="orthographicFront"/>
              <w14:lightRig w14:rig="threePt" w14:dir="t">
                <w14:rot w14:lat="0" w14:lon="0" w14:rev="0"/>
              </w14:lightRig>
            </w14:scene3d>
          </w:rPr>
          <w:t>5.6</w:t>
        </w:r>
        <w:r w:rsidR="006E4AAD">
          <w:rPr>
            <w:rFonts w:asciiTheme="minorHAnsi" w:eastAsiaTheme="minorEastAsia" w:hAnsiTheme="minorHAnsi"/>
            <w:noProof/>
            <w:color w:val="auto"/>
            <w:lang w:eastAsia="en-AU"/>
          </w:rPr>
          <w:tab/>
        </w:r>
        <w:r w:rsidR="006E4AAD" w:rsidRPr="009764D7">
          <w:rPr>
            <w:rStyle w:val="Hyperlink"/>
            <w:noProof/>
          </w:rPr>
          <w:t>Mercury recycling facilities</w:t>
        </w:r>
        <w:r w:rsidR="006E4AAD">
          <w:rPr>
            <w:noProof/>
            <w:webHidden/>
          </w:rPr>
          <w:tab/>
        </w:r>
        <w:r w:rsidR="006E4AAD">
          <w:rPr>
            <w:noProof/>
            <w:webHidden/>
          </w:rPr>
          <w:fldChar w:fldCharType="begin"/>
        </w:r>
        <w:r w:rsidR="006E4AAD">
          <w:rPr>
            <w:noProof/>
            <w:webHidden/>
          </w:rPr>
          <w:instrText xml:space="preserve"> PAGEREF _Toc13225556 \h </w:instrText>
        </w:r>
        <w:r w:rsidR="006E4AAD">
          <w:rPr>
            <w:noProof/>
            <w:webHidden/>
          </w:rPr>
        </w:r>
        <w:r w:rsidR="006E4AAD">
          <w:rPr>
            <w:noProof/>
            <w:webHidden/>
          </w:rPr>
          <w:fldChar w:fldCharType="separate"/>
        </w:r>
        <w:r w:rsidR="00EB634D">
          <w:rPr>
            <w:noProof/>
            <w:webHidden/>
          </w:rPr>
          <w:t>145</w:t>
        </w:r>
        <w:r w:rsidR="006E4AAD">
          <w:rPr>
            <w:noProof/>
            <w:webHidden/>
          </w:rPr>
          <w:fldChar w:fldCharType="end"/>
        </w:r>
      </w:hyperlink>
    </w:p>
    <w:p w14:paraId="1FCCD6E4" w14:textId="1805A808" w:rsidR="006E4AAD" w:rsidRDefault="00A1102D">
      <w:pPr>
        <w:pStyle w:val="TOC2"/>
        <w:rPr>
          <w:rFonts w:asciiTheme="minorHAnsi" w:eastAsiaTheme="minorEastAsia" w:hAnsiTheme="minorHAnsi"/>
          <w:noProof/>
          <w:color w:val="auto"/>
          <w:lang w:eastAsia="en-AU"/>
        </w:rPr>
      </w:pPr>
      <w:hyperlink w:anchor="_Toc13225557" w:history="1">
        <w:r w:rsidR="006E4AAD" w:rsidRPr="009764D7">
          <w:rPr>
            <w:rStyle w:val="Hyperlink"/>
            <w:noProof/>
            <w14:scene3d>
              <w14:camera w14:prst="orthographicFront"/>
              <w14:lightRig w14:rig="threePt" w14:dir="t">
                <w14:rot w14:lat="0" w14:lon="0" w14:rev="0"/>
              </w14:lightRig>
            </w14:scene3d>
          </w:rPr>
          <w:t>5.7</w:t>
        </w:r>
        <w:r w:rsidR="006E4AAD">
          <w:rPr>
            <w:rFonts w:asciiTheme="minorHAnsi" w:eastAsiaTheme="minorEastAsia" w:hAnsiTheme="minorHAnsi"/>
            <w:noProof/>
            <w:color w:val="auto"/>
            <w:lang w:eastAsia="en-AU"/>
          </w:rPr>
          <w:tab/>
        </w:r>
        <w:r w:rsidR="006E4AAD" w:rsidRPr="009764D7">
          <w:rPr>
            <w:rStyle w:val="Hyperlink"/>
            <w:noProof/>
          </w:rPr>
          <w:t>Solvents/paints/organic chemicals recycling facilities</w:t>
        </w:r>
        <w:r w:rsidR="006E4AAD">
          <w:rPr>
            <w:noProof/>
            <w:webHidden/>
          </w:rPr>
          <w:tab/>
        </w:r>
        <w:r w:rsidR="006E4AAD">
          <w:rPr>
            <w:noProof/>
            <w:webHidden/>
          </w:rPr>
          <w:fldChar w:fldCharType="begin"/>
        </w:r>
        <w:r w:rsidR="006E4AAD">
          <w:rPr>
            <w:noProof/>
            <w:webHidden/>
          </w:rPr>
          <w:instrText xml:space="preserve"> PAGEREF _Toc13225557 \h </w:instrText>
        </w:r>
        <w:r w:rsidR="006E4AAD">
          <w:rPr>
            <w:noProof/>
            <w:webHidden/>
          </w:rPr>
        </w:r>
        <w:r w:rsidR="006E4AAD">
          <w:rPr>
            <w:noProof/>
            <w:webHidden/>
          </w:rPr>
          <w:fldChar w:fldCharType="separate"/>
        </w:r>
        <w:r w:rsidR="00EB634D">
          <w:rPr>
            <w:noProof/>
            <w:webHidden/>
          </w:rPr>
          <w:t>145</w:t>
        </w:r>
        <w:r w:rsidR="006E4AAD">
          <w:rPr>
            <w:noProof/>
            <w:webHidden/>
          </w:rPr>
          <w:fldChar w:fldCharType="end"/>
        </w:r>
      </w:hyperlink>
    </w:p>
    <w:p w14:paraId="105CA1ED" w14:textId="5FC242E9" w:rsidR="006E4AAD" w:rsidRDefault="00A1102D">
      <w:pPr>
        <w:pStyle w:val="TOC2"/>
        <w:rPr>
          <w:rFonts w:asciiTheme="minorHAnsi" w:eastAsiaTheme="minorEastAsia" w:hAnsiTheme="minorHAnsi"/>
          <w:noProof/>
          <w:color w:val="auto"/>
          <w:lang w:eastAsia="en-AU"/>
        </w:rPr>
      </w:pPr>
      <w:hyperlink w:anchor="_Toc13225558" w:history="1">
        <w:r w:rsidR="006E4AAD" w:rsidRPr="009764D7">
          <w:rPr>
            <w:rStyle w:val="Hyperlink"/>
            <w:noProof/>
            <w14:scene3d>
              <w14:camera w14:prst="orthographicFront"/>
              <w14:lightRig w14:rig="threePt" w14:dir="t">
                <w14:rot w14:lat="0" w14:lon="0" w14:rev="0"/>
              </w14:lightRig>
            </w14:scene3d>
          </w:rPr>
          <w:t>5.8</w:t>
        </w:r>
        <w:r w:rsidR="006E4AAD">
          <w:rPr>
            <w:rFonts w:asciiTheme="minorHAnsi" w:eastAsiaTheme="minorEastAsia" w:hAnsiTheme="minorHAnsi"/>
            <w:noProof/>
            <w:color w:val="auto"/>
            <w:lang w:eastAsia="en-AU"/>
          </w:rPr>
          <w:tab/>
        </w:r>
        <w:r w:rsidR="006E4AAD" w:rsidRPr="009764D7">
          <w:rPr>
            <w:rStyle w:val="Hyperlink"/>
            <w:noProof/>
          </w:rPr>
          <w:t>Organics recycling (NEPM K code wastes) facilities</w:t>
        </w:r>
        <w:r w:rsidR="006E4AAD">
          <w:rPr>
            <w:noProof/>
            <w:webHidden/>
          </w:rPr>
          <w:tab/>
        </w:r>
        <w:r w:rsidR="006E4AAD">
          <w:rPr>
            <w:noProof/>
            <w:webHidden/>
          </w:rPr>
          <w:fldChar w:fldCharType="begin"/>
        </w:r>
        <w:r w:rsidR="006E4AAD">
          <w:rPr>
            <w:noProof/>
            <w:webHidden/>
          </w:rPr>
          <w:instrText xml:space="preserve"> PAGEREF _Toc13225558 \h </w:instrText>
        </w:r>
        <w:r w:rsidR="006E4AAD">
          <w:rPr>
            <w:noProof/>
            <w:webHidden/>
          </w:rPr>
        </w:r>
        <w:r w:rsidR="006E4AAD">
          <w:rPr>
            <w:noProof/>
            <w:webHidden/>
          </w:rPr>
          <w:fldChar w:fldCharType="separate"/>
        </w:r>
        <w:r w:rsidR="00EB634D">
          <w:rPr>
            <w:noProof/>
            <w:webHidden/>
          </w:rPr>
          <w:t>145</w:t>
        </w:r>
        <w:r w:rsidR="006E4AAD">
          <w:rPr>
            <w:noProof/>
            <w:webHidden/>
          </w:rPr>
          <w:fldChar w:fldCharType="end"/>
        </w:r>
      </w:hyperlink>
    </w:p>
    <w:p w14:paraId="4CBCC44F" w14:textId="6E974143" w:rsidR="006E4AAD" w:rsidRDefault="00A1102D">
      <w:pPr>
        <w:pStyle w:val="TOC2"/>
        <w:rPr>
          <w:rFonts w:asciiTheme="minorHAnsi" w:eastAsiaTheme="minorEastAsia" w:hAnsiTheme="minorHAnsi"/>
          <w:noProof/>
          <w:color w:val="auto"/>
          <w:lang w:eastAsia="en-AU"/>
        </w:rPr>
      </w:pPr>
      <w:hyperlink w:anchor="_Toc13225559" w:history="1">
        <w:r w:rsidR="006E4AAD" w:rsidRPr="009764D7">
          <w:rPr>
            <w:rStyle w:val="Hyperlink"/>
            <w:noProof/>
            <w14:scene3d>
              <w14:camera w14:prst="orthographicFront"/>
              <w14:lightRig w14:rig="threePt" w14:dir="t">
                <w14:rot w14:lat="0" w14:lon="0" w14:rev="0"/>
              </w14:lightRig>
            </w14:scene3d>
          </w:rPr>
          <w:t>5.9</w:t>
        </w:r>
        <w:r w:rsidR="006E4AAD">
          <w:rPr>
            <w:rFonts w:asciiTheme="minorHAnsi" w:eastAsiaTheme="minorEastAsia" w:hAnsiTheme="minorHAnsi"/>
            <w:noProof/>
            <w:color w:val="auto"/>
            <w:lang w:eastAsia="en-AU"/>
          </w:rPr>
          <w:tab/>
        </w:r>
        <w:r w:rsidR="006E4AAD" w:rsidRPr="009764D7">
          <w:rPr>
            <w:rStyle w:val="Hyperlink"/>
            <w:noProof/>
          </w:rPr>
          <w:t>End-of-life-tyre recycling facilities</w:t>
        </w:r>
        <w:r w:rsidR="006E4AAD">
          <w:rPr>
            <w:noProof/>
            <w:webHidden/>
          </w:rPr>
          <w:tab/>
        </w:r>
        <w:r w:rsidR="006E4AAD">
          <w:rPr>
            <w:noProof/>
            <w:webHidden/>
          </w:rPr>
          <w:fldChar w:fldCharType="begin"/>
        </w:r>
        <w:r w:rsidR="006E4AAD">
          <w:rPr>
            <w:noProof/>
            <w:webHidden/>
          </w:rPr>
          <w:instrText xml:space="preserve"> PAGEREF _Toc13225559 \h </w:instrText>
        </w:r>
        <w:r w:rsidR="006E4AAD">
          <w:rPr>
            <w:noProof/>
            <w:webHidden/>
          </w:rPr>
        </w:r>
        <w:r w:rsidR="006E4AAD">
          <w:rPr>
            <w:noProof/>
            <w:webHidden/>
          </w:rPr>
          <w:fldChar w:fldCharType="separate"/>
        </w:r>
        <w:r w:rsidR="00EB634D">
          <w:rPr>
            <w:noProof/>
            <w:webHidden/>
          </w:rPr>
          <w:t>146</w:t>
        </w:r>
        <w:r w:rsidR="006E4AAD">
          <w:rPr>
            <w:noProof/>
            <w:webHidden/>
          </w:rPr>
          <w:fldChar w:fldCharType="end"/>
        </w:r>
      </w:hyperlink>
    </w:p>
    <w:p w14:paraId="00C3E1EC" w14:textId="5C20183A" w:rsidR="006E4AAD" w:rsidRDefault="00A1102D">
      <w:pPr>
        <w:pStyle w:val="TOC2"/>
        <w:rPr>
          <w:rFonts w:asciiTheme="minorHAnsi" w:eastAsiaTheme="minorEastAsia" w:hAnsiTheme="minorHAnsi"/>
          <w:noProof/>
          <w:color w:val="auto"/>
          <w:lang w:eastAsia="en-AU"/>
        </w:rPr>
      </w:pPr>
      <w:hyperlink w:anchor="_Toc13225560" w:history="1">
        <w:r w:rsidR="006E4AAD" w:rsidRPr="009764D7">
          <w:rPr>
            <w:rStyle w:val="Hyperlink"/>
            <w:noProof/>
            <w14:scene3d>
              <w14:camera w14:prst="orthographicFront"/>
              <w14:lightRig w14:rig="threePt" w14:dir="t">
                <w14:rot w14:lat="0" w14:lon="0" w14:rev="0"/>
              </w14:lightRig>
            </w14:scene3d>
          </w:rPr>
          <w:t>5.10</w:t>
        </w:r>
        <w:r w:rsidR="006E4AAD">
          <w:rPr>
            <w:rFonts w:asciiTheme="minorHAnsi" w:eastAsiaTheme="minorEastAsia" w:hAnsiTheme="minorHAnsi"/>
            <w:noProof/>
            <w:color w:val="auto"/>
            <w:lang w:eastAsia="en-AU"/>
          </w:rPr>
          <w:tab/>
        </w:r>
        <w:r w:rsidR="006E4AAD" w:rsidRPr="009764D7">
          <w:rPr>
            <w:rStyle w:val="Hyperlink"/>
            <w:noProof/>
          </w:rPr>
          <w:t>SPL recycling facilities</w:t>
        </w:r>
        <w:r w:rsidR="006E4AAD">
          <w:rPr>
            <w:noProof/>
            <w:webHidden/>
          </w:rPr>
          <w:tab/>
        </w:r>
        <w:r w:rsidR="006E4AAD">
          <w:rPr>
            <w:noProof/>
            <w:webHidden/>
          </w:rPr>
          <w:fldChar w:fldCharType="begin"/>
        </w:r>
        <w:r w:rsidR="006E4AAD">
          <w:rPr>
            <w:noProof/>
            <w:webHidden/>
          </w:rPr>
          <w:instrText xml:space="preserve"> PAGEREF _Toc13225560 \h </w:instrText>
        </w:r>
        <w:r w:rsidR="006E4AAD">
          <w:rPr>
            <w:noProof/>
            <w:webHidden/>
          </w:rPr>
        </w:r>
        <w:r w:rsidR="006E4AAD">
          <w:rPr>
            <w:noProof/>
            <w:webHidden/>
          </w:rPr>
          <w:fldChar w:fldCharType="separate"/>
        </w:r>
        <w:r w:rsidR="00EB634D">
          <w:rPr>
            <w:noProof/>
            <w:webHidden/>
          </w:rPr>
          <w:t>146</w:t>
        </w:r>
        <w:r w:rsidR="006E4AAD">
          <w:rPr>
            <w:noProof/>
            <w:webHidden/>
          </w:rPr>
          <w:fldChar w:fldCharType="end"/>
        </w:r>
      </w:hyperlink>
    </w:p>
    <w:p w14:paraId="75BEB854" w14:textId="133E9842" w:rsidR="006E4AAD" w:rsidRDefault="00A1102D">
      <w:pPr>
        <w:pStyle w:val="TOC2"/>
        <w:rPr>
          <w:rFonts w:asciiTheme="minorHAnsi" w:eastAsiaTheme="minorEastAsia" w:hAnsiTheme="minorHAnsi"/>
          <w:noProof/>
          <w:color w:val="auto"/>
          <w:lang w:eastAsia="en-AU"/>
        </w:rPr>
      </w:pPr>
      <w:hyperlink w:anchor="_Toc13225561" w:history="1">
        <w:r w:rsidR="006E4AAD" w:rsidRPr="009764D7">
          <w:rPr>
            <w:rStyle w:val="Hyperlink"/>
            <w:noProof/>
            <w14:scene3d>
              <w14:camera w14:prst="orthographicFront"/>
              <w14:lightRig w14:rig="threePt" w14:dir="t">
                <w14:rot w14:lat="0" w14:lon="0" w14:rev="0"/>
              </w14:lightRig>
            </w14:scene3d>
          </w:rPr>
          <w:t>5.11</w:t>
        </w:r>
        <w:r w:rsidR="006E4AAD">
          <w:rPr>
            <w:rFonts w:asciiTheme="minorHAnsi" w:eastAsiaTheme="minorEastAsia" w:hAnsiTheme="minorHAnsi"/>
            <w:noProof/>
            <w:color w:val="auto"/>
            <w:lang w:eastAsia="en-AU"/>
          </w:rPr>
          <w:tab/>
        </w:r>
        <w:r w:rsidR="006E4AAD" w:rsidRPr="009764D7">
          <w:rPr>
            <w:rStyle w:val="Hyperlink"/>
            <w:noProof/>
          </w:rPr>
          <w:t>Hazardous waste energy recovery facilities</w:t>
        </w:r>
        <w:r w:rsidR="006E4AAD">
          <w:rPr>
            <w:noProof/>
            <w:webHidden/>
          </w:rPr>
          <w:tab/>
        </w:r>
        <w:r w:rsidR="006E4AAD">
          <w:rPr>
            <w:noProof/>
            <w:webHidden/>
          </w:rPr>
          <w:fldChar w:fldCharType="begin"/>
        </w:r>
        <w:r w:rsidR="006E4AAD">
          <w:rPr>
            <w:noProof/>
            <w:webHidden/>
          </w:rPr>
          <w:instrText xml:space="preserve"> PAGEREF _Toc13225561 \h </w:instrText>
        </w:r>
        <w:r w:rsidR="006E4AAD">
          <w:rPr>
            <w:noProof/>
            <w:webHidden/>
          </w:rPr>
        </w:r>
        <w:r w:rsidR="006E4AAD">
          <w:rPr>
            <w:noProof/>
            <w:webHidden/>
          </w:rPr>
          <w:fldChar w:fldCharType="separate"/>
        </w:r>
        <w:r w:rsidR="00EB634D">
          <w:rPr>
            <w:noProof/>
            <w:webHidden/>
          </w:rPr>
          <w:t>147</w:t>
        </w:r>
        <w:r w:rsidR="006E4AAD">
          <w:rPr>
            <w:noProof/>
            <w:webHidden/>
          </w:rPr>
          <w:fldChar w:fldCharType="end"/>
        </w:r>
      </w:hyperlink>
    </w:p>
    <w:p w14:paraId="30B2650E" w14:textId="0A8CDF1D" w:rsidR="006E4AAD" w:rsidRDefault="00A1102D">
      <w:pPr>
        <w:pStyle w:val="TOC2"/>
        <w:rPr>
          <w:rFonts w:asciiTheme="minorHAnsi" w:eastAsiaTheme="minorEastAsia" w:hAnsiTheme="minorHAnsi"/>
          <w:noProof/>
          <w:color w:val="auto"/>
          <w:lang w:eastAsia="en-AU"/>
        </w:rPr>
      </w:pPr>
      <w:hyperlink w:anchor="_Toc13225562" w:history="1">
        <w:r w:rsidR="006E4AAD" w:rsidRPr="009764D7">
          <w:rPr>
            <w:rStyle w:val="Hyperlink"/>
            <w:noProof/>
            <w14:scene3d>
              <w14:camera w14:prst="orthographicFront"/>
              <w14:lightRig w14:rig="threePt" w14:dir="t">
                <w14:rot w14:lat="0" w14:lon="0" w14:rev="0"/>
              </w14:lightRig>
            </w14:scene3d>
          </w:rPr>
          <w:t>5.12</w:t>
        </w:r>
        <w:r w:rsidR="006E4AAD">
          <w:rPr>
            <w:rFonts w:asciiTheme="minorHAnsi" w:eastAsiaTheme="minorEastAsia" w:hAnsiTheme="minorHAnsi"/>
            <w:noProof/>
            <w:color w:val="auto"/>
            <w:lang w:eastAsia="en-AU"/>
          </w:rPr>
          <w:tab/>
        </w:r>
        <w:r w:rsidR="006E4AAD" w:rsidRPr="009764D7">
          <w:rPr>
            <w:rStyle w:val="Hyperlink"/>
            <w:noProof/>
          </w:rPr>
          <w:t>Chemical and physical treatment (CPT) plant facilities</w:t>
        </w:r>
        <w:r w:rsidR="006E4AAD">
          <w:rPr>
            <w:noProof/>
            <w:webHidden/>
          </w:rPr>
          <w:tab/>
        </w:r>
        <w:r w:rsidR="006E4AAD">
          <w:rPr>
            <w:noProof/>
            <w:webHidden/>
          </w:rPr>
          <w:fldChar w:fldCharType="begin"/>
        </w:r>
        <w:r w:rsidR="006E4AAD">
          <w:rPr>
            <w:noProof/>
            <w:webHidden/>
          </w:rPr>
          <w:instrText xml:space="preserve"> PAGEREF _Toc13225562 \h </w:instrText>
        </w:r>
        <w:r w:rsidR="006E4AAD">
          <w:rPr>
            <w:noProof/>
            <w:webHidden/>
          </w:rPr>
        </w:r>
        <w:r w:rsidR="006E4AAD">
          <w:rPr>
            <w:noProof/>
            <w:webHidden/>
          </w:rPr>
          <w:fldChar w:fldCharType="separate"/>
        </w:r>
        <w:r w:rsidR="00EB634D">
          <w:rPr>
            <w:noProof/>
            <w:webHidden/>
          </w:rPr>
          <w:t>147</w:t>
        </w:r>
        <w:r w:rsidR="006E4AAD">
          <w:rPr>
            <w:noProof/>
            <w:webHidden/>
          </w:rPr>
          <w:fldChar w:fldCharType="end"/>
        </w:r>
      </w:hyperlink>
    </w:p>
    <w:p w14:paraId="46DB96BD" w14:textId="2253171E" w:rsidR="006E4AAD" w:rsidRDefault="00A1102D">
      <w:pPr>
        <w:pStyle w:val="TOC2"/>
        <w:rPr>
          <w:rFonts w:asciiTheme="minorHAnsi" w:eastAsiaTheme="minorEastAsia" w:hAnsiTheme="minorHAnsi"/>
          <w:noProof/>
          <w:color w:val="auto"/>
          <w:lang w:eastAsia="en-AU"/>
        </w:rPr>
      </w:pPr>
      <w:hyperlink w:anchor="_Toc13225563" w:history="1">
        <w:r w:rsidR="006E4AAD" w:rsidRPr="009764D7">
          <w:rPr>
            <w:rStyle w:val="Hyperlink"/>
            <w:noProof/>
            <w14:scene3d>
              <w14:camera w14:prst="orthographicFront"/>
              <w14:lightRig w14:rig="threePt" w14:dir="t">
                <w14:rot w14:lat="0" w14:lon="0" w14:rev="0"/>
              </w14:lightRig>
            </w14:scene3d>
          </w:rPr>
          <w:t>5.13</w:t>
        </w:r>
        <w:r w:rsidR="006E4AAD">
          <w:rPr>
            <w:rFonts w:asciiTheme="minorHAnsi" w:eastAsiaTheme="minorEastAsia" w:hAnsiTheme="minorHAnsi"/>
            <w:noProof/>
            <w:color w:val="auto"/>
            <w:lang w:eastAsia="en-AU"/>
          </w:rPr>
          <w:tab/>
        </w:r>
        <w:r w:rsidR="006E4AAD" w:rsidRPr="009764D7">
          <w:rPr>
            <w:rStyle w:val="Hyperlink"/>
            <w:noProof/>
          </w:rPr>
          <w:t>Clinical waste treatment facilities</w:t>
        </w:r>
        <w:r w:rsidR="006E4AAD">
          <w:rPr>
            <w:noProof/>
            <w:webHidden/>
          </w:rPr>
          <w:tab/>
        </w:r>
        <w:r w:rsidR="006E4AAD">
          <w:rPr>
            <w:noProof/>
            <w:webHidden/>
          </w:rPr>
          <w:fldChar w:fldCharType="begin"/>
        </w:r>
        <w:r w:rsidR="006E4AAD">
          <w:rPr>
            <w:noProof/>
            <w:webHidden/>
          </w:rPr>
          <w:instrText xml:space="preserve"> PAGEREF _Toc13225563 \h </w:instrText>
        </w:r>
        <w:r w:rsidR="006E4AAD">
          <w:rPr>
            <w:noProof/>
            <w:webHidden/>
          </w:rPr>
        </w:r>
        <w:r w:rsidR="006E4AAD">
          <w:rPr>
            <w:noProof/>
            <w:webHidden/>
          </w:rPr>
          <w:fldChar w:fldCharType="separate"/>
        </w:r>
        <w:r w:rsidR="00EB634D">
          <w:rPr>
            <w:noProof/>
            <w:webHidden/>
          </w:rPr>
          <w:t>148</w:t>
        </w:r>
        <w:r w:rsidR="006E4AAD">
          <w:rPr>
            <w:noProof/>
            <w:webHidden/>
          </w:rPr>
          <w:fldChar w:fldCharType="end"/>
        </w:r>
      </w:hyperlink>
    </w:p>
    <w:p w14:paraId="7132A387" w14:textId="74966FAB" w:rsidR="006E4AAD" w:rsidRDefault="00A1102D">
      <w:pPr>
        <w:pStyle w:val="TOC2"/>
        <w:rPr>
          <w:rFonts w:asciiTheme="minorHAnsi" w:eastAsiaTheme="minorEastAsia" w:hAnsiTheme="minorHAnsi"/>
          <w:noProof/>
          <w:color w:val="auto"/>
          <w:lang w:eastAsia="en-AU"/>
        </w:rPr>
      </w:pPr>
      <w:hyperlink w:anchor="_Toc13225564" w:history="1">
        <w:r w:rsidR="006E4AAD" w:rsidRPr="009764D7">
          <w:rPr>
            <w:rStyle w:val="Hyperlink"/>
            <w:noProof/>
            <w14:scene3d>
              <w14:camera w14:prst="orthographicFront"/>
              <w14:lightRig w14:rig="threePt" w14:dir="t">
                <w14:rot w14:lat="0" w14:lon="0" w14:rev="0"/>
              </w14:lightRig>
            </w14:scene3d>
          </w:rPr>
          <w:t>5.14</w:t>
        </w:r>
        <w:r w:rsidR="006E4AAD">
          <w:rPr>
            <w:rFonts w:asciiTheme="minorHAnsi" w:eastAsiaTheme="minorEastAsia" w:hAnsiTheme="minorHAnsi"/>
            <w:noProof/>
            <w:color w:val="auto"/>
            <w:lang w:eastAsia="en-AU"/>
          </w:rPr>
          <w:tab/>
        </w:r>
        <w:r w:rsidR="006E4AAD" w:rsidRPr="009764D7">
          <w:rPr>
            <w:rStyle w:val="Hyperlink"/>
            <w:noProof/>
          </w:rPr>
          <w:t>Bioremediation facilities</w:t>
        </w:r>
        <w:r w:rsidR="006E4AAD">
          <w:rPr>
            <w:noProof/>
            <w:webHidden/>
          </w:rPr>
          <w:tab/>
        </w:r>
        <w:r w:rsidR="006E4AAD">
          <w:rPr>
            <w:noProof/>
            <w:webHidden/>
          </w:rPr>
          <w:fldChar w:fldCharType="begin"/>
        </w:r>
        <w:r w:rsidR="006E4AAD">
          <w:rPr>
            <w:noProof/>
            <w:webHidden/>
          </w:rPr>
          <w:instrText xml:space="preserve"> PAGEREF _Toc13225564 \h </w:instrText>
        </w:r>
        <w:r w:rsidR="006E4AAD">
          <w:rPr>
            <w:noProof/>
            <w:webHidden/>
          </w:rPr>
        </w:r>
        <w:r w:rsidR="006E4AAD">
          <w:rPr>
            <w:noProof/>
            <w:webHidden/>
          </w:rPr>
          <w:fldChar w:fldCharType="separate"/>
        </w:r>
        <w:r w:rsidR="00EB634D">
          <w:rPr>
            <w:noProof/>
            <w:webHidden/>
          </w:rPr>
          <w:t>148</w:t>
        </w:r>
        <w:r w:rsidR="006E4AAD">
          <w:rPr>
            <w:noProof/>
            <w:webHidden/>
          </w:rPr>
          <w:fldChar w:fldCharType="end"/>
        </w:r>
      </w:hyperlink>
    </w:p>
    <w:p w14:paraId="3EB86E33" w14:textId="1FF15D51" w:rsidR="006E4AAD" w:rsidRDefault="00A1102D">
      <w:pPr>
        <w:pStyle w:val="TOC2"/>
        <w:rPr>
          <w:rFonts w:asciiTheme="minorHAnsi" w:eastAsiaTheme="minorEastAsia" w:hAnsiTheme="minorHAnsi"/>
          <w:noProof/>
          <w:color w:val="auto"/>
          <w:lang w:eastAsia="en-AU"/>
        </w:rPr>
      </w:pPr>
      <w:hyperlink w:anchor="_Toc13225565" w:history="1">
        <w:r w:rsidR="006E4AAD" w:rsidRPr="009764D7">
          <w:rPr>
            <w:rStyle w:val="Hyperlink"/>
            <w:noProof/>
            <w14:scene3d>
              <w14:camera w14:prst="orthographicFront"/>
              <w14:lightRig w14:rig="threePt" w14:dir="t">
                <w14:rot w14:lat="0" w14:lon="0" w14:rev="0"/>
              </w14:lightRig>
            </w14:scene3d>
          </w:rPr>
          <w:t>5.15</w:t>
        </w:r>
        <w:r w:rsidR="006E4AAD">
          <w:rPr>
            <w:rFonts w:asciiTheme="minorHAnsi" w:eastAsiaTheme="minorEastAsia" w:hAnsiTheme="minorHAnsi"/>
            <w:noProof/>
            <w:color w:val="auto"/>
            <w:lang w:eastAsia="en-AU"/>
          </w:rPr>
          <w:tab/>
        </w:r>
        <w:r w:rsidR="006E4AAD" w:rsidRPr="009764D7">
          <w:rPr>
            <w:rStyle w:val="Hyperlink"/>
            <w:noProof/>
          </w:rPr>
          <w:t>Oily water treatment (OWT) facilities</w:t>
        </w:r>
        <w:r w:rsidR="006E4AAD">
          <w:rPr>
            <w:noProof/>
            <w:webHidden/>
          </w:rPr>
          <w:tab/>
        </w:r>
        <w:r w:rsidR="006E4AAD">
          <w:rPr>
            <w:noProof/>
            <w:webHidden/>
          </w:rPr>
          <w:fldChar w:fldCharType="begin"/>
        </w:r>
        <w:r w:rsidR="006E4AAD">
          <w:rPr>
            <w:noProof/>
            <w:webHidden/>
          </w:rPr>
          <w:instrText xml:space="preserve"> PAGEREF _Toc13225565 \h </w:instrText>
        </w:r>
        <w:r w:rsidR="006E4AAD">
          <w:rPr>
            <w:noProof/>
            <w:webHidden/>
          </w:rPr>
        </w:r>
        <w:r w:rsidR="006E4AAD">
          <w:rPr>
            <w:noProof/>
            <w:webHidden/>
          </w:rPr>
          <w:fldChar w:fldCharType="separate"/>
        </w:r>
        <w:r w:rsidR="00EB634D">
          <w:rPr>
            <w:noProof/>
            <w:webHidden/>
          </w:rPr>
          <w:t>149</w:t>
        </w:r>
        <w:r w:rsidR="006E4AAD">
          <w:rPr>
            <w:noProof/>
            <w:webHidden/>
          </w:rPr>
          <w:fldChar w:fldCharType="end"/>
        </w:r>
      </w:hyperlink>
    </w:p>
    <w:p w14:paraId="4468739E" w14:textId="4E99B644" w:rsidR="006E4AAD" w:rsidRDefault="00A1102D">
      <w:pPr>
        <w:pStyle w:val="TOC2"/>
        <w:rPr>
          <w:rFonts w:asciiTheme="minorHAnsi" w:eastAsiaTheme="minorEastAsia" w:hAnsiTheme="minorHAnsi"/>
          <w:noProof/>
          <w:color w:val="auto"/>
          <w:lang w:eastAsia="en-AU"/>
        </w:rPr>
      </w:pPr>
      <w:hyperlink w:anchor="_Toc13225566" w:history="1">
        <w:r w:rsidR="006E4AAD" w:rsidRPr="009764D7">
          <w:rPr>
            <w:rStyle w:val="Hyperlink"/>
            <w:noProof/>
            <w14:scene3d>
              <w14:camera w14:prst="orthographicFront"/>
              <w14:lightRig w14:rig="threePt" w14:dir="t">
                <w14:rot w14:lat="0" w14:lon="0" w14:rev="0"/>
              </w14:lightRig>
            </w14:scene3d>
          </w:rPr>
          <w:t>5.16</w:t>
        </w:r>
        <w:r w:rsidR="006E4AAD">
          <w:rPr>
            <w:rFonts w:asciiTheme="minorHAnsi" w:eastAsiaTheme="minorEastAsia" w:hAnsiTheme="minorHAnsi"/>
            <w:noProof/>
            <w:color w:val="auto"/>
            <w:lang w:eastAsia="en-AU"/>
          </w:rPr>
          <w:tab/>
        </w:r>
        <w:r w:rsidR="006E4AAD" w:rsidRPr="009764D7">
          <w:rPr>
            <w:rStyle w:val="Hyperlink"/>
            <w:noProof/>
          </w:rPr>
          <w:t>Contaminated soils treatment facilities</w:t>
        </w:r>
        <w:r w:rsidR="006E4AAD">
          <w:rPr>
            <w:noProof/>
            <w:webHidden/>
          </w:rPr>
          <w:tab/>
        </w:r>
        <w:r w:rsidR="006E4AAD">
          <w:rPr>
            <w:noProof/>
            <w:webHidden/>
          </w:rPr>
          <w:fldChar w:fldCharType="begin"/>
        </w:r>
        <w:r w:rsidR="006E4AAD">
          <w:rPr>
            <w:noProof/>
            <w:webHidden/>
          </w:rPr>
          <w:instrText xml:space="preserve"> PAGEREF _Toc13225566 \h </w:instrText>
        </w:r>
        <w:r w:rsidR="006E4AAD">
          <w:rPr>
            <w:noProof/>
            <w:webHidden/>
          </w:rPr>
        </w:r>
        <w:r w:rsidR="006E4AAD">
          <w:rPr>
            <w:noProof/>
            <w:webHidden/>
          </w:rPr>
          <w:fldChar w:fldCharType="separate"/>
        </w:r>
        <w:r w:rsidR="00EB634D">
          <w:rPr>
            <w:noProof/>
            <w:webHidden/>
          </w:rPr>
          <w:t>149</w:t>
        </w:r>
        <w:r w:rsidR="006E4AAD">
          <w:rPr>
            <w:noProof/>
            <w:webHidden/>
          </w:rPr>
          <w:fldChar w:fldCharType="end"/>
        </w:r>
      </w:hyperlink>
    </w:p>
    <w:p w14:paraId="76284D1C" w14:textId="5CB36F84" w:rsidR="006E4AAD" w:rsidRDefault="00A1102D">
      <w:pPr>
        <w:pStyle w:val="TOC2"/>
        <w:rPr>
          <w:rFonts w:asciiTheme="minorHAnsi" w:eastAsiaTheme="minorEastAsia" w:hAnsiTheme="minorHAnsi"/>
          <w:noProof/>
          <w:color w:val="auto"/>
          <w:lang w:eastAsia="en-AU"/>
        </w:rPr>
      </w:pPr>
      <w:hyperlink w:anchor="_Toc13225567" w:history="1">
        <w:r w:rsidR="006E4AAD" w:rsidRPr="009764D7">
          <w:rPr>
            <w:rStyle w:val="Hyperlink"/>
            <w:noProof/>
            <w14:scene3d>
              <w14:camera w14:prst="orthographicFront"/>
              <w14:lightRig w14:rig="threePt" w14:dir="t">
                <w14:rot w14:lat="0" w14:lon="0" w14:rev="0"/>
              </w14:lightRig>
            </w14:scene3d>
          </w:rPr>
          <w:t>5.17</w:t>
        </w:r>
        <w:r w:rsidR="006E4AAD">
          <w:rPr>
            <w:rFonts w:asciiTheme="minorHAnsi" w:eastAsiaTheme="minorEastAsia" w:hAnsiTheme="minorHAnsi"/>
            <w:noProof/>
            <w:color w:val="auto"/>
            <w:lang w:eastAsia="en-AU"/>
          </w:rPr>
          <w:tab/>
        </w:r>
        <w:r w:rsidR="006E4AAD" w:rsidRPr="009764D7">
          <w:rPr>
            <w:rStyle w:val="Hyperlink"/>
            <w:noProof/>
          </w:rPr>
          <w:t>Hazardous waste landfill facilities</w:t>
        </w:r>
        <w:r w:rsidR="006E4AAD">
          <w:rPr>
            <w:noProof/>
            <w:webHidden/>
          </w:rPr>
          <w:tab/>
        </w:r>
        <w:r w:rsidR="006E4AAD">
          <w:rPr>
            <w:noProof/>
            <w:webHidden/>
          </w:rPr>
          <w:fldChar w:fldCharType="begin"/>
        </w:r>
        <w:r w:rsidR="006E4AAD">
          <w:rPr>
            <w:noProof/>
            <w:webHidden/>
          </w:rPr>
          <w:instrText xml:space="preserve"> PAGEREF _Toc13225567 \h </w:instrText>
        </w:r>
        <w:r w:rsidR="006E4AAD">
          <w:rPr>
            <w:noProof/>
            <w:webHidden/>
          </w:rPr>
        </w:r>
        <w:r w:rsidR="006E4AAD">
          <w:rPr>
            <w:noProof/>
            <w:webHidden/>
          </w:rPr>
          <w:fldChar w:fldCharType="separate"/>
        </w:r>
        <w:r w:rsidR="00EB634D">
          <w:rPr>
            <w:noProof/>
            <w:webHidden/>
          </w:rPr>
          <w:t>150</w:t>
        </w:r>
        <w:r w:rsidR="006E4AAD">
          <w:rPr>
            <w:noProof/>
            <w:webHidden/>
          </w:rPr>
          <w:fldChar w:fldCharType="end"/>
        </w:r>
      </w:hyperlink>
    </w:p>
    <w:p w14:paraId="03232DC7" w14:textId="63CEBE3D" w:rsidR="006E4AAD" w:rsidRDefault="00A1102D">
      <w:pPr>
        <w:pStyle w:val="TOC2"/>
        <w:rPr>
          <w:rFonts w:asciiTheme="minorHAnsi" w:eastAsiaTheme="minorEastAsia" w:hAnsiTheme="minorHAnsi"/>
          <w:noProof/>
          <w:color w:val="auto"/>
          <w:lang w:eastAsia="en-AU"/>
        </w:rPr>
      </w:pPr>
      <w:hyperlink w:anchor="_Toc13225568" w:history="1">
        <w:r w:rsidR="006E4AAD" w:rsidRPr="009764D7">
          <w:rPr>
            <w:rStyle w:val="Hyperlink"/>
            <w:noProof/>
            <w14:scene3d>
              <w14:camera w14:prst="orthographicFront"/>
              <w14:lightRig w14:rig="threePt" w14:dir="t">
                <w14:rot w14:lat="0" w14:lon="0" w14:rev="0"/>
              </w14:lightRig>
            </w14:scene3d>
          </w:rPr>
          <w:t>5.18</w:t>
        </w:r>
        <w:r w:rsidR="006E4AAD">
          <w:rPr>
            <w:rFonts w:asciiTheme="minorHAnsi" w:eastAsiaTheme="minorEastAsia" w:hAnsiTheme="minorHAnsi"/>
            <w:noProof/>
            <w:color w:val="auto"/>
            <w:lang w:eastAsia="en-AU"/>
          </w:rPr>
          <w:tab/>
        </w:r>
        <w:r w:rsidR="006E4AAD" w:rsidRPr="009764D7">
          <w:rPr>
            <w:rStyle w:val="Hyperlink"/>
            <w:noProof/>
          </w:rPr>
          <w:t>POP thermal destruction facilities</w:t>
        </w:r>
        <w:r w:rsidR="006E4AAD">
          <w:rPr>
            <w:noProof/>
            <w:webHidden/>
          </w:rPr>
          <w:tab/>
        </w:r>
        <w:r w:rsidR="006E4AAD">
          <w:rPr>
            <w:noProof/>
            <w:webHidden/>
          </w:rPr>
          <w:fldChar w:fldCharType="begin"/>
        </w:r>
        <w:r w:rsidR="006E4AAD">
          <w:rPr>
            <w:noProof/>
            <w:webHidden/>
          </w:rPr>
          <w:instrText xml:space="preserve"> PAGEREF _Toc13225568 \h </w:instrText>
        </w:r>
        <w:r w:rsidR="006E4AAD">
          <w:rPr>
            <w:noProof/>
            <w:webHidden/>
          </w:rPr>
        </w:r>
        <w:r w:rsidR="006E4AAD">
          <w:rPr>
            <w:noProof/>
            <w:webHidden/>
          </w:rPr>
          <w:fldChar w:fldCharType="separate"/>
        </w:r>
        <w:r w:rsidR="00EB634D">
          <w:rPr>
            <w:noProof/>
            <w:webHidden/>
          </w:rPr>
          <w:t>151</w:t>
        </w:r>
        <w:r w:rsidR="006E4AAD">
          <w:rPr>
            <w:noProof/>
            <w:webHidden/>
          </w:rPr>
          <w:fldChar w:fldCharType="end"/>
        </w:r>
      </w:hyperlink>
    </w:p>
    <w:p w14:paraId="779FCF7B" w14:textId="7BC99275" w:rsidR="006E4AAD" w:rsidRDefault="00A1102D">
      <w:pPr>
        <w:pStyle w:val="TOC2"/>
        <w:rPr>
          <w:rFonts w:asciiTheme="minorHAnsi" w:eastAsiaTheme="minorEastAsia" w:hAnsiTheme="minorHAnsi"/>
          <w:noProof/>
          <w:color w:val="auto"/>
          <w:lang w:eastAsia="en-AU"/>
        </w:rPr>
      </w:pPr>
      <w:hyperlink w:anchor="_Toc13225569" w:history="1">
        <w:r w:rsidR="006E4AAD" w:rsidRPr="009764D7">
          <w:rPr>
            <w:rStyle w:val="Hyperlink"/>
            <w:noProof/>
            <w14:scene3d>
              <w14:camera w14:prst="orthographicFront"/>
              <w14:lightRig w14:rig="threePt" w14:dir="t">
                <w14:rot w14:lat="0" w14:lon="0" w14:rev="0"/>
              </w14:lightRig>
            </w14:scene3d>
          </w:rPr>
          <w:t>5.19</w:t>
        </w:r>
        <w:r w:rsidR="006E4AAD">
          <w:rPr>
            <w:rFonts w:asciiTheme="minorHAnsi" w:eastAsiaTheme="minorEastAsia" w:hAnsiTheme="minorHAnsi"/>
            <w:noProof/>
            <w:color w:val="auto"/>
            <w:lang w:eastAsia="en-AU"/>
          </w:rPr>
          <w:tab/>
        </w:r>
        <w:r w:rsidR="006E4AAD" w:rsidRPr="009764D7">
          <w:rPr>
            <w:rStyle w:val="Hyperlink"/>
            <w:noProof/>
          </w:rPr>
          <w:t>Clinical waste thermal destruction facilities</w:t>
        </w:r>
        <w:r w:rsidR="006E4AAD">
          <w:rPr>
            <w:noProof/>
            <w:webHidden/>
          </w:rPr>
          <w:tab/>
        </w:r>
        <w:r w:rsidR="006E4AAD">
          <w:rPr>
            <w:noProof/>
            <w:webHidden/>
          </w:rPr>
          <w:fldChar w:fldCharType="begin"/>
        </w:r>
        <w:r w:rsidR="006E4AAD">
          <w:rPr>
            <w:noProof/>
            <w:webHidden/>
          </w:rPr>
          <w:instrText xml:space="preserve"> PAGEREF _Toc13225569 \h </w:instrText>
        </w:r>
        <w:r w:rsidR="006E4AAD">
          <w:rPr>
            <w:noProof/>
            <w:webHidden/>
          </w:rPr>
        </w:r>
        <w:r w:rsidR="006E4AAD">
          <w:rPr>
            <w:noProof/>
            <w:webHidden/>
          </w:rPr>
          <w:fldChar w:fldCharType="separate"/>
        </w:r>
        <w:r w:rsidR="00EB634D">
          <w:rPr>
            <w:noProof/>
            <w:webHidden/>
          </w:rPr>
          <w:t>152</w:t>
        </w:r>
        <w:r w:rsidR="006E4AAD">
          <w:rPr>
            <w:noProof/>
            <w:webHidden/>
          </w:rPr>
          <w:fldChar w:fldCharType="end"/>
        </w:r>
      </w:hyperlink>
    </w:p>
    <w:p w14:paraId="48E7979F" w14:textId="6A525FF8" w:rsidR="006E4AAD" w:rsidRDefault="00A1102D">
      <w:pPr>
        <w:pStyle w:val="TOC2"/>
        <w:rPr>
          <w:rFonts w:asciiTheme="minorHAnsi" w:eastAsiaTheme="minorEastAsia" w:hAnsiTheme="minorHAnsi"/>
          <w:noProof/>
          <w:color w:val="auto"/>
          <w:lang w:eastAsia="en-AU"/>
        </w:rPr>
      </w:pPr>
      <w:hyperlink w:anchor="_Toc13225570" w:history="1">
        <w:r w:rsidR="006E4AAD" w:rsidRPr="009764D7">
          <w:rPr>
            <w:rStyle w:val="Hyperlink"/>
            <w:noProof/>
            <w14:scene3d>
              <w14:camera w14:prst="orthographicFront"/>
              <w14:lightRig w14:rig="threePt" w14:dir="t">
                <w14:rot w14:lat="0" w14:lon="0" w14:rev="0"/>
              </w14:lightRig>
            </w14:scene3d>
          </w:rPr>
          <w:t>5.20</w:t>
        </w:r>
        <w:r w:rsidR="006E4AAD">
          <w:rPr>
            <w:rFonts w:asciiTheme="minorHAnsi" w:eastAsiaTheme="minorEastAsia" w:hAnsiTheme="minorHAnsi"/>
            <w:noProof/>
            <w:color w:val="auto"/>
            <w:lang w:eastAsia="en-AU"/>
          </w:rPr>
          <w:tab/>
        </w:r>
        <w:r w:rsidR="006E4AAD" w:rsidRPr="009764D7">
          <w:rPr>
            <w:rStyle w:val="Hyperlink"/>
            <w:noProof/>
          </w:rPr>
          <w:t>Transfer station or temporary storage facilities</w:t>
        </w:r>
        <w:r w:rsidR="006E4AAD">
          <w:rPr>
            <w:noProof/>
            <w:webHidden/>
          </w:rPr>
          <w:tab/>
        </w:r>
        <w:r w:rsidR="006E4AAD">
          <w:rPr>
            <w:noProof/>
            <w:webHidden/>
          </w:rPr>
          <w:fldChar w:fldCharType="begin"/>
        </w:r>
        <w:r w:rsidR="006E4AAD">
          <w:rPr>
            <w:noProof/>
            <w:webHidden/>
          </w:rPr>
          <w:instrText xml:space="preserve"> PAGEREF _Toc13225570 \h </w:instrText>
        </w:r>
        <w:r w:rsidR="006E4AAD">
          <w:rPr>
            <w:noProof/>
            <w:webHidden/>
          </w:rPr>
        </w:r>
        <w:r w:rsidR="006E4AAD">
          <w:rPr>
            <w:noProof/>
            <w:webHidden/>
          </w:rPr>
          <w:fldChar w:fldCharType="separate"/>
        </w:r>
        <w:r w:rsidR="00EB634D">
          <w:rPr>
            <w:noProof/>
            <w:webHidden/>
          </w:rPr>
          <w:t>152</w:t>
        </w:r>
        <w:r w:rsidR="006E4AAD">
          <w:rPr>
            <w:noProof/>
            <w:webHidden/>
          </w:rPr>
          <w:fldChar w:fldCharType="end"/>
        </w:r>
      </w:hyperlink>
    </w:p>
    <w:p w14:paraId="77B09BEE" w14:textId="174971B8" w:rsidR="006E4AAD" w:rsidRDefault="00A1102D">
      <w:pPr>
        <w:pStyle w:val="TOC2"/>
        <w:rPr>
          <w:rFonts w:asciiTheme="minorHAnsi" w:eastAsiaTheme="minorEastAsia" w:hAnsiTheme="minorHAnsi"/>
          <w:noProof/>
          <w:color w:val="auto"/>
          <w:lang w:eastAsia="en-AU"/>
        </w:rPr>
      </w:pPr>
      <w:hyperlink w:anchor="_Toc13225571" w:history="1">
        <w:r w:rsidR="006E4AAD" w:rsidRPr="009764D7">
          <w:rPr>
            <w:rStyle w:val="Hyperlink"/>
            <w:noProof/>
            <w14:scene3d>
              <w14:camera w14:prst="orthographicFront"/>
              <w14:lightRig w14:rig="threePt" w14:dir="t">
                <w14:rot w14:lat="0" w14:lon="0" w14:rev="0"/>
              </w14:lightRig>
            </w14:scene3d>
          </w:rPr>
          <w:t>5.21</w:t>
        </w:r>
        <w:r w:rsidR="006E4AAD">
          <w:rPr>
            <w:rFonts w:asciiTheme="minorHAnsi" w:eastAsiaTheme="minorEastAsia" w:hAnsiTheme="minorHAnsi"/>
            <w:noProof/>
            <w:color w:val="auto"/>
            <w:lang w:eastAsia="en-AU"/>
          </w:rPr>
          <w:tab/>
        </w:r>
        <w:r w:rsidR="006E4AAD" w:rsidRPr="009764D7">
          <w:rPr>
            <w:rStyle w:val="Hyperlink"/>
            <w:noProof/>
          </w:rPr>
          <w:t>Long-term isolation facilities</w:t>
        </w:r>
        <w:r w:rsidR="006E4AAD">
          <w:rPr>
            <w:noProof/>
            <w:webHidden/>
          </w:rPr>
          <w:tab/>
        </w:r>
        <w:r w:rsidR="006E4AAD">
          <w:rPr>
            <w:noProof/>
            <w:webHidden/>
          </w:rPr>
          <w:fldChar w:fldCharType="begin"/>
        </w:r>
        <w:r w:rsidR="006E4AAD">
          <w:rPr>
            <w:noProof/>
            <w:webHidden/>
          </w:rPr>
          <w:instrText xml:space="preserve"> PAGEREF _Toc13225571 \h </w:instrText>
        </w:r>
        <w:r w:rsidR="006E4AAD">
          <w:rPr>
            <w:noProof/>
            <w:webHidden/>
          </w:rPr>
        </w:r>
        <w:r w:rsidR="006E4AAD">
          <w:rPr>
            <w:noProof/>
            <w:webHidden/>
          </w:rPr>
          <w:fldChar w:fldCharType="separate"/>
        </w:r>
        <w:r w:rsidR="00EB634D">
          <w:rPr>
            <w:noProof/>
            <w:webHidden/>
          </w:rPr>
          <w:t>153</w:t>
        </w:r>
        <w:r w:rsidR="006E4AAD">
          <w:rPr>
            <w:noProof/>
            <w:webHidden/>
          </w:rPr>
          <w:fldChar w:fldCharType="end"/>
        </w:r>
      </w:hyperlink>
    </w:p>
    <w:p w14:paraId="4D5AEC40" w14:textId="45A22687" w:rsidR="006E4AAD" w:rsidRDefault="00A1102D">
      <w:pPr>
        <w:pStyle w:val="TOC2"/>
        <w:rPr>
          <w:rFonts w:asciiTheme="minorHAnsi" w:eastAsiaTheme="minorEastAsia" w:hAnsiTheme="minorHAnsi"/>
          <w:noProof/>
          <w:color w:val="auto"/>
          <w:lang w:eastAsia="en-AU"/>
        </w:rPr>
      </w:pPr>
      <w:hyperlink w:anchor="_Toc13225572" w:history="1">
        <w:r w:rsidR="006E4AAD" w:rsidRPr="009764D7">
          <w:rPr>
            <w:rStyle w:val="Hyperlink"/>
            <w:noProof/>
            <w14:scene3d>
              <w14:camera w14:prst="orthographicFront"/>
              <w14:lightRig w14:rig="threePt" w14:dir="t">
                <w14:rot w14:lat="0" w14:lon="0" w14:rev="0"/>
              </w14:lightRig>
            </w14:scene3d>
          </w:rPr>
          <w:t>5.22</w:t>
        </w:r>
        <w:r w:rsidR="006E4AAD">
          <w:rPr>
            <w:rFonts w:asciiTheme="minorHAnsi" w:eastAsiaTheme="minorEastAsia" w:hAnsiTheme="minorHAnsi"/>
            <w:noProof/>
            <w:color w:val="auto"/>
            <w:lang w:eastAsia="en-AU"/>
          </w:rPr>
          <w:tab/>
        </w:r>
        <w:r w:rsidR="006E4AAD" w:rsidRPr="009764D7">
          <w:rPr>
            <w:rStyle w:val="Hyperlink"/>
            <w:noProof/>
          </w:rPr>
          <w:t>Uncertainty in assessing need vs capacity</w:t>
        </w:r>
        <w:r w:rsidR="006E4AAD">
          <w:rPr>
            <w:noProof/>
            <w:webHidden/>
          </w:rPr>
          <w:tab/>
        </w:r>
        <w:r w:rsidR="006E4AAD">
          <w:rPr>
            <w:noProof/>
            <w:webHidden/>
          </w:rPr>
          <w:fldChar w:fldCharType="begin"/>
        </w:r>
        <w:r w:rsidR="006E4AAD">
          <w:rPr>
            <w:noProof/>
            <w:webHidden/>
          </w:rPr>
          <w:instrText xml:space="preserve"> PAGEREF _Toc13225572 \h </w:instrText>
        </w:r>
        <w:r w:rsidR="006E4AAD">
          <w:rPr>
            <w:noProof/>
            <w:webHidden/>
          </w:rPr>
        </w:r>
        <w:r w:rsidR="006E4AAD">
          <w:rPr>
            <w:noProof/>
            <w:webHidden/>
          </w:rPr>
          <w:fldChar w:fldCharType="separate"/>
        </w:r>
        <w:r w:rsidR="00EB634D">
          <w:rPr>
            <w:noProof/>
            <w:webHidden/>
          </w:rPr>
          <w:t>153</w:t>
        </w:r>
        <w:r w:rsidR="006E4AAD">
          <w:rPr>
            <w:noProof/>
            <w:webHidden/>
          </w:rPr>
          <w:fldChar w:fldCharType="end"/>
        </w:r>
      </w:hyperlink>
    </w:p>
    <w:p w14:paraId="34263794" w14:textId="1A5257BE" w:rsidR="006E4AAD" w:rsidRDefault="00A1102D">
      <w:pPr>
        <w:pStyle w:val="TOC1"/>
        <w:rPr>
          <w:rFonts w:asciiTheme="minorHAnsi" w:eastAsiaTheme="minorEastAsia" w:hAnsiTheme="minorHAnsi"/>
          <w:b w:val="0"/>
          <w:noProof/>
          <w:color w:val="auto"/>
          <w:lang w:eastAsia="en-AU"/>
        </w:rPr>
      </w:pPr>
      <w:hyperlink w:anchor="_Toc13225573" w:history="1">
        <w:r w:rsidR="006E4AAD" w:rsidRPr="009764D7">
          <w:rPr>
            <w:rStyle w:val="Hyperlink"/>
            <w:noProof/>
          </w:rPr>
          <w:t>Bibliography</w:t>
        </w:r>
        <w:r w:rsidR="006E4AAD">
          <w:rPr>
            <w:noProof/>
            <w:webHidden/>
          </w:rPr>
          <w:tab/>
        </w:r>
        <w:r w:rsidR="006E4AAD">
          <w:rPr>
            <w:noProof/>
            <w:webHidden/>
          </w:rPr>
          <w:fldChar w:fldCharType="begin"/>
        </w:r>
        <w:r w:rsidR="006E4AAD">
          <w:rPr>
            <w:noProof/>
            <w:webHidden/>
          </w:rPr>
          <w:instrText xml:space="preserve"> PAGEREF _Toc13225573 \h </w:instrText>
        </w:r>
        <w:r w:rsidR="006E4AAD">
          <w:rPr>
            <w:noProof/>
            <w:webHidden/>
          </w:rPr>
        </w:r>
        <w:r w:rsidR="006E4AAD">
          <w:rPr>
            <w:noProof/>
            <w:webHidden/>
          </w:rPr>
          <w:fldChar w:fldCharType="separate"/>
        </w:r>
        <w:r w:rsidR="00EB634D">
          <w:rPr>
            <w:noProof/>
            <w:webHidden/>
          </w:rPr>
          <w:t>155</w:t>
        </w:r>
        <w:r w:rsidR="006E4AAD">
          <w:rPr>
            <w:noProof/>
            <w:webHidden/>
          </w:rPr>
          <w:fldChar w:fldCharType="end"/>
        </w:r>
      </w:hyperlink>
    </w:p>
    <w:p w14:paraId="5864298A" w14:textId="7D5CC1EC" w:rsidR="00855F59" w:rsidRPr="00100F0A" w:rsidRDefault="005B2574" w:rsidP="00855F59">
      <w:r>
        <w:rPr>
          <w:b/>
          <w:color w:val="000099"/>
        </w:rPr>
        <w:fldChar w:fldCharType="end"/>
      </w:r>
    </w:p>
    <w:p w14:paraId="159A8121" w14:textId="77777777" w:rsidR="00855F59" w:rsidRPr="00100F0A" w:rsidRDefault="00855F59" w:rsidP="00855F59">
      <w:pPr>
        <w:rPr>
          <w:b/>
          <w:color w:val="4D4DB8"/>
          <w:sz w:val="24"/>
          <w:szCs w:val="24"/>
        </w:rPr>
      </w:pPr>
      <w:r w:rsidRPr="00100F0A">
        <w:rPr>
          <w:b/>
          <w:color w:val="4D4DB8"/>
          <w:sz w:val="24"/>
          <w:szCs w:val="24"/>
        </w:rPr>
        <w:t>Appendices</w:t>
      </w:r>
    </w:p>
    <w:p w14:paraId="7A55F55A" w14:textId="76E823DB" w:rsidR="00C4417D" w:rsidRDefault="00A77E8B">
      <w:pPr>
        <w:pStyle w:val="TOC4"/>
        <w:rPr>
          <w:rFonts w:asciiTheme="minorHAnsi" w:eastAsiaTheme="minorEastAsia" w:hAnsiTheme="minorHAnsi"/>
          <w:color w:val="auto"/>
          <w:lang w:eastAsia="en-AU"/>
        </w:rPr>
      </w:pPr>
      <w:r w:rsidRPr="00100F0A">
        <w:rPr>
          <w:noProof w:val="0"/>
        </w:rPr>
        <w:fldChar w:fldCharType="begin"/>
      </w:r>
      <w:r w:rsidRPr="00100F0A">
        <w:rPr>
          <w:noProof w:val="0"/>
        </w:rPr>
        <w:instrText xml:space="preserve"> TOC \t "Appendix Heading,4" </w:instrText>
      </w:r>
      <w:r w:rsidRPr="00100F0A">
        <w:rPr>
          <w:noProof w:val="0"/>
        </w:rPr>
        <w:fldChar w:fldCharType="separate"/>
      </w:r>
      <w:r w:rsidR="00C4417D">
        <w:t>Appendix A</w:t>
      </w:r>
      <w:r w:rsidR="00C4417D">
        <w:rPr>
          <w:rFonts w:asciiTheme="minorHAnsi" w:eastAsiaTheme="minorEastAsia" w:hAnsiTheme="minorHAnsi"/>
          <w:color w:val="auto"/>
          <w:lang w:eastAsia="en-AU"/>
        </w:rPr>
        <w:tab/>
      </w:r>
      <w:r w:rsidR="00C4417D">
        <w:t>Wastes that are tracked in tracking systems</w:t>
      </w:r>
      <w:r w:rsidR="00C4417D">
        <w:tab/>
      </w:r>
      <w:r w:rsidR="00C4417D">
        <w:fldChar w:fldCharType="begin"/>
      </w:r>
      <w:r w:rsidR="00C4417D">
        <w:instrText xml:space="preserve"> PAGEREF _Toc13182562 \h </w:instrText>
      </w:r>
      <w:r w:rsidR="00C4417D">
        <w:fldChar w:fldCharType="separate"/>
      </w:r>
      <w:r w:rsidR="00EB634D">
        <w:t>158</w:t>
      </w:r>
      <w:r w:rsidR="00C4417D">
        <w:fldChar w:fldCharType="end"/>
      </w:r>
    </w:p>
    <w:p w14:paraId="4EB289E3" w14:textId="1F185ED2" w:rsidR="00C4417D" w:rsidRDefault="00C4417D">
      <w:pPr>
        <w:pStyle w:val="TOC4"/>
        <w:rPr>
          <w:rFonts w:asciiTheme="minorHAnsi" w:eastAsiaTheme="minorEastAsia" w:hAnsiTheme="minorHAnsi"/>
          <w:color w:val="auto"/>
          <w:lang w:eastAsia="en-AU"/>
        </w:rPr>
      </w:pPr>
      <w:r>
        <w:t>Appendix B</w:t>
      </w:r>
      <w:r>
        <w:rPr>
          <w:rFonts w:asciiTheme="minorHAnsi" w:eastAsiaTheme="minorEastAsia" w:hAnsiTheme="minorHAnsi"/>
          <w:color w:val="auto"/>
          <w:lang w:eastAsia="en-AU"/>
        </w:rPr>
        <w:tab/>
      </w:r>
      <w:r>
        <w:t>NEPM 75 codes links to waste groups</w:t>
      </w:r>
      <w:r>
        <w:tab/>
      </w:r>
      <w:r>
        <w:fldChar w:fldCharType="begin"/>
      </w:r>
      <w:r>
        <w:instrText xml:space="preserve"> PAGEREF _Toc13182563 \h </w:instrText>
      </w:r>
      <w:r>
        <w:fldChar w:fldCharType="separate"/>
      </w:r>
      <w:r w:rsidR="00EB634D">
        <w:t>160</w:t>
      </w:r>
      <w:r>
        <w:fldChar w:fldCharType="end"/>
      </w:r>
    </w:p>
    <w:p w14:paraId="594C35F7" w14:textId="3BCE7471" w:rsidR="003609B9" w:rsidRPr="00100F0A" w:rsidRDefault="00A77E8B" w:rsidP="007A43BA">
      <w:pPr>
        <w:pStyle w:val="BodyText"/>
      </w:pPr>
      <w:r w:rsidRPr="00100F0A">
        <w:fldChar w:fldCharType="end"/>
      </w:r>
    </w:p>
    <w:p w14:paraId="5BBF2B02" w14:textId="77777777" w:rsidR="00C31AA9" w:rsidRPr="00100F0A" w:rsidRDefault="00C31AA9" w:rsidP="00C31AA9">
      <w:pPr>
        <w:rPr>
          <w:b/>
          <w:color w:val="4D4DB8"/>
          <w:sz w:val="24"/>
          <w:szCs w:val="24"/>
        </w:rPr>
      </w:pPr>
      <w:r w:rsidRPr="00100F0A">
        <w:rPr>
          <w:b/>
          <w:color w:val="4D4DB8"/>
          <w:sz w:val="24"/>
          <w:szCs w:val="24"/>
        </w:rPr>
        <w:t>Figures</w:t>
      </w:r>
    </w:p>
    <w:p w14:paraId="2A68448F" w14:textId="119883F5" w:rsidR="006E4AAD" w:rsidRDefault="005B2574">
      <w:pPr>
        <w:pStyle w:val="TableofFigures"/>
        <w:rPr>
          <w:rFonts w:asciiTheme="minorHAnsi" w:eastAsiaTheme="minorEastAsia" w:hAnsiTheme="minorHAnsi"/>
          <w:color w:val="auto"/>
          <w:lang w:eastAsia="en-AU"/>
        </w:rPr>
      </w:pPr>
      <w:r>
        <w:fldChar w:fldCharType="begin"/>
      </w:r>
      <w:r>
        <w:instrText xml:space="preserve"> TOC \f f \c "Figure" </w:instrText>
      </w:r>
      <w:r>
        <w:fldChar w:fldCharType="separate"/>
      </w:r>
      <w:r w:rsidR="006E4AAD">
        <w:t>Figure 1:</w:t>
      </w:r>
      <w:r w:rsidR="006E4AAD">
        <w:rPr>
          <w:rFonts w:asciiTheme="minorHAnsi" w:eastAsiaTheme="minorEastAsia" w:hAnsiTheme="minorHAnsi"/>
          <w:color w:val="auto"/>
          <w:lang w:eastAsia="en-AU"/>
        </w:rPr>
        <w:tab/>
      </w:r>
      <w:r w:rsidR="006E4AAD">
        <w:t>Hierarchy for selecting the primary projection method for waste arising</w:t>
      </w:r>
      <w:r w:rsidR="006E4AAD">
        <w:tab/>
      </w:r>
      <w:r w:rsidR="006E4AAD">
        <w:fldChar w:fldCharType="begin"/>
      </w:r>
      <w:r w:rsidR="006E4AAD">
        <w:instrText xml:space="preserve"> PAGEREF _Toc13225574 \h </w:instrText>
      </w:r>
      <w:r w:rsidR="006E4AAD">
        <w:fldChar w:fldCharType="separate"/>
      </w:r>
      <w:r w:rsidR="00EB634D">
        <w:t>6</w:t>
      </w:r>
      <w:r w:rsidR="006E4AAD">
        <w:fldChar w:fldCharType="end"/>
      </w:r>
    </w:p>
    <w:p w14:paraId="7D1AFDE2" w14:textId="787B3AE5" w:rsidR="006E4AAD" w:rsidRDefault="006E4AAD">
      <w:pPr>
        <w:pStyle w:val="TableofFigures"/>
        <w:rPr>
          <w:rFonts w:asciiTheme="minorHAnsi" w:eastAsiaTheme="minorEastAsia" w:hAnsiTheme="minorHAnsi"/>
          <w:color w:val="auto"/>
          <w:lang w:eastAsia="en-AU"/>
        </w:rPr>
      </w:pPr>
      <w:r>
        <w:t>Figure 2:</w:t>
      </w:r>
      <w:r>
        <w:rPr>
          <w:rFonts w:asciiTheme="minorHAnsi" w:eastAsiaTheme="minorEastAsia" w:hAnsiTheme="minorHAnsi"/>
          <w:color w:val="auto"/>
          <w:lang w:eastAsia="en-AU"/>
        </w:rPr>
        <w:tab/>
      </w:r>
      <w:r>
        <w:t>Best estimate of national projections for all hazardous waste to 2036-37</w:t>
      </w:r>
      <w:r>
        <w:tab/>
      </w:r>
      <w:r>
        <w:fldChar w:fldCharType="begin"/>
      </w:r>
      <w:r>
        <w:instrText xml:space="preserve"> PAGEREF _Toc13225575 \h </w:instrText>
      </w:r>
      <w:r>
        <w:fldChar w:fldCharType="separate"/>
      </w:r>
      <w:r w:rsidR="00EB634D">
        <w:t>16</w:t>
      </w:r>
      <w:r>
        <w:fldChar w:fldCharType="end"/>
      </w:r>
    </w:p>
    <w:p w14:paraId="0F8AC270" w14:textId="59974EDB" w:rsidR="006E4AAD" w:rsidRDefault="006E4AAD">
      <w:pPr>
        <w:pStyle w:val="TableofFigures"/>
        <w:rPr>
          <w:rFonts w:asciiTheme="minorHAnsi" w:eastAsiaTheme="minorEastAsia" w:hAnsiTheme="minorHAnsi"/>
          <w:color w:val="auto"/>
          <w:lang w:eastAsia="en-AU"/>
        </w:rPr>
      </w:pPr>
      <w:r>
        <w:t>Figure 3:</w:t>
      </w:r>
      <w:r>
        <w:rPr>
          <w:rFonts w:asciiTheme="minorHAnsi" w:eastAsiaTheme="minorEastAsia" w:hAnsiTheme="minorHAnsi"/>
          <w:color w:val="auto"/>
          <w:lang w:eastAsia="en-AU"/>
        </w:rPr>
        <w:tab/>
      </w:r>
      <w:r>
        <w:t>High estimate of national projections for all hazardous waste to 2036-37</w:t>
      </w:r>
      <w:r>
        <w:tab/>
      </w:r>
      <w:r>
        <w:fldChar w:fldCharType="begin"/>
      </w:r>
      <w:r>
        <w:instrText xml:space="preserve"> PAGEREF _Toc13225576 \h </w:instrText>
      </w:r>
      <w:r>
        <w:fldChar w:fldCharType="separate"/>
      </w:r>
      <w:r w:rsidR="00EB634D">
        <w:t>17</w:t>
      </w:r>
      <w:r>
        <w:fldChar w:fldCharType="end"/>
      </w:r>
    </w:p>
    <w:p w14:paraId="5951F590" w14:textId="7FD39F18" w:rsidR="006E4AAD" w:rsidRDefault="006E4AAD">
      <w:pPr>
        <w:pStyle w:val="TableofFigures"/>
        <w:rPr>
          <w:rFonts w:asciiTheme="minorHAnsi" w:eastAsiaTheme="minorEastAsia" w:hAnsiTheme="minorHAnsi"/>
          <w:color w:val="auto"/>
          <w:lang w:eastAsia="en-AU"/>
        </w:rPr>
      </w:pPr>
      <w:r>
        <w:t>Figure 4:</w:t>
      </w:r>
      <w:r>
        <w:rPr>
          <w:rFonts w:asciiTheme="minorHAnsi" w:eastAsiaTheme="minorEastAsia" w:hAnsiTheme="minorHAnsi"/>
          <w:color w:val="auto"/>
          <w:lang w:eastAsia="en-AU"/>
        </w:rPr>
        <w:tab/>
      </w:r>
      <w:r>
        <w:t>Low estimate of national projections for all hazardous waste to 2036-37</w:t>
      </w:r>
      <w:r>
        <w:tab/>
      </w:r>
      <w:r>
        <w:fldChar w:fldCharType="begin"/>
      </w:r>
      <w:r>
        <w:instrText xml:space="preserve"> PAGEREF _Toc13225577 \h </w:instrText>
      </w:r>
      <w:r>
        <w:fldChar w:fldCharType="separate"/>
      </w:r>
      <w:r w:rsidR="00EB634D">
        <w:t>18</w:t>
      </w:r>
      <w:r>
        <w:fldChar w:fldCharType="end"/>
      </w:r>
    </w:p>
    <w:p w14:paraId="38467BF7" w14:textId="21F61709" w:rsidR="006E4AAD" w:rsidRDefault="006E4AAD">
      <w:pPr>
        <w:pStyle w:val="TableofFigures"/>
        <w:rPr>
          <w:rFonts w:asciiTheme="minorHAnsi" w:eastAsiaTheme="minorEastAsia" w:hAnsiTheme="minorHAnsi"/>
          <w:color w:val="auto"/>
          <w:lang w:eastAsia="en-AU"/>
        </w:rPr>
      </w:pPr>
      <w:r>
        <w:t>Figure 5:</w:t>
      </w:r>
      <w:r>
        <w:rPr>
          <w:rFonts w:asciiTheme="minorHAnsi" w:eastAsiaTheme="minorEastAsia" w:hAnsiTheme="minorHAnsi"/>
          <w:color w:val="auto"/>
          <w:lang w:eastAsia="en-AU"/>
        </w:rPr>
        <w:tab/>
      </w:r>
      <w:r>
        <w:t>Best, high and low national projection estimates of plating &amp; heat treatment waste to 2037</w:t>
      </w:r>
      <w:r>
        <w:tab/>
      </w:r>
      <w:r>
        <w:fldChar w:fldCharType="begin"/>
      </w:r>
      <w:r>
        <w:instrText xml:space="preserve"> PAGEREF _Toc13225578 \h </w:instrText>
      </w:r>
      <w:r>
        <w:fldChar w:fldCharType="separate"/>
      </w:r>
      <w:r w:rsidR="00EB634D">
        <w:t>23</w:t>
      </w:r>
      <w:r>
        <w:fldChar w:fldCharType="end"/>
      </w:r>
    </w:p>
    <w:p w14:paraId="030E86BB" w14:textId="0C3B22A4" w:rsidR="006E4AAD" w:rsidRDefault="006E4AAD">
      <w:pPr>
        <w:pStyle w:val="TableofFigures"/>
        <w:rPr>
          <w:rFonts w:asciiTheme="minorHAnsi" w:eastAsiaTheme="minorEastAsia" w:hAnsiTheme="minorHAnsi"/>
          <w:color w:val="auto"/>
          <w:lang w:eastAsia="en-AU"/>
        </w:rPr>
      </w:pPr>
      <w:r>
        <w:t>Figure 6:</w:t>
      </w:r>
      <w:r>
        <w:rPr>
          <w:rFonts w:asciiTheme="minorHAnsi" w:eastAsiaTheme="minorEastAsia" w:hAnsiTheme="minorHAnsi"/>
          <w:color w:val="auto"/>
          <w:lang w:eastAsia="en-AU"/>
        </w:rPr>
        <w:tab/>
      </w:r>
      <w:r>
        <w:t>Best, high and low national projection estimates of acid waste to 2037</w:t>
      </w:r>
      <w:r>
        <w:tab/>
      </w:r>
      <w:r>
        <w:fldChar w:fldCharType="begin"/>
      </w:r>
      <w:r>
        <w:instrText xml:space="preserve"> PAGEREF _Toc13225579 \h </w:instrText>
      </w:r>
      <w:r>
        <w:fldChar w:fldCharType="separate"/>
      </w:r>
      <w:r w:rsidR="00EB634D">
        <w:t>24</w:t>
      </w:r>
      <w:r>
        <w:fldChar w:fldCharType="end"/>
      </w:r>
    </w:p>
    <w:p w14:paraId="5F5358CC" w14:textId="2260541A" w:rsidR="006E4AAD" w:rsidRDefault="006E4AAD">
      <w:pPr>
        <w:pStyle w:val="TableofFigures"/>
        <w:rPr>
          <w:rFonts w:asciiTheme="minorHAnsi" w:eastAsiaTheme="minorEastAsia" w:hAnsiTheme="minorHAnsi"/>
          <w:color w:val="auto"/>
          <w:lang w:eastAsia="en-AU"/>
        </w:rPr>
      </w:pPr>
      <w:r>
        <w:t>Figure 7:</w:t>
      </w:r>
      <w:r>
        <w:rPr>
          <w:rFonts w:asciiTheme="minorHAnsi" w:eastAsiaTheme="minorEastAsia" w:hAnsiTheme="minorHAnsi"/>
          <w:color w:val="auto"/>
          <w:lang w:eastAsia="en-AU"/>
        </w:rPr>
        <w:tab/>
      </w:r>
      <w:r>
        <w:t>Best, high and low national projection estimates of alkali waste to 2037</w:t>
      </w:r>
      <w:r>
        <w:tab/>
      </w:r>
      <w:r>
        <w:fldChar w:fldCharType="begin"/>
      </w:r>
      <w:r>
        <w:instrText xml:space="preserve"> PAGEREF _Toc13225580 \h </w:instrText>
      </w:r>
      <w:r>
        <w:fldChar w:fldCharType="separate"/>
      </w:r>
      <w:r w:rsidR="00EB634D">
        <w:t>25</w:t>
      </w:r>
      <w:r>
        <w:fldChar w:fldCharType="end"/>
      </w:r>
    </w:p>
    <w:p w14:paraId="1B82720A" w14:textId="3238EFB2" w:rsidR="006E4AAD" w:rsidRDefault="006E4AAD">
      <w:pPr>
        <w:pStyle w:val="TableofFigures"/>
        <w:rPr>
          <w:rFonts w:asciiTheme="minorHAnsi" w:eastAsiaTheme="minorEastAsia" w:hAnsiTheme="minorHAnsi"/>
          <w:color w:val="auto"/>
          <w:lang w:eastAsia="en-AU"/>
        </w:rPr>
      </w:pPr>
      <w:r>
        <w:t>Figure 8:</w:t>
      </w:r>
      <w:r>
        <w:rPr>
          <w:rFonts w:asciiTheme="minorHAnsi" w:eastAsiaTheme="minorEastAsia" w:hAnsiTheme="minorHAnsi"/>
          <w:color w:val="auto"/>
          <w:lang w:eastAsia="en-AU"/>
        </w:rPr>
        <w:tab/>
      </w:r>
      <w:r>
        <w:t>Best, high and low national projection estimates of inorganic fluorine (SPL) waste to 2037</w:t>
      </w:r>
      <w:r>
        <w:tab/>
      </w:r>
      <w:r>
        <w:fldChar w:fldCharType="begin"/>
      </w:r>
      <w:r>
        <w:instrText xml:space="preserve"> PAGEREF _Toc13225581 \h </w:instrText>
      </w:r>
      <w:r>
        <w:fldChar w:fldCharType="separate"/>
      </w:r>
      <w:r w:rsidR="00EB634D">
        <w:t>26</w:t>
      </w:r>
      <w:r>
        <w:fldChar w:fldCharType="end"/>
      </w:r>
    </w:p>
    <w:p w14:paraId="765DB1A3" w14:textId="1CAF10BF" w:rsidR="006E4AAD" w:rsidRDefault="006E4AAD">
      <w:pPr>
        <w:pStyle w:val="TableofFigures"/>
        <w:rPr>
          <w:rFonts w:asciiTheme="minorHAnsi" w:eastAsiaTheme="minorEastAsia" w:hAnsiTheme="minorHAnsi"/>
          <w:color w:val="auto"/>
          <w:lang w:eastAsia="en-AU"/>
        </w:rPr>
      </w:pPr>
      <w:r>
        <w:t>Figure 9:</w:t>
      </w:r>
      <w:r>
        <w:rPr>
          <w:rFonts w:asciiTheme="minorHAnsi" w:eastAsiaTheme="minorEastAsia" w:hAnsiTheme="minorHAnsi"/>
          <w:color w:val="auto"/>
          <w:lang w:eastAsia="en-AU"/>
        </w:rPr>
        <w:tab/>
      </w:r>
      <w:r>
        <w:t>Best, high and low national projection estimates of mercury, mercury compounds waste to 2037</w:t>
      </w:r>
      <w:r>
        <w:tab/>
      </w:r>
      <w:r>
        <w:fldChar w:fldCharType="begin"/>
      </w:r>
      <w:r>
        <w:instrText xml:space="preserve"> PAGEREF _Toc13225582 \h </w:instrText>
      </w:r>
      <w:r>
        <w:fldChar w:fldCharType="separate"/>
      </w:r>
      <w:r w:rsidR="00EB634D">
        <w:t>28</w:t>
      </w:r>
      <w:r>
        <w:fldChar w:fldCharType="end"/>
      </w:r>
    </w:p>
    <w:p w14:paraId="0374A96A" w14:textId="531B61DD" w:rsidR="006E4AAD" w:rsidRDefault="006E4AAD">
      <w:pPr>
        <w:pStyle w:val="TableofFigures"/>
        <w:rPr>
          <w:rFonts w:asciiTheme="minorHAnsi" w:eastAsiaTheme="minorEastAsia" w:hAnsiTheme="minorHAnsi"/>
          <w:color w:val="auto"/>
          <w:lang w:eastAsia="en-AU"/>
        </w:rPr>
      </w:pPr>
      <w:r>
        <w:t>Figure 10:</w:t>
      </w:r>
      <w:r>
        <w:rPr>
          <w:rFonts w:asciiTheme="minorHAnsi" w:eastAsiaTheme="minorEastAsia" w:hAnsiTheme="minorHAnsi"/>
          <w:color w:val="auto"/>
          <w:lang w:eastAsia="en-AU"/>
        </w:rPr>
        <w:tab/>
      </w:r>
      <w:r>
        <w:t>Best, high and low national projection estimates of lead, lead compounds waste to 2037</w:t>
      </w:r>
      <w:r>
        <w:tab/>
      </w:r>
      <w:r>
        <w:fldChar w:fldCharType="begin"/>
      </w:r>
      <w:r>
        <w:instrText xml:space="preserve"> PAGEREF _Toc13225583 \h </w:instrText>
      </w:r>
      <w:r>
        <w:fldChar w:fldCharType="separate"/>
      </w:r>
      <w:r w:rsidR="00EB634D">
        <w:t>30</w:t>
      </w:r>
      <w:r>
        <w:fldChar w:fldCharType="end"/>
      </w:r>
    </w:p>
    <w:p w14:paraId="2D93E9E7" w14:textId="27A4C7C7" w:rsidR="006E4AAD" w:rsidRDefault="006E4AAD">
      <w:pPr>
        <w:pStyle w:val="TableofFigures"/>
        <w:rPr>
          <w:rFonts w:asciiTheme="minorHAnsi" w:eastAsiaTheme="minorEastAsia" w:hAnsiTheme="minorHAnsi"/>
          <w:color w:val="auto"/>
          <w:lang w:eastAsia="en-AU"/>
        </w:rPr>
      </w:pPr>
      <w:r>
        <w:t>Figure 11:</w:t>
      </w:r>
      <w:r>
        <w:rPr>
          <w:rFonts w:asciiTheme="minorHAnsi" w:eastAsiaTheme="minorEastAsia" w:hAnsiTheme="minorHAnsi"/>
          <w:color w:val="auto"/>
          <w:lang w:eastAsia="en-AU"/>
        </w:rPr>
        <w:tab/>
      </w:r>
      <w:r>
        <w:t>Best, high and low national projection estimates of zinc compounds waste to 2037</w:t>
      </w:r>
      <w:r>
        <w:tab/>
      </w:r>
      <w:r>
        <w:fldChar w:fldCharType="begin"/>
      </w:r>
      <w:r>
        <w:instrText xml:space="preserve"> PAGEREF _Toc13225584 \h </w:instrText>
      </w:r>
      <w:r>
        <w:fldChar w:fldCharType="separate"/>
      </w:r>
      <w:r w:rsidR="00EB634D">
        <w:t>31</w:t>
      </w:r>
      <w:r>
        <w:fldChar w:fldCharType="end"/>
      </w:r>
    </w:p>
    <w:p w14:paraId="1E8104B5" w14:textId="0F0C8909" w:rsidR="006E4AAD" w:rsidRDefault="006E4AAD">
      <w:pPr>
        <w:pStyle w:val="TableofFigures"/>
        <w:rPr>
          <w:rFonts w:asciiTheme="minorHAnsi" w:eastAsiaTheme="minorEastAsia" w:hAnsiTheme="minorHAnsi"/>
          <w:color w:val="auto"/>
          <w:lang w:eastAsia="en-AU"/>
        </w:rPr>
      </w:pPr>
      <w:r>
        <w:t>Figure 12:</w:t>
      </w:r>
      <w:r>
        <w:rPr>
          <w:rFonts w:asciiTheme="minorHAnsi" w:eastAsiaTheme="minorEastAsia" w:hAnsiTheme="minorHAnsi"/>
          <w:color w:val="auto"/>
          <w:lang w:eastAsia="en-AU"/>
        </w:rPr>
        <w:tab/>
      </w:r>
      <w:r>
        <w:t>Best, high and low national projection estimates of non-toxic salt waste to 2037</w:t>
      </w:r>
      <w:r>
        <w:tab/>
      </w:r>
      <w:r>
        <w:fldChar w:fldCharType="begin"/>
      </w:r>
      <w:r>
        <w:instrText xml:space="preserve"> PAGEREF _Toc13225585 \h </w:instrText>
      </w:r>
      <w:r>
        <w:fldChar w:fldCharType="separate"/>
      </w:r>
      <w:r w:rsidR="00EB634D">
        <w:t>34</w:t>
      </w:r>
      <w:r>
        <w:fldChar w:fldCharType="end"/>
      </w:r>
    </w:p>
    <w:p w14:paraId="569E59A9" w14:textId="4FDFC8D9" w:rsidR="006E4AAD" w:rsidRDefault="006E4AAD">
      <w:pPr>
        <w:pStyle w:val="TableofFigures"/>
        <w:rPr>
          <w:rFonts w:asciiTheme="minorHAnsi" w:eastAsiaTheme="minorEastAsia" w:hAnsiTheme="minorHAnsi"/>
          <w:color w:val="auto"/>
          <w:lang w:eastAsia="en-AU"/>
        </w:rPr>
      </w:pPr>
      <w:r>
        <w:t>Figure 13:</w:t>
      </w:r>
      <w:r>
        <w:rPr>
          <w:rFonts w:asciiTheme="minorHAnsi" w:eastAsiaTheme="minorEastAsia" w:hAnsiTheme="minorHAnsi"/>
          <w:color w:val="auto"/>
          <w:lang w:eastAsia="en-AU"/>
        </w:rPr>
        <w:tab/>
      </w:r>
      <w:r>
        <w:t>Best, high and low national projection estimates of other inorganic chemical waste to 2037</w:t>
      </w:r>
      <w:r>
        <w:tab/>
      </w:r>
      <w:r>
        <w:fldChar w:fldCharType="begin"/>
      </w:r>
      <w:r>
        <w:instrText xml:space="preserve"> PAGEREF _Toc13225586 \h </w:instrText>
      </w:r>
      <w:r>
        <w:fldChar w:fldCharType="separate"/>
      </w:r>
      <w:r w:rsidR="00EB634D">
        <w:t>35</w:t>
      </w:r>
      <w:r>
        <w:fldChar w:fldCharType="end"/>
      </w:r>
    </w:p>
    <w:p w14:paraId="13E2944B" w14:textId="5E19AD53" w:rsidR="006E4AAD" w:rsidRDefault="006E4AAD">
      <w:pPr>
        <w:pStyle w:val="TableofFigures"/>
        <w:rPr>
          <w:rFonts w:asciiTheme="minorHAnsi" w:eastAsiaTheme="minorEastAsia" w:hAnsiTheme="minorHAnsi"/>
          <w:color w:val="auto"/>
          <w:lang w:eastAsia="en-AU"/>
        </w:rPr>
      </w:pPr>
      <w:r>
        <w:t>Figure 14:</w:t>
      </w:r>
      <w:r>
        <w:rPr>
          <w:rFonts w:asciiTheme="minorHAnsi" w:eastAsiaTheme="minorEastAsia" w:hAnsiTheme="minorHAnsi"/>
          <w:color w:val="auto"/>
          <w:lang w:eastAsia="en-AU"/>
        </w:rPr>
        <w:tab/>
      </w:r>
      <w:r>
        <w:t>Best, high and low national projection estimates of reactive chemical waste to 2037</w:t>
      </w:r>
      <w:r>
        <w:tab/>
      </w:r>
      <w:r>
        <w:fldChar w:fldCharType="begin"/>
      </w:r>
      <w:r>
        <w:instrText xml:space="preserve"> PAGEREF _Toc13225587 \h </w:instrText>
      </w:r>
      <w:r>
        <w:fldChar w:fldCharType="separate"/>
      </w:r>
      <w:r w:rsidR="00EB634D">
        <w:t>36</w:t>
      </w:r>
      <w:r>
        <w:fldChar w:fldCharType="end"/>
      </w:r>
    </w:p>
    <w:p w14:paraId="765FCA4C" w14:textId="2030E3E5" w:rsidR="006E4AAD" w:rsidRDefault="006E4AAD">
      <w:pPr>
        <w:pStyle w:val="TableofFigures"/>
        <w:rPr>
          <w:rFonts w:asciiTheme="minorHAnsi" w:eastAsiaTheme="minorEastAsia" w:hAnsiTheme="minorHAnsi"/>
          <w:color w:val="auto"/>
          <w:lang w:eastAsia="en-AU"/>
        </w:rPr>
      </w:pPr>
      <w:r>
        <w:t>Figure 15:</w:t>
      </w:r>
      <w:r>
        <w:rPr>
          <w:rFonts w:asciiTheme="minorHAnsi" w:eastAsiaTheme="minorEastAsia" w:hAnsiTheme="minorHAnsi"/>
          <w:color w:val="auto"/>
          <w:lang w:eastAsia="en-AU"/>
        </w:rPr>
        <w:tab/>
      </w:r>
      <w:r>
        <w:t>Best, high and low national projection estimates of paints, resins, inks and organic sludge waste to 2037</w:t>
      </w:r>
      <w:r>
        <w:tab/>
      </w:r>
      <w:r>
        <w:fldChar w:fldCharType="begin"/>
      </w:r>
      <w:r>
        <w:instrText xml:space="preserve"> PAGEREF _Toc13225588 \h </w:instrText>
      </w:r>
      <w:r>
        <w:fldChar w:fldCharType="separate"/>
      </w:r>
      <w:r w:rsidR="00EB634D">
        <w:t>37</w:t>
      </w:r>
      <w:r>
        <w:fldChar w:fldCharType="end"/>
      </w:r>
    </w:p>
    <w:p w14:paraId="53E0C9A2" w14:textId="30D7A047" w:rsidR="006E4AAD" w:rsidRDefault="006E4AAD">
      <w:pPr>
        <w:pStyle w:val="TableofFigures"/>
        <w:rPr>
          <w:rFonts w:asciiTheme="minorHAnsi" w:eastAsiaTheme="minorEastAsia" w:hAnsiTheme="minorHAnsi"/>
          <w:color w:val="auto"/>
          <w:lang w:eastAsia="en-AU"/>
        </w:rPr>
      </w:pPr>
      <w:r>
        <w:t>Figure 16:</w:t>
      </w:r>
      <w:r>
        <w:rPr>
          <w:rFonts w:asciiTheme="minorHAnsi" w:eastAsiaTheme="minorEastAsia" w:hAnsiTheme="minorHAnsi"/>
          <w:color w:val="auto"/>
          <w:lang w:eastAsia="en-AU"/>
        </w:rPr>
        <w:tab/>
      </w:r>
      <w:r>
        <w:t>Best, high and low national projection estimates of organic solvent waste to 2037</w:t>
      </w:r>
      <w:r>
        <w:tab/>
      </w:r>
      <w:r>
        <w:fldChar w:fldCharType="begin"/>
      </w:r>
      <w:r>
        <w:instrText xml:space="preserve"> PAGEREF _Toc13225589 \h </w:instrText>
      </w:r>
      <w:r>
        <w:fldChar w:fldCharType="separate"/>
      </w:r>
      <w:r w:rsidR="00EB634D">
        <w:t>38</w:t>
      </w:r>
      <w:r>
        <w:fldChar w:fldCharType="end"/>
      </w:r>
    </w:p>
    <w:p w14:paraId="71A427C9" w14:textId="571E7EC0" w:rsidR="006E4AAD" w:rsidRDefault="006E4AAD">
      <w:pPr>
        <w:pStyle w:val="TableofFigures"/>
        <w:rPr>
          <w:rFonts w:asciiTheme="minorHAnsi" w:eastAsiaTheme="minorEastAsia" w:hAnsiTheme="minorHAnsi"/>
          <w:color w:val="auto"/>
          <w:lang w:eastAsia="en-AU"/>
        </w:rPr>
      </w:pPr>
      <w:r>
        <w:t>Figure 17:</w:t>
      </w:r>
      <w:r>
        <w:rPr>
          <w:rFonts w:asciiTheme="minorHAnsi" w:eastAsiaTheme="minorEastAsia" w:hAnsiTheme="minorHAnsi"/>
          <w:color w:val="auto"/>
          <w:lang w:eastAsia="en-AU"/>
        </w:rPr>
        <w:tab/>
      </w:r>
      <w:r>
        <w:t>Best, high and low national projection estimates of pesticide waste to 2037</w:t>
      </w:r>
      <w:r>
        <w:tab/>
      </w:r>
      <w:r>
        <w:fldChar w:fldCharType="begin"/>
      </w:r>
      <w:r>
        <w:instrText xml:space="preserve"> PAGEREF _Toc13225590 \h </w:instrText>
      </w:r>
      <w:r>
        <w:fldChar w:fldCharType="separate"/>
      </w:r>
      <w:r w:rsidR="00EB634D">
        <w:t>40</w:t>
      </w:r>
      <w:r>
        <w:fldChar w:fldCharType="end"/>
      </w:r>
    </w:p>
    <w:p w14:paraId="4197455A" w14:textId="145A11F1" w:rsidR="006E4AAD" w:rsidRDefault="006E4AAD">
      <w:pPr>
        <w:pStyle w:val="TableofFigures"/>
        <w:rPr>
          <w:rFonts w:asciiTheme="minorHAnsi" w:eastAsiaTheme="minorEastAsia" w:hAnsiTheme="minorHAnsi"/>
          <w:color w:val="auto"/>
          <w:lang w:eastAsia="en-AU"/>
        </w:rPr>
      </w:pPr>
      <w:r>
        <w:t>Figure 18:</w:t>
      </w:r>
      <w:r>
        <w:rPr>
          <w:rFonts w:asciiTheme="minorHAnsi" w:eastAsiaTheme="minorEastAsia" w:hAnsiTheme="minorHAnsi"/>
          <w:color w:val="auto"/>
          <w:lang w:eastAsia="en-AU"/>
        </w:rPr>
        <w:tab/>
      </w:r>
      <w:r>
        <w:t>Best, high and low national projection estimates of oil waste to 2037</w:t>
      </w:r>
      <w:r>
        <w:tab/>
      </w:r>
      <w:r>
        <w:fldChar w:fldCharType="begin"/>
      </w:r>
      <w:r>
        <w:instrText xml:space="preserve"> PAGEREF _Toc13225591 \h </w:instrText>
      </w:r>
      <w:r>
        <w:fldChar w:fldCharType="separate"/>
      </w:r>
      <w:r w:rsidR="00EB634D">
        <w:t>41</w:t>
      </w:r>
      <w:r>
        <w:fldChar w:fldCharType="end"/>
      </w:r>
    </w:p>
    <w:p w14:paraId="634C66EF" w14:textId="6541CB20" w:rsidR="006E4AAD" w:rsidRDefault="006E4AAD">
      <w:pPr>
        <w:pStyle w:val="TableofFigures"/>
        <w:rPr>
          <w:rFonts w:asciiTheme="minorHAnsi" w:eastAsiaTheme="minorEastAsia" w:hAnsiTheme="minorHAnsi"/>
          <w:color w:val="auto"/>
          <w:lang w:eastAsia="en-AU"/>
        </w:rPr>
      </w:pPr>
      <w:r>
        <w:t>Figure 19:</w:t>
      </w:r>
      <w:r>
        <w:rPr>
          <w:rFonts w:asciiTheme="minorHAnsi" w:eastAsiaTheme="minorEastAsia" w:hAnsiTheme="minorHAnsi"/>
          <w:color w:val="auto"/>
          <w:lang w:eastAsia="en-AU"/>
        </w:rPr>
        <w:tab/>
      </w:r>
      <w:r>
        <w:t>Best, high and low national projection estimates of oily water waste to 2037</w:t>
      </w:r>
      <w:r>
        <w:tab/>
      </w:r>
      <w:r>
        <w:fldChar w:fldCharType="begin"/>
      </w:r>
      <w:r>
        <w:instrText xml:space="preserve"> PAGEREF _Toc13225592 \h </w:instrText>
      </w:r>
      <w:r>
        <w:fldChar w:fldCharType="separate"/>
      </w:r>
      <w:r w:rsidR="00EB634D">
        <w:t>42</w:t>
      </w:r>
      <w:r>
        <w:fldChar w:fldCharType="end"/>
      </w:r>
    </w:p>
    <w:p w14:paraId="0515C57B" w14:textId="18677114" w:rsidR="006E4AAD" w:rsidRDefault="006E4AAD">
      <w:pPr>
        <w:pStyle w:val="TableofFigures"/>
        <w:rPr>
          <w:rFonts w:asciiTheme="minorHAnsi" w:eastAsiaTheme="minorEastAsia" w:hAnsiTheme="minorHAnsi"/>
          <w:color w:val="auto"/>
          <w:lang w:eastAsia="en-AU"/>
        </w:rPr>
      </w:pPr>
      <w:r>
        <w:t>Figure 20:</w:t>
      </w:r>
      <w:r>
        <w:rPr>
          <w:rFonts w:asciiTheme="minorHAnsi" w:eastAsiaTheme="minorEastAsia" w:hAnsiTheme="minorHAnsi"/>
          <w:color w:val="auto"/>
          <w:lang w:eastAsia="en-AU"/>
        </w:rPr>
        <w:tab/>
      </w:r>
      <w:r>
        <w:t>Best, high and low national projection estimates of grease trap waste to 2037</w:t>
      </w:r>
      <w:r>
        <w:tab/>
      </w:r>
      <w:r>
        <w:fldChar w:fldCharType="begin"/>
      </w:r>
      <w:r>
        <w:instrText xml:space="preserve"> PAGEREF _Toc13225593 \h </w:instrText>
      </w:r>
      <w:r>
        <w:fldChar w:fldCharType="separate"/>
      </w:r>
      <w:r w:rsidR="00EB634D">
        <w:t>43</w:t>
      </w:r>
      <w:r>
        <w:fldChar w:fldCharType="end"/>
      </w:r>
    </w:p>
    <w:p w14:paraId="2F45AD51" w14:textId="19EAF956" w:rsidR="006E4AAD" w:rsidRDefault="006E4AAD">
      <w:pPr>
        <w:pStyle w:val="TableofFigures"/>
        <w:rPr>
          <w:rFonts w:asciiTheme="minorHAnsi" w:eastAsiaTheme="minorEastAsia" w:hAnsiTheme="minorHAnsi"/>
          <w:color w:val="auto"/>
          <w:lang w:eastAsia="en-AU"/>
        </w:rPr>
      </w:pPr>
      <w:r>
        <w:t>Figure 21:</w:t>
      </w:r>
      <w:r>
        <w:rPr>
          <w:rFonts w:asciiTheme="minorHAnsi" w:eastAsiaTheme="minorEastAsia" w:hAnsiTheme="minorHAnsi"/>
          <w:color w:val="auto"/>
          <w:lang w:eastAsia="en-AU"/>
        </w:rPr>
        <w:tab/>
      </w:r>
      <w:r>
        <w:t>Best, high and low national projection estimates of other putrescible/organic waste to 2037</w:t>
      </w:r>
      <w:r>
        <w:tab/>
      </w:r>
      <w:r>
        <w:fldChar w:fldCharType="begin"/>
      </w:r>
      <w:r>
        <w:instrText xml:space="preserve"> PAGEREF _Toc13225594 \h </w:instrText>
      </w:r>
      <w:r>
        <w:fldChar w:fldCharType="separate"/>
      </w:r>
      <w:r w:rsidR="00EB634D">
        <w:t>44</w:t>
      </w:r>
      <w:r>
        <w:fldChar w:fldCharType="end"/>
      </w:r>
    </w:p>
    <w:p w14:paraId="1F16C7A8" w14:textId="5DD03810" w:rsidR="006E4AAD" w:rsidRDefault="006E4AAD">
      <w:pPr>
        <w:pStyle w:val="TableofFigures"/>
        <w:rPr>
          <w:rFonts w:asciiTheme="minorHAnsi" w:eastAsiaTheme="minorEastAsia" w:hAnsiTheme="minorHAnsi"/>
          <w:color w:val="auto"/>
          <w:lang w:eastAsia="en-AU"/>
        </w:rPr>
      </w:pPr>
      <w:r>
        <w:t>Figure 22:</w:t>
      </w:r>
      <w:r>
        <w:rPr>
          <w:rFonts w:asciiTheme="minorHAnsi" w:eastAsiaTheme="minorEastAsia" w:hAnsiTheme="minorHAnsi"/>
          <w:color w:val="auto"/>
          <w:lang w:eastAsia="en-AU"/>
        </w:rPr>
        <w:tab/>
      </w:r>
      <w:r>
        <w:t>Best, high and low national projection estimates of PCB waste to 2037</w:t>
      </w:r>
      <w:r>
        <w:tab/>
      </w:r>
      <w:r>
        <w:fldChar w:fldCharType="begin"/>
      </w:r>
      <w:r>
        <w:instrText xml:space="preserve"> PAGEREF _Toc13225595 \h </w:instrText>
      </w:r>
      <w:r>
        <w:fldChar w:fldCharType="separate"/>
      </w:r>
      <w:r w:rsidR="00EB634D">
        <w:t>45</w:t>
      </w:r>
      <w:r>
        <w:fldChar w:fldCharType="end"/>
      </w:r>
    </w:p>
    <w:p w14:paraId="47F63998" w14:textId="5C427A52" w:rsidR="006E4AAD" w:rsidRDefault="006E4AAD">
      <w:pPr>
        <w:pStyle w:val="TableofFigures"/>
        <w:rPr>
          <w:rFonts w:asciiTheme="minorHAnsi" w:eastAsiaTheme="minorEastAsia" w:hAnsiTheme="minorHAnsi"/>
          <w:color w:val="auto"/>
          <w:lang w:eastAsia="en-AU"/>
        </w:rPr>
      </w:pPr>
      <w:r>
        <w:t>Figure 23:</w:t>
      </w:r>
      <w:r>
        <w:rPr>
          <w:rFonts w:asciiTheme="minorHAnsi" w:eastAsiaTheme="minorEastAsia" w:hAnsiTheme="minorHAnsi"/>
          <w:color w:val="auto"/>
          <w:lang w:eastAsia="en-AU"/>
        </w:rPr>
        <w:tab/>
      </w:r>
      <w:r>
        <w:t>Best, high and low national projection estimates of POP-BDE and HBCD waste to 2037</w:t>
      </w:r>
      <w:r>
        <w:tab/>
      </w:r>
      <w:r>
        <w:fldChar w:fldCharType="begin"/>
      </w:r>
      <w:r>
        <w:instrText xml:space="preserve"> PAGEREF _Toc13225596 \h </w:instrText>
      </w:r>
      <w:r>
        <w:fldChar w:fldCharType="separate"/>
      </w:r>
      <w:r w:rsidR="00EB634D">
        <w:t>49</w:t>
      </w:r>
      <w:r>
        <w:fldChar w:fldCharType="end"/>
      </w:r>
    </w:p>
    <w:p w14:paraId="4C0C5396" w14:textId="3D45BEEA" w:rsidR="006E4AAD" w:rsidRDefault="006E4AAD">
      <w:pPr>
        <w:pStyle w:val="TableofFigures"/>
        <w:rPr>
          <w:rFonts w:asciiTheme="minorHAnsi" w:eastAsiaTheme="minorEastAsia" w:hAnsiTheme="minorHAnsi"/>
          <w:color w:val="auto"/>
          <w:lang w:eastAsia="en-AU"/>
        </w:rPr>
      </w:pPr>
      <w:r>
        <w:t>Figure 24:</w:t>
      </w:r>
      <w:r>
        <w:rPr>
          <w:rFonts w:asciiTheme="minorHAnsi" w:eastAsiaTheme="minorEastAsia" w:hAnsiTheme="minorHAnsi"/>
          <w:color w:val="auto"/>
          <w:lang w:eastAsia="en-AU"/>
        </w:rPr>
        <w:tab/>
      </w:r>
      <w:r>
        <w:t>Best, high and low national projection estimates of HCB waste to 2037</w:t>
      </w:r>
      <w:r>
        <w:tab/>
      </w:r>
      <w:r>
        <w:fldChar w:fldCharType="begin"/>
      </w:r>
      <w:r>
        <w:instrText xml:space="preserve"> PAGEREF _Toc13225597 \h </w:instrText>
      </w:r>
      <w:r>
        <w:fldChar w:fldCharType="separate"/>
      </w:r>
      <w:r w:rsidR="00EB634D">
        <w:t>51</w:t>
      </w:r>
      <w:r>
        <w:fldChar w:fldCharType="end"/>
      </w:r>
    </w:p>
    <w:p w14:paraId="0FEF7364" w14:textId="7103A167" w:rsidR="006E4AAD" w:rsidRDefault="006E4AAD">
      <w:pPr>
        <w:pStyle w:val="TableofFigures"/>
        <w:rPr>
          <w:rFonts w:asciiTheme="minorHAnsi" w:eastAsiaTheme="minorEastAsia" w:hAnsiTheme="minorHAnsi"/>
          <w:color w:val="auto"/>
          <w:lang w:eastAsia="en-AU"/>
        </w:rPr>
      </w:pPr>
      <w:r>
        <w:t>Figure 25:</w:t>
      </w:r>
      <w:r>
        <w:rPr>
          <w:rFonts w:asciiTheme="minorHAnsi" w:eastAsiaTheme="minorEastAsia" w:hAnsiTheme="minorHAnsi"/>
          <w:color w:val="auto"/>
          <w:lang w:eastAsia="en-AU"/>
        </w:rPr>
        <w:tab/>
      </w:r>
      <w:r>
        <w:t>Best, high and low national projection estimates of PFOS contaminated biosolids waste to 2037</w:t>
      </w:r>
      <w:r>
        <w:tab/>
      </w:r>
      <w:r>
        <w:fldChar w:fldCharType="begin"/>
      </w:r>
      <w:r>
        <w:instrText xml:space="preserve"> PAGEREF _Toc13225598 \h </w:instrText>
      </w:r>
      <w:r>
        <w:fldChar w:fldCharType="separate"/>
      </w:r>
      <w:r w:rsidR="00EB634D">
        <w:t>55</w:t>
      </w:r>
      <w:r>
        <w:fldChar w:fldCharType="end"/>
      </w:r>
    </w:p>
    <w:p w14:paraId="702A8B42" w14:textId="31D24DBD" w:rsidR="006E4AAD" w:rsidRDefault="006E4AAD">
      <w:pPr>
        <w:pStyle w:val="TableofFigures"/>
        <w:rPr>
          <w:rFonts w:asciiTheme="minorHAnsi" w:eastAsiaTheme="minorEastAsia" w:hAnsiTheme="minorHAnsi"/>
          <w:color w:val="auto"/>
          <w:lang w:eastAsia="en-AU"/>
        </w:rPr>
      </w:pPr>
      <w:r>
        <w:t>Figure 26:</w:t>
      </w:r>
      <w:r>
        <w:rPr>
          <w:rFonts w:asciiTheme="minorHAnsi" w:eastAsiaTheme="minorEastAsia" w:hAnsiTheme="minorHAnsi"/>
          <w:color w:val="auto"/>
          <w:lang w:eastAsia="en-AU"/>
        </w:rPr>
        <w:tab/>
      </w:r>
      <w:r>
        <w:t>Best, high and low national projection estimates of PFOS contaminated soil waste to 2037</w:t>
      </w:r>
      <w:r>
        <w:tab/>
      </w:r>
      <w:r>
        <w:fldChar w:fldCharType="begin"/>
      </w:r>
      <w:r>
        <w:instrText xml:space="preserve"> PAGEREF _Toc13225599 \h </w:instrText>
      </w:r>
      <w:r>
        <w:fldChar w:fldCharType="separate"/>
      </w:r>
      <w:r w:rsidR="00EB634D">
        <w:t>58</w:t>
      </w:r>
      <w:r>
        <w:fldChar w:fldCharType="end"/>
      </w:r>
    </w:p>
    <w:p w14:paraId="2B2D4B34" w14:textId="690D573F" w:rsidR="006E4AAD" w:rsidRDefault="006E4AAD">
      <w:pPr>
        <w:pStyle w:val="TableofFigures"/>
        <w:rPr>
          <w:rFonts w:asciiTheme="minorHAnsi" w:eastAsiaTheme="minorEastAsia" w:hAnsiTheme="minorHAnsi"/>
          <w:color w:val="auto"/>
          <w:lang w:eastAsia="en-AU"/>
        </w:rPr>
      </w:pPr>
      <w:r>
        <w:t>Figure 27:</w:t>
      </w:r>
      <w:r>
        <w:rPr>
          <w:rFonts w:asciiTheme="minorHAnsi" w:eastAsiaTheme="minorEastAsia" w:hAnsiTheme="minorHAnsi"/>
          <w:color w:val="auto"/>
          <w:lang w:eastAsia="en-AU"/>
        </w:rPr>
        <w:tab/>
      </w:r>
      <w:r>
        <w:t>Best, high and low national projection estimates of AFFF concentrates waste to 2037</w:t>
      </w:r>
      <w:r>
        <w:tab/>
      </w:r>
      <w:r>
        <w:fldChar w:fldCharType="begin"/>
      </w:r>
      <w:r>
        <w:instrText xml:space="preserve"> PAGEREF _Toc13225600 \h </w:instrText>
      </w:r>
      <w:r>
        <w:fldChar w:fldCharType="separate"/>
      </w:r>
      <w:r w:rsidR="00EB634D">
        <w:t>61</w:t>
      </w:r>
      <w:r>
        <w:fldChar w:fldCharType="end"/>
      </w:r>
    </w:p>
    <w:p w14:paraId="03AAD6D9" w14:textId="04EB1D72" w:rsidR="006E4AAD" w:rsidRDefault="006E4AAD">
      <w:pPr>
        <w:pStyle w:val="TableofFigures"/>
        <w:rPr>
          <w:rFonts w:asciiTheme="minorHAnsi" w:eastAsiaTheme="minorEastAsia" w:hAnsiTheme="minorHAnsi"/>
          <w:color w:val="auto"/>
          <w:lang w:eastAsia="en-AU"/>
        </w:rPr>
      </w:pPr>
      <w:r>
        <w:t>Figure 28:</w:t>
      </w:r>
      <w:r>
        <w:rPr>
          <w:rFonts w:asciiTheme="minorHAnsi" w:eastAsiaTheme="minorEastAsia" w:hAnsiTheme="minorHAnsi"/>
          <w:color w:val="auto"/>
          <w:lang w:eastAsia="en-AU"/>
        </w:rPr>
        <w:tab/>
      </w:r>
      <w:r>
        <w:t>Best, high and low national projection estimates of other organic chemical waste to 2037</w:t>
      </w:r>
      <w:r>
        <w:tab/>
      </w:r>
      <w:r>
        <w:fldChar w:fldCharType="begin"/>
      </w:r>
      <w:r>
        <w:instrText xml:space="preserve"> PAGEREF _Toc13225601 \h </w:instrText>
      </w:r>
      <w:r>
        <w:fldChar w:fldCharType="separate"/>
      </w:r>
      <w:r w:rsidR="00EB634D">
        <w:t>61</w:t>
      </w:r>
      <w:r>
        <w:fldChar w:fldCharType="end"/>
      </w:r>
    </w:p>
    <w:p w14:paraId="4C00E4D9" w14:textId="73C7B41A" w:rsidR="006E4AAD" w:rsidRDefault="006E4AAD">
      <w:pPr>
        <w:pStyle w:val="TableofFigures"/>
        <w:rPr>
          <w:rFonts w:asciiTheme="minorHAnsi" w:eastAsiaTheme="minorEastAsia" w:hAnsiTheme="minorHAnsi"/>
          <w:color w:val="auto"/>
          <w:lang w:eastAsia="en-AU"/>
        </w:rPr>
      </w:pPr>
      <w:r>
        <w:t>Figure 29:</w:t>
      </w:r>
      <w:r>
        <w:rPr>
          <w:rFonts w:asciiTheme="minorHAnsi" w:eastAsiaTheme="minorEastAsia" w:hAnsiTheme="minorHAnsi"/>
          <w:color w:val="auto"/>
          <w:lang w:eastAsia="en-AU"/>
        </w:rPr>
        <w:tab/>
      </w:r>
      <w:r>
        <w:t>Best, high and low national projection estimates of contaminated soil waste to 2037</w:t>
      </w:r>
      <w:r>
        <w:tab/>
      </w:r>
      <w:r>
        <w:fldChar w:fldCharType="begin"/>
      </w:r>
      <w:r>
        <w:instrText xml:space="preserve"> PAGEREF _Toc13225602 \h </w:instrText>
      </w:r>
      <w:r>
        <w:fldChar w:fldCharType="separate"/>
      </w:r>
      <w:r w:rsidR="00EB634D">
        <w:t>63</w:t>
      </w:r>
      <w:r>
        <w:fldChar w:fldCharType="end"/>
      </w:r>
    </w:p>
    <w:p w14:paraId="59584481" w14:textId="14CC4481" w:rsidR="006E4AAD" w:rsidRDefault="006E4AAD">
      <w:pPr>
        <w:pStyle w:val="TableofFigures"/>
        <w:rPr>
          <w:rFonts w:asciiTheme="minorHAnsi" w:eastAsiaTheme="minorEastAsia" w:hAnsiTheme="minorHAnsi"/>
          <w:color w:val="auto"/>
          <w:lang w:eastAsia="en-AU"/>
        </w:rPr>
      </w:pPr>
      <w:r>
        <w:t>Figure 30:</w:t>
      </w:r>
      <w:r>
        <w:rPr>
          <w:rFonts w:asciiTheme="minorHAnsi" w:eastAsiaTheme="minorEastAsia" w:hAnsiTheme="minorHAnsi"/>
          <w:color w:val="auto"/>
          <w:lang w:eastAsia="en-AU"/>
        </w:rPr>
        <w:tab/>
      </w:r>
      <w:r>
        <w:t>Best, high and low national projection estimates of other contaminated biosolid waste to 2037</w:t>
      </w:r>
      <w:r>
        <w:tab/>
      </w:r>
      <w:r>
        <w:fldChar w:fldCharType="begin"/>
      </w:r>
      <w:r>
        <w:instrText xml:space="preserve"> PAGEREF _Toc13225603 \h </w:instrText>
      </w:r>
      <w:r>
        <w:fldChar w:fldCharType="separate"/>
      </w:r>
      <w:r w:rsidR="00EB634D">
        <w:t>66</w:t>
      </w:r>
      <w:r>
        <w:fldChar w:fldCharType="end"/>
      </w:r>
    </w:p>
    <w:p w14:paraId="2A48E361" w14:textId="177930A6" w:rsidR="006E4AAD" w:rsidRDefault="006E4AAD">
      <w:pPr>
        <w:pStyle w:val="TableofFigures"/>
        <w:rPr>
          <w:rFonts w:asciiTheme="minorHAnsi" w:eastAsiaTheme="minorEastAsia" w:hAnsiTheme="minorHAnsi"/>
          <w:color w:val="auto"/>
          <w:lang w:eastAsia="en-AU"/>
        </w:rPr>
      </w:pPr>
      <w:r>
        <w:t>Figure 31:</w:t>
      </w:r>
      <w:r>
        <w:rPr>
          <w:rFonts w:asciiTheme="minorHAnsi" w:eastAsiaTheme="minorEastAsia" w:hAnsiTheme="minorHAnsi"/>
          <w:color w:val="auto"/>
          <w:lang w:eastAsia="en-AU"/>
        </w:rPr>
        <w:tab/>
      </w:r>
      <w:r>
        <w:t>Best, high and low national projection estimates of other industrial treatment residue waste to 2037</w:t>
      </w:r>
      <w:r>
        <w:tab/>
      </w:r>
      <w:r>
        <w:fldChar w:fldCharType="begin"/>
      </w:r>
      <w:r>
        <w:instrText xml:space="preserve"> PAGEREF _Toc13225604 \h </w:instrText>
      </w:r>
      <w:r>
        <w:fldChar w:fldCharType="separate"/>
      </w:r>
      <w:r w:rsidR="00EB634D">
        <w:t>67</w:t>
      </w:r>
      <w:r>
        <w:fldChar w:fldCharType="end"/>
      </w:r>
    </w:p>
    <w:p w14:paraId="4947C3E6" w14:textId="435394A7" w:rsidR="006E4AAD" w:rsidRDefault="006E4AAD">
      <w:pPr>
        <w:pStyle w:val="TableofFigures"/>
        <w:rPr>
          <w:rFonts w:asciiTheme="minorHAnsi" w:eastAsiaTheme="minorEastAsia" w:hAnsiTheme="minorHAnsi"/>
          <w:color w:val="auto"/>
          <w:lang w:eastAsia="en-AU"/>
        </w:rPr>
      </w:pPr>
      <w:r>
        <w:t>Figure 32:</w:t>
      </w:r>
      <w:r>
        <w:rPr>
          <w:rFonts w:asciiTheme="minorHAnsi" w:eastAsiaTheme="minorEastAsia" w:hAnsiTheme="minorHAnsi"/>
          <w:color w:val="auto"/>
          <w:lang w:eastAsia="en-AU"/>
        </w:rPr>
        <w:tab/>
      </w:r>
      <w:r>
        <w:t>Best, high and low national projection estimates of asbestos waste to 2037</w:t>
      </w:r>
      <w:r>
        <w:tab/>
      </w:r>
      <w:r>
        <w:fldChar w:fldCharType="begin"/>
      </w:r>
      <w:r>
        <w:instrText xml:space="preserve"> PAGEREF _Toc13225605 \h </w:instrText>
      </w:r>
      <w:r>
        <w:fldChar w:fldCharType="separate"/>
      </w:r>
      <w:r w:rsidR="00EB634D">
        <w:t>69</w:t>
      </w:r>
      <w:r>
        <w:fldChar w:fldCharType="end"/>
      </w:r>
    </w:p>
    <w:p w14:paraId="61332937" w14:textId="16AC4261" w:rsidR="006E4AAD" w:rsidRDefault="006E4AAD">
      <w:pPr>
        <w:pStyle w:val="TableofFigures"/>
        <w:rPr>
          <w:rFonts w:asciiTheme="minorHAnsi" w:eastAsiaTheme="minorEastAsia" w:hAnsiTheme="minorHAnsi"/>
          <w:color w:val="auto"/>
          <w:lang w:eastAsia="en-AU"/>
        </w:rPr>
      </w:pPr>
      <w:r>
        <w:t>Figure 33:</w:t>
      </w:r>
      <w:r>
        <w:rPr>
          <w:rFonts w:asciiTheme="minorHAnsi" w:eastAsiaTheme="minorEastAsia" w:hAnsiTheme="minorHAnsi"/>
          <w:color w:val="auto"/>
          <w:lang w:eastAsia="en-AU"/>
        </w:rPr>
        <w:tab/>
      </w:r>
      <w:r>
        <w:t>Best, high and low national projection estimates of other soil/sludge waste to 2037</w:t>
      </w:r>
      <w:r>
        <w:tab/>
      </w:r>
      <w:r>
        <w:fldChar w:fldCharType="begin"/>
      </w:r>
      <w:r>
        <w:instrText xml:space="preserve"> PAGEREF _Toc13225606 \h </w:instrText>
      </w:r>
      <w:r>
        <w:fldChar w:fldCharType="separate"/>
      </w:r>
      <w:r w:rsidR="00EB634D">
        <w:t>70</w:t>
      </w:r>
      <w:r>
        <w:fldChar w:fldCharType="end"/>
      </w:r>
    </w:p>
    <w:p w14:paraId="02C11AF2" w14:textId="3A9DB1BC" w:rsidR="006E4AAD" w:rsidRDefault="006E4AAD">
      <w:pPr>
        <w:pStyle w:val="TableofFigures"/>
        <w:rPr>
          <w:rFonts w:asciiTheme="minorHAnsi" w:eastAsiaTheme="minorEastAsia" w:hAnsiTheme="minorHAnsi"/>
          <w:color w:val="auto"/>
          <w:lang w:eastAsia="en-AU"/>
        </w:rPr>
      </w:pPr>
      <w:r>
        <w:t>Figure 34:</w:t>
      </w:r>
      <w:r>
        <w:rPr>
          <w:rFonts w:asciiTheme="minorHAnsi" w:eastAsiaTheme="minorEastAsia" w:hAnsiTheme="minorHAnsi"/>
          <w:color w:val="auto"/>
          <w:lang w:eastAsia="en-AU"/>
        </w:rPr>
        <w:tab/>
      </w:r>
      <w:r>
        <w:t>Best, high and low national projection estimates of clinical and pharmaceutical waste to 2037</w:t>
      </w:r>
      <w:r>
        <w:tab/>
      </w:r>
      <w:r>
        <w:fldChar w:fldCharType="begin"/>
      </w:r>
      <w:r>
        <w:instrText xml:space="preserve"> PAGEREF _Toc13225607 \h </w:instrText>
      </w:r>
      <w:r>
        <w:fldChar w:fldCharType="separate"/>
      </w:r>
      <w:r w:rsidR="00EB634D">
        <w:t>71</w:t>
      </w:r>
      <w:r>
        <w:fldChar w:fldCharType="end"/>
      </w:r>
    </w:p>
    <w:p w14:paraId="453361F9" w14:textId="0EF007AF" w:rsidR="006E4AAD" w:rsidRDefault="006E4AAD">
      <w:pPr>
        <w:pStyle w:val="TableofFigures"/>
        <w:rPr>
          <w:rFonts w:asciiTheme="minorHAnsi" w:eastAsiaTheme="minorEastAsia" w:hAnsiTheme="minorHAnsi"/>
          <w:color w:val="auto"/>
          <w:lang w:eastAsia="en-AU"/>
        </w:rPr>
      </w:pPr>
      <w:r>
        <w:t>Figure 35:</w:t>
      </w:r>
      <w:r>
        <w:rPr>
          <w:rFonts w:asciiTheme="minorHAnsi" w:eastAsiaTheme="minorEastAsia" w:hAnsiTheme="minorHAnsi"/>
          <w:color w:val="auto"/>
          <w:lang w:eastAsia="en-AU"/>
        </w:rPr>
        <w:tab/>
      </w:r>
      <w:r>
        <w:t>Best, high and low national projection estimates of tyre waste to 2037</w:t>
      </w:r>
      <w:r>
        <w:tab/>
      </w:r>
      <w:r>
        <w:fldChar w:fldCharType="begin"/>
      </w:r>
      <w:r>
        <w:instrText xml:space="preserve"> PAGEREF _Toc13225608 \h </w:instrText>
      </w:r>
      <w:r>
        <w:fldChar w:fldCharType="separate"/>
      </w:r>
      <w:r w:rsidR="00EB634D">
        <w:t>73</w:t>
      </w:r>
      <w:r>
        <w:fldChar w:fldCharType="end"/>
      </w:r>
    </w:p>
    <w:p w14:paraId="5F425FCE" w14:textId="6B03B9BC" w:rsidR="006E4AAD" w:rsidRDefault="006E4AAD">
      <w:pPr>
        <w:pStyle w:val="TableofFigures"/>
        <w:rPr>
          <w:rFonts w:asciiTheme="minorHAnsi" w:eastAsiaTheme="minorEastAsia" w:hAnsiTheme="minorHAnsi"/>
          <w:color w:val="auto"/>
          <w:lang w:eastAsia="en-AU"/>
        </w:rPr>
      </w:pPr>
      <w:r>
        <w:t>Figure 36:</w:t>
      </w:r>
      <w:r>
        <w:rPr>
          <w:rFonts w:asciiTheme="minorHAnsi" w:eastAsiaTheme="minorEastAsia" w:hAnsiTheme="minorHAnsi"/>
          <w:color w:val="auto"/>
          <w:lang w:eastAsia="en-AU"/>
        </w:rPr>
        <w:tab/>
      </w:r>
      <w:r>
        <w:t>Best, high and low national projection estimates of other miscellaneous waste to 2037</w:t>
      </w:r>
      <w:r>
        <w:tab/>
      </w:r>
      <w:r>
        <w:fldChar w:fldCharType="begin"/>
      </w:r>
      <w:r>
        <w:instrText xml:space="preserve"> PAGEREF _Toc13225609 \h </w:instrText>
      </w:r>
      <w:r>
        <w:fldChar w:fldCharType="separate"/>
      </w:r>
      <w:r w:rsidR="00EB634D">
        <w:t>74</w:t>
      </w:r>
      <w:r>
        <w:fldChar w:fldCharType="end"/>
      </w:r>
    </w:p>
    <w:p w14:paraId="10624438" w14:textId="5D83B245" w:rsidR="006E4AAD" w:rsidRDefault="006E4AAD">
      <w:pPr>
        <w:pStyle w:val="TableofFigures"/>
        <w:rPr>
          <w:rFonts w:asciiTheme="minorHAnsi" w:eastAsiaTheme="minorEastAsia" w:hAnsiTheme="minorHAnsi"/>
          <w:color w:val="auto"/>
          <w:lang w:eastAsia="en-AU"/>
        </w:rPr>
      </w:pPr>
      <w:r>
        <w:t>Figure 37:</w:t>
      </w:r>
      <w:r>
        <w:rPr>
          <w:rFonts w:asciiTheme="minorHAnsi" w:eastAsiaTheme="minorEastAsia" w:hAnsiTheme="minorHAnsi"/>
          <w:color w:val="auto"/>
          <w:lang w:eastAsia="en-AU"/>
        </w:rPr>
        <w:tab/>
      </w:r>
      <w:r>
        <w:t>Best, high and low national projection estimates of lithium ion battery waste to 2037</w:t>
      </w:r>
      <w:r>
        <w:tab/>
      </w:r>
      <w:r>
        <w:fldChar w:fldCharType="begin"/>
      </w:r>
      <w:r>
        <w:instrText xml:space="preserve"> PAGEREF _Toc13225610 \h </w:instrText>
      </w:r>
      <w:r>
        <w:fldChar w:fldCharType="separate"/>
      </w:r>
      <w:r w:rsidR="00EB634D">
        <w:t>75</w:t>
      </w:r>
      <w:r>
        <w:fldChar w:fldCharType="end"/>
      </w:r>
    </w:p>
    <w:p w14:paraId="24DFDEC7" w14:textId="59C619DB" w:rsidR="006E4AAD" w:rsidRDefault="006E4AAD">
      <w:pPr>
        <w:pStyle w:val="TableofFigures"/>
        <w:rPr>
          <w:rFonts w:asciiTheme="minorHAnsi" w:eastAsiaTheme="minorEastAsia" w:hAnsiTheme="minorHAnsi"/>
          <w:color w:val="auto"/>
          <w:lang w:eastAsia="en-AU"/>
        </w:rPr>
      </w:pPr>
      <w:r>
        <w:t>Figure 38:</w:t>
      </w:r>
      <w:r>
        <w:rPr>
          <w:rFonts w:asciiTheme="minorHAnsi" w:eastAsiaTheme="minorEastAsia" w:hAnsiTheme="minorHAnsi"/>
          <w:color w:val="auto"/>
          <w:lang w:eastAsia="en-AU"/>
        </w:rPr>
        <w:tab/>
      </w:r>
      <w:r>
        <w:t>The management method of reported tracked hazardous waste in NSW, Qld, SA, Vic and WA, 2016-17 (tonnes)</w:t>
      </w:r>
      <w:r>
        <w:tab/>
      </w:r>
      <w:r>
        <w:fldChar w:fldCharType="begin"/>
      </w:r>
      <w:r>
        <w:instrText xml:space="preserve"> PAGEREF _Toc13225611 \h </w:instrText>
      </w:r>
      <w:r>
        <w:fldChar w:fldCharType="separate"/>
      </w:r>
      <w:r w:rsidR="00EB634D">
        <w:t>77</w:t>
      </w:r>
      <w:r>
        <w:fldChar w:fldCharType="end"/>
      </w:r>
    </w:p>
    <w:p w14:paraId="3B72483E" w14:textId="27AEE83C" w:rsidR="006E4AAD" w:rsidRDefault="006E4AAD">
      <w:pPr>
        <w:pStyle w:val="TableofFigures"/>
        <w:rPr>
          <w:rFonts w:asciiTheme="minorHAnsi" w:eastAsiaTheme="minorEastAsia" w:hAnsiTheme="minorHAnsi"/>
          <w:color w:val="auto"/>
          <w:lang w:eastAsia="en-AU"/>
        </w:rPr>
      </w:pPr>
      <w:r>
        <w:t>Figure 39:</w:t>
      </w:r>
      <w:r>
        <w:rPr>
          <w:rFonts w:asciiTheme="minorHAnsi" w:eastAsiaTheme="minorEastAsia" w:hAnsiTheme="minorHAnsi"/>
          <w:color w:val="auto"/>
          <w:lang w:eastAsia="en-AU"/>
        </w:rPr>
        <w:tab/>
      </w:r>
      <w:r>
        <w:t>The assumed proportional management of each waste group in NSW, as used for comparing demand and capacity,</w:t>
      </w:r>
      <w:r>
        <w:tab/>
      </w:r>
      <w:r>
        <w:fldChar w:fldCharType="begin"/>
      </w:r>
      <w:r>
        <w:instrText xml:space="preserve"> PAGEREF _Toc13225612 \h </w:instrText>
      </w:r>
      <w:r>
        <w:fldChar w:fldCharType="separate"/>
      </w:r>
      <w:r w:rsidR="00EB634D">
        <w:t>78</w:t>
      </w:r>
      <w:r>
        <w:fldChar w:fldCharType="end"/>
      </w:r>
    </w:p>
    <w:p w14:paraId="2A4A4519" w14:textId="0F757A97" w:rsidR="006E4AAD" w:rsidRDefault="006E4AAD">
      <w:pPr>
        <w:pStyle w:val="TableofFigures"/>
        <w:rPr>
          <w:rFonts w:asciiTheme="minorHAnsi" w:eastAsiaTheme="minorEastAsia" w:hAnsiTheme="minorHAnsi"/>
          <w:color w:val="auto"/>
          <w:lang w:eastAsia="en-AU"/>
        </w:rPr>
      </w:pPr>
      <w:r>
        <w:t>Figure 40:</w:t>
      </w:r>
      <w:r>
        <w:rPr>
          <w:rFonts w:asciiTheme="minorHAnsi" w:eastAsiaTheme="minorEastAsia" w:hAnsiTheme="minorHAnsi"/>
          <w:color w:val="auto"/>
          <w:lang w:eastAsia="en-AU"/>
        </w:rPr>
        <w:tab/>
      </w:r>
      <w:r>
        <w:t>The assumed proportional management of each waste group in Qld, as used for comparing demand and capacity,</w:t>
      </w:r>
      <w:r>
        <w:tab/>
      </w:r>
      <w:r>
        <w:fldChar w:fldCharType="begin"/>
      </w:r>
      <w:r>
        <w:instrText xml:space="preserve"> PAGEREF _Toc13225613 \h </w:instrText>
      </w:r>
      <w:r>
        <w:fldChar w:fldCharType="separate"/>
      </w:r>
      <w:r w:rsidR="00EB634D">
        <w:t>79</w:t>
      </w:r>
      <w:r>
        <w:fldChar w:fldCharType="end"/>
      </w:r>
    </w:p>
    <w:p w14:paraId="7E498A00" w14:textId="1CA13AEE" w:rsidR="006E4AAD" w:rsidRDefault="006E4AAD">
      <w:pPr>
        <w:pStyle w:val="TableofFigures"/>
        <w:rPr>
          <w:rFonts w:asciiTheme="minorHAnsi" w:eastAsiaTheme="minorEastAsia" w:hAnsiTheme="minorHAnsi"/>
          <w:color w:val="auto"/>
          <w:lang w:eastAsia="en-AU"/>
        </w:rPr>
      </w:pPr>
      <w:r>
        <w:t>Figure 41:</w:t>
      </w:r>
      <w:r>
        <w:rPr>
          <w:rFonts w:asciiTheme="minorHAnsi" w:eastAsiaTheme="minorEastAsia" w:hAnsiTheme="minorHAnsi"/>
          <w:color w:val="auto"/>
          <w:lang w:eastAsia="en-AU"/>
        </w:rPr>
        <w:tab/>
      </w:r>
      <w:r>
        <w:t>The assumed proportional management of each waste group in SA, as used for comparing demand and capacity,</w:t>
      </w:r>
      <w:r>
        <w:tab/>
      </w:r>
      <w:r>
        <w:fldChar w:fldCharType="begin"/>
      </w:r>
      <w:r>
        <w:instrText xml:space="preserve"> PAGEREF _Toc13225614 \h </w:instrText>
      </w:r>
      <w:r>
        <w:fldChar w:fldCharType="separate"/>
      </w:r>
      <w:r w:rsidR="00EB634D">
        <w:t>80</w:t>
      </w:r>
      <w:r>
        <w:fldChar w:fldCharType="end"/>
      </w:r>
    </w:p>
    <w:p w14:paraId="66400B7F" w14:textId="724F57FA" w:rsidR="006E4AAD" w:rsidRDefault="006E4AAD">
      <w:pPr>
        <w:pStyle w:val="TableofFigures"/>
        <w:rPr>
          <w:rFonts w:asciiTheme="minorHAnsi" w:eastAsiaTheme="minorEastAsia" w:hAnsiTheme="minorHAnsi"/>
          <w:color w:val="auto"/>
          <w:lang w:eastAsia="en-AU"/>
        </w:rPr>
      </w:pPr>
      <w:r>
        <w:t>Figure 42:</w:t>
      </w:r>
      <w:r>
        <w:rPr>
          <w:rFonts w:asciiTheme="minorHAnsi" w:eastAsiaTheme="minorEastAsia" w:hAnsiTheme="minorHAnsi"/>
          <w:color w:val="auto"/>
          <w:lang w:eastAsia="en-AU"/>
        </w:rPr>
        <w:tab/>
      </w:r>
      <w:r>
        <w:t>The assumed proportional management of each waste group in Vic, as used for comparing demand and capacity</w:t>
      </w:r>
      <w:r>
        <w:tab/>
      </w:r>
      <w:r>
        <w:fldChar w:fldCharType="begin"/>
      </w:r>
      <w:r>
        <w:instrText xml:space="preserve"> PAGEREF _Toc13225615 \h </w:instrText>
      </w:r>
      <w:r>
        <w:fldChar w:fldCharType="separate"/>
      </w:r>
      <w:r w:rsidR="00EB634D">
        <w:t>81</w:t>
      </w:r>
      <w:r>
        <w:fldChar w:fldCharType="end"/>
      </w:r>
    </w:p>
    <w:p w14:paraId="4205FDC0" w14:textId="353A5172" w:rsidR="006E4AAD" w:rsidRDefault="006E4AAD">
      <w:pPr>
        <w:pStyle w:val="TableofFigures"/>
        <w:rPr>
          <w:rFonts w:asciiTheme="minorHAnsi" w:eastAsiaTheme="minorEastAsia" w:hAnsiTheme="minorHAnsi"/>
          <w:color w:val="auto"/>
          <w:lang w:eastAsia="en-AU"/>
        </w:rPr>
      </w:pPr>
      <w:r>
        <w:t>Figure 43:</w:t>
      </w:r>
      <w:r>
        <w:rPr>
          <w:rFonts w:asciiTheme="minorHAnsi" w:eastAsiaTheme="minorEastAsia" w:hAnsiTheme="minorHAnsi"/>
          <w:color w:val="auto"/>
          <w:lang w:eastAsia="en-AU"/>
        </w:rPr>
        <w:tab/>
      </w:r>
      <w:r>
        <w:t>The assumed proportional management of each waste group in WA, as used for comparing demand and capacity</w:t>
      </w:r>
      <w:r>
        <w:tab/>
      </w:r>
      <w:r>
        <w:fldChar w:fldCharType="begin"/>
      </w:r>
      <w:r>
        <w:instrText xml:space="preserve"> PAGEREF _Toc13225616 \h </w:instrText>
      </w:r>
      <w:r>
        <w:fldChar w:fldCharType="separate"/>
      </w:r>
      <w:r w:rsidR="00EB634D">
        <w:t>82</w:t>
      </w:r>
      <w:r>
        <w:fldChar w:fldCharType="end"/>
      </w:r>
    </w:p>
    <w:p w14:paraId="7AE476D4" w14:textId="2E601747" w:rsidR="006E4AAD" w:rsidRDefault="006E4AAD">
      <w:pPr>
        <w:pStyle w:val="TableofFigures"/>
        <w:rPr>
          <w:rFonts w:asciiTheme="minorHAnsi" w:eastAsiaTheme="minorEastAsia" w:hAnsiTheme="minorHAnsi"/>
          <w:color w:val="auto"/>
          <w:lang w:eastAsia="en-AU"/>
        </w:rPr>
      </w:pPr>
      <w:r>
        <w:t>Figure 44:</w:t>
      </w:r>
      <w:r>
        <w:rPr>
          <w:rFonts w:asciiTheme="minorHAnsi" w:eastAsiaTheme="minorEastAsia" w:hAnsiTheme="minorHAnsi"/>
          <w:color w:val="auto"/>
          <w:lang w:eastAsia="en-AU"/>
        </w:rPr>
        <w:tab/>
      </w:r>
      <w:r>
        <w:t>The assumed proportional management of each waste group generated in the ACT, NT and Tas, as used for comparing demand and capacity</w:t>
      </w:r>
      <w:r>
        <w:tab/>
      </w:r>
      <w:r>
        <w:fldChar w:fldCharType="begin"/>
      </w:r>
      <w:r>
        <w:instrText xml:space="preserve"> PAGEREF _Toc13225617 \h </w:instrText>
      </w:r>
      <w:r>
        <w:fldChar w:fldCharType="separate"/>
      </w:r>
      <w:r w:rsidR="00EB634D">
        <w:t>83</w:t>
      </w:r>
      <w:r>
        <w:fldChar w:fldCharType="end"/>
      </w:r>
    </w:p>
    <w:p w14:paraId="29AF992E" w14:textId="70B18727" w:rsidR="006E4AAD" w:rsidRDefault="006E4AAD">
      <w:pPr>
        <w:pStyle w:val="TableofFigures"/>
        <w:rPr>
          <w:rFonts w:asciiTheme="minorHAnsi" w:eastAsiaTheme="minorEastAsia" w:hAnsiTheme="minorHAnsi"/>
          <w:color w:val="auto"/>
          <w:lang w:eastAsia="en-AU"/>
        </w:rPr>
      </w:pPr>
      <w:r>
        <w:t>Figure 45:</w:t>
      </w:r>
      <w:r>
        <w:rPr>
          <w:rFonts w:asciiTheme="minorHAnsi" w:eastAsiaTheme="minorEastAsia" w:hAnsiTheme="minorHAnsi"/>
          <w:color w:val="auto"/>
          <w:lang w:eastAsia="en-AU"/>
        </w:rPr>
        <w:tab/>
      </w:r>
      <w:r>
        <w:t>Hazardous waste groups arisings, coverage in capacity database and extent of assessment</w:t>
      </w:r>
      <w:r>
        <w:tab/>
      </w:r>
      <w:r>
        <w:fldChar w:fldCharType="begin"/>
      </w:r>
      <w:r>
        <w:instrText xml:space="preserve"> PAGEREF _Toc13225618 \h </w:instrText>
      </w:r>
      <w:r>
        <w:fldChar w:fldCharType="separate"/>
      </w:r>
      <w:r w:rsidR="00EB634D">
        <w:t>105</w:t>
      </w:r>
      <w:r>
        <w:fldChar w:fldCharType="end"/>
      </w:r>
    </w:p>
    <w:p w14:paraId="50943E6B" w14:textId="00D8336F" w:rsidR="006E4AAD" w:rsidRDefault="006E4AAD">
      <w:pPr>
        <w:pStyle w:val="TableofFigures"/>
        <w:rPr>
          <w:rFonts w:asciiTheme="minorHAnsi" w:eastAsiaTheme="minorEastAsia" w:hAnsiTheme="minorHAnsi"/>
          <w:color w:val="auto"/>
          <w:lang w:eastAsia="en-AU"/>
        </w:rPr>
      </w:pPr>
      <w:r>
        <w:t>Figure 46:</w:t>
      </w:r>
      <w:r>
        <w:rPr>
          <w:rFonts w:asciiTheme="minorHAnsi" w:eastAsiaTheme="minorEastAsia" w:hAnsiTheme="minorHAnsi"/>
          <w:color w:val="auto"/>
          <w:lang w:eastAsia="en-AU"/>
        </w:rPr>
        <w:tab/>
      </w:r>
      <w:r>
        <w:t>NEPM 2016-17 total imports and exports by jurisdiction</w:t>
      </w:r>
      <w:r>
        <w:tab/>
      </w:r>
      <w:r>
        <w:fldChar w:fldCharType="begin"/>
      </w:r>
      <w:r>
        <w:instrText xml:space="preserve"> PAGEREF _Toc13225619 \h </w:instrText>
      </w:r>
      <w:r>
        <w:fldChar w:fldCharType="separate"/>
      </w:r>
      <w:r w:rsidR="00EB634D">
        <w:t>124</w:t>
      </w:r>
      <w:r>
        <w:fldChar w:fldCharType="end"/>
      </w:r>
    </w:p>
    <w:p w14:paraId="230C015C" w14:textId="62C7E9FC" w:rsidR="00C31AA9" w:rsidRPr="00100F0A" w:rsidRDefault="005B2574" w:rsidP="007A43BA">
      <w:pPr>
        <w:pStyle w:val="BodyText"/>
      </w:pPr>
      <w:r>
        <w:rPr>
          <w:noProof/>
          <w:color w:val="4D4DB8"/>
        </w:rPr>
        <w:fldChar w:fldCharType="end"/>
      </w:r>
    </w:p>
    <w:p w14:paraId="1E9CE61D" w14:textId="77777777" w:rsidR="00C31AA9" w:rsidRPr="00100F0A" w:rsidRDefault="00C31AA9" w:rsidP="00C31AA9">
      <w:pPr>
        <w:rPr>
          <w:b/>
          <w:color w:val="4D4DB8"/>
          <w:sz w:val="24"/>
          <w:szCs w:val="24"/>
        </w:rPr>
      </w:pPr>
      <w:r w:rsidRPr="00100F0A">
        <w:rPr>
          <w:b/>
          <w:color w:val="4D4DB8"/>
          <w:sz w:val="24"/>
          <w:szCs w:val="24"/>
        </w:rPr>
        <w:t>Tables</w:t>
      </w:r>
    </w:p>
    <w:p w14:paraId="43282E0F" w14:textId="24319223" w:rsidR="006E4AAD" w:rsidRDefault="00C31AA9">
      <w:pPr>
        <w:pStyle w:val="TableofFigures"/>
        <w:rPr>
          <w:rFonts w:asciiTheme="minorHAnsi" w:eastAsiaTheme="minorEastAsia" w:hAnsiTheme="minorHAnsi"/>
          <w:color w:val="auto"/>
          <w:lang w:eastAsia="en-AU"/>
        </w:rPr>
      </w:pPr>
      <w:r w:rsidRPr="00100F0A">
        <w:rPr>
          <w:noProof w:val="0"/>
        </w:rPr>
        <w:fldChar w:fldCharType="begin"/>
      </w:r>
      <w:r w:rsidRPr="00100F0A">
        <w:rPr>
          <w:noProof w:val="0"/>
        </w:rPr>
        <w:instrText xml:space="preserve"> TOC \c "Table" </w:instrText>
      </w:r>
      <w:r w:rsidRPr="00100F0A">
        <w:rPr>
          <w:noProof w:val="0"/>
        </w:rPr>
        <w:fldChar w:fldCharType="separate"/>
      </w:r>
      <w:r w:rsidR="006E4AAD">
        <w:t>Table 1:</w:t>
      </w:r>
      <w:r w:rsidR="006E4AAD">
        <w:rPr>
          <w:rFonts w:asciiTheme="minorHAnsi" w:eastAsiaTheme="minorEastAsia" w:hAnsiTheme="minorHAnsi"/>
          <w:color w:val="auto"/>
          <w:lang w:eastAsia="en-AU"/>
        </w:rPr>
        <w:tab/>
      </w:r>
      <w:r w:rsidR="006E4AAD">
        <w:t>Waste groups and components of particular interest</w:t>
      </w:r>
      <w:r w:rsidR="006E4AAD">
        <w:tab/>
      </w:r>
      <w:r w:rsidR="006E4AAD">
        <w:fldChar w:fldCharType="begin"/>
      </w:r>
      <w:r w:rsidR="006E4AAD">
        <w:instrText xml:space="preserve"> PAGEREF _Toc13225620 \h </w:instrText>
      </w:r>
      <w:r w:rsidR="006E4AAD">
        <w:fldChar w:fldCharType="separate"/>
      </w:r>
      <w:r w:rsidR="00EB634D">
        <w:t>7</w:t>
      </w:r>
      <w:r w:rsidR="006E4AAD">
        <w:fldChar w:fldCharType="end"/>
      </w:r>
    </w:p>
    <w:p w14:paraId="777BBE20" w14:textId="11BC8F0A" w:rsidR="006E4AAD" w:rsidRDefault="006E4AAD">
      <w:pPr>
        <w:pStyle w:val="TableofFigures"/>
        <w:rPr>
          <w:rFonts w:asciiTheme="minorHAnsi" w:eastAsiaTheme="minorEastAsia" w:hAnsiTheme="minorHAnsi"/>
          <w:color w:val="auto"/>
          <w:lang w:eastAsia="en-AU"/>
        </w:rPr>
      </w:pPr>
      <w:r>
        <w:t>Table 2:</w:t>
      </w:r>
      <w:r>
        <w:rPr>
          <w:rFonts w:asciiTheme="minorHAnsi" w:eastAsiaTheme="minorEastAsia" w:hAnsiTheme="minorHAnsi"/>
          <w:color w:val="auto"/>
          <w:lang w:eastAsia="en-AU"/>
        </w:rPr>
        <w:tab/>
      </w:r>
      <w:r>
        <w:t>Information and data underpinning the projections and how it was used</w:t>
      </w:r>
      <w:r>
        <w:tab/>
      </w:r>
      <w:r>
        <w:fldChar w:fldCharType="begin"/>
      </w:r>
      <w:r>
        <w:instrText xml:space="preserve"> PAGEREF _Toc13225621 \h </w:instrText>
      </w:r>
      <w:r>
        <w:fldChar w:fldCharType="separate"/>
      </w:r>
      <w:r w:rsidR="00EB634D">
        <w:t>9</w:t>
      </w:r>
      <w:r>
        <w:fldChar w:fldCharType="end"/>
      </w:r>
    </w:p>
    <w:p w14:paraId="6139D92B" w14:textId="5E9D1F94" w:rsidR="006E4AAD" w:rsidRDefault="006E4AAD">
      <w:pPr>
        <w:pStyle w:val="TableofFigures"/>
        <w:rPr>
          <w:rFonts w:asciiTheme="minorHAnsi" w:eastAsiaTheme="minorEastAsia" w:hAnsiTheme="minorHAnsi"/>
          <w:color w:val="auto"/>
          <w:lang w:eastAsia="en-AU"/>
        </w:rPr>
      </w:pPr>
      <w:r>
        <w:t>Table 3:</w:t>
      </w:r>
      <w:r>
        <w:rPr>
          <w:rFonts w:asciiTheme="minorHAnsi" w:eastAsiaTheme="minorEastAsia" w:hAnsiTheme="minorHAnsi"/>
          <w:color w:val="auto"/>
          <w:lang w:eastAsia="en-AU"/>
        </w:rPr>
        <w:tab/>
      </w:r>
      <w:r>
        <w:t>Metadata for the state and territory hazardous waste data received</w:t>
      </w:r>
      <w:r>
        <w:tab/>
      </w:r>
      <w:r>
        <w:fldChar w:fldCharType="begin"/>
      </w:r>
      <w:r>
        <w:instrText xml:space="preserve"> PAGEREF _Toc13225622 \h </w:instrText>
      </w:r>
      <w:r>
        <w:fldChar w:fldCharType="separate"/>
      </w:r>
      <w:r w:rsidR="00EB634D">
        <w:t>10</w:t>
      </w:r>
      <w:r>
        <w:fldChar w:fldCharType="end"/>
      </w:r>
    </w:p>
    <w:p w14:paraId="034D3718" w14:textId="17A755BC" w:rsidR="006E4AAD" w:rsidRDefault="006E4AAD">
      <w:pPr>
        <w:pStyle w:val="TableofFigures"/>
        <w:rPr>
          <w:rFonts w:asciiTheme="minorHAnsi" w:eastAsiaTheme="minorEastAsia" w:hAnsiTheme="minorHAnsi"/>
          <w:color w:val="auto"/>
          <w:lang w:eastAsia="en-AU"/>
        </w:rPr>
      </w:pPr>
      <w:r>
        <w:t>Table 4:</w:t>
      </w:r>
      <w:r>
        <w:rPr>
          <w:rFonts w:asciiTheme="minorHAnsi" w:eastAsiaTheme="minorEastAsia" w:hAnsiTheme="minorHAnsi"/>
          <w:color w:val="auto"/>
          <w:lang w:eastAsia="en-AU"/>
        </w:rPr>
        <w:tab/>
      </w:r>
      <w:r>
        <w:t>Pre-existing waste projections used in building our projections</w:t>
      </w:r>
      <w:r>
        <w:tab/>
      </w:r>
      <w:r>
        <w:fldChar w:fldCharType="begin"/>
      </w:r>
      <w:r>
        <w:instrText xml:space="preserve"> PAGEREF _Toc13225623 \h </w:instrText>
      </w:r>
      <w:r>
        <w:fldChar w:fldCharType="separate"/>
      </w:r>
      <w:r w:rsidR="00EB634D">
        <w:t>11</w:t>
      </w:r>
      <w:r>
        <w:fldChar w:fldCharType="end"/>
      </w:r>
    </w:p>
    <w:p w14:paraId="4447397C" w14:textId="14CC94BD" w:rsidR="006E4AAD" w:rsidRDefault="006E4AAD">
      <w:pPr>
        <w:pStyle w:val="TableofFigures"/>
        <w:rPr>
          <w:rFonts w:asciiTheme="minorHAnsi" w:eastAsiaTheme="minorEastAsia" w:hAnsiTheme="minorHAnsi"/>
          <w:color w:val="auto"/>
          <w:lang w:eastAsia="en-AU"/>
        </w:rPr>
      </w:pPr>
      <w:r>
        <w:t>Table 5:</w:t>
      </w:r>
      <w:r>
        <w:rPr>
          <w:rFonts w:asciiTheme="minorHAnsi" w:eastAsiaTheme="minorEastAsia" w:hAnsiTheme="minorHAnsi"/>
          <w:color w:val="auto"/>
          <w:lang w:eastAsia="en-AU"/>
        </w:rPr>
        <w:tab/>
      </w:r>
      <w:r>
        <w:t>Industry activity projections and analyses and their use in the projections</w:t>
      </w:r>
      <w:r>
        <w:tab/>
      </w:r>
      <w:r>
        <w:fldChar w:fldCharType="begin"/>
      </w:r>
      <w:r>
        <w:instrText xml:space="preserve"> PAGEREF _Toc13225624 \h </w:instrText>
      </w:r>
      <w:r>
        <w:fldChar w:fldCharType="separate"/>
      </w:r>
      <w:r w:rsidR="00EB634D">
        <w:t>11</w:t>
      </w:r>
      <w:r>
        <w:fldChar w:fldCharType="end"/>
      </w:r>
    </w:p>
    <w:p w14:paraId="7B751280" w14:textId="5A00AF8A" w:rsidR="006E4AAD" w:rsidRDefault="006E4AAD">
      <w:pPr>
        <w:pStyle w:val="TableofFigures"/>
        <w:rPr>
          <w:rFonts w:asciiTheme="minorHAnsi" w:eastAsiaTheme="minorEastAsia" w:hAnsiTheme="minorHAnsi"/>
          <w:color w:val="auto"/>
          <w:lang w:eastAsia="en-AU"/>
        </w:rPr>
      </w:pPr>
      <w:r>
        <w:t>Table 6:</w:t>
      </w:r>
      <w:r>
        <w:rPr>
          <w:rFonts w:asciiTheme="minorHAnsi" w:eastAsiaTheme="minorEastAsia" w:hAnsiTheme="minorHAnsi"/>
          <w:color w:val="auto"/>
          <w:lang w:eastAsia="en-AU"/>
        </w:rPr>
        <w:tab/>
      </w:r>
      <w:r>
        <w:t>Projection starting points for each waste group by jurisdiction (see Table 1 for full waste group descriptions)</w:t>
      </w:r>
      <w:r>
        <w:tab/>
      </w:r>
      <w:r>
        <w:fldChar w:fldCharType="begin"/>
      </w:r>
      <w:r>
        <w:instrText xml:space="preserve"> PAGEREF _Toc13225625 \h </w:instrText>
      </w:r>
      <w:r>
        <w:fldChar w:fldCharType="separate"/>
      </w:r>
      <w:r w:rsidR="00EB634D">
        <w:t>12</w:t>
      </w:r>
      <w:r>
        <w:fldChar w:fldCharType="end"/>
      </w:r>
    </w:p>
    <w:p w14:paraId="5553C224" w14:textId="30BE6ABF" w:rsidR="006E4AAD" w:rsidRDefault="006E4AAD">
      <w:pPr>
        <w:pStyle w:val="TableofFigures"/>
        <w:rPr>
          <w:rFonts w:asciiTheme="minorHAnsi" w:eastAsiaTheme="minorEastAsia" w:hAnsiTheme="minorHAnsi"/>
          <w:color w:val="auto"/>
          <w:lang w:eastAsia="en-AU"/>
        </w:rPr>
      </w:pPr>
      <w:r>
        <w:t>Table 7:</w:t>
      </w:r>
      <w:r>
        <w:rPr>
          <w:rFonts w:asciiTheme="minorHAnsi" w:eastAsiaTheme="minorEastAsia" w:hAnsiTheme="minorHAnsi"/>
          <w:color w:val="auto"/>
          <w:lang w:eastAsia="en-AU"/>
        </w:rPr>
        <w:tab/>
      </w:r>
      <w:r>
        <w:t>Significant differences in approach between 2018 and 2015 projection assumptions</w:t>
      </w:r>
      <w:r>
        <w:tab/>
      </w:r>
      <w:r>
        <w:fldChar w:fldCharType="begin"/>
      </w:r>
      <w:r>
        <w:instrText xml:space="preserve"> PAGEREF _Toc13225626 \h </w:instrText>
      </w:r>
      <w:r>
        <w:fldChar w:fldCharType="separate"/>
      </w:r>
      <w:r w:rsidR="00EB634D">
        <w:t>19</w:t>
      </w:r>
      <w:r>
        <w:fldChar w:fldCharType="end"/>
      </w:r>
    </w:p>
    <w:p w14:paraId="094BD2D9" w14:textId="0EA68B5A" w:rsidR="006E4AAD" w:rsidRDefault="006E4AAD">
      <w:pPr>
        <w:pStyle w:val="TableofFigures"/>
        <w:rPr>
          <w:rFonts w:asciiTheme="minorHAnsi" w:eastAsiaTheme="minorEastAsia" w:hAnsiTheme="minorHAnsi"/>
          <w:color w:val="auto"/>
          <w:lang w:eastAsia="en-AU"/>
        </w:rPr>
      </w:pPr>
      <w:r>
        <w:t>Table 8:</w:t>
      </w:r>
      <w:r>
        <w:rPr>
          <w:rFonts w:asciiTheme="minorHAnsi" w:eastAsiaTheme="minorEastAsia" w:hAnsiTheme="minorHAnsi"/>
          <w:color w:val="auto"/>
          <w:lang w:eastAsia="en-AU"/>
        </w:rPr>
        <w:tab/>
      </w:r>
      <w:r>
        <w:t>Best, high and low projected rates of change for plating &amp; heat treatment waste to 2037</w:t>
      </w:r>
      <w:r>
        <w:tab/>
      </w:r>
      <w:r>
        <w:fldChar w:fldCharType="begin"/>
      </w:r>
      <w:r>
        <w:instrText xml:space="preserve"> PAGEREF _Toc13225627 \h </w:instrText>
      </w:r>
      <w:r>
        <w:fldChar w:fldCharType="separate"/>
      </w:r>
      <w:r w:rsidR="00EB634D">
        <w:t>22</w:t>
      </w:r>
      <w:r>
        <w:fldChar w:fldCharType="end"/>
      </w:r>
    </w:p>
    <w:p w14:paraId="3CE4744C" w14:textId="02946B97" w:rsidR="006E4AAD" w:rsidRDefault="006E4AAD">
      <w:pPr>
        <w:pStyle w:val="TableofFigures"/>
        <w:rPr>
          <w:rFonts w:asciiTheme="minorHAnsi" w:eastAsiaTheme="minorEastAsia" w:hAnsiTheme="minorHAnsi"/>
          <w:color w:val="auto"/>
          <w:lang w:eastAsia="en-AU"/>
        </w:rPr>
      </w:pPr>
      <w:r>
        <w:t>Table 9:</w:t>
      </w:r>
      <w:r>
        <w:rPr>
          <w:rFonts w:asciiTheme="minorHAnsi" w:eastAsiaTheme="minorEastAsia" w:hAnsiTheme="minorHAnsi"/>
          <w:color w:val="auto"/>
          <w:lang w:eastAsia="en-AU"/>
        </w:rPr>
        <w:tab/>
      </w:r>
      <w:r>
        <w:t>Best, high and low projected rates of change for acid waste to 2037</w:t>
      </w:r>
      <w:r>
        <w:tab/>
      </w:r>
      <w:r>
        <w:fldChar w:fldCharType="begin"/>
      </w:r>
      <w:r>
        <w:instrText xml:space="preserve"> PAGEREF _Toc13225628 \h </w:instrText>
      </w:r>
      <w:r>
        <w:fldChar w:fldCharType="separate"/>
      </w:r>
      <w:r w:rsidR="00EB634D">
        <w:t>23</w:t>
      </w:r>
      <w:r>
        <w:fldChar w:fldCharType="end"/>
      </w:r>
    </w:p>
    <w:p w14:paraId="234E5A8F" w14:textId="22D4623B" w:rsidR="006E4AAD" w:rsidRDefault="006E4AAD">
      <w:pPr>
        <w:pStyle w:val="TableofFigures"/>
        <w:rPr>
          <w:rFonts w:asciiTheme="minorHAnsi" w:eastAsiaTheme="minorEastAsia" w:hAnsiTheme="minorHAnsi"/>
          <w:color w:val="auto"/>
          <w:lang w:eastAsia="en-AU"/>
        </w:rPr>
      </w:pPr>
      <w:r>
        <w:t>Table 10:</w:t>
      </w:r>
      <w:r>
        <w:rPr>
          <w:rFonts w:asciiTheme="minorHAnsi" w:eastAsiaTheme="minorEastAsia" w:hAnsiTheme="minorHAnsi"/>
          <w:color w:val="auto"/>
          <w:lang w:eastAsia="en-AU"/>
        </w:rPr>
        <w:tab/>
      </w:r>
      <w:r>
        <w:t>Best, high and low projected rates of change for alkali waste to 2037</w:t>
      </w:r>
      <w:r>
        <w:tab/>
      </w:r>
      <w:r>
        <w:fldChar w:fldCharType="begin"/>
      </w:r>
      <w:r>
        <w:instrText xml:space="preserve"> PAGEREF _Toc13225629 \h </w:instrText>
      </w:r>
      <w:r>
        <w:fldChar w:fldCharType="separate"/>
      </w:r>
      <w:r w:rsidR="00EB634D">
        <w:t>24</w:t>
      </w:r>
      <w:r>
        <w:fldChar w:fldCharType="end"/>
      </w:r>
    </w:p>
    <w:p w14:paraId="0FF4D65A" w14:textId="684368AF" w:rsidR="006E4AAD" w:rsidRDefault="006E4AAD">
      <w:pPr>
        <w:pStyle w:val="TableofFigures"/>
        <w:rPr>
          <w:rFonts w:asciiTheme="minorHAnsi" w:eastAsiaTheme="minorEastAsia" w:hAnsiTheme="minorHAnsi"/>
          <w:color w:val="auto"/>
          <w:lang w:eastAsia="en-AU"/>
        </w:rPr>
      </w:pPr>
      <w:r>
        <w:t>Table 11:</w:t>
      </w:r>
      <w:r>
        <w:rPr>
          <w:rFonts w:asciiTheme="minorHAnsi" w:eastAsiaTheme="minorEastAsia" w:hAnsiTheme="minorHAnsi"/>
          <w:color w:val="auto"/>
          <w:lang w:eastAsia="en-AU"/>
        </w:rPr>
        <w:tab/>
      </w:r>
      <w:r>
        <w:t>Best, high and low projected rates of change for Inorganic fluorine (SPL) waste to 2037</w:t>
      </w:r>
      <w:r>
        <w:tab/>
      </w:r>
      <w:r>
        <w:fldChar w:fldCharType="begin"/>
      </w:r>
      <w:r>
        <w:instrText xml:space="preserve"> PAGEREF _Toc13225630 \h </w:instrText>
      </w:r>
      <w:r>
        <w:fldChar w:fldCharType="separate"/>
      </w:r>
      <w:r w:rsidR="00EB634D">
        <w:t>26</w:t>
      </w:r>
      <w:r>
        <w:fldChar w:fldCharType="end"/>
      </w:r>
    </w:p>
    <w:p w14:paraId="3ECFE93A" w14:textId="0192781E" w:rsidR="006E4AAD" w:rsidRDefault="006E4AAD">
      <w:pPr>
        <w:pStyle w:val="TableofFigures"/>
        <w:rPr>
          <w:rFonts w:asciiTheme="minorHAnsi" w:eastAsiaTheme="minorEastAsia" w:hAnsiTheme="minorHAnsi"/>
          <w:color w:val="auto"/>
          <w:lang w:eastAsia="en-AU"/>
        </w:rPr>
      </w:pPr>
      <w:r>
        <w:t>Table 12:</w:t>
      </w:r>
      <w:r>
        <w:rPr>
          <w:rFonts w:asciiTheme="minorHAnsi" w:eastAsiaTheme="minorEastAsia" w:hAnsiTheme="minorHAnsi"/>
          <w:color w:val="auto"/>
          <w:lang w:eastAsia="en-AU"/>
        </w:rPr>
        <w:tab/>
      </w:r>
      <w:r>
        <w:t>Best, high and low projected rates of change for mercury; mercury compounds waste to 2037</w:t>
      </w:r>
      <w:r>
        <w:tab/>
      </w:r>
      <w:r>
        <w:fldChar w:fldCharType="begin"/>
      </w:r>
      <w:r>
        <w:instrText xml:space="preserve"> PAGEREF _Toc13225631 \h </w:instrText>
      </w:r>
      <w:r>
        <w:fldChar w:fldCharType="separate"/>
      </w:r>
      <w:r w:rsidR="00EB634D">
        <w:t>28</w:t>
      </w:r>
      <w:r>
        <w:fldChar w:fldCharType="end"/>
      </w:r>
    </w:p>
    <w:p w14:paraId="49332831" w14:textId="65A08810" w:rsidR="006E4AAD" w:rsidRDefault="006E4AAD">
      <w:pPr>
        <w:pStyle w:val="TableofFigures"/>
        <w:rPr>
          <w:rFonts w:asciiTheme="minorHAnsi" w:eastAsiaTheme="minorEastAsia" w:hAnsiTheme="minorHAnsi"/>
          <w:color w:val="auto"/>
          <w:lang w:eastAsia="en-AU"/>
        </w:rPr>
      </w:pPr>
      <w:r>
        <w:t>Table 13:</w:t>
      </w:r>
      <w:r>
        <w:rPr>
          <w:rFonts w:asciiTheme="minorHAnsi" w:eastAsiaTheme="minorEastAsia" w:hAnsiTheme="minorHAnsi"/>
          <w:color w:val="auto"/>
          <w:lang w:eastAsia="en-AU"/>
        </w:rPr>
        <w:tab/>
      </w:r>
      <w:r>
        <w:t>Best, high and low projected rates of change for lead, lead compounds waste to 2037</w:t>
      </w:r>
      <w:r>
        <w:tab/>
      </w:r>
      <w:r>
        <w:fldChar w:fldCharType="begin"/>
      </w:r>
      <w:r>
        <w:instrText xml:space="preserve"> PAGEREF _Toc13225632 \h </w:instrText>
      </w:r>
      <w:r>
        <w:fldChar w:fldCharType="separate"/>
      </w:r>
      <w:r w:rsidR="00EB634D">
        <w:t>29</w:t>
      </w:r>
      <w:r>
        <w:fldChar w:fldCharType="end"/>
      </w:r>
    </w:p>
    <w:p w14:paraId="4A99BCA3" w14:textId="7BF7F244" w:rsidR="006E4AAD" w:rsidRDefault="006E4AAD">
      <w:pPr>
        <w:pStyle w:val="TableofFigures"/>
        <w:rPr>
          <w:rFonts w:asciiTheme="minorHAnsi" w:eastAsiaTheme="minorEastAsia" w:hAnsiTheme="minorHAnsi"/>
          <w:color w:val="auto"/>
          <w:lang w:eastAsia="en-AU"/>
        </w:rPr>
      </w:pPr>
      <w:r>
        <w:t>Table 14:</w:t>
      </w:r>
      <w:r>
        <w:rPr>
          <w:rFonts w:asciiTheme="minorHAnsi" w:eastAsiaTheme="minorEastAsia" w:hAnsiTheme="minorHAnsi"/>
          <w:color w:val="auto"/>
          <w:lang w:eastAsia="en-AU"/>
        </w:rPr>
        <w:tab/>
      </w:r>
      <w:r>
        <w:t>Best, high and low projected rates of change for zinc compounds waste to 2037</w:t>
      </w:r>
      <w:r>
        <w:tab/>
      </w:r>
      <w:r>
        <w:fldChar w:fldCharType="begin"/>
      </w:r>
      <w:r>
        <w:instrText xml:space="preserve"> PAGEREF _Toc13225633 \h </w:instrText>
      </w:r>
      <w:r>
        <w:fldChar w:fldCharType="separate"/>
      </w:r>
      <w:r w:rsidR="00EB634D">
        <w:t>30</w:t>
      </w:r>
      <w:r>
        <w:fldChar w:fldCharType="end"/>
      </w:r>
    </w:p>
    <w:p w14:paraId="06E69515" w14:textId="53F954B3" w:rsidR="006E4AAD" w:rsidRDefault="006E4AAD">
      <w:pPr>
        <w:pStyle w:val="TableofFigures"/>
        <w:rPr>
          <w:rFonts w:asciiTheme="minorHAnsi" w:eastAsiaTheme="minorEastAsia" w:hAnsiTheme="minorHAnsi"/>
          <w:color w:val="auto"/>
          <w:lang w:eastAsia="en-AU"/>
        </w:rPr>
      </w:pPr>
      <w:r>
        <w:t>Table 15:</w:t>
      </w:r>
      <w:r>
        <w:rPr>
          <w:rFonts w:asciiTheme="minorHAnsi" w:eastAsiaTheme="minorEastAsia" w:hAnsiTheme="minorHAnsi"/>
          <w:color w:val="auto"/>
          <w:lang w:eastAsia="en-AU"/>
        </w:rPr>
        <w:tab/>
      </w:r>
      <w:r>
        <w:t>Best, high and low projected rates of change for non-toxic salt waste to 2037</w:t>
      </w:r>
      <w:r>
        <w:tab/>
      </w:r>
      <w:r>
        <w:fldChar w:fldCharType="begin"/>
      </w:r>
      <w:r>
        <w:instrText xml:space="preserve"> PAGEREF _Toc13225634 \h </w:instrText>
      </w:r>
      <w:r>
        <w:fldChar w:fldCharType="separate"/>
      </w:r>
      <w:r w:rsidR="00EB634D">
        <w:t>33</w:t>
      </w:r>
      <w:r>
        <w:fldChar w:fldCharType="end"/>
      </w:r>
    </w:p>
    <w:p w14:paraId="56F1EE44" w14:textId="0DEB9806" w:rsidR="006E4AAD" w:rsidRDefault="006E4AAD">
      <w:pPr>
        <w:pStyle w:val="TableofFigures"/>
        <w:rPr>
          <w:rFonts w:asciiTheme="minorHAnsi" w:eastAsiaTheme="minorEastAsia" w:hAnsiTheme="minorHAnsi"/>
          <w:color w:val="auto"/>
          <w:lang w:eastAsia="en-AU"/>
        </w:rPr>
      </w:pPr>
      <w:r>
        <w:t>Table 16:</w:t>
      </w:r>
      <w:r>
        <w:rPr>
          <w:rFonts w:asciiTheme="minorHAnsi" w:eastAsiaTheme="minorEastAsia" w:hAnsiTheme="minorHAnsi"/>
          <w:color w:val="auto"/>
          <w:lang w:eastAsia="en-AU"/>
        </w:rPr>
        <w:tab/>
      </w:r>
      <w:r>
        <w:t>Best, high and low projected rates of change for other inorganic chemical waste to 2037</w:t>
      </w:r>
      <w:r>
        <w:tab/>
      </w:r>
      <w:r>
        <w:fldChar w:fldCharType="begin"/>
      </w:r>
      <w:r>
        <w:instrText xml:space="preserve"> PAGEREF _Toc13225635 \h </w:instrText>
      </w:r>
      <w:r>
        <w:fldChar w:fldCharType="separate"/>
      </w:r>
      <w:r w:rsidR="00EB634D">
        <w:t>35</w:t>
      </w:r>
      <w:r>
        <w:fldChar w:fldCharType="end"/>
      </w:r>
    </w:p>
    <w:p w14:paraId="1A4E83EB" w14:textId="3C0CC887" w:rsidR="006E4AAD" w:rsidRDefault="006E4AAD">
      <w:pPr>
        <w:pStyle w:val="TableofFigures"/>
        <w:rPr>
          <w:rFonts w:asciiTheme="minorHAnsi" w:eastAsiaTheme="minorEastAsia" w:hAnsiTheme="minorHAnsi"/>
          <w:color w:val="auto"/>
          <w:lang w:eastAsia="en-AU"/>
        </w:rPr>
      </w:pPr>
      <w:r>
        <w:t>Table 17:</w:t>
      </w:r>
      <w:r>
        <w:rPr>
          <w:rFonts w:asciiTheme="minorHAnsi" w:eastAsiaTheme="minorEastAsia" w:hAnsiTheme="minorHAnsi"/>
          <w:color w:val="auto"/>
          <w:lang w:eastAsia="en-AU"/>
        </w:rPr>
        <w:tab/>
      </w:r>
      <w:r>
        <w:t>Best, high and low projected rates of change for reactive chemical waste to 2037</w:t>
      </w:r>
      <w:r>
        <w:tab/>
      </w:r>
      <w:r>
        <w:fldChar w:fldCharType="begin"/>
      </w:r>
      <w:r>
        <w:instrText xml:space="preserve"> PAGEREF _Toc13225636 \h </w:instrText>
      </w:r>
      <w:r>
        <w:fldChar w:fldCharType="separate"/>
      </w:r>
      <w:r w:rsidR="00EB634D">
        <w:t>36</w:t>
      </w:r>
      <w:r>
        <w:fldChar w:fldCharType="end"/>
      </w:r>
    </w:p>
    <w:p w14:paraId="51278059" w14:textId="2B88CB09" w:rsidR="006E4AAD" w:rsidRDefault="006E4AAD">
      <w:pPr>
        <w:pStyle w:val="TableofFigures"/>
        <w:rPr>
          <w:rFonts w:asciiTheme="minorHAnsi" w:eastAsiaTheme="minorEastAsia" w:hAnsiTheme="minorHAnsi"/>
          <w:color w:val="auto"/>
          <w:lang w:eastAsia="en-AU"/>
        </w:rPr>
      </w:pPr>
      <w:r>
        <w:t>Table 18:</w:t>
      </w:r>
      <w:r>
        <w:rPr>
          <w:rFonts w:asciiTheme="minorHAnsi" w:eastAsiaTheme="minorEastAsia" w:hAnsiTheme="minorHAnsi"/>
          <w:color w:val="auto"/>
          <w:lang w:eastAsia="en-AU"/>
        </w:rPr>
        <w:tab/>
      </w:r>
      <w:r>
        <w:t>Best, high and low projected rates of change for paints, resins, inks and organic sludge waste to 2037</w:t>
      </w:r>
      <w:r>
        <w:tab/>
      </w:r>
      <w:r>
        <w:fldChar w:fldCharType="begin"/>
      </w:r>
      <w:r>
        <w:instrText xml:space="preserve"> PAGEREF _Toc13225637 \h </w:instrText>
      </w:r>
      <w:r>
        <w:fldChar w:fldCharType="separate"/>
      </w:r>
      <w:r w:rsidR="00EB634D">
        <w:t>37</w:t>
      </w:r>
      <w:r>
        <w:fldChar w:fldCharType="end"/>
      </w:r>
    </w:p>
    <w:p w14:paraId="7373B616" w14:textId="2A238417" w:rsidR="006E4AAD" w:rsidRDefault="006E4AAD">
      <w:pPr>
        <w:pStyle w:val="TableofFigures"/>
        <w:rPr>
          <w:rFonts w:asciiTheme="minorHAnsi" w:eastAsiaTheme="minorEastAsia" w:hAnsiTheme="minorHAnsi"/>
          <w:color w:val="auto"/>
          <w:lang w:eastAsia="en-AU"/>
        </w:rPr>
      </w:pPr>
      <w:r>
        <w:t>Table 19:</w:t>
      </w:r>
      <w:r>
        <w:rPr>
          <w:rFonts w:asciiTheme="minorHAnsi" w:eastAsiaTheme="minorEastAsia" w:hAnsiTheme="minorHAnsi"/>
          <w:color w:val="auto"/>
          <w:lang w:eastAsia="en-AU"/>
        </w:rPr>
        <w:tab/>
      </w:r>
      <w:r>
        <w:t>Best, high and low projected rates of change for organic solvent waste to 2037</w:t>
      </w:r>
      <w:r>
        <w:tab/>
      </w:r>
      <w:r>
        <w:fldChar w:fldCharType="begin"/>
      </w:r>
      <w:r>
        <w:instrText xml:space="preserve"> PAGEREF _Toc13225638 \h </w:instrText>
      </w:r>
      <w:r>
        <w:fldChar w:fldCharType="separate"/>
      </w:r>
      <w:r w:rsidR="00EB634D">
        <w:t>38</w:t>
      </w:r>
      <w:r>
        <w:fldChar w:fldCharType="end"/>
      </w:r>
    </w:p>
    <w:p w14:paraId="391D6F71" w14:textId="228AF346" w:rsidR="006E4AAD" w:rsidRDefault="006E4AAD">
      <w:pPr>
        <w:pStyle w:val="TableofFigures"/>
        <w:rPr>
          <w:rFonts w:asciiTheme="minorHAnsi" w:eastAsiaTheme="minorEastAsia" w:hAnsiTheme="minorHAnsi"/>
          <w:color w:val="auto"/>
          <w:lang w:eastAsia="en-AU"/>
        </w:rPr>
      </w:pPr>
      <w:r>
        <w:t>Table 20:</w:t>
      </w:r>
      <w:r>
        <w:rPr>
          <w:rFonts w:asciiTheme="minorHAnsi" w:eastAsiaTheme="minorEastAsia" w:hAnsiTheme="minorHAnsi"/>
          <w:color w:val="auto"/>
          <w:lang w:eastAsia="en-AU"/>
        </w:rPr>
        <w:tab/>
      </w:r>
      <w:r>
        <w:t>Best, high and low projected rates of change for pesticide waste to 2037</w:t>
      </w:r>
      <w:r>
        <w:tab/>
      </w:r>
      <w:r>
        <w:fldChar w:fldCharType="begin"/>
      </w:r>
      <w:r>
        <w:instrText xml:space="preserve"> PAGEREF _Toc13225639 \h </w:instrText>
      </w:r>
      <w:r>
        <w:fldChar w:fldCharType="separate"/>
      </w:r>
      <w:r w:rsidR="00EB634D">
        <w:t>39</w:t>
      </w:r>
      <w:r>
        <w:fldChar w:fldCharType="end"/>
      </w:r>
    </w:p>
    <w:p w14:paraId="394908DC" w14:textId="67A8B504" w:rsidR="006E4AAD" w:rsidRDefault="006E4AAD">
      <w:pPr>
        <w:pStyle w:val="TableofFigures"/>
        <w:rPr>
          <w:rFonts w:asciiTheme="minorHAnsi" w:eastAsiaTheme="minorEastAsia" w:hAnsiTheme="minorHAnsi"/>
          <w:color w:val="auto"/>
          <w:lang w:eastAsia="en-AU"/>
        </w:rPr>
      </w:pPr>
      <w:r>
        <w:t>Table 21:</w:t>
      </w:r>
      <w:r>
        <w:rPr>
          <w:rFonts w:asciiTheme="minorHAnsi" w:eastAsiaTheme="minorEastAsia" w:hAnsiTheme="minorHAnsi"/>
          <w:color w:val="auto"/>
          <w:lang w:eastAsia="en-AU"/>
        </w:rPr>
        <w:tab/>
      </w:r>
      <w:r>
        <w:t>Best, high and low projected rates of change for oil waste to 2037</w:t>
      </w:r>
      <w:r>
        <w:tab/>
      </w:r>
      <w:r>
        <w:fldChar w:fldCharType="begin"/>
      </w:r>
      <w:r>
        <w:instrText xml:space="preserve"> PAGEREF _Toc13225640 \h </w:instrText>
      </w:r>
      <w:r>
        <w:fldChar w:fldCharType="separate"/>
      </w:r>
      <w:r w:rsidR="00EB634D">
        <w:t>41</w:t>
      </w:r>
      <w:r>
        <w:fldChar w:fldCharType="end"/>
      </w:r>
    </w:p>
    <w:p w14:paraId="41E5AC59" w14:textId="6EA77EED" w:rsidR="006E4AAD" w:rsidRDefault="006E4AAD">
      <w:pPr>
        <w:pStyle w:val="TableofFigures"/>
        <w:rPr>
          <w:rFonts w:asciiTheme="minorHAnsi" w:eastAsiaTheme="minorEastAsia" w:hAnsiTheme="minorHAnsi"/>
          <w:color w:val="auto"/>
          <w:lang w:eastAsia="en-AU"/>
        </w:rPr>
      </w:pPr>
      <w:r>
        <w:t>Table 22:</w:t>
      </w:r>
      <w:r>
        <w:rPr>
          <w:rFonts w:asciiTheme="minorHAnsi" w:eastAsiaTheme="minorEastAsia" w:hAnsiTheme="minorHAnsi"/>
          <w:color w:val="auto"/>
          <w:lang w:eastAsia="en-AU"/>
        </w:rPr>
        <w:tab/>
      </w:r>
      <w:r>
        <w:t>Best, high and low projected rates of change for oily water waste to 2037</w:t>
      </w:r>
      <w:r>
        <w:tab/>
      </w:r>
      <w:r>
        <w:fldChar w:fldCharType="begin"/>
      </w:r>
      <w:r>
        <w:instrText xml:space="preserve"> PAGEREF _Toc13225641 \h </w:instrText>
      </w:r>
      <w:r>
        <w:fldChar w:fldCharType="separate"/>
      </w:r>
      <w:r w:rsidR="00EB634D">
        <w:t>42</w:t>
      </w:r>
      <w:r>
        <w:fldChar w:fldCharType="end"/>
      </w:r>
    </w:p>
    <w:p w14:paraId="2311B6AA" w14:textId="39B8CAA7" w:rsidR="006E4AAD" w:rsidRDefault="006E4AAD">
      <w:pPr>
        <w:pStyle w:val="TableofFigures"/>
        <w:rPr>
          <w:rFonts w:asciiTheme="minorHAnsi" w:eastAsiaTheme="minorEastAsia" w:hAnsiTheme="minorHAnsi"/>
          <w:color w:val="auto"/>
          <w:lang w:eastAsia="en-AU"/>
        </w:rPr>
      </w:pPr>
      <w:r>
        <w:t>Table 23:</w:t>
      </w:r>
      <w:r>
        <w:rPr>
          <w:rFonts w:asciiTheme="minorHAnsi" w:eastAsiaTheme="minorEastAsia" w:hAnsiTheme="minorHAnsi"/>
          <w:color w:val="auto"/>
          <w:lang w:eastAsia="en-AU"/>
        </w:rPr>
        <w:tab/>
      </w:r>
      <w:r>
        <w:t>Best, high and low projected rates of change for grease trap waste to 2037</w:t>
      </w:r>
      <w:r>
        <w:tab/>
      </w:r>
      <w:r>
        <w:fldChar w:fldCharType="begin"/>
      </w:r>
      <w:r>
        <w:instrText xml:space="preserve"> PAGEREF _Toc13225642 \h </w:instrText>
      </w:r>
      <w:r>
        <w:fldChar w:fldCharType="separate"/>
      </w:r>
      <w:r w:rsidR="00EB634D">
        <w:t>43</w:t>
      </w:r>
      <w:r>
        <w:fldChar w:fldCharType="end"/>
      </w:r>
    </w:p>
    <w:p w14:paraId="7999538C" w14:textId="0BD9ECB9" w:rsidR="006E4AAD" w:rsidRDefault="006E4AAD">
      <w:pPr>
        <w:pStyle w:val="TableofFigures"/>
        <w:rPr>
          <w:rFonts w:asciiTheme="minorHAnsi" w:eastAsiaTheme="minorEastAsia" w:hAnsiTheme="minorHAnsi"/>
          <w:color w:val="auto"/>
          <w:lang w:eastAsia="en-AU"/>
        </w:rPr>
      </w:pPr>
      <w:r>
        <w:t>Table 24:</w:t>
      </w:r>
      <w:r>
        <w:rPr>
          <w:rFonts w:asciiTheme="minorHAnsi" w:eastAsiaTheme="minorEastAsia" w:hAnsiTheme="minorHAnsi"/>
          <w:color w:val="auto"/>
          <w:lang w:eastAsia="en-AU"/>
        </w:rPr>
        <w:tab/>
      </w:r>
      <w:r>
        <w:t>Best, high and low projected rates of change for other putrescible/organic waste to 2037</w:t>
      </w:r>
      <w:r>
        <w:tab/>
      </w:r>
      <w:r>
        <w:fldChar w:fldCharType="begin"/>
      </w:r>
      <w:r>
        <w:instrText xml:space="preserve"> PAGEREF _Toc13225643 \h </w:instrText>
      </w:r>
      <w:r>
        <w:fldChar w:fldCharType="separate"/>
      </w:r>
      <w:r w:rsidR="00EB634D">
        <w:t>44</w:t>
      </w:r>
      <w:r>
        <w:fldChar w:fldCharType="end"/>
      </w:r>
    </w:p>
    <w:p w14:paraId="0A27201E" w14:textId="3D2F0A84" w:rsidR="006E4AAD" w:rsidRDefault="006E4AAD">
      <w:pPr>
        <w:pStyle w:val="TableofFigures"/>
        <w:rPr>
          <w:rFonts w:asciiTheme="minorHAnsi" w:eastAsiaTheme="minorEastAsia" w:hAnsiTheme="minorHAnsi"/>
          <w:color w:val="auto"/>
          <w:lang w:eastAsia="en-AU"/>
        </w:rPr>
      </w:pPr>
      <w:r>
        <w:t>Table 25:</w:t>
      </w:r>
      <w:r>
        <w:rPr>
          <w:rFonts w:asciiTheme="minorHAnsi" w:eastAsiaTheme="minorEastAsia" w:hAnsiTheme="minorHAnsi"/>
          <w:color w:val="auto"/>
          <w:lang w:eastAsia="en-AU"/>
        </w:rPr>
        <w:tab/>
      </w:r>
      <w:r>
        <w:t>Best, high and low projected rates of change for PCB waste to 2037</w:t>
      </w:r>
      <w:r>
        <w:tab/>
      </w:r>
      <w:r>
        <w:fldChar w:fldCharType="begin"/>
      </w:r>
      <w:r>
        <w:instrText xml:space="preserve"> PAGEREF _Toc13225644 \h </w:instrText>
      </w:r>
      <w:r>
        <w:fldChar w:fldCharType="separate"/>
      </w:r>
      <w:r w:rsidR="00EB634D">
        <w:t>45</w:t>
      </w:r>
      <w:r>
        <w:fldChar w:fldCharType="end"/>
      </w:r>
    </w:p>
    <w:p w14:paraId="1A07D4ED" w14:textId="09142AB9" w:rsidR="006E4AAD" w:rsidRDefault="006E4AAD">
      <w:pPr>
        <w:pStyle w:val="TableofFigures"/>
        <w:rPr>
          <w:rFonts w:asciiTheme="minorHAnsi" w:eastAsiaTheme="minorEastAsia" w:hAnsiTheme="minorHAnsi"/>
          <w:color w:val="auto"/>
          <w:lang w:eastAsia="en-AU"/>
        </w:rPr>
      </w:pPr>
      <w:r>
        <w:t>Table 26:</w:t>
      </w:r>
      <w:r>
        <w:rPr>
          <w:rFonts w:asciiTheme="minorHAnsi" w:eastAsiaTheme="minorEastAsia" w:hAnsiTheme="minorHAnsi"/>
          <w:color w:val="auto"/>
          <w:lang w:eastAsia="en-AU"/>
        </w:rPr>
        <w:tab/>
      </w:r>
      <w:r>
        <w:t>Best, high and low projected tonnes for POP-BDEs waste to 2037</w:t>
      </w:r>
      <w:r>
        <w:tab/>
      </w:r>
      <w:r>
        <w:fldChar w:fldCharType="begin"/>
      </w:r>
      <w:r>
        <w:instrText xml:space="preserve"> PAGEREF _Toc13225645 \h </w:instrText>
      </w:r>
      <w:r>
        <w:fldChar w:fldCharType="separate"/>
      </w:r>
      <w:r w:rsidR="00EB634D">
        <w:t>48</w:t>
      </w:r>
      <w:r>
        <w:fldChar w:fldCharType="end"/>
      </w:r>
    </w:p>
    <w:p w14:paraId="39803A27" w14:textId="5250A5C6" w:rsidR="006E4AAD" w:rsidRDefault="006E4AAD">
      <w:pPr>
        <w:pStyle w:val="TableofFigures"/>
        <w:rPr>
          <w:rFonts w:asciiTheme="minorHAnsi" w:eastAsiaTheme="minorEastAsia" w:hAnsiTheme="minorHAnsi"/>
          <w:color w:val="auto"/>
          <w:lang w:eastAsia="en-AU"/>
        </w:rPr>
      </w:pPr>
      <w:r>
        <w:t>Table 27:</w:t>
      </w:r>
      <w:r>
        <w:rPr>
          <w:rFonts w:asciiTheme="minorHAnsi" w:eastAsiaTheme="minorEastAsia" w:hAnsiTheme="minorHAnsi"/>
          <w:color w:val="auto"/>
          <w:lang w:eastAsia="en-AU"/>
        </w:rPr>
        <w:tab/>
      </w:r>
      <w:r>
        <w:t>Best, high and low projected tonnes for HBCD waste to 2037*</w:t>
      </w:r>
      <w:r>
        <w:tab/>
      </w:r>
      <w:r>
        <w:fldChar w:fldCharType="begin"/>
      </w:r>
      <w:r>
        <w:instrText xml:space="preserve"> PAGEREF _Toc13225646 \h </w:instrText>
      </w:r>
      <w:r>
        <w:fldChar w:fldCharType="separate"/>
      </w:r>
      <w:r w:rsidR="00EB634D">
        <w:t>50</w:t>
      </w:r>
      <w:r>
        <w:fldChar w:fldCharType="end"/>
      </w:r>
    </w:p>
    <w:p w14:paraId="0743AA89" w14:textId="0E0A65ED" w:rsidR="006E4AAD" w:rsidRDefault="006E4AAD">
      <w:pPr>
        <w:pStyle w:val="TableofFigures"/>
        <w:rPr>
          <w:rFonts w:asciiTheme="minorHAnsi" w:eastAsiaTheme="minorEastAsia" w:hAnsiTheme="minorHAnsi"/>
          <w:color w:val="auto"/>
          <w:lang w:eastAsia="en-AU"/>
        </w:rPr>
      </w:pPr>
      <w:r>
        <w:t>Table 28:</w:t>
      </w:r>
      <w:r>
        <w:rPr>
          <w:rFonts w:asciiTheme="minorHAnsi" w:eastAsiaTheme="minorEastAsia" w:hAnsiTheme="minorHAnsi"/>
          <w:color w:val="auto"/>
          <w:lang w:eastAsia="en-AU"/>
        </w:rPr>
        <w:tab/>
      </w:r>
      <w:r>
        <w:t>Best, high and low projected tonnes for HCB waste to 2037</w:t>
      </w:r>
      <w:r>
        <w:tab/>
      </w:r>
      <w:r>
        <w:fldChar w:fldCharType="begin"/>
      </w:r>
      <w:r>
        <w:instrText xml:space="preserve"> PAGEREF _Toc13225647 \h </w:instrText>
      </w:r>
      <w:r>
        <w:fldChar w:fldCharType="separate"/>
      </w:r>
      <w:r w:rsidR="00EB634D">
        <w:t>51</w:t>
      </w:r>
      <w:r>
        <w:fldChar w:fldCharType="end"/>
      </w:r>
    </w:p>
    <w:p w14:paraId="49F1FE5E" w14:textId="30AAEB2A" w:rsidR="006E4AAD" w:rsidRDefault="006E4AAD">
      <w:pPr>
        <w:pStyle w:val="TableofFigures"/>
        <w:rPr>
          <w:rFonts w:asciiTheme="minorHAnsi" w:eastAsiaTheme="minorEastAsia" w:hAnsiTheme="minorHAnsi"/>
          <w:color w:val="auto"/>
          <w:lang w:eastAsia="en-AU"/>
        </w:rPr>
      </w:pPr>
      <w:r>
        <w:t>Table 29:</w:t>
      </w:r>
      <w:r>
        <w:rPr>
          <w:rFonts w:asciiTheme="minorHAnsi" w:eastAsiaTheme="minorEastAsia" w:hAnsiTheme="minorHAnsi"/>
          <w:color w:val="auto"/>
          <w:lang w:eastAsia="en-AU"/>
        </w:rPr>
        <w:tab/>
      </w:r>
      <w:r>
        <w:t>Best, high and low projected tonnes for PFOS contaminated biosolids waste to 2037</w:t>
      </w:r>
      <w:r>
        <w:tab/>
      </w:r>
      <w:r>
        <w:fldChar w:fldCharType="begin"/>
      </w:r>
      <w:r>
        <w:instrText xml:space="preserve"> PAGEREF _Toc13225648 \h </w:instrText>
      </w:r>
      <w:r>
        <w:fldChar w:fldCharType="separate"/>
      </w:r>
      <w:r w:rsidR="00EB634D">
        <w:t>54</w:t>
      </w:r>
      <w:r>
        <w:fldChar w:fldCharType="end"/>
      </w:r>
    </w:p>
    <w:p w14:paraId="63B8499E" w14:textId="7F912EA7" w:rsidR="006E4AAD" w:rsidRDefault="006E4AAD">
      <w:pPr>
        <w:pStyle w:val="TableofFigures"/>
        <w:rPr>
          <w:rFonts w:asciiTheme="minorHAnsi" w:eastAsiaTheme="minorEastAsia" w:hAnsiTheme="minorHAnsi"/>
          <w:color w:val="auto"/>
          <w:lang w:eastAsia="en-AU"/>
        </w:rPr>
      </w:pPr>
      <w:r>
        <w:t>Table 30:</w:t>
      </w:r>
      <w:r>
        <w:rPr>
          <w:rFonts w:asciiTheme="minorHAnsi" w:eastAsiaTheme="minorEastAsia" w:hAnsiTheme="minorHAnsi"/>
          <w:color w:val="auto"/>
          <w:lang w:eastAsia="en-AU"/>
        </w:rPr>
        <w:tab/>
      </w:r>
      <w:r>
        <w:t>Best, high and low projected tonnes for PFOS contaminated soils waste to 2037</w:t>
      </w:r>
      <w:r>
        <w:tab/>
      </w:r>
      <w:r>
        <w:fldChar w:fldCharType="begin"/>
      </w:r>
      <w:r>
        <w:instrText xml:space="preserve"> PAGEREF _Toc13225649 \h </w:instrText>
      </w:r>
      <w:r>
        <w:fldChar w:fldCharType="separate"/>
      </w:r>
      <w:r w:rsidR="00EB634D">
        <w:t>57</w:t>
      </w:r>
      <w:r>
        <w:fldChar w:fldCharType="end"/>
      </w:r>
    </w:p>
    <w:p w14:paraId="2FED1AB3" w14:textId="45A4D678" w:rsidR="006E4AAD" w:rsidRDefault="006E4AAD">
      <w:pPr>
        <w:pStyle w:val="TableofFigures"/>
        <w:rPr>
          <w:rFonts w:asciiTheme="minorHAnsi" w:eastAsiaTheme="minorEastAsia" w:hAnsiTheme="minorHAnsi"/>
          <w:color w:val="auto"/>
          <w:lang w:eastAsia="en-AU"/>
        </w:rPr>
      </w:pPr>
      <w:r>
        <w:t>Table 31:</w:t>
      </w:r>
      <w:r>
        <w:rPr>
          <w:rFonts w:asciiTheme="minorHAnsi" w:eastAsiaTheme="minorEastAsia" w:hAnsiTheme="minorHAnsi"/>
          <w:color w:val="auto"/>
          <w:lang w:eastAsia="en-AU"/>
        </w:rPr>
        <w:tab/>
      </w:r>
      <w:r>
        <w:t>Best, high and low projected tonnes for AFFF concentrates to 2037</w:t>
      </w:r>
      <w:r>
        <w:tab/>
      </w:r>
      <w:r>
        <w:fldChar w:fldCharType="begin"/>
      </w:r>
      <w:r>
        <w:instrText xml:space="preserve"> PAGEREF _Toc13225650 \h </w:instrText>
      </w:r>
      <w:r>
        <w:fldChar w:fldCharType="separate"/>
      </w:r>
      <w:r w:rsidR="00EB634D">
        <w:t>60</w:t>
      </w:r>
      <w:r>
        <w:fldChar w:fldCharType="end"/>
      </w:r>
    </w:p>
    <w:p w14:paraId="362618DF" w14:textId="10CF383A" w:rsidR="006E4AAD" w:rsidRDefault="006E4AAD">
      <w:pPr>
        <w:pStyle w:val="TableofFigures"/>
        <w:rPr>
          <w:rFonts w:asciiTheme="minorHAnsi" w:eastAsiaTheme="minorEastAsia" w:hAnsiTheme="minorHAnsi"/>
          <w:color w:val="auto"/>
          <w:lang w:eastAsia="en-AU"/>
        </w:rPr>
      </w:pPr>
      <w:r>
        <w:t>Table 32:</w:t>
      </w:r>
      <w:r>
        <w:rPr>
          <w:rFonts w:asciiTheme="minorHAnsi" w:eastAsiaTheme="minorEastAsia" w:hAnsiTheme="minorHAnsi"/>
          <w:color w:val="auto"/>
          <w:lang w:eastAsia="en-AU"/>
        </w:rPr>
        <w:tab/>
      </w:r>
      <w:r>
        <w:t>Best, high and low projected rates of change for other organic chemical waste to 2037</w:t>
      </w:r>
      <w:r>
        <w:tab/>
      </w:r>
      <w:r>
        <w:fldChar w:fldCharType="begin"/>
      </w:r>
      <w:r>
        <w:instrText xml:space="preserve"> PAGEREF _Toc13225651 \h </w:instrText>
      </w:r>
      <w:r>
        <w:fldChar w:fldCharType="separate"/>
      </w:r>
      <w:r w:rsidR="00EB634D">
        <w:t>61</w:t>
      </w:r>
      <w:r>
        <w:fldChar w:fldCharType="end"/>
      </w:r>
    </w:p>
    <w:p w14:paraId="6E9506AA" w14:textId="175106F2" w:rsidR="006E4AAD" w:rsidRDefault="006E4AAD">
      <w:pPr>
        <w:pStyle w:val="TableofFigures"/>
        <w:rPr>
          <w:rFonts w:asciiTheme="minorHAnsi" w:eastAsiaTheme="minorEastAsia" w:hAnsiTheme="minorHAnsi"/>
          <w:color w:val="auto"/>
          <w:lang w:eastAsia="en-AU"/>
        </w:rPr>
      </w:pPr>
      <w:r>
        <w:t>Table 33:</w:t>
      </w:r>
      <w:r>
        <w:rPr>
          <w:rFonts w:asciiTheme="minorHAnsi" w:eastAsiaTheme="minorEastAsia" w:hAnsiTheme="minorHAnsi"/>
          <w:color w:val="auto"/>
          <w:lang w:eastAsia="en-AU"/>
        </w:rPr>
        <w:tab/>
      </w:r>
      <w:r>
        <w:t>Best, high and low projected rates of change for contaminated soil waste to 2037</w:t>
      </w:r>
      <w:r>
        <w:tab/>
      </w:r>
      <w:r>
        <w:fldChar w:fldCharType="begin"/>
      </w:r>
      <w:r>
        <w:instrText xml:space="preserve"> PAGEREF _Toc13225652 \h </w:instrText>
      </w:r>
      <w:r>
        <w:fldChar w:fldCharType="separate"/>
      </w:r>
      <w:r w:rsidR="00EB634D">
        <w:t>63</w:t>
      </w:r>
      <w:r>
        <w:fldChar w:fldCharType="end"/>
      </w:r>
    </w:p>
    <w:p w14:paraId="662D97EC" w14:textId="5CCEA5A7" w:rsidR="006E4AAD" w:rsidRDefault="006E4AAD">
      <w:pPr>
        <w:pStyle w:val="TableofFigures"/>
        <w:rPr>
          <w:rFonts w:asciiTheme="minorHAnsi" w:eastAsiaTheme="minorEastAsia" w:hAnsiTheme="minorHAnsi"/>
          <w:color w:val="auto"/>
          <w:lang w:eastAsia="en-AU"/>
        </w:rPr>
      </w:pPr>
      <w:r>
        <w:t>Table 34:</w:t>
      </w:r>
      <w:r>
        <w:rPr>
          <w:rFonts w:asciiTheme="minorHAnsi" w:eastAsiaTheme="minorEastAsia" w:hAnsiTheme="minorHAnsi"/>
          <w:color w:val="auto"/>
          <w:lang w:eastAsia="en-AU"/>
        </w:rPr>
        <w:tab/>
      </w:r>
      <w:r>
        <w:t>Best, high and low projected rates of change for contaminated biosolid waste to 2037</w:t>
      </w:r>
      <w:r>
        <w:tab/>
      </w:r>
      <w:r>
        <w:fldChar w:fldCharType="begin"/>
      </w:r>
      <w:r>
        <w:instrText xml:space="preserve"> PAGEREF _Toc13225653 \h </w:instrText>
      </w:r>
      <w:r>
        <w:fldChar w:fldCharType="separate"/>
      </w:r>
      <w:r w:rsidR="00EB634D">
        <w:t>65</w:t>
      </w:r>
      <w:r>
        <w:fldChar w:fldCharType="end"/>
      </w:r>
    </w:p>
    <w:p w14:paraId="7E2A35C9" w14:textId="1FD17E4C" w:rsidR="006E4AAD" w:rsidRDefault="006E4AAD">
      <w:pPr>
        <w:pStyle w:val="TableofFigures"/>
        <w:rPr>
          <w:rFonts w:asciiTheme="minorHAnsi" w:eastAsiaTheme="minorEastAsia" w:hAnsiTheme="minorHAnsi"/>
          <w:color w:val="auto"/>
          <w:lang w:eastAsia="en-AU"/>
        </w:rPr>
      </w:pPr>
      <w:r>
        <w:t>Table 35:</w:t>
      </w:r>
      <w:r>
        <w:rPr>
          <w:rFonts w:asciiTheme="minorHAnsi" w:eastAsiaTheme="minorEastAsia" w:hAnsiTheme="minorHAnsi"/>
          <w:color w:val="auto"/>
          <w:lang w:eastAsia="en-AU"/>
        </w:rPr>
        <w:tab/>
      </w:r>
      <w:r>
        <w:t>Best, high and low projected rates of change for other industrial treatment residue waste to 2037</w:t>
      </w:r>
      <w:r>
        <w:tab/>
      </w:r>
      <w:r>
        <w:fldChar w:fldCharType="begin"/>
      </w:r>
      <w:r>
        <w:instrText xml:space="preserve"> PAGEREF _Toc13225654 \h </w:instrText>
      </w:r>
      <w:r>
        <w:fldChar w:fldCharType="separate"/>
      </w:r>
      <w:r w:rsidR="00EB634D">
        <w:t>67</w:t>
      </w:r>
      <w:r>
        <w:fldChar w:fldCharType="end"/>
      </w:r>
    </w:p>
    <w:p w14:paraId="345E664B" w14:textId="316B3C3F" w:rsidR="006E4AAD" w:rsidRDefault="006E4AAD">
      <w:pPr>
        <w:pStyle w:val="TableofFigures"/>
        <w:rPr>
          <w:rFonts w:asciiTheme="minorHAnsi" w:eastAsiaTheme="minorEastAsia" w:hAnsiTheme="minorHAnsi"/>
          <w:color w:val="auto"/>
          <w:lang w:eastAsia="en-AU"/>
        </w:rPr>
      </w:pPr>
      <w:r>
        <w:t>Table 36:</w:t>
      </w:r>
      <w:r>
        <w:rPr>
          <w:rFonts w:asciiTheme="minorHAnsi" w:eastAsiaTheme="minorEastAsia" w:hAnsiTheme="minorHAnsi"/>
          <w:color w:val="auto"/>
          <w:lang w:eastAsia="en-AU"/>
        </w:rPr>
        <w:tab/>
      </w:r>
      <w:r>
        <w:t>Best, high and low projected rates of change for asbestos waste to 2037</w:t>
      </w:r>
      <w:r>
        <w:tab/>
      </w:r>
      <w:r>
        <w:fldChar w:fldCharType="begin"/>
      </w:r>
      <w:r>
        <w:instrText xml:space="preserve"> PAGEREF _Toc13225655 \h </w:instrText>
      </w:r>
      <w:r>
        <w:fldChar w:fldCharType="separate"/>
      </w:r>
      <w:r w:rsidR="00EB634D">
        <w:t>68</w:t>
      </w:r>
      <w:r>
        <w:fldChar w:fldCharType="end"/>
      </w:r>
    </w:p>
    <w:p w14:paraId="248711E8" w14:textId="7C517F89" w:rsidR="006E4AAD" w:rsidRDefault="006E4AAD">
      <w:pPr>
        <w:pStyle w:val="TableofFigures"/>
        <w:rPr>
          <w:rFonts w:asciiTheme="minorHAnsi" w:eastAsiaTheme="minorEastAsia" w:hAnsiTheme="minorHAnsi"/>
          <w:color w:val="auto"/>
          <w:lang w:eastAsia="en-AU"/>
        </w:rPr>
      </w:pPr>
      <w:r>
        <w:t>Table 37:</w:t>
      </w:r>
      <w:r>
        <w:rPr>
          <w:rFonts w:asciiTheme="minorHAnsi" w:eastAsiaTheme="minorEastAsia" w:hAnsiTheme="minorHAnsi"/>
          <w:color w:val="auto"/>
          <w:lang w:eastAsia="en-AU"/>
        </w:rPr>
        <w:tab/>
      </w:r>
      <w:r>
        <w:t>Best, high and low projected rates of change for other soil/sludge waste to 2037</w:t>
      </w:r>
      <w:r>
        <w:tab/>
      </w:r>
      <w:r>
        <w:fldChar w:fldCharType="begin"/>
      </w:r>
      <w:r>
        <w:instrText xml:space="preserve"> PAGEREF _Toc13225656 \h </w:instrText>
      </w:r>
      <w:r>
        <w:fldChar w:fldCharType="separate"/>
      </w:r>
      <w:r w:rsidR="00EB634D">
        <w:t>69</w:t>
      </w:r>
      <w:r>
        <w:fldChar w:fldCharType="end"/>
      </w:r>
    </w:p>
    <w:p w14:paraId="6CC6AFC5" w14:textId="756C83C2" w:rsidR="006E4AAD" w:rsidRDefault="006E4AAD">
      <w:pPr>
        <w:pStyle w:val="TableofFigures"/>
        <w:rPr>
          <w:rFonts w:asciiTheme="minorHAnsi" w:eastAsiaTheme="minorEastAsia" w:hAnsiTheme="minorHAnsi"/>
          <w:color w:val="auto"/>
          <w:lang w:eastAsia="en-AU"/>
        </w:rPr>
      </w:pPr>
      <w:r>
        <w:t>Table 38:</w:t>
      </w:r>
      <w:r>
        <w:rPr>
          <w:rFonts w:asciiTheme="minorHAnsi" w:eastAsiaTheme="minorEastAsia" w:hAnsiTheme="minorHAnsi"/>
          <w:color w:val="auto"/>
          <w:lang w:eastAsia="en-AU"/>
        </w:rPr>
        <w:tab/>
      </w:r>
      <w:r>
        <w:t>Best, high and low projected rates of change for clinical and pharmaceutical waste to 2037</w:t>
      </w:r>
      <w:r>
        <w:tab/>
      </w:r>
      <w:r>
        <w:fldChar w:fldCharType="begin"/>
      </w:r>
      <w:r>
        <w:instrText xml:space="preserve"> PAGEREF _Toc13225657 \h </w:instrText>
      </w:r>
      <w:r>
        <w:fldChar w:fldCharType="separate"/>
      </w:r>
      <w:r w:rsidR="00EB634D">
        <w:t>70</w:t>
      </w:r>
      <w:r>
        <w:fldChar w:fldCharType="end"/>
      </w:r>
    </w:p>
    <w:p w14:paraId="1D520524" w14:textId="40761307" w:rsidR="006E4AAD" w:rsidRDefault="006E4AAD">
      <w:pPr>
        <w:pStyle w:val="TableofFigures"/>
        <w:rPr>
          <w:rFonts w:asciiTheme="minorHAnsi" w:eastAsiaTheme="minorEastAsia" w:hAnsiTheme="minorHAnsi"/>
          <w:color w:val="auto"/>
          <w:lang w:eastAsia="en-AU"/>
        </w:rPr>
      </w:pPr>
      <w:r>
        <w:t>Table 39:</w:t>
      </w:r>
      <w:r>
        <w:rPr>
          <w:rFonts w:asciiTheme="minorHAnsi" w:eastAsiaTheme="minorEastAsia" w:hAnsiTheme="minorHAnsi"/>
          <w:color w:val="auto"/>
          <w:lang w:eastAsia="en-AU"/>
        </w:rPr>
        <w:tab/>
      </w:r>
      <w:r>
        <w:t>Best, high and low projected rates of change for tyre waste to 2037</w:t>
      </w:r>
      <w:r>
        <w:tab/>
      </w:r>
      <w:r>
        <w:fldChar w:fldCharType="begin"/>
      </w:r>
      <w:r>
        <w:instrText xml:space="preserve"> PAGEREF _Toc13225658 \h </w:instrText>
      </w:r>
      <w:r>
        <w:fldChar w:fldCharType="separate"/>
      </w:r>
      <w:r w:rsidR="00EB634D">
        <w:t>71</w:t>
      </w:r>
      <w:r>
        <w:fldChar w:fldCharType="end"/>
      </w:r>
    </w:p>
    <w:p w14:paraId="6E9BF132" w14:textId="775AFF80" w:rsidR="006E4AAD" w:rsidRDefault="006E4AAD">
      <w:pPr>
        <w:pStyle w:val="TableofFigures"/>
        <w:rPr>
          <w:rFonts w:asciiTheme="minorHAnsi" w:eastAsiaTheme="minorEastAsia" w:hAnsiTheme="minorHAnsi"/>
          <w:color w:val="auto"/>
          <w:lang w:eastAsia="en-AU"/>
        </w:rPr>
      </w:pPr>
      <w:r>
        <w:t>Table 40:</w:t>
      </w:r>
      <w:r>
        <w:rPr>
          <w:rFonts w:asciiTheme="minorHAnsi" w:eastAsiaTheme="minorEastAsia" w:hAnsiTheme="minorHAnsi"/>
          <w:color w:val="auto"/>
          <w:lang w:eastAsia="en-AU"/>
        </w:rPr>
        <w:tab/>
      </w:r>
      <w:r>
        <w:t>Best, high and low projected rates of change for other miscellaneous waste to 2037</w:t>
      </w:r>
      <w:r>
        <w:tab/>
      </w:r>
      <w:r>
        <w:fldChar w:fldCharType="begin"/>
      </w:r>
      <w:r>
        <w:instrText xml:space="preserve"> PAGEREF _Toc13225659 \h </w:instrText>
      </w:r>
      <w:r>
        <w:fldChar w:fldCharType="separate"/>
      </w:r>
      <w:r w:rsidR="00EB634D">
        <w:t>73</w:t>
      </w:r>
      <w:r>
        <w:fldChar w:fldCharType="end"/>
      </w:r>
    </w:p>
    <w:p w14:paraId="6F80F110" w14:textId="60F4A87C" w:rsidR="006E4AAD" w:rsidRDefault="006E4AAD">
      <w:pPr>
        <w:pStyle w:val="TableofFigures"/>
        <w:rPr>
          <w:rFonts w:asciiTheme="minorHAnsi" w:eastAsiaTheme="minorEastAsia" w:hAnsiTheme="minorHAnsi"/>
          <w:color w:val="auto"/>
          <w:lang w:eastAsia="en-AU"/>
        </w:rPr>
      </w:pPr>
      <w:r>
        <w:t>Table 41:</w:t>
      </w:r>
      <w:r>
        <w:rPr>
          <w:rFonts w:asciiTheme="minorHAnsi" w:eastAsiaTheme="minorEastAsia" w:hAnsiTheme="minorHAnsi"/>
          <w:color w:val="auto"/>
          <w:lang w:eastAsia="en-AU"/>
        </w:rPr>
        <w:tab/>
      </w:r>
      <w:r>
        <w:t>Best, high and low projected rates of change for lithium ion battery waste to 2034</w:t>
      </w:r>
      <w:r>
        <w:tab/>
      </w:r>
      <w:r>
        <w:fldChar w:fldCharType="begin"/>
      </w:r>
      <w:r>
        <w:instrText xml:space="preserve"> PAGEREF _Toc13225660 \h </w:instrText>
      </w:r>
      <w:r>
        <w:fldChar w:fldCharType="separate"/>
      </w:r>
      <w:r w:rsidR="00EB634D">
        <w:t>75</w:t>
      </w:r>
      <w:r>
        <w:fldChar w:fldCharType="end"/>
      </w:r>
    </w:p>
    <w:p w14:paraId="40ACF437" w14:textId="3BB10A3C" w:rsidR="006E4AAD" w:rsidRDefault="006E4AAD">
      <w:pPr>
        <w:pStyle w:val="TableofFigures"/>
        <w:rPr>
          <w:rFonts w:asciiTheme="minorHAnsi" w:eastAsiaTheme="minorEastAsia" w:hAnsiTheme="minorHAnsi"/>
          <w:color w:val="auto"/>
          <w:lang w:eastAsia="en-AU"/>
        </w:rPr>
      </w:pPr>
      <w:r>
        <w:t>Table 42:</w:t>
      </w:r>
      <w:r>
        <w:rPr>
          <w:rFonts w:asciiTheme="minorHAnsi" w:eastAsiaTheme="minorEastAsia" w:hAnsiTheme="minorHAnsi"/>
          <w:color w:val="auto"/>
          <w:lang w:eastAsia="en-AU"/>
        </w:rPr>
        <w:tab/>
      </w:r>
      <w:r>
        <w:t>Limitations to the scope of the 2015 and Rawtec (2014 p.8) database of hazardous waste infrastructure in Australia</w:t>
      </w:r>
      <w:r>
        <w:tab/>
      </w:r>
      <w:r>
        <w:fldChar w:fldCharType="begin"/>
      </w:r>
      <w:r>
        <w:instrText xml:space="preserve"> PAGEREF _Toc13225661 \h </w:instrText>
      </w:r>
      <w:r>
        <w:fldChar w:fldCharType="separate"/>
      </w:r>
      <w:r w:rsidR="00EB634D">
        <w:t>85</w:t>
      </w:r>
      <w:r>
        <w:fldChar w:fldCharType="end"/>
      </w:r>
    </w:p>
    <w:p w14:paraId="4621B021" w14:textId="396F67BB" w:rsidR="006E4AAD" w:rsidRDefault="006E4AAD">
      <w:pPr>
        <w:pStyle w:val="TableofFigures"/>
        <w:rPr>
          <w:rFonts w:asciiTheme="minorHAnsi" w:eastAsiaTheme="minorEastAsia" w:hAnsiTheme="minorHAnsi"/>
          <w:color w:val="auto"/>
          <w:lang w:eastAsia="en-AU"/>
        </w:rPr>
      </w:pPr>
      <w:r>
        <w:t>Table 43:</w:t>
      </w:r>
      <w:r>
        <w:rPr>
          <w:rFonts w:asciiTheme="minorHAnsi" w:eastAsiaTheme="minorEastAsia" w:hAnsiTheme="minorHAnsi"/>
          <w:color w:val="auto"/>
          <w:lang w:eastAsia="en-AU"/>
        </w:rPr>
        <w:tab/>
      </w:r>
      <w:r>
        <w:t>Infrastructure groups and coverage</w:t>
      </w:r>
      <w:r>
        <w:tab/>
      </w:r>
      <w:r>
        <w:fldChar w:fldCharType="begin"/>
      </w:r>
      <w:r>
        <w:instrText xml:space="preserve"> PAGEREF _Toc13225662 \h </w:instrText>
      </w:r>
      <w:r>
        <w:fldChar w:fldCharType="separate"/>
      </w:r>
      <w:r w:rsidR="00EB634D">
        <w:t>86</w:t>
      </w:r>
      <w:r>
        <w:fldChar w:fldCharType="end"/>
      </w:r>
    </w:p>
    <w:p w14:paraId="156ECD23" w14:textId="39FF66D8" w:rsidR="006E4AAD" w:rsidRDefault="006E4AAD">
      <w:pPr>
        <w:pStyle w:val="TableofFigures"/>
        <w:rPr>
          <w:rFonts w:asciiTheme="minorHAnsi" w:eastAsiaTheme="minorEastAsia" w:hAnsiTheme="minorHAnsi"/>
          <w:color w:val="auto"/>
          <w:lang w:eastAsia="en-AU"/>
        </w:rPr>
      </w:pPr>
      <w:r>
        <w:t>Table 44:</w:t>
      </w:r>
      <w:r>
        <w:rPr>
          <w:rFonts w:asciiTheme="minorHAnsi" w:eastAsiaTheme="minorEastAsia" w:hAnsiTheme="minorHAnsi"/>
          <w:color w:val="auto"/>
          <w:lang w:eastAsia="en-AU"/>
        </w:rPr>
        <w:tab/>
      </w:r>
      <w:r>
        <w:t>Summary of numbers of sites and capacities assessed in 2018 assessment</w:t>
      </w:r>
      <w:r>
        <w:tab/>
      </w:r>
      <w:r>
        <w:fldChar w:fldCharType="begin"/>
      </w:r>
      <w:r>
        <w:instrText xml:space="preserve"> PAGEREF _Toc13225663 \h </w:instrText>
      </w:r>
      <w:r>
        <w:fldChar w:fldCharType="separate"/>
      </w:r>
      <w:r w:rsidR="00EB634D">
        <w:t>89</w:t>
      </w:r>
      <w:r>
        <w:fldChar w:fldCharType="end"/>
      </w:r>
    </w:p>
    <w:p w14:paraId="56C087D0" w14:textId="62B0ED1D" w:rsidR="006E4AAD" w:rsidRDefault="006E4AAD">
      <w:pPr>
        <w:pStyle w:val="TableofFigures"/>
        <w:rPr>
          <w:rFonts w:asciiTheme="minorHAnsi" w:eastAsiaTheme="minorEastAsia" w:hAnsiTheme="minorHAnsi"/>
          <w:color w:val="auto"/>
          <w:lang w:eastAsia="en-AU"/>
        </w:rPr>
      </w:pPr>
      <w:r>
        <w:t>Table 45:</w:t>
      </w:r>
      <w:r>
        <w:rPr>
          <w:rFonts w:asciiTheme="minorHAnsi" w:eastAsiaTheme="minorEastAsia" w:hAnsiTheme="minorHAnsi"/>
          <w:color w:val="auto"/>
          <w:lang w:eastAsia="en-AU"/>
        </w:rPr>
        <w:tab/>
      </w:r>
      <w:r>
        <w:t>Questions asked of industry consultation survey respondents</w:t>
      </w:r>
      <w:r>
        <w:tab/>
      </w:r>
      <w:r>
        <w:fldChar w:fldCharType="begin"/>
      </w:r>
      <w:r>
        <w:instrText xml:space="preserve"> PAGEREF _Toc13225664 \h </w:instrText>
      </w:r>
      <w:r>
        <w:fldChar w:fldCharType="separate"/>
      </w:r>
      <w:r w:rsidR="00EB634D">
        <w:t>89</w:t>
      </w:r>
      <w:r>
        <w:fldChar w:fldCharType="end"/>
      </w:r>
    </w:p>
    <w:p w14:paraId="33271712" w14:textId="6FBFEFFB" w:rsidR="006E4AAD" w:rsidRDefault="006E4AAD">
      <w:pPr>
        <w:pStyle w:val="TableofFigures"/>
        <w:rPr>
          <w:rFonts w:asciiTheme="minorHAnsi" w:eastAsiaTheme="minorEastAsia" w:hAnsiTheme="minorHAnsi"/>
          <w:color w:val="auto"/>
          <w:lang w:eastAsia="en-AU"/>
        </w:rPr>
      </w:pPr>
      <w:r>
        <w:t>Table 46:</w:t>
      </w:r>
      <w:r>
        <w:rPr>
          <w:rFonts w:asciiTheme="minorHAnsi" w:eastAsiaTheme="minorEastAsia" w:hAnsiTheme="minorHAnsi"/>
          <w:color w:val="auto"/>
          <w:lang w:eastAsia="en-AU"/>
        </w:rPr>
        <w:tab/>
      </w:r>
      <w:r>
        <w:t>National capacity estimate of hazardous waste infrastructure</w:t>
      </w:r>
      <w:r>
        <w:tab/>
      </w:r>
      <w:r>
        <w:fldChar w:fldCharType="begin"/>
      </w:r>
      <w:r>
        <w:instrText xml:space="preserve"> PAGEREF _Toc13225665 \h </w:instrText>
      </w:r>
      <w:r>
        <w:fldChar w:fldCharType="separate"/>
      </w:r>
      <w:r w:rsidR="00EB634D">
        <w:t>91</w:t>
      </w:r>
      <w:r>
        <w:fldChar w:fldCharType="end"/>
      </w:r>
    </w:p>
    <w:p w14:paraId="7DACE594" w14:textId="3EC4DC3C" w:rsidR="006E4AAD" w:rsidRDefault="006E4AAD">
      <w:pPr>
        <w:pStyle w:val="TableofFigures"/>
        <w:rPr>
          <w:rFonts w:asciiTheme="minorHAnsi" w:eastAsiaTheme="minorEastAsia" w:hAnsiTheme="minorHAnsi"/>
          <w:color w:val="auto"/>
          <w:lang w:eastAsia="en-AU"/>
        </w:rPr>
      </w:pPr>
      <w:r>
        <w:t>Table 47:</w:t>
      </w:r>
      <w:r>
        <w:rPr>
          <w:rFonts w:asciiTheme="minorHAnsi" w:eastAsiaTheme="minorEastAsia" w:hAnsiTheme="minorHAnsi"/>
          <w:color w:val="auto"/>
          <w:lang w:eastAsia="en-AU"/>
        </w:rPr>
        <w:tab/>
      </w:r>
      <w:r>
        <w:t>Jurisdictional capacity estimate of hazardous waste infrastructure</w:t>
      </w:r>
      <w:r>
        <w:tab/>
      </w:r>
      <w:r>
        <w:fldChar w:fldCharType="begin"/>
      </w:r>
      <w:r>
        <w:instrText xml:space="preserve"> PAGEREF _Toc13225666 \h </w:instrText>
      </w:r>
      <w:r>
        <w:fldChar w:fldCharType="separate"/>
      </w:r>
      <w:r w:rsidR="00EB634D">
        <w:t>94</w:t>
      </w:r>
      <w:r>
        <w:fldChar w:fldCharType="end"/>
      </w:r>
    </w:p>
    <w:p w14:paraId="6CF04903" w14:textId="75371C26" w:rsidR="006E4AAD" w:rsidRDefault="006E4AAD">
      <w:pPr>
        <w:pStyle w:val="TableofFigures"/>
        <w:rPr>
          <w:rFonts w:asciiTheme="minorHAnsi" w:eastAsiaTheme="minorEastAsia" w:hAnsiTheme="minorHAnsi"/>
          <w:color w:val="auto"/>
          <w:lang w:eastAsia="en-AU"/>
        </w:rPr>
      </w:pPr>
      <w:r>
        <w:t>Table 48:</w:t>
      </w:r>
      <w:r>
        <w:rPr>
          <w:rFonts w:asciiTheme="minorHAnsi" w:eastAsiaTheme="minorEastAsia" w:hAnsiTheme="minorHAnsi"/>
          <w:color w:val="auto"/>
          <w:lang w:eastAsia="en-AU"/>
        </w:rPr>
        <w:tab/>
      </w:r>
      <w:r>
        <w:t>Mapping of waste management method to infrastructure group</w:t>
      </w:r>
      <w:r>
        <w:tab/>
      </w:r>
      <w:r>
        <w:fldChar w:fldCharType="begin"/>
      </w:r>
      <w:r>
        <w:instrText xml:space="preserve"> PAGEREF _Toc13225667 \h </w:instrText>
      </w:r>
      <w:r>
        <w:fldChar w:fldCharType="separate"/>
      </w:r>
      <w:r w:rsidR="00EB634D">
        <w:t>100</w:t>
      </w:r>
      <w:r>
        <w:fldChar w:fldCharType="end"/>
      </w:r>
    </w:p>
    <w:p w14:paraId="592DE7CF" w14:textId="50F8BE22" w:rsidR="006E4AAD" w:rsidRDefault="006E4AAD">
      <w:pPr>
        <w:pStyle w:val="TableofFigures"/>
        <w:rPr>
          <w:rFonts w:asciiTheme="minorHAnsi" w:eastAsiaTheme="minorEastAsia" w:hAnsiTheme="minorHAnsi"/>
          <w:color w:val="auto"/>
          <w:lang w:eastAsia="en-AU"/>
        </w:rPr>
      </w:pPr>
      <w:r>
        <w:t>Table 49:</w:t>
      </w:r>
      <w:r>
        <w:rPr>
          <w:rFonts w:asciiTheme="minorHAnsi" w:eastAsiaTheme="minorEastAsia" w:hAnsiTheme="minorHAnsi"/>
          <w:color w:val="auto"/>
          <w:lang w:eastAsia="en-AU"/>
        </w:rPr>
        <w:tab/>
      </w:r>
      <w:r>
        <w:t>Infrastructure capacity estimates assessment of uncertainty</w:t>
      </w:r>
      <w:r>
        <w:tab/>
      </w:r>
      <w:r>
        <w:fldChar w:fldCharType="begin"/>
      </w:r>
      <w:r>
        <w:instrText xml:space="preserve"> PAGEREF _Toc13225668 \h </w:instrText>
      </w:r>
      <w:r>
        <w:fldChar w:fldCharType="separate"/>
      </w:r>
      <w:r w:rsidR="00EB634D">
        <w:t>106</w:t>
      </w:r>
      <w:r>
        <w:fldChar w:fldCharType="end"/>
      </w:r>
    </w:p>
    <w:p w14:paraId="5122C372" w14:textId="1631C94B" w:rsidR="006E4AAD" w:rsidRDefault="006E4AAD">
      <w:pPr>
        <w:pStyle w:val="TableofFigures"/>
        <w:rPr>
          <w:rFonts w:asciiTheme="minorHAnsi" w:eastAsiaTheme="minorEastAsia" w:hAnsiTheme="minorHAnsi"/>
          <w:color w:val="auto"/>
          <w:lang w:eastAsia="en-AU"/>
        </w:rPr>
      </w:pPr>
      <w:r>
        <w:t>Table 50:</w:t>
      </w:r>
      <w:r>
        <w:rPr>
          <w:rFonts w:asciiTheme="minorHAnsi" w:eastAsiaTheme="minorEastAsia" w:hAnsiTheme="minorHAnsi"/>
          <w:color w:val="auto"/>
          <w:lang w:eastAsia="en-AU"/>
        </w:rPr>
        <w:tab/>
      </w:r>
      <w:r>
        <w:t>National assessment of projected arisings vs infrastructure capacity</w:t>
      </w:r>
      <w:r>
        <w:tab/>
      </w:r>
      <w:r>
        <w:fldChar w:fldCharType="begin"/>
      </w:r>
      <w:r>
        <w:instrText xml:space="preserve"> PAGEREF _Toc13225669 \h </w:instrText>
      </w:r>
      <w:r>
        <w:fldChar w:fldCharType="separate"/>
      </w:r>
      <w:r w:rsidR="00EB634D">
        <w:t>107</w:t>
      </w:r>
      <w:r>
        <w:fldChar w:fldCharType="end"/>
      </w:r>
    </w:p>
    <w:p w14:paraId="3DB0BEB0" w14:textId="2566D259" w:rsidR="006E4AAD" w:rsidRDefault="006E4AAD">
      <w:pPr>
        <w:pStyle w:val="TableofFigures"/>
        <w:rPr>
          <w:rFonts w:asciiTheme="minorHAnsi" w:eastAsiaTheme="minorEastAsia" w:hAnsiTheme="minorHAnsi"/>
          <w:color w:val="auto"/>
          <w:lang w:eastAsia="en-AU"/>
        </w:rPr>
      </w:pPr>
      <w:r>
        <w:t>Table 51:</w:t>
      </w:r>
      <w:r>
        <w:rPr>
          <w:rFonts w:asciiTheme="minorHAnsi" w:eastAsiaTheme="minorEastAsia" w:hAnsiTheme="minorHAnsi"/>
          <w:color w:val="auto"/>
          <w:lang w:eastAsia="en-AU"/>
        </w:rPr>
        <w:tab/>
      </w:r>
      <w:r>
        <w:t>NEPM 2016-17 net imports/exports by jurisdiction and NEPM 15 code</w:t>
      </w:r>
      <w:r>
        <w:tab/>
      </w:r>
      <w:r>
        <w:fldChar w:fldCharType="begin"/>
      </w:r>
      <w:r>
        <w:instrText xml:space="preserve"> PAGEREF _Toc13225670 \h </w:instrText>
      </w:r>
      <w:r>
        <w:fldChar w:fldCharType="separate"/>
      </w:r>
      <w:r w:rsidR="00EB634D">
        <w:t>124</w:t>
      </w:r>
      <w:r>
        <w:fldChar w:fldCharType="end"/>
      </w:r>
    </w:p>
    <w:p w14:paraId="40902A59" w14:textId="47CCE613" w:rsidR="006E4AAD" w:rsidRDefault="006E4AAD">
      <w:pPr>
        <w:pStyle w:val="TableofFigures"/>
        <w:rPr>
          <w:rFonts w:asciiTheme="minorHAnsi" w:eastAsiaTheme="minorEastAsia" w:hAnsiTheme="minorHAnsi"/>
          <w:color w:val="auto"/>
          <w:lang w:eastAsia="en-AU"/>
        </w:rPr>
      </w:pPr>
      <w:r>
        <w:t>Table 52:</w:t>
      </w:r>
      <w:r>
        <w:rPr>
          <w:rFonts w:asciiTheme="minorHAnsi" w:eastAsiaTheme="minorEastAsia" w:hAnsiTheme="minorHAnsi"/>
          <w:color w:val="auto"/>
          <w:lang w:eastAsia="en-AU"/>
        </w:rPr>
        <w:tab/>
      </w:r>
      <w:r>
        <w:t>ACT assessment of projected arisings vs infrastructure capacity</w:t>
      </w:r>
      <w:r>
        <w:tab/>
      </w:r>
      <w:r>
        <w:fldChar w:fldCharType="begin"/>
      </w:r>
      <w:r>
        <w:instrText xml:space="preserve"> PAGEREF _Toc13225671 \h </w:instrText>
      </w:r>
      <w:r>
        <w:fldChar w:fldCharType="separate"/>
      </w:r>
      <w:r w:rsidR="00EB634D">
        <w:t>125</w:t>
      </w:r>
      <w:r>
        <w:fldChar w:fldCharType="end"/>
      </w:r>
    </w:p>
    <w:p w14:paraId="75B56BF3" w14:textId="0544FBB3" w:rsidR="006E4AAD" w:rsidRDefault="006E4AAD">
      <w:pPr>
        <w:pStyle w:val="TableofFigures"/>
        <w:rPr>
          <w:rFonts w:asciiTheme="minorHAnsi" w:eastAsiaTheme="minorEastAsia" w:hAnsiTheme="minorHAnsi"/>
          <w:color w:val="auto"/>
          <w:lang w:eastAsia="en-AU"/>
        </w:rPr>
      </w:pPr>
      <w:r>
        <w:t>Table 53:</w:t>
      </w:r>
      <w:r>
        <w:rPr>
          <w:rFonts w:asciiTheme="minorHAnsi" w:eastAsiaTheme="minorEastAsia" w:hAnsiTheme="minorHAnsi"/>
          <w:color w:val="auto"/>
          <w:lang w:eastAsia="en-AU"/>
        </w:rPr>
        <w:tab/>
      </w:r>
      <w:r>
        <w:t>NSW assessment of projected arisings vs infrastructure capacity</w:t>
      </w:r>
      <w:r>
        <w:tab/>
      </w:r>
      <w:r>
        <w:fldChar w:fldCharType="begin"/>
      </w:r>
      <w:r>
        <w:instrText xml:space="preserve"> PAGEREF _Toc13225672 \h </w:instrText>
      </w:r>
      <w:r>
        <w:fldChar w:fldCharType="separate"/>
      </w:r>
      <w:r w:rsidR="00EB634D">
        <w:t>127</w:t>
      </w:r>
      <w:r>
        <w:fldChar w:fldCharType="end"/>
      </w:r>
    </w:p>
    <w:p w14:paraId="4BFB3E64" w14:textId="292046D5" w:rsidR="006E4AAD" w:rsidRDefault="006E4AAD">
      <w:pPr>
        <w:pStyle w:val="TableofFigures"/>
        <w:rPr>
          <w:rFonts w:asciiTheme="minorHAnsi" w:eastAsiaTheme="minorEastAsia" w:hAnsiTheme="minorHAnsi"/>
          <w:color w:val="auto"/>
          <w:lang w:eastAsia="en-AU"/>
        </w:rPr>
      </w:pPr>
      <w:r>
        <w:t>Table 54:</w:t>
      </w:r>
      <w:r>
        <w:rPr>
          <w:rFonts w:asciiTheme="minorHAnsi" w:eastAsiaTheme="minorEastAsia" w:hAnsiTheme="minorHAnsi"/>
          <w:color w:val="auto"/>
          <w:lang w:eastAsia="en-AU"/>
        </w:rPr>
        <w:tab/>
      </w:r>
      <w:r>
        <w:t>NT assessment of projected arisings vs infrastructure capacity</w:t>
      </w:r>
      <w:r>
        <w:tab/>
      </w:r>
      <w:r>
        <w:fldChar w:fldCharType="begin"/>
      </w:r>
      <w:r>
        <w:instrText xml:space="preserve"> PAGEREF _Toc13225673 \h </w:instrText>
      </w:r>
      <w:r>
        <w:fldChar w:fldCharType="separate"/>
      </w:r>
      <w:r w:rsidR="00EB634D">
        <w:t>129</w:t>
      </w:r>
      <w:r>
        <w:fldChar w:fldCharType="end"/>
      </w:r>
    </w:p>
    <w:p w14:paraId="00955893" w14:textId="7784BE0C" w:rsidR="006E4AAD" w:rsidRDefault="006E4AAD">
      <w:pPr>
        <w:pStyle w:val="TableofFigures"/>
        <w:rPr>
          <w:rFonts w:asciiTheme="minorHAnsi" w:eastAsiaTheme="minorEastAsia" w:hAnsiTheme="minorHAnsi"/>
          <w:color w:val="auto"/>
          <w:lang w:eastAsia="en-AU"/>
        </w:rPr>
      </w:pPr>
      <w:r>
        <w:t>Table 55</w:t>
      </w:r>
      <w:r>
        <w:rPr>
          <w:rFonts w:asciiTheme="minorHAnsi" w:eastAsiaTheme="minorEastAsia" w:hAnsiTheme="minorHAnsi"/>
          <w:color w:val="auto"/>
          <w:lang w:eastAsia="en-AU"/>
        </w:rPr>
        <w:tab/>
      </w:r>
      <w:r>
        <w:t>Qld assessment of projected arisings vs infrastructure capacity</w:t>
      </w:r>
      <w:r>
        <w:tab/>
      </w:r>
      <w:r>
        <w:fldChar w:fldCharType="begin"/>
      </w:r>
      <w:r>
        <w:instrText xml:space="preserve"> PAGEREF _Toc13225674 \h </w:instrText>
      </w:r>
      <w:r>
        <w:fldChar w:fldCharType="separate"/>
      </w:r>
      <w:r w:rsidR="00EB634D">
        <w:t>131</w:t>
      </w:r>
      <w:r>
        <w:fldChar w:fldCharType="end"/>
      </w:r>
    </w:p>
    <w:p w14:paraId="7C73B57F" w14:textId="3A697A26" w:rsidR="006E4AAD" w:rsidRDefault="006E4AAD">
      <w:pPr>
        <w:pStyle w:val="TableofFigures"/>
        <w:rPr>
          <w:rFonts w:asciiTheme="minorHAnsi" w:eastAsiaTheme="minorEastAsia" w:hAnsiTheme="minorHAnsi"/>
          <w:color w:val="auto"/>
          <w:lang w:eastAsia="en-AU"/>
        </w:rPr>
      </w:pPr>
      <w:r>
        <w:t>Table 56</w:t>
      </w:r>
      <w:r>
        <w:rPr>
          <w:rFonts w:asciiTheme="minorHAnsi" w:eastAsiaTheme="minorEastAsia" w:hAnsiTheme="minorHAnsi"/>
          <w:color w:val="auto"/>
          <w:lang w:eastAsia="en-AU"/>
        </w:rPr>
        <w:tab/>
      </w:r>
      <w:r>
        <w:t>SA assessment of projected arisings vs infrastructure capacity</w:t>
      </w:r>
      <w:r>
        <w:tab/>
      </w:r>
      <w:r>
        <w:fldChar w:fldCharType="begin"/>
      </w:r>
      <w:r>
        <w:instrText xml:space="preserve"> PAGEREF _Toc13225675 \h </w:instrText>
      </w:r>
      <w:r>
        <w:fldChar w:fldCharType="separate"/>
      </w:r>
      <w:r w:rsidR="00EB634D">
        <w:t>133</w:t>
      </w:r>
      <w:r>
        <w:fldChar w:fldCharType="end"/>
      </w:r>
    </w:p>
    <w:p w14:paraId="7E06CEE2" w14:textId="70CED27C" w:rsidR="006E4AAD" w:rsidRDefault="006E4AAD">
      <w:pPr>
        <w:pStyle w:val="TableofFigures"/>
        <w:rPr>
          <w:rFonts w:asciiTheme="minorHAnsi" w:eastAsiaTheme="minorEastAsia" w:hAnsiTheme="minorHAnsi"/>
          <w:color w:val="auto"/>
          <w:lang w:eastAsia="en-AU"/>
        </w:rPr>
      </w:pPr>
      <w:r>
        <w:t>Table 57</w:t>
      </w:r>
      <w:r>
        <w:rPr>
          <w:rFonts w:asciiTheme="minorHAnsi" w:eastAsiaTheme="minorEastAsia" w:hAnsiTheme="minorHAnsi"/>
          <w:color w:val="auto"/>
          <w:lang w:eastAsia="en-AU"/>
        </w:rPr>
        <w:tab/>
      </w:r>
      <w:r>
        <w:t>Tas assessment of projected arisings vs infrastructure capacity</w:t>
      </w:r>
      <w:r>
        <w:tab/>
      </w:r>
      <w:r>
        <w:fldChar w:fldCharType="begin"/>
      </w:r>
      <w:r>
        <w:instrText xml:space="preserve"> PAGEREF _Toc13225676 \h </w:instrText>
      </w:r>
      <w:r>
        <w:fldChar w:fldCharType="separate"/>
      </w:r>
      <w:r w:rsidR="00EB634D">
        <w:t>135</w:t>
      </w:r>
      <w:r>
        <w:fldChar w:fldCharType="end"/>
      </w:r>
    </w:p>
    <w:p w14:paraId="663BA252" w14:textId="15FAF8EF" w:rsidR="006E4AAD" w:rsidRDefault="006E4AAD">
      <w:pPr>
        <w:pStyle w:val="TableofFigures"/>
        <w:rPr>
          <w:rFonts w:asciiTheme="minorHAnsi" w:eastAsiaTheme="minorEastAsia" w:hAnsiTheme="minorHAnsi"/>
          <w:color w:val="auto"/>
          <w:lang w:eastAsia="en-AU"/>
        </w:rPr>
      </w:pPr>
      <w:r>
        <w:t>Table 58</w:t>
      </w:r>
      <w:r>
        <w:rPr>
          <w:rFonts w:asciiTheme="minorHAnsi" w:eastAsiaTheme="minorEastAsia" w:hAnsiTheme="minorHAnsi"/>
          <w:color w:val="auto"/>
          <w:lang w:eastAsia="en-AU"/>
        </w:rPr>
        <w:tab/>
      </w:r>
      <w:r>
        <w:t>Vic assessment of projected arisings vs infrastructure capacity</w:t>
      </w:r>
      <w:r>
        <w:tab/>
      </w:r>
      <w:r>
        <w:fldChar w:fldCharType="begin"/>
      </w:r>
      <w:r>
        <w:instrText xml:space="preserve"> PAGEREF _Toc13225677 \h </w:instrText>
      </w:r>
      <w:r>
        <w:fldChar w:fldCharType="separate"/>
      </w:r>
      <w:r w:rsidR="00EB634D">
        <w:t>137</w:t>
      </w:r>
      <w:r>
        <w:fldChar w:fldCharType="end"/>
      </w:r>
    </w:p>
    <w:p w14:paraId="18CF0520" w14:textId="41F3AD77" w:rsidR="006E4AAD" w:rsidRDefault="006E4AAD">
      <w:pPr>
        <w:pStyle w:val="TableofFigures"/>
        <w:rPr>
          <w:rFonts w:asciiTheme="minorHAnsi" w:eastAsiaTheme="minorEastAsia" w:hAnsiTheme="minorHAnsi"/>
          <w:color w:val="auto"/>
          <w:lang w:eastAsia="en-AU"/>
        </w:rPr>
      </w:pPr>
      <w:r w:rsidRPr="000A4002">
        <w:rPr>
          <w:i/>
          <w:iCs/>
        </w:rPr>
        <w:t>Table 59</w:t>
      </w:r>
      <w:r>
        <w:rPr>
          <w:rFonts w:asciiTheme="minorHAnsi" w:eastAsiaTheme="minorEastAsia" w:hAnsiTheme="minorHAnsi"/>
          <w:color w:val="auto"/>
          <w:lang w:eastAsia="en-AU"/>
        </w:rPr>
        <w:tab/>
      </w:r>
      <w:r w:rsidRPr="000A4002">
        <w:rPr>
          <w:i/>
          <w:iCs/>
        </w:rPr>
        <w:t>WA assessment of projected arisings vs infrastructure capacity</w:t>
      </w:r>
      <w:r>
        <w:tab/>
      </w:r>
      <w:r>
        <w:fldChar w:fldCharType="begin"/>
      </w:r>
      <w:r>
        <w:instrText xml:space="preserve"> PAGEREF _Toc13225678 \h </w:instrText>
      </w:r>
      <w:r>
        <w:fldChar w:fldCharType="separate"/>
      </w:r>
      <w:r w:rsidR="00EB634D">
        <w:t>139</w:t>
      </w:r>
      <w:r>
        <w:fldChar w:fldCharType="end"/>
      </w:r>
    </w:p>
    <w:p w14:paraId="7349DCA3" w14:textId="7CF3AE19" w:rsidR="00862033" w:rsidRPr="00100F0A" w:rsidRDefault="00C31AA9" w:rsidP="007A43BA">
      <w:pPr>
        <w:pStyle w:val="BodyText"/>
        <w:rPr>
          <w:lang w:eastAsia="en-AU"/>
        </w:rPr>
      </w:pPr>
      <w:r w:rsidRPr="00100F0A">
        <w:fldChar w:fldCharType="end"/>
      </w:r>
    </w:p>
    <w:p w14:paraId="73A23E24" w14:textId="77777777" w:rsidR="008D7C70" w:rsidRPr="00100F0A" w:rsidRDefault="003609B9" w:rsidP="00A669F1">
      <w:pPr>
        <w:rPr>
          <w:b/>
          <w:color w:val="4D4DB8"/>
          <w:sz w:val="24"/>
          <w:szCs w:val="24"/>
        </w:rPr>
      </w:pPr>
      <w:r w:rsidRPr="00100F0A">
        <w:rPr>
          <w:b/>
          <w:color w:val="4D4DB8"/>
          <w:sz w:val="24"/>
          <w:szCs w:val="24"/>
        </w:rPr>
        <w:t>Abbreviations and</w:t>
      </w:r>
      <w:r w:rsidR="008D7C70" w:rsidRPr="00100F0A">
        <w:rPr>
          <w:b/>
          <w:color w:val="4D4DB8"/>
          <w:sz w:val="24"/>
          <w:szCs w:val="24"/>
        </w:rPr>
        <w:t xml:space="preserve"> glossary</w:t>
      </w:r>
    </w:p>
    <w:p w14:paraId="3C2A82CF" w14:textId="77777777" w:rsidR="00547C1A" w:rsidRPr="00100F0A" w:rsidRDefault="00547C1A" w:rsidP="00A71807">
      <w:pPr>
        <w:pStyle w:val="BodyText"/>
      </w:pPr>
    </w:p>
    <w:tbl>
      <w:tblPr>
        <w:tblW w:w="9214" w:type="dxa"/>
        <w:tblBorders>
          <w:insideH w:val="single" w:sz="4" w:space="0" w:color="B7B7FF" w:themeColor="text2" w:themeTint="33"/>
        </w:tblBorders>
        <w:tblCellMar>
          <w:top w:w="28" w:type="dxa"/>
          <w:bottom w:w="28" w:type="dxa"/>
        </w:tblCellMar>
        <w:tblLook w:val="0000" w:firstRow="0" w:lastRow="0" w:firstColumn="0" w:lastColumn="0" w:noHBand="0" w:noVBand="0"/>
      </w:tblPr>
      <w:tblGrid>
        <w:gridCol w:w="1653"/>
        <w:gridCol w:w="7561"/>
      </w:tblGrid>
      <w:tr w:rsidR="00F73DAF" w:rsidRPr="00100F0A" w14:paraId="474087A0" w14:textId="77777777" w:rsidTr="00100F0A">
        <w:tc>
          <w:tcPr>
            <w:tcW w:w="1653" w:type="dxa"/>
          </w:tcPr>
          <w:p w14:paraId="05073149" w14:textId="2BF41860" w:rsidR="00F73DAF" w:rsidRDefault="00F73DAF" w:rsidP="002A3A54">
            <w:pPr>
              <w:rPr>
                <w:rFonts w:asciiTheme="minorHAnsi" w:hAnsiTheme="minorHAnsi" w:cs="Arial"/>
                <w:szCs w:val="20"/>
              </w:rPr>
            </w:pPr>
            <w:r>
              <w:rPr>
                <w:rFonts w:asciiTheme="minorHAnsi" w:hAnsiTheme="minorHAnsi" w:cs="Arial"/>
                <w:szCs w:val="20"/>
              </w:rPr>
              <w:t>ABS</w:t>
            </w:r>
          </w:p>
        </w:tc>
        <w:tc>
          <w:tcPr>
            <w:tcW w:w="7561" w:type="dxa"/>
          </w:tcPr>
          <w:p w14:paraId="7FFA7AA8" w14:textId="77777777" w:rsidR="00F73DAF" w:rsidRPr="00100F0A" w:rsidRDefault="00F73DAF" w:rsidP="002A3A54">
            <w:pPr>
              <w:rPr>
                <w:rFonts w:cs="Arial"/>
                <w:i/>
                <w:szCs w:val="20"/>
              </w:rPr>
            </w:pPr>
          </w:p>
        </w:tc>
      </w:tr>
      <w:tr w:rsidR="00B404CD" w:rsidRPr="00100F0A" w14:paraId="06D30DCA" w14:textId="77777777" w:rsidTr="00100F0A">
        <w:tc>
          <w:tcPr>
            <w:tcW w:w="1653" w:type="dxa"/>
          </w:tcPr>
          <w:p w14:paraId="673CD25B" w14:textId="6658A468" w:rsidR="00B404CD" w:rsidRDefault="00B404CD" w:rsidP="002A3A54">
            <w:pPr>
              <w:rPr>
                <w:rFonts w:asciiTheme="minorHAnsi" w:hAnsiTheme="minorHAnsi" w:cs="Arial"/>
                <w:szCs w:val="20"/>
              </w:rPr>
            </w:pPr>
            <w:r>
              <w:rPr>
                <w:rFonts w:asciiTheme="minorHAnsi" w:hAnsiTheme="minorHAnsi" w:cs="Arial"/>
                <w:szCs w:val="20"/>
              </w:rPr>
              <w:t>ACT</w:t>
            </w:r>
          </w:p>
        </w:tc>
        <w:tc>
          <w:tcPr>
            <w:tcW w:w="7561" w:type="dxa"/>
          </w:tcPr>
          <w:p w14:paraId="235ECC5F" w14:textId="749E7EFA" w:rsidR="00B404CD" w:rsidRPr="00A307F3" w:rsidRDefault="00B404CD" w:rsidP="002A3A54">
            <w:pPr>
              <w:rPr>
                <w:rFonts w:cs="Arial"/>
                <w:szCs w:val="20"/>
              </w:rPr>
            </w:pPr>
            <w:r>
              <w:rPr>
                <w:rFonts w:cs="Arial"/>
                <w:szCs w:val="20"/>
              </w:rPr>
              <w:t>Australian Capital Territory</w:t>
            </w:r>
          </w:p>
        </w:tc>
      </w:tr>
      <w:tr w:rsidR="00E47311" w:rsidRPr="00100F0A" w14:paraId="26BAABBB" w14:textId="77777777" w:rsidTr="00100F0A">
        <w:tc>
          <w:tcPr>
            <w:tcW w:w="1653" w:type="dxa"/>
          </w:tcPr>
          <w:p w14:paraId="47D78BCB" w14:textId="4A285BF7" w:rsidR="00E47311" w:rsidRPr="00100F0A" w:rsidRDefault="001E09FD" w:rsidP="002A3A54">
            <w:pPr>
              <w:rPr>
                <w:rFonts w:asciiTheme="minorHAnsi" w:hAnsiTheme="minorHAnsi" w:cs="Arial"/>
                <w:szCs w:val="20"/>
              </w:rPr>
            </w:pPr>
            <w:r>
              <w:rPr>
                <w:rFonts w:asciiTheme="minorHAnsi" w:hAnsiTheme="minorHAnsi" w:cs="Arial"/>
                <w:szCs w:val="20"/>
              </w:rPr>
              <w:t>t</w:t>
            </w:r>
            <w:r w:rsidR="00E47311" w:rsidRPr="00100F0A">
              <w:rPr>
                <w:rFonts w:asciiTheme="minorHAnsi" w:hAnsiTheme="minorHAnsi" w:cs="Arial"/>
                <w:szCs w:val="20"/>
              </w:rPr>
              <w:t>he Act</w:t>
            </w:r>
          </w:p>
        </w:tc>
        <w:tc>
          <w:tcPr>
            <w:tcW w:w="7561" w:type="dxa"/>
          </w:tcPr>
          <w:p w14:paraId="331AD06D" w14:textId="77777777" w:rsidR="00E47311" w:rsidRPr="00100F0A" w:rsidRDefault="00E47311" w:rsidP="002A3A54">
            <w:pPr>
              <w:rPr>
                <w:rFonts w:asciiTheme="minorHAnsi" w:hAnsiTheme="minorHAnsi" w:cs="Arial"/>
                <w:i/>
                <w:szCs w:val="20"/>
              </w:rPr>
            </w:pPr>
            <w:r w:rsidRPr="00100F0A">
              <w:rPr>
                <w:rFonts w:cs="Arial"/>
                <w:i/>
                <w:szCs w:val="20"/>
              </w:rPr>
              <w:t>Hazardous Waste (Regulation of Exports and Imports) Act 1989</w:t>
            </w:r>
          </w:p>
        </w:tc>
      </w:tr>
      <w:tr w:rsidR="00E47311" w:rsidRPr="00100F0A" w14:paraId="234C1376" w14:textId="77777777" w:rsidTr="00100F0A">
        <w:tc>
          <w:tcPr>
            <w:tcW w:w="1653" w:type="dxa"/>
          </w:tcPr>
          <w:p w14:paraId="625AFF5F" w14:textId="77777777" w:rsidR="00E47311" w:rsidRPr="00100F0A" w:rsidRDefault="00E47311" w:rsidP="002A3A54">
            <w:pPr>
              <w:rPr>
                <w:rFonts w:asciiTheme="minorHAnsi" w:hAnsiTheme="minorHAnsi" w:cs="Arial"/>
                <w:szCs w:val="20"/>
              </w:rPr>
            </w:pPr>
            <w:r w:rsidRPr="00100F0A">
              <w:rPr>
                <w:rFonts w:asciiTheme="minorHAnsi" w:hAnsiTheme="minorHAnsi" w:cs="Arial"/>
                <w:szCs w:val="20"/>
              </w:rPr>
              <w:t>AFFF</w:t>
            </w:r>
          </w:p>
        </w:tc>
        <w:tc>
          <w:tcPr>
            <w:tcW w:w="7561" w:type="dxa"/>
          </w:tcPr>
          <w:p w14:paraId="5803C291" w14:textId="095CF57D" w:rsidR="00E47311" w:rsidRPr="00100F0A" w:rsidRDefault="001E09FD" w:rsidP="002A3A54">
            <w:pPr>
              <w:rPr>
                <w:rFonts w:cs="Arial"/>
                <w:i/>
                <w:szCs w:val="20"/>
              </w:rPr>
            </w:pPr>
            <w:r>
              <w:rPr>
                <w:rFonts w:cs="Times New Roman"/>
                <w:color w:val="000000"/>
                <w:szCs w:val="20"/>
                <w:lang w:eastAsia="en-AU"/>
              </w:rPr>
              <w:t>a</w:t>
            </w:r>
            <w:r w:rsidR="00E47311" w:rsidRPr="00100F0A">
              <w:rPr>
                <w:rFonts w:cs="Times New Roman"/>
                <w:color w:val="000000"/>
                <w:szCs w:val="20"/>
                <w:lang w:eastAsia="en-AU"/>
              </w:rPr>
              <w:t>queous film forming foams</w:t>
            </w:r>
          </w:p>
        </w:tc>
      </w:tr>
      <w:tr w:rsidR="00C45F8C" w:rsidRPr="00100F0A" w14:paraId="67E8EA0E" w14:textId="77777777" w:rsidTr="00100F0A">
        <w:tc>
          <w:tcPr>
            <w:tcW w:w="1653" w:type="dxa"/>
          </w:tcPr>
          <w:p w14:paraId="3330CA76" w14:textId="643F540A" w:rsidR="00C45F8C" w:rsidRPr="00100F0A" w:rsidRDefault="00C45F8C" w:rsidP="002A3A54">
            <w:pPr>
              <w:rPr>
                <w:rFonts w:asciiTheme="minorHAnsi" w:hAnsiTheme="minorHAnsi" w:cs="Arial"/>
                <w:szCs w:val="20"/>
              </w:rPr>
            </w:pPr>
            <w:r>
              <w:rPr>
                <w:rFonts w:asciiTheme="minorHAnsi" w:hAnsiTheme="minorHAnsi" w:cs="Arial"/>
                <w:szCs w:val="20"/>
              </w:rPr>
              <w:t>ANZBP</w:t>
            </w:r>
          </w:p>
        </w:tc>
        <w:tc>
          <w:tcPr>
            <w:tcW w:w="7561" w:type="dxa"/>
          </w:tcPr>
          <w:p w14:paraId="71D3DD97" w14:textId="3C6DD55B" w:rsidR="00C45F8C" w:rsidRPr="00100F0A" w:rsidRDefault="00AF5CE6" w:rsidP="002A3A54">
            <w:pPr>
              <w:rPr>
                <w:rFonts w:cs="Times New Roman"/>
                <w:color w:val="000000"/>
                <w:szCs w:val="20"/>
                <w:lang w:eastAsia="en-AU"/>
              </w:rPr>
            </w:pPr>
            <w:r w:rsidRPr="00AF5CE6">
              <w:rPr>
                <w:rFonts w:cs="Times New Roman"/>
                <w:color w:val="000000"/>
                <w:szCs w:val="20"/>
                <w:lang w:eastAsia="en-AU"/>
              </w:rPr>
              <w:t>Australian &amp; New Zealand Biosolids Partnership</w:t>
            </w:r>
          </w:p>
        </w:tc>
      </w:tr>
      <w:tr w:rsidR="00E47311" w:rsidRPr="00100F0A" w14:paraId="7279518F" w14:textId="77777777" w:rsidTr="00100F0A">
        <w:tc>
          <w:tcPr>
            <w:tcW w:w="1653" w:type="dxa"/>
          </w:tcPr>
          <w:p w14:paraId="38936717" w14:textId="77777777" w:rsidR="00E47311" w:rsidRPr="00100F0A" w:rsidRDefault="00E47311" w:rsidP="002A3A54">
            <w:pPr>
              <w:rPr>
                <w:rFonts w:asciiTheme="minorHAnsi" w:hAnsiTheme="minorHAnsi" w:cs="Arial"/>
                <w:szCs w:val="20"/>
              </w:rPr>
            </w:pPr>
            <w:r w:rsidRPr="00100F0A">
              <w:rPr>
                <w:rFonts w:asciiTheme="minorHAnsi" w:hAnsiTheme="minorHAnsi" w:cs="Arial"/>
                <w:szCs w:val="20"/>
              </w:rPr>
              <w:t>ANZSIC</w:t>
            </w:r>
          </w:p>
        </w:tc>
        <w:tc>
          <w:tcPr>
            <w:tcW w:w="7561" w:type="dxa"/>
          </w:tcPr>
          <w:p w14:paraId="09E6B34D" w14:textId="4E427F52" w:rsidR="00E47311" w:rsidRPr="00100F0A" w:rsidRDefault="00E47311" w:rsidP="002A3A54">
            <w:pPr>
              <w:rPr>
                <w:rFonts w:cs="Times New Roman"/>
                <w:color w:val="000000"/>
                <w:szCs w:val="20"/>
                <w:lang w:eastAsia="en-AU"/>
              </w:rPr>
            </w:pPr>
            <w:r w:rsidRPr="00100F0A">
              <w:rPr>
                <w:rFonts w:cs="Times New Roman"/>
                <w:color w:val="000000"/>
                <w:szCs w:val="20"/>
                <w:lang w:eastAsia="en-AU"/>
              </w:rPr>
              <w:t xml:space="preserve">Australia and New Zealand Standard Industry </w:t>
            </w:r>
            <w:r w:rsidR="00602E97">
              <w:rPr>
                <w:rFonts w:cs="Times New Roman"/>
                <w:color w:val="000000"/>
                <w:szCs w:val="20"/>
                <w:lang w:eastAsia="en-AU"/>
              </w:rPr>
              <w:t>Classification</w:t>
            </w:r>
          </w:p>
        </w:tc>
      </w:tr>
      <w:tr w:rsidR="00E47311" w:rsidRPr="00100F0A" w14:paraId="5FFC1D33" w14:textId="77777777" w:rsidTr="00100F0A">
        <w:tc>
          <w:tcPr>
            <w:tcW w:w="1653" w:type="dxa"/>
          </w:tcPr>
          <w:p w14:paraId="333ACAD1" w14:textId="77777777" w:rsidR="00E47311" w:rsidRPr="00100F0A" w:rsidRDefault="00E47311" w:rsidP="002A3A54">
            <w:pPr>
              <w:rPr>
                <w:rFonts w:asciiTheme="minorHAnsi" w:hAnsiTheme="minorHAnsi" w:cs="Arial"/>
                <w:szCs w:val="20"/>
              </w:rPr>
            </w:pPr>
            <w:r w:rsidRPr="00100F0A">
              <w:rPr>
                <w:rFonts w:asciiTheme="minorHAnsi" w:hAnsiTheme="minorHAnsi" w:cs="Arial"/>
                <w:szCs w:val="20"/>
              </w:rPr>
              <w:t>Basel Convention</w:t>
            </w:r>
          </w:p>
        </w:tc>
        <w:tc>
          <w:tcPr>
            <w:tcW w:w="7561" w:type="dxa"/>
          </w:tcPr>
          <w:p w14:paraId="7183951B" w14:textId="0CA1D4A1" w:rsidR="00E47311" w:rsidRPr="00100F0A" w:rsidRDefault="00E47311" w:rsidP="002A3A54">
            <w:pPr>
              <w:rPr>
                <w:rFonts w:asciiTheme="minorHAnsi" w:hAnsiTheme="minorHAnsi" w:cs="Arial"/>
                <w:szCs w:val="20"/>
              </w:rPr>
            </w:pPr>
            <w:r w:rsidRPr="00100F0A">
              <w:rPr>
                <w:rFonts w:asciiTheme="minorHAnsi" w:hAnsiTheme="minorHAnsi" w:cs="Arial"/>
                <w:i/>
                <w:szCs w:val="20"/>
              </w:rPr>
              <w:t>The Basel Convention on the Control of Transboundary Movements of Hazardous Wastes and their Disposal</w:t>
            </w:r>
            <w:r w:rsidRPr="00100F0A">
              <w:rPr>
                <w:rFonts w:asciiTheme="minorHAnsi" w:hAnsiTheme="minorHAnsi" w:cs="Arial"/>
                <w:szCs w:val="20"/>
              </w:rPr>
              <w:t xml:space="preserve"> </w:t>
            </w:r>
          </w:p>
        </w:tc>
      </w:tr>
      <w:tr w:rsidR="00E47311" w:rsidRPr="00100F0A" w14:paraId="3ED759E0" w14:textId="77777777" w:rsidTr="00100F0A">
        <w:tc>
          <w:tcPr>
            <w:tcW w:w="1653" w:type="dxa"/>
          </w:tcPr>
          <w:p w14:paraId="65F9190C" w14:textId="77777777" w:rsidR="00E47311" w:rsidRPr="00100F0A" w:rsidRDefault="00E47311" w:rsidP="002A3A54">
            <w:pPr>
              <w:rPr>
                <w:rFonts w:asciiTheme="minorHAnsi" w:hAnsiTheme="minorHAnsi" w:cs="Arial"/>
                <w:szCs w:val="20"/>
              </w:rPr>
            </w:pPr>
            <w:r w:rsidRPr="00100F0A">
              <w:t>CAGR</w:t>
            </w:r>
          </w:p>
        </w:tc>
        <w:tc>
          <w:tcPr>
            <w:tcW w:w="7561" w:type="dxa"/>
          </w:tcPr>
          <w:p w14:paraId="2042D44D" w14:textId="7FA02E97" w:rsidR="00E47311" w:rsidRPr="00100F0A" w:rsidRDefault="001E09FD" w:rsidP="002A3A54">
            <w:pPr>
              <w:rPr>
                <w:rFonts w:asciiTheme="minorHAnsi" w:hAnsiTheme="minorHAnsi" w:cs="Arial"/>
                <w:szCs w:val="20"/>
              </w:rPr>
            </w:pPr>
            <w:r>
              <w:rPr>
                <w:rFonts w:asciiTheme="minorHAnsi" w:hAnsiTheme="minorHAnsi" w:cs="Arial"/>
                <w:szCs w:val="20"/>
              </w:rPr>
              <w:t>c</w:t>
            </w:r>
            <w:r w:rsidR="00E47311" w:rsidRPr="00100F0A">
              <w:rPr>
                <w:rFonts w:asciiTheme="minorHAnsi" w:hAnsiTheme="minorHAnsi" w:cs="Arial"/>
                <w:szCs w:val="20"/>
              </w:rPr>
              <w:t>ompound annual growth rate</w:t>
            </w:r>
          </w:p>
        </w:tc>
      </w:tr>
      <w:tr w:rsidR="00374225" w:rsidRPr="00100F0A" w14:paraId="7302155D" w14:textId="77777777" w:rsidTr="00100F0A">
        <w:tc>
          <w:tcPr>
            <w:tcW w:w="1653" w:type="dxa"/>
          </w:tcPr>
          <w:p w14:paraId="2ADECE39" w14:textId="28EA9A6A" w:rsidR="00374225" w:rsidRDefault="00374225" w:rsidP="002A3A54">
            <w:r>
              <w:t>CCA</w:t>
            </w:r>
          </w:p>
        </w:tc>
        <w:tc>
          <w:tcPr>
            <w:tcW w:w="7561" w:type="dxa"/>
          </w:tcPr>
          <w:p w14:paraId="409A1AC7" w14:textId="0DC4E431" w:rsidR="00374225" w:rsidRDefault="00374225" w:rsidP="002A3A54">
            <w:pPr>
              <w:rPr>
                <w:rFonts w:asciiTheme="minorHAnsi" w:hAnsiTheme="minorHAnsi" w:cs="Arial"/>
                <w:szCs w:val="20"/>
              </w:rPr>
            </w:pPr>
            <w:r>
              <w:rPr>
                <w:rFonts w:asciiTheme="minorHAnsi" w:hAnsiTheme="minorHAnsi" w:cs="Arial"/>
                <w:szCs w:val="20"/>
              </w:rPr>
              <w:t>chromated copper arsenate</w:t>
            </w:r>
          </w:p>
        </w:tc>
      </w:tr>
      <w:tr w:rsidR="00F73DAF" w:rsidRPr="00100F0A" w14:paraId="5BBC3A88" w14:textId="77777777" w:rsidTr="00100F0A">
        <w:tc>
          <w:tcPr>
            <w:tcW w:w="1653" w:type="dxa"/>
          </w:tcPr>
          <w:p w14:paraId="595FCE98" w14:textId="5203F520" w:rsidR="00F73DAF" w:rsidRPr="00100F0A" w:rsidRDefault="00F73DAF" w:rsidP="002A3A54">
            <w:r>
              <w:t>C&amp;D</w:t>
            </w:r>
          </w:p>
        </w:tc>
        <w:tc>
          <w:tcPr>
            <w:tcW w:w="7561" w:type="dxa"/>
          </w:tcPr>
          <w:p w14:paraId="4B85813F" w14:textId="0245F269" w:rsidR="00F73DAF" w:rsidRPr="00100F0A" w:rsidRDefault="00F73DAF" w:rsidP="002A3A54">
            <w:pPr>
              <w:rPr>
                <w:rFonts w:asciiTheme="minorHAnsi" w:hAnsiTheme="minorHAnsi" w:cs="Arial"/>
                <w:szCs w:val="20"/>
              </w:rPr>
            </w:pPr>
            <w:r>
              <w:rPr>
                <w:rFonts w:asciiTheme="minorHAnsi" w:hAnsiTheme="minorHAnsi" w:cs="Arial"/>
                <w:szCs w:val="20"/>
              </w:rPr>
              <w:t>construction and demolition</w:t>
            </w:r>
          </w:p>
        </w:tc>
      </w:tr>
      <w:tr w:rsidR="00B404CD" w:rsidRPr="00100F0A" w14:paraId="49519DB1" w14:textId="77777777" w:rsidTr="00100F0A">
        <w:tc>
          <w:tcPr>
            <w:tcW w:w="1653" w:type="dxa"/>
          </w:tcPr>
          <w:p w14:paraId="199EE2C5" w14:textId="4A155313" w:rsidR="00B404CD" w:rsidRPr="00B404CD" w:rsidRDefault="00B404CD" w:rsidP="002A3A54">
            <w:r>
              <w:t>CO</w:t>
            </w:r>
            <w:r>
              <w:rPr>
                <w:vertAlign w:val="subscript"/>
              </w:rPr>
              <w:t>2</w:t>
            </w:r>
            <w:r>
              <w:t>-e</w:t>
            </w:r>
          </w:p>
        </w:tc>
        <w:tc>
          <w:tcPr>
            <w:tcW w:w="7561" w:type="dxa"/>
          </w:tcPr>
          <w:p w14:paraId="7F6E6625" w14:textId="1FB00360" w:rsidR="00B404CD" w:rsidRDefault="00B404CD" w:rsidP="002A3A54">
            <w:pPr>
              <w:rPr>
                <w:rFonts w:asciiTheme="minorHAnsi" w:hAnsiTheme="minorHAnsi" w:cs="Arial"/>
                <w:szCs w:val="20"/>
              </w:rPr>
            </w:pPr>
            <w:r>
              <w:rPr>
                <w:rFonts w:asciiTheme="minorHAnsi" w:hAnsiTheme="minorHAnsi" w:cs="Arial"/>
                <w:szCs w:val="20"/>
              </w:rPr>
              <w:t>carbon dioxide equivalent</w:t>
            </w:r>
          </w:p>
        </w:tc>
      </w:tr>
      <w:tr w:rsidR="00E47311" w:rsidRPr="00100F0A" w14:paraId="447A7CF3" w14:textId="77777777" w:rsidTr="00100F0A">
        <w:tc>
          <w:tcPr>
            <w:tcW w:w="1653" w:type="dxa"/>
          </w:tcPr>
          <w:p w14:paraId="669FC049" w14:textId="77777777" w:rsidR="00E47311" w:rsidRPr="00100F0A" w:rsidRDefault="00E47311" w:rsidP="002A3A54">
            <w:r w:rsidRPr="00100F0A">
              <w:t>CPT</w:t>
            </w:r>
          </w:p>
        </w:tc>
        <w:tc>
          <w:tcPr>
            <w:tcW w:w="7561" w:type="dxa"/>
          </w:tcPr>
          <w:p w14:paraId="19A0AF87" w14:textId="3B5DA763" w:rsidR="00E47311" w:rsidRPr="00100F0A" w:rsidRDefault="00F73DAF" w:rsidP="002A3A54">
            <w:pPr>
              <w:rPr>
                <w:rFonts w:asciiTheme="minorHAnsi" w:hAnsiTheme="minorHAnsi" w:cs="Arial"/>
                <w:szCs w:val="20"/>
              </w:rPr>
            </w:pPr>
            <w:r>
              <w:rPr>
                <w:rFonts w:asciiTheme="minorHAnsi" w:hAnsiTheme="minorHAnsi" w:cs="Arial"/>
                <w:szCs w:val="20"/>
              </w:rPr>
              <w:t>c</w:t>
            </w:r>
            <w:r w:rsidR="00E47311" w:rsidRPr="00100F0A">
              <w:rPr>
                <w:rFonts w:asciiTheme="minorHAnsi" w:hAnsiTheme="minorHAnsi" w:cs="Arial"/>
                <w:szCs w:val="20"/>
              </w:rPr>
              <w:t>hemical or physical treatment</w:t>
            </w:r>
          </w:p>
        </w:tc>
      </w:tr>
      <w:tr w:rsidR="00C45F8C" w:rsidRPr="00100F0A" w14:paraId="2EF8659D" w14:textId="77777777" w:rsidTr="00100F0A">
        <w:tc>
          <w:tcPr>
            <w:tcW w:w="1653" w:type="dxa"/>
          </w:tcPr>
          <w:p w14:paraId="72D0DA25" w14:textId="1E37A914" w:rsidR="00C45F8C" w:rsidRDefault="00C45F8C" w:rsidP="002A3A54">
            <w:pPr>
              <w:rPr>
                <w:rFonts w:asciiTheme="minorHAnsi" w:hAnsiTheme="minorHAnsi" w:cs="Arial"/>
                <w:szCs w:val="20"/>
              </w:rPr>
            </w:pPr>
            <w:r>
              <w:rPr>
                <w:rFonts w:asciiTheme="minorHAnsi" w:hAnsiTheme="minorHAnsi" w:cs="Arial"/>
                <w:szCs w:val="20"/>
              </w:rPr>
              <w:t>congener</w:t>
            </w:r>
          </w:p>
        </w:tc>
        <w:tc>
          <w:tcPr>
            <w:tcW w:w="7561" w:type="dxa"/>
          </w:tcPr>
          <w:p w14:paraId="514DC12B" w14:textId="5A420A0B" w:rsidR="00C45F8C" w:rsidRPr="00100F0A" w:rsidRDefault="00AF5CE6" w:rsidP="002A3A54">
            <w:pPr>
              <w:rPr>
                <w:rFonts w:asciiTheme="minorHAnsi" w:hAnsiTheme="minorHAnsi" w:cs="Arial"/>
                <w:szCs w:val="20"/>
              </w:rPr>
            </w:pPr>
            <w:r w:rsidRPr="00AF5CE6">
              <w:rPr>
                <w:rFonts w:asciiTheme="minorHAnsi" w:hAnsiTheme="minorHAnsi" w:cs="Arial"/>
                <w:szCs w:val="20"/>
              </w:rPr>
              <w:t>are related chemical substances</w:t>
            </w:r>
            <w:r>
              <w:rPr>
                <w:rFonts w:asciiTheme="minorHAnsi" w:hAnsiTheme="minorHAnsi" w:cs="Arial"/>
                <w:szCs w:val="20"/>
              </w:rPr>
              <w:t xml:space="preserve"> that are </w:t>
            </w:r>
            <w:r w:rsidRPr="00AF5CE6">
              <w:rPr>
                <w:rFonts w:asciiTheme="minorHAnsi" w:hAnsiTheme="minorHAnsi" w:cs="Arial"/>
                <w:szCs w:val="20"/>
              </w:rPr>
              <w:t>related to each other by origin, structure, or function</w:t>
            </w:r>
          </w:p>
        </w:tc>
      </w:tr>
      <w:tr w:rsidR="00E47311" w:rsidRPr="00100F0A" w14:paraId="15318ED5" w14:textId="77777777" w:rsidTr="00100F0A">
        <w:tc>
          <w:tcPr>
            <w:tcW w:w="1653" w:type="dxa"/>
          </w:tcPr>
          <w:p w14:paraId="2A1844E1" w14:textId="6A18A1BB" w:rsidR="00E47311" w:rsidRPr="00100F0A" w:rsidRDefault="00CE33F4" w:rsidP="002A3A54">
            <w:pPr>
              <w:rPr>
                <w:rFonts w:asciiTheme="minorHAnsi" w:hAnsiTheme="minorHAnsi" w:cs="Arial"/>
                <w:szCs w:val="20"/>
              </w:rPr>
            </w:pPr>
            <w:r>
              <w:rPr>
                <w:rFonts w:asciiTheme="minorHAnsi" w:hAnsiTheme="minorHAnsi" w:cs="Arial"/>
                <w:szCs w:val="20"/>
              </w:rPr>
              <w:t>c</w:t>
            </w:r>
            <w:r w:rsidR="00E47311" w:rsidRPr="00100F0A">
              <w:rPr>
                <w:rFonts w:asciiTheme="minorHAnsi" w:hAnsiTheme="minorHAnsi" w:cs="Arial"/>
                <w:szCs w:val="20"/>
              </w:rPr>
              <w:t xml:space="preserve">ontrolled </w:t>
            </w:r>
            <w:r w:rsidR="00602E97">
              <w:rPr>
                <w:rFonts w:asciiTheme="minorHAnsi" w:hAnsiTheme="minorHAnsi" w:cs="Arial"/>
                <w:szCs w:val="20"/>
              </w:rPr>
              <w:t>w</w:t>
            </w:r>
            <w:r w:rsidR="00E47311" w:rsidRPr="00100F0A">
              <w:rPr>
                <w:rFonts w:asciiTheme="minorHAnsi" w:hAnsiTheme="minorHAnsi" w:cs="Arial"/>
                <w:szCs w:val="20"/>
              </w:rPr>
              <w:t>aste</w:t>
            </w:r>
          </w:p>
        </w:tc>
        <w:tc>
          <w:tcPr>
            <w:tcW w:w="7561" w:type="dxa"/>
          </w:tcPr>
          <w:p w14:paraId="001733F9" w14:textId="4A23C313" w:rsidR="00E47311" w:rsidRPr="00100F0A" w:rsidRDefault="00E47311" w:rsidP="002A3A54">
            <w:pPr>
              <w:rPr>
                <w:rFonts w:asciiTheme="minorHAnsi" w:hAnsiTheme="minorHAnsi" w:cs="Arial"/>
                <w:szCs w:val="20"/>
              </w:rPr>
            </w:pPr>
            <w:r w:rsidRPr="00100F0A">
              <w:rPr>
                <w:rFonts w:asciiTheme="minorHAnsi" w:hAnsiTheme="minorHAnsi" w:cs="Arial"/>
                <w:szCs w:val="20"/>
              </w:rPr>
              <w:t xml:space="preserve">Waste that falls under the control of the </w:t>
            </w:r>
            <w:r w:rsidR="00EE0606">
              <w:rPr>
                <w:rFonts w:asciiTheme="minorHAnsi" w:hAnsiTheme="minorHAnsi" w:cs="Arial"/>
                <w:szCs w:val="20"/>
              </w:rPr>
              <w:t xml:space="preserve">NEPM. </w:t>
            </w:r>
            <w:r w:rsidRPr="00100F0A">
              <w:rPr>
                <w:rFonts w:asciiTheme="minorHAnsi" w:hAnsiTheme="minorHAnsi" w:cs="Arial"/>
                <w:szCs w:val="20"/>
              </w:rPr>
              <w:t>Generally equivalent to hazardous waste, although definitional differences of the latter exist across jurisdictions</w:t>
            </w:r>
            <w:r w:rsidR="00602E97">
              <w:rPr>
                <w:rFonts w:asciiTheme="minorHAnsi" w:hAnsiTheme="minorHAnsi" w:cs="Arial"/>
                <w:szCs w:val="20"/>
              </w:rPr>
              <w:t>.</w:t>
            </w:r>
          </w:p>
        </w:tc>
      </w:tr>
      <w:tr w:rsidR="00C45F8C" w:rsidRPr="00100F0A" w14:paraId="0CA096D5" w14:textId="77777777" w:rsidTr="00100F0A">
        <w:tc>
          <w:tcPr>
            <w:tcW w:w="1653" w:type="dxa"/>
          </w:tcPr>
          <w:p w14:paraId="469E9717" w14:textId="5DBA80F5" w:rsidR="00C45F8C" w:rsidRPr="001E09FD" w:rsidRDefault="00C45F8C" w:rsidP="002A3A54">
            <w:pPr>
              <w:rPr>
                <w:rFonts w:asciiTheme="minorHAnsi" w:hAnsiTheme="minorHAnsi" w:cs="Arial"/>
                <w:szCs w:val="20"/>
              </w:rPr>
            </w:pPr>
            <w:r>
              <w:rPr>
                <w:rFonts w:asciiTheme="minorHAnsi" w:hAnsiTheme="minorHAnsi" w:cs="Arial"/>
                <w:szCs w:val="20"/>
              </w:rPr>
              <w:t>CRT</w:t>
            </w:r>
          </w:p>
        </w:tc>
        <w:tc>
          <w:tcPr>
            <w:tcW w:w="7561" w:type="dxa"/>
          </w:tcPr>
          <w:p w14:paraId="4D172984" w14:textId="6210A1BD" w:rsidR="00C45F8C" w:rsidRPr="001E09FD" w:rsidDel="001E09FD" w:rsidRDefault="00C45F8C" w:rsidP="002A3A54">
            <w:pPr>
              <w:rPr>
                <w:rFonts w:asciiTheme="minorHAnsi" w:hAnsiTheme="minorHAnsi" w:cs="Arial"/>
                <w:szCs w:val="20"/>
              </w:rPr>
            </w:pPr>
            <w:r>
              <w:rPr>
                <w:rFonts w:asciiTheme="minorHAnsi" w:hAnsiTheme="minorHAnsi" w:cs="Arial"/>
                <w:szCs w:val="20"/>
              </w:rPr>
              <w:t>cathode ray tube</w:t>
            </w:r>
          </w:p>
        </w:tc>
      </w:tr>
      <w:tr w:rsidR="00C45F8C" w:rsidRPr="00100F0A" w14:paraId="5276EDA2" w14:textId="77777777" w:rsidTr="00100F0A">
        <w:tc>
          <w:tcPr>
            <w:tcW w:w="1653" w:type="dxa"/>
          </w:tcPr>
          <w:p w14:paraId="4E7BB490" w14:textId="158CC709" w:rsidR="00C45F8C" w:rsidRPr="001E09FD" w:rsidRDefault="00C45F8C" w:rsidP="002A3A54">
            <w:pPr>
              <w:rPr>
                <w:rFonts w:asciiTheme="minorHAnsi" w:hAnsiTheme="minorHAnsi" w:cs="Arial"/>
                <w:szCs w:val="20"/>
              </w:rPr>
            </w:pPr>
            <w:r>
              <w:rPr>
                <w:rFonts w:asciiTheme="minorHAnsi" w:hAnsiTheme="minorHAnsi" w:cs="Arial"/>
                <w:szCs w:val="20"/>
              </w:rPr>
              <w:t>CSG</w:t>
            </w:r>
          </w:p>
        </w:tc>
        <w:tc>
          <w:tcPr>
            <w:tcW w:w="7561" w:type="dxa"/>
          </w:tcPr>
          <w:p w14:paraId="7ACAD5BF" w14:textId="624C8107" w:rsidR="00C45F8C" w:rsidRPr="001E09FD" w:rsidDel="001E09FD" w:rsidRDefault="00C45F8C" w:rsidP="002A3A54">
            <w:pPr>
              <w:rPr>
                <w:rFonts w:asciiTheme="minorHAnsi" w:hAnsiTheme="minorHAnsi" w:cs="Arial"/>
                <w:szCs w:val="20"/>
              </w:rPr>
            </w:pPr>
            <w:r>
              <w:rPr>
                <w:rFonts w:asciiTheme="minorHAnsi" w:hAnsiTheme="minorHAnsi" w:cs="Arial"/>
                <w:szCs w:val="20"/>
              </w:rPr>
              <w:t>coal seam gas</w:t>
            </w:r>
          </w:p>
        </w:tc>
      </w:tr>
      <w:tr w:rsidR="008C1EB6" w:rsidRPr="00100F0A" w14:paraId="56DA3583" w14:textId="77777777" w:rsidTr="00100F0A">
        <w:tc>
          <w:tcPr>
            <w:tcW w:w="1653" w:type="dxa"/>
          </w:tcPr>
          <w:p w14:paraId="3D215F59" w14:textId="79555B85" w:rsidR="008C1EB6" w:rsidRDefault="008C1EB6" w:rsidP="002A3A54">
            <w:pPr>
              <w:rPr>
                <w:rFonts w:asciiTheme="minorHAnsi" w:hAnsiTheme="minorHAnsi" w:cs="Arial"/>
                <w:szCs w:val="20"/>
              </w:rPr>
            </w:pPr>
            <w:r>
              <w:rPr>
                <w:rFonts w:asciiTheme="minorHAnsi" w:hAnsiTheme="minorHAnsi" w:cs="Arial"/>
                <w:szCs w:val="20"/>
              </w:rPr>
              <w:t>DBDPE</w:t>
            </w:r>
          </w:p>
        </w:tc>
        <w:tc>
          <w:tcPr>
            <w:tcW w:w="7561" w:type="dxa"/>
          </w:tcPr>
          <w:p w14:paraId="44539DD1" w14:textId="6FA882A4" w:rsidR="008C1EB6" w:rsidRPr="001E09FD" w:rsidDel="001E09FD" w:rsidRDefault="00AF5CE6" w:rsidP="002A3A54">
            <w:pPr>
              <w:rPr>
                <w:rFonts w:asciiTheme="minorHAnsi" w:hAnsiTheme="minorHAnsi" w:cs="Arial"/>
                <w:szCs w:val="20"/>
              </w:rPr>
            </w:pPr>
            <w:r w:rsidRPr="00AF5CE6">
              <w:rPr>
                <w:rFonts w:asciiTheme="minorHAnsi" w:hAnsiTheme="minorHAnsi" w:cs="Arial"/>
                <w:szCs w:val="20"/>
              </w:rPr>
              <w:t>decabromodiphenyl ethane</w:t>
            </w:r>
          </w:p>
        </w:tc>
      </w:tr>
      <w:tr w:rsidR="008C1EB6" w:rsidRPr="00100F0A" w14:paraId="0FAD1408" w14:textId="77777777" w:rsidTr="00100F0A">
        <w:tc>
          <w:tcPr>
            <w:tcW w:w="1653" w:type="dxa"/>
          </w:tcPr>
          <w:p w14:paraId="69D65DF3" w14:textId="114EA355" w:rsidR="008C1EB6" w:rsidRPr="001E09FD" w:rsidRDefault="008C1EB6" w:rsidP="002A3A54">
            <w:pPr>
              <w:rPr>
                <w:rFonts w:asciiTheme="minorHAnsi" w:hAnsiTheme="minorHAnsi" w:cs="Arial"/>
                <w:szCs w:val="20"/>
              </w:rPr>
            </w:pPr>
            <w:r>
              <w:rPr>
                <w:rFonts w:asciiTheme="minorHAnsi" w:hAnsiTheme="minorHAnsi" w:cs="Arial"/>
                <w:szCs w:val="20"/>
              </w:rPr>
              <w:t>decaBDE</w:t>
            </w:r>
          </w:p>
        </w:tc>
        <w:tc>
          <w:tcPr>
            <w:tcW w:w="7561" w:type="dxa"/>
          </w:tcPr>
          <w:p w14:paraId="5FDF2C23" w14:textId="6F6E019B" w:rsidR="008C1EB6" w:rsidRPr="001E09FD" w:rsidDel="001E09FD" w:rsidRDefault="00AF5CE6" w:rsidP="002A3A54">
            <w:pPr>
              <w:rPr>
                <w:rFonts w:asciiTheme="minorHAnsi" w:hAnsiTheme="minorHAnsi" w:cs="Arial"/>
                <w:szCs w:val="20"/>
              </w:rPr>
            </w:pPr>
            <w:r w:rsidRPr="00AF5CE6">
              <w:rPr>
                <w:rFonts w:asciiTheme="minorHAnsi" w:hAnsiTheme="minorHAnsi" w:cs="Arial"/>
                <w:szCs w:val="20"/>
              </w:rPr>
              <w:t>Decabromodiphenyl ether</w:t>
            </w:r>
          </w:p>
        </w:tc>
      </w:tr>
      <w:tr w:rsidR="00E47311" w:rsidRPr="00100F0A" w14:paraId="781C10A3" w14:textId="77777777" w:rsidTr="00100F0A">
        <w:tc>
          <w:tcPr>
            <w:tcW w:w="1653" w:type="dxa"/>
          </w:tcPr>
          <w:p w14:paraId="7458CE9C" w14:textId="3ED6E408" w:rsidR="00E47311" w:rsidRPr="001E09FD" w:rsidRDefault="00E47311" w:rsidP="002A3A54">
            <w:pPr>
              <w:rPr>
                <w:rFonts w:asciiTheme="minorHAnsi" w:hAnsiTheme="minorHAnsi" w:cs="Arial"/>
                <w:szCs w:val="20"/>
              </w:rPr>
            </w:pPr>
            <w:r w:rsidRPr="001E09FD">
              <w:rPr>
                <w:rFonts w:asciiTheme="minorHAnsi" w:hAnsiTheme="minorHAnsi" w:cs="Arial"/>
                <w:szCs w:val="20"/>
              </w:rPr>
              <w:t>DoE</w:t>
            </w:r>
            <w:r w:rsidR="00CC4550" w:rsidRPr="001E09FD">
              <w:rPr>
                <w:rFonts w:asciiTheme="minorHAnsi" w:hAnsiTheme="minorHAnsi" w:cs="Arial"/>
                <w:szCs w:val="20"/>
              </w:rPr>
              <w:t>E</w:t>
            </w:r>
          </w:p>
        </w:tc>
        <w:tc>
          <w:tcPr>
            <w:tcW w:w="7561" w:type="dxa"/>
          </w:tcPr>
          <w:p w14:paraId="0DFB2DE3" w14:textId="274AD2D8" w:rsidR="00E47311" w:rsidRPr="00100F0A" w:rsidRDefault="00E47311" w:rsidP="002A3A54">
            <w:pPr>
              <w:rPr>
                <w:rFonts w:asciiTheme="minorHAnsi" w:hAnsiTheme="minorHAnsi" w:cs="Arial"/>
                <w:szCs w:val="20"/>
              </w:rPr>
            </w:pPr>
            <w:r w:rsidRPr="001E09FD">
              <w:rPr>
                <w:rFonts w:asciiTheme="minorHAnsi" w:hAnsiTheme="minorHAnsi" w:cs="Arial"/>
                <w:szCs w:val="20"/>
              </w:rPr>
              <w:t>Department of the Environment</w:t>
            </w:r>
            <w:r w:rsidR="00CC4550" w:rsidRPr="001E09FD">
              <w:rPr>
                <w:rFonts w:asciiTheme="minorHAnsi" w:hAnsiTheme="minorHAnsi" w:cs="Arial"/>
                <w:szCs w:val="20"/>
              </w:rPr>
              <w:t xml:space="preserve"> and Energy</w:t>
            </w:r>
          </w:p>
        </w:tc>
      </w:tr>
      <w:tr w:rsidR="00C45F8C" w:rsidRPr="00100F0A" w14:paraId="1ED91C54" w14:textId="77777777" w:rsidTr="00100F0A">
        <w:tc>
          <w:tcPr>
            <w:tcW w:w="1653" w:type="dxa"/>
          </w:tcPr>
          <w:p w14:paraId="3DAEFB6B" w14:textId="1B9E7187" w:rsidR="00C45F8C" w:rsidRPr="00100F0A" w:rsidRDefault="00C45F8C" w:rsidP="002A3A54">
            <w:pPr>
              <w:rPr>
                <w:rFonts w:asciiTheme="minorHAnsi" w:hAnsiTheme="minorHAnsi" w:cs="Arial"/>
                <w:szCs w:val="20"/>
              </w:rPr>
            </w:pPr>
            <w:r>
              <w:rPr>
                <w:rFonts w:asciiTheme="minorHAnsi" w:hAnsiTheme="minorHAnsi" w:cs="Arial"/>
                <w:szCs w:val="20"/>
              </w:rPr>
              <w:t>EOLT</w:t>
            </w:r>
          </w:p>
        </w:tc>
        <w:tc>
          <w:tcPr>
            <w:tcW w:w="7561" w:type="dxa"/>
          </w:tcPr>
          <w:p w14:paraId="7CF00412" w14:textId="6B10CD0B" w:rsidR="00C45F8C" w:rsidRDefault="00C45F8C" w:rsidP="002A3A54">
            <w:pPr>
              <w:rPr>
                <w:rFonts w:asciiTheme="minorHAnsi" w:hAnsiTheme="minorHAnsi" w:cs="Arial"/>
                <w:szCs w:val="20"/>
              </w:rPr>
            </w:pPr>
            <w:r>
              <w:rPr>
                <w:rFonts w:asciiTheme="minorHAnsi" w:hAnsiTheme="minorHAnsi" w:cs="Arial"/>
                <w:szCs w:val="20"/>
              </w:rPr>
              <w:t>end-of-life tyres</w:t>
            </w:r>
          </w:p>
        </w:tc>
      </w:tr>
      <w:tr w:rsidR="00C45F8C" w:rsidRPr="00100F0A" w14:paraId="3B79095E" w14:textId="77777777" w:rsidTr="00100F0A">
        <w:tc>
          <w:tcPr>
            <w:tcW w:w="1653" w:type="dxa"/>
          </w:tcPr>
          <w:p w14:paraId="703218AE" w14:textId="350A86A1" w:rsidR="00C45F8C" w:rsidRPr="00100F0A" w:rsidRDefault="00C45F8C" w:rsidP="002A3A54">
            <w:pPr>
              <w:rPr>
                <w:rFonts w:asciiTheme="minorHAnsi" w:hAnsiTheme="minorHAnsi" w:cs="Arial"/>
                <w:szCs w:val="20"/>
              </w:rPr>
            </w:pPr>
            <w:r>
              <w:rPr>
                <w:rFonts w:asciiTheme="minorHAnsi" w:hAnsiTheme="minorHAnsi" w:cs="Arial"/>
                <w:szCs w:val="20"/>
              </w:rPr>
              <w:t>EPA</w:t>
            </w:r>
          </w:p>
        </w:tc>
        <w:tc>
          <w:tcPr>
            <w:tcW w:w="7561" w:type="dxa"/>
          </w:tcPr>
          <w:p w14:paraId="4CE9AC05" w14:textId="3765CBD8" w:rsidR="00C45F8C" w:rsidRDefault="00C45F8C" w:rsidP="002A3A54">
            <w:pPr>
              <w:rPr>
                <w:rFonts w:asciiTheme="minorHAnsi" w:hAnsiTheme="minorHAnsi" w:cs="Arial"/>
                <w:szCs w:val="20"/>
              </w:rPr>
            </w:pPr>
            <w:r>
              <w:rPr>
                <w:rFonts w:asciiTheme="minorHAnsi" w:hAnsiTheme="minorHAnsi" w:cs="Arial"/>
                <w:szCs w:val="20"/>
              </w:rPr>
              <w:t>Environment Protection Authority</w:t>
            </w:r>
          </w:p>
        </w:tc>
      </w:tr>
      <w:tr w:rsidR="00E47311" w:rsidRPr="00100F0A" w14:paraId="516D573D" w14:textId="77777777" w:rsidTr="00100F0A">
        <w:tc>
          <w:tcPr>
            <w:tcW w:w="1653" w:type="dxa"/>
          </w:tcPr>
          <w:p w14:paraId="67B73FBD" w14:textId="77777777" w:rsidR="00E47311" w:rsidRPr="00100F0A" w:rsidRDefault="00E47311" w:rsidP="002A3A54">
            <w:pPr>
              <w:rPr>
                <w:rFonts w:asciiTheme="minorHAnsi" w:hAnsiTheme="minorHAnsi" w:cs="Arial"/>
                <w:szCs w:val="20"/>
              </w:rPr>
            </w:pPr>
            <w:r w:rsidRPr="00100F0A">
              <w:rPr>
                <w:rFonts w:asciiTheme="minorHAnsi" w:hAnsiTheme="minorHAnsi" w:cs="Arial"/>
                <w:szCs w:val="20"/>
              </w:rPr>
              <w:t>EPS</w:t>
            </w:r>
          </w:p>
        </w:tc>
        <w:tc>
          <w:tcPr>
            <w:tcW w:w="7561" w:type="dxa"/>
          </w:tcPr>
          <w:p w14:paraId="7C151FAE" w14:textId="7C875F17" w:rsidR="00E47311" w:rsidRPr="00100F0A" w:rsidRDefault="001E09FD" w:rsidP="002A3A54">
            <w:pPr>
              <w:rPr>
                <w:rFonts w:asciiTheme="minorHAnsi" w:hAnsiTheme="minorHAnsi" w:cs="Arial"/>
                <w:szCs w:val="20"/>
              </w:rPr>
            </w:pPr>
            <w:r>
              <w:rPr>
                <w:rFonts w:asciiTheme="minorHAnsi" w:hAnsiTheme="minorHAnsi" w:cs="Arial"/>
                <w:szCs w:val="20"/>
              </w:rPr>
              <w:t>e</w:t>
            </w:r>
            <w:r w:rsidR="00E47311" w:rsidRPr="00100F0A">
              <w:rPr>
                <w:rFonts w:asciiTheme="minorHAnsi" w:hAnsiTheme="minorHAnsi" w:cs="Arial"/>
                <w:szCs w:val="20"/>
              </w:rPr>
              <w:t>xpanded polystyrene</w:t>
            </w:r>
          </w:p>
        </w:tc>
      </w:tr>
      <w:tr w:rsidR="002661EC" w:rsidRPr="00100F0A" w14:paraId="31BB6793" w14:textId="77777777" w:rsidTr="00100F0A">
        <w:tc>
          <w:tcPr>
            <w:tcW w:w="1653" w:type="dxa"/>
          </w:tcPr>
          <w:p w14:paraId="1DBD681A" w14:textId="7057DF27" w:rsidR="002661EC" w:rsidRPr="00100F0A" w:rsidRDefault="001E09FD" w:rsidP="002661EC">
            <w:pPr>
              <w:rPr>
                <w:rFonts w:asciiTheme="minorHAnsi" w:hAnsiTheme="minorHAnsi" w:cs="Arial"/>
                <w:szCs w:val="20"/>
              </w:rPr>
            </w:pPr>
            <w:r>
              <w:rPr>
                <w:rFonts w:asciiTheme="minorHAnsi" w:hAnsiTheme="minorHAnsi"/>
                <w:szCs w:val="20"/>
              </w:rPr>
              <w:t>e</w:t>
            </w:r>
            <w:r w:rsidR="002661EC" w:rsidRPr="00100F0A">
              <w:rPr>
                <w:rFonts w:asciiTheme="minorHAnsi" w:hAnsiTheme="minorHAnsi"/>
                <w:szCs w:val="20"/>
              </w:rPr>
              <w:t>xpected capacity</w:t>
            </w:r>
            <w:r w:rsidR="00FD7723" w:rsidRPr="00100F0A">
              <w:rPr>
                <w:rFonts w:asciiTheme="minorHAnsi" w:hAnsiTheme="minorHAnsi"/>
                <w:szCs w:val="20"/>
              </w:rPr>
              <w:t xml:space="preserve"> change</w:t>
            </w:r>
          </w:p>
        </w:tc>
        <w:tc>
          <w:tcPr>
            <w:tcW w:w="7561" w:type="dxa"/>
          </w:tcPr>
          <w:p w14:paraId="064F7801" w14:textId="43F44D0A" w:rsidR="00475B57" w:rsidRPr="00100F0A" w:rsidRDefault="00475B57" w:rsidP="006C17DC">
            <w:pPr>
              <w:rPr>
                <w:rFonts w:asciiTheme="minorHAnsi" w:hAnsiTheme="minorHAnsi" w:cs="Arial"/>
                <w:szCs w:val="20"/>
              </w:rPr>
            </w:pPr>
            <w:r>
              <w:rPr>
                <w:rFonts w:asciiTheme="minorHAnsi" w:hAnsiTheme="minorHAnsi" w:cs="Arial"/>
                <w:szCs w:val="20"/>
              </w:rPr>
              <w:t>additional or reduced capacity changes expected at current installed infrastructure in the near future</w:t>
            </w:r>
          </w:p>
        </w:tc>
      </w:tr>
      <w:tr w:rsidR="00C31C60" w:rsidRPr="00100F0A" w14:paraId="13F5209E" w14:textId="77777777" w:rsidTr="00100F0A">
        <w:tc>
          <w:tcPr>
            <w:tcW w:w="1653" w:type="dxa"/>
          </w:tcPr>
          <w:p w14:paraId="03BB6627" w14:textId="572D2167" w:rsidR="00C31C60" w:rsidRDefault="00C31C60" w:rsidP="002661EC">
            <w:pPr>
              <w:rPr>
                <w:rFonts w:asciiTheme="minorHAnsi" w:hAnsiTheme="minorHAnsi" w:cs="Arial"/>
                <w:szCs w:val="20"/>
              </w:rPr>
            </w:pPr>
            <w:r>
              <w:rPr>
                <w:rFonts w:asciiTheme="minorHAnsi" w:hAnsiTheme="minorHAnsi" w:cs="Arial"/>
                <w:szCs w:val="20"/>
              </w:rPr>
              <w:t>GAC</w:t>
            </w:r>
          </w:p>
        </w:tc>
        <w:tc>
          <w:tcPr>
            <w:tcW w:w="7561" w:type="dxa"/>
          </w:tcPr>
          <w:p w14:paraId="474A99A5" w14:textId="7C62C877" w:rsidR="00C31C60" w:rsidRPr="00100F0A" w:rsidRDefault="00C31C60" w:rsidP="002661EC">
            <w:pPr>
              <w:rPr>
                <w:rFonts w:asciiTheme="minorHAnsi" w:hAnsiTheme="minorHAnsi" w:cs="Arial"/>
                <w:szCs w:val="20"/>
              </w:rPr>
            </w:pPr>
            <w:r>
              <w:rPr>
                <w:rFonts w:asciiTheme="minorHAnsi" w:hAnsiTheme="minorHAnsi" w:cs="Arial"/>
                <w:szCs w:val="20"/>
              </w:rPr>
              <w:t>granular activated carbon</w:t>
            </w:r>
          </w:p>
        </w:tc>
      </w:tr>
      <w:tr w:rsidR="002661EC" w:rsidRPr="00100F0A" w14:paraId="2468E891" w14:textId="77777777" w:rsidTr="00100F0A">
        <w:tc>
          <w:tcPr>
            <w:tcW w:w="1653" w:type="dxa"/>
          </w:tcPr>
          <w:p w14:paraId="6AB890E8" w14:textId="0E3C4D15" w:rsidR="002661EC" w:rsidRPr="00100F0A" w:rsidRDefault="001E09FD" w:rsidP="002661EC">
            <w:pPr>
              <w:rPr>
                <w:rFonts w:asciiTheme="minorHAnsi" w:hAnsiTheme="minorHAnsi" w:cs="Arial"/>
                <w:szCs w:val="20"/>
              </w:rPr>
            </w:pPr>
            <w:r>
              <w:rPr>
                <w:rFonts w:asciiTheme="minorHAnsi" w:hAnsiTheme="minorHAnsi" w:cs="Arial"/>
                <w:szCs w:val="20"/>
              </w:rPr>
              <w:t>h</w:t>
            </w:r>
            <w:r w:rsidR="002661EC" w:rsidRPr="00100F0A">
              <w:rPr>
                <w:rFonts w:asciiTheme="minorHAnsi" w:hAnsiTheme="minorHAnsi" w:cs="Arial"/>
                <w:szCs w:val="20"/>
              </w:rPr>
              <w:t>azardous waste</w:t>
            </w:r>
          </w:p>
        </w:tc>
        <w:tc>
          <w:tcPr>
            <w:tcW w:w="7561" w:type="dxa"/>
          </w:tcPr>
          <w:p w14:paraId="2D79601C" w14:textId="443557FB" w:rsidR="00203A78" w:rsidRPr="00100F0A" w:rsidRDefault="0094399D" w:rsidP="00FD3200">
            <w:pPr>
              <w:pStyle w:val="Bullet1"/>
              <w:numPr>
                <w:ilvl w:val="0"/>
                <w:numId w:val="0"/>
              </w:numPr>
              <w:tabs>
                <w:tab w:val="left" w:pos="1935"/>
              </w:tabs>
              <w:spacing w:before="80" w:after="60"/>
              <w:ind w:left="425" w:hanging="425"/>
              <w:rPr>
                <w:rFonts w:asciiTheme="minorHAnsi" w:hAnsiTheme="minorHAnsi" w:cs="Arial"/>
                <w:szCs w:val="20"/>
              </w:rPr>
            </w:pPr>
            <w:r>
              <w:rPr>
                <w:rFonts w:asciiTheme="minorHAnsi" w:hAnsiTheme="minorHAnsi" w:cs="Arial"/>
                <w:szCs w:val="20"/>
              </w:rPr>
              <w:t xml:space="preserve">See section </w:t>
            </w:r>
            <w:r>
              <w:rPr>
                <w:rFonts w:asciiTheme="minorHAnsi" w:hAnsiTheme="minorHAnsi" w:cs="Arial"/>
                <w:szCs w:val="20"/>
              </w:rPr>
              <w:fldChar w:fldCharType="begin"/>
            </w:r>
            <w:r>
              <w:rPr>
                <w:rFonts w:asciiTheme="minorHAnsi" w:hAnsiTheme="minorHAnsi" w:cs="Arial"/>
                <w:szCs w:val="20"/>
              </w:rPr>
              <w:instrText xml:space="preserve"> REF _Ref532298464 \r \h </w:instrText>
            </w:r>
            <w:r>
              <w:rPr>
                <w:rFonts w:asciiTheme="minorHAnsi" w:hAnsiTheme="minorHAnsi" w:cs="Arial"/>
                <w:szCs w:val="20"/>
              </w:rPr>
            </w:r>
            <w:r>
              <w:rPr>
                <w:rFonts w:asciiTheme="minorHAnsi" w:hAnsiTheme="minorHAnsi" w:cs="Arial"/>
                <w:szCs w:val="20"/>
              </w:rPr>
              <w:fldChar w:fldCharType="separate"/>
            </w:r>
            <w:r w:rsidR="00EB634D">
              <w:rPr>
                <w:rFonts w:asciiTheme="minorHAnsi" w:hAnsiTheme="minorHAnsi" w:cs="Arial"/>
                <w:szCs w:val="20"/>
              </w:rPr>
              <w:t>1.2.1</w:t>
            </w:r>
            <w:r>
              <w:rPr>
                <w:rFonts w:asciiTheme="minorHAnsi" w:hAnsiTheme="minorHAnsi" w:cs="Arial"/>
                <w:szCs w:val="20"/>
              </w:rPr>
              <w:fldChar w:fldCharType="end"/>
            </w:r>
          </w:p>
        </w:tc>
      </w:tr>
      <w:tr w:rsidR="00C45F8C" w:rsidRPr="00100F0A" w14:paraId="0ADB9E0F" w14:textId="77777777" w:rsidTr="00100F0A">
        <w:tc>
          <w:tcPr>
            <w:tcW w:w="1653" w:type="dxa"/>
          </w:tcPr>
          <w:p w14:paraId="0151BD52" w14:textId="43D4EE0E" w:rsidR="00C45F8C" w:rsidRDefault="00C45F8C" w:rsidP="002661EC">
            <w:r>
              <w:t>HBCD</w:t>
            </w:r>
          </w:p>
        </w:tc>
        <w:tc>
          <w:tcPr>
            <w:tcW w:w="7561" w:type="dxa"/>
          </w:tcPr>
          <w:p w14:paraId="37D89512" w14:textId="73E54EA2" w:rsidR="00C45F8C" w:rsidRPr="00100F0A" w:rsidDel="001E09FD" w:rsidRDefault="00C31C60" w:rsidP="002661EC">
            <w:r>
              <w:t>hexabromocyclododecane</w:t>
            </w:r>
          </w:p>
        </w:tc>
      </w:tr>
      <w:tr w:rsidR="00C45F8C" w:rsidRPr="00100F0A" w14:paraId="469FEF17" w14:textId="77777777" w:rsidTr="00100F0A">
        <w:tc>
          <w:tcPr>
            <w:tcW w:w="1653" w:type="dxa"/>
          </w:tcPr>
          <w:p w14:paraId="33FAFE3B" w14:textId="58E1EA4C" w:rsidR="00C45F8C" w:rsidRDefault="00C45F8C" w:rsidP="002661EC">
            <w:r>
              <w:t>HCB</w:t>
            </w:r>
          </w:p>
        </w:tc>
        <w:tc>
          <w:tcPr>
            <w:tcW w:w="7561" w:type="dxa"/>
          </w:tcPr>
          <w:p w14:paraId="3EF7E1D8" w14:textId="61F01164" w:rsidR="00C45F8C" w:rsidRPr="00100F0A" w:rsidDel="001E09FD" w:rsidRDefault="00C31C60" w:rsidP="002661EC">
            <w:r>
              <w:t>hexachlorobenzene</w:t>
            </w:r>
          </w:p>
        </w:tc>
      </w:tr>
      <w:tr w:rsidR="00F73DAF" w:rsidRPr="00100F0A" w14:paraId="71BBC291" w14:textId="77777777" w:rsidTr="00100F0A">
        <w:tc>
          <w:tcPr>
            <w:tcW w:w="1653" w:type="dxa"/>
          </w:tcPr>
          <w:p w14:paraId="69A40F3B" w14:textId="29BE5C20" w:rsidR="00F73DAF" w:rsidRDefault="00F73DAF" w:rsidP="002661EC">
            <w:r>
              <w:t>HEPA</w:t>
            </w:r>
          </w:p>
        </w:tc>
        <w:tc>
          <w:tcPr>
            <w:tcW w:w="7561" w:type="dxa"/>
          </w:tcPr>
          <w:p w14:paraId="55E949A9" w14:textId="7D417089" w:rsidR="00F73DAF" w:rsidRPr="00100F0A" w:rsidDel="001E09FD" w:rsidRDefault="00C31C60" w:rsidP="002661EC">
            <w:r>
              <w:t>Heads of EPAs</w:t>
            </w:r>
          </w:p>
        </w:tc>
      </w:tr>
      <w:tr w:rsidR="00C45F8C" w:rsidRPr="00100F0A" w14:paraId="1FE8C005" w14:textId="77777777" w:rsidTr="00100F0A">
        <w:tc>
          <w:tcPr>
            <w:tcW w:w="1653" w:type="dxa"/>
          </w:tcPr>
          <w:p w14:paraId="233B8C79" w14:textId="01418558" w:rsidR="00C45F8C" w:rsidRDefault="00C45F8C" w:rsidP="00C45F8C">
            <w:r>
              <w:rPr>
                <w:rFonts w:asciiTheme="minorHAnsi" w:hAnsiTheme="minorHAnsi"/>
                <w:szCs w:val="20"/>
              </w:rPr>
              <w:t>i</w:t>
            </w:r>
            <w:r w:rsidRPr="00100F0A">
              <w:rPr>
                <w:rFonts w:asciiTheme="minorHAnsi" w:hAnsiTheme="minorHAnsi"/>
                <w:szCs w:val="20"/>
              </w:rPr>
              <w:t>nfrastructure group</w:t>
            </w:r>
          </w:p>
        </w:tc>
        <w:tc>
          <w:tcPr>
            <w:tcW w:w="7561" w:type="dxa"/>
          </w:tcPr>
          <w:p w14:paraId="3E88C48A" w14:textId="49A5350B" w:rsidR="00C45F8C" w:rsidRPr="00100F0A" w:rsidDel="001E09FD" w:rsidRDefault="00C45F8C" w:rsidP="00C45F8C">
            <w:r>
              <w:rPr>
                <w:color w:val="080808"/>
              </w:rPr>
              <w:t>g</w:t>
            </w:r>
            <w:r w:rsidRPr="00100F0A">
              <w:rPr>
                <w:color w:val="080808"/>
              </w:rPr>
              <w:t>roup based on the waste received and the waste management method of the infrastructure</w:t>
            </w:r>
          </w:p>
        </w:tc>
      </w:tr>
      <w:tr w:rsidR="00C45F8C" w:rsidRPr="00100F0A" w14:paraId="6C0AB903" w14:textId="77777777" w:rsidTr="00100F0A">
        <w:tc>
          <w:tcPr>
            <w:tcW w:w="1653" w:type="dxa"/>
          </w:tcPr>
          <w:p w14:paraId="7002CA69" w14:textId="0B25BFEB" w:rsidR="00C45F8C" w:rsidRPr="00100F0A" w:rsidRDefault="00C45F8C" w:rsidP="00C45F8C">
            <w:pPr>
              <w:rPr>
                <w:rFonts w:asciiTheme="minorHAnsi" w:hAnsiTheme="minorHAnsi" w:cs="Arial"/>
                <w:szCs w:val="20"/>
              </w:rPr>
            </w:pPr>
            <w:r>
              <w:t>i</w:t>
            </w:r>
            <w:r w:rsidRPr="00100F0A">
              <w:t>nstalled infrastructure capacity</w:t>
            </w:r>
          </w:p>
        </w:tc>
        <w:tc>
          <w:tcPr>
            <w:tcW w:w="7561" w:type="dxa"/>
          </w:tcPr>
          <w:p w14:paraId="361C0579" w14:textId="144EDA31" w:rsidR="00C45F8C" w:rsidRPr="00100F0A" w:rsidRDefault="00C45F8C" w:rsidP="00C45F8C">
            <w:pPr>
              <w:rPr>
                <w:rFonts w:asciiTheme="minorHAnsi" w:hAnsiTheme="minorHAnsi" w:cs="Arial"/>
                <w:szCs w:val="20"/>
              </w:rPr>
            </w:pPr>
            <w:r w:rsidRPr="00100F0A">
              <w:t>the maximum capacity that current</w:t>
            </w:r>
            <w:r w:rsidR="00203A78">
              <w:t xml:space="preserve">ly </w:t>
            </w:r>
            <w:r w:rsidRPr="00100F0A">
              <w:t xml:space="preserve">installed infrastructure </w:t>
            </w:r>
            <w:r w:rsidRPr="00A307F3">
              <w:t>could</w:t>
            </w:r>
            <w:r w:rsidRPr="00601AD3">
              <w:t xml:space="preserve"> </w:t>
            </w:r>
            <w:r w:rsidRPr="00100F0A">
              <w:t>process on an annual basis</w:t>
            </w:r>
          </w:p>
        </w:tc>
      </w:tr>
      <w:tr w:rsidR="00C45F8C" w:rsidRPr="00100F0A" w14:paraId="175EC656" w14:textId="77777777" w:rsidTr="00100F0A">
        <w:tc>
          <w:tcPr>
            <w:tcW w:w="1653" w:type="dxa"/>
          </w:tcPr>
          <w:p w14:paraId="67AEC6B5" w14:textId="2E100B27" w:rsidR="00C45F8C" w:rsidRPr="00100F0A" w:rsidRDefault="00C45F8C" w:rsidP="00C45F8C">
            <w:pPr>
              <w:rPr>
                <w:rFonts w:asciiTheme="minorHAnsi" w:hAnsiTheme="minorHAnsi" w:cs="Arial"/>
                <w:szCs w:val="20"/>
              </w:rPr>
            </w:pPr>
            <w:r>
              <w:rPr>
                <w:rFonts w:asciiTheme="minorHAnsi" w:hAnsiTheme="minorHAnsi" w:cs="Arial"/>
                <w:szCs w:val="20"/>
              </w:rPr>
              <w:t>i</w:t>
            </w:r>
            <w:r w:rsidRPr="00100F0A">
              <w:rPr>
                <w:rFonts w:asciiTheme="minorHAnsi" w:hAnsiTheme="minorHAnsi" w:cs="Arial"/>
                <w:szCs w:val="20"/>
              </w:rPr>
              <w:t>nterstate data</w:t>
            </w:r>
          </w:p>
        </w:tc>
        <w:tc>
          <w:tcPr>
            <w:tcW w:w="7561" w:type="dxa"/>
          </w:tcPr>
          <w:p w14:paraId="370A0B42" w14:textId="301556E7" w:rsidR="00C45F8C" w:rsidRPr="00100F0A" w:rsidRDefault="00C45F8C" w:rsidP="00C45F8C">
            <w:pPr>
              <w:rPr>
                <w:rFonts w:asciiTheme="minorHAnsi" w:hAnsiTheme="minorHAnsi" w:cs="Arial"/>
                <w:szCs w:val="20"/>
              </w:rPr>
            </w:pPr>
            <w:r>
              <w:rPr>
                <w:rFonts w:asciiTheme="minorHAnsi" w:hAnsiTheme="minorHAnsi" w:cs="Arial"/>
                <w:szCs w:val="20"/>
              </w:rPr>
              <w:t>d</w:t>
            </w:r>
            <w:r w:rsidRPr="00100F0A">
              <w:rPr>
                <w:rFonts w:asciiTheme="minorHAnsi" w:hAnsiTheme="minorHAnsi" w:cs="Arial"/>
                <w:szCs w:val="20"/>
              </w:rPr>
              <w:t>ata collected about hazardous waste generated in one jurisdiction and treated in another, through cross-border transport under the NEPM</w:t>
            </w:r>
          </w:p>
        </w:tc>
      </w:tr>
      <w:tr w:rsidR="00C45F8C" w:rsidRPr="00100F0A" w14:paraId="5DA8FD6F" w14:textId="77777777" w:rsidTr="00100F0A">
        <w:tc>
          <w:tcPr>
            <w:tcW w:w="1653" w:type="dxa"/>
          </w:tcPr>
          <w:p w14:paraId="29EB7F2D" w14:textId="6BAB718C" w:rsidR="00C45F8C" w:rsidRPr="00100F0A" w:rsidRDefault="00C45F8C" w:rsidP="00C45F8C">
            <w:pPr>
              <w:rPr>
                <w:rFonts w:asciiTheme="minorHAnsi" w:hAnsiTheme="minorHAnsi" w:cs="Arial"/>
                <w:szCs w:val="20"/>
              </w:rPr>
            </w:pPr>
            <w:r>
              <w:rPr>
                <w:rFonts w:asciiTheme="minorHAnsi" w:hAnsiTheme="minorHAnsi" w:cs="Arial"/>
                <w:szCs w:val="20"/>
              </w:rPr>
              <w:t>i</w:t>
            </w:r>
            <w:r w:rsidRPr="00100F0A">
              <w:rPr>
                <w:rFonts w:asciiTheme="minorHAnsi" w:hAnsiTheme="minorHAnsi" w:cs="Arial"/>
                <w:szCs w:val="20"/>
              </w:rPr>
              <w:t>ntrastate data</w:t>
            </w:r>
          </w:p>
        </w:tc>
        <w:tc>
          <w:tcPr>
            <w:tcW w:w="7561" w:type="dxa"/>
          </w:tcPr>
          <w:p w14:paraId="4A7AA216" w14:textId="75123137" w:rsidR="00C45F8C" w:rsidRPr="00100F0A" w:rsidRDefault="00C45F8C" w:rsidP="00C45F8C">
            <w:pPr>
              <w:rPr>
                <w:rFonts w:asciiTheme="minorHAnsi" w:hAnsiTheme="minorHAnsi" w:cs="Arial"/>
                <w:szCs w:val="20"/>
              </w:rPr>
            </w:pPr>
            <w:r>
              <w:rPr>
                <w:rFonts w:asciiTheme="minorHAnsi" w:hAnsiTheme="minorHAnsi" w:cs="Arial"/>
                <w:szCs w:val="20"/>
              </w:rPr>
              <w:t>d</w:t>
            </w:r>
            <w:r w:rsidRPr="00100F0A">
              <w:rPr>
                <w:rFonts w:asciiTheme="minorHAnsi" w:hAnsiTheme="minorHAnsi" w:cs="Arial"/>
                <w:szCs w:val="20"/>
              </w:rPr>
              <w:t>ata collected about hazardous waste generated, transported and treated within one jurisdiction</w:t>
            </w:r>
          </w:p>
        </w:tc>
      </w:tr>
      <w:tr w:rsidR="00C45F8C" w:rsidRPr="00100F0A" w14:paraId="215D9C46" w14:textId="77777777" w:rsidTr="00100F0A">
        <w:tc>
          <w:tcPr>
            <w:tcW w:w="1653" w:type="dxa"/>
          </w:tcPr>
          <w:p w14:paraId="370F6431" w14:textId="77777777" w:rsidR="00C45F8C" w:rsidRPr="00100F0A" w:rsidRDefault="00C45F8C" w:rsidP="00C45F8C">
            <w:pPr>
              <w:rPr>
                <w:rFonts w:asciiTheme="minorHAnsi" w:hAnsiTheme="minorHAnsi" w:cs="Arial"/>
                <w:szCs w:val="20"/>
              </w:rPr>
            </w:pPr>
            <w:r w:rsidRPr="00100F0A">
              <w:rPr>
                <w:rFonts w:asciiTheme="minorHAnsi" w:hAnsiTheme="minorHAnsi" w:cs="Arial"/>
                <w:szCs w:val="20"/>
              </w:rPr>
              <w:t>kt</w:t>
            </w:r>
          </w:p>
        </w:tc>
        <w:tc>
          <w:tcPr>
            <w:tcW w:w="7561" w:type="dxa"/>
          </w:tcPr>
          <w:p w14:paraId="64836F9C" w14:textId="55F70663" w:rsidR="00C45F8C" w:rsidRPr="00100F0A" w:rsidRDefault="00C45F8C" w:rsidP="00C45F8C">
            <w:pPr>
              <w:rPr>
                <w:rFonts w:asciiTheme="minorHAnsi" w:hAnsiTheme="minorHAnsi" w:cs="Arial"/>
                <w:szCs w:val="20"/>
              </w:rPr>
            </w:pPr>
            <w:r>
              <w:rPr>
                <w:rFonts w:asciiTheme="minorHAnsi" w:hAnsiTheme="minorHAnsi" w:cs="Arial"/>
                <w:szCs w:val="20"/>
              </w:rPr>
              <w:t>k</w:t>
            </w:r>
            <w:r w:rsidRPr="00100F0A">
              <w:rPr>
                <w:rFonts w:asciiTheme="minorHAnsi" w:hAnsiTheme="minorHAnsi" w:cs="Arial"/>
                <w:szCs w:val="20"/>
              </w:rPr>
              <w:t>ilotonnes (thousands of tonnes)</w:t>
            </w:r>
          </w:p>
        </w:tc>
      </w:tr>
      <w:tr w:rsidR="00C45F8C" w:rsidRPr="00100F0A" w14:paraId="64420F1A" w14:textId="77777777" w:rsidTr="00100F0A">
        <w:tc>
          <w:tcPr>
            <w:tcW w:w="1653" w:type="dxa"/>
          </w:tcPr>
          <w:p w14:paraId="1F40F2C9" w14:textId="77777777" w:rsidR="00C45F8C" w:rsidRPr="00100F0A" w:rsidRDefault="00C45F8C" w:rsidP="00C45F8C">
            <w:pPr>
              <w:rPr>
                <w:rFonts w:asciiTheme="minorHAnsi" w:hAnsiTheme="minorHAnsi" w:cs="Arial"/>
                <w:szCs w:val="20"/>
              </w:rPr>
            </w:pPr>
            <w:r w:rsidRPr="00100F0A">
              <w:rPr>
                <w:rFonts w:asciiTheme="minorHAnsi" w:hAnsiTheme="minorHAnsi" w:cs="Arial"/>
                <w:szCs w:val="20"/>
              </w:rPr>
              <w:t>LPCL</w:t>
            </w:r>
          </w:p>
        </w:tc>
        <w:tc>
          <w:tcPr>
            <w:tcW w:w="7561" w:type="dxa"/>
          </w:tcPr>
          <w:p w14:paraId="19AEDC31" w14:textId="69876EA4" w:rsidR="00C45F8C" w:rsidRPr="00100F0A" w:rsidRDefault="00C45F8C" w:rsidP="00C45F8C">
            <w:pPr>
              <w:rPr>
                <w:rFonts w:asciiTheme="minorHAnsi" w:hAnsiTheme="minorHAnsi" w:cs="Arial"/>
                <w:szCs w:val="20"/>
              </w:rPr>
            </w:pPr>
            <w:r>
              <w:t>l</w:t>
            </w:r>
            <w:r w:rsidRPr="00100F0A">
              <w:t xml:space="preserve">ow </w:t>
            </w:r>
            <w:r>
              <w:t>persistent organic pollutant</w:t>
            </w:r>
            <w:r w:rsidRPr="00100F0A">
              <w:t xml:space="preserve"> concentration limit</w:t>
            </w:r>
          </w:p>
        </w:tc>
      </w:tr>
      <w:tr w:rsidR="00C45F8C" w:rsidRPr="00100F0A" w14:paraId="2D379991" w14:textId="77777777" w:rsidTr="00100F0A">
        <w:tc>
          <w:tcPr>
            <w:tcW w:w="1653" w:type="dxa"/>
          </w:tcPr>
          <w:p w14:paraId="606196E7" w14:textId="7C220513" w:rsidR="00C45F8C" w:rsidRPr="00100F0A" w:rsidRDefault="00C45F8C" w:rsidP="00C45F8C">
            <w:pPr>
              <w:rPr>
                <w:rFonts w:asciiTheme="minorHAnsi" w:hAnsiTheme="minorHAnsi" w:cs="Arial"/>
                <w:szCs w:val="20"/>
              </w:rPr>
            </w:pPr>
            <w:r>
              <w:rPr>
                <w:rFonts w:asciiTheme="minorHAnsi" w:hAnsiTheme="minorHAnsi" w:cs="Arial"/>
                <w:szCs w:val="20"/>
              </w:rPr>
              <w:t>LSLC</w:t>
            </w:r>
          </w:p>
        </w:tc>
        <w:tc>
          <w:tcPr>
            <w:tcW w:w="7561" w:type="dxa"/>
          </w:tcPr>
          <w:p w14:paraId="1AE70F03" w14:textId="298967F3" w:rsidR="00C45F8C" w:rsidRPr="00100F0A" w:rsidRDefault="00374225" w:rsidP="00C45F8C">
            <w:r>
              <w:t>lead sulphate leach concentrate</w:t>
            </w:r>
          </w:p>
        </w:tc>
      </w:tr>
      <w:tr w:rsidR="00374225" w:rsidRPr="00100F0A" w14:paraId="1625B221" w14:textId="77777777" w:rsidTr="00100F0A">
        <w:tc>
          <w:tcPr>
            <w:tcW w:w="1653" w:type="dxa"/>
          </w:tcPr>
          <w:p w14:paraId="0078A1A6" w14:textId="54FE2C43" w:rsidR="00374225" w:rsidRPr="00100F0A" w:rsidRDefault="00374225" w:rsidP="00C45F8C">
            <w:pPr>
              <w:rPr>
                <w:rFonts w:asciiTheme="minorHAnsi" w:hAnsiTheme="minorHAnsi" w:cs="Arial"/>
                <w:szCs w:val="20"/>
              </w:rPr>
            </w:pPr>
            <w:r>
              <w:rPr>
                <w:rFonts w:asciiTheme="minorHAnsi" w:hAnsiTheme="minorHAnsi" w:cs="Arial"/>
                <w:szCs w:val="20"/>
              </w:rPr>
              <w:t>MRU</w:t>
            </w:r>
          </w:p>
        </w:tc>
        <w:tc>
          <w:tcPr>
            <w:tcW w:w="7561" w:type="dxa"/>
          </w:tcPr>
          <w:p w14:paraId="2EDE02FF" w14:textId="4F01479E" w:rsidR="00374225" w:rsidRPr="00100F0A" w:rsidRDefault="00374225" w:rsidP="00C45F8C">
            <w:r>
              <w:t>mercury re</w:t>
            </w:r>
            <w:r w:rsidR="005A3184">
              <w:t>moval</w:t>
            </w:r>
            <w:r>
              <w:t xml:space="preserve"> unit</w:t>
            </w:r>
          </w:p>
        </w:tc>
      </w:tr>
      <w:tr w:rsidR="00C45F8C" w:rsidRPr="00100F0A" w14:paraId="10F72878" w14:textId="77777777" w:rsidTr="00100F0A">
        <w:tc>
          <w:tcPr>
            <w:tcW w:w="1653" w:type="dxa"/>
          </w:tcPr>
          <w:p w14:paraId="554A4757" w14:textId="77777777" w:rsidR="00C45F8C" w:rsidRPr="00100F0A" w:rsidRDefault="00C45F8C" w:rsidP="00C45F8C">
            <w:pPr>
              <w:rPr>
                <w:rFonts w:asciiTheme="minorHAnsi" w:hAnsiTheme="minorHAnsi" w:cs="Arial"/>
                <w:szCs w:val="20"/>
              </w:rPr>
            </w:pPr>
            <w:r w:rsidRPr="00100F0A">
              <w:rPr>
                <w:rFonts w:asciiTheme="minorHAnsi" w:hAnsiTheme="minorHAnsi" w:cs="Arial"/>
                <w:szCs w:val="20"/>
              </w:rPr>
              <w:t>Mt</w:t>
            </w:r>
          </w:p>
        </w:tc>
        <w:tc>
          <w:tcPr>
            <w:tcW w:w="7561" w:type="dxa"/>
          </w:tcPr>
          <w:p w14:paraId="1D9FA7DA" w14:textId="7EF2468A" w:rsidR="00C45F8C" w:rsidRPr="00100F0A" w:rsidRDefault="00C45F8C" w:rsidP="00C45F8C">
            <w:r w:rsidRPr="00100F0A">
              <w:t>Megatonnes (millions of tonnes)</w:t>
            </w:r>
          </w:p>
        </w:tc>
      </w:tr>
      <w:tr w:rsidR="00C45F8C" w:rsidRPr="00100F0A" w14:paraId="7ED78F4B" w14:textId="77777777" w:rsidTr="00100F0A">
        <w:tc>
          <w:tcPr>
            <w:tcW w:w="1653" w:type="dxa"/>
          </w:tcPr>
          <w:p w14:paraId="74D84800" w14:textId="77777777" w:rsidR="00C45F8C" w:rsidRPr="00100F0A" w:rsidRDefault="00C45F8C" w:rsidP="00C45F8C">
            <w:pPr>
              <w:rPr>
                <w:rFonts w:asciiTheme="minorHAnsi" w:hAnsiTheme="minorHAnsi" w:cs="Arial"/>
                <w:szCs w:val="20"/>
              </w:rPr>
            </w:pPr>
            <w:r w:rsidRPr="00100F0A">
              <w:rPr>
                <w:rFonts w:asciiTheme="minorHAnsi" w:hAnsiTheme="minorHAnsi" w:cs="Arial"/>
                <w:szCs w:val="20"/>
              </w:rPr>
              <w:t>NEPM</w:t>
            </w:r>
          </w:p>
        </w:tc>
        <w:tc>
          <w:tcPr>
            <w:tcW w:w="7561" w:type="dxa"/>
          </w:tcPr>
          <w:p w14:paraId="284F21FC" w14:textId="77777777" w:rsidR="00C45F8C" w:rsidRPr="00100F0A" w:rsidRDefault="00C45F8C" w:rsidP="00C45F8C">
            <w:pPr>
              <w:rPr>
                <w:rFonts w:asciiTheme="minorHAnsi" w:hAnsiTheme="minorHAnsi" w:cs="Arial"/>
                <w:szCs w:val="20"/>
              </w:rPr>
            </w:pPr>
            <w:r w:rsidRPr="00100F0A">
              <w:rPr>
                <w:rFonts w:asciiTheme="minorHAnsi" w:hAnsiTheme="minorHAnsi" w:cs="Arial"/>
                <w:i/>
                <w:szCs w:val="20"/>
              </w:rPr>
              <w:t>National Environment Protection (Movement of Controlled Waste between States and Territories) Measure 1998</w:t>
            </w:r>
          </w:p>
        </w:tc>
      </w:tr>
      <w:tr w:rsidR="00B404CD" w:rsidRPr="00100F0A" w14:paraId="196BD30E" w14:textId="77777777" w:rsidTr="00100F0A">
        <w:tc>
          <w:tcPr>
            <w:tcW w:w="1653" w:type="dxa"/>
          </w:tcPr>
          <w:p w14:paraId="667BB834" w14:textId="236B0F99" w:rsidR="00B404CD" w:rsidRDefault="00B404CD" w:rsidP="00C45F8C">
            <w:pPr>
              <w:rPr>
                <w:rFonts w:asciiTheme="minorHAnsi" w:hAnsiTheme="minorHAnsi" w:cs="Arial"/>
                <w:szCs w:val="20"/>
              </w:rPr>
            </w:pPr>
            <w:r>
              <w:rPr>
                <w:rFonts w:asciiTheme="minorHAnsi" w:hAnsiTheme="minorHAnsi" w:cs="Arial"/>
                <w:szCs w:val="20"/>
              </w:rPr>
              <w:t>NSW</w:t>
            </w:r>
          </w:p>
        </w:tc>
        <w:tc>
          <w:tcPr>
            <w:tcW w:w="7561" w:type="dxa"/>
          </w:tcPr>
          <w:p w14:paraId="33568652" w14:textId="5C3EF741" w:rsidR="00B404CD" w:rsidRDefault="00B404CD" w:rsidP="00C45F8C">
            <w:pPr>
              <w:rPr>
                <w:rFonts w:asciiTheme="minorHAnsi" w:hAnsiTheme="minorHAnsi"/>
                <w:color w:val="222222"/>
                <w:shd w:val="clear" w:color="auto" w:fill="FFFFFF"/>
              </w:rPr>
            </w:pPr>
            <w:r>
              <w:rPr>
                <w:rFonts w:asciiTheme="minorHAnsi" w:hAnsiTheme="minorHAnsi"/>
                <w:color w:val="222222"/>
                <w:shd w:val="clear" w:color="auto" w:fill="FFFFFF"/>
              </w:rPr>
              <w:t>New South Wales</w:t>
            </w:r>
          </w:p>
        </w:tc>
      </w:tr>
      <w:tr w:rsidR="00B404CD" w:rsidRPr="00100F0A" w14:paraId="134A46C9" w14:textId="77777777" w:rsidTr="00100F0A">
        <w:tc>
          <w:tcPr>
            <w:tcW w:w="1653" w:type="dxa"/>
          </w:tcPr>
          <w:p w14:paraId="715E5FCF" w14:textId="50243A47" w:rsidR="00B404CD" w:rsidRDefault="00B404CD" w:rsidP="00C45F8C">
            <w:pPr>
              <w:rPr>
                <w:rFonts w:asciiTheme="minorHAnsi" w:hAnsiTheme="minorHAnsi" w:cs="Arial"/>
                <w:szCs w:val="20"/>
              </w:rPr>
            </w:pPr>
            <w:r>
              <w:rPr>
                <w:rFonts w:asciiTheme="minorHAnsi" w:hAnsiTheme="minorHAnsi" w:cs="Arial"/>
                <w:szCs w:val="20"/>
              </w:rPr>
              <w:t>NT</w:t>
            </w:r>
          </w:p>
        </w:tc>
        <w:tc>
          <w:tcPr>
            <w:tcW w:w="7561" w:type="dxa"/>
          </w:tcPr>
          <w:p w14:paraId="4C8E89D3" w14:textId="1C900FBF" w:rsidR="00B404CD" w:rsidRDefault="00B404CD" w:rsidP="00C45F8C">
            <w:pPr>
              <w:rPr>
                <w:rFonts w:asciiTheme="minorHAnsi" w:hAnsiTheme="minorHAnsi"/>
                <w:color w:val="222222"/>
                <w:shd w:val="clear" w:color="auto" w:fill="FFFFFF"/>
              </w:rPr>
            </w:pPr>
            <w:r>
              <w:rPr>
                <w:rFonts w:asciiTheme="minorHAnsi" w:hAnsiTheme="minorHAnsi"/>
                <w:color w:val="222222"/>
                <w:shd w:val="clear" w:color="auto" w:fill="FFFFFF"/>
              </w:rPr>
              <w:t>Northern Territory</w:t>
            </w:r>
          </w:p>
        </w:tc>
      </w:tr>
      <w:tr w:rsidR="008C1EB6" w:rsidRPr="00100F0A" w14:paraId="74978E39" w14:textId="77777777" w:rsidTr="00100F0A">
        <w:tc>
          <w:tcPr>
            <w:tcW w:w="1653" w:type="dxa"/>
          </w:tcPr>
          <w:p w14:paraId="4F2B6DE2" w14:textId="64FB6431" w:rsidR="008C1EB6" w:rsidRDefault="008C1EB6" w:rsidP="00C45F8C">
            <w:pPr>
              <w:rPr>
                <w:rFonts w:asciiTheme="minorHAnsi" w:hAnsiTheme="minorHAnsi" w:cs="Arial"/>
                <w:szCs w:val="20"/>
              </w:rPr>
            </w:pPr>
            <w:r>
              <w:rPr>
                <w:rFonts w:asciiTheme="minorHAnsi" w:hAnsiTheme="minorHAnsi" w:cs="Arial"/>
                <w:szCs w:val="20"/>
              </w:rPr>
              <w:t>octaBDE</w:t>
            </w:r>
          </w:p>
        </w:tc>
        <w:tc>
          <w:tcPr>
            <w:tcW w:w="7561" w:type="dxa"/>
          </w:tcPr>
          <w:p w14:paraId="50234840" w14:textId="114CD9A7" w:rsidR="008C1EB6" w:rsidRDefault="00FE6828" w:rsidP="00C45F8C">
            <w:pPr>
              <w:rPr>
                <w:rFonts w:asciiTheme="minorHAnsi" w:hAnsiTheme="minorHAnsi"/>
                <w:color w:val="222222"/>
                <w:shd w:val="clear" w:color="auto" w:fill="FFFFFF"/>
              </w:rPr>
            </w:pPr>
            <w:r>
              <w:rPr>
                <w:rFonts w:asciiTheme="minorHAnsi" w:hAnsiTheme="minorHAnsi"/>
                <w:color w:val="222222"/>
                <w:shd w:val="clear" w:color="auto" w:fill="FFFFFF"/>
              </w:rPr>
              <w:t>o</w:t>
            </w:r>
            <w:r w:rsidRPr="00FE6828">
              <w:rPr>
                <w:rFonts w:asciiTheme="minorHAnsi" w:hAnsiTheme="minorHAnsi"/>
                <w:color w:val="222222"/>
                <w:shd w:val="clear" w:color="auto" w:fill="FFFFFF"/>
              </w:rPr>
              <w:t>ctabromodiphenyl ether</w:t>
            </w:r>
          </w:p>
        </w:tc>
      </w:tr>
      <w:tr w:rsidR="00765374" w:rsidRPr="00100F0A" w14:paraId="5BC7A7A2" w14:textId="77777777" w:rsidTr="00100F0A">
        <w:tc>
          <w:tcPr>
            <w:tcW w:w="1653" w:type="dxa"/>
          </w:tcPr>
          <w:p w14:paraId="3F31CBE7" w14:textId="32FF611F" w:rsidR="00765374" w:rsidRDefault="00765374" w:rsidP="00765374">
            <w:pPr>
              <w:rPr>
                <w:rFonts w:asciiTheme="minorHAnsi" w:hAnsiTheme="minorHAnsi" w:cs="Arial"/>
                <w:szCs w:val="20"/>
              </w:rPr>
            </w:pPr>
            <w:r>
              <w:rPr>
                <w:rFonts w:asciiTheme="minorHAnsi" w:hAnsiTheme="minorHAnsi" w:cs="Arial"/>
                <w:szCs w:val="20"/>
              </w:rPr>
              <w:t>OWT</w:t>
            </w:r>
          </w:p>
        </w:tc>
        <w:tc>
          <w:tcPr>
            <w:tcW w:w="7561" w:type="dxa"/>
          </w:tcPr>
          <w:p w14:paraId="74682E5D" w14:textId="0A3DA27B" w:rsidR="00765374" w:rsidRDefault="00765374" w:rsidP="00765374">
            <w:pPr>
              <w:rPr>
                <w:rFonts w:asciiTheme="minorHAnsi" w:hAnsiTheme="minorHAnsi"/>
                <w:color w:val="222222"/>
                <w:shd w:val="clear" w:color="auto" w:fill="FFFFFF"/>
              </w:rPr>
            </w:pPr>
            <w:r>
              <w:rPr>
                <w:rFonts w:asciiTheme="minorHAnsi" w:hAnsiTheme="minorHAnsi"/>
                <w:color w:val="222222"/>
                <w:shd w:val="clear" w:color="auto" w:fill="FFFFFF"/>
              </w:rPr>
              <w:t>oil/water treatment</w:t>
            </w:r>
          </w:p>
        </w:tc>
      </w:tr>
      <w:tr w:rsidR="00765374" w:rsidRPr="00100F0A" w14:paraId="17142833" w14:textId="77777777" w:rsidTr="00100F0A">
        <w:tc>
          <w:tcPr>
            <w:tcW w:w="1653" w:type="dxa"/>
          </w:tcPr>
          <w:p w14:paraId="0EAEFBEB" w14:textId="230820EF" w:rsidR="00765374" w:rsidRDefault="00765374" w:rsidP="00765374">
            <w:pPr>
              <w:rPr>
                <w:rFonts w:asciiTheme="minorHAnsi" w:hAnsiTheme="minorHAnsi" w:cs="Arial"/>
                <w:szCs w:val="20"/>
              </w:rPr>
            </w:pPr>
            <w:r>
              <w:rPr>
                <w:rFonts w:asciiTheme="minorHAnsi" w:hAnsiTheme="minorHAnsi" w:cs="Arial"/>
                <w:szCs w:val="20"/>
              </w:rPr>
              <w:t>pa</w:t>
            </w:r>
          </w:p>
        </w:tc>
        <w:tc>
          <w:tcPr>
            <w:tcW w:w="7561" w:type="dxa"/>
          </w:tcPr>
          <w:p w14:paraId="6A032E4D" w14:textId="09E43516" w:rsidR="00765374" w:rsidRDefault="00765374" w:rsidP="00765374">
            <w:pPr>
              <w:rPr>
                <w:rFonts w:asciiTheme="minorHAnsi" w:hAnsiTheme="minorHAnsi"/>
                <w:color w:val="222222"/>
                <w:shd w:val="clear" w:color="auto" w:fill="FFFFFF"/>
              </w:rPr>
            </w:pPr>
            <w:r>
              <w:rPr>
                <w:rFonts w:asciiTheme="minorHAnsi" w:hAnsiTheme="minorHAnsi"/>
                <w:color w:val="222222"/>
                <w:shd w:val="clear" w:color="auto" w:fill="FFFFFF"/>
              </w:rPr>
              <w:t>per annum</w:t>
            </w:r>
          </w:p>
        </w:tc>
      </w:tr>
      <w:tr w:rsidR="00765374" w:rsidRPr="00100F0A" w14:paraId="5B42F713" w14:textId="77777777" w:rsidTr="00100F0A">
        <w:tc>
          <w:tcPr>
            <w:tcW w:w="1653" w:type="dxa"/>
          </w:tcPr>
          <w:p w14:paraId="5227B8AE" w14:textId="38808842" w:rsidR="00765374" w:rsidRPr="00100F0A" w:rsidRDefault="00765374" w:rsidP="00765374">
            <w:pPr>
              <w:rPr>
                <w:rFonts w:asciiTheme="minorHAnsi" w:hAnsiTheme="minorHAnsi" w:cs="Arial"/>
                <w:szCs w:val="20"/>
              </w:rPr>
            </w:pPr>
            <w:r>
              <w:rPr>
                <w:rFonts w:asciiTheme="minorHAnsi" w:hAnsiTheme="minorHAnsi" w:cs="Arial"/>
                <w:szCs w:val="20"/>
              </w:rPr>
              <w:t>PBDE</w:t>
            </w:r>
          </w:p>
        </w:tc>
        <w:tc>
          <w:tcPr>
            <w:tcW w:w="7561" w:type="dxa"/>
          </w:tcPr>
          <w:p w14:paraId="58E4C413" w14:textId="1E31C4F0" w:rsidR="00765374" w:rsidRDefault="00765374" w:rsidP="00765374">
            <w:pPr>
              <w:rPr>
                <w:rFonts w:asciiTheme="minorHAnsi" w:hAnsiTheme="minorHAnsi"/>
                <w:color w:val="222222"/>
                <w:shd w:val="clear" w:color="auto" w:fill="FFFFFF"/>
              </w:rPr>
            </w:pPr>
            <w:r>
              <w:rPr>
                <w:rFonts w:asciiTheme="minorHAnsi" w:hAnsiTheme="minorHAnsi"/>
                <w:color w:val="222222"/>
                <w:shd w:val="clear" w:color="auto" w:fill="FFFFFF"/>
              </w:rPr>
              <w:t>polybrominated diphenyl ethers</w:t>
            </w:r>
          </w:p>
        </w:tc>
      </w:tr>
      <w:tr w:rsidR="00765374" w:rsidRPr="00100F0A" w14:paraId="3645AB68" w14:textId="77777777" w:rsidTr="00100F0A">
        <w:tc>
          <w:tcPr>
            <w:tcW w:w="1653" w:type="dxa"/>
          </w:tcPr>
          <w:p w14:paraId="2B089C95" w14:textId="14FC78D7" w:rsidR="00765374" w:rsidRPr="00100F0A" w:rsidRDefault="00765374" w:rsidP="00765374">
            <w:pPr>
              <w:rPr>
                <w:rFonts w:asciiTheme="minorHAnsi" w:hAnsiTheme="minorHAnsi" w:cs="Arial"/>
                <w:szCs w:val="20"/>
              </w:rPr>
            </w:pPr>
            <w:r>
              <w:rPr>
                <w:rFonts w:asciiTheme="minorHAnsi" w:hAnsiTheme="minorHAnsi" w:cs="Arial"/>
                <w:szCs w:val="20"/>
              </w:rPr>
              <w:t>pentaBDE</w:t>
            </w:r>
          </w:p>
        </w:tc>
        <w:tc>
          <w:tcPr>
            <w:tcW w:w="7561" w:type="dxa"/>
          </w:tcPr>
          <w:p w14:paraId="046BCA89" w14:textId="4859FBA6" w:rsidR="00765374" w:rsidRDefault="00765374" w:rsidP="00765374">
            <w:pPr>
              <w:rPr>
                <w:rFonts w:asciiTheme="minorHAnsi" w:hAnsiTheme="minorHAnsi"/>
                <w:color w:val="222222"/>
                <w:shd w:val="clear" w:color="auto" w:fill="FFFFFF"/>
              </w:rPr>
            </w:pPr>
            <w:r>
              <w:rPr>
                <w:rFonts w:asciiTheme="minorHAnsi" w:hAnsiTheme="minorHAnsi"/>
                <w:color w:val="222222"/>
                <w:shd w:val="clear" w:color="auto" w:fill="FFFFFF"/>
              </w:rPr>
              <w:t>p</w:t>
            </w:r>
            <w:r w:rsidRPr="00FE6828">
              <w:rPr>
                <w:rFonts w:asciiTheme="minorHAnsi" w:hAnsiTheme="minorHAnsi"/>
                <w:color w:val="222222"/>
                <w:shd w:val="clear" w:color="auto" w:fill="FFFFFF"/>
              </w:rPr>
              <w:t>entabromodiphenyl ether</w:t>
            </w:r>
          </w:p>
        </w:tc>
      </w:tr>
      <w:tr w:rsidR="00765374" w:rsidRPr="00100F0A" w14:paraId="3C80F944" w14:textId="77777777" w:rsidTr="00100F0A">
        <w:tc>
          <w:tcPr>
            <w:tcW w:w="1653" w:type="dxa"/>
          </w:tcPr>
          <w:p w14:paraId="2EA12CC7" w14:textId="77777777" w:rsidR="00765374" w:rsidRPr="00100F0A" w:rsidRDefault="00765374" w:rsidP="00765374">
            <w:pPr>
              <w:rPr>
                <w:rFonts w:asciiTheme="minorHAnsi" w:hAnsiTheme="minorHAnsi" w:cs="Arial"/>
                <w:szCs w:val="20"/>
              </w:rPr>
            </w:pPr>
            <w:r w:rsidRPr="00100F0A">
              <w:rPr>
                <w:rFonts w:asciiTheme="minorHAnsi" w:hAnsiTheme="minorHAnsi" w:cs="Arial"/>
                <w:szCs w:val="20"/>
              </w:rPr>
              <w:t>PCB</w:t>
            </w:r>
          </w:p>
        </w:tc>
        <w:tc>
          <w:tcPr>
            <w:tcW w:w="7561" w:type="dxa"/>
          </w:tcPr>
          <w:p w14:paraId="783FA3EF" w14:textId="0BAC8870" w:rsidR="00765374" w:rsidRPr="00100F0A" w:rsidRDefault="00765374" w:rsidP="00765374">
            <w:pPr>
              <w:rPr>
                <w:rFonts w:asciiTheme="minorHAnsi" w:hAnsiTheme="minorHAnsi" w:cs="Arial"/>
                <w:szCs w:val="20"/>
              </w:rPr>
            </w:pPr>
            <w:r>
              <w:rPr>
                <w:rFonts w:asciiTheme="minorHAnsi" w:hAnsiTheme="minorHAnsi"/>
                <w:color w:val="222222"/>
                <w:shd w:val="clear" w:color="auto" w:fill="FFFFFF"/>
              </w:rPr>
              <w:t>p</w:t>
            </w:r>
            <w:r w:rsidRPr="00100F0A">
              <w:rPr>
                <w:rFonts w:asciiTheme="minorHAnsi" w:hAnsiTheme="minorHAnsi" w:cs="Arial"/>
                <w:color w:val="222222"/>
                <w:shd w:val="clear" w:color="auto" w:fill="FFFFFF"/>
              </w:rPr>
              <w:t>olychlorinated biphenyl</w:t>
            </w:r>
          </w:p>
        </w:tc>
      </w:tr>
      <w:tr w:rsidR="00765374" w:rsidRPr="00100F0A" w14:paraId="2A31E068" w14:textId="77777777" w:rsidTr="00100F0A">
        <w:tc>
          <w:tcPr>
            <w:tcW w:w="1653" w:type="dxa"/>
          </w:tcPr>
          <w:p w14:paraId="4C8ABB4F" w14:textId="50F4B7C6" w:rsidR="00765374" w:rsidRPr="00100F0A" w:rsidRDefault="00765374" w:rsidP="00765374">
            <w:pPr>
              <w:rPr>
                <w:rFonts w:asciiTheme="minorHAnsi" w:hAnsiTheme="minorHAnsi" w:cs="Arial"/>
                <w:szCs w:val="20"/>
              </w:rPr>
            </w:pPr>
            <w:r w:rsidRPr="00100F0A">
              <w:rPr>
                <w:rFonts w:asciiTheme="minorHAnsi" w:hAnsiTheme="minorHAnsi" w:cs="Arial"/>
                <w:szCs w:val="20"/>
              </w:rPr>
              <w:t>PFAS</w:t>
            </w:r>
          </w:p>
        </w:tc>
        <w:tc>
          <w:tcPr>
            <w:tcW w:w="7561" w:type="dxa"/>
          </w:tcPr>
          <w:p w14:paraId="0140B379" w14:textId="74FADD1E" w:rsidR="00765374" w:rsidRPr="00100F0A" w:rsidRDefault="00765374" w:rsidP="00765374">
            <w:r>
              <w:t>p</w:t>
            </w:r>
            <w:r w:rsidRPr="00100F0A">
              <w:t>er- and poly-fluoroalkyl substances, including PFOS</w:t>
            </w:r>
          </w:p>
        </w:tc>
      </w:tr>
      <w:tr w:rsidR="00765374" w:rsidRPr="00100F0A" w14:paraId="178FF793" w14:textId="77777777" w:rsidTr="00100F0A">
        <w:tc>
          <w:tcPr>
            <w:tcW w:w="1653" w:type="dxa"/>
          </w:tcPr>
          <w:p w14:paraId="3AE77FD8" w14:textId="77777777" w:rsidR="00765374" w:rsidRPr="00100F0A" w:rsidRDefault="00765374" w:rsidP="00765374">
            <w:pPr>
              <w:rPr>
                <w:rFonts w:asciiTheme="minorHAnsi" w:hAnsiTheme="minorHAnsi" w:cs="Arial"/>
                <w:szCs w:val="20"/>
              </w:rPr>
            </w:pPr>
            <w:r w:rsidRPr="00100F0A">
              <w:rPr>
                <w:rFonts w:asciiTheme="minorHAnsi" w:hAnsiTheme="minorHAnsi" w:cs="Arial"/>
                <w:szCs w:val="20"/>
              </w:rPr>
              <w:t>PFOS</w:t>
            </w:r>
          </w:p>
        </w:tc>
        <w:tc>
          <w:tcPr>
            <w:tcW w:w="7561" w:type="dxa"/>
          </w:tcPr>
          <w:p w14:paraId="5E2048A6" w14:textId="66D882DF" w:rsidR="00765374" w:rsidRPr="00100F0A" w:rsidRDefault="00765374" w:rsidP="00765374">
            <w:pPr>
              <w:rPr>
                <w:rFonts w:asciiTheme="minorHAnsi" w:hAnsiTheme="minorHAnsi"/>
                <w:color w:val="222222"/>
                <w:shd w:val="clear" w:color="auto" w:fill="FFFFFF"/>
              </w:rPr>
            </w:pPr>
            <w:r>
              <w:t>p</w:t>
            </w:r>
            <w:hyperlink r:id="rId18" w:history="1">
              <w:r w:rsidRPr="00100F0A">
                <w:t>erfluorooctane sulfonate</w:t>
              </w:r>
            </w:hyperlink>
          </w:p>
        </w:tc>
      </w:tr>
      <w:tr w:rsidR="00765374" w:rsidRPr="00100F0A" w14:paraId="046A2851" w14:textId="77777777" w:rsidTr="00100F0A">
        <w:tc>
          <w:tcPr>
            <w:tcW w:w="1653" w:type="dxa"/>
          </w:tcPr>
          <w:p w14:paraId="09199221" w14:textId="77777777" w:rsidR="00765374" w:rsidRPr="00100F0A" w:rsidRDefault="00765374" w:rsidP="00765374">
            <w:pPr>
              <w:rPr>
                <w:rFonts w:asciiTheme="minorHAnsi" w:hAnsiTheme="minorHAnsi" w:cs="Arial"/>
                <w:szCs w:val="20"/>
              </w:rPr>
            </w:pPr>
            <w:r w:rsidRPr="00100F0A">
              <w:rPr>
                <w:rFonts w:asciiTheme="minorHAnsi" w:hAnsiTheme="minorHAnsi" w:cs="Arial"/>
                <w:szCs w:val="20"/>
              </w:rPr>
              <w:t>POP</w:t>
            </w:r>
          </w:p>
        </w:tc>
        <w:tc>
          <w:tcPr>
            <w:tcW w:w="7561" w:type="dxa"/>
          </w:tcPr>
          <w:p w14:paraId="3507B9A8" w14:textId="78BFD220" w:rsidR="00765374" w:rsidRPr="00100F0A" w:rsidRDefault="00765374" w:rsidP="00765374">
            <w:r>
              <w:rPr>
                <w:rFonts w:cs="Arial"/>
              </w:rPr>
              <w:t>p</w:t>
            </w:r>
            <w:r w:rsidRPr="00100F0A">
              <w:rPr>
                <w:rFonts w:cs="Arial"/>
              </w:rPr>
              <w:t>ersistent organic pollutant</w:t>
            </w:r>
            <w:r>
              <w:rPr>
                <w:rFonts w:cs="Arial"/>
              </w:rPr>
              <w:t>s</w:t>
            </w:r>
          </w:p>
        </w:tc>
      </w:tr>
      <w:tr w:rsidR="00765374" w:rsidRPr="00100F0A" w14:paraId="5B05DA08" w14:textId="77777777" w:rsidTr="00100F0A">
        <w:tc>
          <w:tcPr>
            <w:tcW w:w="1653" w:type="dxa"/>
          </w:tcPr>
          <w:p w14:paraId="77996D6F" w14:textId="77777777" w:rsidR="00765374" w:rsidRPr="00100F0A" w:rsidRDefault="00765374" w:rsidP="00765374">
            <w:pPr>
              <w:rPr>
                <w:rFonts w:asciiTheme="minorHAnsi" w:hAnsiTheme="minorHAnsi" w:cs="Arial"/>
                <w:szCs w:val="20"/>
              </w:rPr>
            </w:pPr>
            <w:r w:rsidRPr="00100F0A">
              <w:rPr>
                <w:rFonts w:asciiTheme="minorHAnsi" w:hAnsiTheme="minorHAnsi" w:cs="Arial"/>
                <w:szCs w:val="20"/>
              </w:rPr>
              <w:t>POP-BDE</w:t>
            </w:r>
          </w:p>
        </w:tc>
        <w:tc>
          <w:tcPr>
            <w:tcW w:w="7561" w:type="dxa"/>
          </w:tcPr>
          <w:p w14:paraId="54083C80" w14:textId="71ED0D5C" w:rsidR="00765374" w:rsidRPr="00100F0A" w:rsidRDefault="00765374" w:rsidP="00765374">
            <w:pPr>
              <w:rPr>
                <w:rFonts w:cs="Arial"/>
              </w:rPr>
            </w:pPr>
            <w:r>
              <w:t>p</w:t>
            </w:r>
            <w:r w:rsidRPr="00100F0A">
              <w:t>ersistent organic pollutants - bromodiphenyl ethers (various forms)</w:t>
            </w:r>
          </w:p>
        </w:tc>
      </w:tr>
      <w:tr w:rsidR="00765374" w:rsidRPr="00100F0A" w14:paraId="7D8D68B8" w14:textId="77777777" w:rsidTr="00100F0A">
        <w:tc>
          <w:tcPr>
            <w:tcW w:w="1653" w:type="dxa"/>
          </w:tcPr>
          <w:p w14:paraId="6CC27380" w14:textId="1735F3C9" w:rsidR="00765374" w:rsidRDefault="00765374" w:rsidP="00765374">
            <w:pPr>
              <w:rPr>
                <w:rFonts w:asciiTheme="minorHAnsi" w:hAnsiTheme="minorHAnsi"/>
                <w:szCs w:val="20"/>
              </w:rPr>
            </w:pPr>
            <w:r>
              <w:rPr>
                <w:rFonts w:asciiTheme="minorHAnsi" w:hAnsiTheme="minorHAnsi"/>
                <w:szCs w:val="20"/>
              </w:rPr>
              <w:t>PSO</w:t>
            </w:r>
          </w:p>
        </w:tc>
        <w:tc>
          <w:tcPr>
            <w:tcW w:w="7561" w:type="dxa"/>
          </w:tcPr>
          <w:p w14:paraId="7AD5F7B9" w14:textId="71908850" w:rsidR="00765374" w:rsidRPr="00371019" w:rsidRDefault="00765374" w:rsidP="00765374">
            <w:pPr>
              <w:rPr>
                <w:rFonts w:asciiTheme="minorHAnsi" w:hAnsiTheme="minorHAnsi"/>
                <w:szCs w:val="20"/>
              </w:rPr>
            </w:pPr>
            <w:r w:rsidRPr="00FD3200">
              <w:rPr>
                <w:rFonts w:asciiTheme="minorHAnsi" w:hAnsiTheme="minorHAnsi"/>
                <w:szCs w:val="20"/>
              </w:rPr>
              <w:t>Product Stewardship for Oil program</w:t>
            </w:r>
          </w:p>
        </w:tc>
      </w:tr>
      <w:tr w:rsidR="00765374" w:rsidRPr="00100F0A" w14:paraId="6209CB1A" w14:textId="77777777" w:rsidTr="00100F0A">
        <w:tc>
          <w:tcPr>
            <w:tcW w:w="1653" w:type="dxa"/>
          </w:tcPr>
          <w:p w14:paraId="686B588C" w14:textId="2262A888" w:rsidR="00765374" w:rsidRDefault="00765374" w:rsidP="00765374">
            <w:pPr>
              <w:rPr>
                <w:rFonts w:asciiTheme="minorHAnsi" w:hAnsiTheme="minorHAnsi"/>
                <w:szCs w:val="20"/>
              </w:rPr>
            </w:pPr>
            <w:r>
              <w:rPr>
                <w:rFonts w:asciiTheme="minorHAnsi" w:hAnsiTheme="minorHAnsi"/>
                <w:szCs w:val="20"/>
              </w:rPr>
              <w:t>Qld</w:t>
            </w:r>
          </w:p>
        </w:tc>
        <w:tc>
          <w:tcPr>
            <w:tcW w:w="7561" w:type="dxa"/>
          </w:tcPr>
          <w:p w14:paraId="7930D935" w14:textId="4EF7B26C" w:rsidR="00765374" w:rsidRDefault="00765374" w:rsidP="00765374">
            <w:pPr>
              <w:rPr>
                <w:rFonts w:asciiTheme="minorHAnsi" w:hAnsiTheme="minorHAnsi"/>
                <w:szCs w:val="20"/>
              </w:rPr>
            </w:pPr>
            <w:r>
              <w:rPr>
                <w:rFonts w:asciiTheme="minorHAnsi" w:hAnsiTheme="minorHAnsi"/>
                <w:szCs w:val="20"/>
              </w:rPr>
              <w:t>Queensland</w:t>
            </w:r>
          </w:p>
        </w:tc>
      </w:tr>
      <w:tr w:rsidR="00765374" w:rsidRPr="00100F0A" w14:paraId="5B0608E1" w14:textId="77777777" w:rsidTr="00100F0A">
        <w:tc>
          <w:tcPr>
            <w:tcW w:w="1653" w:type="dxa"/>
          </w:tcPr>
          <w:p w14:paraId="3969450B" w14:textId="4CEF3E1F" w:rsidR="00765374" w:rsidRDefault="00765374" w:rsidP="00765374">
            <w:pPr>
              <w:rPr>
                <w:rFonts w:asciiTheme="minorHAnsi" w:hAnsiTheme="minorHAnsi"/>
                <w:szCs w:val="20"/>
              </w:rPr>
            </w:pPr>
            <w:r>
              <w:rPr>
                <w:rFonts w:asciiTheme="minorHAnsi" w:hAnsiTheme="minorHAnsi"/>
                <w:szCs w:val="20"/>
              </w:rPr>
              <w:t>RO</w:t>
            </w:r>
          </w:p>
        </w:tc>
        <w:tc>
          <w:tcPr>
            <w:tcW w:w="7561" w:type="dxa"/>
          </w:tcPr>
          <w:p w14:paraId="168A8466" w14:textId="5E6CD6AE" w:rsidR="00765374" w:rsidRPr="00100F0A" w:rsidRDefault="00765374" w:rsidP="00765374">
            <w:pPr>
              <w:rPr>
                <w:rFonts w:asciiTheme="minorHAnsi" w:hAnsiTheme="minorHAnsi"/>
                <w:szCs w:val="20"/>
              </w:rPr>
            </w:pPr>
            <w:r>
              <w:rPr>
                <w:rFonts w:asciiTheme="minorHAnsi" w:hAnsiTheme="minorHAnsi"/>
                <w:szCs w:val="20"/>
              </w:rPr>
              <w:t>reverse osmosis</w:t>
            </w:r>
          </w:p>
        </w:tc>
      </w:tr>
      <w:tr w:rsidR="00765374" w:rsidRPr="00100F0A" w14:paraId="7611A6E3" w14:textId="77777777" w:rsidTr="00100F0A">
        <w:tc>
          <w:tcPr>
            <w:tcW w:w="1653" w:type="dxa"/>
          </w:tcPr>
          <w:p w14:paraId="2C9A5A59" w14:textId="64FD5850" w:rsidR="00765374" w:rsidRDefault="00765374" w:rsidP="00765374">
            <w:pPr>
              <w:rPr>
                <w:rFonts w:asciiTheme="minorHAnsi" w:hAnsiTheme="minorHAnsi"/>
                <w:szCs w:val="20"/>
              </w:rPr>
            </w:pPr>
            <w:r>
              <w:rPr>
                <w:rFonts w:asciiTheme="minorHAnsi" w:hAnsiTheme="minorHAnsi"/>
                <w:szCs w:val="20"/>
              </w:rPr>
              <w:t>SA</w:t>
            </w:r>
          </w:p>
        </w:tc>
        <w:tc>
          <w:tcPr>
            <w:tcW w:w="7561" w:type="dxa"/>
          </w:tcPr>
          <w:p w14:paraId="3888E04C" w14:textId="3F4CB32A" w:rsidR="00765374" w:rsidRDefault="00765374" w:rsidP="00765374">
            <w:pPr>
              <w:rPr>
                <w:rFonts w:asciiTheme="minorHAnsi" w:hAnsiTheme="minorHAnsi"/>
                <w:szCs w:val="20"/>
              </w:rPr>
            </w:pPr>
            <w:r>
              <w:rPr>
                <w:rFonts w:asciiTheme="minorHAnsi" w:hAnsiTheme="minorHAnsi"/>
                <w:szCs w:val="20"/>
              </w:rPr>
              <w:t>South Australia</w:t>
            </w:r>
          </w:p>
        </w:tc>
      </w:tr>
      <w:tr w:rsidR="00765374" w:rsidRPr="00100F0A" w14:paraId="7B47807A" w14:textId="77777777" w:rsidTr="00100F0A">
        <w:tc>
          <w:tcPr>
            <w:tcW w:w="1653" w:type="dxa"/>
          </w:tcPr>
          <w:p w14:paraId="1EA59AC5" w14:textId="1E78957C" w:rsidR="00765374" w:rsidRPr="00100F0A" w:rsidRDefault="00765374" w:rsidP="00765374">
            <w:pPr>
              <w:rPr>
                <w:rFonts w:asciiTheme="minorHAnsi" w:hAnsiTheme="minorHAnsi"/>
                <w:szCs w:val="20"/>
              </w:rPr>
            </w:pPr>
            <w:r>
              <w:rPr>
                <w:rFonts w:asciiTheme="minorHAnsi" w:hAnsiTheme="minorHAnsi"/>
                <w:szCs w:val="20"/>
              </w:rPr>
              <w:t>SPL</w:t>
            </w:r>
          </w:p>
        </w:tc>
        <w:tc>
          <w:tcPr>
            <w:tcW w:w="7561" w:type="dxa"/>
          </w:tcPr>
          <w:p w14:paraId="522F4A70" w14:textId="317709C0" w:rsidR="00765374" w:rsidRPr="00100F0A" w:rsidRDefault="00765374" w:rsidP="00765374">
            <w:pPr>
              <w:rPr>
                <w:rFonts w:asciiTheme="minorHAnsi" w:hAnsiTheme="minorHAnsi"/>
                <w:szCs w:val="20"/>
              </w:rPr>
            </w:pPr>
            <w:r>
              <w:rPr>
                <w:rFonts w:asciiTheme="minorHAnsi" w:hAnsiTheme="minorHAnsi"/>
                <w:szCs w:val="20"/>
              </w:rPr>
              <w:t>spent pot liner</w:t>
            </w:r>
          </w:p>
        </w:tc>
      </w:tr>
      <w:tr w:rsidR="00765374" w:rsidRPr="00100F0A" w14:paraId="13918E53" w14:textId="77777777" w:rsidTr="00100F0A">
        <w:tc>
          <w:tcPr>
            <w:tcW w:w="1653" w:type="dxa"/>
          </w:tcPr>
          <w:p w14:paraId="237782E7" w14:textId="21387234" w:rsidR="00765374" w:rsidRDefault="00765374" w:rsidP="00765374">
            <w:pPr>
              <w:rPr>
                <w:rFonts w:asciiTheme="minorHAnsi" w:hAnsiTheme="minorHAnsi"/>
                <w:szCs w:val="20"/>
              </w:rPr>
            </w:pPr>
            <w:r>
              <w:rPr>
                <w:rFonts w:asciiTheme="minorHAnsi" w:hAnsiTheme="minorHAnsi"/>
                <w:szCs w:val="20"/>
              </w:rPr>
              <w:t>Stockholm Convention</w:t>
            </w:r>
          </w:p>
        </w:tc>
        <w:tc>
          <w:tcPr>
            <w:tcW w:w="7561" w:type="dxa"/>
          </w:tcPr>
          <w:p w14:paraId="3AE58E51" w14:textId="5DB3817D" w:rsidR="00765374" w:rsidRPr="00100F0A" w:rsidDel="00475B57" w:rsidRDefault="00765374" w:rsidP="00765374">
            <w:pPr>
              <w:rPr>
                <w:color w:val="080808"/>
              </w:rPr>
            </w:pPr>
            <w:r w:rsidRPr="00FD3200">
              <w:rPr>
                <w:i/>
                <w:color w:val="080808"/>
              </w:rPr>
              <w:t>Stockholm Convention on Persistent Organic Pollutants</w:t>
            </w:r>
            <w:r w:rsidRPr="001E3B2E">
              <w:rPr>
                <w:color w:val="080808"/>
              </w:rPr>
              <w:t xml:space="preserve"> </w:t>
            </w:r>
          </w:p>
        </w:tc>
      </w:tr>
      <w:tr w:rsidR="00765374" w:rsidRPr="00100F0A" w14:paraId="67A3FACE" w14:textId="77777777" w:rsidTr="00100F0A">
        <w:tc>
          <w:tcPr>
            <w:tcW w:w="1653" w:type="dxa"/>
          </w:tcPr>
          <w:p w14:paraId="6F71FCD9" w14:textId="47144400" w:rsidR="00765374" w:rsidRDefault="00765374" w:rsidP="00765374">
            <w:pPr>
              <w:rPr>
                <w:rFonts w:asciiTheme="minorHAnsi" w:hAnsiTheme="minorHAnsi"/>
                <w:szCs w:val="20"/>
              </w:rPr>
            </w:pPr>
            <w:r>
              <w:rPr>
                <w:rFonts w:asciiTheme="minorHAnsi" w:hAnsiTheme="minorHAnsi"/>
                <w:szCs w:val="20"/>
              </w:rPr>
              <w:t>Tas</w:t>
            </w:r>
          </w:p>
        </w:tc>
        <w:tc>
          <w:tcPr>
            <w:tcW w:w="7561" w:type="dxa"/>
          </w:tcPr>
          <w:p w14:paraId="02FE0F77" w14:textId="6FD4BF38" w:rsidR="00765374" w:rsidRPr="00100F0A" w:rsidDel="00475B57" w:rsidRDefault="00765374" w:rsidP="00765374">
            <w:pPr>
              <w:rPr>
                <w:color w:val="080808"/>
              </w:rPr>
            </w:pPr>
            <w:r>
              <w:rPr>
                <w:color w:val="080808"/>
              </w:rPr>
              <w:t>Tasmania</w:t>
            </w:r>
          </w:p>
        </w:tc>
      </w:tr>
      <w:tr w:rsidR="00765374" w:rsidRPr="00100F0A" w14:paraId="47DC5C96" w14:textId="77777777" w:rsidTr="00100F0A">
        <w:tc>
          <w:tcPr>
            <w:tcW w:w="1653" w:type="dxa"/>
          </w:tcPr>
          <w:p w14:paraId="27C4936C" w14:textId="2C5C4B3E" w:rsidR="00765374" w:rsidRDefault="00765374" w:rsidP="00765374">
            <w:pPr>
              <w:rPr>
                <w:rFonts w:asciiTheme="minorHAnsi" w:hAnsiTheme="minorHAnsi"/>
                <w:szCs w:val="20"/>
              </w:rPr>
            </w:pPr>
            <w:r>
              <w:rPr>
                <w:rFonts w:asciiTheme="minorHAnsi" w:hAnsiTheme="minorHAnsi"/>
                <w:szCs w:val="20"/>
              </w:rPr>
              <w:t>TBBPA</w:t>
            </w:r>
          </w:p>
        </w:tc>
        <w:tc>
          <w:tcPr>
            <w:tcW w:w="7561" w:type="dxa"/>
          </w:tcPr>
          <w:p w14:paraId="3B585C5E" w14:textId="55C53CBD" w:rsidR="00765374" w:rsidRPr="00100F0A" w:rsidDel="00475B57" w:rsidRDefault="00765374" w:rsidP="00765374">
            <w:pPr>
              <w:rPr>
                <w:color w:val="080808"/>
              </w:rPr>
            </w:pPr>
            <w:r w:rsidRPr="001E3B2E">
              <w:rPr>
                <w:color w:val="080808"/>
              </w:rPr>
              <w:t>tetrabromobisphenol A</w:t>
            </w:r>
          </w:p>
        </w:tc>
      </w:tr>
      <w:tr w:rsidR="00765374" w:rsidRPr="00100F0A" w14:paraId="7B485F49" w14:textId="77777777" w:rsidTr="00100F0A">
        <w:tc>
          <w:tcPr>
            <w:tcW w:w="1653" w:type="dxa"/>
          </w:tcPr>
          <w:p w14:paraId="0118C7B4" w14:textId="5E767108" w:rsidR="00765374" w:rsidRPr="00100F0A" w:rsidRDefault="00765374" w:rsidP="00765374">
            <w:pPr>
              <w:rPr>
                <w:rFonts w:asciiTheme="minorHAnsi" w:hAnsiTheme="minorHAnsi"/>
                <w:szCs w:val="20"/>
                <w:highlight w:val="yellow"/>
              </w:rPr>
            </w:pPr>
            <w:r>
              <w:rPr>
                <w:rFonts w:asciiTheme="minorHAnsi" w:hAnsiTheme="minorHAnsi"/>
                <w:szCs w:val="20"/>
              </w:rPr>
              <w:t>TD</w:t>
            </w:r>
          </w:p>
        </w:tc>
        <w:tc>
          <w:tcPr>
            <w:tcW w:w="7561" w:type="dxa"/>
          </w:tcPr>
          <w:p w14:paraId="2EB1EFC7" w14:textId="5F1C7182" w:rsidR="00765374" w:rsidRPr="00100F0A" w:rsidRDefault="00765374" w:rsidP="00765374">
            <w:pPr>
              <w:rPr>
                <w:rFonts w:asciiTheme="minorHAnsi" w:hAnsiTheme="minorHAnsi"/>
                <w:szCs w:val="20"/>
              </w:rPr>
            </w:pPr>
            <w:r>
              <w:rPr>
                <w:rFonts w:asciiTheme="minorHAnsi" w:hAnsiTheme="minorHAnsi"/>
                <w:szCs w:val="20"/>
              </w:rPr>
              <w:t>thermal destruction</w:t>
            </w:r>
          </w:p>
        </w:tc>
      </w:tr>
      <w:tr w:rsidR="00765374" w:rsidRPr="00100F0A" w14:paraId="406283C3" w14:textId="77777777" w:rsidTr="00100F0A">
        <w:tc>
          <w:tcPr>
            <w:tcW w:w="1653" w:type="dxa"/>
          </w:tcPr>
          <w:p w14:paraId="5DCEED8C" w14:textId="523C3ADC" w:rsidR="00765374" w:rsidRPr="00100F0A" w:rsidRDefault="00765374" w:rsidP="00765374">
            <w:pPr>
              <w:rPr>
                <w:rFonts w:asciiTheme="minorHAnsi" w:hAnsiTheme="minorHAnsi"/>
                <w:szCs w:val="20"/>
              </w:rPr>
            </w:pPr>
            <w:r>
              <w:rPr>
                <w:rFonts w:asciiTheme="minorHAnsi" w:hAnsiTheme="minorHAnsi"/>
                <w:szCs w:val="20"/>
              </w:rPr>
              <w:t>t</w:t>
            </w:r>
            <w:r w:rsidRPr="00100F0A">
              <w:rPr>
                <w:rFonts w:asciiTheme="minorHAnsi" w:hAnsiTheme="minorHAnsi"/>
                <w:szCs w:val="20"/>
              </w:rPr>
              <w:t>pa</w:t>
            </w:r>
          </w:p>
        </w:tc>
        <w:tc>
          <w:tcPr>
            <w:tcW w:w="7561" w:type="dxa"/>
          </w:tcPr>
          <w:p w14:paraId="667C0F44" w14:textId="6BAADEE3" w:rsidR="00765374" w:rsidRPr="00100F0A" w:rsidRDefault="00765374" w:rsidP="00765374">
            <w:pPr>
              <w:rPr>
                <w:color w:val="080808"/>
              </w:rPr>
            </w:pPr>
            <w:r>
              <w:rPr>
                <w:color w:val="080808"/>
              </w:rPr>
              <w:t>t</w:t>
            </w:r>
            <w:r w:rsidRPr="00100F0A">
              <w:rPr>
                <w:color w:val="080808"/>
              </w:rPr>
              <w:t>onnes per annum</w:t>
            </w:r>
          </w:p>
        </w:tc>
      </w:tr>
      <w:tr w:rsidR="00765374" w:rsidRPr="00100F0A" w14:paraId="687BEF1C" w14:textId="77777777" w:rsidTr="00100F0A">
        <w:tc>
          <w:tcPr>
            <w:tcW w:w="1653" w:type="dxa"/>
          </w:tcPr>
          <w:p w14:paraId="227C6F7E" w14:textId="1535A9EC" w:rsidR="00765374" w:rsidRPr="00100F0A" w:rsidRDefault="00765374" w:rsidP="00765374">
            <w:pPr>
              <w:rPr>
                <w:rFonts w:asciiTheme="minorHAnsi" w:hAnsiTheme="minorHAnsi"/>
                <w:szCs w:val="20"/>
              </w:rPr>
            </w:pPr>
            <w:r>
              <w:rPr>
                <w:rFonts w:asciiTheme="minorHAnsi" w:hAnsiTheme="minorHAnsi"/>
                <w:szCs w:val="20"/>
              </w:rPr>
              <w:t>t</w:t>
            </w:r>
            <w:r w:rsidRPr="00100F0A">
              <w:rPr>
                <w:rFonts w:asciiTheme="minorHAnsi" w:hAnsiTheme="minorHAnsi"/>
                <w:szCs w:val="20"/>
              </w:rPr>
              <w:t>racking system</w:t>
            </w:r>
          </w:p>
        </w:tc>
        <w:tc>
          <w:tcPr>
            <w:tcW w:w="7561" w:type="dxa"/>
          </w:tcPr>
          <w:p w14:paraId="1ACDE94D" w14:textId="5A7B6FDF" w:rsidR="00765374" w:rsidRPr="00100F0A" w:rsidRDefault="00765374" w:rsidP="00765374">
            <w:pPr>
              <w:rPr>
                <w:rFonts w:asciiTheme="minorHAnsi" w:hAnsiTheme="minorHAnsi"/>
                <w:szCs w:val="20"/>
              </w:rPr>
            </w:pPr>
            <w:r>
              <w:rPr>
                <w:rFonts w:asciiTheme="minorHAnsi" w:hAnsiTheme="minorHAnsi"/>
                <w:szCs w:val="20"/>
              </w:rPr>
              <w:t>j</w:t>
            </w:r>
            <w:r w:rsidRPr="00100F0A">
              <w:rPr>
                <w:rFonts w:asciiTheme="minorHAnsi" w:hAnsiTheme="minorHAnsi"/>
                <w:szCs w:val="20"/>
              </w:rPr>
              <w:t xml:space="preserve">urisdiction-based hazardous waste tracking system, in place in </w:t>
            </w:r>
            <w:r>
              <w:rPr>
                <w:rFonts w:asciiTheme="minorHAnsi" w:hAnsiTheme="minorHAnsi"/>
                <w:szCs w:val="20"/>
              </w:rPr>
              <w:t>NSW</w:t>
            </w:r>
            <w:r w:rsidRPr="00100F0A">
              <w:rPr>
                <w:rFonts w:asciiTheme="minorHAnsi" w:hAnsiTheme="minorHAnsi"/>
                <w:szCs w:val="20"/>
              </w:rPr>
              <w:t xml:space="preserve">, </w:t>
            </w:r>
            <w:r>
              <w:rPr>
                <w:rFonts w:asciiTheme="minorHAnsi" w:hAnsiTheme="minorHAnsi"/>
                <w:szCs w:val="20"/>
              </w:rPr>
              <w:t>Qld</w:t>
            </w:r>
            <w:r w:rsidRPr="00100F0A">
              <w:rPr>
                <w:rFonts w:asciiTheme="minorHAnsi" w:hAnsiTheme="minorHAnsi"/>
                <w:szCs w:val="20"/>
              </w:rPr>
              <w:t xml:space="preserve">, </w:t>
            </w:r>
            <w:r>
              <w:rPr>
                <w:rFonts w:asciiTheme="minorHAnsi" w:hAnsiTheme="minorHAnsi"/>
                <w:szCs w:val="20"/>
              </w:rPr>
              <w:t>SA</w:t>
            </w:r>
            <w:r w:rsidRPr="00100F0A">
              <w:rPr>
                <w:rFonts w:asciiTheme="minorHAnsi" w:hAnsiTheme="minorHAnsi"/>
                <w:szCs w:val="20"/>
              </w:rPr>
              <w:t xml:space="preserve">, </w:t>
            </w:r>
            <w:r>
              <w:rPr>
                <w:rFonts w:asciiTheme="minorHAnsi" w:hAnsiTheme="minorHAnsi"/>
                <w:szCs w:val="20"/>
              </w:rPr>
              <w:t>WA</w:t>
            </w:r>
            <w:r w:rsidRPr="00100F0A">
              <w:rPr>
                <w:rFonts w:asciiTheme="minorHAnsi" w:hAnsiTheme="minorHAnsi"/>
                <w:szCs w:val="20"/>
              </w:rPr>
              <w:t xml:space="preserve"> and </w:t>
            </w:r>
            <w:r>
              <w:rPr>
                <w:rFonts w:asciiTheme="minorHAnsi" w:hAnsiTheme="minorHAnsi"/>
                <w:szCs w:val="20"/>
              </w:rPr>
              <w:t>Vic</w:t>
            </w:r>
            <w:r w:rsidRPr="00100F0A">
              <w:rPr>
                <w:rFonts w:asciiTheme="minorHAnsi" w:hAnsiTheme="minorHAnsi"/>
                <w:szCs w:val="20"/>
              </w:rPr>
              <w:t xml:space="preserve"> </w:t>
            </w:r>
          </w:p>
        </w:tc>
      </w:tr>
      <w:tr w:rsidR="00765374" w:rsidRPr="00100F0A" w14:paraId="5FAC7243" w14:textId="77777777" w:rsidTr="00100F0A">
        <w:tc>
          <w:tcPr>
            <w:tcW w:w="1653" w:type="dxa"/>
          </w:tcPr>
          <w:p w14:paraId="7590F197" w14:textId="4C7F9DEB" w:rsidR="00765374" w:rsidRPr="00100F0A" w:rsidRDefault="00765374" w:rsidP="00765374">
            <w:pPr>
              <w:rPr>
                <w:rFonts w:asciiTheme="minorHAnsi" w:hAnsiTheme="minorHAnsi" w:cs="Arial"/>
                <w:szCs w:val="20"/>
              </w:rPr>
            </w:pPr>
            <w:r>
              <w:rPr>
                <w:rFonts w:asciiTheme="minorHAnsi" w:hAnsiTheme="minorHAnsi" w:cs="Arial"/>
                <w:szCs w:val="20"/>
              </w:rPr>
              <w:t>t</w:t>
            </w:r>
            <w:r w:rsidRPr="00100F0A">
              <w:rPr>
                <w:rFonts w:asciiTheme="minorHAnsi" w:hAnsiTheme="minorHAnsi" w:cs="Arial"/>
                <w:szCs w:val="20"/>
              </w:rPr>
              <w:t>racked data</w:t>
            </w:r>
          </w:p>
        </w:tc>
        <w:tc>
          <w:tcPr>
            <w:tcW w:w="7561" w:type="dxa"/>
          </w:tcPr>
          <w:p w14:paraId="549127B0" w14:textId="56DA2D64" w:rsidR="00765374" w:rsidRPr="00100F0A" w:rsidRDefault="00765374" w:rsidP="00765374">
            <w:pPr>
              <w:rPr>
                <w:rFonts w:asciiTheme="minorHAnsi" w:hAnsiTheme="minorHAnsi" w:cs="Arial"/>
                <w:szCs w:val="20"/>
              </w:rPr>
            </w:pPr>
            <w:r>
              <w:rPr>
                <w:rFonts w:asciiTheme="minorHAnsi" w:hAnsiTheme="minorHAnsi" w:cs="Arial"/>
                <w:szCs w:val="20"/>
              </w:rPr>
              <w:t>h</w:t>
            </w:r>
            <w:r w:rsidRPr="00100F0A">
              <w:rPr>
                <w:rFonts w:asciiTheme="minorHAnsi" w:hAnsiTheme="minorHAnsi" w:cs="Arial"/>
                <w:szCs w:val="20"/>
              </w:rPr>
              <w:t>azardous waste collected under the arrangements of a tracking system</w:t>
            </w:r>
          </w:p>
        </w:tc>
      </w:tr>
      <w:tr w:rsidR="00765374" w:rsidRPr="00100F0A" w14:paraId="18F41010" w14:textId="77777777" w:rsidTr="00100F0A">
        <w:tc>
          <w:tcPr>
            <w:tcW w:w="1653" w:type="dxa"/>
          </w:tcPr>
          <w:p w14:paraId="75A860AF" w14:textId="0B0C3A2F" w:rsidR="00765374" w:rsidRPr="00100F0A" w:rsidRDefault="00765374" w:rsidP="00765374">
            <w:pPr>
              <w:rPr>
                <w:rFonts w:asciiTheme="minorHAnsi" w:hAnsiTheme="minorHAnsi"/>
                <w:szCs w:val="20"/>
              </w:rPr>
            </w:pPr>
            <w:r>
              <w:rPr>
                <w:rFonts w:asciiTheme="minorHAnsi" w:hAnsiTheme="minorHAnsi"/>
                <w:szCs w:val="20"/>
              </w:rPr>
              <w:t>t</w:t>
            </w:r>
            <w:r w:rsidRPr="00100F0A">
              <w:rPr>
                <w:rFonts w:asciiTheme="minorHAnsi" w:hAnsiTheme="minorHAnsi"/>
                <w:szCs w:val="20"/>
              </w:rPr>
              <w:t>reatment</w:t>
            </w:r>
          </w:p>
        </w:tc>
        <w:tc>
          <w:tcPr>
            <w:tcW w:w="7561" w:type="dxa"/>
          </w:tcPr>
          <w:p w14:paraId="57920C70" w14:textId="17399F10" w:rsidR="00765374" w:rsidRPr="00100F0A" w:rsidRDefault="00765374" w:rsidP="00765374">
            <w:pPr>
              <w:rPr>
                <w:rFonts w:asciiTheme="minorHAnsi" w:hAnsiTheme="minorHAnsi"/>
                <w:szCs w:val="20"/>
              </w:rPr>
            </w:pPr>
            <w:r w:rsidRPr="00100F0A">
              <w:rPr>
                <w:rFonts w:asciiTheme="minorHAnsi" w:hAnsiTheme="minorHAnsi"/>
                <w:szCs w:val="20"/>
              </w:rPr>
              <w:t xml:space="preserve">removal, reduction or immobilisation of a hazardous characteristic to enable waste to be reused, recycled, sent to an </w:t>
            </w:r>
            <w:r>
              <w:rPr>
                <w:rFonts w:asciiTheme="minorHAnsi" w:hAnsiTheme="minorHAnsi"/>
                <w:szCs w:val="20"/>
              </w:rPr>
              <w:t>e</w:t>
            </w:r>
            <w:r w:rsidRPr="00100F0A">
              <w:rPr>
                <w:rFonts w:asciiTheme="minorHAnsi" w:hAnsiTheme="minorHAnsi"/>
                <w:szCs w:val="20"/>
              </w:rPr>
              <w:t xml:space="preserve">nergy from </w:t>
            </w:r>
            <w:r>
              <w:rPr>
                <w:rFonts w:asciiTheme="minorHAnsi" w:hAnsiTheme="minorHAnsi"/>
                <w:szCs w:val="20"/>
              </w:rPr>
              <w:t>w</w:t>
            </w:r>
            <w:r w:rsidRPr="00100F0A">
              <w:rPr>
                <w:rFonts w:asciiTheme="minorHAnsi" w:hAnsiTheme="minorHAnsi"/>
                <w:szCs w:val="20"/>
              </w:rPr>
              <w:t>aste facility or disposed</w:t>
            </w:r>
          </w:p>
        </w:tc>
      </w:tr>
      <w:tr w:rsidR="00765374" w:rsidRPr="00100F0A" w14:paraId="6B811833" w14:textId="77777777" w:rsidTr="00100F0A">
        <w:tc>
          <w:tcPr>
            <w:tcW w:w="1653" w:type="dxa"/>
          </w:tcPr>
          <w:p w14:paraId="5915D2AB" w14:textId="673EFEBC" w:rsidR="00765374" w:rsidRDefault="00765374" w:rsidP="00765374">
            <w:pPr>
              <w:rPr>
                <w:rFonts w:asciiTheme="minorHAnsi" w:hAnsiTheme="minorHAnsi"/>
                <w:szCs w:val="20"/>
              </w:rPr>
            </w:pPr>
            <w:r>
              <w:rPr>
                <w:rFonts w:asciiTheme="minorHAnsi" w:hAnsiTheme="minorHAnsi"/>
                <w:szCs w:val="20"/>
              </w:rPr>
              <w:t>ULAB</w:t>
            </w:r>
          </w:p>
        </w:tc>
        <w:tc>
          <w:tcPr>
            <w:tcW w:w="7561" w:type="dxa"/>
          </w:tcPr>
          <w:p w14:paraId="353FCBFA" w14:textId="3A9FD70E" w:rsidR="00765374" w:rsidRPr="00100F0A" w:rsidDel="00601AD3" w:rsidRDefault="00765374" w:rsidP="00765374">
            <w:pPr>
              <w:rPr>
                <w:rFonts w:asciiTheme="minorHAnsi" w:hAnsiTheme="minorHAnsi"/>
                <w:szCs w:val="20"/>
              </w:rPr>
            </w:pPr>
            <w:r>
              <w:rPr>
                <w:rFonts w:asciiTheme="minorHAnsi" w:hAnsiTheme="minorHAnsi"/>
                <w:szCs w:val="20"/>
              </w:rPr>
              <w:t>used lead acid batteries</w:t>
            </w:r>
          </w:p>
        </w:tc>
      </w:tr>
      <w:tr w:rsidR="00765374" w:rsidRPr="00100F0A" w14:paraId="74CA1AAE" w14:textId="77777777" w:rsidTr="00100F0A">
        <w:tc>
          <w:tcPr>
            <w:tcW w:w="1653" w:type="dxa"/>
          </w:tcPr>
          <w:p w14:paraId="30DFA065" w14:textId="073CBA07" w:rsidR="00765374" w:rsidRDefault="00765374" w:rsidP="00765374">
            <w:pPr>
              <w:rPr>
                <w:rFonts w:asciiTheme="minorHAnsi" w:hAnsiTheme="minorHAnsi"/>
                <w:szCs w:val="20"/>
              </w:rPr>
            </w:pPr>
            <w:r>
              <w:rPr>
                <w:rFonts w:asciiTheme="minorHAnsi" w:hAnsiTheme="minorHAnsi"/>
                <w:szCs w:val="20"/>
              </w:rPr>
              <w:t>Vic</w:t>
            </w:r>
          </w:p>
        </w:tc>
        <w:tc>
          <w:tcPr>
            <w:tcW w:w="7561" w:type="dxa"/>
          </w:tcPr>
          <w:p w14:paraId="0E191F15" w14:textId="123D205D" w:rsidR="00765374" w:rsidRPr="00100F0A" w:rsidDel="00601AD3" w:rsidRDefault="00765374" w:rsidP="00765374">
            <w:pPr>
              <w:rPr>
                <w:rFonts w:asciiTheme="minorHAnsi" w:hAnsiTheme="minorHAnsi"/>
                <w:szCs w:val="20"/>
              </w:rPr>
            </w:pPr>
            <w:r>
              <w:rPr>
                <w:rFonts w:asciiTheme="minorHAnsi" w:hAnsiTheme="minorHAnsi"/>
                <w:szCs w:val="20"/>
              </w:rPr>
              <w:t>Victoria</w:t>
            </w:r>
          </w:p>
        </w:tc>
      </w:tr>
      <w:tr w:rsidR="00765374" w:rsidRPr="00100F0A" w14:paraId="022B26FC" w14:textId="77777777" w:rsidTr="00100F0A">
        <w:tc>
          <w:tcPr>
            <w:tcW w:w="1653" w:type="dxa"/>
          </w:tcPr>
          <w:p w14:paraId="33AECC26" w14:textId="63ED3DFD" w:rsidR="00765374" w:rsidRDefault="00765374" w:rsidP="00765374">
            <w:pPr>
              <w:rPr>
                <w:rFonts w:asciiTheme="minorHAnsi" w:hAnsiTheme="minorHAnsi"/>
                <w:szCs w:val="20"/>
              </w:rPr>
            </w:pPr>
            <w:r>
              <w:rPr>
                <w:rFonts w:asciiTheme="minorHAnsi" w:hAnsiTheme="minorHAnsi"/>
                <w:szCs w:val="20"/>
              </w:rPr>
              <w:t>WA</w:t>
            </w:r>
          </w:p>
        </w:tc>
        <w:tc>
          <w:tcPr>
            <w:tcW w:w="7561" w:type="dxa"/>
          </w:tcPr>
          <w:p w14:paraId="53DA8B9F" w14:textId="72B27DF3" w:rsidR="00765374" w:rsidRPr="00100F0A" w:rsidDel="00601AD3" w:rsidRDefault="00765374" w:rsidP="00765374">
            <w:pPr>
              <w:rPr>
                <w:rFonts w:asciiTheme="minorHAnsi" w:hAnsiTheme="minorHAnsi"/>
                <w:szCs w:val="20"/>
              </w:rPr>
            </w:pPr>
            <w:r>
              <w:rPr>
                <w:rFonts w:asciiTheme="minorHAnsi" w:hAnsiTheme="minorHAnsi"/>
                <w:szCs w:val="20"/>
              </w:rPr>
              <w:t>Western Australia</w:t>
            </w:r>
          </w:p>
        </w:tc>
      </w:tr>
      <w:tr w:rsidR="00765374" w:rsidRPr="00100F0A" w14:paraId="12D0FBB0" w14:textId="77777777" w:rsidTr="00100F0A">
        <w:tc>
          <w:tcPr>
            <w:tcW w:w="1653" w:type="dxa"/>
          </w:tcPr>
          <w:p w14:paraId="6618F473" w14:textId="1897EA27" w:rsidR="00765374" w:rsidRPr="00100F0A" w:rsidRDefault="00765374" w:rsidP="00765374">
            <w:pPr>
              <w:rPr>
                <w:rFonts w:asciiTheme="minorHAnsi" w:hAnsiTheme="minorHAnsi"/>
                <w:szCs w:val="20"/>
              </w:rPr>
            </w:pPr>
            <w:r>
              <w:rPr>
                <w:rFonts w:asciiTheme="minorHAnsi" w:hAnsiTheme="minorHAnsi"/>
                <w:szCs w:val="20"/>
              </w:rPr>
              <w:t>w</w:t>
            </w:r>
            <w:r w:rsidRPr="00100F0A">
              <w:rPr>
                <w:rFonts w:asciiTheme="minorHAnsi" w:hAnsiTheme="minorHAnsi"/>
                <w:szCs w:val="20"/>
              </w:rPr>
              <w:t>aste</w:t>
            </w:r>
          </w:p>
        </w:tc>
        <w:tc>
          <w:tcPr>
            <w:tcW w:w="7561" w:type="dxa"/>
          </w:tcPr>
          <w:p w14:paraId="6666DA48" w14:textId="5214880C" w:rsidR="00765374" w:rsidRPr="00100F0A" w:rsidRDefault="00765374" w:rsidP="00765374">
            <w:pPr>
              <w:rPr>
                <w:rFonts w:asciiTheme="minorHAnsi" w:hAnsiTheme="minorHAnsi"/>
                <w:szCs w:val="20"/>
              </w:rPr>
            </w:pPr>
            <w:r>
              <w:rPr>
                <w:rFonts w:asciiTheme="minorHAnsi" w:hAnsiTheme="minorHAnsi"/>
                <w:szCs w:val="20"/>
              </w:rPr>
              <w:t>M</w:t>
            </w:r>
            <w:r w:rsidRPr="00100F0A">
              <w:rPr>
                <w:rFonts w:asciiTheme="minorHAnsi" w:hAnsiTheme="minorHAnsi"/>
                <w:szCs w:val="20"/>
              </w:rPr>
              <w:t>aterials or products that are unwanted or have been discarded, rejected or abandoned. Waste includes materials or products that are recycled, converted to energy, or disposed. Materials and products that are reused (for their original or another purpose without reprocessing) are not solid waste because they remain in use.</w:t>
            </w:r>
          </w:p>
        </w:tc>
      </w:tr>
      <w:tr w:rsidR="00765374" w:rsidRPr="00100F0A" w14:paraId="2B8F3793" w14:textId="77777777" w:rsidTr="00100F0A">
        <w:tc>
          <w:tcPr>
            <w:tcW w:w="1653" w:type="dxa"/>
          </w:tcPr>
          <w:p w14:paraId="76544841" w14:textId="78B40C66" w:rsidR="00765374" w:rsidRPr="00100F0A" w:rsidRDefault="00765374" w:rsidP="00765374">
            <w:pPr>
              <w:rPr>
                <w:rFonts w:asciiTheme="minorHAnsi" w:hAnsiTheme="minorHAnsi"/>
                <w:szCs w:val="20"/>
              </w:rPr>
            </w:pPr>
            <w:r>
              <w:rPr>
                <w:rFonts w:asciiTheme="minorHAnsi" w:hAnsiTheme="minorHAnsi"/>
                <w:szCs w:val="20"/>
              </w:rPr>
              <w:t>w</w:t>
            </w:r>
            <w:r w:rsidRPr="00100F0A">
              <w:rPr>
                <w:rFonts w:asciiTheme="minorHAnsi" w:hAnsiTheme="minorHAnsi"/>
                <w:szCs w:val="20"/>
              </w:rPr>
              <w:t>aste arisings</w:t>
            </w:r>
          </w:p>
        </w:tc>
        <w:tc>
          <w:tcPr>
            <w:tcW w:w="7561" w:type="dxa"/>
          </w:tcPr>
          <w:p w14:paraId="1A64E418" w14:textId="10E427F6" w:rsidR="00765374" w:rsidRPr="00100F0A" w:rsidRDefault="00765374" w:rsidP="00765374">
            <w:pPr>
              <w:rPr>
                <w:rFonts w:asciiTheme="minorHAnsi" w:hAnsiTheme="minorHAnsi"/>
                <w:szCs w:val="20"/>
              </w:rPr>
            </w:pPr>
            <w:r w:rsidRPr="00100F0A">
              <w:t xml:space="preserve">waste </w:t>
            </w:r>
            <w:r>
              <w:t xml:space="preserve">which </w:t>
            </w:r>
            <w:r w:rsidRPr="00100F0A">
              <w:t>causes demand for processing, storage, treatment or disposal infrastructure</w:t>
            </w:r>
          </w:p>
        </w:tc>
      </w:tr>
      <w:tr w:rsidR="00765374" w:rsidRPr="00100F0A" w14:paraId="6757ABD6" w14:textId="77777777" w:rsidTr="00100F0A">
        <w:tc>
          <w:tcPr>
            <w:tcW w:w="1653" w:type="dxa"/>
          </w:tcPr>
          <w:p w14:paraId="3053C77D" w14:textId="23AD2874" w:rsidR="00765374" w:rsidRPr="00100F0A" w:rsidRDefault="00765374" w:rsidP="00765374">
            <w:pPr>
              <w:rPr>
                <w:rFonts w:asciiTheme="minorHAnsi" w:hAnsiTheme="minorHAnsi" w:cs="Arial"/>
                <w:szCs w:val="20"/>
              </w:rPr>
            </w:pPr>
            <w:r>
              <w:rPr>
                <w:rFonts w:asciiTheme="minorHAnsi" w:hAnsiTheme="minorHAnsi"/>
                <w:szCs w:val="20"/>
              </w:rPr>
              <w:t>w</w:t>
            </w:r>
            <w:r w:rsidRPr="00100F0A">
              <w:rPr>
                <w:rFonts w:asciiTheme="minorHAnsi" w:hAnsiTheme="minorHAnsi"/>
                <w:szCs w:val="20"/>
              </w:rPr>
              <w:t xml:space="preserve">aste </w:t>
            </w:r>
            <w:r>
              <w:rPr>
                <w:rFonts w:asciiTheme="minorHAnsi" w:hAnsiTheme="minorHAnsi"/>
                <w:szCs w:val="20"/>
              </w:rPr>
              <w:t>c</w:t>
            </w:r>
            <w:r w:rsidRPr="00100F0A">
              <w:rPr>
                <w:rFonts w:asciiTheme="minorHAnsi" w:hAnsiTheme="minorHAnsi"/>
                <w:szCs w:val="20"/>
              </w:rPr>
              <w:t>ode</w:t>
            </w:r>
          </w:p>
        </w:tc>
        <w:tc>
          <w:tcPr>
            <w:tcW w:w="7561" w:type="dxa"/>
          </w:tcPr>
          <w:p w14:paraId="1918CC05" w14:textId="267BD538" w:rsidR="00765374" w:rsidRPr="00100F0A" w:rsidRDefault="00765374" w:rsidP="00765374">
            <w:pPr>
              <w:rPr>
                <w:rFonts w:asciiTheme="minorHAnsi" w:hAnsiTheme="minorHAnsi" w:cs="Arial"/>
                <w:szCs w:val="20"/>
              </w:rPr>
            </w:pPr>
            <w:r>
              <w:rPr>
                <w:rFonts w:asciiTheme="minorHAnsi" w:hAnsiTheme="minorHAnsi"/>
                <w:szCs w:val="20"/>
              </w:rPr>
              <w:t>t</w:t>
            </w:r>
            <w:r w:rsidRPr="00100F0A">
              <w:rPr>
                <w:rFonts w:asciiTheme="minorHAnsi" w:hAnsiTheme="minorHAnsi"/>
                <w:szCs w:val="20"/>
              </w:rPr>
              <w:t>hree-digit code used by jurisdictions to describe NEPM-listed waste</w:t>
            </w:r>
          </w:p>
        </w:tc>
      </w:tr>
      <w:tr w:rsidR="00765374" w:rsidRPr="00100F0A" w14:paraId="4A39FD52" w14:textId="77777777" w:rsidTr="00100F0A">
        <w:tc>
          <w:tcPr>
            <w:tcW w:w="1653" w:type="dxa"/>
          </w:tcPr>
          <w:p w14:paraId="296830A5" w14:textId="77AF9BA8" w:rsidR="00765374" w:rsidRPr="00100F0A" w:rsidRDefault="00765374" w:rsidP="00765374">
            <w:pPr>
              <w:rPr>
                <w:rFonts w:asciiTheme="minorHAnsi" w:hAnsiTheme="minorHAnsi" w:cs="Arial"/>
                <w:szCs w:val="20"/>
              </w:rPr>
            </w:pPr>
            <w:r>
              <w:rPr>
                <w:rFonts w:asciiTheme="minorHAnsi" w:hAnsiTheme="minorHAnsi" w:cs="Arial"/>
                <w:szCs w:val="20"/>
              </w:rPr>
              <w:t>w</w:t>
            </w:r>
            <w:r w:rsidRPr="00100F0A">
              <w:rPr>
                <w:rFonts w:asciiTheme="minorHAnsi" w:hAnsiTheme="minorHAnsi" w:cs="Arial"/>
                <w:szCs w:val="20"/>
              </w:rPr>
              <w:t>aste fate</w:t>
            </w:r>
          </w:p>
        </w:tc>
        <w:tc>
          <w:tcPr>
            <w:tcW w:w="7561" w:type="dxa"/>
          </w:tcPr>
          <w:p w14:paraId="1D1F061B" w14:textId="228C53F2" w:rsidR="00765374" w:rsidRPr="00100F0A" w:rsidRDefault="00765374" w:rsidP="00765374">
            <w:pPr>
              <w:rPr>
                <w:rFonts w:asciiTheme="minorHAnsi" w:hAnsiTheme="minorHAnsi" w:cs="Arial"/>
                <w:szCs w:val="20"/>
              </w:rPr>
            </w:pPr>
            <w:r w:rsidRPr="00100F0A">
              <w:rPr>
                <w:rFonts w:asciiTheme="minorHAnsi" w:hAnsiTheme="minorHAnsi" w:cs="Arial"/>
                <w:szCs w:val="20"/>
              </w:rPr>
              <w:t>the</w:t>
            </w:r>
            <w:r>
              <w:rPr>
                <w:rFonts w:asciiTheme="minorHAnsi" w:hAnsiTheme="minorHAnsi" w:cs="Arial"/>
                <w:szCs w:val="20"/>
              </w:rPr>
              <w:t xml:space="preserve"> end</w:t>
            </w:r>
            <w:r w:rsidRPr="00100F0A">
              <w:rPr>
                <w:rFonts w:asciiTheme="minorHAnsi" w:hAnsiTheme="minorHAnsi" w:cs="Arial"/>
                <w:szCs w:val="20"/>
              </w:rPr>
              <w:t xml:space="preserve"> destination of waste</w:t>
            </w:r>
            <w:r>
              <w:rPr>
                <w:rFonts w:asciiTheme="minorHAnsi" w:hAnsiTheme="minorHAnsi" w:cs="Arial"/>
                <w:szCs w:val="20"/>
              </w:rPr>
              <w:t xml:space="preserve">, including </w:t>
            </w:r>
            <w:r w:rsidRPr="00100F0A">
              <w:rPr>
                <w:rFonts w:asciiTheme="minorHAnsi" w:hAnsiTheme="minorHAnsi" w:cs="Arial"/>
                <w:szCs w:val="20"/>
              </w:rPr>
              <w:t xml:space="preserve">reuse, treatment, recycling, energy recovery, and disposal </w:t>
            </w:r>
          </w:p>
        </w:tc>
      </w:tr>
      <w:tr w:rsidR="00765374" w:rsidRPr="00100F0A" w14:paraId="311E20B1" w14:textId="77777777" w:rsidTr="00100F0A">
        <w:tc>
          <w:tcPr>
            <w:tcW w:w="1653" w:type="dxa"/>
          </w:tcPr>
          <w:p w14:paraId="05709FAA" w14:textId="51A34998" w:rsidR="00765374" w:rsidRDefault="00765374" w:rsidP="00765374">
            <w:pPr>
              <w:rPr>
                <w:rFonts w:asciiTheme="minorHAnsi" w:hAnsiTheme="minorHAnsi" w:cs="Arial"/>
                <w:szCs w:val="20"/>
              </w:rPr>
            </w:pPr>
            <w:r>
              <w:rPr>
                <w:rFonts w:asciiTheme="minorHAnsi" w:hAnsiTheme="minorHAnsi"/>
                <w:szCs w:val="20"/>
              </w:rPr>
              <w:t>w</w:t>
            </w:r>
            <w:r w:rsidRPr="00100F0A">
              <w:rPr>
                <w:rFonts w:asciiTheme="minorHAnsi" w:hAnsiTheme="minorHAnsi"/>
                <w:szCs w:val="20"/>
              </w:rPr>
              <w:t>aste group</w:t>
            </w:r>
          </w:p>
        </w:tc>
        <w:tc>
          <w:tcPr>
            <w:tcW w:w="7561" w:type="dxa"/>
          </w:tcPr>
          <w:p w14:paraId="4CAA0211" w14:textId="474A208C" w:rsidR="00765374" w:rsidRPr="00100F0A" w:rsidDel="00C1324E" w:rsidRDefault="00765374" w:rsidP="00765374">
            <w:pPr>
              <w:rPr>
                <w:rFonts w:asciiTheme="minorHAnsi" w:hAnsiTheme="minorHAnsi" w:cs="Arial"/>
                <w:szCs w:val="20"/>
              </w:rPr>
            </w:pPr>
            <w:r>
              <w:rPr>
                <w:rFonts w:asciiTheme="minorHAnsi" w:hAnsiTheme="minorHAnsi"/>
                <w:szCs w:val="20"/>
              </w:rPr>
              <w:t>t</w:t>
            </w:r>
            <w:r w:rsidRPr="00100F0A">
              <w:rPr>
                <w:rFonts w:asciiTheme="minorHAnsi" w:hAnsiTheme="minorHAnsi"/>
                <w:szCs w:val="20"/>
              </w:rPr>
              <w:t xml:space="preserve">he </w:t>
            </w:r>
            <w:r>
              <w:rPr>
                <w:rFonts w:asciiTheme="minorHAnsi" w:hAnsiTheme="minorHAnsi"/>
                <w:szCs w:val="20"/>
              </w:rPr>
              <w:t xml:space="preserve">groups of hazardous waste with similar characteristics which are used for </w:t>
            </w:r>
            <w:r w:rsidRPr="00100F0A">
              <w:rPr>
                <w:rFonts w:asciiTheme="minorHAnsi" w:hAnsiTheme="minorHAnsi"/>
                <w:szCs w:val="20"/>
              </w:rPr>
              <w:t>projections of waste arising (</w:t>
            </w:r>
            <w:r>
              <w:rPr>
                <w:rFonts w:asciiTheme="minorHAnsi" w:hAnsiTheme="minorHAnsi"/>
                <w:szCs w:val="20"/>
              </w:rPr>
              <w:t xml:space="preserve">the groups </w:t>
            </w:r>
            <w:r w:rsidRPr="00100F0A">
              <w:rPr>
                <w:rFonts w:asciiTheme="minorHAnsi" w:hAnsiTheme="minorHAnsi"/>
                <w:szCs w:val="20"/>
              </w:rPr>
              <w:t xml:space="preserve">closely follow the NEPM categories) </w:t>
            </w:r>
          </w:p>
        </w:tc>
      </w:tr>
      <w:tr w:rsidR="00765374" w:rsidRPr="00100F0A" w14:paraId="2DB3B35F" w14:textId="77777777" w:rsidTr="00100F0A">
        <w:tc>
          <w:tcPr>
            <w:tcW w:w="1653" w:type="dxa"/>
          </w:tcPr>
          <w:p w14:paraId="4AA2F375" w14:textId="6C2DF882" w:rsidR="00765374" w:rsidRPr="00100F0A" w:rsidRDefault="00765374" w:rsidP="00765374">
            <w:pPr>
              <w:rPr>
                <w:rFonts w:asciiTheme="minorHAnsi" w:hAnsiTheme="minorHAnsi" w:cs="Arial"/>
                <w:szCs w:val="20"/>
              </w:rPr>
            </w:pPr>
            <w:r>
              <w:rPr>
                <w:rFonts w:asciiTheme="minorHAnsi" w:hAnsiTheme="minorHAnsi" w:cs="Arial"/>
                <w:szCs w:val="20"/>
              </w:rPr>
              <w:t>w</w:t>
            </w:r>
            <w:r w:rsidRPr="00100F0A">
              <w:rPr>
                <w:rFonts w:asciiTheme="minorHAnsi" w:hAnsiTheme="minorHAnsi" w:cs="Arial"/>
                <w:szCs w:val="20"/>
              </w:rPr>
              <w:t>aste management method</w:t>
            </w:r>
          </w:p>
        </w:tc>
        <w:tc>
          <w:tcPr>
            <w:tcW w:w="7561" w:type="dxa"/>
          </w:tcPr>
          <w:p w14:paraId="6862B481" w14:textId="7C9FEF87" w:rsidR="00765374" w:rsidRPr="00100F0A" w:rsidRDefault="00765374" w:rsidP="00765374">
            <w:pPr>
              <w:rPr>
                <w:rFonts w:asciiTheme="minorHAnsi" w:hAnsiTheme="minorHAnsi" w:cs="Arial"/>
                <w:szCs w:val="20"/>
              </w:rPr>
            </w:pPr>
            <w:r>
              <w:rPr>
                <w:rFonts w:asciiTheme="minorHAnsi" w:hAnsiTheme="minorHAnsi" w:cs="Arial"/>
                <w:szCs w:val="20"/>
              </w:rPr>
              <w:t>T</w:t>
            </w:r>
            <w:r w:rsidRPr="00100F0A">
              <w:rPr>
                <w:rFonts w:asciiTheme="minorHAnsi" w:hAnsiTheme="minorHAnsi" w:cs="Arial"/>
                <w:szCs w:val="20"/>
              </w:rPr>
              <w:t xml:space="preserve">he waste management </w:t>
            </w:r>
            <w:r>
              <w:rPr>
                <w:rFonts w:asciiTheme="minorHAnsi" w:hAnsiTheme="minorHAnsi" w:cs="Arial"/>
                <w:szCs w:val="20"/>
              </w:rPr>
              <w:t xml:space="preserve">type </w:t>
            </w:r>
            <w:r w:rsidRPr="00100F0A">
              <w:rPr>
                <w:rFonts w:asciiTheme="minorHAnsi" w:hAnsiTheme="minorHAnsi" w:cs="Arial"/>
                <w:szCs w:val="20"/>
              </w:rPr>
              <w:t>provided at the site (e.g. recycling energy recovery, treatment, disposal, short-term storage or transfer, long-term storage). Some sites provide more than one waste management method</w:t>
            </w:r>
            <w:r>
              <w:rPr>
                <w:rFonts w:asciiTheme="minorHAnsi" w:hAnsiTheme="minorHAnsi" w:cs="Arial"/>
                <w:szCs w:val="20"/>
              </w:rPr>
              <w:t>.</w:t>
            </w:r>
          </w:p>
        </w:tc>
      </w:tr>
      <w:tr w:rsidR="00765374" w:rsidRPr="00100F0A" w14:paraId="4BA5F16B" w14:textId="77777777" w:rsidTr="00100F0A">
        <w:tc>
          <w:tcPr>
            <w:tcW w:w="1653" w:type="dxa"/>
          </w:tcPr>
          <w:p w14:paraId="2DB7FF84" w14:textId="77777777" w:rsidR="00765374" w:rsidRPr="00100F0A" w:rsidRDefault="00765374" w:rsidP="00765374">
            <w:pPr>
              <w:rPr>
                <w:rFonts w:asciiTheme="minorHAnsi" w:hAnsiTheme="minorHAnsi"/>
                <w:szCs w:val="20"/>
              </w:rPr>
            </w:pPr>
            <w:r w:rsidRPr="00100F0A">
              <w:rPr>
                <w:rFonts w:asciiTheme="minorHAnsi" w:hAnsiTheme="minorHAnsi"/>
                <w:szCs w:val="20"/>
              </w:rPr>
              <w:t>WEEE</w:t>
            </w:r>
          </w:p>
        </w:tc>
        <w:tc>
          <w:tcPr>
            <w:tcW w:w="7561" w:type="dxa"/>
          </w:tcPr>
          <w:p w14:paraId="06D244CC" w14:textId="1EB51032" w:rsidR="00765374" w:rsidRPr="00100F0A" w:rsidRDefault="00765374" w:rsidP="00765374">
            <w:pPr>
              <w:rPr>
                <w:rFonts w:asciiTheme="minorHAnsi" w:hAnsiTheme="minorHAnsi"/>
                <w:szCs w:val="20"/>
              </w:rPr>
            </w:pPr>
            <w:r>
              <w:rPr>
                <w:rFonts w:asciiTheme="minorHAnsi" w:hAnsiTheme="minorHAnsi"/>
                <w:szCs w:val="20"/>
              </w:rPr>
              <w:t>w</w:t>
            </w:r>
            <w:r w:rsidRPr="00100F0A">
              <w:rPr>
                <w:rFonts w:asciiTheme="minorHAnsi" w:hAnsiTheme="minorHAnsi"/>
                <w:szCs w:val="20"/>
              </w:rPr>
              <w:t>aste electrical and electronic equipment</w:t>
            </w:r>
          </w:p>
        </w:tc>
      </w:tr>
      <w:tr w:rsidR="00765374" w:rsidRPr="00100F0A" w14:paraId="1C859F71" w14:textId="77777777" w:rsidTr="00100F0A">
        <w:tc>
          <w:tcPr>
            <w:tcW w:w="1653" w:type="dxa"/>
          </w:tcPr>
          <w:p w14:paraId="14268950" w14:textId="3525D790" w:rsidR="00765374" w:rsidRPr="00100F0A" w:rsidRDefault="00765374" w:rsidP="00765374">
            <w:pPr>
              <w:rPr>
                <w:rFonts w:asciiTheme="minorHAnsi" w:hAnsiTheme="minorHAnsi"/>
                <w:szCs w:val="20"/>
              </w:rPr>
            </w:pPr>
            <w:r>
              <w:rPr>
                <w:rFonts w:asciiTheme="minorHAnsi" w:hAnsiTheme="minorHAnsi"/>
                <w:szCs w:val="20"/>
              </w:rPr>
              <w:t>XPS</w:t>
            </w:r>
          </w:p>
        </w:tc>
        <w:tc>
          <w:tcPr>
            <w:tcW w:w="7561" w:type="dxa"/>
          </w:tcPr>
          <w:p w14:paraId="256E88DF" w14:textId="7E068821" w:rsidR="00765374" w:rsidRDefault="00765374" w:rsidP="00765374">
            <w:pPr>
              <w:rPr>
                <w:rFonts w:asciiTheme="minorHAnsi" w:hAnsiTheme="minorHAnsi"/>
                <w:szCs w:val="20"/>
              </w:rPr>
            </w:pPr>
            <w:r w:rsidRPr="001E3B2E">
              <w:rPr>
                <w:rFonts w:asciiTheme="minorHAnsi" w:hAnsiTheme="minorHAnsi"/>
                <w:szCs w:val="20"/>
              </w:rPr>
              <w:t>Extruded Polystyrene</w:t>
            </w:r>
          </w:p>
        </w:tc>
      </w:tr>
      <w:tr w:rsidR="00765374" w:rsidRPr="00100F0A" w14:paraId="13578B47" w14:textId="77777777" w:rsidTr="00100F0A">
        <w:tc>
          <w:tcPr>
            <w:tcW w:w="1653" w:type="dxa"/>
          </w:tcPr>
          <w:p w14:paraId="2259CA23" w14:textId="21F97C44" w:rsidR="00765374" w:rsidRDefault="00765374" w:rsidP="00765374">
            <w:pPr>
              <w:rPr>
                <w:rFonts w:asciiTheme="minorHAnsi" w:hAnsiTheme="minorHAnsi"/>
                <w:szCs w:val="20"/>
              </w:rPr>
            </w:pPr>
            <w:r>
              <w:rPr>
                <w:rFonts w:asciiTheme="minorHAnsi" w:hAnsiTheme="minorHAnsi"/>
                <w:szCs w:val="20"/>
              </w:rPr>
              <w:t>yr</w:t>
            </w:r>
          </w:p>
        </w:tc>
        <w:tc>
          <w:tcPr>
            <w:tcW w:w="7561" w:type="dxa"/>
          </w:tcPr>
          <w:p w14:paraId="69AC5576" w14:textId="6200C2EA" w:rsidR="00765374" w:rsidRDefault="00765374" w:rsidP="00765374">
            <w:pPr>
              <w:rPr>
                <w:rFonts w:asciiTheme="minorHAnsi" w:hAnsiTheme="minorHAnsi"/>
                <w:szCs w:val="20"/>
              </w:rPr>
            </w:pPr>
            <w:r>
              <w:rPr>
                <w:rFonts w:asciiTheme="minorHAnsi" w:hAnsiTheme="minorHAnsi"/>
                <w:szCs w:val="20"/>
              </w:rPr>
              <w:t>year</w:t>
            </w:r>
          </w:p>
        </w:tc>
      </w:tr>
    </w:tbl>
    <w:p w14:paraId="1433C1B9" w14:textId="56C41A1C" w:rsidR="00E47311" w:rsidRPr="00100F0A" w:rsidRDefault="00E47311" w:rsidP="00A71807">
      <w:pPr>
        <w:pStyle w:val="BodyText"/>
        <w:sectPr w:rsidR="00E47311" w:rsidRPr="00100F0A" w:rsidSect="0077452F">
          <w:footerReference w:type="default" r:id="rId19"/>
          <w:headerReference w:type="first" r:id="rId20"/>
          <w:pgSz w:w="11906" w:h="16838" w:code="9"/>
          <w:pgMar w:top="1440" w:right="1077" w:bottom="1440" w:left="1797" w:header="709" w:footer="397" w:gutter="0"/>
          <w:pgNumType w:fmt="lowerRoman" w:start="1"/>
          <w:cols w:space="708"/>
          <w:docGrid w:linePitch="360"/>
        </w:sectPr>
      </w:pPr>
    </w:p>
    <w:p w14:paraId="75532167" w14:textId="69FF9B48" w:rsidR="00484474" w:rsidRDefault="00484474" w:rsidP="00047A75">
      <w:pPr>
        <w:pStyle w:val="Heading1"/>
        <w:numPr>
          <w:ilvl w:val="0"/>
          <w:numId w:val="0"/>
        </w:numPr>
        <w:ind w:left="720" w:hanging="720"/>
      </w:pPr>
      <w:bookmarkStart w:id="3" w:name="_Toc13225521"/>
      <w:bookmarkStart w:id="4" w:name="_Toc482109891"/>
      <w:bookmarkStart w:id="5" w:name="_Toc485135574"/>
      <w:r>
        <w:t>At a glance</w:t>
      </w:r>
      <w:bookmarkEnd w:id="3"/>
    </w:p>
    <w:p w14:paraId="0F90084E" w14:textId="45FDCF8E" w:rsidR="00C27200" w:rsidRDefault="00C27200" w:rsidP="00C27200">
      <w:pPr>
        <w:pStyle w:val="BodyText"/>
      </w:pPr>
      <w:r>
        <w:t>In 2016-17, 6.1 Mt of hazardous waste arose in Australia. A</w:t>
      </w:r>
      <w:r w:rsidRPr="00100F0A">
        <w:t xml:space="preserve">round 2.3 </w:t>
      </w:r>
      <w:r>
        <w:t>Mt</w:t>
      </w:r>
      <w:r w:rsidRPr="00100F0A">
        <w:t xml:space="preserve"> of </w:t>
      </w:r>
      <w:r>
        <w:t xml:space="preserve">these </w:t>
      </w:r>
      <w:r w:rsidRPr="00100F0A">
        <w:t>waste</w:t>
      </w:r>
      <w:r>
        <w:t>s</w:t>
      </w:r>
      <w:r w:rsidRPr="00100F0A">
        <w:t xml:space="preserve"> were managed by 18</w:t>
      </w:r>
      <w:r>
        <w:t>5</w:t>
      </w:r>
      <w:r w:rsidR="001D22FE">
        <w:t xml:space="preserve"> specialist</w:t>
      </w:r>
      <w:r w:rsidRPr="00100F0A">
        <w:t xml:space="preserve"> </w:t>
      </w:r>
      <w:r w:rsidR="001D22FE">
        <w:t xml:space="preserve">facilities that </w:t>
      </w:r>
      <w:r w:rsidRPr="00100F0A">
        <w:t>have an installed capacity to manage 3.</w:t>
      </w:r>
      <w:r>
        <w:t>1</w:t>
      </w:r>
      <w:r w:rsidRPr="00100F0A">
        <w:t xml:space="preserve"> </w:t>
      </w:r>
      <w:r>
        <w:t>Mt</w:t>
      </w:r>
      <w:r w:rsidRPr="00100F0A">
        <w:t xml:space="preserve"> of hazardous waste. </w:t>
      </w:r>
      <w:r>
        <w:t xml:space="preserve">The remaining 3.8 Mt of waste arisings were managed </w:t>
      </w:r>
      <w:r w:rsidR="001D22FE">
        <w:t>in</w:t>
      </w:r>
      <w:r>
        <w:t xml:space="preserve"> infrastructure such as composting facilities and landfills</w:t>
      </w:r>
      <w:r w:rsidR="001D22FE">
        <w:t xml:space="preserve"> that receive mostly non-hazardous waste but are also</w:t>
      </w:r>
      <w:r>
        <w:t xml:space="preserve"> licen</w:t>
      </w:r>
      <w:r w:rsidR="001D22FE">
        <w:t>s</w:t>
      </w:r>
      <w:r>
        <w:t>ed to receive</w:t>
      </w:r>
      <w:r w:rsidR="001D22FE">
        <w:t xml:space="preserve"> low risk hazardous wastes (asbestos, low-level contaminated soils and/or</w:t>
      </w:r>
      <w:r w:rsidR="00C67F2E">
        <w:t xml:space="preserve"> end-of-life</w:t>
      </w:r>
      <w:r w:rsidR="001D22FE">
        <w:t xml:space="preserve"> tyres)</w:t>
      </w:r>
      <w:r>
        <w:t>.</w:t>
      </w:r>
    </w:p>
    <w:p w14:paraId="745CD794" w14:textId="77777777" w:rsidR="001D22FE" w:rsidRPr="00100F0A" w:rsidRDefault="001D22FE" w:rsidP="00C27200">
      <w:pPr>
        <w:pStyle w:val="BodyText"/>
      </w:pPr>
    </w:p>
    <w:p w14:paraId="17C3BBB8" w14:textId="2672D8C9" w:rsidR="00C27200" w:rsidRPr="00100F0A" w:rsidRDefault="00C27200" w:rsidP="00C27200">
      <w:pPr>
        <w:pStyle w:val="BodyText"/>
      </w:pPr>
      <w:r>
        <w:t xml:space="preserve">Hazardous waste arisings are projected to </w:t>
      </w:r>
      <w:r w:rsidR="00C67F2E">
        <w:t>be</w:t>
      </w:r>
      <w:r>
        <w:t xml:space="preserve"> between 5.5 and 15.4 </w:t>
      </w:r>
      <w:r w:rsidRPr="00100F0A">
        <w:t xml:space="preserve">Mt </w:t>
      </w:r>
      <w:r>
        <w:t xml:space="preserve">by </w:t>
      </w:r>
      <w:r w:rsidRPr="00100F0A">
        <w:t>2036-37</w:t>
      </w:r>
      <w:r>
        <w:t xml:space="preserve"> with </w:t>
      </w:r>
      <w:r w:rsidR="00C67F2E">
        <w:t>a</w:t>
      </w:r>
      <w:r>
        <w:t xml:space="preserve"> ‘best’ estimate of 8.9 Mt.</w:t>
      </w:r>
      <w:r w:rsidR="00C67F2E">
        <w:t xml:space="preserve"> The wide range reflects high levels of uncertainty in projecting the quantities of several large-scale waste streams.</w:t>
      </w:r>
      <w:r>
        <w:t xml:space="preserve"> </w:t>
      </w:r>
      <w:r w:rsidR="00C67F2E">
        <w:t>T</w:t>
      </w:r>
      <w:r w:rsidRPr="00100F0A">
        <w:t>he high scenario</w:t>
      </w:r>
      <w:r w:rsidR="00C67F2E">
        <w:t>, in particular,</w:t>
      </w:r>
      <w:r w:rsidRPr="00100F0A">
        <w:t xml:space="preserve"> </w:t>
      </w:r>
      <w:r w:rsidR="00C67F2E">
        <w:t>assumes</w:t>
      </w:r>
      <w:r w:rsidRPr="00100F0A">
        <w:t>:</w:t>
      </w:r>
    </w:p>
    <w:p w14:paraId="4B054AC0" w14:textId="43C88B97" w:rsidR="00C27200" w:rsidRPr="00100F0A" w:rsidRDefault="003C74C9" w:rsidP="00C27200">
      <w:pPr>
        <w:pStyle w:val="Bullet1"/>
      </w:pPr>
      <w:r>
        <w:t>high</w:t>
      </w:r>
      <w:r w:rsidR="00450C1F">
        <w:t xml:space="preserve"> range estimates of the large</w:t>
      </w:r>
      <w:r>
        <w:t xml:space="preserve"> </w:t>
      </w:r>
      <w:r w:rsidR="00C27200" w:rsidRPr="00100F0A">
        <w:t xml:space="preserve">contaminated soil and asbestos </w:t>
      </w:r>
      <w:r w:rsidR="00450C1F">
        <w:t>waste streams</w:t>
      </w:r>
    </w:p>
    <w:p w14:paraId="2511777A" w14:textId="4D3BEB9E" w:rsidR="00C27200" w:rsidRDefault="00C27200" w:rsidP="00C27200">
      <w:pPr>
        <w:pStyle w:val="Bullet1"/>
      </w:pPr>
      <w:r w:rsidRPr="00100F0A">
        <w:t>releases from storage</w:t>
      </w:r>
      <w:r w:rsidR="003C74C9">
        <w:t>s</w:t>
      </w:r>
      <w:r>
        <w:t>/stockpil</w:t>
      </w:r>
      <w:r w:rsidR="00C67F2E">
        <w:t>es</w:t>
      </w:r>
    </w:p>
    <w:p w14:paraId="2A2140FD" w14:textId="2215724E" w:rsidR="00C27200" w:rsidRPr="00100F0A" w:rsidRDefault="00C27200" w:rsidP="00C27200">
      <w:pPr>
        <w:pStyle w:val="Bullet1"/>
      </w:pPr>
      <w:r>
        <w:t xml:space="preserve">that </w:t>
      </w:r>
      <w:r w:rsidR="00C67F2E">
        <w:t>from</w:t>
      </w:r>
      <w:r>
        <w:t xml:space="preserve"> 2023</w:t>
      </w:r>
      <w:r w:rsidR="00C67F2E">
        <w:t>,</w:t>
      </w:r>
      <w:r>
        <w:t xml:space="preserve"> non-toxic salts from the </w:t>
      </w:r>
      <w:r w:rsidR="00C67F2E">
        <w:t>coal-seam gas (CSG)</w:t>
      </w:r>
      <w:r>
        <w:t xml:space="preserve"> industry are no longer stored onsite</w:t>
      </w:r>
    </w:p>
    <w:p w14:paraId="58C6F031" w14:textId="296BC93E" w:rsidR="00C27200" w:rsidRDefault="00C27200" w:rsidP="00C27200">
      <w:pPr>
        <w:pStyle w:val="Bullet1"/>
      </w:pPr>
      <w:r w:rsidRPr="00100F0A">
        <w:t>projected large-scale growth</w:t>
      </w:r>
      <w:r w:rsidR="00C67621">
        <w:t xml:space="preserve"> of</w:t>
      </w:r>
      <w:r w:rsidRPr="00100F0A">
        <w:t xml:space="preserve"> PFAS contaminated soil and PFOS contaminated biosolids, from 2020</w:t>
      </w:r>
      <w:r>
        <w:t>.</w:t>
      </w:r>
      <w:r w:rsidRPr="00100F0A">
        <w:t xml:space="preserve"> </w:t>
      </w:r>
    </w:p>
    <w:p w14:paraId="7C045E8B" w14:textId="77777777" w:rsidR="003C74C9" w:rsidRDefault="003C74C9" w:rsidP="00C27200">
      <w:pPr>
        <w:rPr>
          <w:color w:val="080808"/>
        </w:rPr>
      </w:pPr>
    </w:p>
    <w:p w14:paraId="00E67DB0" w14:textId="1B699AA0" w:rsidR="00C27200" w:rsidRDefault="00C27200" w:rsidP="00C67F2E">
      <w:r w:rsidRPr="00100F0A">
        <w:rPr>
          <w:color w:val="080808"/>
        </w:rPr>
        <w:t xml:space="preserve">Over the next few years an increase of around </w:t>
      </w:r>
      <w:r>
        <w:rPr>
          <w:color w:val="080808"/>
        </w:rPr>
        <w:t>1 Mt</w:t>
      </w:r>
      <w:r w:rsidRPr="00100F0A">
        <w:rPr>
          <w:color w:val="080808"/>
        </w:rPr>
        <w:t xml:space="preserve"> of capacity is expected to be added to Australia’s </w:t>
      </w:r>
      <w:r w:rsidR="00C67F2E">
        <w:rPr>
          <w:color w:val="080808"/>
        </w:rPr>
        <w:t xml:space="preserve">management </w:t>
      </w:r>
      <w:r w:rsidRPr="00100F0A">
        <w:rPr>
          <w:color w:val="080808"/>
        </w:rPr>
        <w:t>capacity across the infrastructure groups of:</w:t>
      </w:r>
      <w:r w:rsidR="003C74C9">
        <w:rPr>
          <w:color w:val="080808"/>
        </w:rPr>
        <w:t xml:space="preserve"> </w:t>
      </w:r>
      <w:r w:rsidRPr="00100F0A">
        <w:t xml:space="preserve">e-waste, lead, mercury, </w:t>
      </w:r>
      <w:r w:rsidR="00C67F2E">
        <w:t>end-of-life tyres (EOLTs)</w:t>
      </w:r>
      <w:r w:rsidR="00C67F2E" w:rsidRPr="00100F0A">
        <w:t xml:space="preserve"> </w:t>
      </w:r>
      <w:r w:rsidRPr="00100F0A">
        <w:t>and</w:t>
      </w:r>
      <w:r w:rsidR="00C67F2E">
        <w:t xml:space="preserve"> spent </w:t>
      </w:r>
      <w:r w:rsidR="00895CD4">
        <w:t>pot liner</w:t>
      </w:r>
      <w:r w:rsidR="00C67F2E">
        <w:t xml:space="preserve"> (</w:t>
      </w:r>
      <w:r>
        <w:t>SPL</w:t>
      </w:r>
      <w:r w:rsidR="00C67F2E">
        <w:t>)</w:t>
      </w:r>
      <w:r w:rsidRPr="00100F0A">
        <w:t xml:space="preserve"> recycling facilities</w:t>
      </w:r>
      <w:r w:rsidR="003C74C9">
        <w:t>;</w:t>
      </w:r>
      <w:r w:rsidR="00C67F2E">
        <w:t xml:space="preserve"> chemical or physical treatment (</w:t>
      </w:r>
      <w:r w:rsidRPr="00100F0A">
        <w:t>CPT</w:t>
      </w:r>
      <w:r w:rsidR="00C67F2E">
        <w:t>) facilities</w:t>
      </w:r>
      <w:r w:rsidRPr="00100F0A">
        <w:t xml:space="preserve"> and soil treatment facilities</w:t>
      </w:r>
      <w:r w:rsidR="003C74C9">
        <w:t xml:space="preserve">; </w:t>
      </w:r>
      <w:r w:rsidR="009E57C8">
        <w:t>persistent organic pollutant (</w:t>
      </w:r>
      <w:r>
        <w:t>POP</w:t>
      </w:r>
      <w:r w:rsidR="009E57C8">
        <w:t>)</w:t>
      </w:r>
      <w:r w:rsidRPr="00100F0A">
        <w:t xml:space="preserve"> and clinical waste thermal destruction facilities</w:t>
      </w:r>
      <w:r w:rsidR="003C74C9">
        <w:t xml:space="preserve">; and </w:t>
      </w:r>
      <w:r>
        <w:t>l</w:t>
      </w:r>
      <w:r w:rsidRPr="00100F0A">
        <w:t>ong-term isolation facilities.</w:t>
      </w:r>
    </w:p>
    <w:p w14:paraId="27868B6E" w14:textId="77777777" w:rsidR="003C74C9" w:rsidRDefault="003C74C9" w:rsidP="00C27200">
      <w:pPr>
        <w:pStyle w:val="BodyText"/>
      </w:pPr>
    </w:p>
    <w:p w14:paraId="2369BF76" w14:textId="786B8833" w:rsidR="00C27200" w:rsidRDefault="009E57C8" w:rsidP="00C27200">
      <w:pPr>
        <w:pStyle w:val="BodyText"/>
      </w:pPr>
      <w:r>
        <w:t>Waste i</w:t>
      </w:r>
      <w:r w:rsidR="00C27200" w:rsidRPr="00100F0A">
        <w:t>ndustry</w:t>
      </w:r>
      <w:r>
        <w:t xml:space="preserve"> operators</w:t>
      </w:r>
      <w:r w:rsidR="00C27200" w:rsidRPr="00100F0A">
        <w:t xml:space="preserve"> </w:t>
      </w:r>
      <w:r w:rsidR="00C27200">
        <w:t xml:space="preserve">raised important issues </w:t>
      </w:r>
      <w:r w:rsidR="00C27200" w:rsidRPr="00100F0A">
        <w:t>during consultation</w:t>
      </w:r>
      <w:r w:rsidR="003C74C9">
        <w:t xml:space="preserve">, </w:t>
      </w:r>
      <w:r w:rsidR="00C27200">
        <w:t>listed below:</w:t>
      </w:r>
    </w:p>
    <w:p w14:paraId="2AE2CFD6" w14:textId="2366A6E2" w:rsidR="00C27200" w:rsidRPr="00100F0A" w:rsidRDefault="009E57C8" w:rsidP="00C27200">
      <w:pPr>
        <w:pStyle w:val="Bullet1"/>
      </w:pPr>
      <w:r w:rsidRPr="00100F0A">
        <w:t xml:space="preserve">falling </w:t>
      </w:r>
      <w:r w:rsidR="00C27200" w:rsidRPr="00100F0A">
        <w:t>demand for hazardous waste infrastructure</w:t>
      </w:r>
      <w:r w:rsidR="00C27200">
        <w:t xml:space="preserve"> risks a non-viable core infrastructure supply</w:t>
      </w:r>
    </w:p>
    <w:p w14:paraId="5A4C0089" w14:textId="1AB6248D" w:rsidR="00C27200" w:rsidRPr="00100F0A" w:rsidRDefault="009E57C8" w:rsidP="00C27200">
      <w:pPr>
        <w:pStyle w:val="Bullet1"/>
      </w:pPr>
      <w:r w:rsidRPr="00100F0A">
        <w:t xml:space="preserve">stockpiles </w:t>
      </w:r>
      <w:r w:rsidR="00C27200" w:rsidRPr="00100F0A">
        <w:t xml:space="preserve">of </w:t>
      </w:r>
      <w:r w:rsidR="00C27200">
        <w:t>SPL</w:t>
      </w:r>
      <w:r w:rsidR="00C27200" w:rsidRPr="00100F0A">
        <w:t xml:space="preserve">, mercury waste and </w:t>
      </w:r>
      <w:r>
        <w:t>EOLTs</w:t>
      </w:r>
      <w:r w:rsidR="00C67F2E">
        <w:t xml:space="preserve"> </w:t>
      </w:r>
      <w:r w:rsidR="00C27200">
        <w:t xml:space="preserve">are a significant issue and risk </w:t>
      </w:r>
    </w:p>
    <w:p w14:paraId="30BD5FA9" w14:textId="59945D80" w:rsidR="00C27200" w:rsidRPr="00100F0A" w:rsidRDefault="009E57C8" w:rsidP="00C27200">
      <w:pPr>
        <w:pStyle w:val="Bullet1"/>
      </w:pPr>
      <w:r w:rsidRPr="00100F0A">
        <w:t xml:space="preserve">inconsistent </w:t>
      </w:r>
      <w:r w:rsidR="00C27200" w:rsidRPr="00100F0A">
        <w:t>landfill levies driv</w:t>
      </w:r>
      <w:r>
        <w:t>e</w:t>
      </w:r>
      <w:r w:rsidR="00C27200" w:rsidRPr="00100F0A">
        <w:t xml:space="preserve"> interstate disposal of hazardous wastes </w:t>
      </w:r>
    </w:p>
    <w:p w14:paraId="6C0BB2B4" w14:textId="08A2FED8" w:rsidR="00C27200" w:rsidRPr="00100F0A" w:rsidRDefault="009E57C8" w:rsidP="00C27200">
      <w:pPr>
        <w:pStyle w:val="Bullet1"/>
      </w:pPr>
      <w:r w:rsidRPr="00100F0A">
        <w:t xml:space="preserve">inconsistent </w:t>
      </w:r>
      <w:r w:rsidR="00C27200" w:rsidRPr="00100F0A">
        <w:t>landfill levies undermin</w:t>
      </w:r>
      <w:r>
        <w:t>e</w:t>
      </w:r>
      <w:r w:rsidR="00C27200" w:rsidRPr="00100F0A">
        <w:t xml:space="preserve"> investment in recovery or treatment of hazardous wastes </w:t>
      </w:r>
    </w:p>
    <w:p w14:paraId="17D39B34" w14:textId="31CBE6F4" w:rsidR="00C27200" w:rsidRPr="00100F0A" w:rsidRDefault="009E57C8" w:rsidP="00C27200">
      <w:pPr>
        <w:pStyle w:val="Bullet1"/>
      </w:pPr>
      <w:r w:rsidRPr="00100F0A">
        <w:t xml:space="preserve">inconsistent </w:t>
      </w:r>
      <w:r w:rsidR="00C27200" w:rsidRPr="00100F0A">
        <w:t xml:space="preserve">landfilling pre-treatment requirements create unfair </w:t>
      </w:r>
      <w:r>
        <w:t>market competition</w:t>
      </w:r>
      <w:r w:rsidR="00C27200">
        <w:t xml:space="preserve"> </w:t>
      </w:r>
      <w:r>
        <w:t>across different</w:t>
      </w:r>
      <w:r w:rsidR="00C27200">
        <w:t xml:space="preserve"> jurisdictions</w:t>
      </w:r>
    </w:p>
    <w:p w14:paraId="2BF5DE74" w14:textId="36BB1150" w:rsidR="00C27200" w:rsidRPr="00100F0A" w:rsidRDefault="009E57C8" w:rsidP="00C27200">
      <w:pPr>
        <w:pStyle w:val="Bullet1"/>
      </w:pPr>
      <w:r w:rsidRPr="00100F0A">
        <w:t xml:space="preserve">regulatory </w:t>
      </w:r>
      <w:r w:rsidR="00C27200" w:rsidRPr="00100F0A">
        <w:t xml:space="preserve">settings </w:t>
      </w:r>
      <w:r>
        <w:t>should</w:t>
      </w:r>
      <w:r w:rsidR="00C27200" w:rsidRPr="00100F0A">
        <w:t xml:space="preserve"> support </w:t>
      </w:r>
      <w:r w:rsidR="00C27200">
        <w:t xml:space="preserve">large </w:t>
      </w:r>
      <w:r w:rsidR="00C27200" w:rsidRPr="00100F0A">
        <w:t>infrastructure investment</w:t>
      </w:r>
      <w:r w:rsidR="00C27200">
        <w:t xml:space="preserve"> that is required</w:t>
      </w:r>
    </w:p>
    <w:p w14:paraId="1263C356" w14:textId="64B5D5AB" w:rsidR="00C27200" w:rsidRPr="00100F0A" w:rsidRDefault="009E57C8" w:rsidP="00C27200">
      <w:pPr>
        <w:pStyle w:val="Bullet1"/>
      </w:pPr>
      <w:r w:rsidRPr="00100F0A">
        <w:t xml:space="preserve">additional </w:t>
      </w:r>
      <w:r w:rsidR="00C27200" w:rsidRPr="00100F0A">
        <w:t xml:space="preserve">infrastructure </w:t>
      </w:r>
      <w:r w:rsidR="003C74C9">
        <w:t xml:space="preserve">is </w:t>
      </w:r>
      <w:r w:rsidR="00C27200" w:rsidRPr="00100F0A">
        <w:t>needed</w:t>
      </w:r>
      <w:r w:rsidR="003C74C9">
        <w:t xml:space="preserve"> to manage reverse osmosis brine wastes</w:t>
      </w:r>
      <w:r>
        <w:t xml:space="preserve"> from the CSG industry</w:t>
      </w:r>
      <w:r w:rsidR="003C74C9">
        <w:t xml:space="preserve"> </w:t>
      </w:r>
    </w:p>
    <w:p w14:paraId="184980C1" w14:textId="678860C4" w:rsidR="00C27200" w:rsidRPr="00100F0A" w:rsidRDefault="009E57C8" w:rsidP="00C27200">
      <w:pPr>
        <w:pStyle w:val="Bullet1"/>
      </w:pPr>
      <w:r w:rsidRPr="00100F0A">
        <w:t xml:space="preserve">asbestos </w:t>
      </w:r>
      <w:r w:rsidR="00C27200" w:rsidRPr="00100F0A">
        <w:t>disposal cost</w:t>
      </w:r>
      <w:r w:rsidR="00C27200">
        <w:t>s are high</w:t>
      </w:r>
      <w:r w:rsidR="00C27200" w:rsidRPr="00100F0A">
        <w:t xml:space="preserve"> and access</w:t>
      </w:r>
      <w:r w:rsidR="00C27200">
        <w:t xml:space="preserve"> to disposal points is getting harder</w:t>
      </w:r>
    </w:p>
    <w:p w14:paraId="56DD1CAA" w14:textId="3BC6E730" w:rsidR="00C27200" w:rsidRDefault="009E57C8" w:rsidP="00C27200">
      <w:pPr>
        <w:pStyle w:val="Bullet1"/>
      </w:pPr>
      <w:r w:rsidRPr="00100F0A">
        <w:t xml:space="preserve">significant </w:t>
      </w:r>
      <w:r w:rsidR="00C27200" w:rsidRPr="00100F0A">
        <w:t>infrastructure</w:t>
      </w:r>
      <w:r>
        <w:t xml:space="preserve"> for destroying POPs is</w:t>
      </w:r>
      <w:r w:rsidR="00C27200" w:rsidRPr="00100F0A">
        <w:t xml:space="preserve"> coming online</w:t>
      </w:r>
      <w:r w:rsidR="00C27200">
        <w:t xml:space="preserve"> in 2018 in response to PFAS risks</w:t>
      </w:r>
    </w:p>
    <w:p w14:paraId="48265C12" w14:textId="77777777" w:rsidR="009E57C8" w:rsidRDefault="009E57C8" w:rsidP="00C27200">
      <w:pPr>
        <w:pStyle w:val="Bullet1"/>
      </w:pPr>
      <w:r>
        <w:t xml:space="preserve">for </w:t>
      </w:r>
      <w:r w:rsidR="00C27200" w:rsidRPr="00100F0A">
        <w:t>PFAS contaminated waters</w:t>
      </w:r>
    </w:p>
    <w:p w14:paraId="7BA19A91" w14:textId="171605A4" w:rsidR="00C27200" w:rsidRPr="00100F0A" w:rsidRDefault="00C27200" w:rsidP="009E57C8">
      <w:pPr>
        <w:pStyle w:val="Bullet2"/>
      </w:pPr>
      <w:r w:rsidRPr="00100F0A">
        <w:t xml:space="preserve">contaminant threshold requirements </w:t>
      </w:r>
      <w:r w:rsidR="009E57C8">
        <w:t>are</w:t>
      </w:r>
      <w:r w:rsidR="003C74C9">
        <w:t xml:space="preserve"> </w:t>
      </w:r>
      <w:r w:rsidRPr="00100F0A">
        <w:t>need</w:t>
      </w:r>
      <w:r w:rsidR="009E57C8">
        <w:t>ed</w:t>
      </w:r>
    </w:p>
    <w:p w14:paraId="01B3B3B3" w14:textId="6B594FB8" w:rsidR="00C27200" w:rsidRPr="00100F0A" w:rsidRDefault="00C27200" w:rsidP="009E57C8">
      <w:pPr>
        <w:pStyle w:val="Bullet2"/>
      </w:pPr>
      <w:r w:rsidRPr="00100F0A">
        <w:t>filtration media destruction requirements are inconsistent</w:t>
      </w:r>
    </w:p>
    <w:p w14:paraId="03C518AF" w14:textId="1F80C75B" w:rsidR="009A2B13" w:rsidRDefault="009E57C8" w:rsidP="00C27200">
      <w:pPr>
        <w:pStyle w:val="Bullet1"/>
      </w:pPr>
      <w:r>
        <w:t>d</w:t>
      </w:r>
      <w:r w:rsidR="00C27200" w:rsidRPr="00100F0A">
        <w:t>istance</w:t>
      </w:r>
      <w:r>
        <w:t>s</w:t>
      </w:r>
      <w:r w:rsidR="00C27200" w:rsidRPr="00100F0A">
        <w:t xml:space="preserve"> and low tonnages of hazardous waste </w:t>
      </w:r>
      <w:r>
        <w:t>are</w:t>
      </w:r>
      <w:r w:rsidR="00C27200" w:rsidRPr="00100F0A">
        <w:t xml:space="preserve"> a major challenge</w:t>
      </w:r>
      <w:r>
        <w:t xml:space="preserve"> in WA, in particular</w:t>
      </w:r>
    </w:p>
    <w:p w14:paraId="660199CA" w14:textId="60AA7D96" w:rsidR="00C27200" w:rsidRDefault="009E57C8" w:rsidP="00891D88">
      <w:pPr>
        <w:pStyle w:val="Bullet1"/>
      </w:pPr>
      <w:r>
        <w:t>a</w:t>
      </w:r>
      <w:r w:rsidR="009A2B13" w:rsidRPr="009A2B13">
        <w:t>dditional infrastructure</w:t>
      </w:r>
      <w:r>
        <w:t xml:space="preserve"> is needed</w:t>
      </w:r>
      <w:r w:rsidR="009A2B13" w:rsidRPr="009A2B13">
        <w:t xml:space="preserve"> for recovering </w:t>
      </w:r>
      <w:r w:rsidR="009A2B13">
        <w:t xml:space="preserve">hazardous </w:t>
      </w:r>
      <w:r w:rsidR="009A2B13" w:rsidRPr="009A2B13">
        <w:t>packaging</w:t>
      </w:r>
      <w:r>
        <w:t>.</w:t>
      </w:r>
    </w:p>
    <w:p w14:paraId="1ABAAC34" w14:textId="77777777" w:rsidR="003C74C9" w:rsidRDefault="003C74C9" w:rsidP="00C27200">
      <w:pPr>
        <w:pStyle w:val="BodyText"/>
      </w:pPr>
    </w:p>
    <w:p w14:paraId="7098FDFE" w14:textId="7318C0D7" w:rsidR="002F5AA8" w:rsidRDefault="00C27200" w:rsidP="00C27200">
      <w:pPr>
        <w:pStyle w:val="BodyText"/>
      </w:pPr>
      <w:r>
        <w:t xml:space="preserve">The following </w:t>
      </w:r>
      <w:r w:rsidR="009A2B13">
        <w:t xml:space="preserve">table summarises the amount of waste sent to each </w:t>
      </w:r>
      <w:r>
        <w:t xml:space="preserve">infrastructure </w:t>
      </w:r>
      <w:r w:rsidR="009A2B13">
        <w:t>group</w:t>
      </w:r>
      <w:r w:rsidR="00DB5D5D">
        <w:t xml:space="preserve">, nationally, </w:t>
      </w:r>
      <w:r w:rsidR="009A2B13">
        <w:t xml:space="preserve">and when the infrastructure </w:t>
      </w:r>
      <w:r>
        <w:t>capacities are projected to be exceeded</w:t>
      </w:r>
      <w:r w:rsidR="009A2B13">
        <w:t>.</w:t>
      </w:r>
      <w:r>
        <w:t xml:space="preserve"> </w:t>
      </w:r>
    </w:p>
    <w:p w14:paraId="53B8561A" w14:textId="61CBF497" w:rsidR="002F5AA8" w:rsidRDefault="002F5AA8" w:rsidP="00C27200">
      <w:pPr>
        <w:pStyle w:val="BodyText"/>
      </w:pPr>
    </w:p>
    <w:p w14:paraId="68733A31" w14:textId="278C54E0" w:rsidR="002F5AA8" w:rsidRDefault="002F5AA8" w:rsidP="00C27200">
      <w:pPr>
        <w:pStyle w:val="BodyText"/>
      </w:pPr>
    </w:p>
    <w:p w14:paraId="4DA0DE81" w14:textId="2F84DF7E" w:rsidR="002F5AA8" w:rsidRDefault="002F5AA8" w:rsidP="00C27200">
      <w:pPr>
        <w:pStyle w:val="BodyText"/>
      </w:pPr>
    </w:p>
    <w:p w14:paraId="177EBC71" w14:textId="74100274" w:rsidR="002F5AA8" w:rsidRDefault="002F5AA8" w:rsidP="00C27200">
      <w:pPr>
        <w:pStyle w:val="BodyText"/>
      </w:pPr>
    </w:p>
    <w:p w14:paraId="253B2051" w14:textId="685386C9" w:rsidR="002F5AA8" w:rsidRDefault="002F5AA8" w:rsidP="00C27200">
      <w:pPr>
        <w:pStyle w:val="BodyText"/>
      </w:pPr>
    </w:p>
    <w:p w14:paraId="2AA41507" w14:textId="417EC9CD" w:rsidR="002F5AA8" w:rsidRPr="009E57C8" w:rsidRDefault="009E57C8" w:rsidP="009E57C8">
      <w:pPr>
        <w:pStyle w:val="Caption"/>
      </w:pPr>
      <w:r w:rsidRPr="009E57C8">
        <w:t>Table</w:t>
      </w:r>
      <w:r>
        <w:t xml:space="preserve"> G1</w:t>
      </w:r>
      <w:r w:rsidRPr="009E57C8">
        <w:tab/>
      </w:r>
      <w:r w:rsidRPr="009E57C8">
        <w:rPr>
          <w:iCs w:val="0"/>
        </w:rPr>
        <w:t>National assessment of projected arisings vs infrastructure capacity</w:t>
      </w:r>
    </w:p>
    <w:tbl>
      <w:tblPr>
        <w:tblW w:w="9639" w:type="dxa"/>
        <w:tblInd w:w="-5" w:type="dxa"/>
        <w:tblLook w:val="04A0" w:firstRow="1" w:lastRow="0" w:firstColumn="1" w:lastColumn="0" w:noHBand="0" w:noVBand="1"/>
      </w:tblPr>
      <w:tblGrid>
        <w:gridCol w:w="3933"/>
        <w:gridCol w:w="846"/>
        <w:gridCol w:w="931"/>
        <w:gridCol w:w="974"/>
        <w:gridCol w:w="985"/>
        <w:gridCol w:w="985"/>
        <w:gridCol w:w="985"/>
      </w:tblGrid>
      <w:tr w:rsidR="009A2B13" w:rsidRPr="009E57C8" w14:paraId="7C43F5EA" w14:textId="77777777" w:rsidTr="009D734D">
        <w:trPr>
          <w:trHeight w:val="409"/>
          <w:tblHeader/>
        </w:trPr>
        <w:tc>
          <w:tcPr>
            <w:tcW w:w="3933" w:type="dxa"/>
            <w:tcBorders>
              <w:top w:val="single" w:sz="4" w:space="0" w:color="BFBFBF"/>
              <w:left w:val="single" w:sz="4" w:space="0" w:color="BFBFBF"/>
              <w:bottom w:val="nil"/>
              <w:right w:val="nil"/>
            </w:tcBorders>
            <w:shd w:val="clear" w:color="000000" w:fill="C5D9F1"/>
            <w:vAlign w:val="center"/>
            <w:hideMark/>
          </w:tcPr>
          <w:p w14:paraId="799C12EA" w14:textId="77777777" w:rsidR="009A2B13" w:rsidRPr="009E57C8" w:rsidRDefault="009A2B13" w:rsidP="00CF3752">
            <w:pPr>
              <w:jc w:val="center"/>
              <w:rPr>
                <w:rFonts w:asciiTheme="minorHAnsi" w:eastAsia="Times New Roman" w:hAnsiTheme="minorHAnsi" w:cstheme="minorHAnsi"/>
                <w:b/>
                <w:bCs/>
                <w:color w:val="000000"/>
                <w:sz w:val="20"/>
                <w:szCs w:val="20"/>
                <w:lang w:eastAsia="en-AU"/>
              </w:rPr>
            </w:pPr>
            <w:r w:rsidRPr="009E57C8">
              <w:rPr>
                <w:rFonts w:asciiTheme="minorHAnsi" w:eastAsia="Times New Roman" w:hAnsiTheme="minorHAnsi" w:cstheme="minorHAnsi"/>
                <w:b/>
                <w:bCs/>
                <w:color w:val="000000"/>
                <w:sz w:val="20"/>
                <w:szCs w:val="20"/>
                <w:lang w:eastAsia="en-AU"/>
              </w:rPr>
              <w:t>Infrastructure group</w:t>
            </w:r>
          </w:p>
        </w:tc>
        <w:tc>
          <w:tcPr>
            <w:tcW w:w="846" w:type="dxa"/>
            <w:tcBorders>
              <w:top w:val="single" w:sz="4" w:space="0" w:color="BFBFBF"/>
              <w:left w:val="nil"/>
              <w:bottom w:val="nil"/>
              <w:right w:val="nil"/>
            </w:tcBorders>
            <w:shd w:val="clear" w:color="000000" w:fill="C5D9F1"/>
            <w:vAlign w:val="center"/>
            <w:hideMark/>
          </w:tcPr>
          <w:p w14:paraId="738E9151" w14:textId="77777777" w:rsidR="009A2B13" w:rsidRPr="009E57C8" w:rsidRDefault="009A2B13" w:rsidP="00CF3752">
            <w:pPr>
              <w:jc w:val="center"/>
              <w:rPr>
                <w:rFonts w:asciiTheme="minorHAnsi" w:eastAsia="Times New Roman" w:hAnsiTheme="minorHAnsi" w:cstheme="minorHAnsi"/>
                <w:b/>
                <w:bCs/>
                <w:color w:val="000000"/>
                <w:sz w:val="20"/>
                <w:szCs w:val="20"/>
                <w:lang w:eastAsia="en-AU"/>
              </w:rPr>
            </w:pPr>
            <w:r w:rsidRPr="009E57C8">
              <w:rPr>
                <w:rFonts w:asciiTheme="minorHAnsi" w:eastAsia="Times New Roman" w:hAnsiTheme="minorHAnsi" w:cstheme="minorHAnsi"/>
                <w:b/>
                <w:bCs/>
                <w:color w:val="000000"/>
                <w:sz w:val="20"/>
                <w:szCs w:val="20"/>
                <w:lang w:eastAsia="en-AU"/>
              </w:rPr>
              <w:t>16-17 arisings</w:t>
            </w:r>
          </w:p>
        </w:tc>
        <w:tc>
          <w:tcPr>
            <w:tcW w:w="931" w:type="dxa"/>
            <w:tcBorders>
              <w:top w:val="single" w:sz="4" w:space="0" w:color="BFBFBF"/>
              <w:left w:val="nil"/>
              <w:bottom w:val="nil"/>
              <w:right w:val="nil"/>
            </w:tcBorders>
            <w:shd w:val="clear" w:color="000000" w:fill="C5D9F1"/>
            <w:vAlign w:val="center"/>
            <w:hideMark/>
          </w:tcPr>
          <w:p w14:paraId="3F69C96F" w14:textId="77777777" w:rsidR="009A2B13" w:rsidRPr="009E57C8" w:rsidRDefault="009A2B13" w:rsidP="00CF3752">
            <w:pPr>
              <w:jc w:val="center"/>
              <w:rPr>
                <w:rFonts w:asciiTheme="minorHAnsi" w:eastAsia="Times New Roman" w:hAnsiTheme="minorHAnsi" w:cstheme="minorHAnsi"/>
                <w:b/>
                <w:bCs/>
                <w:color w:val="000000"/>
                <w:sz w:val="20"/>
                <w:szCs w:val="20"/>
                <w:lang w:eastAsia="en-AU"/>
              </w:rPr>
            </w:pPr>
            <w:r w:rsidRPr="009E57C8">
              <w:rPr>
                <w:rFonts w:asciiTheme="minorHAnsi" w:eastAsia="Times New Roman" w:hAnsiTheme="minorHAnsi" w:cstheme="minorHAnsi"/>
                <w:b/>
                <w:bCs/>
                <w:color w:val="000000"/>
                <w:sz w:val="20"/>
                <w:szCs w:val="20"/>
                <w:lang w:eastAsia="en-AU"/>
              </w:rPr>
              <w:t>Installed capacity</w:t>
            </w:r>
          </w:p>
        </w:tc>
        <w:tc>
          <w:tcPr>
            <w:tcW w:w="974" w:type="dxa"/>
            <w:tcBorders>
              <w:top w:val="single" w:sz="4" w:space="0" w:color="BFBFBF"/>
              <w:left w:val="nil"/>
              <w:bottom w:val="nil"/>
              <w:right w:val="nil"/>
            </w:tcBorders>
            <w:shd w:val="clear" w:color="000000" w:fill="C5D9F1"/>
            <w:vAlign w:val="center"/>
            <w:hideMark/>
          </w:tcPr>
          <w:p w14:paraId="58618EA6" w14:textId="577D916A" w:rsidR="009A2B13" w:rsidRPr="009E57C8" w:rsidRDefault="00DB5D5D" w:rsidP="00CF3752">
            <w:pPr>
              <w:jc w:val="center"/>
              <w:rPr>
                <w:rFonts w:asciiTheme="minorHAnsi" w:eastAsia="Times New Roman" w:hAnsiTheme="minorHAnsi" w:cstheme="minorHAnsi"/>
                <w:b/>
                <w:bCs/>
                <w:color w:val="000000"/>
                <w:sz w:val="20"/>
                <w:szCs w:val="20"/>
                <w:lang w:eastAsia="en-AU"/>
              </w:rPr>
            </w:pPr>
            <w:r w:rsidRPr="009E57C8">
              <w:rPr>
                <w:rFonts w:asciiTheme="minorHAnsi" w:eastAsia="Times New Roman" w:hAnsiTheme="minorHAnsi" w:cstheme="minorHAnsi"/>
                <w:b/>
                <w:bCs/>
                <w:color w:val="000000"/>
                <w:sz w:val="20"/>
                <w:szCs w:val="20"/>
                <w:lang w:eastAsia="en-AU"/>
              </w:rPr>
              <w:t>C</w:t>
            </w:r>
            <w:r w:rsidR="009A2B13" w:rsidRPr="009E57C8">
              <w:rPr>
                <w:rFonts w:asciiTheme="minorHAnsi" w:eastAsia="Times New Roman" w:hAnsiTheme="minorHAnsi" w:cstheme="minorHAnsi"/>
                <w:b/>
                <w:bCs/>
                <w:color w:val="000000"/>
                <w:sz w:val="20"/>
                <w:szCs w:val="20"/>
                <w:lang w:eastAsia="en-AU"/>
              </w:rPr>
              <w:t xml:space="preserve">apacity </w:t>
            </w:r>
            <w:r w:rsidRPr="009E57C8">
              <w:rPr>
                <w:rFonts w:asciiTheme="minorHAnsi" w:eastAsia="Times New Roman" w:hAnsiTheme="minorHAnsi" w:cstheme="minorHAnsi"/>
                <w:b/>
                <w:bCs/>
                <w:color w:val="000000"/>
                <w:sz w:val="20"/>
                <w:szCs w:val="20"/>
                <w:lang w:eastAsia="en-AU"/>
              </w:rPr>
              <w:t>increase</w:t>
            </w:r>
          </w:p>
        </w:tc>
        <w:tc>
          <w:tcPr>
            <w:tcW w:w="2955" w:type="dxa"/>
            <w:gridSpan w:val="3"/>
            <w:tcBorders>
              <w:top w:val="single" w:sz="4" w:space="0" w:color="BFBFBF"/>
              <w:left w:val="nil"/>
              <w:bottom w:val="nil"/>
              <w:right w:val="single" w:sz="4" w:space="0" w:color="BFBFBF"/>
            </w:tcBorders>
            <w:shd w:val="clear" w:color="000000" w:fill="C5D9F1"/>
            <w:vAlign w:val="center"/>
            <w:hideMark/>
          </w:tcPr>
          <w:p w14:paraId="70976D2B" w14:textId="5E78A8F6" w:rsidR="009A2B13" w:rsidRPr="009E57C8" w:rsidRDefault="009A2B13" w:rsidP="00CF3752">
            <w:pPr>
              <w:jc w:val="center"/>
              <w:rPr>
                <w:rFonts w:asciiTheme="minorHAnsi" w:eastAsia="Times New Roman" w:hAnsiTheme="minorHAnsi" w:cstheme="minorHAnsi"/>
                <w:b/>
                <w:bCs/>
                <w:color w:val="000000"/>
                <w:sz w:val="20"/>
                <w:szCs w:val="20"/>
                <w:lang w:eastAsia="en-AU"/>
              </w:rPr>
            </w:pPr>
            <w:r w:rsidRPr="009E57C8">
              <w:rPr>
                <w:rFonts w:asciiTheme="minorHAnsi" w:eastAsia="Times New Roman" w:hAnsiTheme="minorHAnsi" w:cstheme="minorHAnsi"/>
                <w:b/>
                <w:bCs/>
                <w:color w:val="000000"/>
                <w:sz w:val="20"/>
                <w:szCs w:val="20"/>
                <w:lang w:eastAsia="en-AU"/>
              </w:rPr>
              <w:t xml:space="preserve">Est. year arisings &gt; installed capacity </w:t>
            </w:r>
          </w:p>
        </w:tc>
      </w:tr>
      <w:tr w:rsidR="001D22FE" w:rsidRPr="009E57C8" w14:paraId="0899B9FE" w14:textId="77777777" w:rsidTr="009D734D">
        <w:trPr>
          <w:trHeight w:val="95"/>
        </w:trPr>
        <w:tc>
          <w:tcPr>
            <w:tcW w:w="3933" w:type="dxa"/>
            <w:tcBorders>
              <w:top w:val="nil"/>
              <w:left w:val="single" w:sz="4" w:space="0" w:color="BFBFBF"/>
              <w:bottom w:val="single" w:sz="4" w:space="0" w:color="BFBFBF"/>
              <w:right w:val="nil"/>
            </w:tcBorders>
            <w:shd w:val="clear" w:color="000000" w:fill="C5D9F1"/>
            <w:vAlign w:val="center"/>
            <w:hideMark/>
          </w:tcPr>
          <w:p w14:paraId="563E1668" w14:textId="77777777" w:rsidR="009A2B13" w:rsidRPr="009E57C8" w:rsidRDefault="009A2B13" w:rsidP="00CF3752">
            <w:pPr>
              <w:jc w:val="center"/>
              <w:rPr>
                <w:rFonts w:asciiTheme="minorHAnsi" w:eastAsia="Times New Roman" w:hAnsiTheme="minorHAnsi" w:cstheme="minorHAnsi"/>
                <w:b/>
                <w:bCs/>
                <w:color w:val="000000"/>
                <w:sz w:val="20"/>
                <w:szCs w:val="20"/>
                <w:lang w:eastAsia="en-AU"/>
              </w:rPr>
            </w:pPr>
            <w:r w:rsidRPr="009E57C8">
              <w:rPr>
                <w:rFonts w:asciiTheme="minorHAnsi" w:eastAsia="Times New Roman" w:hAnsiTheme="minorHAnsi" w:cstheme="minorHAnsi"/>
                <w:b/>
                <w:bCs/>
                <w:color w:val="000000"/>
                <w:sz w:val="20"/>
                <w:szCs w:val="20"/>
                <w:lang w:eastAsia="en-AU"/>
              </w:rPr>
              <w:t> </w:t>
            </w:r>
          </w:p>
        </w:tc>
        <w:tc>
          <w:tcPr>
            <w:tcW w:w="846" w:type="dxa"/>
            <w:tcBorders>
              <w:top w:val="nil"/>
              <w:left w:val="nil"/>
              <w:bottom w:val="single" w:sz="4" w:space="0" w:color="BFBFBF"/>
              <w:right w:val="nil"/>
            </w:tcBorders>
            <w:shd w:val="clear" w:color="000000" w:fill="C5D9F1"/>
            <w:hideMark/>
          </w:tcPr>
          <w:p w14:paraId="26EE6C20" w14:textId="77777777" w:rsidR="009A2B13" w:rsidRPr="009E57C8" w:rsidRDefault="009A2B13" w:rsidP="00CF3752">
            <w:pPr>
              <w:jc w:val="right"/>
              <w:rPr>
                <w:rFonts w:asciiTheme="minorHAnsi" w:eastAsia="Times New Roman" w:hAnsiTheme="minorHAnsi" w:cstheme="minorHAnsi"/>
                <w:b/>
                <w:bCs/>
                <w:color w:val="000000"/>
                <w:sz w:val="20"/>
                <w:szCs w:val="20"/>
                <w:lang w:eastAsia="en-AU"/>
              </w:rPr>
            </w:pPr>
            <w:r w:rsidRPr="009E57C8">
              <w:rPr>
                <w:rFonts w:asciiTheme="minorHAnsi" w:eastAsia="Times New Roman" w:hAnsiTheme="minorHAnsi" w:cstheme="minorHAnsi"/>
                <w:b/>
                <w:bCs/>
                <w:color w:val="000000"/>
                <w:sz w:val="20"/>
                <w:szCs w:val="20"/>
                <w:lang w:eastAsia="en-AU"/>
              </w:rPr>
              <w:t>(kt/yr)</w:t>
            </w:r>
          </w:p>
        </w:tc>
        <w:tc>
          <w:tcPr>
            <w:tcW w:w="931" w:type="dxa"/>
            <w:tcBorders>
              <w:top w:val="nil"/>
              <w:left w:val="nil"/>
              <w:bottom w:val="single" w:sz="4" w:space="0" w:color="BFBFBF"/>
              <w:right w:val="nil"/>
            </w:tcBorders>
            <w:shd w:val="clear" w:color="000000" w:fill="C5D9F1"/>
            <w:hideMark/>
          </w:tcPr>
          <w:p w14:paraId="23B6C106" w14:textId="77777777" w:rsidR="009A2B13" w:rsidRPr="009E57C8" w:rsidRDefault="009A2B13" w:rsidP="00CF3752">
            <w:pPr>
              <w:jc w:val="right"/>
              <w:rPr>
                <w:rFonts w:asciiTheme="minorHAnsi" w:eastAsia="Times New Roman" w:hAnsiTheme="minorHAnsi" w:cstheme="minorHAnsi"/>
                <w:b/>
                <w:bCs/>
                <w:color w:val="000000"/>
                <w:sz w:val="20"/>
                <w:szCs w:val="20"/>
                <w:lang w:eastAsia="en-AU"/>
              </w:rPr>
            </w:pPr>
            <w:r w:rsidRPr="009E57C8">
              <w:rPr>
                <w:rFonts w:asciiTheme="minorHAnsi" w:eastAsia="Times New Roman" w:hAnsiTheme="minorHAnsi" w:cstheme="minorHAnsi"/>
                <w:b/>
                <w:bCs/>
                <w:color w:val="000000"/>
                <w:sz w:val="20"/>
                <w:szCs w:val="20"/>
                <w:lang w:eastAsia="en-AU"/>
              </w:rPr>
              <w:t>(kt/yr)</w:t>
            </w:r>
          </w:p>
        </w:tc>
        <w:tc>
          <w:tcPr>
            <w:tcW w:w="974" w:type="dxa"/>
            <w:tcBorders>
              <w:top w:val="nil"/>
              <w:left w:val="nil"/>
              <w:bottom w:val="single" w:sz="4" w:space="0" w:color="BFBFBF"/>
              <w:right w:val="nil"/>
            </w:tcBorders>
            <w:shd w:val="clear" w:color="000000" w:fill="C5D9F1"/>
            <w:hideMark/>
          </w:tcPr>
          <w:p w14:paraId="3517BBE7" w14:textId="77777777" w:rsidR="009A2B13" w:rsidRPr="009E57C8" w:rsidRDefault="009A2B13" w:rsidP="00CF3752">
            <w:pPr>
              <w:jc w:val="right"/>
              <w:rPr>
                <w:rFonts w:asciiTheme="minorHAnsi" w:eastAsia="Times New Roman" w:hAnsiTheme="minorHAnsi" w:cstheme="minorHAnsi"/>
                <w:b/>
                <w:bCs/>
                <w:color w:val="000000"/>
                <w:sz w:val="20"/>
                <w:szCs w:val="20"/>
                <w:lang w:eastAsia="en-AU"/>
              </w:rPr>
            </w:pPr>
            <w:r w:rsidRPr="009E57C8">
              <w:rPr>
                <w:rFonts w:asciiTheme="minorHAnsi" w:eastAsia="Times New Roman" w:hAnsiTheme="minorHAnsi" w:cstheme="minorHAnsi"/>
                <w:b/>
                <w:bCs/>
                <w:color w:val="000000"/>
                <w:sz w:val="20"/>
                <w:szCs w:val="20"/>
                <w:lang w:eastAsia="en-AU"/>
              </w:rPr>
              <w:t>(kt/yr)</w:t>
            </w:r>
          </w:p>
        </w:tc>
        <w:tc>
          <w:tcPr>
            <w:tcW w:w="985" w:type="dxa"/>
            <w:tcBorders>
              <w:top w:val="nil"/>
              <w:left w:val="nil"/>
              <w:bottom w:val="single" w:sz="4" w:space="0" w:color="BFBFBF"/>
              <w:right w:val="nil"/>
            </w:tcBorders>
            <w:shd w:val="clear" w:color="000000" w:fill="C5D9F1"/>
            <w:hideMark/>
          </w:tcPr>
          <w:p w14:paraId="3DE5F320" w14:textId="77777777" w:rsidR="009A2B13" w:rsidRPr="009E57C8" w:rsidRDefault="009A2B13" w:rsidP="00CF3752">
            <w:pPr>
              <w:jc w:val="center"/>
              <w:rPr>
                <w:rFonts w:asciiTheme="minorHAnsi" w:eastAsia="Times New Roman" w:hAnsiTheme="minorHAnsi" w:cstheme="minorHAnsi"/>
                <w:b/>
                <w:bCs/>
                <w:color w:val="000000"/>
                <w:sz w:val="20"/>
                <w:szCs w:val="20"/>
                <w:lang w:eastAsia="en-AU"/>
              </w:rPr>
            </w:pPr>
            <w:r w:rsidRPr="009E57C8">
              <w:rPr>
                <w:rFonts w:asciiTheme="minorHAnsi" w:eastAsia="Times New Roman" w:hAnsiTheme="minorHAnsi" w:cstheme="minorHAnsi"/>
                <w:b/>
                <w:bCs/>
                <w:color w:val="000000"/>
                <w:sz w:val="20"/>
                <w:szCs w:val="20"/>
                <w:lang w:eastAsia="en-AU"/>
              </w:rPr>
              <w:t>Best</w:t>
            </w:r>
          </w:p>
        </w:tc>
        <w:tc>
          <w:tcPr>
            <w:tcW w:w="985" w:type="dxa"/>
            <w:tcBorders>
              <w:top w:val="nil"/>
              <w:left w:val="nil"/>
              <w:bottom w:val="single" w:sz="4" w:space="0" w:color="BFBFBF"/>
              <w:right w:val="nil"/>
            </w:tcBorders>
            <w:shd w:val="clear" w:color="000000" w:fill="C5D9F1"/>
            <w:hideMark/>
          </w:tcPr>
          <w:p w14:paraId="39ACFB13" w14:textId="77777777" w:rsidR="009A2B13" w:rsidRPr="009E57C8" w:rsidRDefault="009A2B13" w:rsidP="00CF3752">
            <w:pPr>
              <w:jc w:val="center"/>
              <w:rPr>
                <w:rFonts w:asciiTheme="minorHAnsi" w:eastAsia="Times New Roman" w:hAnsiTheme="minorHAnsi" w:cstheme="minorHAnsi"/>
                <w:b/>
                <w:bCs/>
                <w:color w:val="000000"/>
                <w:sz w:val="20"/>
                <w:szCs w:val="20"/>
                <w:lang w:eastAsia="en-AU"/>
              </w:rPr>
            </w:pPr>
            <w:r w:rsidRPr="009E57C8">
              <w:rPr>
                <w:rFonts w:asciiTheme="minorHAnsi" w:eastAsia="Times New Roman" w:hAnsiTheme="minorHAnsi" w:cstheme="minorHAnsi"/>
                <w:b/>
                <w:bCs/>
                <w:color w:val="000000"/>
                <w:sz w:val="20"/>
                <w:szCs w:val="20"/>
                <w:lang w:eastAsia="en-AU"/>
              </w:rPr>
              <w:t>High</w:t>
            </w:r>
          </w:p>
        </w:tc>
        <w:tc>
          <w:tcPr>
            <w:tcW w:w="985" w:type="dxa"/>
            <w:tcBorders>
              <w:top w:val="nil"/>
              <w:left w:val="nil"/>
              <w:bottom w:val="single" w:sz="4" w:space="0" w:color="BFBFBF"/>
              <w:right w:val="single" w:sz="4" w:space="0" w:color="BFBFBF"/>
            </w:tcBorders>
            <w:shd w:val="clear" w:color="000000" w:fill="C5D9F1"/>
            <w:hideMark/>
          </w:tcPr>
          <w:p w14:paraId="3C28E9AF" w14:textId="77777777" w:rsidR="009A2B13" w:rsidRPr="009E57C8" w:rsidRDefault="009A2B13" w:rsidP="00CF3752">
            <w:pPr>
              <w:jc w:val="center"/>
              <w:rPr>
                <w:rFonts w:asciiTheme="minorHAnsi" w:eastAsia="Times New Roman" w:hAnsiTheme="minorHAnsi" w:cstheme="minorHAnsi"/>
                <w:b/>
                <w:bCs/>
                <w:color w:val="000000"/>
                <w:sz w:val="20"/>
                <w:szCs w:val="20"/>
                <w:lang w:eastAsia="en-AU"/>
              </w:rPr>
            </w:pPr>
            <w:r w:rsidRPr="009E57C8">
              <w:rPr>
                <w:rFonts w:asciiTheme="minorHAnsi" w:eastAsia="Times New Roman" w:hAnsiTheme="minorHAnsi" w:cstheme="minorHAnsi"/>
                <w:b/>
                <w:bCs/>
                <w:color w:val="000000"/>
                <w:sz w:val="20"/>
                <w:szCs w:val="20"/>
                <w:lang w:eastAsia="en-AU"/>
              </w:rPr>
              <w:t>Low</w:t>
            </w:r>
          </w:p>
        </w:tc>
      </w:tr>
      <w:tr w:rsidR="009A2B13" w:rsidRPr="009E57C8" w14:paraId="6DC2166A" w14:textId="77777777" w:rsidTr="009D734D">
        <w:trPr>
          <w:trHeight w:val="255"/>
        </w:trPr>
        <w:tc>
          <w:tcPr>
            <w:tcW w:w="3933" w:type="dxa"/>
            <w:tcBorders>
              <w:top w:val="nil"/>
              <w:left w:val="single" w:sz="4" w:space="0" w:color="BFBFBF"/>
              <w:bottom w:val="single" w:sz="4" w:space="0" w:color="BFBFBF"/>
              <w:right w:val="single" w:sz="4" w:space="0" w:color="BFBFBF"/>
            </w:tcBorders>
            <w:shd w:val="clear" w:color="000000" w:fill="C5D9F1"/>
            <w:noWrap/>
            <w:hideMark/>
          </w:tcPr>
          <w:p w14:paraId="0C80E978" w14:textId="77777777" w:rsidR="009A2B13" w:rsidRPr="009E57C8" w:rsidRDefault="009A2B13" w:rsidP="00CF3752">
            <w:pPr>
              <w:jc w:val="right"/>
              <w:rPr>
                <w:rFonts w:asciiTheme="minorHAnsi" w:eastAsia="Times New Roman" w:hAnsiTheme="minorHAnsi" w:cstheme="minorHAnsi"/>
                <w:b/>
                <w:bCs/>
                <w:color w:val="000000"/>
                <w:sz w:val="20"/>
                <w:szCs w:val="20"/>
                <w:lang w:eastAsia="en-AU"/>
              </w:rPr>
            </w:pPr>
            <w:r w:rsidRPr="009E57C8">
              <w:rPr>
                <w:rFonts w:asciiTheme="minorHAnsi" w:eastAsia="Times New Roman" w:hAnsiTheme="minorHAnsi" w:cstheme="minorHAnsi"/>
                <w:b/>
                <w:bCs/>
                <w:color w:val="000000"/>
                <w:sz w:val="20"/>
                <w:szCs w:val="20"/>
                <w:lang w:eastAsia="en-AU"/>
              </w:rPr>
              <w:t>Recycling and energy recovery</w:t>
            </w:r>
          </w:p>
        </w:tc>
        <w:tc>
          <w:tcPr>
            <w:tcW w:w="846" w:type="dxa"/>
            <w:tcBorders>
              <w:top w:val="nil"/>
              <w:left w:val="nil"/>
              <w:bottom w:val="single" w:sz="4" w:space="0" w:color="BFBFBF"/>
              <w:right w:val="single" w:sz="4" w:space="0" w:color="BFBFBF"/>
            </w:tcBorders>
            <w:shd w:val="clear" w:color="000000" w:fill="C5D9F1"/>
            <w:noWrap/>
            <w:hideMark/>
          </w:tcPr>
          <w:p w14:paraId="488949CE" w14:textId="010748BB" w:rsidR="009A2B13" w:rsidRPr="009E57C8" w:rsidRDefault="009A2B13" w:rsidP="00CF3752">
            <w:pPr>
              <w:jc w:val="right"/>
              <w:rPr>
                <w:rFonts w:asciiTheme="minorHAnsi" w:eastAsia="Times New Roman" w:hAnsiTheme="minorHAnsi" w:cstheme="minorHAnsi"/>
                <w:b/>
                <w:bCs/>
                <w:color w:val="000000"/>
                <w:sz w:val="20"/>
                <w:szCs w:val="20"/>
                <w:lang w:eastAsia="en-AU"/>
              </w:rPr>
            </w:pPr>
          </w:p>
        </w:tc>
        <w:tc>
          <w:tcPr>
            <w:tcW w:w="931" w:type="dxa"/>
            <w:tcBorders>
              <w:top w:val="nil"/>
              <w:left w:val="nil"/>
              <w:bottom w:val="single" w:sz="4" w:space="0" w:color="BFBFBF"/>
              <w:right w:val="single" w:sz="4" w:space="0" w:color="BFBFBF"/>
            </w:tcBorders>
            <w:shd w:val="clear" w:color="000000" w:fill="C5D9F1"/>
            <w:noWrap/>
            <w:hideMark/>
          </w:tcPr>
          <w:p w14:paraId="55E139ED" w14:textId="0F7DE336" w:rsidR="009A2B13" w:rsidRPr="009E57C8" w:rsidRDefault="009A2B13" w:rsidP="00CF3752">
            <w:pPr>
              <w:jc w:val="right"/>
              <w:rPr>
                <w:rFonts w:asciiTheme="minorHAnsi" w:eastAsia="Times New Roman" w:hAnsiTheme="minorHAnsi" w:cstheme="minorHAnsi"/>
                <w:b/>
                <w:bCs/>
                <w:color w:val="000000"/>
                <w:sz w:val="20"/>
                <w:szCs w:val="20"/>
                <w:lang w:eastAsia="en-AU"/>
              </w:rPr>
            </w:pPr>
          </w:p>
        </w:tc>
        <w:tc>
          <w:tcPr>
            <w:tcW w:w="974" w:type="dxa"/>
            <w:tcBorders>
              <w:top w:val="nil"/>
              <w:left w:val="nil"/>
              <w:bottom w:val="single" w:sz="4" w:space="0" w:color="BFBFBF"/>
              <w:right w:val="single" w:sz="4" w:space="0" w:color="BFBFBF"/>
            </w:tcBorders>
            <w:shd w:val="clear" w:color="000000" w:fill="C5D9F1"/>
            <w:noWrap/>
            <w:hideMark/>
          </w:tcPr>
          <w:p w14:paraId="3C782DFD" w14:textId="6B8247B6" w:rsidR="009A2B13" w:rsidRPr="009E57C8" w:rsidRDefault="009A2B13" w:rsidP="00CF3752">
            <w:pPr>
              <w:jc w:val="right"/>
              <w:rPr>
                <w:rFonts w:asciiTheme="minorHAnsi" w:eastAsia="Times New Roman" w:hAnsiTheme="minorHAnsi" w:cstheme="minorHAnsi"/>
                <w:b/>
                <w:bCs/>
                <w:color w:val="000000"/>
                <w:sz w:val="20"/>
                <w:szCs w:val="20"/>
                <w:lang w:eastAsia="en-AU"/>
              </w:rPr>
            </w:pPr>
          </w:p>
        </w:tc>
        <w:tc>
          <w:tcPr>
            <w:tcW w:w="985" w:type="dxa"/>
            <w:tcBorders>
              <w:top w:val="nil"/>
              <w:left w:val="nil"/>
              <w:bottom w:val="single" w:sz="4" w:space="0" w:color="BFBFBF"/>
              <w:right w:val="single" w:sz="4" w:space="0" w:color="BFBFBF"/>
            </w:tcBorders>
            <w:shd w:val="clear" w:color="000000" w:fill="C5D9F1"/>
            <w:noWrap/>
            <w:hideMark/>
          </w:tcPr>
          <w:p w14:paraId="4871EDD7" w14:textId="00060632" w:rsidR="009A2B13" w:rsidRPr="009E57C8" w:rsidRDefault="009A2B13" w:rsidP="00CF3752">
            <w:pPr>
              <w:jc w:val="right"/>
              <w:rPr>
                <w:rFonts w:asciiTheme="minorHAnsi" w:eastAsia="Times New Roman" w:hAnsiTheme="minorHAnsi" w:cstheme="minorHAnsi"/>
                <w:b/>
                <w:bCs/>
                <w:color w:val="95B3D7"/>
                <w:sz w:val="20"/>
                <w:szCs w:val="20"/>
                <w:lang w:eastAsia="en-AU"/>
              </w:rPr>
            </w:pPr>
          </w:p>
        </w:tc>
        <w:tc>
          <w:tcPr>
            <w:tcW w:w="985" w:type="dxa"/>
            <w:tcBorders>
              <w:top w:val="nil"/>
              <w:left w:val="nil"/>
              <w:bottom w:val="single" w:sz="4" w:space="0" w:color="BFBFBF"/>
              <w:right w:val="single" w:sz="4" w:space="0" w:color="BFBFBF"/>
            </w:tcBorders>
            <w:shd w:val="clear" w:color="000000" w:fill="C5D9F1"/>
            <w:noWrap/>
            <w:hideMark/>
          </w:tcPr>
          <w:p w14:paraId="55BE337C" w14:textId="02286BC8" w:rsidR="009A2B13" w:rsidRPr="009E57C8" w:rsidRDefault="009A2B13" w:rsidP="00CF3752">
            <w:pPr>
              <w:jc w:val="right"/>
              <w:rPr>
                <w:rFonts w:asciiTheme="minorHAnsi" w:eastAsia="Times New Roman" w:hAnsiTheme="minorHAnsi" w:cstheme="minorHAnsi"/>
                <w:b/>
                <w:bCs/>
                <w:color w:val="95B3D7"/>
                <w:sz w:val="20"/>
                <w:szCs w:val="20"/>
                <w:lang w:eastAsia="en-AU"/>
              </w:rPr>
            </w:pPr>
          </w:p>
        </w:tc>
        <w:tc>
          <w:tcPr>
            <w:tcW w:w="985" w:type="dxa"/>
            <w:tcBorders>
              <w:top w:val="nil"/>
              <w:left w:val="nil"/>
              <w:bottom w:val="single" w:sz="4" w:space="0" w:color="BFBFBF"/>
              <w:right w:val="single" w:sz="4" w:space="0" w:color="BFBFBF"/>
            </w:tcBorders>
            <w:shd w:val="clear" w:color="000000" w:fill="C5D9F1"/>
            <w:noWrap/>
            <w:hideMark/>
          </w:tcPr>
          <w:p w14:paraId="7CCA08D7" w14:textId="63BB934C" w:rsidR="009A2B13" w:rsidRPr="009E57C8" w:rsidRDefault="009A2B13" w:rsidP="00CF3752">
            <w:pPr>
              <w:jc w:val="right"/>
              <w:rPr>
                <w:rFonts w:asciiTheme="minorHAnsi" w:eastAsia="Times New Roman" w:hAnsiTheme="minorHAnsi" w:cstheme="minorHAnsi"/>
                <w:b/>
                <w:bCs/>
                <w:color w:val="95B3D7"/>
                <w:sz w:val="20"/>
                <w:szCs w:val="20"/>
                <w:lang w:eastAsia="en-AU"/>
              </w:rPr>
            </w:pPr>
          </w:p>
        </w:tc>
      </w:tr>
      <w:tr w:rsidR="009A2B13" w:rsidRPr="009E57C8" w14:paraId="24D32738" w14:textId="77777777" w:rsidTr="009D734D">
        <w:tc>
          <w:tcPr>
            <w:tcW w:w="3933" w:type="dxa"/>
            <w:tcBorders>
              <w:top w:val="nil"/>
              <w:left w:val="single" w:sz="4" w:space="0" w:color="BFBFBF"/>
              <w:bottom w:val="single" w:sz="4" w:space="0" w:color="BFBFBF"/>
              <w:right w:val="single" w:sz="4" w:space="0" w:color="BFBFBF"/>
            </w:tcBorders>
            <w:shd w:val="clear" w:color="auto" w:fill="auto"/>
            <w:noWrap/>
            <w:hideMark/>
          </w:tcPr>
          <w:p w14:paraId="49E2D984" w14:textId="77777777" w:rsidR="009A2B13" w:rsidRPr="009E57C8" w:rsidRDefault="009A2B13" w:rsidP="00CF3752">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Hazardous waste packaging facility</w:t>
            </w:r>
          </w:p>
        </w:tc>
        <w:tc>
          <w:tcPr>
            <w:tcW w:w="846" w:type="dxa"/>
            <w:tcBorders>
              <w:top w:val="nil"/>
              <w:left w:val="nil"/>
              <w:bottom w:val="single" w:sz="4" w:space="0" w:color="BFBFBF"/>
              <w:right w:val="single" w:sz="4" w:space="0" w:color="BFBFBF"/>
            </w:tcBorders>
            <w:shd w:val="clear" w:color="auto" w:fill="auto"/>
            <w:noWrap/>
            <w:hideMark/>
          </w:tcPr>
          <w:p w14:paraId="1EBF8448" w14:textId="77777777" w:rsidR="009A2B13" w:rsidRPr="009E57C8" w:rsidRDefault="009A2B13" w:rsidP="00CF3752">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15</w:t>
            </w:r>
          </w:p>
        </w:tc>
        <w:tc>
          <w:tcPr>
            <w:tcW w:w="931" w:type="dxa"/>
            <w:tcBorders>
              <w:top w:val="nil"/>
              <w:left w:val="nil"/>
              <w:bottom w:val="single" w:sz="4" w:space="0" w:color="BFBFBF"/>
              <w:right w:val="single" w:sz="4" w:space="0" w:color="BFBFBF"/>
            </w:tcBorders>
            <w:shd w:val="clear" w:color="auto" w:fill="auto"/>
            <w:noWrap/>
            <w:hideMark/>
          </w:tcPr>
          <w:p w14:paraId="34428424" w14:textId="77777777" w:rsidR="009A2B13" w:rsidRPr="009E57C8" w:rsidRDefault="009A2B13" w:rsidP="00CF3752">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19</w:t>
            </w:r>
          </w:p>
        </w:tc>
        <w:tc>
          <w:tcPr>
            <w:tcW w:w="974" w:type="dxa"/>
            <w:tcBorders>
              <w:top w:val="nil"/>
              <w:left w:val="nil"/>
              <w:bottom w:val="single" w:sz="4" w:space="0" w:color="BFBFBF"/>
              <w:right w:val="single" w:sz="4" w:space="0" w:color="BFBFBF"/>
            </w:tcBorders>
            <w:shd w:val="clear" w:color="auto" w:fill="auto"/>
            <w:noWrap/>
            <w:hideMark/>
          </w:tcPr>
          <w:p w14:paraId="76D42594" w14:textId="77777777" w:rsidR="009A2B13" w:rsidRPr="009E57C8" w:rsidRDefault="009A2B13" w:rsidP="00CF3752">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0</w:t>
            </w:r>
          </w:p>
        </w:tc>
        <w:tc>
          <w:tcPr>
            <w:tcW w:w="985" w:type="dxa"/>
            <w:tcBorders>
              <w:top w:val="nil"/>
              <w:left w:val="nil"/>
              <w:bottom w:val="single" w:sz="4" w:space="0" w:color="BFBFBF"/>
              <w:right w:val="single" w:sz="4" w:space="0" w:color="BFBFBF"/>
            </w:tcBorders>
            <w:shd w:val="clear" w:color="000000" w:fill="FFFFFF"/>
            <w:noWrap/>
            <w:hideMark/>
          </w:tcPr>
          <w:p w14:paraId="336765D9" w14:textId="77777777" w:rsidR="009A2B13" w:rsidRPr="009E57C8" w:rsidRDefault="009A2B13" w:rsidP="00CF3752">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&gt;2037</w:t>
            </w:r>
          </w:p>
        </w:tc>
        <w:tc>
          <w:tcPr>
            <w:tcW w:w="985" w:type="dxa"/>
            <w:tcBorders>
              <w:top w:val="nil"/>
              <w:left w:val="nil"/>
              <w:bottom w:val="single" w:sz="4" w:space="0" w:color="BFBFBF"/>
              <w:right w:val="single" w:sz="4" w:space="0" w:color="BFBFBF"/>
            </w:tcBorders>
            <w:shd w:val="clear" w:color="000000" w:fill="FFFFFF"/>
            <w:noWrap/>
            <w:hideMark/>
          </w:tcPr>
          <w:p w14:paraId="20BB0E1A" w14:textId="77777777" w:rsidR="009A2B13" w:rsidRPr="009E57C8" w:rsidRDefault="009A2B13" w:rsidP="00CF3752">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2033</w:t>
            </w:r>
          </w:p>
        </w:tc>
        <w:tc>
          <w:tcPr>
            <w:tcW w:w="985" w:type="dxa"/>
            <w:tcBorders>
              <w:top w:val="nil"/>
              <w:left w:val="nil"/>
              <w:bottom w:val="single" w:sz="4" w:space="0" w:color="BFBFBF"/>
              <w:right w:val="single" w:sz="4" w:space="0" w:color="BFBFBF"/>
            </w:tcBorders>
            <w:shd w:val="clear" w:color="000000" w:fill="FFFFFF"/>
            <w:noWrap/>
            <w:hideMark/>
          </w:tcPr>
          <w:p w14:paraId="4318ADDF" w14:textId="77777777" w:rsidR="009A2B13" w:rsidRPr="009E57C8" w:rsidRDefault="009A2B13" w:rsidP="00CF3752">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&gt;2037</w:t>
            </w:r>
          </w:p>
        </w:tc>
      </w:tr>
      <w:tr w:rsidR="009A2B13" w:rsidRPr="009E57C8" w14:paraId="7BB803EA" w14:textId="77777777" w:rsidTr="009D734D">
        <w:tc>
          <w:tcPr>
            <w:tcW w:w="3933" w:type="dxa"/>
            <w:tcBorders>
              <w:top w:val="nil"/>
              <w:left w:val="single" w:sz="4" w:space="0" w:color="BFBFBF"/>
              <w:bottom w:val="single" w:sz="4" w:space="0" w:color="BFBFBF"/>
              <w:right w:val="single" w:sz="4" w:space="0" w:color="BFBFBF"/>
            </w:tcBorders>
            <w:shd w:val="clear" w:color="auto" w:fill="auto"/>
            <w:noWrap/>
            <w:hideMark/>
          </w:tcPr>
          <w:p w14:paraId="539455B3" w14:textId="77777777" w:rsidR="009A2B13" w:rsidRPr="009E57C8" w:rsidRDefault="009A2B13" w:rsidP="00CF3752">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E-waste facility</w:t>
            </w:r>
          </w:p>
        </w:tc>
        <w:tc>
          <w:tcPr>
            <w:tcW w:w="846" w:type="dxa"/>
            <w:tcBorders>
              <w:top w:val="nil"/>
              <w:left w:val="nil"/>
              <w:bottom w:val="single" w:sz="4" w:space="0" w:color="BFBFBF"/>
              <w:right w:val="single" w:sz="4" w:space="0" w:color="BFBFBF"/>
            </w:tcBorders>
            <w:shd w:val="clear" w:color="auto" w:fill="auto"/>
            <w:noWrap/>
            <w:hideMark/>
          </w:tcPr>
          <w:p w14:paraId="7CA8A35E" w14:textId="77777777" w:rsidR="009A2B13" w:rsidRPr="009E57C8" w:rsidRDefault="009A2B13" w:rsidP="00CF3752">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4</w:t>
            </w:r>
          </w:p>
        </w:tc>
        <w:tc>
          <w:tcPr>
            <w:tcW w:w="931" w:type="dxa"/>
            <w:tcBorders>
              <w:top w:val="nil"/>
              <w:left w:val="nil"/>
              <w:bottom w:val="single" w:sz="4" w:space="0" w:color="BFBFBF"/>
              <w:right w:val="single" w:sz="4" w:space="0" w:color="BFBFBF"/>
            </w:tcBorders>
            <w:shd w:val="clear" w:color="auto" w:fill="auto"/>
            <w:noWrap/>
            <w:hideMark/>
          </w:tcPr>
          <w:p w14:paraId="6C904A34" w14:textId="77777777" w:rsidR="009A2B13" w:rsidRPr="009E57C8" w:rsidRDefault="009A2B13" w:rsidP="00CF3752">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106</w:t>
            </w:r>
          </w:p>
        </w:tc>
        <w:tc>
          <w:tcPr>
            <w:tcW w:w="974" w:type="dxa"/>
            <w:tcBorders>
              <w:top w:val="nil"/>
              <w:left w:val="nil"/>
              <w:bottom w:val="single" w:sz="4" w:space="0" w:color="BFBFBF"/>
              <w:right w:val="single" w:sz="4" w:space="0" w:color="BFBFBF"/>
            </w:tcBorders>
            <w:shd w:val="clear" w:color="auto" w:fill="auto"/>
            <w:noWrap/>
            <w:hideMark/>
          </w:tcPr>
          <w:p w14:paraId="767B8CDF" w14:textId="77777777" w:rsidR="009A2B13" w:rsidRPr="009E57C8" w:rsidRDefault="009A2B13" w:rsidP="00CF3752">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12</w:t>
            </w:r>
          </w:p>
        </w:tc>
        <w:tc>
          <w:tcPr>
            <w:tcW w:w="985" w:type="dxa"/>
            <w:tcBorders>
              <w:top w:val="nil"/>
              <w:left w:val="nil"/>
              <w:bottom w:val="single" w:sz="4" w:space="0" w:color="BFBFBF"/>
              <w:right w:val="single" w:sz="4" w:space="0" w:color="BFBFBF"/>
            </w:tcBorders>
            <w:shd w:val="clear" w:color="000000" w:fill="FFFFFF"/>
            <w:noWrap/>
            <w:hideMark/>
          </w:tcPr>
          <w:p w14:paraId="0E5F2FAE" w14:textId="77777777" w:rsidR="009A2B13" w:rsidRPr="009E57C8" w:rsidRDefault="009A2B13" w:rsidP="00CF3752">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2037</w:t>
            </w:r>
          </w:p>
        </w:tc>
        <w:tc>
          <w:tcPr>
            <w:tcW w:w="985" w:type="dxa"/>
            <w:tcBorders>
              <w:top w:val="nil"/>
              <w:left w:val="nil"/>
              <w:bottom w:val="single" w:sz="4" w:space="0" w:color="BFBFBF"/>
              <w:right w:val="single" w:sz="4" w:space="0" w:color="BFBFBF"/>
            </w:tcBorders>
            <w:shd w:val="clear" w:color="000000" w:fill="FFFFFF"/>
            <w:noWrap/>
            <w:hideMark/>
          </w:tcPr>
          <w:p w14:paraId="74B4EFB6" w14:textId="77777777" w:rsidR="009A2B13" w:rsidRPr="009E57C8" w:rsidRDefault="009A2B13" w:rsidP="00CF3752">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2035</w:t>
            </w:r>
          </w:p>
        </w:tc>
        <w:tc>
          <w:tcPr>
            <w:tcW w:w="985" w:type="dxa"/>
            <w:tcBorders>
              <w:top w:val="nil"/>
              <w:left w:val="nil"/>
              <w:bottom w:val="single" w:sz="4" w:space="0" w:color="BFBFBF"/>
              <w:right w:val="single" w:sz="4" w:space="0" w:color="BFBFBF"/>
            </w:tcBorders>
            <w:shd w:val="clear" w:color="000000" w:fill="FFFFFF"/>
            <w:noWrap/>
            <w:hideMark/>
          </w:tcPr>
          <w:p w14:paraId="5C5D2096" w14:textId="77777777" w:rsidR="009A2B13" w:rsidRPr="009E57C8" w:rsidRDefault="009A2B13" w:rsidP="00CF3752">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&gt;2037</w:t>
            </w:r>
          </w:p>
        </w:tc>
      </w:tr>
      <w:tr w:rsidR="009A2B13" w:rsidRPr="009E57C8" w14:paraId="2368E0AD" w14:textId="77777777" w:rsidTr="009D734D">
        <w:tc>
          <w:tcPr>
            <w:tcW w:w="3933" w:type="dxa"/>
            <w:tcBorders>
              <w:top w:val="nil"/>
              <w:left w:val="single" w:sz="4" w:space="0" w:color="BFBFBF"/>
              <w:bottom w:val="single" w:sz="4" w:space="0" w:color="BFBFBF"/>
              <w:right w:val="single" w:sz="4" w:space="0" w:color="BFBFBF"/>
            </w:tcBorders>
            <w:shd w:val="clear" w:color="auto" w:fill="auto"/>
            <w:noWrap/>
            <w:hideMark/>
          </w:tcPr>
          <w:p w14:paraId="5D7B17A6" w14:textId="77777777" w:rsidR="009A2B13" w:rsidRPr="009E57C8" w:rsidRDefault="009A2B13" w:rsidP="00CF3752">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Oil re-refining facility</w:t>
            </w:r>
          </w:p>
        </w:tc>
        <w:tc>
          <w:tcPr>
            <w:tcW w:w="846" w:type="dxa"/>
            <w:tcBorders>
              <w:top w:val="nil"/>
              <w:left w:val="nil"/>
              <w:bottom w:val="single" w:sz="4" w:space="0" w:color="BFBFBF"/>
              <w:right w:val="single" w:sz="4" w:space="0" w:color="BFBFBF"/>
            </w:tcBorders>
            <w:shd w:val="clear" w:color="auto" w:fill="auto"/>
            <w:noWrap/>
            <w:hideMark/>
          </w:tcPr>
          <w:p w14:paraId="56472E05" w14:textId="77777777" w:rsidR="009A2B13" w:rsidRPr="009E57C8" w:rsidRDefault="009A2B13" w:rsidP="00CF3752">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325</w:t>
            </w:r>
          </w:p>
        </w:tc>
        <w:tc>
          <w:tcPr>
            <w:tcW w:w="931" w:type="dxa"/>
            <w:tcBorders>
              <w:top w:val="nil"/>
              <w:left w:val="nil"/>
              <w:bottom w:val="single" w:sz="4" w:space="0" w:color="BFBFBF"/>
              <w:right w:val="single" w:sz="4" w:space="0" w:color="BFBFBF"/>
            </w:tcBorders>
            <w:shd w:val="clear" w:color="auto" w:fill="auto"/>
            <w:noWrap/>
            <w:hideMark/>
          </w:tcPr>
          <w:p w14:paraId="03BD532E" w14:textId="77777777" w:rsidR="009A2B13" w:rsidRPr="009E57C8" w:rsidRDefault="009A2B13" w:rsidP="00CF3752">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526</w:t>
            </w:r>
          </w:p>
        </w:tc>
        <w:tc>
          <w:tcPr>
            <w:tcW w:w="974" w:type="dxa"/>
            <w:tcBorders>
              <w:top w:val="nil"/>
              <w:left w:val="nil"/>
              <w:bottom w:val="single" w:sz="4" w:space="0" w:color="BFBFBF"/>
              <w:right w:val="single" w:sz="4" w:space="0" w:color="BFBFBF"/>
            </w:tcBorders>
            <w:shd w:val="clear" w:color="auto" w:fill="auto"/>
            <w:noWrap/>
            <w:hideMark/>
          </w:tcPr>
          <w:p w14:paraId="112CCBA1" w14:textId="77777777" w:rsidR="009A2B13" w:rsidRPr="009E57C8" w:rsidRDefault="009A2B13" w:rsidP="00CF3752">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0</w:t>
            </w:r>
          </w:p>
        </w:tc>
        <w:tc>
          <w:tcPr>
            <w:tcW w:w="985" w:type="dxa"/>
            <w:tcBorders>
              <w:top w:val="nil"/>
              <w:left w:val="nil"/>
              <w:bottom w:val="single" w:sz="4" w:space="0" w:color="BFBFBF"/>
              <w:right w:val="single" w:sz="4" w:space="0" w:color="BFBFBF"/>
            </w:tcBorders>
            <w:shd w:val="clear" w:color="000000" w:fill="FFFFFF"/>
            <w:noWrap/>
            <w:hideMark/>
          </w:tcPr>
          <w:p w14:paraId="7195C369" w14:textId="77777777" w:rsidR="009A2B13" w:rsidRPr="009E57C8" w:rsidRDefault="009A2B13" w:rsidP="00CF3752">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&gt;2037</w:t>
            </w:r>
          </w:p>
        </w:tc>
        <w:tc>
          <w:tcPr>
            <w:tcW w:w="985" w:type="dxa"/>
            <w:tcBorders>
              <w:top w:val="nil"/>
              <w:left w:val="nil"/>
              <w:bottom w:val="single" w:sz="4" w:space="0" w:color="BFBFBF"/>
              <w:right w:val="single" w:sz="4" w:space="0" w:color="BFBFBF"/>
            </w:tcBorders>
            <w:shd w:val="clear" w:color="000000" w:fill="FFFFFF"/>
            <w:noWrap/>
            <w:hideMark/>
          </w:tcPr>
          <w:p w14:paraId="19767946" w14:textId="77777777" w:rsidR="009A2B13" w:rsidRPr="009E57C8" w:rsidRDefault="009A2B13" w:rsidP="00CF3752">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2034</w:t>
            </w:r>
          </w:p>
        </w:tc>
        <w:tc>
          <w:tcPr>
            <w:tcW w:w="985" w:type="dxa"/>
            <w:tcBorders>
              <w:top w:val="nil"/>
              <w:left w:val="nil"/>
              <w:bottom w:val="single" w:sz="4" w:space="0" w:color="BFBFBF"/>
              <w:right w:val="single" w:sz="4" w:space="0" w:color="BFBFBF"/>
            </w:tcBorders>
            <w:shd w:val="clear" w:color="000000" w:fill="FFFFFF"/>
            <w:noWrap/>
            <w:hideMark/>
          </w:tcPr>
          <w:p w14:paraId="71173C15" w14:textId="77777777" w:rsidR="009A2B13" w:rsidRPr="009E57C8" w:rsidRDefault="009A2B13" w:rsidP="00CF3752">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&gt;2037</w:t>
            </w:r>
          </w:p>
        </w:tc>
      </w:tr>
      <w:tr w:rsidR="00B67713" w:rsidRPr="009E57C8" w14:paraId="07887EA7" w14:textId="77777777" w:rsidTr="00B67713">
        <w:tc>
          <w:tcPr>
            <w:tcW w:w="3933" w:type="dxa"/>
            <w:tcBorders>
              <w:top w:val="nil"/>
              <w:left w:val="single" w:sz="4" w:space="0" w:color="BFBFBF"/>
              <w:bottom w:val="single" w:sz="4" w:space="0" w:color="BFBFBF"/>
              <w:right w:val="single" w:sz="4" w:space="0" w:color="BFBFBF"/>
            </w:tcBorders>
            <w:shd w:val="clear" w:color="auto" w:fill="auto"/>
            <w:noWrap/>
            <w:hideMark/>
          </w:tcPr>
          <w:p w14:paraId="098007D2" w14:textId="77777777" w:rsidR="009A2B13" w:rsidRPr="009E57C8" w:rsidRDefault="009A2B13" w:rsidP="00CF3752">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Lead facility</w:t>
            </w:r>
          </w:p>
        </w:tc>
        <w:tc>
          <w:tcPr>
            <w:tcW w:w="846" w:type="dxa"/>
            <w:tcBorders>
              <w:top w:val="nil"/>
              <w:left w:val="nil"/>
              <w:bottom w:val="single" w:sz="4" w:space="0" w:color="BFBFBF"/>
              <w:right w:val="single" w:sz="4" w:space="0" w:color="BFBFBF"/>
            </w:tcBorders>
            <w:shd w:val="clear" w:color="auto" w:fill="auto"/>
            <w:noWrap/>
            <w:hideMark/>
          </w:tcPr>
          <w:p w14:paraId="0FB8B4E5" w14:textId="77777777" w:rsidR="009A2B13" w:rsidRPr="009E57C8" w:rsidRDefault="009A2B13" w:rsidP="00CF3752">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119</w:t>
            </w:r>
          </w:p>
        </w:tc>
        <w:tc>
          <w:tcPr>
            <w:tcW w:w="931" w:type="dxa"/>
            <w:tcBorders>
              <w:top w:val="nil"/>
              <w:left w:val="nil"/>
              <w:bottom w:val="single" w:sz="4" w:space="0" w:color="BFBFBF"/>
              <w:right w:val="single" w:sz="4" w:space="0" w:color="BFBFBF"/>
            </w:tcBorders>
            <w:shd w:val="clear" w:color="auto" w:fill="FFFFFF" w:themeFill="background1"/>
            <w:noWrap/>
          </w:tcPr>
          <w:p w14:paraId="3C00721C" w14:textId="6F6F5D35" w:rsidR="009A2B13" w:rsidRPr="00B67713" w:rsidRDefault="009A2B13" w:rsidP="00B67713">
            <w:pPr>
              <w:jc w:val="right"/>
              <w:rPr>
                <w:rFonts w:asciiTheme="minorHAnsi" w:eastAsia="Times New Roman" w:hAnsiTheme="minorHAnsi" w:cstheme="minorHAnsi"/>
                <w:color w:val="000000"/>
                <w:sz w:val="20"/>
                <w:szCs w:val="20"/>
                <w:lang w:eastAsia="en-AU"/>
              </w:rPr>
            </w:pPr>
            <w:r w:rsidRPr="00B67713">
              <w:rPr>
                <w:rFonts w:asciiTheme="minorHAnsi" w:eastAsia="Times New Roman" w:hAnsiTheme="minorHAnsi" w:cstheme="minorHAnsi"/>
                <w:color w:val="000000"/>
                <w:sz w:val="20"/>
                <w:szCs w:val="20"/>
                <w:lang w:eastAsia="en-AU"/>
              </w:rPr>
              <w:t>124</w:t>
            </w:r>
          </w:p>
        </w:tc>
        <w:tc>
          <w:tcPr>
            <w:tcW w:w="974" w:type="dxa"/>
            <w:tcBorders>
              <w:top w:val="nil"/>
              <w:left w:val="nil"/>
              <w:bottom w:val="single" w:sz="4" w:space="0" w:color="BFBFBF"/>
              <w:right w:val="single" w:sz="4" w:space="0" w:color="BFBFBF"/>
            </w:tcBorders>
            <w:shd w:val="clear" w:color="auto" w:fill="FFFFFF" w:themeFill="background1"/>
            <w:noWrap/>
          </w:tcPr>
          <w:p w14:paraId="7826697F" w14:textId="25205D1F" w:rsidR="009A2B13" w:rsidRPr="00B67713" w:rsidRDefault="009A2B13" w:rsidP="00B67713">
            <w:pPr>
              <w:jc w:val="right"/>
              <w:rPr>
                <w:rFonts w:asciiTheme="minorHAnsi" w:eastAsia="Times New Roman" w:hAnsiTheme="minorHAnsi" w:cstheme="minorHAnsi"/>
                <w:color w:val="000000"/>
                <w:sz w:val="20"/>
                <w:szCs w:val="20"/>
                <w:lang w:eastAsia="en-AU"/>
              </w:rPr>
            </w:pPr>
            <w:r w:rsidRPr="00B67713">
              <w:rPr>
                <w:rFonts w:asciiTheme="minorHAnsi" w:eastAsia="Times New Roman" w:hAnsiTheme="minorHAnsi" w:cstheme="minorHAnsi"/>
                <w:color w:val="000000"/>
                <w:sz w:val="20"/>
                <w:szCs w:val="20"/>
                <w:lang w:eastAsia="en-AU"/>
              </w:rPr>
              <w:t>71</w:t>
            </w:r>
          </w:p>
        </w:tc>
        <w:tc>
          <w:tcPr>
            <w:tcW w:w="985" w:type="dxa"/>
            <w:tcBorders>
              <w:top w:val="nil"/>
              <w:left w:val="nil"/>
              <w:bottom w:val="single" w:sz="4" w:space="0" w:color="BFBFBF"/>
              <w:right w:val="single" w:sz="4" w:space="0" w:color="BFBFBF"/>
            </w:tcBorders>
            <w:shd w:val="clear" w:color="auto" w:fill="FFFFFF" w:themeFill="background1"/>
            <w:noWrap/>
            <w:hideMark/>
          </w:tcPr>
          <w:p w14:paraId="3C755890" w14:textId="65A1240F" w:rsidR="009A2B13" w:rsidRPr="00B01AA4" w:rsidRDefault="009A2B13" w:rsidP="00B67713">
            <w:pPr>
              <w:jc w:val="right"/>
              <w:rPr>
                <w:rFonts w:asciiTheme="minorHAnsi" w:eastAsia="Times New Roman" w:hAnsiTheme="minorHAnsi" w:cstheme="minorHAnsi"/>
                <w:color w:val="000000"/>
                <w:sz w:val="20"/>
                <w:szCs w:val="20"/>
                <w:lang w:eastAsia="en-AU"/>
              </w:rPr>
            </w:pPr>
            <w:r w:rsidRPr="00B01AA4">
              <w:rPr>
                <w:rFonts w:asciiTheme="minorHAnsi" w:eastAsia="Times New Roman" w:hAnsiTheme="minorHAnsi" w:cstheme="minorHAnsi"/>
                <w:color w:val="000000"/>
                <w:sz w:val="20"/>
                <w:szCs w:val="20"/>
                <w:lang w:eastAsia="en-AU"/>
              </w:rPr>
              <w:t>2023</w:t>
            </w:r>
          </w:p>
        </w:tc>
        <w:tc>
          <w:tcPr>
            <w:tcW w:w="985" w:type="dxa"/>
            <w:tcBorders>
              <w:top w:val="nil"/>
              <w:left w:val="nil"/>
              <w:bottom w:val="single" w:sz="4" w:space="0" w:color="BFBFBF"/>
              <w:right w:val="single" w:sz="4" w:space="0" w:color="BFBFBF"/>
            </w:tcBorders>
            <w:shd w:val="clear" w:color="auto" w:fill="FFFFFF" w:themeFill="background1"/>
            <w:noWrap/>
            <w:hideMark/>
          </w:tcPr>
          <w:p w14:paraId="7CD36FBD" w14:textId="4ECA65E1" w:rsidR="009A2B13" w:rsidRPr="00A20188" w:rsidRDefault="009A2B13" w:rsidP="00B67713">
            <w:pPr>
              <w:jc w:val="right"/>
              <w:rPr>
                <w:rFonts w:asciiTheme="minorHAnsi" w:eastAsia="Times New Roman" w:hAnsiTheme="minorHAnsi" w:cstheme="minorHAnsi"/>
                <w:color w:val="000000"/>
                <w:sz w:val="20"/>
                <w:szCs w:val="20"/>
                <w:lang w:eastAsia="en-AU"/>
              </w:rPr>
            </w:pPr>
            <w:r w:rsidRPr="00A20188">
              <w:rPr>
                <w:rFonts w:asciiTheme="minorHAnsi" w:eastAsia="Times New Roman" w:hAnsiTheme="minorHAnsi" w:cstheme="minorHAnsi"/>
                <w:color w:val="000000"/>
                <w:sz w:val="20"/>
                <w:szCs w:val="20"/>
                <w:lang w:eastAsia="en-AU"/>
              </w:rPr>
              <w:t>2018</w:t>
            </w:r>
          </w:p>
        </w:tc>
        <w:tc>
          <w:tcPr>
            <w:tcW w:w="985" w:type="dxa"/>
            <w:tcBorders>
              <w:top w:val="nil"/>
              <w:left w:val="nil"/>
              <w:bottom w:val="single" w:sz="4" w:space="0" w:color="BFBFBF"/>
              <w:right w:val="single" w:sz="4" w:space="0" w:color="BFBFBF"/>
            </w:tcBorders>
            <w:shd w:val="clear" w:color="auto" w:fill="FFFFFF" w:themeFill="background1"/>
            <w:noWrap/>
            <w:hideMark/>
          </w:tcPr>
          <w:p w14:paraId="5672A749" w14:textId="090DF971" w:rsidR="009A2B13" w:rsidRPr="00F06095" w:rsidRDefault="009A2B13" w:rsidP="00B67713">
            <w:pPr>
              <w:jc w:val="right"/>
              <w:rPr>
                <w:rFonts w:asciiTheme="minorHAnsi" w:eastAsia="Times New Roman" w:hAnsiTheme="minorHAnsi" w:cstheme="minorHAnsi"/>
                <w:color w:val="000000"/>
                <w:sz w:val="20"/>
                <w:szCs w:val="20"/>
                <w:lang w:eastAsia="en-AU"/>
              </w:rPr>
            </w:pPr>
            <w:r w:rsidRPr="00F06095">
              <w:rPr>
                <w:rFonts w:asciiTheme="minorHAnsi" w:eastAsia="Times New Roman" w:hAnsiTheme="minorHAnsi" w:cstheme="minorHAnsi"/>
                <w:color w:val="000000"/>
                <w:sz w:val="20"/>
                <w:szCs w:val="20"/>
                <w:lang w:eastAsia="en-AU"/>
              </w:rPr>
              <w:t>&gt;2037</w:t>
            </w:r>
          </w:p>
        </w:tc>
      </w:tr>
      <w:tr w:rsidR="00B66B51" w:rsidRPr="009E57C8" w14:paraId="4BD94D8C" w14:textId="77777777" w:rsidTr="009D734D">
        <w:tc>
          <w:tcPr>
            <w:tcW w:w="3933" w:type="dxa"/>
            <w:tcBorders>
              <w:top w:val="nil"/>
              <w:left w:val="single" w:sz="4" w:space="0" w:color="BFBFBF"/>
              <w:bottom w:val="single" w:sz="4" w:space="0" w:color="BFBFBF"/>
              <w:right w:val="single" w:sz="4" w:space="0" w:color="BFBFBF"/>
            </w:tcBorders>
            <w:shd w:val="clear" w:color="auto" w:fill="auto"/>
            <w:noWrap/>
            <w:hideMark/>
          </w:tcPr>
          <w:p w14:paraId="1A6F8C0F" w14:textId="77777777" w:rsidR="00B66B51" w:rsidRPr="009E57C8" w:rsidRDefault="00B66B51" w:rsidP="00B66B5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Mercury facility</w:t>
            </w:r>
          </w:p>
        </w:tc>
        <w:tc>
          <w:tcPr>
            <w:tcW w:w="846" w:type="dxa"/>
            <w:tcBorders>
              <w:top w:val="nil"/>
              <w:left w:val="nil"/>
              <w:bottom w:val="single" w:sz="4" w:space="0" w:color="BFBFBF"/>
              <w:right w:val="single" w:sz="4" w:space="0" w:color="BFBFBF"/>
            </w:tcBorders>
            <w:shd w:val="clear" w:color="auto" w:fill="auto"/>
            <w:noWrap/>
            <w:hideMark/>
          </w:tcPr>
          <w:p w14:paraId="445CE88D" w14:textId="77777777" w:rsidR="00B66B51" w:rsidRPr="009E57C8" w:rsidRDefault="00B66B51" w:rsidP="00B66B5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0.2</w:t>
            </w:r>
          </w:p>
        </w:tc>
        <w:tc>
          <w:tcPr>
            <w:tcW w:w="931" w:type="dxa"/>
            <w:tcBorders>
              <w:top w:val="nil"/>
              <w:left w:val="nil"/>
              <w:bottom w:val="single" w:sz="4" w:space="0" w:color="BFBFBF"/>
              <w:right w:val="single" w:sz="4" w:space="0" w:color="BFBFBF"/>
            </w:tcBorders>
            <w:shd w:val="clear" w:color="auto" w:fill="FF0000"/>
            <w:noWrap/>
            <w:hideMark/>
          </w:tcPr>
          <w:p w14:paraId="3B523F8A" w14:textId="18E0C374" w:rsidR="00B66B51" w:rsidRPr="009E57C8" w:rsidRDefault="00B66B51" w:rsidP="00B66B51">
            <w:pPr>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CIC</w:t>
            </w:r>
          </w:p>
        </w:tc>
        <w:tc>
          <w:tcPr>
            <w:tcW w:w="974" w:type="dxa"/>
            <w:tcBorders>
              <w:top w:val="nil"/>
              <w:left w:val="nil"/>
              <w:bottom w:val="single" w:sz="4" w:space="0" w:color="BFBFBF"/>
              <w:right w:val="single" w:sz="4" w:space="0" w:color="BFBFBF"/>
            </w:tcBorders>
            <w:shd w:val="clear" w:color="auto" w:fill="FF0000"/>
            <w:noWrap/>
            <w:hideMark/>
          </w:tcPr>
          <w:p w14:paraId="5D5C7490" w14:textId="01B70AE4" w:rsidR="00B66B51" w:rsidRPr="009E57C8" w:rsidRDefault="00B66B51" w:rsidP="00B66B51">
            <w:pPr>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CIC</w:t>
            </w:r>
            <w:r w:rsidRPr="009E57C8" w:rsidDel="005F36B0">
              <w:rPr>
                <w:rFonts w:asciiTheme="minorHAnsi" w:eastAsia="Times New Roman" w:hAnsiTheme="minorHAnsi" w:cstheme="minorHAnsi"/>
                <w:color w:val="000000"/>
                <w:sz w:val="20"/>
                <w:szCs w:val="20"/>
                <w:lang w:eastAsia="en-AU"/>
              </w:rPr>
              <w:t xml:space="preserve"> </w:t>
            </w:r>
          </w:p>
        </w:tc>
        <w:tc>
          <w:tcPr>
            <w:tcW w:w="985" w:type="dxa"/>
            <w:tcBorders>
              <w:top w:val="nil"/>
              <w:left w:val="nil"/>
              <w:bottom w:val="single" w:sz="4" w:space="0" w:color="BFBFBF"/>
              <w:right w:val="single" w:sz="4" w:space="0" w:color="BFBFBF"/>
            </w:tcBorders>
            <w:shd w:val="clear" w:color="auto" w:fill="FFFFFF" w:themeFill="background1"/>
            <w:noWrap/>
            <w:hideMark/>
          </w:tcPr>
          <w:p w14:paraId="2E5A5162" w14:textId="662986D2" w:rsidR="00B66B51" w:rsidRPr="009E57C8" w:rsidRDefault="00B66B51" w:rsidP="00B66B5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&gt;2037</w:t>
            </w:r>
          </w:p>
        </w:tc>
        <w:tc>
          <w:tcPr>
            <w:tcW w:w="985" w:type="dxa"/>
            <w:tcBorders>
              <w:top w:val="nil"/>
              <w:left w:val="nil"/>
              <w:bottom w:val="single" w:sz="4" w:space="0" w:color="BFBFBF"/>
              <w:right w:val="single" w:sz="4" w:space="0" w:color="BFBFBF"/>
            </w:tcBorders>
            <w:shd w:val="clear" w:color="auto" w:fill="FFFFFF" w:themeFill="background1"/>
            <w:noWrap/>
            <w:hideMark/>
          </w:tcPr>
          <w:p w14:paraId="59F0F46B" w14:textId="6DF79FA8" w:rsidR="00B66B51" w:rsidRPr="009E57C8" w:rsidRDefault="00B66B51" w:rsidP="00B66B5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&gt;2037</w:t>
            </w:r>
          </w:p>
        </w:tc>
        <w:tc>
          <w:tcPr>
            <w:tcW w:w="985" w:type="dxa"/>
            <w:tcBorders>
              <w:top w:val="nil"/>
              <w:left w:val="nil"/>
              <w:bottom w:val="single" w:sz="4" w:space="0" w:color="BFBFBF"/>
              <w:right w:val="single" w:sz="4" w:space="0" w:color="BFBFBF"/>
            </w:tcBorders>
            <w:shd w:val="clear" w:color="auto" w:fill="FFFFFF" w:themeFill="background1"/>
            <w:noWrap/>
            <w:hideMark/>
          </w:tcPr>
          <w:p w14:paraId="0BDD8238" w14:textId="6BAA7CF4" w:rsidR="00B66B51" w:rsidRPr="009E57C8" w:rsidRDefault="00B66B51" w:rsidP="00B66B5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&gt;2037</w:t>
            </w:r>
          </w:p>
        </w:tc>
      </w:tr>
      <w:tr w:rsidR="00B66B51" w:rsidRPr="009E57C8" w14:paraId="1E121DEA" w14:textId="77777777" w:rsidTr="009D734D">
        <w:tc>
          <w:tcPr>
            <w:tcW w:w="3933" w:type="dxa"/>
            <w:tcBorders>
              <w:top w:val="nil"/>
              <w:left w:val="single" w:sz="4" w:space="0" w:color="BFBFBF"/>
              <w:bottom w:val="single" w:sz="4" w:space="0" w:color="BFBFBF"/>
              <w:right w:val="single" w:sz="4" w:space="0" w:color="BFBFBF"/>
            </w:tcBorders>
            <w:shd w:val="clear" w:color="auto" w:fill="auto"/>
            <w:noWrap/>
            <w:hideMark/>
          </w:tcPr>
          <w:p w14:paraId="6A80DE55" w14:textId="77777777" w:rsidR="00B66B51" w:rsidRPr="009E57C8" w:rsidRDefault="00B66B51" w:rsidP="00B66B5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Solvents/paints/organic chemicals facility</w:t>
            </w:r>
          </w:p>
        </w:tc>
        <w:tc>
          <w:tcPr>
            <w:tcW w:w="846" w:type="dxa"/>
            <w:tcBorders>
              <w:top w:val="nil"/>
              <w:left w:val="nil"/>
              <w:bottom w:val="single" w:sz="4" w:space="0" w:color="BFBFBF"/>
              <w:right w:val="single" w:sz="4" w:space="0" w:color="BFBFBF"/>
            </w:tcBorders>
            <w:shd w:val="clear" w:color="auto" w:fill="auto"/>
            <w:noWrap/>
            <w:hideMark/>
          </w:tcPr>
          <w:p w14:paraId="6CDE40FD" w14:textId="77777777" w:rsidR="00B66B51" w:rsidRPr="009E57C8" w:rsidRDefault="00B66B51" w:rsidP="00B66B5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26</w:t>
            </w:r>
          </w:p>
        </w:tc>
        <w:tc>
          <w:tcPr>
            <w:tcW w:w="931" w:type="dxa"/>
            <w:tcBorders>
              <w:top w:val="nil"/>
              <w:left w:val="nil"/>
              <w:bottom w:val="single" w:sz="4" w:space="0" w:color="BFBFBF"/>
              <w:right w:val="single" w:sz="4" w:space="0" w:color="BFBFBF"/>
            </w:tcBorders>
            <w:shd w:val="clear" w:color="auto" w:fill="auto"/>
            <w:noWrap/>
            <w:hideMark/>
          </w:tcPr>
          <w:p w14:paraId="25700925" w14:textId="77777777" w:rsidR="00B66B51" w:rsidRPr="009E57C8" w:rsidRDefault="00B66B51" w:rsidP="00B66B5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14</w:t>
            </w:r>
          </w:p>
        </w:tc>
        <w:tc>
          <w:tcPr>
            <w:tcW w:w="974" w:type="dxa"/>
            <w:tcBorders>
              <w:top w:val="nil"/>
              <w:left w:val="nil"/>
              <w:bottom w:val="single" w:sz="4" w:space="0" w:color="BFBFBF"/>
              <w:right w:val="single" w:sz="4" w:space="0" w:color="BFBFBF"/>
            </w:tcBorders>
            <w:shd w:val="clear" w:color="auto" w:fill="auto"/>
            <w:noWrap/>
            <w:hideMark/>
          </w:tcPr>
          <w:p w14:paraId="561BA52F" w14:textId="77777777" w:rsidR="00B66B51" w:rsidRPr="009E57C8" w:rsidRDefault="00B66B51" w:rsidP="00B66B5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0</w:t>
            </w:r>
          </w:p>
        </w:tc>
        <w:tc>
          <w:tcPr>
            <w:tcW w:w="985" w:type="dxa"/>
            <w:tcBorders>
              <w:top w:val="nil"/>
              <w:left w:val="nil"/>
              <w:bottom w:val="single" w:sz="4" w:space="0" w:color="BFBFBF"/>
              <w:right w:val="single" w:sz="4" w:space="0" w:color="BFBFBF"/>
            </w:tcBorders>
            <w:shd w:val="clear" w:color="000000" w:fill="FFFFFF"/>
            <w:noWrap/>
            <w:hideMark/>
          </w:tcPr>
          <w:p w14:paraId="074846D8" w14:textId="77777777" w:rsidR="00B66B51" w:rsidRPr="009E57C8" w:rsidRDefault="00B66B51" w:rsidP="00B66B5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2018</w:t>
            </w:r>
          </w:p>
        </w:tc>
        <w:tc>
          <w:tcPr>
            <w:tcW w:w="985" w:type="dxa"/>
            <w:tcBorders>
              <w:top w:val="nil"/>
              <w:left w:val="nil"/>
              <w:bottom w:val="single" w:sz="4" w:space="0" w:color="BFBFBF"/>
              <w:right w:val="single" w:sz="4" w:space="0" w:color="BFBFBF"/>
            </w:tcBorders>
            <w:shd w:val="clear" w:color="000000" w:fill="FFFFFF"/>
            <w:noWrap/>
            <w:hideMark/>
          </w:tcPr>
          <w:p w14:paraId="7AD2814A" w14:textId="77777777" w:rsidR="00B66B51" w:rsidRPr="009E57C8" w:rsidRDefault="00B66B51" w:rsidP="00B66B5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2018</w:t>
            </w:r>
          </w:p>
        </w:tc>
        <w:tc>
          <w:tcPr>
            <w:tcW w:w="985" w:type="dxa"/>
            <w:tcBorders>
              <w:top w:val="nil"/>
              <w:left w:val="nil"/>
              <w:bottom w:val="single" w:sz="4" w:space="0" w:color="BFBFBF"/>
              <w:right w:val="single" w:sz="4" w:space="0" w:color="BFBFBF"/>
            </w:tcBorders>
            <w:shd w:val="clear" w:color="000000" w:fill="FFFFFF"/>
            <w:noWrap/>
            <w:hideMark/>
          </w:tcPr>
          <w:p w14:paraId="78B6F641" w14:textId="77777777" w:rsidR="00B66B51" w:rsidRPr="009E57C8" w:rsidRDefault="00B66B51" w:rsidP="00B66B5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2018</w:t>
            </w:r>
          </w:p>
        </w:tc>
      </w:tr>
      <w:tr w:rsidR="00B66B51" w:rsidRPr="009E57C8" w14:paraId="162918C5" w14:textId="77777777" w:rsidTr="009D734D">
        <w:tc>
          <w:tcPr>
            <w:tcW w:w="3933" w:type="dxa"/>
            <w:tcBorders>
              <w:top w:val="nil"/>
              <w:left w:val="single" w:sz="4" w:space="0" w:color="BFBFBF"/>
              <w:bottom w:val="single" w:sz="4" w:space="0" w:color="BFBFBF"/>
              <w:right w:val="single" w:sz="4" w:space="0" w:color="BFBFBF"/>
            </w:tcBorders>
            <w:shd w:val="clear" w:color="auto" w:fill="D9D9D9" w:themeFill="background1" w:themeFillShade="D9"/>
            <w:noWrap/>
            <w:hideMark/>
          </w:tcPr>
          <w:p w14:paraId="38126F0D" w14:textId="77777777" w:rsidR="00B66B51" w:rsidRPr="009E57C8" w:rsidRDefault="00B66B51" w:rsidP="00B66B5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Organics processing facility</w:t>
            </w:r>
          </w:p>
        </w:tc>
        <w:tc>
          <w:tcPr>
            <w:tcW w:w="846" w:type="dxa"/>
            <w:tcBorders>
              <w:top w:val="nil"/>
              <w:left w:val="nil"/>
              <w:bottom w:val="single" w:sz="4" w:space="0" w:color="BFBFBF"/>
              <w:right w:val="single" w:sz="4" w:space="0" w:color="BFBFBF"/>
            </w:tcBorders>
            <w:shd w:val="clear" w:color="auto" w:fill="D9D9D9" w:themeFill="background1" w:themeFillShade="D9"/>
            <w:noWrap/>
            <w:hideMark/>
          </w:tcPr>
          <w:p w14:paraId="363B25C8" w14:textId="77777777" w:rsidR="00B66B51" w:rsidRPr="009E57C8" w:rsidRDefault="00B66B51" w:rsidP="00B66B5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600</w:t>
            </w:r>
          </w:p>
        </w:tc>
        <w:tc>
          <w:tcPr>
            <w:tcW w:w="931" w:type="dxa"/>
            <w:tcBorders>
              <w:top w:val="nil"/>
              <w:left w:val="nil"/>
              <w:bottom w:val="single" w:sz="4" w:space="0" w:color="BFBFBF"/>
              <w:right w:val="single" w:sz="4" w:space="0" w:color="BFBFBF"/>
            </w:tcBorders>
            <w:shd w:val="clear" w:color="auto" w:fill="D9D9D9" w:themeFill="background1" w:themeFillShade="D9"/>
            <w:noWrap/>
            <w:hideMark/>
          </w:tcPr>
          <w:p w14:paraId="16253E41" w14:textId="77777777" w:rsidR="00B66B51" w:rsidRPr="009E57C8" w:rsidRDefault="00B66B51" w:rsidP="00B66B5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106</w:t>
            </w:r>
          </w:p>
        </w:tc>
        <w:tc>
          <w:tcPr>
            <w:tcW w:w="974" w:type="dxa"/>
            <w:tcBorders>
              <w:top w:val="nil"/>
              <w:left w:val="nil"/>
              <w:bottom w:val="single" w:sz="4" w:space="0" w:color="BFBFBF"/>
              <w:right w:val="single" w:sz="4" w:space="0" w:color="BFBFBF"/>
            </w:tcBorders>
            <w:shd w:val="clear" w:color="auto" w:fill="D9D9D9" w:themeFill="background1" w:themeFillShade="D9"/>
            <w:noWrap/>
            <w:hideMark/>
          </w:tcPr>
          <w:p w14:paraId="2DD1F9DD" w14:textId="77777777" w:rsidR="00B66B51" w:rsidRPr="009E57C8" w:rsidRDefault="00B66B51" w:rsidP="00B66B5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0</w:t>
            </w:r>
          </w:p>
        </w:tc>
        <w:tc>
          <w:tcPr>
            <w:tcW w:w="985" w:type="dxa"/>
            <w:tcBorders>
              <w:top w:val="nil"/>
              <w:left w:val="nil"/>
              <w:bottom w:val="single" w:sz="4" w:space="0" w:color="BFBFBF"/>
              <w:right w:val="single" w:sz="4" w:space="0" w:color="BFBFBF"/>
            </w:tcBorders>
            <w:shd w:val="clear" w:color="auto" w:fill="D9D9D9" w:themeFill="background1" w:themeFillShade="D9"/>
            <w:noWrap/>
            <w:hideMark/>
          </w:tcPr>
          <w:p w14:paraId="1071D6E4" w14:textId="77777777" w:rsidR="00B66B51" w:rsidRPr="009E57C8" w:rsidRDefault="00B66B51" w:rsidP="00B66B5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2018</w:t>
            </w:r>
          </w:p>
        </w:tc>
        <w:tc>
          <w:tcPr>
            <w:tcW w:w="985" w:type="dxa"/>
            <w:tcBorders>
              <w:top w:val="nil"/>
              <w:left w:val="nil"/>
              <w:bottom w:val="single" w:sz="4" w:space="0" w:color="BFBFBF"/>
              <w:right w:val="single" w:sz="4" w:space="0" w:color="BFBFBF"/>
            </w:tcBorders>
            <w:shd w:val="clear" w:color="auto" w:fill="D9D9D9" w:themeFill="background1" w:themeFillShade="D9"/>
            <w:noWrap/>
            <w:hideMark/>
          </w:tcPr>
          <w:p w14:paraId="7A4D9EB3" w14:textId="77777777" w:rsidR="00B66B51" w:rsidRPr="009E57C8" w:rsidRDefault="00B66B51" w:rsidP="00B66B5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2018</w:t>
            </w:r>
          </w:p>
        </w:tc>
        <w:tc>
          <w:tcPr>
            <w:tcW w:w="985" w:type="dxa"/>
            <w:tcBorders>
              <w:top w:val="nil"/>
              <w:left w:val="nil"/>
              <w:bottom w:val="single" w:sz="4" w:space="0" w:color="BFBFBF"/>
              <w:right w:val="single" w:sz="4" w:space="0" w:color="BFBFBF"/>
            </w:tcBorders>
            <w:shd w:val="clear" w:color="auto" w:fill="D9D9D9" w:themeFill="background1" w:themeFillShade="D9"/>
            <w:noWrap/>
            <w:hideMark/>
          </w:tcPr>
          <w:p w14:paraId="0ECE29DF" w14:textId="77777777" w:rsidR="00B66B51" w:rsidRPr="009E57C8" w:rsidRDefault="00B66B51" w:rsidP="00B66B5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2018</w:t>
            </w:r>
          </w:p>
        </w:tc>
      </w:tr>
      <w:tr w:rsidR="00B66B51" w:rsidRPr="009E57C8" w14:paraId="300C2206" w14:textId="77777777" w:rsidTr="009D734D">
        <w:tc>
          <w:tcPr>
            <w:tcW w:w="3933" w:type="dxa"/>
            <w:tcBorders>
              <w:top w:val="nil"/>
              <w:left w:val="single" w:sz="4" w:space="0" w:color="BFBFBF"/>
              <w:bottom w:val="single" w:sz="4" w:space="0" w:color="BFBFBF"/>
              <w:right w:val="single" w:sz="4" w:space="0" w:color="BFBFBF"/>
            </w:tcBorders>
            <w:shd w:val="clear" w:color="auto" w:fill="auto"/>
            <w:noWrap/>
            <w:hideMark/>
          </w:tcPr>
          <w:p w14:paraId="41A7FF5B" w14:textId="77777777" w:rsidR="00B66B51" w:rsidRPr="009E57C8" w:rsidRDefault="00B66B51" w:rsidP="00B66B5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EOLT facility</w:t>
            </w:r>
          </w:p>
        </w:tc>
        <w:tc>
          <w:tcPr>
            <w:tcW w:w="846" w:type="dxa"/>
            <w:tcBorders>
              <w:top w:val="nil"/>
              <w:left w:val="nil"/>
              <w:bottom w:val="single" w:sz="4" w:space="0" w:color="BFBFBF"/>
              <w:right w:val="single" w:sz="4" w:space="0" w:color="BFBFBF"/>
            </w:tcBorders>
            <w:shd w:val="clear" w:color="auto" w:fill="auto"/>
            <w:noWrap/>
            <w:hideMark/>
          </w:tcPr>
          <w:p w14:paraId="64FC0BF7" w14:textId="77777777" w:rsidR="00B66B51" w:rsidRPr="009E57C8" w:rsidRDefault="00B66B51" w:rsidP="00B66B5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47</w:t>
            </w:r>
          </w:p>
        </w:tc>
        <w:tc>
          <w:tcPr>
            <w:tcW w:w="931" w:type="dxa"/>
            <w:tcBorders>
              <w:top w:val="nil"/>
              <w:left w:val="nil"/>
              <w:bottom w:val="single" w:sz="4" w:space="0" w:color="BFBFBF"/>
              <w:right w:val="single" w:sz="4" w:space="0" w:color="BFBFBF"/>
            </w:tcBorders>
            <w:shd w:val="clear" w:color="auto" w:fill="auto"/>
            <w:noWrap/>
            <w:hideMark/>
          </w:tcPr>
          <w:p w14:paraId="3463EEA1" w14:textId="77777777" w:rsidR="00B66B51" w:rsidRPr="009E57C8" w:rsidRDefault="00B66B51" w:rsidP="00B66B5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100</w:t>
            </w:r>
          </w:p>
        </w:tc>
        <w:tc>
          <w:tcPr>
            <w:tcW w:w="974" w:type="dxa"/>
            <w:tcBorders>
              <w:top w:val="nil"/>
              <w:left w:val="nil"/>
              <w:bottom w:val="single" w:sz="4" w:space="0" w:color="BFBFBF"/>
              <w:right w:val="single" w:sz="4" w:space="0" w:color="BFBFBF"/>
            </w:tcBorders>
            <w:shd w:val="clear" w:color="auto" w:fill="auto"/>
            <w:noWrap/>
            <w:hideMark/>
          </w:tcPr>
          <w:p w14:paraId="78C65F8A" w14:textId="77777777" w:rsidR="00B66B51" w:rsidRPr="009E57C8" w:rsidRDefault="00B66B51" w:rsidP="00B66B5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9</w:t>
            </w:r>
          </w:p>
        </w:tc>
        <w:tc>
          <w:tcPr>
            <w:tcW w:w="985" w:type="dxa"/>
            <w:tcBorders>
              <w:top w:val="nil"/>
              <w:left w:val="nil"/>
              <w:bottom w:val="single" w:sz="4" w:space="0" w:color="BFBFBF"/>
              <w:right w:val="single" w:sz="4" w:space="0" w:color="BFBFBF"/>
            </w:tcBorders>
            <w:shd w:val="clear" w:color="000000" w:fill="FFFFFF"/>
            <w:noWrap/>
            <w:hideMark/>
          </w:tcPr>
          <w:p w14:paraId="1FA01B78" w14:textId="77777777" w:rsidR="00B66B51" w:rsidRPr="009E57C8" w:rsidRDefault="00B66B51" w:rsidP="00B66B5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&gt;2037</w:t>
            </w:r>
          </w:p>
        </w:tc>
        <w:tc>
          <w:tcPr>
            <w:tcW w:w="985" w:type="dxa"/>
            <w:tcBorders>
              <w:top w:val="nil"/>
              <w:left w:val="nil"/>
              <w:bottom w:val="single" w:sz="4" w:space="0" w:color="BFBFBF"/>
              <w:right w:val="single" w:sz="4" w:space="0" w:color="BFBFBF"/>
            </w:tcBorders>
            <w:shd w:val="clear" w:color="000000" w:fill="FFFFFF"/>
            <w:noWrap/>
            <w:hideMark/>
          </w:tcPr>
          <w:p w14:paraId="5C4A9FA3" w14:textId="77777777" w:rsidR="00B66B51" w:rsidRPr="009E57C8" w:rsidRDefault="00B66B51" w:rsidP="00B66B5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&gt;2037</w:t>
            </w:r>
          </w:p>
        </w:tc>
        <w:tc>
          <w:tcPr>
            <w:tcW w:w="985" w:type="dxa"/>
            <w:tcBorders>
              <w:top w:val="nil"/>
              <w:left w:val="nil"/>
              <w:bottom w:val="single" w:sz="4" w:space="0" w:color="BFBFBF"/>
              <w:right w:val="single" w:sz="4" w:space="0" w:color="BFBFBF"/>
            </w:tcBorders>
            <w:shd w:val="clear" w:color="000000" w:fill="FFFFFF"/>
            <w:noWrap/>
            <w:hideMark/>
          </w:tcPr>
          <w:p w14:paraId="35DB1046" w14:textId="77777777" w:rsidR="00B66B51" w:rsidRPr="009E57C8" w:rsidRDefault="00B66B51" w:rsidP="00B66B5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&gt;2037</w:t>
            </w:r>
          </w:p>
        </w:tc>
      </w:tr>
      <w:tr w:rsidR="004A1344" w:rsidRPr="009E57C8" w14:paraId="17E8B7AA" w14:textId="77777777" w:rsidTr="009D734D">
        <w:tc>
          <w:tcPr>
            <w:tcW w:w="3933" w:type="dxa"/>
            <w:tcBorders>
              <w:top w:val="nil"/>
              <w:left w:val="single" w:sz="4" w:space="0" w:color="BFBFBF"/>
              <w:bottom w:val="single" w:sz="4" w:space="0" w:color="BFBFBF"/>
              <w:right w:val="single" w:sz="4" w:space="0" w:color="BFBFBF"/>
            </w:tcBorders>
            <w:shd w:val="clear" w:color="auto" w:fill="auto"/>
            <w:noWrap/>
            <w:hideMark/>
          </w:tcPr>
          <w:p w14:paraId="5C821CCA" w14:textId="77777777" w:rsidR="004A1344" w:rsidRPr="009E57C8" w:rsidRDefault="004A1344" w:rsidP="004A1344">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SPL facility</w:t>
            </w:r>
          </w:p>
        </w:tc>
        <w:tc>
          <w:tcPr>
            <w:tcW w:w="846" w:type="dxa"/>
            <w:tcBorders>
              <w:top w:val="nil"/>
              <w:left w:val="nil"/>
              <w:bottom w:val="single" w:sz="4" w:space="0" w:color="BFBFBF"/>
              <w:right w:val="single" w:sz="4" w:space="0" w:color="BFBFBF"/>
            </w:tcBorders>
            <w:shd w:val="clear" w:color="auto" w:fill="auto"/>
            <w:noWrap/>
            <w:hideMark/>
          </w:tcPr>
          <w:p w14:paraId="06975EB5" w14:textId="77777777" w:rsidR="004A1344" w:rsidRPr="009E57C8" w:rsidRDefault="004A1344" w:rsidP="004A1344">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46</w:t>
            </w:r>
          </w:p>
        </w:tc>
        <w:tc>
          <w:tcPr>
            <w:tcW w:w="931" w:type="dxa"/>
            <w:tcBorders>
              <w:top w:val="nil"/>
              <w:left w:val="nil"/>
              <w:bottom w:val="single" w:sz="4" w:space="0" w:color="BFBFBF"/>
              <w:right w:val="single" w:sz="4" w:space="0" w:color="BFBFBF"/>
            </w:tcBorders>
            <w:shd w:val="clear" w:color="auto" w:fill="FF0000"/>
            <w:noWrap/>
            <w:hideMark/>
          </w:tcPr>
          <w:p w14:paraId="7818F9C0" w14:textId="622616C2" w:rsidR="004A1344" w:rsidRPr="009E57C8" w:rsidRDefault="004A1344" w:rsidP="004A1344">
            <w:pPr>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CIC</w:t>
            </w:r>
          </w:p>
        </w:tc>
        <w:tc>
          <w:tcPr>
            <w:tcW w:w="974" w:type="dxa"/>
            <w:tcBorders>
              <w:top w:val="nil"/>
              <w:left w:val="nil"/>
              <w:bottom w:val="single" w:sz="4" w:space="0" w:color="BFBFBF"/>
              <w:right w:val="single" w:sz="4" w:space="0" w:color="BFBFBF"/>
            </w:tcBorders>
            <w:shd w:val="clear" w:color="auto" w:fill="FF0000"/>
            <w:noWrap/>
            <w:hideMark/>
          </w:tcPr>
          <w:p w14:paraId="71323D33" w14:textId="6A43F39B" w:rsidR="004A1344" w:rsidRPr="009E57C8" w:rsidRDefault="004A1344" w:rsidP="004A1344">
            <w:pPr>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CIC</w:t>
            </w:r>
            <w:r w:rsidRPr="009E57C8" w:rsidDel="005F36B0">
              <w:rPr>
                <w:rFonts w:asciiTheme="minorHAnsi" w:eastAsia="Times New Roman" w:hAnsiTheme="minorHAnsi" w:cstheme="minorHAnsi"/>
                <w:color w:val="000000"/>
                <w:sz w:val="20"/>
                <w:szCs w:val="20"/>
                <w:lang w:eastAsia="en-AU"/>
              </w:rPr>
              <w:t xml:space="preserve"> </w:t>
            </w:r>
          </w:p>
        </w:tc>
        <w:tc>
          <w:tcPr>
            <w:tcW w:w="985" w:type="dxa"/>
            <w:tcBorders>
              <w:top w:val="nil"/>
              <w:left w:val="nil"/>
              <w:bottom w:val="single" w:sz="4" w:space="0" w:color="BFBFBF"/>
              <w:right w:val="single" w:sz="4" w:space="0" w:color="BFBFBF"/>
            </w:tcBorders>
            <w:shd w:val="clear" w:color="auto" w:fill="FFFFFF" w:themeFill="background1"/>
            <w:noWrap/>
            <w:hideMark/>
          </w:tcPr>
          <w:p w14:paraId="781A431D" w14:textId="06889DAC" w:rsidR="004A1344" w:rsidRPr="009E57C8" w:rsidRDefault="004A1344" w:rsidP="004A1344">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&gt;2037</w:t>
            </w:r>
          </w:p>
        </w:tc>
        <w:tc>
          <w:tcPr>
            <w:tcW w:w="985" w:type="dxa"/>
            <w:tcBorders>
              <w:top w:val="nil"/>
              <w:left w:val="nil"/>
              <w:bottom w:val="single" w:sz="4" w:space="0" w:color="BFBFBF"/>
              <w:right w:val="single" w:sz="4" w:space="0" w:color="BFBFBF"/>
            </w:tcBorders>
            <w:shd w:val="clear" w:color="auto" w:fill="FFFFFF" w:themeFill="background1"/>
            <w:noWrap/>
            <w:hideMark/>
          </w:tcPr>
          <w:p w14:paraId="228DB236" w14:textId="4D177701" w:rsidR="004A1344" w:rsidRPr="009E57C8" w:rsidRDefault="004A1344" w:rsidP="004A1344">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2020</w:t>
            </w:r>
          </w:p>
        </w:tc>
        <w:tc>
          <w:tcPr>
            <w:tcW w:w="985" w:type="dxa"/>
            <w:tcBorders>
              <w:top w:val="nil"/>
              <w:left w:val="nil"/>
              <w:bottom w:val="single" w:sz="4" w:space="0" w:color="BFBFBF"/>
              <w:right w:val="single" w:sz="4" w:space="0" w:color="BFBFBF"/>
            </w:tcBorders>
            <w:shd w:val="clear" w:color="auto" w:fill="FFFFFF" w:themeFill="background1"/>
            <w:noWrap/>
            <w:hideMark/>
          </w:tcPr>
          <w:p w14:paraId="30FA9311" w14:textId="03792483" w:rsidR="004A1344" w:rsidRPr="009E57C8" w:rsidRDefault="004A1344" w:rsidP="004A1344">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&gt;2037</w:t>
            </w:r>
          </w:p>
        </w:tc>
      </w:tr>
      <w:tr w:rsidR="00760D21" w:rsidRPr="009E57C8" w14:paraId="224A7C58" w14:textId="77777777" w:rsidTr="009D734D">
        <w:tc>
          <w:tcPr>
            <w:tcW w:w="3933" w:type="dxa"/>
            <w:tcBorders>
              <w:top w:val="nil"/>
              <w:left w:val="single" w:sz="4" w:space="0" w:color="BFBFBF"/>
              <w:bottom w:val="single" w:sz="4" w:space="0" w:color="BFBFBF"/>
              <w:right w:val="single" w:sz="4" w:space="0" w:color="BFBFBF"/>
            </w:tcBorders>
            <w:shd w:val="clear" w:color="auto" w:fill="auto"/>
            <w:noWrap/>
            <w:hideMark/>
          </w:tcPr>
          <w:p w14:paraId="55DAA8FB" w14:textId="2E0EC895"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Energy recovery</w:t>
            </w:r>
          </w:p>
        </w:tc>
        <w:tc>
          <w:tcPr>
            <w:tcW w:w="846" w:type="dxa"/>
            <w:tcBorders>
              <w:top w:val="nil"/>
              <w:left w:val="nil"/>
              <w:bottom w:val="single" w:sz="4" w:space="0" w:color="BFBFBF"/>
              <w:right w:val="single" w:sz="4" w:space="0" w:color="BFBFBF"/>
            </w:tcBorders>
            <w:shd w:val="clear" w:color="auto" w:fill="auto"/>
            <w:noWrap/>
            <w:hideMark/>
          </w:tcPr>
          <w:p w14:paraId="4091962D"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w:t>
            </w:r>
          </w:p>
        </w:tc>
        <w:tc>
          <w:tcPr>
            <w:tcW w:w="931" w:type="dxa"/>
            <w:tcBorders>
              <w:top w:val="nil"/>
              <w:left w:val="nil"/>
              <w:bottom w:val="single" w:sz="4" w:space="0" w:color="BFBFBF"/>
              <w:right w:val="single" w:sz="4" w:space="0" w:color="BFBFBF"/>
            </w:tcBorders>
            <w:shd w:val="clear" w:color="auto" w:fill="FF0000"/>
            <w:noWrap/>
            <w:hideMark/>
          </w:tcPr>
          <w:p w14:paraId="2C3B12E4" w14:textId="4BE56710" w:rsidR="00760D21" w:rsidRPr="009E57C8" w:rsidRDefault="00760D21" w:rsidP="00760D21">
            <w:pPr>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CIC</w:t>
            </w:r>
          </w:p>
        </w:tc>
        <w:tc>
          <w:tcPr>
            <w:tcW w:w="974" w:type="dxa"/>
            <w:tcBorders>
              <w:top w:val="nil"/>
              <w:left w:val="nil"/>
              <w:bottom w:val="single" w:sz="4" w:space="0" w:color="BFBFBF"/>
              <w:right w:val="single" w:sz="4" w:space="0" w:color="BFBFBF"/>
            </w:tcBorders>
            <w:shd w:val="clear" w:color="auto" w:fill="FF0000"/>
            <w:noWrap/>
            <w:hideMark/>
          </w:tcPr>
          <w:p w14:paraId="715086CC" w14:textId="3AAF9DEA" w:rsidR="00760D21" w:rsidRPr="009E57C8" w:rsidRDefault="00760D21" w:rsidP="00760D21">
            <w:pPr>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CIC</w:t>
            </w:r>
            <w:r w:rsidRPr="009E57C8" w:rsidDel="005F36B0">
              <w:rPr>
                <w:rFonts w:asciiTheme="minorHAnsi" w:eastAsia="Times New Roman" w:hAnsiTheme="minorHAnsi" w:cstheme="minorHAnsi"/>
                <w:color w:val="000000"/>
                <w:sz w:val="20"/>
                <w:szCs w:val="20"/>
                <w:lang w:eastAsia="en-AU"/>
              </w:rPr>
              <w:t xml:space="preserve"> </w:t>
            </w:r>
          </w:p>
        </w:tc>
        <w:tc>
          <w:tcPr>
            <w:tcW w:w="985" w:type="dxa"/>
            <w:tcBorders>
              <w:top w:val="nil"/>
              <w:left w:val="nil"/>
              <w:bottom w:val="single" w:sz="4" w:space="0" w:color="BFBFBF"/>
              <w:right w:val="single" w:sz="4" w:space="0" w:color="BFBFBF"/>
            </w:tcBorders>
            <w:shd w:val="clear" w:color="auto" w:fill="FFFFFF" w:themeFill="background1"/>
            <w:noWrap/>
            <w:hideMark/>
          </w:tcPr>
          <w:p w14:paraId="551C61B1" w14:textId="2E66BEF9"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&gt;2037</w:t>
            </w:r>
          </w:p>
        </w:tc>
        <w:tc>
          <w:tcPr>
            <w:tcW w:w="985" w:type="dxa"/>
            <w:tcBorders>
              <w:top w:val="nil"/>
              <w:left w:val="nil"/>
              <w:bottom w:val="single" w:sz="4" w:space="0" w:color="BFBFBF"/>
              <w:right w:val="single" w:sz="4" w:space="0" w:color="BFBFBF"/>
            </w:tcBorders>
            <w:shd w:val="clear" w:color="auto" w:fill="FFFFFF" w:themeFill="background1"/>
            <w:noWrap/>
            <w:hideMark/>
          </w:tcPr>
          <w:p w14:paraId="3CDC9785" w14:textId="752BF712"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&gt;2037</w:t>
            </w:r>
          </w:p>
        </w:tc>
        <w:tc>
          <w:tcPr>
            <w:tcW w:w="985" w:type="dxa"/>
            <w:tcBorders>
              <w:top w:val="nil"/>
              <w:left w:val="nil"/>
              <w:bottom w:val="single" w:sz="4" w:space="0" w:color="BFBFBF"/>
              <w:right w:val="single" w:sz="4" w:space="0" w:color="BFBFBF"/>
            </w:tcBorders>
            <w:shd w:val="clear" w:color="auto" w:fill="FFFFFF" w:themeFill="background1"/>
            <w:noWrap/>
            <w:hideMark/>
          </w:tcPr>
          <w:p w14:paraId="75ADA972" w14:textId="7E65EF04"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&gt;2037</w:t>
            </w:r>
          </w:p>
        </w:tc>
      </w:tr>
      <w:tr w:rsidR="00760D21" w:rsidRPr="009E57C8" w14:paraId="780D2E5A" w14:textId="77777777" w:rsidTr="009D734D">
        <w:tc>
          <w:tcPr>
            <w:tcW w:w="3933" w:type="dxa"/>
            <w:tcBorders>
              <w:top w:val="nil"/>
              <w:left w:val="single" w:sz="4" w:space="0" w:color="BFBFBF"/>
              <w:bottom w:val="single" w:sz="4" w:space="0" w:color="BFBFBF"/>
              <w:right w:val="single" w:sz="4" w:space="0" w:color="BFBFBF"/>
            </w:tcBorders>
            <w:shd w:val="clear" w:color="000000" w:fill="C5D9F1"/>
            <w:noWrap/>
            <w:hideMark/>
          </w:tcPr>
          <w:p w14:paraId="1E90EE3F" w14:textId="0831DB11" w:rsidR="00760D21" w:rsidRPr="009E57C8" w:rsidRDefault="00760D21" w:rsidP="00760D21">
            <w:pPr>
              <w:jc w:val="right"/>
              <w:rPr>
                <w:rFonts w:asciiTheme="minorHAnsi" w:eastAsia="Times New Roman" w:hAnsiTheme="minorHAnsi" w:cstheme="minorHAnsi"/>
                <w:b/>
                <w:bCs/>
                <w:color w:val="000000"/>
                <w:sz w:val="20"/>
                <w:szCs w:val="20"/>
                <w:lang w:eastAsia="en-AU"/>
              </w:rPr>
            </w:pPr>
            <w:r w:rsidRPr="009E57C8">
              <w:rPr>
                <w:rFonts w:asciiTheme="minorHAnsi" w:eastAsia="Times New Roman" w:hAnsiTheme="minorHAnsi" w:cstheme="minorHAnsi"/>
                <w:b/>
                <w:bCs/>
                <w:color w:val="000000"/>
                <w:sz w:val="20"/>
                <w:szCs w:val="20"/>
                <w:lang w:eastAsia="en-AU"/>
              </w:rPr>
              <w:t>Treatment</w:t>
            </w:r>
          </w:p>
        </w:tc>
        <w:tc>
          <w:tcPr>
            <w:tcW w:w="846" w:type="dxa"/>
            <w:tcBorders>
              <w:top w:val="nil"/>
              <w:left w:val="nil"/>
              <w:bottom w:val="single" w:sz="4" w:space="0" w:color="BFBFBF"/>
              <w:right w:val="single" w:sz="4" w:space="0" w:color="BFBFBF"/>
            </w:tcBorders>
            <w:shd w:val="clear" w:color="000000" w:fill="C5D9F1"/>
            <w:noWrap/>
            <w:hideMark/>
          </w:tcPr>
          <w:p w14:paraId="3910BC28" w14:textId="7BADD3F8" w:rsidR="00760D21" w:rsidRPr="009E57C8" w:rsidRDefault="00760D21" w:rsidP="00760D21">
            <w:pPr>
              <w:jc w:val="right"/>
              <w:rPr>
                <w:rFonts w:asciiTheme="minorHAnsi" w:eastAsia="Times New Roman" w:hAnsiTheme="minorHAnsi" w:cstheme="minorHAnsi"/>
                <w:color w:val="000000"/>
                <w:sz w:val="20"/>
                <w:szCs w:val="20"/>
                <w:lang w:eastAsia="en-AU"/>
              </w:rPr>
            </w:pPr>
          </w:p>
        </w:tc>
        <w:tc>
          <w:tcPr>
            <w:tcW w:w="931" w:type="dxa"/>
            <w:tcBorders>
              <w:top w:val="nil"/>
              <w:left w:val="nil"/>
              <w:bottom w:val="single" w:sz="4" w:space="0" w:color="BFBFBF"/>
              <w:right w:val="single" w:sz="4" w:space="0" w:color="BFBFBF"/>
            </w:tcBorders>
            <w:shd w:val="clear" w:color="000000" w:fill="C5D9F1"/>
            <w:noWrap/>
            <w:hideMark/>
          </w:tcPr>
          <w:p w14:paraId="520F1921" w14:textId="56A9C528" w:rsidR="00760D21" w:rsidRPr="009E57C8" w:rsidRDefault="00760D21" w:rsidP="00760D21">
            <w:pPr>
              <w:jc w:val="right"/>
              <w:rPr>
                <w:rFonts w:asciiTheme="minorHAnsi" w:eastAsia="Times New Roman" w:hAnsiTheme="minorHAnsi" w:cstheme="minorHAnsi"/>
                <w:color w:val="000000"/>
                <w:sz w:val="20"/>
                <w:szCs w:val="20"/>
                <w:lang w:eastAsia="en-AU"/>
              </w:rPr>
            </w:pPr>
          </w:p>
        </w:tc>
        <w:tc>
          <w:tcPr>
            <w:tcW w:w="974" w:type="dxa"/>
            <w:tcBorders>
              <w:top w:val="nil"/>
              <w:left w:val="nil"/>
              <w:bottom w:val="single" w:sz="4" w:space="0" w:color="BFBFBF"/>
              <w:right w:val="single" w:sz="4" w:space="0" w:color="BFBFBF"/>
            </w:tcBorders>
            <w:shd w:val="clear" w:color="000000" w:fill="C5D9F1"/>
            <w:noWrap/>
            <w:hideMark/>
          </w:tcPr>
          <w:p w14:paraId="2843F596" w14:textId="49FD774F" w:rsidR="00760D21" w:rsidRPr="009E57C8" w:rsidRDefault="00760D21" w:rsidP="00760D21">
            <w:pPr>
              <w:jc w:val="right"/>
              <w:rPr>
                <w:rFonts w:asciiTheme="minorHAnsi" w:eastAsia="Times New Roman" w:hAnsiTheme="minorHAnsi" w:cstheme="minorHAnsi"/>
                <w:color w:val="000000"/>
                <w:sz w:val="20"/>
                <w:szCs w:val="20"/>
                <w:lang w:eastAsia="en-AU"/>
              </w:rPr>
            </w:pPr>
          </w:p>
        </w:tc>
        <w:tc>
          <w:tcPr>
            <w:tcW w:w="985" w:type="dxa"/>
            <w:tcBorders>
              <w:top w:val="nil"/>
              <w:left w:val="nil"/>
              <w:bottom w:val="single" w:sz="4" w:space="0" w:color="BFBFBF"/>
              <w:right w:val="single" w:sz="4" w:space="0" w:color="BFBFBF"/>
            </w:tcBorders>
            <w:shd w:val="clear" w:color="000000" w:fill="C5D9F1"/>
            <w:noWrap/>
            <w:hideMark/>
          </w:tcPr>
          <w:p w14:paraId="44792B0A" w14:textId="1BD6DB22" w:rsidR="00760D21" w:rsidRPr="009E57C8" w:rsidRDefault="00760D21" w:rsidP="00760D21">
            <w:pPr>
              <w:jc w:val="right"/>
              <w:rPr>
                <w:rFonts w:asciiTheme="minorHAnsi" w:eastAsia="Times New Roman" w:hAnsiTheme="minorHAnsi" w:cstheme="minorHAnsi"/>
                <w:color w:val="000000"/>
                <w:sz w:val="20"/>
                <w:szCs w:val="20"/>
                <w:lang w:eastAsia="en-AU"/>
              </w:rPr>
            </w:pPr>
          </w:p>
        </w:tc>
        <w:tc>
          <w:tcPr>
            <w:tcW w:w="985" w:type="dxa"/>
            <w:tcBorders>
              <w:top w:val="nil"/>
              <w:left w:val="nil"/>
              <w:bottom w:val="single" w:sz="4" w:space="0" w:color="BFBFBF"/>
              <w:right w:val="single" w:sz="4" w:space="0" w:color="BFBFBF"/>
            </w:tcBorders>
            <w:shd w:val="clear" w:color="000000" w:fill="C5D9F1"/>
            <w:noWrap/>
            <w:hideMark/>
          </w:tcPr>
          <w:p w14:paraId="777507E7" w14:textId="1CA15B21" w:rsidR="00760D21" w:rsidRPr="009E57C8" w:rsidRDefault="00760D21" w:rsidP="00760D21">
            <w:pPr>
              <w:jc w:val="right"/>
              <w:rPr>
                <w:rFonts w:asciiTheme="minorHAnsi" w:eastAsia="Times New Roman" w:hAnsiTheme="minorHAnsi" w:cstheme="minorHAnsi"/>
                <w:color w:val="000000"/>
                <w:sz w:val="20"/>
                <w:szCs w:val="20"/>
                <w:lang w:eastAsia="en-AU"/>
              </w:rPr>
            </w:pPr>
          </w:p>
        </w:tc>
        <w:tc>
          <w:tcPr>
            <w:tcW w:w="985" w:type="dxa"/>
            <w:tcBorders>
              <w:top w:val="nil"/>
              <w:left w:val="nil"/>
              <w:bottom w:val="single" w:sz="4" w:space="0" w:color="BFBFBF"/>
              <w:right w:val="single" w:sz="4" w:space="0" w:color="BFBFBF"/>
            </w:tcBorders>
            <w:shd w:val="clear" w:color="000000" w:fill="C5D9F1"/>
            <w:noWrap/>
            <w:hideMark/>
          </w:tcPr>
          <w:p w14:paraId="5FBD30FC" w14:textId="7531C82B" w:rsidR="00760D21" w:rsidRPr="009E57C8" w:rsidRDefault="00760D21" w:rsidP="00760D21">
            <w:pPr>
              <w:jc w:val="right"/>
              <w:rPr>
                <w:rFonts w:asciiTheme="minorHAnsi" w:eastAsia="Times New Roman" w:hAnsiTheme="minorHAnsi" w:cstheme="minorHAnsi"/>
                <w:color w:val="000000"/>
                <w:sz w:val="20"/>
                <w:szCs w:val="20"/>
                <w:lang w:eastAsia="en-AU"/>
              </w:rPr>
            </w:pPr>
          </w:p>
        </w:tc>
      </w:tr>
      <w:tr w:rsidR="00760D21" w:rsidRPr="009E57C8" w14:paraId="6CDE30C8" w14:textId="77777777" w:rsidTr="009D734D">
        <w:tc>
          <w:tcPr>
            <w:tcW w:w="3933" w:type="dxa"/>
            <w:tcBorders>
              <w:top w:val="nil"/>
              <w:left w:val="single" w:sz="4" w:space="0" w:color="BFBFBF"/>
              <w:bottom w:val="single" w:sz="4" w:space="0" w:color="BFBFBF"/>
              <w:right w:val="single" w:sz="4" w:space="0" w:color="BFBFBF"/>
            </w:tcBorders>
            <w:shd w:val="clear" w:color="auto" w:fill="auto"/>
            <w:noWrap/>
            <w:hideMark/>
          </w:tcPr>
          <w:p w14:paraId="2CB827BC"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CPT plant</w:t>
            </w:r>
          </w:p>
        </w:tc>
        <w:tc>
          <w:tcPr>
            <w:tcW w:w="846" w:type="dxa"/>
            <w:tcBorders>
              <w:top w:val="nil"/>
              <w:left w:val="nil"/>
              <w:bottom w:val="single" w:sz="4" w:space="0" w:color="BFBFBF"/>
              <w:right w:val="single" w:sz="4" w:space="0" w:color="BFBFBF"/>
            </w:tcBorders>
            <w:shd w:val="clear" w:color="auto" w:fill="auto"/>
            <w:noWrap/>
            <w:hideMark/>
          </w:tcPr>
          <w:p w14:paraId="2FD926A6"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395</w:t>
            </w:r>
          </w:p>
        </w:tc>
        <w:tc>
          <w:tcPr>
            <w:tcW w:w="931" w:type="dxa"/>
            <w:tcBorders>
              <w:top w:val="nil"/>
              <w:left w:val="nil"/>
              <w:bottom w:val="single" w:sz="4" w:space="0" w:color="BFBFBF"/>
              <w:right w:val="single" w:sz="4" w:space="0" w:color="BFBFBF"/>
            </w:tcBorders>
            <w:shd w:val="clear" w:color="auto" w:fill="auto"/>
            <w:noWrap/>
            <w:hideMark/>
          </w:tcPr>
          <w:p w14:paraId="38AC6F7E"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1,129</w:t>
            </w:r>
          </w:p>
        </w:tc>
        <w:tc>
          <w:tcPr>
            <w:tcW w:w="974" w:type="dxa"/>
            <w:tcBorders>
              <w:top w:val="nil"/>
              <w:left w:val="nil"/>
              <w:bottom w:val="single" w:sz="4" w:space="0" w:color="BFBFBF"/>
              <w:right w:val="single" w:sz="4" w:space="0" w:color="BFBFBF"/>
            </w:tcBorders>
            <w:shd w:val="clear" w:color="auto" w:fill="auto"/>
            <w:noWrap/>
            <w:hideMark/>
          </w:tcPr>
          <w:p w14:paraId="4A3E0FA9"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4</w:t>
            </w:r>
          </w:p>
        </w:tc>
        <w:tc>
          <w:tcPr>
            <w:tcW w:w="985" w:type="dxa"/>
            <w:tcBorders>
              <w:top w:val="nil"/>
              <w:left w:val="nil"/>
              <w:bottom w:val="single" w:sz="4" w:space="0" w:color="BFBFBF"/>
              <w:right w:val="single" w:sz="4" w:space="0" w:color="BFBFBF"/>
            </w:tcBorders>
            <w:shd w:val="clear" w:color="000000" w:fill="FFFFFF"/>
            <w:noWrap/>
            <w:hideMark/>
          </w:tcPr>
          <w:p w14:paraId="7154B99C"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&gt;2037</w:t>
            </w:r>
          </w:p>
        </w:tc>
        <w:tc>
          <w:tcPr>
            <w:tcW w:w="985" w:type="dxa"/>
            <w:tcBorders>
              <w:top w:val="nil"/>
              <w:left w:val="nil"/>
              <w:bottom w:val="single" w:sz="4" w:space="0" w:color="BFBFBF"/>
              <w:right w:val="single" w:sz="4" w:space="0" w:color="BFBFBF"/>
            </w:tcBorders>
            <w:shd w:val="clear" w:color="000000" w:fill="FFFFFF"/>
            <w:noWrap/>
            <w:hideMark/>
          </w:tcPr>
          <w:p w14:paraId="5A618F81"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&gt;2037</w:t>
            </w:r>
          </w:p>
        </w:tc>
        <w:tc>
          <w:tcPr>
            <w:tcW w:w="985" w:type="dxa"/>
            <w:tcBorders>
              <w:top w:val="nil"/>
              <w:left w:val="nil"/>
              <w:bottom w:val="single" w:sz="4" w:space="0" w:color="BFBFBF"/>
              <w:right w:val="single" w:sz="4" w:space="0" w:color="BFBFBF"/>
            </w:tcBorders>
            <w:shd w:val="clear" w:color="000000" w:fill="FFFFFF"/>
            <w:noWrap/>
            <w:hideMark/>
          </w:tcPr>
          <w:p w14:paraId="6BCB2F30"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&gt;2037</w:t>
            </w:r>
          </w:p>
        </w:tc>
      </w:tr>
      <w:tr w:rsidR="00760D21" w:rsidRPr="009E57C8" w14:paraId="1EBBC709" w14:textId="77777777" w:rsidTr="009D734D">
        <w:tc>
          <w:tcPr>
            <w:tcW w:w="3933" w:type="dxa"/>
            <w:tcBorders>
              <w:top w:val="nil"/>
              <w:left w:val="single" w:sz="4" w:space="0" w:color="BFBFBF"/>
              <w:bottom w:val="single" w:sz="4" w:space="0" w:color="BFBFBF"/>
              <w:right w:val="single" w:sz="4" w:space="0" w:color="BFBFBF"/>
            </w:tcBorders>
            <w:shd w:val="clear" w:color="auto" w:fill="auto"/>
            <w:noWrap/>
            <w:hideMark/>
          </w:tcPr>
          <w:p w14:paraId="23025BAC" w14:textId="11D908E5"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Clinical waste treatment facility</w:t>
            </w:r>
          </w:p>
        </w:tc>
        <w:tc>
          <w:tcPr>
            <w:tcW w:w="846" w:type="dxa"/>
            <w:tcBorders>
              <w:top w:val="nil"/>
              <w:left w:val="nil"/>
              <w:bottom w:val="single" w:sz="4" w:space="0" w:color="BFBFBF"/>
              <w:right w:val="single" w:sz="4" w:space="0" w:color="BFBFBF"/>
            </w:tcBorders>
            <w:shd w:val="clear" w:color="auto" w:fill="auto"/>
            <w:noWrap/>
            <w:hideMark/>
          </w:tcPr>
          <w:p w14:paraId="2C83A86E"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23</w:t>
            </w:r>
          </w:p>
        </w:tc>
        <w:tc>
          <w:tcPr>
            <w:tcW w:w="931" w:type="dxa"/>
            <w:tcBorders>
              <w:top w:val="nil"/>
              <w:left w:val="nil"/>
              <w:bottom w:val="single" w:sz="4" w:space="0" w:color="BFBFBF"/>
              <w:right w:val="single" w:sz="4" w:space="0" w:color="BFBFBF"/>
            </w:tcBorders>
            <w:shd w:val="clear" w:color="auto" w:fill="auto"/>
            <w:noWrap/>
            <w:hideMark/>
          </w:tcPr>
          <w:p w14:paraId="51E160B9"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25</w:t>
            </w:r>
          </w:p>
        </w:tc>
        <w:tc>
          <w:tcPr>
            <w:tcW w:w="974" w:type="dxa"/>
            <w:tcBorders>
              <w:top w:val="nil"/>
              <w:left w:val="nil"/>
              <w:bottom w:val="single" w:sz="4" w:space="0" w:color="BFBFBF"/>
              <w:right w:val="single" w:sz="4" w:space="0" w:color="BFBFBF"/>
            </w:tcBorders>
            <w:shd w:val="clear" w:color="auto" w:fill="auto"/>
            <w:noWrap/>
            <w:hideMark/>
          </w:tcPr>
          <w:p w14:paraId="4E486E1A"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0</w:t>
            </w:r>
          </w:p>
        </w:tc>
        <w:tc>
          <w:tcPr>
            <w:tcW w:w="985" w:type="dxa"/>
            <w:tcBorders>
              <w:top w:val="nil"/>
              <w:left w:val="nil"/>
              <w:bottom w:val="single" w:sz="4" w:space="0" w:color="BFBFBF"/>
              <w:right w:val="single" w:sz="4" w:space="0" w:color="BFBFBF"/>
            </w:tcBorders>
            <w:shd w:val="clear" w:color="000000" w:fill="FFFFFF"/>
            <w:noWrap/>
            <w:hideMark/>
          </w:tcPr>
          <w:p w14:paraId="6D737082"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2026</w:t>
            </w:r>
          </w:p>
        </w:tc>
        <w:tc>
          <w:tcPr>
            <w:tcW w:w="985" w:type="dxa"/>
            <w:tcBorders>
              <w:top w:val="nil"/>
              <w:left w:val="nil"/>
              <w:bottom w:val="single" w:sz="4" w:space="0" w:color="BFBFBF"/>
              <w:right w:val="single" w:sz="4" w:space="0" w:color="BFBFBF"/>
            </w:tcBorders>
            <w:shd w:val="clear" w:color="000000" w:fill="FFFFFF"/>
            <w:noWrap/>
            <w:hideMark/>
          </w:tcPr>
          <w:p w14:paraId="00B02D75"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2023</w:t>
            </w:r>
          </w:p>
        </w:tc>
        <w:tc>
          <w:tcPr>
            <w:tcW w:w="985" w:type="dxa"/>
            <w:tcBorders>
              <w:top w:val="nil"/>
              <w:left w:val="nil"/>
              <w:bottom w:val="single" w:sz="4" w:space="0" w:color="BFBFBF"/>
              <w:right w:val="single" w:sz="4" w:space="0" w:color="BFBFBF"/>
            </w:tcBorders>
            <w:shd w:val="clear" w:color="000000" w:fill="FFFFFF"/>
            <w:noWrap/>
            <w:hideMark/>
          </w:tcPr>
          <w:p w14:paraId="01CC894C"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&gt;2037</w:t>
            </w:r>
          </w:p>
        </w:tc>
      </w:tr>
      <w:tr w:rsidR="00760D21" w:rsidRPr="009E57C8" w14:paraId="3F207F29" w14:textId="77777777" w:rsidTr="009D734D">
        <w:tc>
          <w:tcPr>
            <w:tcW w:w="3933" w:type="dxa"/>
            <w:tcBorders>
              <w:top w:val="nil"/>
              <w:left w:val="single" w:sz="4" w:space="0" w:color="BFBFBF"/>
              <w:bottom w:val="single" w:sz="4" w:space="0" w:color="BFBFBF"/>
              <w:right w:val="single" w:sz="4" w:space="0" w:color="BFBFBF"/>
            </w:tcBorders>
            <w:shd w:val="clear" w:color="auto" w:fill="D9D9D9" w:themeFill="background1" w:themeFillShade="D9"/>
            <w:noWrap/>
            <w:hideMark/>
          </w:tcPr>
          <w:p w14:paraId="24CF5981"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Bioremediation facility</w:t>
            </w:r>
          </w:p>
        </w:tc>
        <w:tc>
          <w:tcPr>
            <w:tcW w:w="846" w:type="dxa"/>
            <w:tcBorders>
              <w:top w:val="nil"/>
              <w:left w:val="nil"/>
              <w:bottom w:val="single" w:sz="4" w:space="0" w:color="BFBFBF"/>
              <w:right w:val="single" w:sz="4" w:space="0" w:color="BFBFBF"/>
            </w:tcBorders>
            <w:shd w:val="clear" w:color="auto" w:fill="D9D9D9" w:themeFill="background1" w:themeFillShade="D9"/>
            <w:noWrap/>
            <w:hideMark/>
          </w:tcPr>
          <w:p w14:paraId="41A98204"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192</w:t>
            </w:r>
          </w:p>
        </w:tc>
        <w:tc>
          <w:tcPr>
            <w:tcW w:w="931" w:type="dxa"/>
            <w:tcBorders>
              <w:top w:val="nil"/>
              <w:left w:val="nil"/>
              <w:bottom w:val="single" w:sz="4" w:space="0" w:color="BFBFBF"/>
              <w:right w:val="single" w:sz="4" w:space="0" w:color="BFBFBF"/>
            </w:tcBorders>
            <w:shd w:val="clear" w:color="auto" w:fill="D9D9D9" w:themeFill="background1" w:themeFillShade="D9"/>
            <w:noWrap/>
            <w:hideMark/>
          </w:tcPr>
          <w:p w14:paraId="1EEDB4FA"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0</w:t>
            </w:r>
          </w:p>
        </w:tc>
        <w:tc>
          <w:tcPr>
            <w:tcW w:w="974" w:type="dxa"/>
            <w:tcBorders>
              <w:top w:val="nil"/>
              <w:left w:val="nil"/>
              <w:bottom w:val="single" w:sz="4" w:space="0" w:color="BFBFBF"/>
              <w:right w:val="single" w:sz="4" w:space="0" w:color="BFBFBF"/>
            </w:tcBorders>
            <w:shd w:val="clear" w:color="auto" w:fill="D9D9D9" w:themeFill="background1" w:themeFillShade="D9"/>
            <w:noWrap/>
            <w:hideMark/>
          </w:tcPr>
          <w:p w14:paraId="20448AA0"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0</w:t>
            </w:r>
          </w:p>
        </w:tc>
        <w:tc>
          <w:tcPr>
            <w:tcW w:w="98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hideMark/>
          </w:tcPr>
          <w:p w14:paraId="53F01DE7" w14:textId="77777777" w:rsidR="00760D21" w:rsidRPr="009E57C8" w:rsidRDefault="00760D21" w:rsidP="00760D21">
            <w:pPr>
              <w:jc w:val="right"/>
              <w:rPr>
                <w:rFonts w:asciiTheme="minorHAnsi" w:eastAsia="Times New Roman" w:hAnsiTheme="minorHAnsi" w:cstheme="minorHAnsi"/>
                <w:color w:val="808080"/>
                <w:sz w:val="20"/>
                <w:szCs w:val="20"/>
                <w:lang w:eastAsia="en-AU"/>
              </w:rPr>
            </w:pPr>
            <w:r w:rsidRPr="009E57C8">
              <w:rPr>
                <w:rFonts w:asciiTheme="minorHAnsi" w:eastAsia="Times New Roman" w:hAnsiTheme="minorHAnsi" w:cstheme="minorHAnsi"/>
                <w:color w:val="808080"/>
                <w:sz w:val="20"/>
                <w:szCs w:val="20"/>
                <w:lang w:eastAsia="en-AU"/>
              </w:rPr>
              <w:t>no inf.</w:t>
            </w:r>
          </w:p>
        </w:tc>
        <w:tc>
          <w:tcPr>
            <w:tcW w:w="98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hideMark/>
          </w:tcPr>
          <w:p w14:paraId="3DB80927" w14:textId="77777777" w:rsidR="00760D21" w:rsidRPr="009E57C8" w:rsidRDefault="00760D21" w:rsidP="00760D21">
            <w:pPr>
              <w:jc w:val="right"/>
              <w:rPr>
                <w:rFonts w:asciiTheme="minorHAnsi" w:eastAsia="Times New Roman" w:hAnsiTheme="minorHAnsi" w:cstheme="minorHAnsi"/>
                <w:color w:val="808080"/>
                <w:sz w:val="20"/>
                <w:szCs w:val="20"/>
                <w:lang w:eastAsia="en-AU"/>
              </w:rPr>
            </w:pPr>
            <w:r w:rsidRPr="009E57C8">
              <w:rPr>
                <w:rFonts w:asciiTheme="minorHAnsi" w:eastAsia="Times New Roman" w:hAnsiTheme="minorHAnsi" w:cstheme="minorHAnsi"/>
                <w:color w:val="808080"/>
                <w:sz w:val="20"/>
                <w:szCs w:val="20"/>
                <w:lang w:eastAsia="en-AU"/>
              </w:rPr>
              <w:t>no inf.</w:t>
            </w:r>
          </w:p>
        </w:tc>
        <w:tc>
          <w:tcPr>
            <w:tcW w:w="98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hideMark/>
          </w:tcPr>
          <w:p w14:paraId="5843E120" w14:textId="77777777" w:rsidR="00760D21" w:rsidRPr="009E57C8" w:rsidRDefault="00760D21" w:rsidP="00760D21">
            <w:pPr>
              <w:jc w:val="right"/>
              <w:rPr>
                <w:rFonts w:asciiTheme="minorHAnsi" w:eastAsia="Times New Roman" w:hAnsiTheme="minorHAnsi" w:cstheme="minorHAnsi"/>
                <w:color w:val="808080"/>
                <w:sz w:val="20"/>
                <w:szCs w:val="20"/>
                <w:lang w:eastAsia="en-AU"/>
              </w:rPr>
            </w:pPr>
            <w:r w:rsidRPr="009E57C8">
              <w:rPr>
                <w:rFonts w:asciiTheme="minorHAnsi" w:eastAsia="Times New Roman" w:hAnsiTheme="minorHAnsi" w:cstheme="minorHAnsi"/>
                <w:color w:val="808080"/>
                <w:sz w:val="20"/>
                <w:szCs w:val="20"/>
                <w:lang w:eastAsia="en-AU"/>
              </w:rPr>
              <w:t>no inf.</w:t>
            </w:r>
          </w:p>
        </w:tc>
      </w:tr>
      <w:tr w:rsidR="00760D21" w:rsidRPr="009E57C8" w14:paraId="7498FADC" w14:textId="77777777" w:rsidTr="009D734D">
        <w:tc>
          <w:tcPr>
            <w:tcW w:w="3933" w:type="dxa"/>
            <w:tcBorders>
              <w:top w:val="nil"/>
              <w:left w:val="single" w:sz="4" w:space="0" w:color="BFBFBF"/>
              <w:bottom w:val="single" w:sz="4" w:space="0" w:color="BFBFBF"/>
              <w:right w:val="single" w:sz="4" w:space="0" w:color="BFBFBF"/>
            </w:tcBorders>
            <w:shd w:val="clear" w:color="auto" w:fill="auto"/>
            <w:noWrap/>
            <w:hideMark/>
          </w:tcPr>
          <w:p w14:paraId="5CBB2F5E" w14:textId="4E36E2A0"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OWT facility</w:t>
            </w:r>
          </w:p>
        </w:tc>
        <w:tc>
          <w:tcPr>
            <w:tcW w:w="846" w:type="dxa"/>
            <w:tcBorders>
              <w:top w:val="nil"/>
              <w:left w:val="nil"/>
              <w:bottom w:val="single" w:sz="4" w:space="0" w:color="BFBFBF"/>
              <w:right w:val="single" w:sz="4" w:space="0" w:color="BFBFBF"/>
            </w:tcBorders>
            <w:shd w:val="clear" w:color="auto" w:fill="auto"/>
            <w:noWrap/>
            <w:hideMark/>
          </w:tcPr>
          <w:p w14:paraId="1415236F"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187</w:t>
            </w:r>
          </w:p>
        </w:tc>
        <w:tc>
          <w:tcPr>
            <w:tcW w:w="931" w:type="dxa"/>
            <w:tcBorders>
              <w:top w:val="nil"/>
              <w:left w:val="nil"/>
              <w:bottom w:val="single" w:sz="4" w:space="0" w:color="BFBFBF"/>
              <w:right w:val="single" w:sz="4" w:space="0" w:color="BFBFBF"/>
            </w:tcBorders>
            <w:shd w:val="clear" w:color="auto" w:fill="auto"/>
            <w:noWrap/>
            <w:hideMark/>
          </w:tcPr>
          <w:p w14:paraId="09FD1D96"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199</w:t>
            </w:r>
          </w:p>
        </w:tc>
        <w:tc>
          <w:tcPr>
            <w:tcW w:w="974" w:type="dxa"/>
            <w:tcBorders>
              <w:top w:val="nil"/>
              <w:left w:val="nil"/>
              <w:bottom w:val="single" w:sz="4" w:space="0" w:color="BFBFBF"/>
              <w:right w:val="single" w:sz="4" w:space="0" w:color="BFBFBF"/>
            </w:tcBorders>
            <w:shd w:val="clear" w:color="auto" w:fill="auto"/>
            <w:noWrap/>
            <w:hideMark/>
          </w:tcPr>
          <w:p w14:paraId="4E64C92D"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0</w:t>
            </w:r>
          </w:p>
        </w:tc>
        <w:tc>
          <w:tcPr>
            <w:tcW w:w="985" w:type="dxa"/>
            <w:tcBorders>
              <w:top w:val="nil"/>
              <w:left w:val="nil"/>
              <w:bottom w:val="single" w:sz="4" w:space="0" w:color="BFBFBF"/>
              <w:right w:val="single" w:sz="4" w:space="0" w:color="BFBFBF"/>
            </w:tcBorders>
            <w:shd w:val="clear" w:color="000000" w:fill="FFFFFF"/>
            <w:noWrap/>
            <w:hideMark/>
          </w:tcPr>
          <w:p w14:paraId="45DBD106"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2025</w:t>
            </w:r>
          </w:p>
        </w:tc>
        <w:tc>
          <w:tcPr>
            <w:tcW w:w="985" w:type="dxa"/>
            <w:tcBorders>
              <w:top w:val="nil"/>
              <w:left w:val="nil"/>
              <w:bottom w:val="single" w:sz="4" w:space="0" w:color="BFBFBF"/>
              <w:right w:val="single" w:sz="4" w:space="0" w:color="BFBFBF"/>
            </w:tcBorders>
            <w:shd w:val="clear" w:color="000000" w:fill="FFFFFF"/>
            <w:noWrap/>
            <w:hideMark/>
          </w:tcPr>
          <w:p w14:paraId="1CEEAFB8"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2019</w:t>
            </w:r>
          </w:p>
        </w:tc>
        <w:tc>
          <w:tcPr>
            <w:tcW w:w="985" w:type="dxa"/>
            <w:tcBorders>
              <w:top w:val="nil"/>
              <w:left w:val="nil"/>
              <w:bottom w:val="single" w:sz="4" w:space="0" w:color="BFBFBF"/>
              <w:right w:val="single" w:sz="4" w:space="0" w:color="BFBFBF"/>
            </w:tcBorders>
            <w:shd w:val="clear" w:color="000000" w:fill="FFFFFF"/>
            <w:noWrap/>
            <w:hideMark/>
          </w:tcPr>
          <w:p w14:paraId="0BD7E5D6"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&gt;2037</w:t>
            </w:r>
          </w:p>
        </w:tc>
      </w:tr>
      <w:tr w:rsidR="00760D21" w:rsidRPr="009E57C8" w14:paraId="5B442ADD" w14:textId="77777777" w:rsidTr="009D734D">
        <w:tc>
          <w:tcPr>
            <w:tcW w:w="3933" w:type="dxa"/>
            <w:tcBorders>
              <w:top w:val="nil"/>
              <w:left w:val="single" w:sz="4" w:space="0" w:color="BFBFBF"/>
              <w:bottom w:val="single" w:sz="4" w:space="0" w:color="BFBFBF"/>
              <w:right w:val="single" w:sz="4" w:space="0" w:color="BFBFBF"/>
            </w:tcBorders>
            <w:shd w:val="clear" w:color="auto" w:fill="auto"/>
            <w:noWrap/>
            <w:hideMark/>
          </w:tcPr>
          <w:p w14:paraId="2BDCCC00"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Soils treatment facility</w:t>
            </w:r>
          </w:p>
        </w:tc>
        <w:tc>
          <w:tcPr>
            <w:tcW w:w="846" w:type="dxa"/>
            <w:tcBorders>
              <w:top w:val="nil"/>
              <w:left w:val="nil"/>
              <w:bottom w:val="single" w:sz="4" w:space="0" w:color="BFBFBF"/>
              <w:right w:val="single" w:sz="4" w:space="0" w:color="BFBFBF"/>
            </w:tcBorders>
            <w:shd w:val="clear" w:color="auto" w:fill="auto"/>
            <w:noWrap/>
            <w:hideMark/>
          </w:tcPr>
          <w:p w14:paraId="508ADC10"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131</w:t>
            </w:r>
          </w:p>
        </w:tc>
        <w:tc>
          <w:tcPr>
            <w:tcW w:w="931" w:type="dxa"/>
            <w:tcBorders>
              <w:top w:val="nil"/>
              <w:left w:val="nil"/>
              <w:bottom w:val="single" w:sz="4" w:space="0" w:color="BFBFBF"/>
              <w:right w:val="single" w:sz="4" w:space="0" w:color="BFBFBF"/>
            </w:tcBorders>
            <w:shd w:val="clear" w:color="auto" w:fill="auto"/>
            <w:noWrap/>
            <w:hideMark/>
          </w:tcPr>
          <w:p w14:paraId="7A293743"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178</w:t>
            </w:r>
          </w:p>
        </w:tc>
        <w:tc>
          <w:tcPr>
            <w:tcW w:w="974" w:type="dxa"/>
            <w:tcBorders>
              <w:top w:val="nil"/>
              <w:left w:val="nil"/>
              <w:bottom w:val="single" w:sz="4" w:space="0" w:color="BFBFBF"/>
              <w:right w:val="single" w:sz="4" w:space="0" w:color="BFBFBF"/>
            </w:tcBorders>
            <w:shd w:val="clear" w:color="auto" w:fill="auto"/>
            <w:noWrap/>
            <w:hideMark/>
          </w:tcPr>
          <w:p w14:paraId="1A3A034C"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296</w:t>
            </w:r>
          </w:p>
        </w:tc>
        <w:tc>
          <w:tcPr>
            <w:tcW w:w="985" w:type="dxa"/>
            <w:tcBorders>
              <w:top w:val="nil"/>
              <w:left w:val="nil"/>
              <w:bottom w:val="single" w:sz="4" w:space="0" w:color="BFBFBF"/>
              <w:right w:val="single" w:sz="4" w:space="0" w:color="BFBFBF"/>
            </w:tcBorders>
            <w:shd w:val="clear" w:color="000000" w:fill="FFFFFF"/>
            <w:noWrap/>
            <w:hideMark/>
          </w:tcPr>
          <w:p w14:paraId="30F1FD2A"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&gt;2037</w:t>
            </w:r>
          </w:p>
        </w:tc>
        <w:tc>
          <w:tcPr>
            <w:tcW w:w="985" w:type="dxa"/>
            <w:tcBorders>
              <w:top w:val="nil"/>
              <w:left w:val="nil"/>
              <w:bottom w:val="single" w:sz="4" w:space="0" w:color="BFBFBF"/>
              <w:right w:val="single" w:sz="4" w:space="0" w:color="BFBFBF"/>
            </w:tcBorders>
            <w:shd w:val="clear" w:color="000000" w:fill="FFFFFF"/>
            <w:noWrap/>
            <w:hideMark/>
          </w:tcPr>
          <w:p w14:paraId="4E89F31F"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2018</w:t>
            </w:r>
          </w:p>
        </w:tc>
        <w:tc>
          <w:tcPr>
            <w:tcW w:w="985" w:type="dxa"/>
            <w:tcBorders>
              <w:top w:val="nil"/>
              <w:left w:val="nil"/>
              <w:bottom w:val="single" w:sz="4" w:space="0" w:color="BFBFBF"/>
              <w:right w:val="single" w:sz="4" w:space="0" w:color="BFBFBF"/>
            </w:tcBorders>
            <w:shd w:val="clear" w:color="000000" w:fill="FFFFFF"/>
            <w:noWrap/>
            <w:hideMark/>
          </w:tcPr>
          <w:p w14:paraId="1D40D550"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&gt;2037</w:t>
            </w:r>
          </w:p>
        </w:tc>
      </w:tr>
      <w:tr w:rsidR="00760D21" w:rsidRPr="009E57C8" w14:paraId="236C8D7E" w14:textId="77777777" w:rsidTr="009D734D">
        <w:tc>
          <w:tcPr>
            <w:tcW w:w="3933" w:type="dxa"/>
            <w:tcBorders>
              <w:top w:val="nil"/>
              <w:left w:val="single" w:sz="4" w:space="0" w:color="BFBFBF"/>
              <w:bottom w:val="single" w:sz="4" w:space="0" w:color="BFBFBF"/>
              <w:right w:val="single" w:sz="4" w:space="0" w:color="BFBFBF"/>
            </w:tcBorders>
            <w:shd w:val="clear" w:color="000000" w:fill="C5D9F1"/>
            <w:noWrap/>
            <w:hideMark/>
          </w:tcPr>
          <w:p w14:paraId="612D4117" w14:textId="77777777" w:rsidR="00760D21" w:rsidRPr="009E57C8" w:rsidRDefault="00760D21" w:rsidP="00760D21">
            <w:pPr>
              <w:jc w:val="right"/>
              <w:rPr>
                <w:rFonts w:asciiTheme="minorHAnsi" w:eastAsia="Times New Roman" w:hAnsiTheme="minorHAnsi" w:cstheme="minorHAnsi"/>
                <w:b/>
                <w:bCs/>
                <w:color w:val="000000"/>
                <w:sz w:val="20"/>
                <w:szCs w:val="20"/>
                <w:lang w:eastAsia="en-AU"/>
              </w:rPr>
            </w:pPr>
            <w:r w:rsidRPr="009E57C8">
              <w:rPr>
                <w:rFonts w:asciiTheme="minorHAnsi" w:eastAsia="Times New Roman" w:hAnsiTheme="minorHAnsi" w:cstheme="minorHAnsi"/>
                <w:b/>
                <w:bCs/>
                <w:color w:val="000000"/>
                <w:sz w:val="20"/>
                <w:szCs w:val="20"/>
                <w:lang w:eastAsia="en-AU"/>
              </w:rPr>
              <w:t>Disposal</w:t>
            </w:r>
          </w:p>
        </w:tc>
        <w:tc>
          <w:tcPr>
            <w:tcW w:w="846" w:type="dxa"/>
            <w:tcBorders>
              <w:top w:val="nil"/>
              <w:left w:val="nil"/>
              <w:bottom w:val="single" w:sz="4" w:space="0" w:color="BFBFBF"/>
              <w:right w:val="single" w:sz="4" w:space="0" w:color="BFBFBF"/>
            </w:tcBorders>
            <w:shd w:val="clear" w:color="000000" w:fill="C5D9F1"/>
            <w:noWrap/>
            <w:hideMark/>
          </w:tcPr>
          <w:p w14:paraId="20270346" w14:textId="2AA0FF20" w:rsidR="00760D21" w:rsidRPr="009E57C8" w:rsidRDefault="00760D21" w:rsidP="00760D21">
            <w:pPr>
              <w:jc w:val="right"/>
              <w:rPr>
                <w:rFonts w:asciiTheme="minorHAnsi" w:eastAsia="Times New Roman" w:hAnsiTheme="minorHAnsi" w:cstheme="minorHAnsi"/>
                <w:color w:val="000000"/>
                <w:sz w:val="20"/>
                <w:szCs w:val="20"/>
                <w:lang w:eastAsia="en-AU"/>
              </w:rPr>
            </w:pPr>
          </w:p>
        </w:tc>
        <w:tc>
          <w:tcPr>
            <w:tcW w:w="931" w:type="dxa"/>
            <w:tcBorders>
              <w:top w:val="nil"/>
              <w:left w:val="nil"/>
              <w:bottom w:val="single" w:sz="4" w:space="0" w:color="BFBFBF"/>
              <w:right w:val="single" w:sz="4" w:space="0" w:color="BFBFBF"/>
            </w:tcBorders>
            <w:shd w:val="clear" w:color="000000" w:fill="C5D9F1"/>
            <w:noWrap/>
            <w:hideMark/>
          </w:tcPr>
          <w:p w14:paraId="13B547D5" w14:textId="7D6830C9" w:rsidR="00760D21" w:rsidRPr="009E57C8" w:rsidRDefault="00760D21" w:rsidP="00760D21">
            <w:pPr>
              <w:jc w:val="right"/>
              <w:rPr>
                <w:rFonts w:asciiTheme="minorHAnsi" w:eastAsia="Times New Roman" w:hAnsiTheme="minorHAnsi" w:cstheme="minorHAnsi"/>
                <w:color w:val="000000"/>
                <w:sz w:val="20"/>
                <w:szCs w:val="20"/>
                <w:lang w:eastAsia="en-AU"/>
              </w:rPr>
            </w:pPr>
          </w:p>
        </w:tc>
        <w:tc>
          <w:tcPr>
            <w:tcW w:w="974" w:type="dxa"/>
            <w:tcBorders>
              <w:top w:val="nil"/>
              <w:left w:val="nil"/>
              <w:bottom w:val="single" w:sz="4" w:space="0" w:color="BFBFBF"/>
              <w:right w:val="single" w:sz="4" w:space="0" w:color="BFBFBF"/>
            </w:tcBorders>
            <w:shd w:val="clear" w:color="000000" w:fill="C5D9F1"/>
            <w:noWrap/>
            <w:hideMark/>
          </w:tcPr>
          <w:p w14:paraId="2C918115" w14:textId="212477C6" w:rsidR="00760D21" w:rsidRPr="009E57C8" w:rsidRDefault="00760D21" w:rsidP="00760D21">
            <w:pPr>
              <w:jc w:val="right"/>
              <w:rPr>
                <w:rFonts w:asciiTheme="minorHAnsi" w:eastAsia="Times New Roman" w:hAnsiTheme="minorHAnsi" w:cstheme="minorHAnsi"/>
                <w:color w:val="000000"/>
                <w:sz w:val="20"/>
                <w:szCs w:val="20"/>
                <w:lang w:eastAsia="en-AU"/>
              </w:rPr>
            </w:pPr>
          </w:p>
        </w:tc>
        <w:tc>
          <w:tcPr>
            <w:tcW w:w="985" w:type="dxa"/>
            <w:tcBorders>
              <w:top w:val="nil"/>
              <w:left w:val="nil"/>
              <w:bottom w:val="single" w:sz="4" w:space="0" w:color="BFBFBF"/>
              <w:right w:val="single" w:sz="4" w:space="0" w:color="BFBFBF"/>
            </w:tcBorders>
            <w:shd w:val="clear" w:color="000000" w:fill="C5D9F1"/>
            <w:noWrap/>
            <w:hideMark/>
          </w:tcPr>
          <w:p w14:paraId="79D092ED" w14:textId="0F139803" w:rsidR="00760D21" w:rsidRPr="009E57C8" w:rsidRDefault="00760D21" w:rsidP="00760D21">
            <w:pPr>
              <w:jc w:val="right"/>
              <w:rPr>
                <w:rFonts w:asciiTheme="minorHAnsi" w:eastAsia="Times New Roman" w:hAnsiTheme="minorHAnsi" w:cstheme="minorHAnsi"/>
                <w:color w:val="000000"/>
                <w:sz w:val="20"/>
                <w:szCs w:val="20"/>
                <w:lang w:eastAsia="en-AU"/>
              </w:rPr>
            </w:pPr>
          </w:p>
        </w:tc>
        <w:tc>
          <w:tcPr>
            <w:tcW w:w="985" w:type="dxa"/>
            <w:tcBorders>
              <w:top w:val="nil"/>
              <w:left w:val="nil"/>
              <w:bottom w:val="single" w:sz="4" w:space="0" w:color="BFBFBF"/>
              <w:right w:val="single" w:sz="4" w:space="0" w:color="BFBFBF"/>
            </w:tcBorders>
            <w:shd w:val="clear" w:color="000000" w:fill="C5D9F1"/>
            <w:noWrap/>
            <w:hideMark/>
          </w:tcPr>
          <w:p w14:paraId="51A183BC" w14:textId="7DBB5D97" w:rsidR="00760D21" w:rsidRPr="009E57C8" w:rsidRDefault="00760D21" w:rsidP="00760D21">
            <w:pPr>
              <w:jc w:val="right"/>
              <w:rPr>
                <w:rFonts w:asciiTheme="minorHAnsi" w:eastAsia="Times New Roman" w:hAnsiTheme="minorHAnsi" w:cstheme="minorHAnsi"/>
                <w:color w:val="000000"/>
                <w:sz w:val="20"/>
                <w:szCs w:val="20"/>
                <w:lang w:eastAsia="en-AU"/>
              </w:rPr>
            </w:pPr>
          </w:p>
        </w:tc>
        <w:tc>
          <w:tcPr>
            <w:tcW w:w="985" w:type="dxa"/>
            <w:tcBorders>
              <w:top w:val="nil"/>
              <w:left w:val="nil"/>
              <w:bottom w:val="single" w:sz="4" w:space="0" w:color="BFBFBF"/>
              <w:right w:val="single" w:sz="4" w:space="0" w:color="BFBFBF"/>
            </w:tcBorders>
            <w:shd w:val="clear" w:color="000000" w:fill="C5D9F1"/>
            <w:noWrap/>
            <w:hideMark/>
          </w:tcPr>
          <w:p w14:paraId="3C47A408" w14:textId="18025408" w:rsidR="00760D21" w:rsidRPr="009E57C8" w:rsidRDefault="00760D21" w:rsidP="00760D21">
            <w:pPr>
              <w:jc w:val="right"/>
              <w:rPr>
                <w:rFonts w:asciiTheme="minorHAnsi" w:eastAsia="Times New Roman" w:hAnsiTheme="minorHAnsi" w:cstheme="minorHAnsi"/>
                <w:color w:val="000000"/>
                <w:sz w:val="20"/>
                <w:szCs w:val="20"/>
                <w:lang w:eastAsia="en-AU"/>
              </w:rPr>
            </w:pPr>
          </w:p>
        </w:tc>
      </w:tr>
      <w:tr w:rsidR="00760D21" w:rsidRPr="009E57C8" w14:paraId="7D6C8024" w14:textId="77777777" w:rsidTr="009D734D">
        <w:tc>
          <w:tcPr>
            <w:tcW w:w="3933" w:type="dxa"/>
            <w:tcBorders>
              <w:top w:val="nil"/>
              <w:left w:val="single" w:sz="4" w:space="0" w:color="BFBFBF"/>
              <w:bottom w:val="single" w:sz="4" w:space="0" w:color="BFBFBF"/>
              <w:right w:val="single" w:sz="4" w:space="0" w:color="BFBFBF"/>
            </w:tcBorders>
            <w:shd w:val="clear" w:color="auto" w:fill="auto"/>
            <w:noWrap/>
            <w:hideMark/>
          </w:tcPr>
          <w:p w14:paraId="167CD24C" w14:textId="2C5E7938"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Hazardous waste landfill facility</w:t>
            </w:r>
          </w:p>
        </w:tc>
        <w:tc>
          <w:tcPr>
            <w:tcW w:w="846" w:type="dxa"/>
            <w:tcBorders>
              <w:top w:val="nil"/>
              <w:left w:val="nil"/>
              <w:bottom w:val="single" w:sz="4" w:space="0" w:color="BFBFBF"/>
              <w:right w:val="single" w:sz="4" w:space="0" w:color="BFBFBF"/>
            </w:tcBorders>
            <w:shd w:val="clear" w:color="auto" w:fill="auto"/>
            <w:noWrap/>
            <w:hideMark/>
          </w:tcPr>
          <w:p w14:paraId="4D9C77F0"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235</w:t>
            </w:r>
          </w:p>
        </w:tc>
        <w:tc>
          <w:tcPr>
            <w:tcW w:w="931" w:type="dxa"/>
            <w:tcBorders>
              <w:top w:val="nil"/>
              <w:left w:val="nil"/>
              <w:bottom w:val="single" w:sz="4" w:space="0" w:color="BFBFBF"/>
              <w:right w:val="single" w:sz="4" w:space="0" w:color="BFBFBF"/>
            </w:tcBorders>
            <w:shd w:val="clear" w:color="auto" w:fill="auto"/>
            <w:noWrap/>
            <w:hideMark/>
          </w:tcPr>
          <w:p w14:paraId="06B21339"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201</w:t>
            </w:r>
          </w:p>
        </w:tc>
        <w:tc>
          <w:tcPr>
            <w:tcW w:w="974" w:type="dxa"/>
            <w:tcBorders>
              <w:top w:val="nil"/>
              <w:left w:val="nil"/>
              <w:bottom w:val="single" w:sz="4" w:space="0" w:color="BFBFBF"/>
              <w:right w:val="single" w:sz="4" w:space="0" w:color="BFBFBF"/>
            </w:tcBorders>
            <w:shd w:val="clear" w:color="auto" w:fill="auto"/>
            <w:noWrap/>
            <w:hideMark/>
          </w:tcPr>
          <w:p w14:paraId="78982DCC"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0</w:t>
            </w:r>
          </w:p>
        </w:tc>
        <w:tc>
          <w:tcPr>
            <w:tcW w:w="985" w:type="dxa"/>
            <w:tcBorders>
              <w:top w:val="nil"/>
              <w:left w:val="nil"/>
              <w:bottom w:val="single" w:sz="4" w:space="0" w:color="BFBFBF"/>
              <w:right w:val="single" w:sz="4" w:space="0" w:color="BFBFBF"/>
            </w:tcBorders>
            <w:shd w:val="clear" w:color="000000" w:fill="FFFFFF"/>
            <w:noWrap/>
            <w:hideMark/>
          </w:tcPr>
          <w:p w14:paraId="0B700348"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2018</w:t>
            </w:r>
          </w:p>
        </w:tc>
        <w:tc>
          <w:tcPr>
            <w:tcW w:w="985" w:type="dxa"/>
            <w:tcBorders>
              <w:top w:val="nil"/>
              <w:left w:val="nil"/>
              <w:bottom w:val="single" w:sz="4" w:space="0" w:color="BFBFBF"/>
              <w:right w:val="single" w:sz="4" w:space="0" w:color="BFBFBF"/>
            </w:tcBorders>
            <w:shd w:val="clear" w:color="000000" w:fill="FFFFFF"/>
            <w:noWrap/>
            <w:hideMark/>
          </w:tcPr>
          <w:p w14:paraId="633A94B5"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2018</w:t>
            </w:r>
          </w:p>
        </w:tc>
        <w:tc>
          <w:tcPr>
            <w:tcW w:w="985" w:type="dxa"/>
            <w:tcBorders>
              <w:top w:val="nil"/>
              <w:left w:val="nil"/>
              <w:bottom w:val="single" w:sz="4" w:space="0" w:color="BFBFBF"/>
              <w:right w:val="single" w:sz="4" w:space="0" w:color="BFBFBF"/>
            </w:tcBorders>
            <w:shd w:val="clear" w:color="000000" w:fill="FFFFFF"/>
            <w:noWrap/>
            <w:hideMark/>
          </w:tcPr>
          <w:p w14:paraId="5967C7E5"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2018</w:t>
            </w:r>
          </w:p>
        </w:tc>
      </w:tr>
      <w:tr w:rsidR="00760D21" w:rsidRPr="009E57C8" w14:paraId="6D1A0F0D" w14:textId="77777777" w:rsidTr="009D734D">
        <w:tc>
          <w:tcPr>
            <w:tcW w:w="3933" w:type="dxa"/>
            <w:tcBorders>
              <w:top w:val="nil"/>
              <w:left w:val="single" w:sz="4" w:space="0" w:color="BFBFBF"/>
              <w:bottom w:val="single" w:sz="4" w:space="0" w:color="BFBFBF"/>
              <w:right w:val="single" w:sz="4" w:space="0" w:color="BFBFBF"/>
            </w:tcBorders>
            <w:shd w:val="clear" w:color="auto" w:fill="D9D9D9" w:themeFill="background1" w:themeFillShade="D9"/>
            <w:noWrap/>
            <w:hideMark/>
          </w:tcPr>
          <w:p w14:paraId="467CF11E"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Landfill facility (NEPM codes N, T)</w:t>
            </w:r>
          </w:p>
        </w:tc>
        <w:tc>
          <w:tcPr>
            <w:tcW w:w="846" w:type="dxa"/>
            <w:tcBorders>
              <w:top w:val="nil"/>
              <w:left w:val="nil"/>
              <w:bottom w:val="single" w:sz="4" w:space="0" w:color="BFBFBF"/>
              <w:right w:val="single" w:sz="4" w:space="0" w:color="BFBFBF"/>
            </w:tcBorders>
            <w:shd w:val="clear" w:color="auto" w:fill="D9D9D9" w:themeFill="background1" w:themeFillShade="D9"/>
            <w:noWrap/>
            <w:hideMark/>
          </w:tcPr>
          <w:p w14:paraId="423AF878"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2,875</w:t>
            </w:r>
          </w:p>
        </w:tc>
        <w:tc>
          <w:tcPr>
            <w:tcW w:w="931" w:type="dxa"/>
            <w:tcBorders>
              <w:top w:val="nil"/>
              <w:left w:val="nil"/>
              <w:bottom w:val="single" w:sz="4" w:space="0" w:color="BFBFBF"/>
              <w:right w:val="single" w:sz="4" w:space="0" w:color="BFBFBF"/>
            </w:tcBorders>
            <w:shd w:val="clear" w:color="auto" w:fill="D9D9D9" w:themeFill="background1" w:themeFillShade="D9"/>
            <w:noWrap/>
          </w:tcPr>
          <w:p w14:paraId="47AD0D8C"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p>
        </w:tc>
        <w:tc>
          <w:tcPr>
            <w:tcW w:w="974" w:type="dxa"/>
            <w:tcBorders>
              <w:top w:val="nil"/>
              <w:left w:val="nil"/>
              <w:bottom w:val="single" w:sz="4" w:space="0" w:color="BFBFBF"/>
              <w:right w:val="single" w:sz="4" w:space="0" w:color="BFBFBF"/>
            </w:tcBorders>
            <w:shd w:val="clear" w:color="auto" w:fill="D9D9D9" w:themeFill="background1" w:themeFillShade="D9"/>
          </w:tcPr>
          <w:p w14:paraId="1B75DFF0" w14:textId="77777777" w:rsidR="00760D21" w:rsidRPr="009E57C8" w:rsidRDefault="00760D21" w:rsidP="00760D21">
            <w:pPr>
              <w:jc w:val="right"/>
              <w:rPr>
                <w:rFonts w:asciiTheme="minorHAnsi" w:eastAsia="Times New Roman" w:hAnsiTheme="minorHAnsi" w:cstheme="minorHAnsi"/>
                <w:color w:val="000000"/>
                <w:sz w:val="20"/>
                <w:szCs w:val="20"/>
                <w:lang w:eastAsia="en-AU"/>
              </w:rPr>
            </w:pPr>
          </w:p>
        </w:tc>
        <w:tc>
          <w:tcPr>
            <w:tcW w:w="98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hideMark/>
          </w:tcPr>
          <w:p w14:paraId="2C0E1B1F" w14:textId="77777777" w:rsidR="00760D21" w:rsidRPr="009E57C8" w:rsidRDefault="00760D21" w:rsidP="00760D21">
            <w:pPr>
              <w:jc w:val="right"/>
              <w:rPr>
                <w:rFonts w:asciiTheme="minorHAnsi" w:eastAsia="Times New Roman" w:hAnsiTheme="minorHAnsi" w:cstheme="minorHAnsi"/>
                <w:color w:val="808080"/>
                <w:sz w:val="20"/>
                <w:szCs w:val="20"/>
                <w:lang w:eastAsia="en-AU"/>
              </w:rPr>
            </w:pPr>
            <w:r w:rsidRPr="009E57C8">
              <w:rPr>
                <w:rFonts w:asciiTheme="minorHAnsi" w:eastAsia="Times New Roman" w:hAnsiTheme="minorHAnsi" w:cstheme="minorHAnsi"/>
                <w:color w:val="808080"/>
                <w:sz w:val="20"/>
                <w:szCs w:val="20"/>
                <w:lang w:eastAsia="en-AU"/>
              </w:rPr>
              <w:t>no inf.</w:t>
            </w:r>
          </w:p>
        </w:tc>
        <w:tc>
          <w:tcPr>
            <w:tcW w:w="98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hideMark/>
          </w:tcPr>
          <w:p w14:paraId="3433317B" w14:textId="77777777" w:rsidR="00760D21" w:rsidRPr="009E57C8" w:rsidRDefault="00760D21" w:rsidP="00760D21">
            <w:pPr>
              <w:jc w:val="right"/>
              <w:rPr>
                <w:rFonts w:asciiTheme="minorHAnsi" w:eastAsia="Times New Roman" w:hAnsiTheme="minorHAnsi" w:cstheme="minorHAnsi"/>
                <w:color w:val="808080"/>
                <w:sz w:val="20"/>
                <w:szCs w:val="20"/>
                <w:lang w:eastAsia="en-AU"/>
              </w:rPr>
            </w:pPr>
            <w:r w:rsidRPr="009E57C8">
              <w:rPr>
                <w:rFonts w:asciiTheme="minorHAnsi" w:eastAsia="Times New Roman" w:hAnsiTheme="minorHAnsi" w:cstheme="minorHAnsi"/>
                <w:color w:val="808080"/>
                <w:sz w:val="20"/>
                <w:szCs w:val="20"/>
                <w:lang w:eastAsia="en-AU"/>
              </w:rPr>
              <w:t>no inf.</w:t>
            </w:r>
          </w:p>
        </w:tc>
        <w:tc>
          <w:tcPr>
            <w:tcW w:w="98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hideMark/>
          </w:tcPr>
          <w:p w14:paraId="2AFDFE85" w14:textId="77777777" w:rsidR="00760D21" w:rsidRPr="009E57C8" w:rsidRDefault="00760D21" w:rsidP="00760D21">
            <w:pPr>
              <w:jc w:val="right"/>
              <w:rPr>
                <w:rFonts w:asciiTheme="minorHAnsi" w:eastAsia="Times New Roman" w:hAnsiTheme="minorHAnsi" w:cstheme="minorHAnsi"/>
                <w:color w:val="808080"/>
                <w:sz w:val="20"/>
                <w:szCs w:val="20"/>
                <w:lang w:eastAsia="en-AU"/>
              </w:rPr>
            </w:pPr>
            <w:r w:rsidRPr="009E57C8">
              <w:rPr>
                <w:rFonts w:asciiTheme="minorHAnsi" w:eastAsia="Times New Roman" w:hAnsiTheme="minorHAnsi" w:cstheme="minorHAnsi"/>
                <w:color w:val="808080"/>
                <w:sz w:val="20"/>
                <w:szCs w:val="20"/>
                <w:lang w:eastAsia="en-AU"/>
              </w:rPr>
              <w:t>no inf.</w:t>
            </w:r>
          </w:p>
        </w:tc>
      </w:tr>
      <w:tr w:rsidR="002051ED" w:rsidRPr="009E57C8" w14:paraId="5263EDC2" w14:textId="77777777" w:rsidTr="009D734D">
        <w:tc>
          <w:tcPr>
            <w:tcW w:w="3933" w:type="dxa"/>
            <w:tcBorders>
              <w:top w:val="nil"/>
              <w:left w:val="single" w:sz="4" w:space="0" w:color="BFBFBF"/>
              <w:bottom w:val="single" w:sz="4" w:space="0" w:color="BFBFBF"/>
              <w:right w:val="single" w:sz="4" w:space="0" w:color="BFBFBF"/>
            </w:tcBorders>
            <w:shd w:val="clear" w:color="auto" w:fill="auto"/>
            <w:noWrap/>
            <w:hideMark/>
          </w:tcPr>
          <w:p w14:paraId="1BC064A7" w14:textId="3F5D29AB" w:rsidR="002051ED" w:rsidRPr="009E57C8" w:rsidRDefault="002051ED" w:rsidP="002051ED">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Persistent organic pollutants thermal destruction facility</w:t>
            </w:r>
          </w:p>
        </w:tc>
        <w:tc>
          <w:tcPr>
            <w:tcW w:w="846" w:type="dxa"/>
            <w:tcBorders>
              <w:top w:val="nil"/>
              <w:left w:val="nil"/>
              <w:bottom w:val="single" w:sz="4" w:space="0" w:color="BFBFBF"/>
              <w:right w:val="single" w:sz="4" w:space="0" w:color="BFBFBF"/>
            </w:tcBorders>
            <w:shd w:val="clear" w:color="auto" w:fill="auto"/>
            <w:noWrap/>
            <w:hideMark/>
          </w:tcPr>
          <w:p w14:paraId="3EE2291E" w14:textId="77777777" w:rsidR="002051ED" w:rsidRPr="009E57C8" w:rsidRDefault="002051ED" w:rsidP="002051ED">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5</w:t>
            </w:r>
          </w:p>
        </w:tc>
        <w:tc>
          <w:tcPr>
            <w:tcW w:w="931" w:type="dxa"/>
            <w:tcBorders>
              <w:top w:val="nil"/>
              <w:left w:val="nil"/>
              <w:bottom w:val="single" w:sz="4" w:space="0" w:color="BFBFBF"/>
              <w:right w:val="single" w:sz="4" w:space="0" w:color="BFBFBF"/>
            </w:tcBorders>
            <w:shd w:val="clear" w:color="auto" w:fill="FF0000"/>
            <w:noWrap/>
            <w:hideMark/>
          </w:tcPr>
          <w:p w14:paraId="0550448F" w14:textId="7E49F052" w:rsidR="002051ED" w:rsidRPr="009E57C8" w:rsidRDefault="002051ED" w:rsidP="002051ED">
            <w:pPr>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CIC</w:t>
            </w:r>
          </w:p>
        </w:tc>
        <w:tc>
          <w:tcPr>
            <w:tcW w:w="974" w:type="dxa"/>
            <w:tcBorders>
              <w:top w:val="nil"/>
              <w:left w:val="nil"/>
              <w:bottom w:val="single" w:sz="4" w:space="0" w:color="BFBFBF"/>
              <w:right w:val="single" w:sz="4" w:space="0" w:color="BFBFBF"/>
            </w:tcBorders>
            <w:shd w:val="clear" w:color="auto" w:fill="FF0000"/>
            <w:noWrap/>
            <w:hideMark/>
          </w:tcPr>
          <w:p w14:paraId="7362E18F" w14:textId="75958394" w:rsidR="002051ED" w:rsidRPr="009E57C8" w:rsidRDefault="002051ED" w:rsidP="002051ED">
            <w:pPr>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CIC</w:t>
            </w:r>
            <w:r w:rsidRPr="009E57C8" w:rsidDel="005F36B0">
              <w:rPr>
                <w:rFonts w:asciiTheme="minorHAnsi" w:eastAsia="Times New Roman" w:hAnsiTheme="minorHAnsi" w:cstheme="minorHAnsi"/>
                <w:color w:val="000000"/>
                <w:sz w:val="20"/>
                <w:szCs w:val="20"/>
                <w:lang w:eastAsia="en-AU"/>
              </w:rPr>
              <w:t xml:space="preserve"> </w:t>
            </w:r>
          </w:p>
        </w:tc>
        <w:tc>
          <w:tcPr>
            <w:tcW w:w="985" w:type="dxa"/>
            <w:tcBorders>
              <w:top w:val="nil"/>
              <w:left w:val="nil"/>
              <w:bottom w:val="single" w:sz="4" w:space="0" w:color="BFBFBF"/>
              <w:right w:val="single" w:sz="4" w:space="0" w:color="BFBFBF"/>
            </w:tcBorders>
            <w:shd w:val="clear" w:color="auto" w:fill="FFFFFF" w:themeFill="background1"/>
            <w:noWrap/>
            <w:hideMark/>
          </w:tcPr>
          <w:p w14:paraId="0BE19ABF" w14:textId="4E6CFFDE" w:rsidR="002051ED" w:rsidRPr="009E57C8" w:rsidRDefault="002051ED" w:rsidP="002051ED">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2020</w:t>
            </w:r>
          </w:p>
        </w:tc>
        <w:tc>
          <w:tcPr>
            <w:tcW w:w="985" w:type="dxa"/>
            <w:tcBorders>
              <w:top w:val="nil"/>
              <w:left w:val="nil"/>
              <w:bottom w:val="single" w:sz="4" w:space="0" w:color="BFBFBF"/>
              <w:right w:val="single" w:sz="4" w:space="0" w:color="BFBFBF"/>
            </w:tcBorders>
            <w:shd w:val="clear" w:color="auto" w:fill="FFFFFF" w:themeFill="background1"/>
            <w:noWrap/>
            <w:hideMark/>
          </w:tcPr>
          <w:p w14:paraId="68FA4F93" w14:textId="21A9F8E2" w:rsidR="002051ED" w:rsidRPr="009E57C8" w:rsidRDefault="002051ED" w:rsidP="002051ED">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2020</w:t>
            </w:r>
          </w:p>
        </w:tc>
        <w:tc>
          <w:tcPr>
            <w:tcW w:w="985" w:type="dxa"/>
            <w:tcBorders>
              <w:top w:val="nil"/>
              <w:left w:val="nil"/>
              <w:bottom w:val="single" w:sz="4" w:space="0" w:color="BFBFBF"/>
              <w:right w:val="single" w:sz="4" w:space="0" w:color="BFBFBF"/>
            </w:tcBorders>
            <w:shd w:val="clear" w:color="auto" w:fill="FFFFFF" w:themeFill="background1"/>
            <w:noWrap/>
            <w:hideMark/>
          </w:tcPr>
          <w:p w14:paraId="65CBB176" w14:textId="5B275602" w:rsidR="002051ED" w:rsidRPr="009E57C8" w:rsidRDefault="002051ED" w:rsidP="002051ED">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2020</w:t>
            </w:r>
          </w:p>
        </w:tc>
      </w:tr>
      <w:tr w:rsidR="002051ED" w:rsidRPr="009E57C8" w14:paraId="20903776" w14:textId="77777777" w:rsidTr="009D734D">
        <w:tc>
          <w:tcPr>
            <w:tcW w:w="3933" w:type="dxa"/>
            <w:tcBorders>
              <w:top w:val="nil"/>
              <w:left w:val="single" w:sz="4" w:space="0" w:color="BFBFBF"/>
              <w:bottom w:val="single" w:sz="4" w:space="0" w:color="BFBFBF"/>
              <w:right w:val="single" w:sz="4" w:space="0" w:color="BFBFBF"/>
            </w:tcBorders>
            <w:shd w:val="clear" w:color="auto" w:fill="auto"/>
            <w:noWrap/>
            <w:hideMark/>
          </w:tcPr>
          <w:p w14:paraId="5EA508E9" w14:textId="77777777" w:rsidR="002051ED" w:rsidRPr="009E57C8" w:rsidRDefault="002051ED" w:rsidP="002051ED">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Clinical waste facility thermal destruction</w:t>
            </w:r>
          </w:p>
        </w:tc>
        <w:tc>
          <w:tcPr>
            <w:tcW w:w="846" w:type="dxa"/>
            <w:tcBorders>
              <w:top w:val="nil"/>
              <w:left w:val="nil"/>
              <w:bottom w:val="single" w:sz="4" w:space="0" w:color="BFBFBF"/>
              <w:right w:val="single" w:sz="4" w:space="0" w:color="BFBFBF"/>
            </w:tcBorders>
            <w:shd w:val="clear" w:color="auto" w:fill="auto"/>
            <w:noWrap/>
            <w:hideMark/>
          </w:tcPr>
          <w:p w14:paraId="7C53BFE3" w14:textId="77777777" w:rsidR="002051ED" w:rsidRPr="009E57C8" w:rsidRDefault="002051ED" w:rsidP="002051ED">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21</w:t>
            </w:r>
          </w:p>
        </w:tc>
        <w:tc>
          <w:tcPr>
            <w:tcW w:w="931" w:type="dxa"/>
            <w:tcBorders>
              <w:top w:val="nil"/>
              <w:left w:val="nil"/>
              <w:bottom w:val="single" w:sz="4" w:space="0" w:color="BFBFBF"/>
              <w:right w:val="single" w:sz="4" w:space="0" w:color="BFBFBF"/>
            </w:tcBorders>
            <w:shd w:val="clear" w:color="auto" w:fill="auto"/>
            <w:noWrap/>
            <w:hideMark/>
          </w:tcPr>
          <w:p w14:paraId="33F56139" w14:textId="77777777" w:rsidR="002051ED" w:rsidRPr="009E57C8" w:rsidRDefault="002051ED" w:rsidP="002051ED">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33</w:t>
            </w:r>
          </w:p>
        </w:tc>
        <w:tc>
          <w:tcPr>
            <w:tcW w:w="974" w:type="dxa"/>
            <w:tcBorders>
              <w:top w:val="nil"/>
              <w:left w:val="nil"/>
              <w:bottom w:val="single" w:sz="4" w:space="0" w:color="BFBFBF"/>
              <w:right w:val="single" w:sz="4" w:space="0" w:color="BFBFBF"/>
            </w:tcBorders>
            <w:shd w:val="clear" w:color="auto" w:fill="auto"/>
            <w:noWrap/>
            <w:hideMark/>
          </w:tcPr>
          <w:p w14:paraId="679FA7FD" w14:textId="77777777" w:rsidR="002051ED" w:rsidRPr="009E57C8" w:rsidRDefault="002051ED" w:rsidP="002051ED">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6</w:t>
            </w:r>
          </w:p>
        </w:tc>
        <w:tc>
          <w:tcPr>
            <w:tcW w:w="985" w:type="dxa"/>
            <w:tcBorders>
              <w:top w:val="nil"/>
              <w:left w:val="nil"/>
              <w:bottom w:val="single" w:sz="4" w:space="0" w:color="BFBFBF"/>
              <w:right w:val="single" w:sz="4" w:space="0" w:color="BFBFBF"/>
            </w:tcBorders>
            <w:shd w:val="clear" w:color="000000" w:fill="FFFFFF"/>
            <w:noWrap/>
            <w:hideMark/>
          </w:tcPr>
          <w:p w14:paraId="5B8A5264" w14:textId="77777777" w:rsidR="002051ED" w:rsidRPr="009E57C8" w:rsidRDefault="002051ED" w:rsidP="002051ED">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&gt;2037</w:t>
            </w:r>
          </w:p>
        </w:tc>
        <w:tc>
          <w:tcPr>
            <w:tcW w:w="985" w:type="dxa"/>
            <w:tcBorders>
              <w:top w:val="nil"/>
              <w:left w:val="nil"/>
              <w:bottom w:val="single" w:sz="4" w:space="0" w:color="BFBFBF"/>
              <w:right w:val="single" w:sz="4" w:space="0" w:color="BFBFBF"/>
            </w:tcBorders>
            <w:shd w:val="clear" w:color="000000" w:fill="FFFFFF"/>
            <w:noWrap/>
            <w:hideMark/>
          </w:tcPr>
          <w:p w14:paraId="6487B4D8" w14:textId="77777777" w:rsidR="002051ED" w:rsidRPr="009E57C8" w:rsidRDefault="002051ED" w:rsidP="002051ED">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&gt;2037</w:t>
            </w:r>
          </w:p>
        </w:tc>
        <w:tc>
          <w:tcPr>
            <w:tcW w:w="985" w:type="dxa"/>
            <w:tcBorders>
              <w:top w:val="nil"/>
              <w:left w:val="nil"/>
              <w:bottom w:val="single" w:sz="4" w:space="0" w:color="BFBFBF"/>
              <w:right w:val="single" w:sz="4" w:space="0" w:color="BFBFBF"/>
            </w:tcBorders>
            <w:shd w:val="clear" w:color="000000" w:fill="FFFFFF"/>
            <w:noWrap/>
            <w:hideMark/>
          </w:tcPr>
          <w:p w14:paraId="4531BF99" w14:textId="77777777" w:rsidR="002051ED" w:rsidRPr="009E57C8" w:rsidRDefault="002051ED" w:rsidP="002051ED">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&gt;2037</w:t>
            </w:r>
          </w:p>
        </w:tc>
      </w:tr>
      <w:tr w:rsidR="002051ED" w:rsidRPr="009E57C8" w14:paraId="3CBC2622" w14:textId="77777777" w:rsidTr="009D734D">
        <w:tc>
          <w:tcPr>
            <w:tcW w:w="3933" w:type="dxa"/>
            <w:tcBorders>
              <w:top w:val="nil"/>
              <w:left w:val="single" w:sz="4" w:space="0" w:color="BFBFBF"/>
              <w:bottom w:val="single" w:sz="4" w:space="0" w:color="BFBFBF"/>
              <w:right w:val="single" w:sz="4" w:space="0" w:color="BFBFBF"/>
            </w:tcBorders>
            <w:shd w:val="clear" w:color="000000" w:fill="C5D9F1"/>
            <w:noWrap/>
            <w:hideMark/>
          </w:tcPr>
          <w:p w14:paraId="57AC6C67" w14:textId="77777777" w:rsidR="002051ED" w:rsidRPr="009E57C8" w:rsidRDefault="002051ED" w:rsidP="002051ED">
            <w:pPr>
              <w:jc w:val="right"/>
              <w:rPr>
                <w:rFonts w:asciiTheme="minorHAnsi" w:eastAsia="Times New Roman" w:hAnsiTheme="minorHAnsi" w:cstheme="minorHAnsi"/>
                <w:b/>
                <w:bCs/>
                <w:color w:val="000000"/>
                <w:sz w:val="20"/>
                <w:szCs w:val="20"/>
                <w:lang w:eastAsia="en-AU"/>
              </w:rPr>
            </w:pPr>
            <w:r w:rsidRPr="009E57C8">
              <w:rPr>
                <w:rFonts w:asciiTheme="minorHAnsi" w:eastAsia="Times New Roman" w:hAnsiTheme="minorHAnsi" w:cstheme="minorHAnsi"/>
                <w:b/>
                <w:bCs/>
                <w:color w:val="000000"/>
                <w:sz w:val="20"/>
                <w:szCs w:val="20"/>
                <w:lang w:eastAsia="en-AU"/>
              </w:rPr>
              <w:t>Short-term storage or transfer</w:t>
            </w:r>
          </w:p>
        </w:tc>
        <w:tc>
          <w:tcPr>
            <w:tcW w:w="846" w:type="dxa"/>
            <w:tcBorders>
              <w:top w:val="nil"/>
              <w:left w:val="nil"/>
              <w:bottom w:val="single" w:sz="4" w:space="0" w:color="BFBFBF"/>
              <w:right w:val="single" w:sz="4" w:space="0" w:color="BFBFBF"/>
            </w:tcBorders>
            <w:shd w:val="clear" w:color="000000" w:fill="C5D9F1"/>
            <w:noWrap/>
            <w:hideMark/>
          </w:tcPr>
          <w:p w14:paraId="0CC790A6" w14:textId="7414542B" w:rsidR="002051ED" w:rsidRPr="009E57C8" w:rsidRDefault="002051ED" w:rsidP="002051ED">
            <w:pPr>
              <w:jc w:val="right"/>
              <w:rPr>
                <w:rFonts w:asciiTheme="minorHAnsi" w:eastAsia="Times New Roman" w:hAnsiTheme="minorHAnsi" w:cstheme="minorHAnsi"/>
                <w:color w:val="000000"/>
                <w:sz w:val="20"/>
                <w:szCs w:val="20"/>
                <w:lang w:eastAsia="en-AU"/>
              </w:rPr>
            </w:pPr>
          </w:p>
        </w:tc>
        <w:tc>
          <w:tcPr>
            <w:tcW w:w="931" w:type="dxa"/>
            <w:tcBorders>
              <w:top w:val="nil"/>
              <w:left w:val="nil"/>
              <w:bottom w:val="single" w:sz="4" w:space="0" w:color="BFBFBF"/>
              <w:right w:val="single" w:sz="4" w:space="0" w:color="BFBFBF"/>
            </w:tcBorders>
            <w:shd w:val="clear" w:color="000000" w:fill="C5D9F1"/>
            <w:noWrap/>
            <w:hideMark/>
          </w:tcPr>
          <w:p w14:paraId="5F04F2FD" w14:textId="4AEDE7A9" w:rsidR="002051ED" w:rsidRPr="009E57C8" w:rsidRDefault="002051ED" w:rsidP="002051ED">
            <w:pPr>
              <w:jc w:val="right"/>
              <w:rPr>
                <w:rFonts w:asciiTheme="minorHAnsi" w:eastAsia="Times New Roman" w:hAnsiTheme="minorHAnsi" w:cstheme="minorHAnsi"/>
                <w:color w:val="000000"/>
                <w:sz w:val="20"/>
                <w:szCs w:val="20"/>
                <w:lang w:eastAsia="en-AU"/>
              </w:rPr>
            </w:pPr>
          </w:p>
        </w:tc>
        <w:tc>
          <w:tcPr>
            <w:tcW w:w="974" w:type="dxa"/>
            <w:tcBorders>
              <w:top w:val="nil"/>
              <w:left w:val="nil"/>
              <w:bottom w:val="single" w:sz="4" w:space="0" w:color="BFBFBF"/>
              <w:right w:val="single" w:sz="4" w:space="0" w:color="BFBFBF"/>
            </w:tcBorders>
            <w:shd w:val="clear" w:color="000000" w:fill="C5D9F1"/>
            <w:noWrap/>
            <w:hideMark/>
          </w:tcPr>
          <w:p w14:paraId="5BEAC713" w14:textId="23DD29EB" w:rsidR="002051ED" w:rsidRPr="009E57C8" w:rsidRDefault="002051ED" w:rsidP="002051ED">
            <w:pPr>
              <w:jc w:val="right"/>
              <w:rPr>
                <w:rFonts w:asciiTheme="minorHAnsi" w:eastAsia="Times New Roman" w:hAnsiTheme="minorHAnsi" w:cstheme="minorHAnsi"/>
                <w:color w:val="000000"/>
                <w:sz w:val="20"/>
                <w:szCs w:val="20"/>
                <w:lang w:eastAsia="en-AU"/>
              </w:rPr>
            </w:pPr>
          </w:p>
        </w:tc>
        <w:tc>
          <w:tcPr>
            <w:tcW w:w="985" w:type="dxa"/>
            <w:tcBorders>
              <w:top w:val="nil"/>
              <w:left w:val="nil"/>
              <w:bottom w:val="single" w:sz="4" w:space="0" w:color="BFBFBF"/>
              <w:right w:val="single" w:sz="4" w:space="0" w:color="BFBFBF"/>
            </w:tcBorders>
            <w:shd w:val="clear" w:color="000000" w:fill="C5D9F1"/>
            <w:noWrap/>
            <w:hideMark/>
          </w:tcPr>
          <w:p w14:paraId="3E9587AB" w14:textId="769DE8F2" w:rsidR="002051ED" w:rsidRPr="009E57C8" w:rsidRDefault="002051ED" w:rsidP="002051ED">
            <w:pPr>
              <w:jc w:val="right"/>
              <w:rPr>
                <w:rFonts w:asciiTheme="minorHAnsi" w:eastAsia="Times New Roman" w:hAnsiTheme="minorHAnsi" w:cstheme="minorHAnsi"/>
                <w:color w:val="000000"/>
                <w:sz w:val="20"/>
                <w:szCs w:val="20"/>
                <w:lang w:eastAsia="en-AU"/>
              </w:rPr>
            </w:pPr>
          </w:p>
        </w:tc>
        <w:tc>
          <w:tcPr>
            <w:tcW w:w="985" w:type="dxa"/>
            <w:tcBorders>
              <w:top w:val="nil"/>
              <w:left w:val="nil"/>
              <w:bottom w:val="single" w:sz="4" w:space="0" w:color="BFBFBF"/>
              <w:right w:val="single" w:sz="4" w:space="0" w:color="BFBFBF"/>
            </w:tcBorders>
            <w:shd w:val="clear" w:color="000000" w:fill="C5D9F1"/>
            <w:noWrap/>
            <w:hideMark/>
          </w:tcPr>
          <w:p w14:paraId="098284E4" w14:textId="22FE7E2F" w:rsidR="002051ED" w:rsidRPr="009E57C8" w:rsidRDefault="002051ED" w:rsidP="002051ED">
            <w:pPr>
              <w:jc w:val="right"/>
              <w:rPr>
                <w:rFonts w:asciiTheme="minorHAnsi" w:eastAsia="Times New Roman" w:hAnsiTheme="minorHAnsi" w:cstheme="minorHAnsi"/>
                <w:color w:val="000000"/>
                <w:sz w:val="20"/>
                <w:szCs w:val="20"/>
                <w:lang w:eastAsia="en-AU"/>
              </w:rPr>
            </w:pPr>
          </w:p>
        </w:tc>
        <w:tc>
          <w:tcPr>
            <w:tcW w:w="985" w:type="dxa"/>
            <w:tcBorders>
              <w:top w:val="nil"/>
              <w:left w:val="nil"/>
              <w:bottom w:val="single" w:sz="4" w:space="0" w:color="BFBFBF"/>
              <w:right w:val="single" w:sz="4" w:space="0" w:color="BFBFBF"/>
            </w:tcBorders>
            <w:shd w:val="clear" w:color="000000" w:fill="C5D9F1"/>
            <w:noWrap/>
            <w:hideMark/>
          </w:tcPr>
          <w:p w14:paraId="6F30C32A" w14:textId="183B84B4" w:rsidR="002051ED" w:rsidRPr="009E57C8" w:rsidRDefault="002051ED" w:rsidP="002051ED">
            <w:pPr>
              <w:jc w:val="right"/>
              <w:rPr>
                <w:rFonts w:asciiTheme="minorHAnsi" w:eastAsia="Times New Roman" w:hAnsiTheme="minorHAnsi" w:cstheme="minorHAnsi"/>
                <w:color w:val="000000"/>
                <w:sz w:val="20"/>
                <w:szCs w:val="20"/>
                <w:lang w:eastAsia="en-AU"/>
              </w:rPr>
            </w:pPr>
          </w:p>
        </w:tc>
      </w:tr>
      <w:tr w:rsidR="002051ED" w:rsidRPr="009E57C8" w14:paraId="5DA50F3D" w14:textId="77777777" w:rsidTr="009D734D">
        <w:tc>
          <w:tcPr>
            <w:tcW w:w="3933" w:type="dxa"/>
            <w:tcBorders>
              <w:top w:val="nil"/>
              <w:left w:val="single" w:sz="4" w:space="0" w:color="BFBFBF"/>
              <w:bottom w:val="single" w:sz="4" w:space="0" w:color="BFBFBF"/>
              <w:right w:val="single" w:sz="4" w:space="0" w:color="BFBFBF"/>
            </w:tcBorders>
            <w:shd w:val="clear" w:color="auto" w:fill="D9D9D9" w:themeFill="background1" w:themeFillShade="D9"/>
            <w:noWrap/>
            <w:hideMark/>
          </w:tcPr>
          <w:p w14:paraId="190FB434" w14:textId="77777777" w:rsidR="002051ED" w:rsidRPr="009E57C8" w:rsidRDefault="002051ED" w:rsidP="002051ED">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Transfer facility</w:t>
            </w:r>
          </w:p>
        </w:tc>
        <w:tc>
          <w:tcPr>
            <w:tcW w:w="846" w:type="dxa"/>
            <w:tcBorders>
              <w:top w:val="nil"/>
              <w:left w:val="nil"/>
              <w:bottom w:val="single" w:sz="4" w:space="0" w:color="BFBFBF"/>
              <w:right w:val="single" w:sz="4" w:space="0" w:color="BFBFBF"/>
            </w:tcBorders>
            <w:shd w:val="clear" w:color="auto" w:fill="D9D9D9" w:themeFill="background1" w:themeFillShade="D9"/>
            <w:noWrap/>
            <w:hideMark/>
          </w:tcPr>
          <w:p w14:paraId="0A80FE2B" w14:textId="77777777" w:rsidR="002051ED" w:rsidRPr="009E57C8" w:rsidRDefault="002051ED" w:rsidP="002051ED">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551</w:t>
            </w:r>
          </w:p>
        </w:tc>
        <w:tc>
          <w:tcPr>
            <w:tcW w:w="931" w:type="dxa"/>
            <w:tcBorders>
              <w:top w:val="nil"/>
              <w:left w:val="nil"/>
              <w:bottom w:val="single" w:sz="4" w:space="0" w:color="BFBFBF"/>
              <w:right w:val="single" w:sz="4" w:space="0" w:color="BFBFBF"/>
            </w:tcBorders>
            <w:shd w:val="clear" w:color="auto" w:fill="D9D9D9" w:themeFill="background1" w:themeFillShade="D9"/>
            <w:noWrap/>
            <w:hideMark/>
          </w:tcPr>
          <w:p w14:paraId="11A371D8" w14:textId="77777777" w:rsidR="002051ED" w:rsidRPr="009E57C8" w:rsidRDefault="002051ED" w:rsidP="002051ED">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145</w:t>
            </w:r>
          </w:p>
        </w:tc>
        <w:tc>
          <w:tcPr>
            <w:tcW w:w="974" w:type="dxa"/>
            <w:tcBorders>
              <w:top w:val="nil"/>
              <w:left w:val="nil"/>
              <w:bottom w:val="single" w:sz="4" w:space="0" w:color="BFBFBF"/>
              <w:right w:val="single" w:sz="4" w:space="0" w:color="BFBFBF"/>
            </w:tcBorders>
            <w:shd w:val="clear" w:color="auto" w:fill="D9D9D9" w:themeFill="background1" w:themeFillShade="D9"/>
            <w:noWrap/>
            <w:hideMark/>
          </w:tcPr>
          <w:p w14:paraId="4653241D" w14:textId="77777777" w:rsidR="002051ED" w:rsidRPr="009E57C8" w:rsidRDefault="002051ED" w:rsidP="002051ED">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0</w:t>
            </w:r>
          </w:p>
        </w:tc>
        <w:tc>
          <w:tcPr>
            <w:tcW w:w="985" w:type="dxa"/>
            <w:tcBorders>
              <w:top w:val="nil"/>
              <w:left w:val="nil"/>
              <w:bottom w:val="single" w:sz="4" w:space="0" w:color="BFBFBF"/>
              <w:right w:val="single" w:sz="4" w:space="0" w:color="BFBFBF"/>
            </w:tcBorders>
            <w:shd w:val="clear" w:color="auto" w:fill="D9D9D9" w:themeFill="background1" w:themeFillShade="D9"/>
            <w:noWrap/>
            <w:hideMark/>
          </w:tcPr>
          <w:p w14:paraId="74790D56" w14:textId="77777777" w:rsidR="002051ED" w:rsidRPr="009E57C8" w:rsidRDefault="002051ED" w:rsidP="002051ED">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2018</w:t>
            </w:r>
          </w:p>
        </w:tc>
        <w:tc>
          <w:tcPr>
            <w:tcW w:w="985" w:type="dxa"/>
            <w:tcBorders>
              <w:top w:val="nil"/>
              <w:left w:val="nil"/>
              <w:bottom w:val="single" w:sz="4" w:space="0" w:color="BFBFBF"/>
              <w:right w:val="single" w:sz="4" w:space="0" w:color="BFBFBF"/>
            </w:tcBorders>
            <w:shd w:val="clear" w:color="auto" w:fill="D9D9D9" w:themeFill="background1" w:themeFillShade="D9"/>
            <w:noWrap/>
            <w:hideMark/>
          </w:tcPr>
          <w:p w14:paraId="63018477" w14:textId="77777777" w:rsidR="002051ED" w:rsidRPr="009E57C8" w:rsidRDefault="002051ED" w:rsidP="002051ED">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2018</w:t>
            </w:r>
          </w:p>
        </w:tc>
        <w:tc>
          <w:tcPr>
            <w:tcW w:w="985" w:type="dxa"/>
            <w:tcBorders>
              <w:top w:val="nil"/>
              <w:left w:val="nil"/>
              <w:bottom w:val="single" w:sz="4" w:space="0" w:color="BFBFBF"/>
              <w:right w:val="single" w:sz="4" w:space="0" w:color="BFBFBF"/>
            </w:tcBorders>
            <w:shd w:val="clear" w:color="auto" w:fill="D9D9D9" w:themeFill="background1" w:themeFillShade="D9"/>
            <w:noWrap/>
            <w:hideMark/>
          </w:tcPr>
          <w:p w14:paraId="4C43BC8B" w14:textId="77777777" w:rsidR="002051ED" w:rsidRPr="009E57C8" w:rsidRDefault="002051ED" w:rsidP="002051ED">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2018</w:t>
            </w:r>
          </w:p>
        </w:tc>
      </w:tr>
      <w:tr w:rsidR="002051ED" w:rsidRPr="009E57C8" w14:paraId="0D91A78F" w14:textId="77777777" w:rsidTr="009D734D">
        <w:tc>
          <w:tcPr>
            <w:tcW w:w="3933" w:type="dxa"/>
            <w:tcBorders>
              <w:top w:val="nil"/>
              <w:left w:val="single" w:sz="4" w:space="0" w:color="BFBFBF"/>
              <w:bottom w:val="single" w:sz="4" w:space="0" w:color="BFBFBF"/>
              <w:right w:val="single" w:sz="4" w:space="0" w:color="BFBFBF"/>
            </w:tcBorders>
            <w:shd w:val="clear" w:color="000000" w:fill="C5D9F1"/>
            <w:noWrap/>
            <w:hideMark/>
          </w:tcPr>
          <w:p w14:paraId="204682D6" w14:textId="77777777" w:rsidR="002051ED" w:rsidRPr="009E57C8" w:rsidRDefault="002051ED" w:rsidP="002051ED">
            <w:pPr>
              <w:jc w:val="right"/>
              <w:rPr>
                <w:rFonts w:asciiTheme="minorHAnsi" w:eastAsia="Times New Roman" w:hAnsiTheme="minorHAnsi" w:cstheme="minorHAnsi"/>
                <w:b/>
                <w:bCs/>
                <w:color w:val="000000"/>
                <w:sz w:val="20"/>
                <w:szCs w:val="20"/>
                <w:lang w:eastAsia="en-AU"/>
              </w:rPr>
            </w:pPr>
            <w:r w:rsidRPr="009E57C8">
              <w:rPr>
                <w:rFonts w:asciiTheme="minorHAnsi" w:eastAsia="Times New Roman" w:hAnsiTheme="minorHAnsi" w:cstheme="minorHAnsi"/>
                <w:b/>
                <w:bCs/>
                <w:color w:val="000000"/>
                <w:sz w:val="20"/>
                <w:szCs w:val="20"/>
                <w:lang w:eastAsia="en-AU"/>
              </w:rPr>
              <w:t>Long-term storage</w:t>
            </w:r>
          </w:p>
        </w:tc>
        <w:tc>
          <w:tcPr>
            <w:tcW w:w="846" w:type="dxa"/>
            <w:tcBorders>
              <w:top w:val="nil"/>
              <w:left w:val="nil"/>
              <w:bottom w:val="single" w:sz="4" w:space="0" w:color="BFBFBF"/>
              <w:right w:val="single" w:sz="4" w:space="0" w:color="BFBFBF"/>
            </w:tcBorders>
            <w:shd w:val="clear" w:color="000000" w:fill="C5D9F1"/>
            <w:noWrap/>
            <w:hideMark/>
          </w:tcPr>
          <w:p w14:paraId="4C15FFE4" w14:textId="3E5EA6A3" w:rsidR="002051ED" w:rsidRPr="009E57C8" w:rsidRDefault="002051ED" w:rsidP="002051ED">
            <w:pPr>
              <w:jc w:val="right"/>
              <w:rPr>
                <w:rFonts w:asciiTheme="minorHAnsi" w:eastAsia="Times New Roman" w:hAnsiTheme="minorHAnsi" w:cstheme="minorHAnsi"/>
                <w:color w:val="000000"/>
                <w:sz w:val="20"/>
                <w:szCs w:val="20"/>
                <w:lang w:eastAsia="en-AU"/>
              </w:rPr>
            </w:pPr>
          </w:p>
        </w:tc>
        <w:tc>
          <w:tcPr>
            <w:tcW w:w="931" w:type="dxa"/>
            <w:tcBorders>
              <w:top w:val="nil"/>
              <w:left w:val="nil"/>
              <w:bottom w:val="single" w:sz="4" w:space="0" w:color="BFBFBF"/>
              <w:right w:val="single" w:sz="4" w:space="0" w:color="BFBFBF"/>
            </w:tcBorders>
            <w:shd w:val="clear" w:color="000000" w:fill="C5D9F1"/>
            <w:noWrap/>
            <w:hideMark/>
          </w:tcPr>
          <w:p w14:paraId="0306B7DB" w14:textId="502B8C5D" w:rsidR="002051ED" w:rsidRPr="009E57C8" w:rsidRDefault="002051ED" w:rsidP="002051ED">
            <w:pPr>
              <w:jc w:val="right"/>
              <w:rPr>
                <w:rFonts w:asciiTheme="minorHAnsi" w:eastAsia="Times New Roman" w:hAnsiTheme="minorHAnsi" w:cstheme="minorHAnsi"/>
                <w:color w:val="000000"/>
                <w:sz w:val="20"/>
                <w:szCs w:val="20"/>
                <w:lang w:eastAsia="en-AU"/>
              </w:rPr>
            </w:pPr>
          </w:p>
        </w:tc>
        <w:tc>
          <w:tcPr>
            <w:tcW w:w="974" w:type="dxa"/>
            <w:tcBorders>
              <w:top w:val="nil"/>
              <w:left w:val="nil"/>
              <w:bottom w:val="single" w:sz="4" w:space="0" w:color="BFBFBF"/>
              <w:right w:val="single" w:sz="4" w:space="0" w:color="BFBFBF"/>
            </w:tcBorders>
            <w:shd w:val="clear" w:color="000000" w:fill="C5D9F1"/>
            <w:noWrap/>
            <w:hideMark/>
          </w:tcPr>
          <w:p w14:paraId="33C800DC" w14:textId="31B49AC3" w:rsidR="002051ED" w:rsidRPr="009E57C8" w:rsidRDefault="002051ED" w:rsidP="002051ED">
            <w:pPr>
              <w:jc w:val="right"/>
              <w:rPr>
                <w:rFonts w:asciiTheme="minorHAnsi" w:eastAsia="Times New Roman" w:hAnsiTheme="minorHAnsi" w:cstheme="minorHAnsi"/>
                <w:color w:val="000000"/>
                <w:sz w:val="20"/>
                <w:szCs w:val="20"/>
                <w:lang w:eastAsia="en-AU"/>
              </w:rPr>
            </w:pPr>
          </w:p>
        </w:tc>
        <w:tc>
          <w:tcPr>
            <w:tcW w:w="985" w:type="dxa"/>
            <w:tcBorders>
              <w:top w:val="nil"/>
              <w:left w:val="nil"/>
              <w:bottom w:val="single" w:sz="4" w:space="0" w:color="BFBFBF"/>
              <w:right w:val="single" w:sz="4" w:space="0" w:color="BFBFBF"/>
            </w:tcBorders>
            <w:shd w:val="clear" w:color="000000" w:fill="C5D9F1"/>
            <w:noWrap/>
            <w:hideMark/>
          </w:tcPr>
          <w:p w14:paraId="16A0DCBE" w14:textId="78A1EF8C" w:rsidR="002051ED" w:rsidRPr="009E57C8" w:rsidRDefault="002051ED" w:rsidP="002051ED">
            <w:pPr>
              <w:jc w:val="right"/>
              <w:rPr>
                <w:rFonts w:asciiTheme="minorHAnsi" w:eastAsia="Times New Roman" w:hAnsiTheme="minorHAnsi" w:cstheme="minorHAnsi"/>
                <w:color w:val="000000"/>
                <w:sz w:val="20"/>
                <w:szCs w:val="20"/>
                <w:lang w:eastAsia="en-AU"/>
              </w:rPr>
            </w:pPr>
          </w:p>
        </w:tc>
        <w:tc>
          <w:tcPr>
            <w:tcW w:w="985" w:type="dxa"/>
            <w:tcBorders>
              <w:top w:val="nil"/>
              <w:left w:val="nil"/>
              <w:bottom w:val="single" w:sz="4" w:space="0" w:color="BFBFBF"/>
              <w:right w:val="single" w:sz="4" w:space="0" w:color="BFBFBF"/>
            </w:tcBorders>
            <w:shd w:val="clear" w:color="000000" w:fill="C5D9F1"/>
            <w:noWrap/>
            <w:hideMark/>
          </w:tcPr>
          <w:p w14:paraId="34412E4E" w14:textId="776FBD5A" w:rsidR="002051ED" w:rsidRPr="009E57C8" w:rsidRDefault="002051ED" w:rsidP="002051ED">
            <w:pPr>
              <w:jc w:val="right"/>
              <w:rPr>
                <w:rFonts w:asciiTheme="minorHAnsi" w:eastAsia="Times New Roman" w:hAnsiTheme="minorHAnsi" w:cstheme="minorHAnsi"/>
                <w:color w:val="000000"/>
                <w:sz w:val="20"/>
                <w:szCs w:val="20"/>
                <w:lang w:eastAsia="en-AU"/>
              </w:rPr>
            </w:pPr>
          </w:p>
        </w:tc>
        <w:tc>
          <w:tcPr>
            <w:tcW w:w="985" w:type="dxa"/>
            <w:tcBorders>
              <w:top w:val="nil"/>
              <w:left w:val="nil"/>
              <w:bottom w:val="single" w:sz="4" w:space="0" w:color="BFBFBF"/>
              <w:right w:val="single" w:sz="4" w:space="0" w:color="BFBFBF"/>
            </w:tcBorders>
            <w:shd w:val="clear" w:color="000000" w:fill="C5D9F1"/>
            <w:noWrap/>
            <w:hideMark/>
          </w:tcPr>
          <w:p w14:paraId="439A328A" w14:textId="14C00A54" w:rsidR="002051ED" w:rsidRPr="009E57C8" w:rsidRDefault="002051ED" w:rsidP="002051ED">
            <w:pPr>
              <w:jc w:val="right"/>
              <w:rPr>
                <w:rFonts w:asciiTheme="minorHAnsi" w:eastAsia="Times New Roman" w:hAnsiTheme="minorHAnsi" w:cstheme="minorHAnsi"/>
                <w:color w:val="000000"/>
                <w:sz w:val="20"/>
                <w:szCs w:val="20"/>
                <w:lang w:eastAsia="en-AU"/>
              </w:rPr>
            </w:pPr>
          </w:p>
        </w:tc>
      </w:tr>
      <w:tr w:rsidR="002051ED" w:rsidRPr="009E57C8" w14:paraId="690BED0B" w14:textId="77777777" w:rsidTr="009D734D">
        <w:tc>
          <w:tcPr>
            <w:tcW w:w="3933" w:type="dxa"/>
            <w:tcBorders>
              <w:top w:val="nil"/>
              <w:left w:val="single" w:sz="4" w:space="0" w:color="BFBFBF"/>
              <w:bottom w:val="single" w:sz="4" w:space="0" w:color="BFBFBF"/>
              <w:right w:val="single" w:sz="4" w:space="0" w:color="BFBFBF"/>
            </w:tcBorders>
            <w:shd w:val="clear" w:color="auto" w:fill="D9D9D9" w:themeFill="background1" w:themeFillShade="D9"/>
            <w:noWrap/>
            <w:hideMark/>
          </w:tcPr>
          <w:p w14:paraId="27D5E11B" w14:textId="77777777" w:rsidR="002051ED" w:rsidRPr="009E57C8" w:rsidRDefault="002051ED" w:rsidP="002051ED">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Long-term on-site storage</w:t>
            </w:r>
          </w:p>
        </w:tc>
        <w:tc>
          <w:tcPr>
            <w:tcW w:w="846" w:type="dxa"/>
            <w:tcBorders>
              <w:top w:val="nil"/>
              <w:left w:val="nil"/>
              <w:bottom w:val="single" w:sz="4" w:space="0" w:color="BFBFBF"/>
              <w:right w:val="single" w:sz="4" w:space="0" w:color="BFBFBF"/>
            </w:tcBorders>
            <w:shd w:val="clear" w:color="auto" w:fill="D9D9D9" w:themeFill="background1" w:themeFillShade="D9"/>
            <w:noWrap/>
            <w:hideMark/>
          </w:tcPr>
          <w:p w14:paraId="53299F93" w14:textId="77777777" w:rsidR="002051ED" w:rsidRPr="009E57C8" w:rsidRDefault="002051ED" w:rsidP="002051ED">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0</w:t>
            </w:r>
          </w:p>
        </w:tc>
        <w:tc>
          <w:tcPr>
            <w:tcW w:w="931" w:type="dxa"/>
            <w:tcBorders>
              <w:top w:val="nil"/>
              <w:left w:val="nil"/>
              <w:bottom w:val="single" w:sz="4" w:space="0" w:color="BFBFBF"/>
              <w:right w:val="single" w:sz="4" w:space="0" w:color="BFBFBF"/>
            </w:tcBorders>
            <w:shd w:val="clear" w:color="auto" w:fill="D9D9D9" w:themeFill="background1" w:themeFillShade="D9"/>
            <w:noWrap/>
          </w:tcPr>
          <w:p w14:paraId="36F16FBA" w14:textId="77777777" w:rsidR="002051ED" w:rsidRPr="009E57C8" w:rsidRDefault="002051ED" w:rsidP="002051ED">
            <w:pPr>
              <w:jc w:val="right"/>
              <w:rPr>
                <w:rFonts w:asciiTheme="minorHAnsi" w:eastAsia="Times New Roman" w:hAnsiTheme="minorHAnsi" w:cstheme="minorHAnsi"/>
                <w:color w:val="000000"/>
                <w:sz w:val="20"/>
                <w:szCs w:val="20"/>
                <w:lang w:eastAsia="en-AU"/>
              </w:rPr>
            </w:pPr>
          </w:p>
        </w:tc>
        <w:tc>
          <w:tcPr>
            <w:tcW w:w="974" w:type="dxa"/>
            <w:tcBorders>
              <w:top w:val="nil"/>
              <w:left w:val="nil"/>
              <w:bottom w:val="single" w:sz="4" w:space="0" w:color="BFBFBF"/>
              <w:right w:val="single" w:sz="4" w:space="0" w:color="BFBFBF"/>
            </w:tcBorders>
            <w:shd w:val="clear" w:color="auto" w:fill="D9D9D9" w:themeFill="background1" w:themeFillShade="D9"/>
          </w:tcPr>
          <w:p w14:paraId="4D2CD9B1" w14:textId="77777777" w:rsidR="002051ED" w:rsidRPr="009E57C8" w:rsidRDefault="002051ED" w:rsidP="002051ED">
            <w:pPr>
              <w:jc w:val="right"/>
              <w:rPr>
                <w:rFonts w:asciiTheme="minorHAnsi" w:eastAsia="Times New Roman" w:hAnsiTheme="minorHAnsi" w:cstheme="minorHAnsi"/>
                <w:color w:val="000000"/>
                <w:sz w:val="20"/>
                <w:szCs w:val="20"/>
                <w:lang w:eastAsia="en-AU"/>
              </w:rPr>
            </w:pPr>
          </w:p>
        </w:tc>
        <w:tc>
          <w:tcPr>
            <w:tcW w:w="98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hideMark/>
          </w:tcPr>
          <w:p w14:paraId="6DC06417" w14:textId="77777777" w:rsidR="002051ED" w:rsidRPr="009E57C8" w:rsidRDefault="002051ED" w:rsidP="002051ED">
            <w:pPr>
              <w:jc w:val="right"/>
              <w:rPr>
                <w:rFonts w:asciiTheme="minorHAnsi" w:eastAsia="Times New Roman" w:hAnsiTheme="minorHAnsi" w:cstheme="minorHAnsi"/>
                <w:color w:val="808080"/>
                <w:sz w:val="20"/>
                <w:szCs w:val="20"/>
                <w:lang w:eastAsia="en-AU"/>
              </w:rPr>
            </w:pPr>
            <w:r w:rsidRPr="009E57C8">
              <w:rPr>
                <w:rFonts w:asciiTheme="minorHAnsi" w:eastAsia="Times New Roman" w:hAnsiTheme="minorHAnsi" w:cstheme="minorHAnsi"/>
                <w:color w:val="808080"/>
                <w:sz w:val="20"/>
                <w:szCs w:val="20"/>
                <w:lang w:eastAsia="en-AU"/>
              </w:rPr>
              <w:t>no inf.</w:t>
            </w:r>
          </w:p>
        </w:tc>
        <w:tc>
          <w:tcPr>
            <w:tcW w:w="98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hideMark/>
          </w:tcPr>
          <w:p w14:paraId="08CCB986" w14:textId="77777777" w:rsidR="002051ED" w:rsidRPr="009E57C8" w:rsidRDefault="002051ED" w:rsidP="002051ED">
            <w:pPr>
              <w:jc w:val="right"/>
              <w:rPr>
                <w:rFonts w:asciiTheme="minorHAnsi" w:eastAsia="Times New Roman" w:hAnsiTheme="minorHAnsi" w:cstheme="minorHAnsi"/>
                <w:color w:val="808080"/>
                <w:sz w:val="20"/>
                <w:szCs w:val="20"/>
                <w:lang w:eastAsia="en-AU"/>
              </w:rPr>
            </w:pPr>
            <w:r w:rsidRPr="009E57C8">
              <w:rPr>
                <w:rFonts w:asciiTheme="minorHAnsi" w:eastAsia="Times New Roman" w:hAnsiTheme="minorHAnsi" w:cstheme="minorHAnsi"/>
                <w:color w:val="808080"/>
                <w:sz w:val="20"/>
                <w:szCs w:val="20"/>
                <w:lang w:eastAsia="en-AU"/>
              </w:rPr>
              <w:t>no inf.</w:t>
            </w:r>
          </w:p>
        </w:tc>
        <w:tc>
          <w:tcPr>
            <w:tcW w:w="98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hideMark/>
          </w:tcPr>
          <w:p w14:paraId="30F60433" w14:textId="77777777" w:rsidR="002051ED" w:rsidRPr="009E57C8" w:rsidRDefault="002051ED" w:rsidP="002051ED">
            <w:pPr>
              <w:jc w:val="right"/>
              <w:rPr>
                <w:rFonts w:asciiTheme="minorHAnsi" w:eastAsia="Times New Roman" w:hAnsiTheme="minorHAnsi" w:cstheme="minorHAnsi"/>
                <w:color w:val="808080"/>
                <w:sz w:val="20"/>
                <w:szCs w:val="20"/>
                <w:lang w:eastAsia="en-AU"/>
              </w:rPr>
            </w:pPr>
            <w:r w:rsidRPr="009E57C8">
              <w:rPr>
                <w:rFonts w:asciiTheme="minorHAnsi" w:eastAsia="Times New Roman" w:hAnsiTheme="minorHAnsi" w:cstheme="minorHAnsi"/>
                <w:color w:val="808080"/>
                <w:sz w:val="20"/>
                <w:szCs w:val="20"/>
                <w:lang w:eastAsia="en-AU"/>
              </w:rPr>
              <w:t>no inf.</w:t>
            </w:r>
          </w:p>
        </w:tc>
      </w:tr>
      <w:tr w:rsidR="002051ED" w:rsidRPr="009E57C8" w14:paraId="3D6FC6D2" w14:textId="77777777" w:rsidTr="009D734D">
        <w:tc>
          <w:tcPr>
            <w:tcW w:w="3933" w:type="dxa"/>
            <w:tcBorders>
              <w:top w:val="nil"/>
              <w:left w:val="single" w:sz="4" w:space="0" w:color="BFBFBF"/>
              <w:bottom w:val="single" w:sz="4" w:space="0" w:color="BFBFBF"/>
              <w:right w:val="single" w:sz="4" w:space="0" w:color="BFBFBF"/>
            </w:tcBorders>
            <w:shd w:val="clear" w:color="auto" w:fill="auto"/>
            <w:noWrap/>
            <w:hideMark/>
          </w:tcPr>
          <w:p w14:paraId="0991BB02" w14:textId="77777777" w:rsidR="002051ED" w:rsidRPr="009E57C8" w:rsidRDefault="002051ED" w:rsidP="002051ED">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Long-term isolation facility</w:t>
            </w:r>
          </w:p>
        </w:tc>
        <w:tc>
          <w:tcPr>
            <w:tcW w:w="846" w:type="dxa"/>
            <w:tcBorders>
              <w:top w:val="nil"/>
              <w:left w:val="nil"/>
              <w:bottom w:val="single" w:sz="4" w:space="0" w:color="BFBFBF"/>
              <w:right w:val="single" w:sz="4" w:space="0" w:color="BFBFBF"/>
            </w:tcBorders>
            <w:shd w:val="clear" w:color="auto" w:fill="auto"/>
            <w:noWrap/>
            <w:hideMark/>
          </w:tcPr>
          <w:p w14:paraId="36BFE071" w14:textId="77777777" w:rsidR="002051ED" w:rsidRPr="009E57C8" w:rsidRDefault="002051ED" w:rsidP="002051ED">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0</w:t>
            </w:r>
          </w:p>
        </w:tc>
        <w:tc>
          <w:tcPr>
            <w:tcW w:w="931" w:type="dxa"/>
            <w:tcBorders>
              <w:top w:val="nil"/>
              <w:left w:val="nil"/>
              <w:bottom w:val="single" w:sz="4" w:space="0" w:color="BFBFBF"/>
              <w:right w:val="single" w:sz="4" w:space="0" w:color="BFBFBF"/>
            </w:tcBorders>
            <w:shd w:val="clear" w:color="auto" w:fill="auto"/>
            <w:noWrap/>
            <w:hideMark/>
          </w:tcPr>
          <w:p w14:paraId="7A122909" w14:textId="77777777" w:rsidR="002051ED" w:rsidRPr="009E57C8" w:rsidRDefault="002051ED" w:rsidP="002051ED">
            <w:pPr>
              <w:jc w:val="right"/>
              <w:rPr>
                <w:rFonts w:asciiTheme="minorHAnsi" w:eastAsia="Times New Roman" w:hAnsiTheme="minorHAnsi" w:cstheme="minorHAnsi"/>
                <w:color w:val="000000"/>
                <w:sz w:val="20"/>
                <w:szCs w:val="20"/>
                <w:lang w:eastAsia="en-AU"/>
              </w:rPr>
            </w:pPr>
            <w:r w:rsidRPr="009E57C8">
              <w:rPr>
                <w:rFonts w:asciiTheme="minorHAnsi" w:eastAsia="Times New Roman" w:hAnsiTheme="minorHAnsi" w:cstheme="minorHAnsi"/>
                <w:color w:val="000000"/>
                <w:sz w:val="20"/>
                <w:szCs w:val="20"/>
                <w:lang w:eastAsia="en-AU"/>
              </w:rPr>
              <w:t>0</w:t>
            </w:r>
          </w:p>
        </w:tc>
        <w:tc>
          <w:tcPr>
            <w:tcW w:w="974" w:type="dxa"/>
            <w:tcBorders>
              <w:top w:val="nil"/>
              <w:left w:val="nil"/>
              <w:bottom w:val="single" w:sz="4" w:space="0" w:color="BFBFBF"/>
              <w:right w:val="single" w:sz="4" w:space="0" w:color="BFBFBF"/>
            </w:tcBorders>
            <w:shd w:val="clear" w:color="auto" w:fill="FF0000"/>
            <w:noWrap/>
            <w:hideMark/>
          </w:tcPr>
          <w:p w14:paraId="25BD443E" w14:textId="03E5C678" w:rsidR="002051ED" w:rsidRPr="009E57C8" w:rsidRDefault="00B67713" w:rsidP="002051ED">
            <w:pPr>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CIC</w:t>
            </w:r>
          </w:p>
        </w:tc>
        <w:tc>
          <w:tcPr>
            <w:tcW w:w="985"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52FEC875" w14:textId="77777777" w:rsidR="002051ED" w:rsidRPr="009E57C8" w:rsidRDefault="002051ED" w:rsidP="002051ED">
            <w:pPr>
              <w:jc w:val="right"/>
              <w:rPr>
                <w:rFonts w:asciiTheme="minorHAnsi" w:eastAsia="Times New Roman" w:hAnsiTheme="minorHAnsi" w:cstheme="minorHAnsi"/>
                <w:color w:val="808080"/>
                <w:sz w:val="20"/>
                <w:szCs w:val="20"/>
                <w:lang w:eastAsia="en-AU"/>
              </w:rPr>
            </w:pPr>
            <w:r w:rsidRPr="009E57C8">
              <w:rPr>
                <w:rFonts w:asciiTheme="minorHAnsi" w:eastAsia="Times New Roman" w:hAnsiTheme="minorHAnsi" w:cstheme="minorHAnsi"/>
                <w:color w:val="808080"/>
                <w:sz w:val="20"/>
                <w:szCs w:val="20"/>
                <w:lang w:eastAsia="en-AU"/>
              </w:rPr>
              <w:t>no inf.</w:t>
            </w:r>
          </w:p>
        </w:tc>
        <w:tc>
          <w:tcPr>
            <w:tcW w:w="985"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135D1B94" w14:textId="77777777" w:rsidR="002051ED" w:rsidRPr="009E57C8" w:rsidRDefault="002051ED" w:rsidP="002051ED">
            <w:pPr>
              <w:jc w:val="right"/>
              <w:rPr>
                <w:rFonts w:asciiTheme="minorHAnsi" w:eastAsia="Times New Roman" w:hAnsiTheme="minorHAnsi" w:cstheme="minorHAnsi"/>
                <w:color w:val="808080"/>
                <w:sz w:val="20"/>
                <w:szCs w:val="20"/>
                <w:lang w:eastAsia="en-AU"/>
              </w:rPr>
            </w:pPr>
            <w:r w:rsidRPr="009E57C8">
              <w:rPr>
                <w:rFonts w:asciiTheme="minorHAnsi" w:eastAsia="Times New Roman" w:hAnsiTheme="minorHAnsi" w:cstheme="minorHAnsi"/>
                <w:color w:val="808080"/>
                <w:sz w:val="20"/>
                <w:szCs w:val="20"/>
                <w:lang w:eastAsia="en-AU"/>
              </w:rPr>
              <w:t>no inf.</w:t>
            </w:r>
          </w:p>
        </w:tc>
        <w:tc>
          <w:tcPr>
            <w:tcW w:w="985"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75F7C5E5" w14:textId="77777777" w:rsidR="002051ED" w:rsidRPr="009E57C8" w:rsidRDefault="002051ED" w:rsidP="002051ED">
            <w:pPr>
              <w:jc w:val="right"/>
              <w:rPr>
                <w:rFonts w:asciiTheme="minorHAnsi" w:eastAsia="Times New Roman" w:hAnsiTheme="minorHAnsi" w:cstheme="minorHAnsi"/>
                <w:color w:val="808080"/>
                <w:sz w:val="20"/>
                <w:szCs w:val="20"/>
                <w:lang w:eastAsia="en-AU"/>
              </w:rPr>
            </w:pPr>
            <w:r w:rsidRPr="009E57C8">
              <w:rPr>
                <w:rFonts w:asciiTheme="minorHAnsi" w:eastAsia="Times New Roman" w:hAnsiTheme="minorHAnsi" w:cstheme="minorHAnsi"/>
                <w:color w:val="808080"/>
                <w:sz w:val="20"/>
                <w:szCs w:val="20"/>
                <w:lang w:eastAsia="en-AU"/>
              </w:rPr>
              <w:t>no inf.</w:t>
            </w:r>
          </w:p>
        </w:tc>
      </w:tr>
    </w:tbl>
    <w:p w14:paraId="4F68310D" w14:textId="77777777" w:rsidR="009A2B13" w:rsidRDefault="009A2B13" w:rsidP="009A2B13">
      <w:pPr>
        <w:pStyle w:val="Notes"/>
        <w:ind w:left="0" w:firstLine="0"/>
      </w:pPr>
      <w:r w:rsidRPr="00100F0A">
        <w:t>Notes:</w:t>
      </w:r>
      <w:r w:rsidRPr="00F7413A">
        <w:rPr>
          <w:shd w:val="clear" w:color="auto" w:fill="FFFFFF" w:themeFill="background1"/>
        </w:rPr>
        <w:t xml:space="preserve"> </w:t>
      </w:r>
      <w:r w:rsidRPr="00F7413A">
        <w:rPr>
          <w:shd w:val="clear" w:color="auto" w:fill="D9D9D9" w:themeFill="background1" w:themeFillShade="D9"/>
        </w:rPr>
        <w:t>S</w:t>
      </w:r>
      <w:r w:rsidRPr="00AC2649">
        <w:rPr>
          <w:shd w:val="clear" w:color="auto" w:fill="D9D9D9" w:themeFill="background1" w:themeFillShade="D9"/>
        </w:rPr>
        <w:t>haded</w:t>
      </w:r>
      <w:r w:rsidRPr="00100F0A">
        <w:rPr>
          <w:shd w:val="clear" w:color="auto" w:fill="D9D9D9" w:themeFill="background1" w:themeFillShade="D9"/>
        </w:rPr>
        <w:t xml:space="preserve"> grey</w:t>
      </w:r>
      <w:r w:rsidRPr="00100F0A">
        <w:t xml:space="preserve"> infrastructure groups have coverage limitations</w:t>
      </w:r>
      <w:r>
        <w:t xml:space="preserve"> or are excluded.</w:t>
      </w:r>
      <w:r w:rsidRPr="00100F0A">
        <w:t xml:space="preserve"> </w:t>
      </w:r>
    </w:p>
    <w:p w14:paraId="0C175B13" w14:textId="6E56E358" w:rsidR="009A2B13" w:rsidRDefault="00291E0A" w:rsidP="003E7966">
      <w:pPr>
        <w:pStyle w:val="Heading3-nonumber"/>
      </w:pPr>
      <w:r>
        <w:t>R</w:t>
      </w:r>
      <w:r w:rsidR="00DB5D5D">
        <w:t>ecommendations</w:t>
      </w:r>
    </w:p>
    <w:p w14:paraId="11811A9E" w14:textId="607026C1" w:rsidR="00C27200" w:rsidRDefault="00C27200" w:rsidP="00CF3752">
      <w:pPr>
        <w:spacing w:before="120" w:after="120"/>
        <w:rPr>
          <w:color w:val="080808"/>
        </w:rPr>
      </w:pPr>
      <w:r w:rsidRPr="00100F0A">
        <w:rPr>
          <w:b/>
          <w:color w:val="080808"/>
        </w:rPr>
        <w:t xml:space="preserve">Recommendation </w:t>
      </w:r>
      <w:r>
        <w:rPr>
          <w:b/>
          <w:color w:val="080808"/>
        </w:rPr>
        <w:t>1</w:t>
      </w:r>
      <w:r w:rsidRPr="00100F0A">
        <w:rPr>
          <w:b/>
          <w:color w:val="080808"/>
        </w:rPr>
        <w:t xml:space="preserve">: </w:t>
      </w:r>
      <w:r w:rsidRPr="00100F0A">
        <w:rPr>
          <w:color w:val="080808"/>
        </w:rPr>
        <w:t xml:space="preserve">Qld, NT and Tas </w:t>
      </w:r>
      <w:r w:rsidR="003E7966">
        <w:rPr>
          <w:color w:val="080808"/>
        </w:rPr>
        <w:t>g</w:t>
      </w:r>
      <w:r w:rsidRPr="00100F0A">
        <w:rPr>
          <w:color w:val="080808"/>
        </w:rPr>
        <w:t xml:space="preserve">overnments </w:t>
      </w:r>
      <w:r>
        <w:rPr>
          <w:color w:val="080808"/>
        </w:rPr>
        <w:t xml:space="preserve">should </w:t>
      </w:r>
      <w:r w:rsidRPr="00100F0A">
        <w:rPr>
          <w:color w:val="080808"/>
        </w:rPr>
        <w:t>consider completing feasibility studies to determine the viability of establishing additional hazardous waste packaging capacity in their jurisdiction.</w:t>
      </w:r>
    </w:p>
    <w:p w14:paraId="20E6E3A9" w14:textId="4B24F008" w:rsidR="00C27200" w:rsidRDefault="00C27200" w:rsidP="00CF3752">
      <w:pPr>
        <w:spacing w:before="120" w:after="120"/>
        <w:rPr>
          <w:color w:val="080808"/>
        </w:rPr>
      </w:pPr>
      <w:r w:rsidRPr="00100F0A">
        <w:rPr>
          <w:b/>
          <w:color w:val="080808"/>
        </w:rPr>
        <w:t xml:space="preserve">Recommendation </w:t>
      </w:r>
      <w:r>
        <w:rPr>
          <w:b/>
          <w:color w:val="080808"/>
        </w:rPr>
        <w:t>2</w:t>
      </w:r>
      <w:r w:rsidRPr="00100F0A">
        <w:rPr>
          <w:b/>
          <w:color w:val="080808"/>
        </w:rPr>
        <w:t xml:space="preserve">: </w:t>
      </w:r>
      <w:r w:rsidRPr="00100F0A">
        <w:rPr>
          <w:color w:val="080808"/>
        </w:rPr>
        <w:t xml:space="preserve">NT, Tas and WA </w:t>
      </w:r>
      <w:r w:rsidR="003E7966">
        <w:rPr>
          <w:color w:val="080808"/>
        </w:rPr>
        <w:t>g</w:t>
      </w:r>
      <w:r w:rsidRPr="00100F0A">
        <w:rPr>
          <w:color w:val="080808"/>
        </w:rPr>
        <w:t xml:space="preserve">overnments </w:t>
      </w:r>
      <w:r>
        <w:rPr>
          <w:color w:val="080808"/>
        </w:rPr>
        <w:t xml:space="preserve">should </w:t>
      </w:r>
      <w:r w:rsidRPr="00100F0A">
        <w:rPr>
          <w:color w:val="080808"/>
        </w:rPr>
        <w:t>consider completing feasibility studies to determine the viability of establishing e-waste recycling capacity in their jurisdiction.</w:t>
      </w:r>
    </w:p>
    <w:p w14:paraId="2E3BCE42" w14:textId="0127BAEA" w:rsidR="00C27200" w:rsidRPr="00100F0A" w:rsidRDefault="00C27200" w:rsidP="00CF3752">
      <w:pPr>
        <w:spacing w:before="120" w:after="120"/>
        <w:rPr>
          <w:color w:val="080808"/>
        </w:rPr>
      </w:pPr>
      <w:r w:rsidRPr="00100F0A">
        <w:rPr>
          <w:b/>
        </w:rPr>
        <w:t xml:space="preserve">Recommendation </w:t>
      </w:r>
      <w:r>
        <w:rPr>
          <w:b/>
        </w:rPr>
        <w:t>3</w:t>
      </w:r>
      <w:r w:rsidRPr="00100F0A">
        <w:rPr>
          <w:b/>
        </w:rPr>
        <w:t xml:space="preserve">: </w:t>
      </w:r>
      <w:r w:rsidRPr="00100F0A">
        <w:t xml:space="preserve">The potential hazards posed by </w:t>
      </w:r>
      <w:r>
        <w:t>lithium ion</w:t>
      </w:r>
      <w:r w:rsidRPr="00100F0A">
        <w:t xml:space="preserve"> batteries, and the best means of managing these hazards, needs further assessment. </w:t>
      </w:r>
      <w:r w:rsidR="003E7966">
        <w:t xml:space="preserve">Subsequently, </w:t>
      </w:r>
      <w:r>
        <w:t xml:space="preserve">an </w:t>
      </w:r>
      <w:r w:rsidRPr="00100F0A">
        <w:t>assessment</w:t>
      </w:r>
      <w:r>
        <w:t xml:space="preserve"> should be completed</w:t>
      </w:r>
      <w:r w:rsidRPr="00100F0A">
        <w:t xml:space="preserve"> of the collection and processing infrastructure needs for </w:t>
      </w:r>
      <w:r>
        <w:t>lithium ion</w:t>
      </w:r>
      <w:r w:rsidRPr="00100F0A">
        <w:t xml:space="preserve"> batteries in Australia.</w:t>
      </w:r>
      <w:r w:rsidRPr="00100F0A">
        <w:rPr>
          <w:color w:val="080808"/>
        </w:rPr>
        <w:t xml:space="preserve"> This recommendation was made in 2015 and </w:t>
      </w:r>
      <w:r>
        <w:rPr>
          <w:color w:val="080808"/>
        </w:rPr>
        <w:t xml:space="preserve">is supported by a CSIRO (2018) </w:t>
      </w:r>
      <w:r w:rsidR="003E7966">
        <w:rPr>
          <w:color w:val="080808"/>
        </w:rPr>
        <w:t>study</w:t>
      </w:r>
      <w:r w:rsidRPr="00100F0A">
        <w:rPr>
          <w:color w:val="080808"/>
        </w:rPr>
        <w:t xml:space="preserve">.  </w:t>
      </w:r>
    </w:p>
    <w:p w14:paraId="0CE8F1FF" w14:textId="57F1D771" w:rsidR="00C27200" w:rsidRPr="00100F0A" w:rsidRDefault="00C27200" w:rsidP="00CF3752">
      <w:pPr>
        <w:spacing w:before="120" w:after="120"/>
        <w:rPr>
          <w:color w:val="080808"/>
        </w:rPr>
      </w:pPr>
      <w:r w:rsidRPr="00100F0A">
        <w:rPr>
          <w:b/>
          <w:color w:val="080808"/>
        </w:rPr>
        <w:t xml:space="preserve">Recommendation </w:t>
      </w:r>
      <w:r>
        <w:rPr>
          <w:b/>
          <w:color w:val="080808"/>
        </w:rPr>
        <w:t>4</w:t>
      </w:r>
      <w:r w:rsidRPr="00100F0A">
        <w:rPr>
          <w:b/>
          <w:color w:val="080808"/>
        </w:rPr>
        <w:t xml:space="preserve">: </w:t>
      </w:r>
      <w:r w:rsidRPr="00100F0A">
        <w:rPr>
          <w:color w:val="080808"/>
        </w:rPr>
        <w:t>NSW, NT,</w:t>
      </w:r>
      <w:r>
        <w:rPr>
          <w:color w:val="080808"/>
        </w:rPr>
        <w:t xml:space="preserve"> Qld</w:t>
      </w:r>
      <w:r w:rsidRPr="00100F0A">
        <w:rPr>
          <w:color w:val="080808"/>
        </w:rPr>
        <w:t xml:space="preserve"> and Tas </w:t>
      </w:r>
      <w:r w:rsidR="003E7966">
        <w:rPr>
          <w:color w:val="080808"/>
        </w:rPr>
        <w:t>governments</w:t>
      </w:r>
      <w:r w:rsidRPr="00100F0A">
        <w:rPr>
          <w:color w:val="080808"/>
        </w:rPr>
        <w:t xml:space="preserve"> </w:t>
      </w:r>
      <w:r>
        <w:rPr>
          <w:color w:val="080808"/>
        </w:rPr>
        <w:t xml:space="preserve">should </w:t>
      </w:r>
      <w:r w:rsidRPr="00100F0A">
        <w:rPr>
          <w:color w:val="080808"/>
        </w:rPr>
        <w:t>consider completing feasibility studies to determine the viability of establishing additional oil waste capacity in their jurisdiction.</w:t>
      </w:r>
    </w:p>
    <w:p w14:paraId="6DE1A5C6" w14:textId="77777777" w:rsidR="00C27200" w:rsidRPr="00100F0A" w:rsidRDefault="00C27200" w:rsidP="00CF3752">
      <w:pPr>
        <w:spacing w:before="120" w:after="120"/>
        <w:rPr>
          <w:color w:val="080808"/>
        </w:rPr>
      </w:pPr>
      <w:r w:rsidRPr="00100F0A">
        <w:rPr>
          <w:b/>
          <w:color w:val="080808"/>
        </w:rPr>
        <w:t xml:space="preserve">Recommendation </w:t>
      </w:r>
      <w:r>
        <w:rPr>
          <w:b/>
          <w:color w:val="080808"/>
        </w:rPr>
        <w:t>5</w:t>
      </w:r>
      <w:r w:rsidRPr="00100F0A">
        <w:rPr>
          <w:b/>
          <w:color w:val="080808"/>
        </w:rPr>
        <w:t xml:space="preserve">: </w:t>
      </w:r>
      <w:r w:rsidRPr="00100F0A">
        <w:rPr>
          <w:color w:val="080808"/>
        </w:rPr>
        <w:t xml:space="preserve">WA government </w:t>
      </w:r>
      <w:r>
        <w:rPr>
          <w:color w:val="080808"/>
        </w:rPr>
        <w:t xml:space="preserve">should </w:t>
      </w:r>
      <w:r w:rsidRPr="00100F0A">
        <w:rPr>
          <w:color w:val="080808"/>
        </w:rPr>
        <w:t>consider completing</w:t>
      </w:r>
      <w:r>
        <w:rPr>
          <w:color w:val="080808"/>
        </w:rPr>
        <w:t xml:space="preserve"> a</w:t>
      </w:r>
      <w:r w:rsidRPr="00100F0A">
        <w:rPr>
          <w:color w:val="080808"/>
        </w:rPr>
        <w:t xml:space="preserve"> feasibility stud</w:t>
      </w:r>
      <w:r>
        <w:rPr>
          <w:color w:val="080808"/>
        </w:rPr>
        <w:t>y</w:t>
      </w:r>
      <w:r w:rsidRPr="00100F0A">
        <w:rPr>
          <w:color w:val="080808"/>
        </w:rPr>
        <w:t xml:space="preserve"> to determine the viability of establishing lead waste recycling capacity in their jurisdiction.</w:t>
      </w:r>
    </w:p>
    <w:p w14:paraId="32B9A476" w14:textId="61BDB9F7" w:rsidR="00C27200" w:rsidRDefault="00C27200" w:rsidP="00CF3752">
      <w:pPr>
        <w:spacing w:before="120" w:after="120"/>
        <w:rPr>
          <w:color w:val="080808"/>
        </w:rPr>
      </w:pPr>
      <w:r w:rsidRPr="00100F0A">
        <w:rPr>
          <w:b/>
          <w:color w:val="080808"/>
        </w:rPr>
        <w:t xml:space="preserve">Recommendation </w:t>
      </w:r>
      <w:r>
        <w:rPr>
          <w:b/>
          <w:color w:val="080808"/>
        </w:rPr>
        <w:t>6</w:t>
      </w:r>
      <w:r w:rsidRPr="00100F0A">
        <w:rPr>
          <w:b/>
          <w:color w:val="080808"/>
        </w:rPr>
        <w:t xml:space="preserve">: </w:t>
      </w:r>
      <w:r w:rsidRPr="00100F0A">
        <w:rPr>
          <w:color w:val="080808"/>
        </w:rPr>
        <w:t xml:space="preserve">Qld, NSW, Vic and Tas </w:t>
      </w:r>
      <w:r w:rsidR="003E7966">
        <w:rPr>
          <w:color w:val="080808"/>
        </w:rPr>
        <w:t>governments</w:t>
      </w:r>
      <w:r w:rsidRPr="00100F0A">
        <w:rPr>
          <w:color w:val="080808"/>
        </w:rPr>
        <w:t xml:space="preserve"> and DoEE </w:t>
      </w:r>
      <w:r>
        <w:rPr>
          <w:color w:val="080808"/>
        </w:rPr>
        <w:t xml:space="preserve">should </w:t>
      </w:r>
      <w:r w:rsidRPr="00100F0A">
        <w:rPr>
          <w:color w:val="080808"/>
        </w:rPr>
        <w:t xml:space="preserve">continue to actively engage with </w:t>
      </w:r>
      <w:r>
        <w:rPr>
          <w:color w:val="080808"/>
        </w:rPr>
        <w:t>a</w:t>
      </w:r>
      <w:r w:rsidRPr="00100F0A">
        <w:rPr>
          <w:color w:val="080808"/>
        </w:rPr>
        <w:t>luminium smelting companies regarding current SPL stockpiles to ensure that stockpiles continue to be drawn down each year until the</w:t>
      </w:r>
      <w:r w:rsidR="003E7966">
        <w:rPr>
          <w:color w:val="080808"/>
        </w:rPr>
        <w:t>y</w:t>
      </w:r>
      <w:r w:rsidRPr="00100F0A">
        <w:rPr>
          <w:color w:val="080808"/>
        </w:rPr>
        <w:t xml:space="preserve"> are removed. </w:t>
      </w:r>
    </w:p>
    <w:p w14:paraId="0415C1F0" w14:textId="0D05368B" w:rsidR="00C27200" w:rsidRPr="00100F0A" w:rsidRDefault="00C27200" w:rsidP="00CF3752">
      <w:pPr>
        <w:spacing w:before="120" w:after="120"/>
        <w:rPr>
          <w:color w:val="080808"/>
        </w:rPr>
      </w:pPr>
      <w:r w:rsidRPr="00100F0A">
        <w:rPr>
          <w:b/>
          <w:color w:val="080808"/>
        </w:rPr>
        <w:t xml:space="preserve">Recommendation </w:t>
      </w:r>
      <w:r>
        <w:rPr>
          <w:b/>
          <w:color w:val="080808"/>
        </w:rPr>
        <w:t>7</w:t>
      </w:r>
      <w:r w:rsidRPr="00100F0A">
        <w:rPr>
          <w:b/>
          <w:color w:val="080808"/>
        </w:rPr>
        <w:t xml:space="preserve">: </w:t>
      </w:r>
      <w:r w:rsidRPr="00100F0A">
        <w:rPr>
          <w:color w:val="080808"/>
        </w:rPr>
        <w:t>Do</w:t>
      </w:r>
      <w:r>
        <w:rPr>
          <w:color w:val="080808"/>
        </w:rPr>
        <w:t>E</w:t>
      </w:r>
      <w:r w:rsidRPr="00100F0A">
        <w:rPr>
          <w:color w:val="080808"/>
        </w:rPr>
        <w:t xml:space="preserve">E and/or NSW and Qld EPAs should consult with the </w:t>
      </w:r>
      <w:r w:rsidR="003E7966">
        <w:rPr>
          <w:color w:val="080808"/>
        </w:rPr>
        <w:t>CSG</w:t>
      </w:r>
      <w:r w:rsidRPr="00100F0A">
        <w:rPr>
          <w:color w:val="080808"/>
        </w:rPr>
        <w:t xml:space="preserve"> industry to develop a strategic plan for managing its waste, in particular waste in remote areas. This recommendation was made in 2015 and remains current.</w:t>
      </w:r>
    </w:p>
    <w:p w14:paraId="7A92E00E" w14:textId="77777777" w:rsidR="00C27200" w:rsidRPr="00100F0A" w:rsidRDefault="00C27200" w:rsidP="00CF3752">
      <w:pPr>
        <w:spacing w:before="120" w:after="120"/>
        <w:rPr>
          <w:color w:val="080808"/>
        </w:rPr>
      </w:pPr>
      <w:r w:rsidRPr="00100F0A">
        <w:rPr>
          <w:b/>
          <w:color w:val="080808"/>
        </w:rPr>
        <w:t xml:space="preserve">Recommendation </w:t>
      </w:r>
      <w:r>
        <w:rPr>
          <w:b/>
          <w:color w:val="080808"/>
        </w:rPr>
        <w:t>8</w:t>
      </w:r>
      <w:r w:rsidRPr="00100F0A">
        <w:rPr>
          <w:b/>
          <w:color w:val="080808"/>
        </w:rPr>
        <w:t xml:space="preserve">: </w:t>
      </w:r>
      <w:r w:rsidRPr="00100F0A">
        <w:rPr>
          <w:color w:val="080808"/>
        </w:rPr>
        <w:t>Do</w:t>
      </w:r>
      <w:r>
        <w:rPr>
          <w:color w:val="080808"/>
        </w:rPr>
        <w:t>E</w:t>
      </w:r>
      <w:r w:rsidRPr="00100F0A">
        <w:rPr>
          <w:color w:val="080808"/>
        </w:rPr>
        <w:t xml:space="preserve">E and/or Tas EPA should further investigate the supply of </w:t>
      </w:r>
      <w:r>
        <w:rPr>
          <w:color w:val="080808"/>
        </w:rPr>
        <w:t>CPT</w:t>
      </w:r>
      <w:r w:rsidRPr="00100F0A">
        <w:rPr>
          <w:color w:val="080808"/>
        </w:rPr>
        <w:t xml:space="preserve"> capacity for hazardous waste in Tas. This recommendation was made in 2015 and remains current.</w:t>
      </w:r>
    </w:p>
    <w:p w14:paraId="7829DBB7" w14:textId="3BAA24EA" w:rsidR="00C27200" w:rsidRDefault="00C27200" w:rsidP="00CF3752">
      <w:pPr>
        <w:spacing w:before="120" w:after="120"/>
        <w:rPr>
          <w:color w:val="080808"/>
        </w:rPr>
      </w:pPr>
      <w:r w:rsidRPr="00100F0A">
        <w:rPr>
          <w:b/>
          <w:color w:val="080808"/>
        </w:rPr>
        <w:t xml:space="preserve">Recommendation </w:t>
      </w:r>
      <w:r>
        <w:rPr>
          <w:b/>
          <w:color w:val="080808"/>
        </w:rPr>
        <w:t>9</w:t>
      </w:r>
      <w:r w:rsidRPr="00100F0A">
        <w:rPr>
          <w:b/>
          <w:color w:val="080808"/>
        </w:rPr>
        <w:t xml:space="preserve">: </w:t>
      </w:r>
      <w:r w:rsidRPr="00100F0A">
        <w:rPr>
          <w:color w:val="080808"/>
        </w:rPr>
        <w:t xml:space="preserve">ACT, NSW, Qld, and </w:t>
      </w:r>
      <w:r>
        <w:rPr>
          <w:color w:val="080808"/>
        </w:rPr>
        <w:t xml:space="preserve">Vic </w:t>
      </w:r>
      <w:r w:rsidR="003E7966">
        <w:rPr>
          <w:color w:val="080808"/>
        </w:rPr>
        <w:t>governments</w:t>
      </w:r>
      <w:r w:rsidRPr="00100F0A">
        <w:rPr>
          <w:color w:val="080808"/>
        </w:rPr>
        <w:t xml:space="preserve"> </w:t>
      </w:r>
      <w:r>
        <w:rPr>
          <w:color w:val="080808"/>
        </w:rPr>
        <w:t xml:space="preserve">should </w:t>
      </w:r>
      <w:r w:rsidRPr="00100F0A">
        <w:rPr>
          <w:color w:val="080808"/>
        </w:rPr>
        <w:t>consider completing feasibility studies to determine the viability of establishing clinical waste recycling capacity in their jurisdiction.</w:t>
      </w:r>
    </w:p>
    <w:p w14:paraId="6509A249" w14:textId="77777777" w:rsidR="00C27200" w:rsidRDefault="00C27200" w:rsidP="00CF3752">
      <w:pPr>
        <w:spacing w:before="120" w:after="120"/>
        <w:rPr>
          <w:color w:val="080808"/>
        </w:rPr>
      </w:pPr>
      <w:r w:rsidRPr="00100F0A">
        <w:rPr>
          <w:b/>
          <w:color w:val="080808"/>
        </w:rPr>
        <w:t>Recommendation 1</w:t>
      </w:r>
      <w:r>
        <w:rPr>
          <w:b/>
          <w:color w:val="080808"/>
        </w:rPr>
        <w:t>0</w:t>
      </w:r>
      <w:r w:rsidRPr="00100F0A">
        <w:rPr>
          <w:b/>
          <w:color w:val="080808"/>
        </w:rPr>
        <w:t xml:space="preserve">: </w:t>
      </w:r>
      <w:r w:rsidRPr="00100F0A">
        <w:rPr>
          <w:color w:val="080808"/>
        </w:rPr>
        <w:t xml:space="preserve">State regulators that are operating waste tracking systems complete ongoing auditing of waste treated through bioremediation to ensure that only appropriate hazardous waste </w:t>
      </w:r>
      <w:r>
        <w:rPr>
          <w:color w:val="080808"/>
        </w:rPr>
        <w:t>is</w:t>
      </w:r>
      <w:r w:rsidRPr="00100F0A">
        <w:rPr>
          <w:color w:val="080808"/>
        </w:rPr>
        <w:t xml:space="preserve"> sent to composting operations. This may already be occurring. </w:t>
      </w:r>
    </w:p>
    <w:p w14:paraId="2D0A6DE3" w14:textId="6AC34DC2" w:rsidR="00C27200" w:rsidRPr="00100F0A" w:rsidRDefault="00C27200" w:rsidP="00CF3752">
      <w:pPr>
        <w:spacing w:before="120" w:after="120"/>
        <w:rPr>
          <w:color w:val="080808"/>
        </w:rPr>
      </w:pPr>
      <w:r w:rsidRPr="00100F0A">
        <w:rPr>
          <w:b/>
          <w:color w:val="080808"/>
        </w:rPr>
        <w:t>Recommendation 1</w:t>
      </w:r>
      <w:r>
        <w:rPr>
          <w:b/>
          <w:color w:val="080808"/>
        </w:rPr>
        <w:t>1</w:t>
      </w:r>
      <w:r w:rsidRPr="00100F0A">
        <w:rPr>
          <w:b/>
          <w:color w:val="080808"/>
        </w:rPr>
        <w:t xml:space="preserve">: </w:t>
      </w:r>
      <w:r>
        <w:rPr>
          <w:color w:val="080808"/>
        </w:rPr>
        <w:t xml:space="preserve">NT, </w:t>
      </w:r>
      <w:r w:rsidRPr="00100F0A">
        <w:rPr>
          <w:color w:val="080808"/>
        </w:rPr>
        <w:t xml:space="preserve">Qld, </w:t>
      </w:r>
      <w:r>
        <w:rPr>
          <w:color w:val="080808"/>
        </w:rPr>
        <w:t xml:space="preserve">and </w:t>
      </w:r>
      <w:r w:rsidRPr="00100F0A">
        <w:rPr>
          <w:color w:val="080808"/>
        </w:rPr>
        <w:t xml:space="preserve">SA </w:t>
      </w:r>
      <w:r w:rsidR="003E7966">
        <w:rPr>
          <w:color w:val="080808"/>
        </w:rPr>
        <w:t>governments</w:t>
      </w:r>
      <w:r>
        <w:rPr>
          <w:color w:val="080808"/>
        </w:rPr>
        <w:t xml:space="preserve"> should</w:t>
      </w:r>
      <w:r w:rsidRPr="00100F0A">
        <w:rPr>
          <w:color w:val="080808"/>
        </w:rPr>
        <w:t xml:space="preserve"> consider completing feasibility studies to determine the viability of establishing contaminated soil treatment capacity in their jurisdiction.</w:t>
      </w:r>
    </w:p>
    <w:p w14:paraId="6B0F56A8" w14:textId="72327146" w:rsidR="00C27200" w:rsidRPr="00100F0A" w:rsidRDefault="00C27200" w:rsidP="00CF3752">
      <w:pPr>
        <w:spacing w:before="120" w:after="120"/>
        <w:rPr>
          <w:color w:val="080808"/>
          <w:lang w:eastAsia="en-AU"/>
        </w:rPr>
      </w:pPr>
      <w:r w:rsidRPr="00100F0A">
        <w:rPr>
          <w:b/>
          <w:color w:val="080808"/>
          <w:lang w:eastAsia="en-AU"/>
        </w:rPr>
        <w:t>Recommendation 1</w:t>
      </w:r>
      <w:r>
        <w:rPr>
          <w:b/>
          <w:color w:val="080808"/>
          <w:lang w:eastAsia="en-AU"/>
        </w:rPr>
        <w:t>2</w:t>
      </w:r>
      <w:r w:rsidRPr="00100F0A">
        <w:rPr>
          <w:b/>
          <w:color w:val="080808"/>
          <w:lang w:eastAsia="en-AU"/>
        </w:rPr>
        <w:t xml:space="preserve">: </w:t>
      </w:r>
      <w:r w:rsidRPr="00100F0A">
        <w:rPr>
          <w:color w:val="080808"/>
          <w:lang w:eastAsia="en-AU"/>
        </w:rPr>
        <w:t xml:space="preserve">DoEE </w:t>
      </w:r>
      <w:r>
        <w:rPr>
          <w:color w:val="080808"/>
          <w:lang w:eastAsia="en-AU"/>
        </w:rPr>
        <w:t xml:space="preserve">should </w:t>
      </w:r>
      <w:r w:rsidRPr="00100F0A">
        <w:rPr>
          <w:color w:val="080808"/>
          <w:lang w:eastAsia="en-AU"/>
        </w:rPr>
        <w:t xml:space="preserve">work with the jurisdictions to complete a detailed assessment of the likely closure year of the identified hazardous waste landfill facility infrastructure including a risk assessment of site capacity being impacted by issues such as extreme weather events. The </w:t>
      </w:r>
      <w:r w:rsidR="00D30CF1">
        <w:rPr>
          <w:color w:val="080808"/>
          <w:lang w:eastAsia="en-AU"/>
        </w:rPr>
        <w:t>anticipated</w:t>
      </w:r>
      <w:r w:rsidRPr="00100F0A">
        <w:rPr>
          <w:color w:val="080808"/>
          <w:lang w:eastAsia="en-AU"/>
        </w:rPr>
        <w:t xml:space="preserve"> closure of the only hazardous waste landfill in NSW in 2030 presents a medium-term infrastructure risk that needs detailed assessment to understand where the materials currently sent to Elizabeth Drive can be sent for recovery or disposal.</w:t>
      </w:r>
    </w:p>
    <w:p w14:paraId="6048D2E6" w14:textId="519D1066" w:rsidR="00C27200" w:rsidRDefault="00C27200" w:rsidP="00CF3752">
      <w:pPr>
        <w:pStyle w:val="BodyText"/>
        <w:spacing w:before="120" w:after="120"/>
      </w:pPr>
      <w:r w:rsidRPr="00100F0A">
        <w:rPr>
          <w:b/>
        </w:rPr>
        <w:t>Recommendation 1</w:t>
      </w:r>
      <w:r>
        <w:rPr>
          <w:b/>
        </w:rPr>
        <w:t>3</w:t>
      </w:r>
      <w:r w:rsidRPr="00100F0A">
        <w:rPr>
          <w:b/>
        </w:rPr>
        <w:t>:</w:t>
      </w:r>
      <w:r w:rsidRPr="00100F0A">
        <w:t xml:space="preserve"> DoEE </w:t>
      </w:r>
      <w:r>
        <w:t xml:space="preserve">should </w:t>
      </w:r>
      <w:r w:rsidRPr="00100F0A">
        <w:t xml:space="preserve">work with jurisdictions and industry to agree an approach to determine the upper limit for tonnages/concentrations that can be received at the high temperature thermal soil treatment facilities, cement kilns and clinical waste thermal destruction units that will ensure thermal destruction of PFAS, </w:t>
      </w:r>
      <w:r>
        <w:t>POP-</w:t>
      </w:r>
      <w:r w:rsidRPr="00100F0A">
        <w:t>BDE, HBCD</w:t>
      </w:r>
      <w:r>
        <w:t xml:space="preserve"> and</w:t>
      </w:r>
      <w:r w:rsidRPr="00100F0A">
        <w:t xml:space="preserve"> HCB wastes. This information is required to better understand how much additional dedicated POP thermal destruction capacity (from technologies such as plasma arc) may be required in future.</w:t>
      </w:r>
    </w:p>
    <w:p w14:paraId="7FC2FE78" w14:textId="77777777" w:rsidR="00C27200" w:rsidRPr="00100F0A" w:rsidRDefault="00C27200" w:rsidP="00CF3752">
      <w:pPr>
        <w:pStyle w:val="BodyText"/>
        <w:spacing w:before="120" w:after="120"/>
      </w:pPr>
      <w:r w:rsidRPr="00100F0A">
        <w:rPr>
          <w:b/>
        </w:rPr>
        <w:t>Recommendation 1</w:t>
      </w:r>
      <w:r>
        <w:rPr>
          <w:b/>
        </w:rPr>
        <w:t>4</w:t>
      </w:r>
      <w:r w:rsidRPr="00100F0A">
        <w:rPr>
          <w:b/>
        </w:rPr>
        <w:t xml:space="preserve">: </w:t>
      </w:r>
      <w:r>
        <w:t>T</w:t>
      </w:r>
      <w:r w:rsidRPr="00100F0A">
        <w:t>he process requirements and contaminant thresholds that need to be met for PFAS</w:t>
      </w:r>
      <w:r>
        <w:t>-</w:t>
      </w:r>
      <w:r w:rsidRPr="00100F0A">
        <w:t>impacted water clean-up should be defined. DoEE may be best placed to le</w:t>
      </w:r>
      <w:r>
        <w:t>a</w:t>
      </w:r>
      <w:r w:rsidRPr="00100F0A">
        <w:t>d the development of a recommended process and threshold that the jurisdictions could choose to adopt. This work may already be underway.</w:t>
      </w:r>
    </w:p>
    <w:p w14:paraId="5A557F92" w14:textId="77777777" w:rsidR="00C27200" w:rsidRDefault="00C27200" w:rsidP="00CF3752">
      <w:pPr>
        <w:pStyle w:val="BodyText"/>
        <w:spacing w:before="120" w:after="120"/>
      </w:pPr>
      <w:r w:rsidRPr="00100F0A">
        <w:rPr>
          <w:b/>
        </w:rPr>
        <w:t>Recommendation 1</w:t>
      </w:r>
      <w:r>
        <w:rPr>
          <w:b/>
        </w:rPr>
        <w:t>5</w:t>
      </w:r>
      <w:r w:rsidRPr="00100F0A">
        <w:rPr>
          <w:b/>
        </w:rPr>
        <w:t xml:space="preserve">: </w:t>
      </w:r>
      <w:r>
        <w:t>T</w:t>
      </w:r>
      <w:r w:rsidRPr="00100F0A">
        <w:t>he management requirements of PFAS</w:t>
      </w:r>
      <w:r>
        <w:t>-</w:t>
      </w:r>
      <w:r w:rsidRPr="00100F0A">
        <w:t xml:space="preserve">contaminated </w:t>
      </w:r>
      <w:r>
        <w:t>filter media</w:t>
      </w:r>
      <w:r w:rsidRPr="00100F0A">
        <w:t xml:space="preserve"> should be reviewed to ensure a nationally consistent approach.</w:t>
      </w:r>
    </w:p>
    <w:p w14:paraId="5523E3E0" w14:textId="77777777" w:rsidR="00C27200" w:rsidRPr="00100F0A" w:rsidRDefault="00C27200" w:rsidP="00CF3752">
      <w:pPr>
        <w:spacing w:before="120" w:after="120"/>
        <w:rPr>
          <w:color w:val="080808"/>
        </w:rPr>
      </w:pPr>
      <w:r w:rsidRPr="00100F0A">
        <w:rPr>
          <w:b/>
          <w:color w:val="080808"/>
        </w:rPr>
        <w:t>Recommendation 1</w:t>
      </w:r>
      <w:r>
        <w:rPr>
          <w:b/>
          <w:color w:val="080808"/>
        </w:rPr>
        <w:t>6</w:t>
      </w:r>
      <w:r w:rsidRPr="00100F0A">
        <w:rPr>
          <w:b/>
          <w:color w:val="080808"/>
        </w:rPr>
        <w:t xml:space="preserve">: </w:t>
      </w:r>
      <w:r w:rsidRPr="00100F0A">
        <w:rPr>
          <w:color w:val="080808"/>
        </w:rPr>
        <w:t>Do</w:t>
      </w:r>
      <w:r>
        <w:rPr>
          <w:color w:val="080808"/>
        </w:rPr>
        <w:t>E</w:t>
      </w:r>
      <w:r w:rsidRPr="00100F0A">
        <w:rPr>
          <w:color w:val="080808"/>
        </w:rPr>
        <w:t>E and/or Tas EPA should further investigate the need for clinical waste treatment or thermal destruction facilities in Tas.</w:t>
      </w:r>
      <w:r>
        <w:rPr>
          <w:color w:val="080808"/>
        </w:rPr>
        <w:t xml:space="preserve"> </w:t>
      </w:r>
    </w:p>
    <w:p w14:paraId="7D72295A" w14:textId="7F5A96C5" w:rsidR="00C27200" w:rsidRPr="00100F0A" w:rsidRDefault="00C27200" w:rsidP="00CF3752">
      <w:pPr>
        <w:pStyle w:val="BodyText"/>
        <w:spacing w:before="120" w:after="120"/>
      </w:pPr>
      <w:r w:rsidRPr="00100F0A">
        <w:rPr>
          <w:b/>
          <w:color w:val="080808"/>
        </w:rPr>
        <w:t xml:space="preserve">Recommendation 17: </w:t>
      </w:r>
      <w:r w:rsidR="00D30CF1">
        <w:t xml:space="preserve">DoEE and/or WA </w:t>
      </w:r>
      <w:r w:rsidRPr="00100F0A">
        <w:t xml:space="preserve">and Qld </w:t>
      </w:r>
      <w:r w:rsidR="003E7966">
        <w:t>governments</w:t>
      </w:r>
      <w:r w:rsidRPr="00100F0A">
        <w:t xml:space="preserve"> should complete a detailed assessment and consultation with industry regarding the need for and (where required) best location(s) for additional hazardous waste transfer station/temporary storage infrastructure. This recommendation was made in 2015 and remains current.</w:t>
      </w:r>
    </w:p>
    <w:p w14:paraId="31361362" w14:textId="3413DA92" w:rsidR="00C27200" w:rsidRDefault="00C27200" w:rsidP="00CF3752">
      <w:pPr>
        <w:pStyle w:val="BodyText"/>
        <w:spacing w:before="120" w:after="120"/>
      </w:pPr>
      <w:r w:rsidRPr="00F7413A">
        <w:rPr>
          <w:b/>
        </w:rPr>
        <w:t>Recommendation</w:t>
      </w:r>
      <w:r>
        <w:rPr>
          <w:b/>
        </w:rPr>
        <w:t xml:space="preserve"> 18</w:t>
      </w:r>
      <w:r>
        <w:t xml:space="preserve">: </w:t>
      </w:r>
      <w:r w:rsidR="00CF3752">
        <w:t xml:space="preserve">DoEE should work with state and territory governments </w:t>
      </w:r>
      <w:r>
        <w:t xml:space="preserve">to assess the appropriate management of </w:t>
      </w:r>
      <w:r w:rsidR="00291E0A">
        <w:t>reverse osmosis</w:t>
      </w:r>
      <w:r>
        <w:t xml:space="preserve"> brine wastes </w:t>
      </w:r>
      <w:r w:rsidR="00CF3752">
        <w:t xml:space="preserve">from the CSG industry </w:t>
      </w:r>
      <w:r>
        <w:t xml:space="preserve">and determine </w:t>
      </w:r>
      <w:r w:rsidR="00CF3752">
        <w:t>the likelihood that offsite disposal requirements will be needed in future</w:t>
      </w:r>
      <w:r>
        <w:t>.</w:t>
      </w:r>
    </w:p>
    <w:p w14:paraId="1DE41261" w14:textId="125ABE38" w:rsidR="00C27200" w:rsidRPr="00100F0A" w:rsidRDefault="00C27200" w:rsidP="00CF3752">
      <w:pPr>
        <w:spacing w:before="120" w:after="120"/>
        <w:rPr>
          <w:color w:val="080808"/>
        </w:rPr>
      </w:pPr>
      <w:r w:rsidRPr="00100F0A">
        <w:rPr>
          <w:b/>
          <w:color w:val="080808"/>
        </w:rPr>
        <w:t>Recommendation 1</w:t>
      </w:r>
      <w:r>
        <w:rPr>
          <w:b/>
          <w:color w:val="080808"/>
        </w:rPr>
        <w:t>9</w:t>
      </w:r>
      <w:r w:rsidRPr="00100F0A">
        <w:rPr>
          <w:b/>
          <w:color w:val="080808"/>
        </w:rPr>
        <w:t xml:space="preserve">: </w:t>
      </w:r>
      <w:r w:rsidRPr="00100F0A">
        <w:rPr>
          <w:color w:val="080808"/>
        </w:rPr>
        <w:t xml:space="preserve">DoEE and the jurisdictions </w:t>
      </w:r>
      <w:r>
        <w:rPr>
          <w:color w:val="080808"/>
        </w:rPr>
        <w:t xml:space="preserve">should </w:t>
      </w:r>
      <w:r w:rsidRPr="00100F0A">
        <w:rPr>
          <w:color w:val="080808"/>
        </w:rPr>
        <w:t>continue to improve the consistency and completeness of tracking system data and work towards systems that enable reporting of energy recovery separately from recycling.</w:t>
      </w:r>
    </w:p>
    <w:p w14:paraId="61C2E3C6" w14:textId="0CA92040" w:rsidR="00484474" w:rsidRDefault="00484474" w:rsidP="00484474">
      <w:pPr>
        <w:pStyle w:val="BodyText"/>
      </w:pPr>
    </w:p>
    <w:p w14:paraId="4F46F60A" w14:textId="77777777" w:rsidR="00484474" w:rsidRDefault="00484474" w:rsidP="00484474">
      <w:pPr>
        <w:pStyle w:val="BodyText"/>
      </w:pPr>
    </w:p>
    <w:p w14:paraId="2F0B20DA" w14:textId="58F80650" w:rsidR="00484474" w:rsidRDefault="00484474" w:rsidP="00484474">
      <w:pPr>
        <w:pStyle w:val="BodyText"/>
      </w:pPr>
    </w:p>
    <w:p w14:paraId="1A2789A5" w14:textId="77777777" w:rsidR="00484474" w:rsidRDefault="00484474" w:rsidP="00484474">
      <w:pPr>
        <w:pStyle w:val="BodyText"/>
        <w:sectPr w:rsidR="00484474" w:rsidSect="00347ED1">
          <w:pgSz w:w="11907" w:h="16840" w:code="9"/>
          <w:pgMar w:top="1531" w:right="1077" w:bottom="1134" w:left="1304" w:header="709" w:footer="709" w:gutter="0"/>
          <w:pgNumType w:fmt="lowerRoman"/>
          <w:cols w:space="708"/>
          <w:docGrid w:linePitch="360"/>
        </w:sectPr>
      </w:pPr>
    </w:p>
    <w:p w14:paraId="209B99A6" w14:textId="11356DE6" w:rsidR="00F72A39" w:rsidRPr="00100F0A" w:rsidRDefault="00A362ED" w:rsidP="00047A75">
      <w:pPr>
        <w:pStyle w:val="Heading1"/>
        <w:numPr>
          <w:ilvl w:val="0"/>
          <w:numId w:val="0"/>
        </w:numPr>
        <w:ind w:left="720" w:hanging="720"/>
      </w:pPr>
      <w:bookmarkStart w:id="6" w:name="_Toc13225522"/>
      <w:r w:rsidRPr="00100F0A">
        <w:t>Summary</w:t>
      </w:r>
      <w:bookmarkEnd w:id="4"/>
      <w:bookmarkEnd w:id="5"/>
      <w:bookmarkEnd w:id="6"/>
    </w:p>
    <w:p w14:paraId="5222C827" w14:textId="77777777" w:rsidR="00347ED1" w:rsidRPr="00100F0A" w:rsidRDefault="00347ED1" w:rsidP="00047A75">
      <w:pPr>
        <w:pStyle w:val="Heading3-nonumber"/>
      </w:pPr>
      <w:r w:rsidRPr="00100F0A">
        <w:t>Introduction</w:t>
      </w:r>
    </w:p>
    <w:p w14:paraId="72AD564C" w14:textId="77777777" w:rsidR="0043600A" w:rsidRPr="00100F0A" w:rsidRDefault="0043600A" w:rsidP="0043600A">
      <w:pPr>
        <w:rPr>
          <w:rFonts w:cs="Arial"/>
        </w:rPr>
      </w:pPr>
      <w:r w:rsidRPr="00100F0A">
        <w:rPr>
          <w:rFonts w:cs="Arial"/>
        </w:rPr>
        <w:t xml:space="preserve">The Australian Government Department of the Environment and Energy (DoEE) is responsible for administering the </w:t>
      </w:r>
      <w:r w:rsidRPr="00100F0A">
        <w:rPr>
          <w:rFonts w:cs="Arial"/>
          <w:i/>
        </w:rPr>
        <w:t>Hazardous Waste (Regulation of Exports and Imports) Act 1989</w:t>
      </w:r>
      <w:r w:rsidRPr="00100F0A">
        <w:rPr>
          <w:rFonts w:cs="Arial"/>
        </w:rPr>
        <w:t xml:space="preserve"> (the Act), which implements Australia’s international agreements on managing hazardous waste including the </w:t>
      </w:r>
      <w:r w:rsidRPr="00100F0A">
        <w:rPr>
          <w:rFonts w:cs="Arial"/>
          <w:i/>
        </w:rPr>
        <w:t>Basel Convention on the Control of Transboundary Movements of Hazardous Wastes and their Disposal</w:t>
      </w:r>
      <w:r w:rsidRPr="00100F0A">
        <w:rPr>
          <w:rFonts w:cs="Arial"/>
        </w:rPr>
        <w:t xml:space="preserve"> (the Basel Convention). </w:t>
      </w:r>
    </w:p>
    <w:p w14:paraId="7ED4A781" w14:textId="77777777" w:rsidR="0043600A" w:rsidRPr="00100F0A" w:rsidRDefault="0043600A" w:rsidP="0043600A">
      <w:pPr>
        <w:rPr>
          <w:rFonts w:cs="Arial"/>
        </w:rPr>
      </w:pPr>
    </w:p>
    <w:p w14:paraId="3F2AF07B" w14:textId="77777777" w:rsidR="0043600A" w:rsidRPr="00100F0A" w:rsidRDefault="0043600A" w:rsidP="0043600A">
      <w:pPr>
        <w:rPr>
          <w:rFonts w:cs="Arial"/>
        </w:rPr>
      </w:pPr>
      <w:r w:rsidRPr="00100F0A">
        <w:rPr>
          <w:rFonts w:cs="Arial"/>
        </w:rPr>
        <w:t xml:space="preserve">DoEE is also the lead agency responsible for the implementation of the current </w:t>
      </w:r>
      <w:r w:rsidRPr="00100F0A">
        <w:rPr>
          <w:rFonts w:cs="Arial"/>
          <w:i/>
        </w:rPr>
        <w:t>National Waste Policy: Less Waste, More Resources</w:t>
      </w:r>
      <w:r w:rsidRPr="00100F0A">
        <w:rPr>
          <w:rFonts w:cs="Arial"/>
        </w:rPr>
        <w:t>. The policy contains a commitment to assess Australia’s current and future hazardous waste infrastructure capacity and needs. This is intended to provide guidance to regulators and industry on where additional investment may be needed.</w:t>
      </w:r>
    </w:p>
    <w:p w14:paraId="6D5878D2" w14:textId="77777777" w:rsidR="0043600A" w:rsidRPr="00100F0A" w:rsidRDefault="0043600A" w:rsidP="0043600A">
      <w:pPr>
        <w:rPr>
          <w:rFonts w:cs="Arial"/>
        </w:rPr>
      </w:pPr>
    </w:p>
    <w:p w14:paraId="1DE2ACE4" w14:textId="233B1546" w:rsidR="0043600A" w:rsidRPr="00100F0A" w:rsidRDefault="0043600A" w:rsidP="00485361">
      <w:r w:rsidRPr="00100F0A">
        <w:rPr>
          <w:rFonts w:cs="Arial"/>
        </w:rPr>
        <w:t>In 201</w:t>
      </w:r>
      <w:r w:rsidR="00485361">
        <w:rPr>
          <w:rFonts w:cs="Arial"/>
        </w:rPr>
        <w:t>4</w:t>
      </w:r>
      <w:r w:rsidRPr="00100F0A">
        <w:rPr>
          <w:rFonts w:cs="Arial"/>
        </w:rPr>
        <w:t>, DoEE commissioned the first such assessment</w:t>
      </w:r>
      <w:r w:rsidR="00B41BAC">
        <w:rPr>
          <w:rFonts w:cs="Arial"/>
        </w:rPr>
        <w:t>. The results</w:t>
      </w:r>
      <w:r w:rsidR="00485361">
        <w:rPr>
          <w:rFonts w:cs="Arial"/>
        </w:rPr>
        <w:t xml:space="preserve">, published in 2015, </w:t>
      </w:r>
      <w:r w:rsidR="00B41BAC">
        <w:rPr>
          <w:rFonts w:cs="Arial"/>
        </w:rPr>
        <w:t>were</w:t>
      </w:r>
      <w:r w:rsidR="00485361">
        <w:rPr>
          <w:rFonts w:cs="Arial"/>
        </w:rPr>
        <w:t xml:space="preserve"> </w:t>
      </w:r>
      <w:r w:rsidRPr="00100F0A">
        <w:t>well received by industry and government stakeholders and seen as valuable for</w:t>
      </w:r>
      <w:r w:rsidR="00B41BAC">
        <w:t xml:space="preserve"> planning</w:t>
      </w:r>
      <w:r w:rsidRPr="00100F0A">
        <w:t xml:space="preserve"> Australia’s current and future hazardous waste infrastructure needs.</w:t>
      </w:r>
    </w:p>
    <w:p w14:paraId="1C0F7B46" w14:textId="77777777" w:rsidR="0043600A" w:rsidRPr="00100F0A" w:rsidRDefault="0043600A" w:rsidP="0043600A">
      <w:pPr>
        <w:pStyle w:val="BodyText"/>
      </w:pPr>
    </w:p>
    <w:p w14:paraId="55462DA1" w14:textId="2CABE05E" w:rsidR="00B41BAC" w:rsidRDefault="0043600A" w:rsidP="0043600A">
      <w:pPr>
        <w:pStyle w:val="BodyText"/>
      </w:pPr>
      <w:r w:rsidRPr="00100F0A">
        <w:t xml:space="preserve">In 2017, DoEE commissioned </w:t>
      </w:r>
      <w:r w:rsidR="00B41BAC" w:rsidRPr="00100F0A">
        <w:rPr>
          <w:rFonts w:cs="Arial"/>
        </w:rPr>
        <w:t>Blue Environment (lead consultant)</w:t>
      </w:r>
      <w:r w:rsidR="00B41BAC">
        <w:rPr>
          <w:rFonts w:cs="Arial"/>
        </w:rPr>
        <w:t>,</w:t>
      </w:r>
      <w:r w:rsidR="00B41BAC" w:rsidRPr="00100F0A">
        <w:rPr>
          <w:rFonts w:cs="Arial"/>
        </w:rPr>
        <w:t xml:space="preserve"> Ascend Waste and Environment and Randell Environmental Consulting</w:t>
      </w:r>
      <w:r w:rsidR="00B41BAC" w:rsidRPr="00100F0A">
        <w:t xml:space="preserve"> </w:t>
      </w:r>
      <w:r w:rsidR="00B41BAC">
        <w:t>(</w:t>
      </w:r>
      <w:r w:rsidRPr="00100F0A">
        <w:t>the same consortium</w:t>
      </w:r>
      <w:r w:rsidR="00B41BAC">
        <w:t xml:space="preserve"> that undertook the 201</w:t>
      </w:r>
      <w:r w:rsidR="00485361">
        <w:t>5</w:t>
      </w:r>
      <w:r w:rsidR="00B41BAC">
        <w:t xml:space="preserve"> assessment)</w:t>
      </w:r>
      <w:r w:rsidRPr="00100F0A">
        <w:t xml:space="preserve"> to review and update the 201</w:t>
      </w:r>
      <w:r w:rsidR="00485361">
        <w:t>5</w:t>
      </w:r>
      <w:r w:rsidRPr="00100F0A">
        <w:t xml:space="preserve"> assessment. This </w:t>
      </w:r>
      <w:r w:rsidR="00CC04F9">
        <w:t>revised</w:t>
      </w:r>
      <w:r w:rsidR="00CC04F9" w:rsidRPr="00100F0A">
        <w:t xml:space="preserve"> </w:t>
      </w:r>
      <w:r w:rsidRPr="00100F0A">
        <w:t xml:space="preserve">assessment </w:t>
      </w:r>
      <w:r w:rsidR="00B41BAC">
        <w:t>is reported here.</w:t>
      </w:r>
    </w:p>
    <w:p w14:paraId="4D29F5D7" w14:textId="44AF877F" w:rsidR="00B41BAC" w:rsidRDefault="00B41BAC" w:rsidP="0043600A">
      <w:pPr>
        <w:pStyle w:val="BodyText"/>
      </w:pPr>
    </w:p>
    <w:p w14:paraId="6747633D" w14:textId="77777777" w:rsidR="00AC2649" w:rsidRPr="00100F0A" w:rsidRDefault="00AC2649" w:rsidP="00AC2649">
      <w:pPr>
        <w:pStyle w:val="BodyText"/>
      </w:pPr>
      <w:r w:rsidRPr="00100F0A">
        <w:t xml:space="preserve">This report </w:t>
      </w:r>
      <w:r>
        <w:t>is supported by two important Mi</w:t>
      </w:r>
      <w:r w:rsidRPr="00100F0A">
        <w:t>crosoft Excel files:</w:t>
      </w:r>
    </w:p>
    <w:p w14:paraId="38B716CB" w14:textId="77777777" w:rsidR="00AC2649" w:rsidRPr="00100F0A" w:rsidRDefault="00AC2649" w:rsidP="00AC2649">
      <w:pPr>
        <w:pStyle w:val="Bullet1"/>
        <w:spacing w:before="80"/>
        <w:ind w:left="454" w:hanging="454"/>
      </w:pPr>
      <w:r w:rsidRPr="00100F0A">
        <w:t xml:space="preserve">The </w:t>
      </w:r>
      <w:r w:rsidRPr="00D152E2">
        <w:rPr>
          <w:b/>
          <w:i/>
        </w:rPr>
        <w:t>Hazwaste infrastructure database 2018</w:t>
      </w:r>
      <w:r w:rsidRPr="00100F0A">
        <w:t xml:space="preserve"> which details Australia’s hazardous waste infrastructure capability and capacity data by site. The database has been built via an extensive industry consultation program completed during the development of the 2015 and 2018 assessments. </w:t>
      </w:r>
    </w:p>
    <w:p w14:paraId="62F23858" w14:textId="77777777" w:rsidR="00AC2649" w:rsidRPr="00100F0A" w:rsidRDefault="00AC2649" w:rsidP="00AC2649">
      <w:pPr>
        <w:pStyle w:val="Bullet1"/>
      </w:pPr>
      <w:r w:rsidRPr="00100F0A">
        <w:t xml:space="preserve">The </w:t>
      </w:r>
      <w:r w:rsidRPr="00D152E2">
        <w:rPr>
          <w:b/>
          <w:i/>
        </w:rPr>
        <w:t>Hazardous waste needs vs capacity model</w:t>
      </w:r>
      <w:r w:rsidRPr="00100F0A">
        <w:t xml:space="preserve"> which projects Australia’s future quantities of hazardous waste and compares these with the currently available management infrastructure in Australia in order to identify infrastructure development needs. The projections cover the period 2018 to 2037 under best estimate, high estimate and low estimate scenarios. This model also includes data on the historical arisings (trends) of hazardous waste arisings</w:t>
      </w:r>
      <w:r>
        <w:t xml:space="preserve"> (</w:t>
      </w:r>
      <w:r w:rsidRPr="00100F0A">
        <w:t>see the Proj. methods tab</w:t>
      </w:r>
      <w:r>
        <w:t>)</w:t>
      </w:r>
      <w:r w:rsidRPr="00100F0A">
        <w:t>.</w:t>
      </w:r>
    </w:p>
    <w:p w14:paraId="1F99500D" w14:textId="77777777" w:rsidR="00AC2649" w:rsidRDefault="00AC2649" w:rsidP="0043600A">
      <w:pPr>
        <w:pStyle w:val="BodyText"/>
      </w:pPr>
    </w:p>
    <w:p w14:paraId="1CEDFB4A" w14:textId="01687691" w:rsidR="00B41BAC" w:rsidRDefault="00B41BAC" w:rsidP="0043600A">
      <w:pPr>
        <w:pStyle w:val="BodyText"/>
      </w:pPr>
      <w:r>
        <w:t xml:space="preserve">The </w:t>
      </w:r>
      <w:r w:rsidR="00CC04F9">
        <w:t>revised</w:t>
      </w:r>
      <w:r>
        <w:t xml:space="preserve"> assessment has the same three parts as the 201</w:t>
      </w:r>
      <w:r w:rsidR="00485361">
        <w:t>5 assessment</w:t>
      </w:r>
      <w:r>
        <w:t>:</w:t>
      </w:r>
    </w:p>
    <w:p w14:paraId="4D8E4D3A" w14:textId="2FA948CD" w:rsidR="00B41BAC" w:rsidRPr="00100F0A" w:rsidRDefault="00B41BAC" w:rsidP="00485361">
      <w:pPr>
        <w:pStyle w:val="ListNumber"/>
        <w:numPr>
          <w:ilvl w:val="0"/>
          <w:numId w:val="9"/>
        </w:numPr>
      </w:pPr>
      <w:r w:rsidRPr="00100F0A">
        <w:t>prepare projections of hazardous waste arisings and fates</w:t>
      </w:r>
      <w:r w:rsidR="00CC04F9">
        <w:rPr>
          <w:rStyle w:val="FootnoteReference"/>
        </w:rPr>
        <w:footnoteReference w:id="1"/>
      </w:r>
      <w:r w:rsidRPr="00100F0A">
        <w:t xml:space="preserve"> over the coming 20 years</w:t>
      </w:r>
      <w:r w:rsidR="00F323D9">
        <w:t xml:space="preserve"> (yr)</w:t>
      </w:r>
    </w:p>
    <w:p w14:paraId="67359212" w14:textId="77777777" w:rsidR="00B41BAC" w:rsidRPr="00100F0A" w:rsidRDefault="00B41BAC" w:rsidP="00485361">
      <w:pPr>
        <w:pStyle w:val="ListNumber"/>
        <w:numPr>
          <w:ilvl w:val="0"/>
          <w:numId w:val="9"/>
        </w:numPr>
      </w:pPr>
      <w:r w:rsidRPr="00100F0A">
        <w:t>consult with industry to estimate Australia’s current hazardous waste infrastructure capacity, its distribution and expected future</w:t>
      </w:r>
    </w:p>
    <w:p w14:paraId="0D319AE1" w14:textId="14DB06E9" w:rsidR="00B41BAC" w:rsidRPr="00100F0A" w:rsidRDefault="00B41BAC" w:rsidP="00485361">
      <w:pPr>
        <w:pStyle w:val="ListNumber"/>
        <w:numPr>
          <w:ilvl w:val="0"/>
          <w:numId w:val="9"/>
        </w:numPr>
      </w:pPr>
      <w:r w:rsidRPr="00100F0A">
        <w:t>identify the extent to which current infrastructure meets future needs, considering the nature and locations of particular infrastructure.</w:t>
      </w:r>
    </w:p>
    <w:p w14:paraId="7C0A6E70" w14:textId="77777777" w:rsidR="00B41BAC" w:rsidRDefault="00B41BAC" w:rsidP="0043600A">
      <w:pPr>
        <w:pStyle w:val="BodyText"/>
      </w:pPr>
    </w:p>
    <w:p w14:paraId="643D75AD" w14:textId="31A4D39D" w:rsidR="0043600A" w:rsidRPr="00100F0A" w:rsidRDefault="00CC04F9" w:rsidP="0043600A">
      <w:pPr>
        <w:pStyle w:val="BodyText"/>
      </w:pPr>
      <w:r>
        <w:t>The revised assessment</w:t>
      </w:r>
      <w:r w:rsidR="00B41BAC">
        <w:t xml:space="preserve"> also contains</w:t>
      </w:r>
      <w:r w:rsidR="00B41BAC" w:rsidRPr="00100F0A">
        <w:t xml:space="preserve"> </w:t>
      </w:r>
      <w:r w:rsidR="0043600A" w:rsidRPr="00100F0A">
        <w:t>important expansions of the scope of</w:t>
      </w:r>
      <w:r>
        <w:t xml:space="preserve"> the</w:t>
      </w:r>
      <w:r w:rsidR="0043600A" w:rsidRPr="00100F0A">
        <w:t xml:space="preserve"> infrastructure assessment, including </w:t>
      </w:r>
      <w:r>
        <w:t>an analy</w:t>
      </w:r>
      <w:r w:rsidR="00485361">
        <w:t>s</w:t>
      </w:r>
      <w:r>
        <w:t>is</w:t>
      </w:r>
      <w:r w:rsidR="0043600A" w:rsidRPr="00100F0A">
        <w:t xml:space="preserve"> of cement kiln infrastructure capacity to receive hazardous waste. </w:t>
      </w:r>
    </w:p>
    <w:p w14:paraId="1C988AB1" w14:textId="77777777" w:rsidR="0043600A" w:rsidRPr="00100F0A" w:rsidRDefault="0043600A" w:rsidP="0043600A">
      <w:pPr>
        <w:pStyle w:val="BodyText"/>
      </w:pPr>
    </w:p>
    <w:p w14:paraId="62EE3CAC" w14:textId="77777777" w:rsidR="00AC2649" w:rsidRDefault="0043600A" w:rsidP="00AC2649">
      <w:pPr>
        <w:pStyle w:val="BodyText"/>
      </w:pPr>
      <w:r w:rsidRPr="00100F0A">
        <w:t>Each of the three project parts are discussed below.</w:t>
      </w:r>
      <w:r w:rsidR="00AC2649">
        <w:t xml:space="preserve"> </w:t>
      </w:r>
    </w:p>
    <w:p w14:paraId="0B95CBA6" w14:textId="77777777" w:rsidR="00AC2649" w:rsidRDefault="00AC2649" w:rsidP="00AC2649">
      <w:pPr>
        <w:pStyle w:val="BodyText"/>
      </w:pPr>
    </w:p>
    <w:p w14:paraId="621570EE" w14:textId="77777777" w:rsidR="00AC2649" w:rsidRPr="00100F0A" w:rsidRDefault="00AC2649" w:rsidP="00AC2649">
      <w:pPr>
        <w:pStyle w:val="BodyText"/>
      </w:pPr>
    </w:p>
    <w:p w14:paraId="205AE3F9" w14:textId="77777777" w:rsidR="00347ED1" w:rsidRPr="00100F0A" w:rsidRDefault="00347ED1" w:rsidP="00047A75">
      <w:pPr>
        <w:pStyle w:val="Heading3-nonumber"/>
      </w:pPr>
      <w:r w:rsidRPr="00100F0A">
        <w:t xml:space="preserve">Limitations and uncertainty </w:t>
      </w:r>
    </w:p>
    <w:p w14:paraId="5E394FBA" w14:textId="77777777" w:rsidR="00772EED" w:rsidRPr="00100F0A" w:rsidRDefault="00772EED" w:rsidP="00772EED">
      <w:pPr>
        <w:pStyle w:val="BodyText"/>
      </w:pPr>
      <w:r w:rsidRPr="00100F0A">
        <w:t xml:space="preserve">This assessment of projected hazardous waste infrastructure need vs capacity is affected by the </w:t>
      </w:r>
      <w:r>
        <w:t>limitations and levels of uncertainty in relation to</w:t>
      </w:r>
      <w:r w:rsidRPr="00100F0A">
        <w:t>:</w:t>
      </w:r>
    </w:p>
    <w:p w14:paraId="57B46B0F" w14:textId="77777777" w:rsidR="00772EED" w:rsidRPr="00100F0A" w:rsidRDefault="00772EED" w:rsidP="00772EED">
      <w:pPr>
        <w:pStyle w:val="ListNumber3"/>
        <w:numPr>
          <w:ilvl w:val="0"/>
          <w:numId w:val="45"/>
        </w:numPr>
        <w:spacing w:before="80"/>
        <w:contextualSpacing w:val="0"/>
      </w:pPr>
      <w:r w:rsidRPr="00100F0A">
        <w:t>the projected arisings of hazardous waste</w:t>
      </w:r>
    </w:p>
    <w:p w14:paraId="3F7C0C25" w14:textId="77777777" w:rsidR="00772EED" w:rsidRPr="00100F0A" w:rsidRDefault="00772EED" w:rsidP="00772EED">
      <w:pPr>
        <w:pStyle w:val="ListNumber3"/>
        <w:numPr>
          <w:ilvl w:val="0"/>
          <w:numId w:val="45"/>
        </w:numPr>
        <w:spacing w:before="80"/>
        <w:contextualSpacing w:val="0"/>
      </w:pPr>
      <w:r>
        <w:t>the apportioning of projected waste across the different type of infrastructure</w:t>
      </w:r>
      <w:r w:rsidRPr="00100F0A">
        <w:t xml:space="preserve"> </w:t>
      </w:r>
    </w:p>
    <w:p w14:paraId="14EABE49" w14:textId="77777777" w:rsidR="00772EED" w:rsidRPr="00100F0A" w:rsidRDefault="00772EED" w:rsidP="00772EED">
      <w:pPr>
        <w:pStyle w:val="ListNumber3"/>
        <w:numPr>
          <w:ilvl w:val="0"/>
          <w:numId w:val="45"/>
        </w:numPr>
        <w:spacing w:before="80"/>
        <w:contextualSpacing w:val="0"/>
      </w:pPr>
      <w:r w:rsidRPr="00100F0A">
        <w:t xml:space="preserve">the assessment of the current hazardous waste infrastructure capacity. </w:t>
      </w:r>
    </w:p>
    <w:p w14:paraId="6A49FB61" w14:textId="77777777" w:rsidR="0043600A" w:rsidRPr="00100F0A" w:rsidRDefault="0043600A" w:rsidP="0043600A">
      <w:pPr>
        <w:pStyle w:val="BodyText"/>
        <w:shd w:val="clear" w:color="auto" w:fill="FFFFFF" w:themeFill="background1"/>
      </w:pPr>
    </w:p>
    <w:p w14:paraId="333D9FDD" w14:textId="50CD7180" w:rsidR="0043600A" w:rsidRDefault="0043600A" w:rsidP="0043600A">
      <w:pPr>
        <w:pStyle w:val="BodyText"/>
        <w:shd w:val="clear" w:color="auto" w:fill="FFFFFF" w:themeFill="background1"/>
      </w:pPr>
      <w:r w:rsidRPr="00100F0A">
        <w:t>The limitations and uncertainty of the assessment of projected need vs capacity included in this report need</w:t>
      </w:r>
      <w:r w:rsidR="004A3AA5">
        <w:t>s</w:t>
      </w:r>
      <w:r w:rsidRPr="00100F0A">
        <w:t xml:space="preserve"> to be carefully considered. See Section </w:t>
      </w:r>
      <w:r w:rsidRPr="00100F0A">
        <w:fldChar w:fldCharType="begin"/>
      </w:r>
      <w:r w:rsidRPr="00100F0A">
        <w:instrText xml:space="preserve"> REF _Ref419402884 \r \h  \* MERGEFORMAT </w:instrText>
      </w:r>
      <w:r w:rsidRPr="00100F0A">
        <w:fldChar w:fldCharType="separate"/>
      </w:r>
      <w:r w:rsidR="00EB634D">
        <w:t>4.2</w:t>
      </w:r>
      <w:r w:rsidRPr="00100F0A">
        <w:fldChar w:fldCharType="end"/>
      </w:r>
      <w:r w:rsidRPr="00100F0A">
        <w:t xml:space="preserve"> for detailed analysis of uncertainty.</w:t>
      </w:r>
    </w:p>
    <w:p w14:paraId="7D1346AB" w14:textId="77777777" w:rsidR="00C67621" w:rsidRDefault="00C67621"/>
    <w:p w14:paraId="63049F43" w14:textId="3B1F74AF" w:rsidR="00347ED1" w:rsidRPr="00100F0A" w:rsidRDefault="00347ED1" w:rsidP="00047A75">
      <w:pPr>
        <w:pStyle w:val="Heading3-nonumber"/>
      </w:pPr>
      <w:r w:rsidRPr="00100F0A">
        <w:t xml:space="preserve">Projections of hazardous waste </w:t>
      </w:r>
    </w:p>
    <w:p w14:paraId="0E2E75A5" w14:textId="01234CC1" w:rsidR="00347ED1" w:rsidRPr="00100F0A" w:rsidRDefault="0043600A" w:rsidP="00347ED1">
      <w:pPr>
        <w:pStyle w:val="BodyText"/>
      </w:pPr>
      <w:r w:rsidRPr="00100F0A">
        <w:rPr>
          <w:color w:val="080808"/>
        </w:rPr>
        <w:t xml:space="preserve">Thirty-three </w:t>
      </w:r>
      <w:r w:rsidR="00966348">
        <w:rPr>
          <w:color w:val="080808"/>
        </w:rPr>
        <w:t xml:space="preserve">hazardous </w:t>
      </w:r>
      <w:r w:rsidRPr="00100F0A">
        <w:rPr>
          <w:color w:val="080808"/>
        </w:rPr>
        <w:t>waste groups were defined for use in the projections, an increase of four compared with the previous 2015 version of this report</w:t>
      </w:r>
      <w:r w:rsidR="00347ED1" w:rsidRPr="00100F0A">
        <w:t xml:space="preserve">. These closely corresponded with the </w:t>
      </w:r>
      <w:r w:rsidR="00347ED1" w:rsidRPr="00100F0A">
        <w:rPr>
          <w:rFonts w:asciiTheme="minorHAnsi" w:hAnsiTheme="minorHAnsi" w:cs="Arial"/>
          <w:i/>
          <w:szCs w:val="20"/>
        </w:rPr>
        <w:t>National Environment Protection (Movement of Controlled Waste between States and Territories) Measure 1998</w:t>
      </w:r>
      <w:r w:rsidR="00347ED1" w:rsidRPr="00100F0A">
        <w:rPr>
          <w:rFonts w:asciiTheme="minorHAnsi" w:hAnsiTheme="minorHAnsi" w:cs="Arial"/>
          <w:szCs w:val="20"/>
        </w:rPr>
        <w:t xml:space="preserve"> (NEPM)</w:t>
      </w:r>
      <w:r w:rsidR="00347ED1" w:rsidRPr="00100F0A">
        <w:t xml:space="preserve">. Some categories were disaggregated where a component waste was of particular interest. The waste groups are listed in Table S1. The selection and formation of the waste groups is discussed in detail in Sections </w:t>
      </w:r>
      <w:r w:rsidR="00047A75" w:rsidRPr="00100F0A">
        <w:fldChar w:fldCharType="begin"/>
      </w:r>
      <w:r w:rsidR="00047A75" w:rsidRPr="00100F0A">
        <w:instrText xml:space="preserve"> REF _Ref531131354 \r \h </w:instrText>
      </w:r>
      <w:r w:rsidR="00047A75" w:rsidRPr="00100F0A">
        <w:fldChar w:fldCharType="separate"/>
      </w:r>
      <w:r w:rsidR="00EB634D">
        <w:t>1</w:t>
      </w:r>
      <w:r w:rsidR="00047A75" w:rsidRPr="00100F0A">
        <w:fldChar w:fldCharType="end"/>
      </w:r>
      <w:r w:rsidR="00047A75" w:rsidRPr="00100F0A">
        <w:t xml:space="preserve"> and </w:t>
      </w:r>
      <w:r w:rsidR="00047A75" w:rsidRPr="00100F0A">
        <w:fldChar w:fldCharType="begin"/>
      </w:r>
      <w:r w:rsidR="00047A75" w:rsidRPr="00100F0A">
        <w:instrText xml:space="preserve"> REF _Ref530644856 \r \h </w:instrText>
      </w:r>
      <w:r w:rsidR="00047A75" w:rsidRPr="00100F0A">
        <w:fldChar w:fldCharType="separate"/>
      </w:r>
      <w:r w:rsidR="00EB634D">
        <w:t>2</w:t>
      </w:r>
      <w:r w:rsidR="00047A75" w:rsidRPr="00100F0A">
        <w:fldChar w:fldCharType="end"/>
      </w:r>
      <w:r w:rsidR="00347ED1" w:rsidRPr="00100F0A">
        <w:t xml:space="preserve"> of this report.</w:t>
      </w:r>
      <w:r w:rsidR="00966348">
        <w:t xml:space="preserve"> </w:t>
      </w:r>
      <w:r w:rsidR="00966348" w:rsidRPr="00100F0A">
        <w:t>An important aspect of the</w:t>
      </w:r>
      <w:r w:rsidR="00966348">
        <w:t xml:space="preserve"> project</w:t>
      </w:r>
      <w:r w:rsidR="00966348" w:rsidRPr="00100F0A">
        <w:t xml:space="preserve"> context is the potential for new hazardous waste streams to arise due mainly to changes under the Stockholm </w:t>
      </w:r>
      <w:r w:rsidR="00966348" w:rsidRPr="00100F0A">
        <w:rPr>
          <w:rFonts w:cs="Arial"/>
        </w:rPr>
        <w:t>Convention on Persistent Organic Pollutants.</w:t>
      </w:r>
    </w:p>
    <w:p w14:paraId="364B7F0B" w14:textId="6EFA0FB3" w:rsidR="00347ED1" w:rsidRPr="00100F0A" w:rsidRDefault="00347ED1" w:rsidP="00047A75">
      <w:pPr>
        <w:pStyle w:val="Caption"/>
      </w:pPr>
      <w:r w:rsidRPr="00100F0A">
        <w:t>Table S1:</w:t>
      </w:r>
      <w:r w:rsidR="00047A75" w:rsidRPr="00100F0A">
        <w:t xml:space="preserve"> </w:t>
      </w:r>
      <w:r w:rsidR="00564608">
        <w:tab/>
      </w:r>
      <w:r w:rsidRPr="00100F0A">
        <w:t>Waste groups and wastes of particular interest</w:t>
      </w:r>
    </w:p>
    <w:p w14:paraId="641EC8BA" w14:textId="77777777" w:rsidR="00347ED1" w:rsidRPr="00100F0A" w:rsidRDefault="00347ED1" w:rsidP="00347ED1">
      <w:pPr>
        <w:rPr>
          <w:color w:val="080808"/>
          <w:sz w:val="2"/>
          <w:szCs w:val="2"/>
        </w:rPr>
      </w:pPr>
    </w:p>
    <w:tbl>
      <w:tblPr>
        <w:tblStyle w:val="BE-table"/>
        <w:tblW w:w="0" w:type="auto"/>
        <w:tblLook w:val="04A0" w:firstRow="1" w:lastRow="0" w:firstColumn="1" w:lastColumn="0" w:noHBand="0" w:noVBand="1"/>
      </w:tblPr>
      <w:tblGrid>
        <w:gridCol w:w="421"/>
        <w:gridCol w:w="3118"/>
        <w:gridCol w:w="1134"/>
        <w:gridCol w:w="4820"/>
      </w:tblGrid>
      <w:tr w:rsidR="005D004B" w:rsidRPr="00100F0A" w14:paraId="0D215D0F" w14:textId="77777777" w:rsidTr="009663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D0B49F1" w14:textId="77777777" w:rsidR="005D004B" w:rsidRPr="00100F0A" w:rsidRDefault="005D004B" w:rsidP="00966348">
            <w:pPr>
              <w:spacing w:beforeLines="50" w:before="120" w:afterLines="50" w:after="120"/>
              <w:rPr>
                <w:color w:val="080808"/>
              </w:rPr>
            </w:pPr>
            <w:bookmarkStart w:id="7" w:name="_Hlk532298829"/>
          </w:p>
        </w:tc>
        <w:tc>
          <w:tcPr>
            <w:tcW w:w="3118" w:type="dxa"/>
          </w:tcPr>
          <w:p w14:paraId="45208F6C" w14:textId="77777777" w:rsidR="005D004B" w:rsidRPr="00100F0A" w:rsidRDefault="005D004B" w:rsidP="00966348">
            <w:pPr>
              <w:spacing w:beforeLines="50" w:before="120" w:afterLines="50" w:after="120"/>
              <w:cnfStyle w:val="100000000000" w:firstRow="1" w:lastRow="0" w:firstColumn="0" w:lastColumn="0" w:oddVBand="0" w:evenVBand="0" w:oddHBand="0" w:evenHBand="0" w:firstRowFirstColumn="0" w:firstRowLastColumn="0" w:lastRowFirstColumn="0" w:lastRowLastColumn="0"/>
              <w:rPr>
                <w:color w:val="080808"/>
              </w:rPr>
            </w:pPr>
            <w:r w:rsidRPr="00100F0A">
              <w:t>Waste group</w:t>
            </w:r>
          </w:p>
        </w:tc>
        <w:tc>
          <w:tcPr>
            <w:tcW w:w="1134" w:type="dxa"/>
          </w:tcPr>
          <w:p w14:paraId="0D2AF928" w14:textId="77777777" w:rsidR="005D004B" w:rsidRPr="00100F0A" w:rsidRDefault="005D004B" w:rsidP="00966348">
            <w:pPr>
              <w:spacing w:beforeLines="50" w:before="120" w:afterLines="50" w:after="120"/>
              <w:jc w:val="center"/>
              <w:cnfStyle w:val="100000000000" w:firstRow="1" w:lastRow="0" w:firstColumn="0" w:lastColumn="0" w:oddVBand="0" w:evenVBand="0" w:oddHBand="0" w:evenHBand="0" w:firstRowFirstColumn="0" w:firstRowLastColumn="0" w:lastRowFirstColumn="0" w:lastRowLastColumn="0"/>
              <w:rPr>
                <w:color w:val="080808"/>
              </w:rPr>
            </w:pPr>
            <w:r w:rsidRPr="00100F0A">
              <w:t>Closest NEPM category</w:t>
            </w:r>
          </w:p>
        </w:tc>
        <w:tc>
          <w:tcPr>
            <w:tcW w:w="4820" w:type="dxa"/>
          </w:tcPr>
          <w:p w14:paraId="44A51B9E" w14:textId="77777777" w:rsidR="005D004B" w:rsidRPr="00100F0A" w:rsidRDefault="005D004B" w:rsidP="00966348">
            <w:pPr>
              <w:spacing w:beforeLines="50" w:before="120" w:afterLines="50" w:after="120"/>
              <w:cnfStyle w:val="100000000000" w:firstRow="1" w:lastRow="0" w:firstColumn="0" w:lastColumn="0" w:oddVBand="0" w:evenVBand="0" w:oddHBand="0" w:evenHBand="0" w:firstRowFirstColumn="0" w:firstRowLastColumn="0" w:lastRowFirstColumn="0" w:lastRowLastColumn="0"/>
              <w:rPr>
                <w:color w:val="080808"/>
              </w:rPr>
            </w:pPr>
            <w:r w:rsidRPr="00100F0A">
              <w:t xml:space="preserve">The aspect(s) of particular interest </w:t>
            </w:r>
          </w:p>
        </w:tc>
      </w:tr>
      <w:tr w:rsidR="005D004B" w:rsidRPr="00100F0A" w14:paraId="57603FD5"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53FBC810" w14:textId="77777777" w:rsidR="005D004B" w:rsidRPr="00100F0A" w:rsidRDefault="005D004B" w:rsidP="006B2A8A">
            <w:pPr>
              <w:rPr>
                <w:color w:val="080808"/>
              </w:rPr>
            </w:pPr>
            <w:r w:rsidRPr="00100F0A">
              <w:rPr>
                <w:rFonts w:asciiTheme="minorHAnsi" w:hAnsiTheme="minorHAnsi" w:cstheme="minorHAnsi"/>
                <w:color w:val="000000"/>
              </w:rPr>
              <w:t>1</w:t>
            </w:r>
          </w:p>
        </w:tc>
        <w:tc>
          <w:tcPr>
            <w:tcW w:w="3118" w:type="dxa"/>
            <w:vAlign w:val="center"/>
          </w:tcPr>
          <w:p w14:paraId="7D36EFD1"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Plating &amp; heat treatment</w:t>
            </w:r>
          </w:p>
        </w:tc>
        <w:tc>
          <w:tcPr>
            <w:tcW w:w="1134" w:type="dxa"/>
            <w:vAlign w:val="center"/>
          </w:tcPr>
          <w:p w14:paraId="3F9B153E"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A</w:t>
            </w:r>
          </w:p>
        </w:tc>
        <w:tc>
          <w:tcPr>
            <w:tcW w:w="4820" w:type="dxa"/>
            <w:vAlign w:val="center"/>
          </w:tcPr>
          <w:p w14:paraId="3B8AD027"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p>
        </w:tc>
      </w:tr>
      <w:tr w:rsidR="005D004B" w:rsidRPr="00100F0A" w14:paraId="1DB8F492"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227DBC27" w14:textId="77777777" w:rsidR="005D004B" w:rsidRPr="00100F0A" w:rsidRDefault="005D004B" w:rsidP="006B2A8A">
            <w:pPr>
              <w:rPr>
                <w:color w:val="080808"/>
              </w:rPr>
            </w:pPr>
            <w:r w:rsidRPr="00100F0A">
              <w:rPr>
                <w:rFonts w:asciiTheme="minorHAnsi" w:hAnsiTheme="minorHAnsi" w:cstheme="minorHAnsi"/>
                <w:color w:val="000000"/>
              </w:rPr>
              <w:t>2</w:t>
            </w:r>
          </w:p>
        </w:tc>
        <w:tc>
          <w:tcPr>
            <w:tcW w:w="3118" w:type="dxa"/>
            <w:vAlign w:val="center"/>
          </w:tcPr>
          <w:p w14:paraId="4CA7DB9D"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Acids</w:t>
            </w:r>
          </w:p>
        </w:tc>
        <w:tc>
          <w:tcPr>
            <w:tcW w:w="1134" w:type="dxa"/>
            <w:vAlign w:val="center"/>
          </w:tcPr>
          <w:p w14:paraId="5EA0FFC2"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B</w:t>
            </w:r>
          </w:p>
        </w:tc>
        <w:tc>
          <w:tcPr>
            <w:tcW w:w="4820" w:type="dxa"/>
            <w:vAlign w:val="center"/>
          </w:tcPr>
          <w:p w14:paraId="61809AA1"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p>
        </w:tc>
      </w:tr>
      <w:tr w:rsidR="005D004B" w:rsidRPr="00100F0A" w14:paraId="40252E7B"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5B8B55F6" w14:textId="77777777" w:rsidR="005D004B" w:rsidRPr="00100F0A" w:rsidRDefault="005D004B" w:rsidP="006B2A8A">
            <w:pPr>
              <w:rPr>
                <w:color w:val="080808"/>
              </w:rPr>
            </w:pPr>
            <w:r w:rsidRPr="00100F0A">
              <w:rPr>
                <w:rFonts w:asciiTheme="minorHAnsi" w:hAnsiTheme="minorHAnsi" w:cstheme="minorHAnsi"/>
                <w:color w:val="000000"/>
              </w:rPr>
              <w:t>3</w:t>
            </w:r>
          </w:p>
        </w:tc>
        <w:tc>
          <w:tcPr>
            <w:tcW w:w="3118" w:type="dxa"/>
            <w:vAlign w:val="center"/>
          </w:tcPr>
          <w:p w14:paraId="0B6D9ECE"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Alkalis</w:t>
            </w:r>
          </w:p>
        </w:tc>
        <w:tc>
          <w:tcPr>
            <w:tcW w:w="1134" w:type="dxa"/>
            <w:vAlign w:val="center"/>
          </w:tcPr>
          <w:p w14:paraId="0771EF8D"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C</w:t>
            </w:r>
          </w:p>
        </w:tc>
        <w:tc>
          <w:tcPr>
            <w:tcW w:w="4820" w:type="dxa"/>
            <w:vAlign w:val="center"/>
          </w:tcPr>
          <w:p w14:paraId="38FF95DE"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p>
        </w:tc>
      </w:tr>
      <w:tr w:rsidR="005D004B" w:rsidRPr="00100F0A" w14:paraId="284D07E6"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6D74ED70" w14:textId="77777777" w:rsidR="005D004B" w:rsidRPr="00100F0A" w:rsidRDefault="005D004B" w:rsidP="006B2A8A">
            <w:pPr>
              <w:rPr>
                <w:color w:val="080808"/>
              </w:rPr>
            </w:pPr>
            <w:r w:rsidRPr="00100F0A">
              <w:rPr>
                <w:rFonts w:asciiTheme="minorHAnsi" w:hAnsiTheme="minorHAnsi" w:cstheme="minorHAnsi"/>
                <w:color w:val="000000"/>
              </w:rPr>
              <w:t>4</w:t>
            </w:r>
          </w:p>
        </w:tc>
        <w:tc>
          <w:tcPr>
            <w:tcW w:w="3118" w:type="dxa"/>
            <w:vAlign w:val="center"/>
          </w:tcPr>
          <w:p w14:paraId="39C5C9D7" w14:textId="4E172D29"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Inorganic fluorine (</w:t>
            </w:r>
            <w:r w:rsidR="008637BA">
              <w:rPr>
                <w:rFonts w:asciiTheme="minorHAnsi" w:hAnsiTheme="minorHAnsi" w:cstheme="minorHAnsi"/>
                <w:color w:val="000000"/>
              </w:rPr>
              <w:t>SPL</w:t>
            </w:r>
            <w:r w:rsidRPr="00100F0A">
              <w:rPr>
                <w:rFonts w:asciiTheme="minorHAnsi" w:hAnsiTheme="minorHAnsi" w:cstheme="minorHAnsi"/>
                <w:color w:val="000000"/>
              </w:rPr>
              <w:t xml:space="preserve">) </w:t>
            </w:r>
          </w:p>
        </w:tc>
        <w:tc>
          <w:tcPr>
            <w:tcW w:w="1134" w:type="dxa"/>
            <w:vAlign w:val="center"/>
          </w:tcPr>
          <w:p w14:paraId="73DD0329"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D110</w:t>
            </w:r>
          </w:p>
        </w:tc>
        <w:tc>
          <w:tcPr>
            <w:tcW w:w="4820" w:type="dxa"/>
            <w:vAlign w:val="center"/>
          </w:tcPr>
          <w:p w14:paraId="00CF35BB"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Significant stockpiles in Australia</w:t>
            </w:r>
          </w:p>
        </w:tc>
      </w:tr>
      <w:tr w:rsidR="005D004B" w:rsidRPr="00100F0A" w14:paraId="330A9690"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2E34C88A" w14:textId="77777777" w:rsidR="005D004B" w:rsidRPr="00100F0A" w:rsidRDefault="005D004B" w:rsidP="006B2A8A">
            <w:pPr>
              <w:rPr>
                <w:color w:val="080808"/>
              </w:rPr>
            </w:pPr>
            <w:r w:rsidRPr="00100F0A">
              <w:rPr>
                <w:rFonts w:asciiTheme="minorHAnsi" w:hAnsiTheme="minorHAnsi" w:cstheme="minorHAnsi"/>
                <w:color w:val="000000"/>
              </w:rPr>
              <w:t>5</w:t>
            </w:r>
          </w:p>
        </w:tc>
        <w:tc>
          <w:tcPr>
            <w:tcW w:w="3118" w:type="dxa"/>
            <w:vAlign w:val="center"/>
          </w:tcPr>
          <w:p w14:paraId="39FE2E23"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Mercury &amp; compounds</w:t>
            </w:r>
          </w:p>
        </w:tc>
        <w:tc>
          <w:tcPr>
            <w:tcW w:w="1134" w:type="dxa"/>
            <w:vAlign w:val="center"/>
          </w:tcPr>
          <w:p w14:paraId="673CC84C"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D120</w:t>
            </w:r>
          </w:p>
        </w:tc>
        <w:tc>
          <w:tcPr>
            <w:tcW w:w="4820" w:type="dxa"/>
            <w:vAlign w:val="center"/>
          </w:tcPr>
          <w:p w14:paraId="21DCEA05" w14:textId="52733551"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Mercury waste</w:t>
            </w:r>
          </w:p>
        </w:tc>
      </w:tr>
      <w:tr w:rsidR="005D004B" w:rsidRPr="00100F0A" w14:paraId="2183A9E6"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383ED680" w14:textId="77777777" w:rsidR="005D004B" w:rsidRPr="00100F0A" w:rsidRDefault="005D004B" w:rsidP="006B2A8A">
            <w:pPr>
              <w:rPr>
                <w:color w:val="080808"/>
              </w:rPr>
            </w:pPr>
            <w:r w:rsidRPr="00100F0A">
              <w:rPr>
                <w:rFonts w:asciiTheme="minorHAnsi" w:hAnsiTheme="minorHAnsi" w:cstheme="minorHAnsi"/>
                <w:color w:val="000000"/>
              </w:rPr>
              <w:t>6</w:t>
            </w:r>
          </w:p>
        </w:tc>
        <w:tc>
          <w:tcPr>
            <w:tcW w:w="3118" w:type="dxa"/>
            <w:vAlign w:val="center"/>
          </w:tcPr>
          <w:p w14:paraId="5DB7AB37"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Lead &amp; compounds</w:t>
            </w:r>
          </w:p>
        </w:tc>
        <w:tc>
          <w:tcPr>
            <w:tcW w:w="1134" w:type="dxa"/>
            <w:vAlign w:val="center"/>
          </w:tcPr>
          <w:p w14:paraId="6A303817"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D220</w:t>
            </w:r>
          </w:p>
        </w:tc>
        <w:tc>
          <w:tcPr>
            <w:tcW w:w="4820" w:type="dxa"/>
            <w:vAlign w:val="center"/>
          </w:tcPr>
          <w:p w14:paraId="56E4C5C3" w14:textId="28D1344D"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Lead waste and waste lead acid batteries</w:t>
            </w:r>
          </w:p>
        </w:tc>
      </w:tr>
      <w:tr w:rsidR="005D004B" w:rsidRPr="00100F0A" w14:paraId="77D9F679"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5319B126" w14:textId="77777777" w:rsidR="005D004B" w:rsidRPr="00100F0A" w:rsidRDefault="005D004B" w:rsidP="006B2A8A">
            <w:pPr>
              <w:rPr>
                <w:color w:val="080808"/>
              </w:rPr>
            </w:pPr>
            <w:r w:rsidRPr="00100F0A">
              <w:rPr>
                <w:rFonts w:asciiTheme="minorHAnsi" w:hAnsiTheme="minorHAnsi" w:cstheme="minorHAnsi"/>
                <w:color w:val="000000"/>
              </w:rPr>
              <w:t>7</w:t>
            </w:r>
          </w:p>
        </w:tc>
        <w:tc>
          <w:tcPr>
            <w:tcW w:w="3118" w:type="dxa"/>
            <w:vAlign w:val="center"/>
          </w:tcPr>
          <w:p w14:paraId="1BADDB6B" w14:textId="6A2C5470"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 xml:space="preserve">Zinc compounds </w:t>
            </w:r>
          </w:p>
        </w:tc>
        <w:tc>
          <w:tcPr>
            <w:tcW w:w="1134" w:type="dxa"/>
            <w:vAlign w:val="center"/>
          </w:tcPr>
          <w:p w14:paraId="77C75ED3"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D230</w:t>
            </w:r>
          </w:p>
        </w:tc>
        <w:tc>
          <w:tcPr>
            <w:tcW w:w="4820" w:type="dxa"/>
            <w:vAlign w:val="center"/>
          </w:tcPr>
          <w:p w14:paraId="368DC561" w14:textId="5B3DA0CE"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 xml:space="preserve">Large tonnages produced. </w:t>
            </w:r>
            <w:r w:rsidR="004A3AA5">
              <w:rPr>
                <w:color w:val="080808"/>
              </w:rPr>
              <w:t>A</w:t>
            </w:r>
            <w:r w:rsidRPr="00100F0A">
              <w:rPr>
                <w:color w:val="080808"/>
              </w:rPr>
              <w:t>lmost entirely a lead</w:t>
            </w:r>
            <w:r w:rsidR="004A3AA5">
              <w:rPr>
                <w:color w:val="080808"/>
              </w:rPr>
              <w:t>-</w:t>
            </w:r>
            <w:r w:rsidRPr="00100F0A">
              <w:rPr>
                <w:color w:val="080808"/>
              </w:rPr>
              <w:t xml:space="preserve">rich zinc waste that is generated by Nyrstar in Hobart and transported to Nyrstar in Port Pirie.  </w:t>
            </w:r>
          </w:p>
        </w:tc>
      </w:tr>
      <w:tr w:rsidR="005D004B" w:rsidRPr="00100F0A" w14:paraId="5CA102F9"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7FD170CC" w14:textId="77777777" w:rsidR="005D004B" w:rsidRPr="00100F0A" w:rsidRDefault="005D004B" w:rsidP="006B2A8A">
            <w:pPr>
              <w:rPr>
                <w:color w:val="080808"/>
              </w:rPr>
            </w:pPr>
            <w:r w:rsidRPr="00100F0A">
              <w:rPr>
                <w:rFonts w:asciiTheme="minorHAnsi" w:hAnsiTheme="minorHAnsi" w:cstheme="minorHAnsi"/>
                <w:color w:val="000000"/>
              </w:rPr>
              <w:t>8</w:t>
            </w:r>
          </w:p>
        </w:tc>
        <w:tc>
          <w:tcPr>
            <w:tcW w:w="3118" w:type="dxa"/>
            <w:vAlign w:val="center"/>
          </w:tcPr>
          <w:p w14:paraId="20E1313B"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Non-toxic salts</w:t>
            </w:r>
          </w:p>
        </w:tc>
        <w:tc>
          <w:tcPr>
            <w:tcW w:w="1134" w:type="dxa"/>
            <w:vAlign w:val="center"/>
          </w:tcPr>
          <w:p w14:paraId="7A2A664B"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D300</w:t>
            </w:r>
          </w:p>
        </w:tc>
        <w:tc>
          <w:tcPr>
            <w:tcW w:w="4820" w:type="dxa"/>
            <w:vAlign w:val="center"/>
          </w:tcPr>
          <w:p w14:paraId="47A33E7C" w14:textId="664EE7F5"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Coal seam gas waste</w:t>
            </w:r>
          </w:p>
        </w:tc>
      </w:tr>
      <w:tr w:rsidR="005D004B" w:rsidRPr="00100F0A" w14:paraId="12988192"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27FBE1D3" w14:textId="77777777" w:rsidR="005D004B" w:rsidRPr="00100F0A" w:rsidRDefault="005D004B" w:rsidP="006B2A8A">
            <w:pPr>
              <w:rPr>
                <w:color w:val="080808"/>
              </w:rPr>
            </w:pPr>
            <w:r w:rsidRPr="00100F0A">
              <w:rPr>
                <w:rFonts w:asciiTheme="minorHAnsi" w:hAnsiTheme="minorHAnsi" w:cstheme="minorHAnsi"/>
                <w:color w:val="000000"/>
              </w:rPr>
              <w:t>9</w:t>
            </w:r>
          </w:p>
        </w:tc>
        <w:tc>
          <w:tcPr>
            <w:tcW w:w="3118" w:type="dxa"/>
            <w:vAlign w:val="center"/>
          </w:tcPr>
          <w:p w14:paraId="05132D8E"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Other inorganic chemicals</w:t>
            </w:r>
          </w:p>
        </w:tc>
        <w:tc>
          <w:tcPr>
            <w:tcW w:w="1134" w:type="dxa"/>
            <w:vAlign w:val="center"/>
          </w:tcPr>
          <w:p w14:paraId="4BC74227"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Other D</w:t>
            </w:r>
          </w:p>
        </w:tc>
        <w:tc>
          <w:tcPr>
            <w:tcW w:w="4820" w:type="dxa"/>
            <w:vAlign w:val="center"/>
          </w:tcPr>
          <w:p w14:paraId="3641BA65" w14:textId="49E3C767" w:rsidR="005D004B" w:rsidRPr="00100F0A" w:rsidRDefault="008637BA" w:rsidP="006B2A8A">
            <w:pPr>
              <w:cnfStyle w:val="000000000000" w:firstRow="0" w:lastRow="0" w:firstColumn="0" w:lastColumn="0" w:oddVBand="0" w:evenVBand="0" w:oddHBand="0" w:evenHBand="0" w:firstRowFirstColumn="0" w:firstRowLastColumn="0" w:lastRowFirstColumn="0" w:lastRowLastColumn="0"/>
              <w:rPr>
                <w:color w:val="080808"/>
              </w:rPr>
            </w:pPr>
            <w:r>
              <w:rPr>
                <w:rFonts w:asciiTheme="minorHAnsi" w:hAnsiTheme="minorHAnsi" w:cstheme="minorHAnsi"/>
                <w:color w:val="000000"/>
              </w:rPr>
              <w:t>SPL</w:t>
            </w:r>
            <w:r w:rsidR="005D004B" w:rsidRPr="00100F0A">
              <w:rPr>
                <w:rFonts w:asciiTheme="minorHAnsi" w:hAnsiTheme="minorHAnsi" w:cstheme="minorHAnsi"/>
                <w:color w:val="000000"/>
              </w:rPr>
              <w:t xml:space="preserve"> waste from aluminium industry</w:t>
            </w:r>
          </w:p>
        </w:tc>
      </w:tr>
      <w:tr w:rsidR="005D004B" w:rsidRPr="00100F0A" w14:paraId="1898921A"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7FAF7F73" w14:textId="77777777" w:rsidR="005D004B" w:rsidRPr="00100F0A" w:rsidRDefault="005D004B" w:rsidP="006B2A8A">
            <w:pPr>
              <w:rPr>
                <w:color w:val="080808"/>
              </w:rPr>
            </w:pPr>
            <w:r w:rsidRPr="00100F0A">
              <w:rPr>
                <w:rFonts w:asciiTheme="minorHAnsi" w:hAnsiTheme="minorHAnsi" w:cstheme="minorHAnsi"/>
                <w:color w:val="000000"/>
              </w:rPr>
              <w:t>10</w:t>
            </w:r>
          </w:p>
        </w:tc>
        <w:tc>
          <w:tcPr>
            <w:tcW w:w="3118" w:type="dxa"/>
            <w:vAlign w:val="center"/>
          </w:tcPr>
          <w:p w14:paraId="0AB94E93"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Reactive chemicals</w:t>
            </w:r>
          </w:p>
        </w:tc>
        <w:tc>
          <w:tcPr>
            <w:tcW w:w="1134" w:type="dxa"/>
            <w:vAlign w:val="center"/>
          </w:tcPr>
          <w:p w14:paraId="0208112F"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E</w:t>
            </w:r>
          </w:p>
        </w:tc>
        <w:tc>
          <w:tcPr>
            <w:tcW w:w="4820" w:type="dxa"/>
            <w:vAlign w:val="center"/>
          </w:tcPr>
          <w:p w14:paraId="0A87D8E5"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p>
        </w:tc>
      </w:tr>
      <w:tr w:rsidR="005D004B" w:rsidRPr="00100F0A" w14:paraId="0A03F802"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3029AFCD" w14:textId="77777777" w:rsidR="005D004B" w:rsidRPr="00100F0A" w:rsidRDefault="005D004B" w:rsidP="006B2A8A">
            <w:pPr>
              <w:rPr>
                <w:color w:val="080808"/>
              </w:rPr>
            </w:pPr>
            <w:r w:rsidRPr="00100F0A">
              <w:rPr>
                <w:rFonts w:asciiTheme="minorHAnsi" w:hAnsiTheme="minorHAnsi" w:cstheme="minorHAnsi"/>
                <w:color w:val="000000"/>
              </w:rPr>
              <w:t>11</w:t>
            </w:r>
          </w:p>
        </w:tc>
        <w:tc>
          <w:tcPr>
            <w:tcW w:w="3118" w:type="dxa"/>
            <w:vAlign w:val="center"/>
          </w:tcPr>
          <w:p w14:paraId="4A4A1730"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Paints, resins, inks, organic sludges</w:t>
            </w:r>
          </w:p>
        </w:tc>
        <w:tc>
          <w:tcPr>
            <w:tcW w:w="1134" w:type="dxa"/>
            <w:vAlign w:val="center"/>
          </w:tcPr>
          <w:p w14:paraId="1768681D"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F</w:t>
            </w:r>
          </w:p>
        </w:tc>
        <w:tc>
          <w:tcPr>
            <w:tcW w:w="4820" w:type="dxa"/>
            <w:vAlign w:val="center"/>
          </w:tcPr>
          <w:p w14:paraId="1B6EF043"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p>
        </w:tc>
      </w:tr>
      <w:tr w:rsidR="005D004B" w:rsidRPr="00100F0A" w14:paraId="310626C5"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554E2B02" w14:textId="77777777" w:rsidR="005D004B" w:rsidRPr="00100F0A" w:rsidRDefault="005D004B" w:rsidP="006B2A8A">
            <w:pPr>
              <w:rPr>
                <w:color w:val="080808"/>
              </w:rPr>
            </w:pPr>
            <w:r w:rsidRPr="00100F0A">
              <w:rPr>
                <w:rFonts w:asciiTheme="minorHAnsi" w:hAnsiTheme="minorHAnsi" w:cstheme="minorHAnsi"/>
                <w:color w:val="000000"/>
              </w:rPr>
              <w:t>12</w:t>
            </w:r>
          </w:p>
        </w:tc>
        <w:tc>
          <w:tcPr>
            <w:tcW w:w="3118" w:type="dxa"/>
            <w:vAlign w:val="center"/>
          </w:tcPr>
          <w:p w14:paraId="32D4D41A"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Organic solvents</w:t>
            </w:r>
          </w:p>
        </w:tc>
        <w:tc>
          <w:tcPr>
            <w:tcW w:w="1134" w:type="dxa"/>
            <w:vAlign w:val="center"/>
          </w:tcPr>
          <w:p w14:paraId="29D9C443"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G</w:t>
            </w:r>
          </w:p>
        </w:tc>
        <w:tc>
          <w:tcPr>
            <w:tcW w:w="4820" w:type="dxa"/>
            <w:vAlign w:val="center"/>
          </w:tcPr>
          <w:p w14:paraId="224AF783"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p>
        </w:tc>
      </w:tr>
      <w:tr w:rsidR="005D004B" w:rsidRPr="00100F0A" w14:paraId="215C818C"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540A26A9" w14:textId="77777777" w:rsidR="005D004B" w:rsidRPr="00100F0A" w:rsidRDefault="005D004B" w:rsidP="006B2A8A">
            <w:pPr>
              <w:rPr>
                <w:color w:val="080808"/>
              </w:rPr>
            </w:pPr>
            <w:r w:rsidRPr="00100F0A">
              <w:rPr>
                <w:rFonts w:asciiTheme="minorHAnsi" w:hAnsiTheme="minorHAnsi" w:cstheme="minorHAnsi"/>
                <w:color w:val="000000"/>
              </w:rPr>
              <w:t>13</w:t>
            </w:r>
          </w:p>
        </w:tc>
        <w:tc>
          <w:tcPr>
            <w:tcW w:w="3118" w:type="dxa"/>
            <w:vAlign w:val="center"/>
          </w:tcPr>
          <w:p w14:paraId="247A0C18"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Pesticides</w:t>
            </w:r>
          </w:p>
        </w:tc>
        <w:tc>
          <w:tcPr>
            <w:tcW w:w="1134" w:type="dxa"/>
            <w:vAlign w:val="center"/>
          </w:tcPr>
          <w:p w14:paraId="792EC15E"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H</w:t>
            </w:r>
          </w:p>
        </w:tc>
        <w:tc>
          <w:tcPr>
            <w:tcW w:w="4820" w:type="dxa"/>
            <w:vAlign w:val="center"/>
          </w:tcPr>
          <w:p w14:paraId="11BD2C63"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p>
        </w:tc>
      </w:tr>
      <w:tr w:rsidR="005D004B" w:rsidRPr="00100F0A" w14:paraId="4F514D60"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74E29872" w14:textId="77777777" w:rsidR="005D004B" w:rsidRPr="00100F0A" w:rsidRDefault="005D004B" w:rsidP="006B2A8A">
            <w:pPr>
              <w:rPr>
                <w:color w:val="080808"/>
              </w:rPr>
            </w:pPr>
            <w:r w:rsidRPr="00100F0A">
              <w:rPr>
                <w:rFonts w:asciiTheme="minorHAnsi" w:hAnsiTheme="minorHAnsi" w:cstheme="minorHAnsi"/>
                <w:color w:val="000000"/>
              </w:rPr>
              <w:t>14</w:t>
            </w:r>
          </w:p>
        </w:tc>
        <w:tc>
          <w:tcPr>
            <w:tcW w:w="3118" w:type="dxa"/>
            <w:vAlign w:val="center"/>
          </w:tcPr>
          <w:p w14:paraId="33FF3D48"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Oils</w:t>
            </w:r>
          </w:p>
        </w:tc>
        <w:tc>
          <w:tcPr>
            <w:tcW w:w="1134" w:type="dxa"/>
            <w:vAlign w:val="center"/>
          </w:tcPr>
          <w:p w14:paraId="61DED456"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J100 &amp; 160</w:t>
            </w:r>
          </w:p>
        </w:tc>
        <w:tc>
          <w:tcPr>
            <w:tcW w:w="4820" w:type="dxa"/>
            <w:vAlign w:val="center"/>
          </w:tcPr>
          <w:p w14:paraId="3C84D7A3"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r w:rsidRPr="00100F0A">
              <w:t>Waste is produced in particularly large quantities</w:t>
            </w:r>
          </w:p>
        </w:tc>
      </w:tr>
      <w:tr w:rsidR="005D004B" w:rsidRPr="00100F0A" w14:paraId="23404BAE"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7D122873" w14:textId="77777777" w:rsidR="005D004B" w:rsidRPr="00100F0A" w:rsidRDefault="005D004B" w:rsidP="006B2A8A">
            <w:pPr>
              <w:rPr>
                <w:color w:val="080808"/>
              </w:rPr>
            </w:pPr>
            <w:r w:rsidRPr="00100F0A">
              <w:rPr>
                <w:rFonts w:asciiTheme="minorHAnsi" w:hAnsiTheme="minorHAnsi" w:cstheme="minorHAnsi"/>
                <w:color w:val="000000"/>
              </w:rPr>
              <w:t>15</w:t>
            </w:r>
          </w:p>
        </w:tc>
        <w:tc>
          <w:tcPr>
            <w:tcW w:w="3118" w:type="dxa"/>
            <w:vAlign w:val="center"/>
          </w:tcPr>
          <w:p w14:paraId="3CA6B60B" w14:textId="41B02A20"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 xml:space="preserve">Waste oil/water mixtures </w:t>
            </w:r>
          </w:p>
        </w:tc>
        <w:tc>
          <w:tcPr>
            <w:tcW w:w="1134" w:type="dxa"/>
            <w:vAlign w:val="center"/>
          </w:tcPr>
          <w:p w14:paraId="62A29DFC"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J120</w:t>
            </w:r>
          </w:p>
        </w:tc>
        <w:tc>
          <w:tcPr>
            <w:tcW w:w="4820" w:type="dxa"/>
            <w:vAlign w:val="center"/>
          </w:tcPr>
          <w:p w14:paraId="1393AC29"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r w:rsidRPr="00100F0A">
              <w:t>Waste is produced in particularly large quantities</w:t>
            </w:r>
          </w:p>
        </w:tc>
      </w:tr>
      <w:tr w:rsidR="005D004B" w:rsidRPr="00100F0A" w14:paraId="5561EDB2"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74A4212F" w14:textId="77777777" w:rsidR="005D004B" w:rsidRPr="00100F0A" w:rsidRDefault="005D004B" w:rsidP="006B2A8A">
            <w:pPr>
              <w:rPr>
                <w:color w:val="080808"/>
              </w:rPr>
            </w:pPr>
            <w:r w:rsidRPr="00100F0A">
              <w:rPr>
                <w:rFonts w:asciiTheme="minorHAnsi" w:hAnsiTheme="minorHAnsi" w:cstheme="minorHAnsi"/>
                <w:color w:val="000000"/>
              </w:rPr>
              <w:t>16</w:t>
            </w:r>
          </w:p>
        </w:tc>
        <w:tc>
          <w:tcPr>
            <w:tcW w:w="3118" w:type="dxa"/>
            <w:vAlign w:val="center"/>
          </w:tcPr>
          <w:p w14:paraId="5799F325"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Grease trap waste</w:t>
            </w:r>
          </w:p>
        </w:tc>
        <w:tc>
          <w:tcPr>
            <w:tcW w:w="1134" w:type="dxa"/>
            <w:vAlign w:val="center"/>
          </w:tcPr>
          <w:p w14:paraId="4811C202"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K110</w:t>
            </w:r>
          </w:p>
        </w:tc>
        <w:tc>
          <w:tcPr>
            <w:tcW w:w="4820" w:type="dxa"/>
            <w:vAlign w:val="center"/>
          </w:tcPr>
          <w:p w14:paraId="6C4CB252"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Large tonnage low hazard organic waste</w:t>
            </w:r>
          </w:p>
        </w:tc>
      </w:tr>
      <w:tr w:rsidR="005D004B" w:rsidRPr="00100F0A" w14:paraId="71F05962"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28E8B3E3" w14:textId="77777777" w:rsidR="005D004B" w:rsidRPr="00100F0A" w:rsidRDefault="005D004B" w:rsidP="006B2A8A">
            <w:pPr>
              <w:rPr>
                <w:color w:val="080808"/>
              </w:rPr>
            </w:pPr>
            <w:r w:rsidRPr="00100F0A">
              <w:rPr>
                <w:rFonts w:asciiTheme="minorHAnsi" w:hAnsiTheme="minorHAnsi" w:cstheme="minorHAnsi"/>
                <w:color w:val="000000"/>
              </w:rPr>
              <w:t>17</w:t>
            </w:r>
          </w:p>
        </w:tc>
        <w:tc>
          <w:tcPr>
            <w:tcW w:w="3118" w:type="dxa"/>
            <w:vAlign w:val="center"/>
          </w:tcPr>
          <w:p w14:paraId="0249C65D" w14:textId="1E4CD482"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 xml:space="preserve">Other putrescible/organic waste </w:t>
            </w:r>
          </w:p>
        </w:tc>
        <w:tc>
          <w:tcPr>
            <w:tcW w:w="1134" w:type="dxa"/>
            <w:vAlign w:val="center"/>
          </w:tcPr>
          <w:p w14:paraId="634B886B"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Other K</w:t>
            </w:r>
          </w:p>
        </w:tc>
        <w:tc>
          <w:tcPr>
            <w:tcW w:w="4820" w:type="dxa"/>
            <w:vAlign w:val="center"/>
          </w:tcPr>
          <w:p w14:paraId="63BD5846"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p>
        </w:tc>
      </w:tr>
      <w:tr w:rsidR="005D004B" w:rsidRPr="00100F0A" w14:paraId="6A2B9C74"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2CA1EA48" w14:textId="77777777" w:rsidR="005D004B" w:rsidRPr="00100F0A" w:rsidRDefault="005D004B" w:rsidP="006B2A8A">
            <w:pPr>
              <w:rPr>
                <w:color w:val="080808"/>
              </w:rPr>
            </w:pPr>
            <w:r w:rsidRPr="00100F0A">
              <w:rPr>
                <w:rFonts w:asciiTheme="minorHAnsi" w:hAnsiTheme="minorHAnsi" w:cstheme="minorHAnsi"/>
                <w:color w:val="000000"/>
              </w:rPr>
              <w:t>18</w:t>
            </w:r>
          </w:p>
        </w:tc>
        <w:tc>
          <w:tcPr>
            <w:tcW w:w="3118" w:type="dxa"/>
            <w:vAlign w:val="center"/>
          </w:tcPr>
          <w:p w14:paraId="5AA5925D" w14:textId="048152A0"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 xml:space="preserve">PCB </w:t>
            </w:r>
          </w:p>
        </w:tc>
        <w:tc>
          <w:tcPr>
            <w:tcW w:w="1134" w:type="dxa"/>
            <w:vAlign w:val="center"/>
          </w:tcPr>
          <w:p w14:paraId="1CECDB32"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M100</w:t>
            </w:r>
          </w:p>
        </w:tc>
        <w:tc>
          <w:tcPr>
            <w:tcW w:w="4820" w:type="dxa"/>
            <w:vAlign w:val="center"/>
          </w:tcPr>
          <w:p w14:paraId="45A1C5BC"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p>
        </w:tc>
      </w:tr>
      <w:tr w:rsidR="005D004B" w:rsidRPr="00100F0A" w14:paraId="5BDB22C3"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261E0235" w14:textId="77777777" w:rsidR="005D004B" w:rsidRPr="00100F0A" w:rsidRDefault="005D004B" w:rsidP="006B2A8A">
            <w:pPr>
              <w:rPr>
                <w:color w:val="080808"/>
              </w:rPr>
            </w:pPr>
            <w:r w:rsidRPr="00100F0A">
              <w:rPr>
                <w:rFonts w:asciiTheme="minorHAnsi" w:hAnsiTheme="minorHAnsi" w:cstheme="minorHAnsi"/>
                <w:color w:val="000000"/>
              </w:rPr>
              <w:t>19</w:t>
            </w:r>
          </w:p>
        </w:tc>
        <w:tc>
          <w:tcPr>
            <w:tcW w:w="3118" w:type="dxa"/>
            <w:vAlign w:val="center"/>
          </w:tcPr>
          <w:p w14:paraId="68476C97" w14:textId="704B7DF8"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 xml:space="preserve">POP-BDEs and HBCD </w:t>
            </w:r>
          </w:p>
        </w:tc>
        <w:tc>
          <w:tcPr>
            <w:tcW w:w="1134" w:type="dxa"/>
            <w:vAlign w:val="center"/>
          </w:tcPr>
          <w:p w14:paraId="171DC5AF"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M160a &amp; b</w:t>
            </w:r>
          </w:p>
        </w:tc>
        <w:tc>
          <w:tcPr>
            <w:tcW w:w="4820" w:type="dxa"/>
            <w:vAlign w:val="center"/>
          </w:tcPr>
          <w:p w14:paraId="6C358278" w14:textId="4DD353F8"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Polybrominated diphenyl ether (PBDE) and h</w:t>
            </w:r>
            <w:r w:rsidRPr="00100F0A">
              <w:rPr>
                <w:rFonts w:asciiTheme="minorHAnsi" w:hAnsiTheme="minorHAnsi" w:cstheme="minorHAnsi"/>
              </w:rPr>
              <w:t>exabromocyclododecane</w:t>
            </w:r>
            <w:r w:rsidRPr="00100F0A">
              <w:rPr>
                <w:rFonts w:asciiTheme="minorHAnsi" w:hAnsiTheme="minorHAnsi" w:cstheme="minorHAnsi"/>
                <w:color w:val="000000"/>
              </w:rPr>
              <w:t xml:space="preserve"> (HBCD), including biosolids contaminated with these substances</w:t>
            </w:r>
          </w:p>
        </w:tc>
      </w:tr>
      <w:tr w:rsidR="005D004B" w:rsidRPr="00100F0A" w14:paraId="725A2D41"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00D185B6" w14:textId="77777777" w:rsidR="005D004B" w:rsidRPr="00100F0A" w:rsidRDefault="005D004B" w:rsidP="006B2A8A">
            <w:pPr>
              <w:rPr>
                <w:color w:val="080808"/>
              </w:rPr>
            </w:pPr>
            <w:r w:rsidRPr="00100F0A">
              <w:rPr>
                <w:rFonts w:asciiTheme="minorHAnsi" w:hAnsiTheme="minorHAnsi" w:cstheme="minorHAnsi"/>
                <w:color w:val="000000"/>
              </w:rPr>
              <w:t>20</w:t>
            </w:r>
          </w:p>
        </w:tc>
        <w:tc>
          <w:tcPr>
            <w:tcW w:w="3118" w:type="dxa"/>
            <w:vAlign w:val="center"/>
          </w:tcPr>
          <w:p w14:paraId="010335B1"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HCB</w:t>
            </w:r>
          </w:p>
        </w:tc>
        <w:tc>
          <w:tcPr>
            <w:tcW w:w="1134" w:type="dxa"/>
            <w:vAlign w:val="center"/>
          </w:tcPr>
          <w:p w14:paraId="732F7EF9"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M160c</w:t>
            </w:r>
          </w:p>
        </w:tc>
        <w:tc>
          <w:tcPr>
            <w:tcW w:w="4820" w:type="dxa"/>
            <w:vAlign w:val="center"/>
          </w:tcPr>
          <w:p w14:paraId="0026FA3A"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 xml:space="preserve">Orica stockpile of hexachlorobenzene </w:t>
            </w:r>
          </w:p>
        </w:tc>
      </w:tr>
      <w:tr w:rsidR="005D004B" w:rsidRPr="00100F0A" w14:paraId="01CB033A"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0886FA93" w14:textId="77777777" w:rsidR="005D004B" w:rsidRPr="00100F0A" w:rsidRDefault="005D004B" w:rsidP="006B2A8A">
            <w:pPr>
              <w:rPr>
                <w:color w:val="080808"/>
              </w:rPr>
            </w:pPr>
            <w:r w:rsidRPr="00100F0A">
              <w:rPr>
                <w:rFonts w:asciiTheme="minorHAnsi" w:hAnsiTheme="minorHAnsi" w:cstheme="minorHAnsi"/>
                <w:color w:val="000000"/>
              </w:rPr>
              <w:t>21</w:t>
            </w:r>
          </w:p>
        </w:tc>
        <w:tc>
          <w:tcPr>
            <w:tcW w:w="3118" w:type="dxa"/>
            <w:vAlign w:val="center"/>
          </w:tcPr>
          <w:p w14:paraId="3D4780BD"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r w:rsidRPr="00100F0A">
              <w:rPr>
                <w:rFonts w:cs="Calibri"/>
                <w:color w:val="000000"/>
              </w:rPr>
              <w:t>PFOS contaminated biosolids</w:t>
            </w:r>
          </w:p>
        </w:tc>
        <w:tc>
          <w:tcPr>
            <w:tcW w:w="1134" w:type="dxa"/>
            <w:vAlign w:val="center"/>
          </w:tcPr>
          <w:p w14:paraId="7B22BA5C"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M270a</w:t>
            </w:r>
          </w:p>
        </w:tc>
        <w:tc>
          <w:tcPr>
            <w:tcW w:w="4820" w:type="dxa"/>
            <w:vAlign w:val="center"/>
          </w:tcPr>
          <w:p w14:paraId="7E54443E"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 xml:space="preserve">Biosolids contaminated with perfluorooctane sulfonate, future </w:t>
            </w:r>
            <w:r w:rsidRPr="00100F0A">
              <w:t>quantities and available infrastructure are highly uncertain</w:t>
            </w:r>
          </w:p>
        </w:tc>
      </w:tr>
      <w:tr w:rsidR="005D004B" w:rsidRPr="00100F0A" w14:paraId="32CFE164"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64476F8E" w14:textId="77777777" w:rsidR="005D004B" w:rsidRPr="00100F0A" w:rsidRDefault="005D004B" w:rsidP="006B2A8A">
            <w:pPr>
              <w:rPr>
                <w:rFonts w:asciiTheme="minorHAnsi" w:hAnsiTheme="minorHAnsi" w:cstheme="minorHAnsi"/>
                <w:color w:val="000000"/>
              </w:rPr>
            </w:pPr>
            <w:r w:rsidRPr="00100F0A">
              <w:rPr>
                <w:rFonts w:asciiTheme="minorHAnsi" w:hAnsiTheme="minorHAnsi" w:cstheme="minorHAnsi"/>
                <w:color w:val="000000"/>
              </w:rPr>
              <w:t>22</w:t>
            </w:r>
          </w:p>
        </w:tc>
        <w:tc>
          <w:tcPr>
            <w:tcW w:w="3118" w:type="dxa"/>
            <w:vAlign w:val="center"/>
          </w:tcPr>
          <w:p w14:paraId="238F903A" w14:textId="1B2C75A1"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rFonts w:cs="Calibri"/>
                <w:color w:val="000000"/>
                <w:vertAlign w:val="superscript"/>
              </w:rPr>
            </w:pPr>
            <w:r w:rsidRPr="00100F0A">
              <w:rPr>
                <w:rFonts w:cs="Calibri"/>
                <w:color w:val="000000"/>
              </w:rPr>
              <w:t xml:space="preserve">PFAS contaminated soils </w:t>
            </w:r>
          </w:p>
        </w:tc>
        <w:tc>
          <w:tcPr>
            <w:tcW w:w="1134" w:type="dxa"/>
            <w:vAlign w:val="center"/>
          </w:tcPr>
          <w:p w14:paraId="559CD24B"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M270b</w:t>
            </w:r>
          </w:p>
        </w:tc>
        <w:tc>
          <w:tcPr>
            <w:tcW w:w="4820" w:type="dxa"/>
            <w:vAlign w:val="center"/>
          </w:tcPr>
          <w:p w14:paraId="7C3C5D2F" w14:textId="4D5AC836"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 xml:space="preserve">Soils containing per- and poly-fluoroalkyl substances from use of </w:t>
            </w:r>
            <w:r w:rsidR="00100F0A" w:rsidRPr="00100F0A">
              <w:rPr>
                <w:rFonts w:asciiTheme="minorHAnsi" w:hAnsiTheme="minorHAnsi" w:cstheme="minorHAnsi"/>
                <w:color w:val="000000"/>
              </w:rPr>
              <w:t>firefighting</w:t>
            </w:r>
            <w:r w:rsidRPr="00100F0A">
              <w:rPr>
                <w:rFonts w:asciiTheme="minorHAnsi" w:hAnsiTheme="minorHAnsi" w:cstheme="minorHAnsi"/>
                <w:color w:val="000000"/>
              </w:rPr>
              <w:t xml:space="preserve"> foams</w:t>
            </w:r>
          </w:p>
        </w:tc>
      </w:tr>
      <w:tr w:rsidR="005D004B" w:rsidRPr="00100F0A" w14:paraId="3E9FDDE2"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6C0682FB" w14:textId="77777777" w:rsidR="005D004B" w:rsidRPr="00100F0A" w:rsidRDefault="005D004B" w:rsidP="006B2A8A">
            <w:pPr>
              <w:rPr>
                <w:rFonts w:asciiTheme="minorHAnsi" w:hAnsiTheme="minorHAnsi" w:cstheme="minorHAnsi"/>
                <w:color w:val="000000"/>
              </w:rPr>
            </w:pPr>
            <w:r w:rsidRPr="00100F0A">
              <w:rPr>
                <w:rFonts w:asciiTheme="minorHAnsi" w:hAnsiTheme="minorHAnsi" w:cstheme="minorHAnsi"/>
                <w:color w:val="000000"/>
              </w:rPr>
              <w:t>23</w:t>
            </w:r>
          </w:p>
        </w:tc>
        <w:tc>
          <w:tcPr>
            <w:tcW w:w="3118" w:type="dxa"/>
            <w:vAlign w:val="center"/>
          </w:tcPr>
          <w:p w14:paraId="50DBC63A" w14:textId="13A94F92"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rFonts w:cs="Calibri"/>
                <w:color w:val="000000"/>
                <w:vertAlign w:val="superscript"/>
              </w:rPr>
            </w:pPr>
            <w:r w:rsidRPr="00100F0A">
              <w:rPr>
                <w:rFonts w:cs="Calibri"/>
                <w:color w:val="000000"/>
              </w:rPr>
              <w:t xml:space="preserve">AFFF concentrates </w:t>
            </w:r>
          </w:p>
        </w:tc>
        <w:tc>
          <w:tcPr>
            <w:tcW w:w="1134" w:type="dxa"/>
            <w:vAlign w:val="center"/>
          </w:tcPr>
          <w:p w14:paraId="1A508068"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M270c</w:t>
            </w:r>
          </w:p>
        </w:tc>
        <w:tc>
          <w:tcPr>
            <w:tcW w:w="4820" w:type="dxa"/>
            <w:vAlign w:val="center"/>
          </w:tcPr>
          <w:p w14:paraId="1D5AC763"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Aqueous film forming foams (used for fire-fighting) containing PFAS</w:t>
            </w:r>
          </w:p>
        </w:tc>
      </w:tr>
      <w:tr w:rsidR="005D004B" w:rsidRPr="00100F0A" w14:paraId="6F7F4BA5"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160FF46E" w14:textId="77777777" w:rsidR="005D004B" w:rsidRPr="00100F0A" w:rsidRDefault="005D004B" w:rsidP="006B2A8A">
            <w:pPr>
              <w:rPr>
                <w:rFonts w:asciiTheme="minorHAnsi" w:hAnsiTheme="minorHAnsi" w:cstheme="minorHAnsi"/>
                <w:color w:val="000000"/>
              </w:rPr>
            </w:pPr>
            <w:r w:rsidRPr="00100F0A">
              <w:rPr>
                <w:rFonts w:asciiTheme="minorHAnsi" w:hAnsiTheme="minorHAnsi" w:cstheme="minorHAnsi"/>
                <w:color w:val="000000"/>
              </w:rPr>
              <w:t>24</w:t>
            </w:r>
          </w:p>
        </w:tc>
        <w:tc>
          <w:tcPr>
            <w:tcW w:w="3118" w:type="dxa"/>
            <w:vAlign w:val="center"/>
          </w:tcPr>
          <w:p w14:paraId="7D20E4D1"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rFonts w:cs="Calibri"/>
                <w:color w:val="000000"/>
              </w:rPr>
            </w:pPr>
            <w:r w:rsidRPr="00100F0A">
              <w:rPr>
                <w:rFonts w:asciiTheme="minorHAnsi" w:hAnsiTheme="minorHAnsi" w:cstheme="minorHAnsi"/>
                <w:color w:val="000000"/>
              </w:rPr>
              <w:t>Other organic chemicals</w:t>
            </w:r>
          </w:p>
        </w:tc>
        <w:tc>
          <w:tcPr>
            <w:tcW w:w="1134" w:type="dxa"/>
            <w:vAlign w:val="center"/>
          </w:tcPr>
          <w:p w14:paraId="71F7235A"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Other M</w:t>
            </w:r>
          </w:p>
        </w:tc>
        <w:tc>
          <w:tcPr>
            <w:tcW w:w="4820" w:type="dxa"/>
            <w:vAlign w:val="center"/>
          </w:tcPr>
          <w:p w14:paraId="31143699"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r>
      <w:tr w:rsidR="005D004B" w:rsidRPr="00100F0A" w14:paraId="3F181EC4"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0185DE66" w14:textId="77777777" w:rsidR="005D004B" w:rsidRPr="00100F0A" w:rsidRDefault="005D004B" w:rsidP="006B2A8A">
            <w:pPr>
              <w:rPr>
                <w:rFonts w:asciiTheme="minorHAnsi" w:hAnsiTheme="minorHAnsi" w:cstheme="minorHAnsi"/>
                <w:color w:val="000000"/>
              </w:rPr>
            </w:pPr>
            <w:r w:rsidRPr="00100F0A">
              <w:rPr>
                <w:rFonts w:asciiTheme="minorHAnsi" w:hAnsiTheme="minorHAnsi" w:cstheme="minorHAnsi"/>
                <w:color w:val="000000"/>
              </w:rPr>
              <w:t>25</w:t>
            </w:r>
          </w:p>
        </w:tc>
        <w:tc>
          <w:tcPr>
            <w:tcW w:w="3118" w:type="dxa"/>
            <w:vAlign w:val="center"/>
          </w:tcPr>
          <w:p w14:paraId="07B1A070"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rFonts w:cs="Calibri"/>
                <w:color w:val="000000"/>
              </w:rPr>
            </w:pPr>
            <w:r w:rsidRPr="00100F0A">
              <w:rPr>
                <w:rFonts w:asciiTheme="minorHAnsi" w:hAnsiTheme="minorHAnsi" w:cstheme="minorHAnsi"/>
                <w:color w:val="000000"/>
              </w:rPr>
              <w:t>Contaminated soils</w:t>
            </w:r>
          </w:p>
        </w:tc>
        <w:tc>
          <w:tcPr>
            <w:tcW w:w="1134" w:type="dxa"/>
            <w:vAlign w:val="center"/>
          </w:tcPr>
          <w:p w14:paraId="446490B3"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N120</w:t>
            </w:r>
          </w:p>
        </w:tc>
        <w:tc>
          <w:tcPr>
            <w:tcW w:w="4820" w:type="dxa"/>
            <w:vAlign w:val="center"/>
          </w:tcPr>
          <w:p w14:paraId="61100837"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Contaminated soils</w:t>
            </w:r>
          </w:p>
        </w:tc>
      </w:tr>
      <w:tr w:rsidR="005D004B" w:rsidRPr="00100F0A" w14:paraId="662AD2A6"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1B61178D" w14:textId="77777777" w:rsidR="005D004B" w:rsidRPr="00100F0A" w:rsidRDefault="005D004B" w:rsidP="006B2A8A">
            <w:pPr>
              <w:rPr>
                <w:rFonts w:asciiTheme="minorHAnsi" w:hAnsiTheme="minorHAnsi" w:cstheme="minorHAnsi"/>
                <w:color w:val="000000"/>
              </w:rPr>
            </w:pPr>
            <w:r w:rsidRPr="00100F0A">
              <w:rPr>
                <w:rFonts w:asciiTheme="minorHAnsi" w:hAnsiTheme="minorHAnsi" w:cstheme="minorHAnsi"/>
                <w:color w:val="000000"/>
              </w:rPr>
              <w:t>26</w:t>
            </w:r>
          </w:p>
        </w:tc>
        <w:tc>
          <w:tcPr>
            <w:tcW w:w="3118" w:type="dxa"/>
            <w:vAlign w:val="center"/>
          </w:tcPr>
          <w:p w14:paraId="76D14799"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rFonts w:cs="Calibri"/>
                <w:color w:val="000000"/>
              </w:rPr>
            </w:pPr>
            <w:r w:rsidRPr="00100F0A">
              <w:rPr>
                <w:rFonts w:asciiTheme="minorHAnsi" w:hAnsiTheme="minorHAnsi" w:cstheme="minorHAnsi"/>
                <w:color w:val="000000"/>
              </w:rPr>
              <w:t>Other contaminated biosolids</w:t>
            </w:r>
          </w:p>
        </w:tc>
        <w:tc>
          <w:tcPr>
            <w:tcW w:w="1134" w:type="dxa"/>
            <w:vAlign w:val="center"/>
          </w:tcPr>
          <w:p w14:paraId="55B4AE71"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N205a</w:t>
            </w:r>
          </w:p>
        </w:tc>
        <w:tc>
          <w:tcPr>
            <w:tcW w:w="4820" w:type="dxa"/>
            <w:vAlign w:val="center"/>
          </w:tcPr>
          <w:p w14:paraId="0F951A9E"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 xml:space="preserve">Biosolids contaminated with inorganics </w:t>
            </w:r>
          </w:p>
        </w:tc>
      </w:tr>
      <w:tr w:rsidR="005D004B" w:rsidRPr="00100F0A" w14:paraId="40EAE5A9"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13E00D70" w14:textId="77777777" w:rsidR="005D004B" w:rsidRPr="00100F0A" w:rsidRDefault="005D004B" w:rsidP="006B2A8A">
            <w:pPr>
              <w:rPr>
                <w:rFonts w:asciiTheme="minorHAnsi" w:hAnsiTheme="minorHAnsi" w:cstheme="minorHAnsi"/>
                <w:color w:val="000000"/>
              </w:rPr>
            </w:pPr>
            <w:r w:rsidRPr="00100F0A">
              <w:rPr>
                <w:rFonts w:asciiTheme="minorHAnsi" w:hAnsiTheme="minorHAnsi" w:cstheme="minorHAnsi"/>
                <w:color w:val="000000"/>
              </w:rPr>
              <w:t>27</w:t>
            </w:r>
          </w:p>
        </w:tc>
        <w:tc>
          <w:tcPr>
            <w:tcW w:w="3118" w:type="dxa"/>
            <w:vAlign w:val="center"/>
          </w:tcPr>
          <w:p w14:paraId="15704114"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rFonts w:cs="Calibri"/>
                <w:color w:val="000000"/>
              </w:rPr>
            </w:pPr>
            <w:r w:rsidRPr="00100F0A">
              <w:rPr>
                <w:rFonts w:asciiTheme="minorHAnsi" w:hAnsiTheme="minorHAnsi" w:cstheme="minorHAnsi"/>
                <w:color w:val="000000"/>
              </w:rPr>
              <w:t>Other industrial treatment residues</w:t>
            </w:r>
          </w:p>
        </w:tc>
        <w:tc>
          <w:tcPr>
            <w:tcW w:w="1134" w:type="dxa"/>
            <w:vAlign w:val="center"/>
          </w:tcPr>
          <w:p w14:paraId="0E7D695F"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N205b</w:t>
            </w:r>
          </w:p>
        </w:tc>
        <w:tc>
          <w:tcPr>
            <w:tcW w:w="4820" w:type="dxa"/>
            <w:vAlign w:val="center"/>
          </w:tcPr>
          <w:p w14:paraId="7C401176"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r>
      <w:tr w:rsidR="005D004B" w:rsidRPr="00100F0A" w14:paraId="50653510"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0E795FBC" w14:textId="77777777" w:rsidR="005D004B" w:rsidRPr="00100F0A" w:rsidRDefault="005D004B" w:rsidP="006B2A8A">
            <w:pPr>
              <w:rPr>
                <w:rFonts w:asciiTheme="minorHAnsi" w:hAnsiTheme="minorHAnsi" w:cstheme="minorHAnsi"/>
                <w:color w:val="000000"/>
              </w:rPr>
            </w:pPr>
            <w:r w:rsidRPr="00100F0A">
              <w:rPr>
                <w:rFonts w:asciiTheme="minorHAnsi" w:hAnsiTheme="minorHAnsi" w:cstheme="minorHAnsi"/>
                <w:color w:val="000000"/>
              </w:rPr>
              <w:t>28</w:t>
            </w:r>
          </w:p>
        </w:tc>
        <w:tc>
          <w:tcPr>
            <w:tcW w:w="3118" w:type="dxa"/>
            <w:vAlign w:val="center"/>
          </w:tcPr>
          <w:p w14:paraId="615A72E1"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rFonts w:cs="Calibri"/>
                <w:color w:val="000000"/>
              </w:rPr>
            </w:pPr>
            <w:r w:rsidRPr="00100F0A">
              <w:rPr>
                <w:rFonts w:asciiTheme="minorHAnsi" w:hAnsiTheme="minorHAnsi" w:cstheme="minorHAnsi"/>
                <w:color w:val="000000"/>
              </w:rPr>
              <w:t>Asbestos</w:t>
            </w:r>
          </w:p>
        </w:tc>
        <w:tc>
          <w:tcPr>
            <w:tcW w:w="1134" w:type="dxa"/>
            <w:vAlign w:val="center"/>
          </w:tcPr>
          <w:p w14:paraId="65F61BCB"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N220</w:t>
            </w:r>
          </w:p>
        </w:tc>
        <w:tc>
          <w:tcPr>
            <w:tcW w:w="4820" w:type="dxa"/>
            <w:vAlign w:val="center"/>
          </w:tcPr>
          <w:p w14:paraId="2D9536D4"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 xml:space="preserve">Waste asbestos </w:t>
            </w:r>
          </w:p>
        </w:tc>
      </w:tr>
      <w:tr w:rsidR="005D004B" w:rsidRPr="00100F0A" w14:paraId="3214F17B"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55B17CAE" w14:textId="77777777" w:rsidR="005D004B" w:rsidRPr="00100F0A" w:rsidRDefault="005D004B" w:rsidP="006B2A8A">
            <w:pPr>
              <w:rPr>
                <w:rFonts w:asciiTheme="minorHAnsi" w:hAnsiTheme="minorHAnsi" w:cstheme="minorHAnsi"/>
                <w:color w:val="000000"/>
              </w:rPr>
            </w:pPr>
            <w:r w:rsidRPr="00100F0A">
              <w:rPr>
                <w:rFonts w:asciiTheme="minorHAnsi" w:hAnsiTheme="minorHAnsi" w:cstheme="minorHAnsi"/>
                <w:color w:val="000000"/>
              </w:rPr>
              <w:t>29</w:t>
            </w:r>
          </w:p>
        </w:tc>
        <w:tc>
          <w:tcPr>
            <w:tcW w:w="3118" w:type="dxa"/>
            <w:vAlign w:val="center"/>
          </w:tcPr>
          <w:p w14:paraId="1508FF32"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rFonts w:cs="Calibri"/>
                <w:color w:val="000000"/>
              </w:rPr>
            </w:pPr>
            <w:r w:rsidRPr="00100F0A">
              <w:rPr>
                <w:rFonts w:asciiTheme="minorHAnsi" w:hAnsiTheme="minorHAnsi" w:cstheme="minorHAnsi"/>
                <w:color w:val="000000"/>
              </w:rPr>
              <w:t>Other soil/sludges</w:t>
            </w:r>
          </w:p>
        </w:tc>
        <w:tc>
          <w:tcPr>
            <w:tcW w:w="1134" w:type="dxa"/>
            <w:vAlign w:val="center"/>
          </w:tcPr>
          <w:p w14:paraId="1532EECB"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Other N</w:t>
            </w:r>
          </w:p>
        </w:tc>
        <w:tc>
          <w:tcPr>
            <w:tcW w:w="4820" w:type="dxa"/>
            <w:vAlign w:val="center"/>
          </w:tcPr>
          <w:p w14:paraId="5DFF9C1D"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r>
      <w:tr w:rsidR="005D004B" w:rsidRPr="00100F0A" w14:paraId="3118F906"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6880D991" w14:textId="77777777" w:rsidR="005D004B" w:rsidRPr="00100F0A" w:rsidRDefault="005D004B" w:rsidP="006B2A8A">
            <w:pPr>
              <w:rPr>
                <w:rFonts w:asciiTheme="minorHAnsi" w:hAnsiTheme="minorHAnsi" w:cstheme="minorHAnsi"/>
                <w:color w:val="000000"/>
              </w:rPr>
            </w:pPr>
            <w:r w:rsidRPr="00100F0A">
              <w:rPr>
                <w:rFonts w:asciiTheme="minorHAnsi" w:hAnsiTheme="minorHAnsi" w:cstheme="minorHAnsi"/>
                <w:color w:val="000000"/>
              </w:rPr>
              <w:t>30</w:t>
            </w:r>
          </w:p>
        </w:tc>
        <w:tc>
          <w:tcPr>
            <w:tcW w:w="3118" w:type="dxa"/>
            <w:vAlign w:val="center"/>
          </w:tcPr>
          <w:p w14:paraId="3227805E"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rFonts w:cs="Calibri"/>
                <w:color w:val="000000"/>
              </w:rPr>
            </w:pPr>
            <w:r w:rsidRPr="00100F0A">
              <w:rPr>
                <w:rFonts w:asciiTheme="minorHAnsi" w:hAnsiTheme="minorHAnsi" w:cstheme="minorHAnsi"/>
                <w:color w:val="000000"/>
              </w:rPr>
              <w:t>Clinical &amp; pharmaceutical</w:t>
            </w:r>
          </w:p>
        </w:tc>
        <w:tc>
          <w:tcPr>
            <w:tcW w:w="1134" w:type="dxa"/>
            <w:vAlign w:val="center"/>
          </w:tcPr>
          <w:p w14:paraId="3074772F"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R</w:t>
            </w:r>
          </w:p>
        </w:tc>
        <w:tc>
          <w:tcPr>
            <w:tcW w:w="4820" w:type="dxa"/>
            <w:vAlign w:val="center"/>
          </w:tcPr>
          <w:p w14:paraId="7F0D022A"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r>
      <w:tr w:rsidR="005D004B" w:rsidRPr="00100F0A" w14:paraId="720E2025"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26162715" w14:textId="77777777" w:rsidR="005D004B" w:rsidRPr="00100F0A" w:rsidRDefault="005D004B" w:rsidP="006B2A8A">
            <w:pPr>
              <w:rPr>
                <w:rFonts w:asciiTheme="minorHAnsi" w:hAnsiTheme="minorHAnsi" w:cstheme="minorHAnsi"/>
                <w:color w:val="000000"/>
              </w:rPr>
            </w:pPr>
            <w:r w:rsidRPr="00100F0A">
              <w:rPr>
                <w:rFonts w:asciiTheme="minorHAnsi" w:hAnsiTheme="minorHAnsi" w:cstheme="minorHAnsi"/>
                <w:color w:val="000000"/>
              </w:rPr>
              <w:t>31</w:t>
            </w:r>
          </w:p>
        </w:tc>
        <w:tc>
          <w:tcPr>
            <w:tcW w:w="3118" w:type="dxa"/>
            <w:vAlign w:val="center"/>
          </w:tcPr>
          <w:p w14:paraId="3AE62A8B"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rFonts w:cs="Calibri"/>
                <w:color w:val="000000"/>
              </w:rPr>
            </w:pPr>
            <w:r w:rsidRPr="00100F0A">
              <w:rPr>
                <w:rFonts w:asciiTheme="minorHAnsi" w:hAnsiTheme="minorHAnsi" w:cstheme="minorHAnsi"/>
                <w:color w:val="000000"/>
              </w:rPr>
              <w:t>Tyres</w:t>
            </w:r>
          </w:p>
        </w:tc>
        <w:tc>
          <w:tcPr>
            <w:tcW w:w="1134" w:type="dxa"/>
            <w:vAlign w:val="center"/>
          </w:tcPr>
          <w:p w14:paraId="2AFAEF23"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T140</w:t>
            </w:r>
          </w:p>
        </w:tc>
        <w:tc>
          <w:tcPr>
            <w:tcW w:w="4820" w:type="dxa"/>
            <w:vAlign w:val="center"/>
          </w:tcPr>
          <w:p w14:paraId="77B4E6FB"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End-of-life tyres</w:t>
            </w:r>
          </w:p>
        </w:tc>
      </w:tr>
      <w:tr w:rsidR="005D004B" w:rsidRPr="00100F0A" w14:paraId="1AA2C744"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22F41A1D" w14:textId="77777777" w:rsidR="005D004B" w:rsidRPr="00100F0A" w:rsidRDefault="005D004B" w:rsidP="006B2A8A">
            <w:pPr>
              <w:rPr>
                <w:rFonts w:asciiTheme="minorHAnsi" w:hAnsiTheme="minorHAnsi" w:cstheme="minorHAnsi"/>
                <w:color w:val="000000"/>
              </w:rPr>
            </w:pPr>
            <w:r w:rsidRPr="00100F0A">
              <w:rPr>
                <w:rFonts w:asciiTheme="minorHAnsi" w:hAnsiTheme="minorHAnsi" w:cstheme="minorHAnsi"/>
                <w:color w:val="000000"/>
              </w:rPr>
              <w:t>32</w:t>
            </w:r>
          </w:p>
        </w:tc>
        <w:tc>
          <w:tcPr>
            <w:tcW w:w="3118" w:type="dxa"/>
            <w:vAlign w:val="center"/>
          </w:tcPr>
          <w:p w14:paraId="099A88F4"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rFonts w:cs="Calibri"/>
                <w:color w:val="000000"/>
              </w:rPr>
            </w:pPr>
            <w:r w:rsidRPr="00100F0A">
              <w:rPr>
                <w:rFonts w:asciiTheme="minorHAnsi" w:hAnsiTheme="minorHAnsi" w:cstheme="minorHAnsi"/>
                <w:color w:val="000000"/>
              </w:rPr>
              <w:t>Other miscellaneous</w:t>
            </w:r>
          </w:p>
        </w:tc>
        <w:tc>
          <w:tcPr>
            <w:tcW w:w="1134" w:type="dxa"/>
            <w:vAlign w:val="center"/>
          </w:tcPr>
          <w:p w14:paraId="0884B7E2"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Other T</w:t>
            </w:r>
          </w:p>
        </w:tc>
        <w:tc>
          <w:tcPr>
            <w:tcW w:w="4820" w:type="dxa"/>
            <w:vAlign w:val="center"/>
          </w:tcPr>
          <w:p w14:paraId="668F1844" w14:textId="7777777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r>
      <w:tr w:rsidR="005D004B" w:rsidRPr="00100F0A" w14:paraId="638C9ACB" w14:textId="77777777" w:rsidTr="00966348">
        <w:tc>
          <w:tcPr>
            <w:cnfStyle w:val="001000000000" w:firstRow="0" w:lastRow="0" w:firstColumn="1" w:lastColumn="0" w:oddVBand="0" w:evenVBand="0" w:oddHBand="0" w:evenHBand="0" w:firstRowFirstColumn="0" w:firstRowLastColumn="0" w:lastRowFirstColumn="0" w:lastRowLastColumn="0"/>
            <w:tcW w:w="421" w:type="dxa"/>
          </w:tcPr>
          <w:p w14:paraId="71C33805" w14:textId="77777777" w:rsidR="005D004B" w:rsidRPr="00100F0A" w:rsidRDefault="005D004B" w:rsidP="006B2A8A">
            <w:pPr>
              <w:rPr>
                <w:rFonts w:asciiTheme="minorHAnsi" w:hAnsiTheme="minorHAnsi" w:cstheme="minorHAnsi"/>
                <w:color w:val="000000"/>
              </w:rPr>
            </w:pPr>
            <w:r w:rsidRPr="00100F0A">
              <w:rPr>
                <w:rFonts w:asciiTheme="minorHAnsi" w:hAnsiTheme="minorHAnsi" w:cstheme="minorHAnsi"/>
                <w:color w:val="000000"/>
              </w:rPr>
              <w:t>33</w:t>
            </w:r>
          </w:p>
        </w:tc>
        <w:tc>
          <w:tcPr>
            <w:tcW w:w="3118" w:type="dxa"/>
            <w:vAlign w:val="center"/>
          </w:tcPr>
          <w:p w14:paraId="6948FA1F" w14:textId="3F4930DA" w:rsidR="005D004B" w:rsidRPr="00100F0A" w:rsidRDefault="0018460F" w:rsidP="006B2A8A">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asciiTheme="minorHAnsi" w:hAnsiTheme="minorHAnsi" w:cstheme="minorHAnsi"/>
                <w:color w:val="000000"/>
              </w:rPr>
              <w:t>Lithium ion</w:t>
            </w:r>
            <w:r w:rsidR="005D004B" w:rsidRPr="00100F0A">
              <w:rPr>
                <w:rFonts w:asciiTheme="minorHAnsi" w:hAnsiTheme="minorHAnsi" w:cstheme="minorHAnsi"/>
                <w:color w:val="000000"/>
              </w:rPr>
              <w:t xml:space="preserve"> batteries</w:t>
            </w:r>
          </w:p>
        </w:tc>
        <w:tc>
          <w:tcPr>
            <w:tcW w:w="1134" w:type="dxa"/>
            <w:vAlign w:val="center"/>
          </w:tcPr>
          <w:p w14:paraId="2FB05D17" w14:textId="77777777" w:rsidR="005D004B" w:rsidRPr="00100F0A" w:rsidRDefault="005D004B" w:rsidP="006B2A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w:t>
            </w:r>
          </w:p>
        </w:tc>
        <w:tc>
          <w:tcPr>
            <w:tcW w:w="4820" w:type="dxa"/>
            <w:vAlign w:val="center"/>
          </w:tcPr>
          <w:p w14:paraId="1BF00F6D" w14:textId="75E3FA47" w:rsidR="005D004B" w:rsidRPr="00100F0A" w:rsidRDefault="005D004B" w:rsidP="006B2A8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 xml:space="preserve">Waste </w:t>
            </w:r>
            <w:r w:rsidR="0018460F">
              <w:rPr>
                <w:rFonts w:asciiTheme="minorHAnsi" w:hAnsiTheme="minorHAnsi" w:cstheme="minorHAnsi"/>
                <w:color w:val="000000"/>
              </w:rPr>
              <w:t>lithium ion</w:t>
            </w:r>
            <w:r w:rsidRPr="00100F0A">
              <w:rPr>
                <w:rFonts w:asciiTheme="minorHAnsi" w:hAnsiTheme="minorHAnsi" w:cstheme="minorHAnsi"/>
                <w:color w:val="000000"/>
              </w:rPr>
              <w:t xml:space="preserve"> batteries</w:t>
            </w:r>
          </w:p>
        </w:tc>
      </w:tr>
      <w:bookmarkEnd w:id="7"/>
    </w:tbl>
    <w:p w14:paraId="0C077053" w14:textId="77777777" w:rsidR="00347ED1" w:rsidRPr="00100F0A" w:rsidRDefault="00347ED1" w:rsidP="00347ED1">
      <w:pPr>
        <w:rPr>
          <w:color w:val="080808"/>
        </w:rPr>
      </w:pPr>
    </w:p>
    <w:p w14:paraId="146CD115" w14:textId="5C9D4E71" w:rsidR="00347ED1" w:rsidRPr="00100F0A" w:rsidRDefault="00347ED1" w:rsidP="00347ED1">
      <w:pPr>
        <w:pStyle w:val="BodyText"/>
      </w:pPr>
      <w:r w:rsidRPr="00100F0A">
        <w:t xml:space="preserve">Projections were built on the basis of a wide range of data (documented in </w:t>
      </w:r>
      <w:r w:rsidRPr="00100F0A">
        <w:fldChar w:fldCharType="begin"/>
      </w:r>
      <w:r w:rsidRPr="00100F0A">
        <w:instrText xml:space="preserve"> REF _Ref406062144 \h  \* MERGEFORMAT </w:instrText>
      </w:r>
      <w:r w:rsidRPr="00100F0A">
        <w:fldChar w:fldCharType="separate"/>
      </w:r>
      <w:r w:rsidR="00EB634D" w:rsidRPr="00100F0A">
        <w:t xml:space="preserve">Table </w:t>
      </w:r>
      <w:r w:rsidR="00EB634D">
        <w:rPr>
          <w:noProof/>
        </w:rPr>
        <w:t>2</w:t>
      </w:r>
      <w:r w:rsidRPr="00100F0A">
        <w:fldChar w:fldCharType="end"/>
      </w:r>
      <w:r w:rsidRPr="00100F0A">
        <w:t xml:space="preserve"> of the report). The most important input was from data reports from the states and territories. Waste tracking systems in </w:t>
      </w:r>
      <w:r w:rsidR="00DF6A26">
        <w:t>Queensland (</w:t>
      </w:r>
      <w:r w:rsidRPr="00100F0A">
        <w:t>Qld</w:t>
      </w:r>
      <w:r w:rsidR="00DF6A26">
        <w:t>)</w:t>
      </w:r>
      <w:r w:rsidRPr="00100F0A">
        <w:t xml:space="preserve">, </w:t>
      </w:r>
      <w:r w:rsidR="00DF6A26">
        <w:t>New South Wales (</w:t>
      </w:r>
      <w:r w:rsidRPr="00100F0A">
        <w:t>NSW</w:t>
      </w:r>
      <w:r w:rsidR="00DF6A26">
        <w:t>)</w:t>
      </w:r>
      <w:r w:rsidRPr="00100F0A">
        <w:t xml:space="preserve">, </w:t>
      </w:r>
      <w:r w:rsidR="00DF6A26">
        <w:t>South Australia (</w:t>
      </w:r>
      <w:r w:rsidRPr="00100F0A">
        <w:t>SA</w:t>
      </w:r>
      <w:r w:rsidR="00DF6A26">
        <w:t>)</w:t>
      </w:r>
      <w:r w:rsidRPr="00100F0A">
        <w:t xml:space="preserve">, </w:t>
      </w:r>
      <w:r w:rsidR="00DF6A26">
        <w:t>Victoria (</w:t>
      </w:r>
      <w:r w:rsidRPr="00100F0A">
        <w:t>Vic</w:t>
      </w:r>
      <w:r w:rsidR="00DF6A26">
        <w:t>)</w:t>
      </w:r>
      <w:r w:rsidRPr="00100F0A">
        <w:t xml:space="preserve"> and </w:t>
      </w:r>
      <w:r w:rsidR="00DF6A26">
        <w:t>Western Australia (</w:t>
      </w:r>
      <w:r w:rsidRPr="00100F0A">
        <w:t>WA</w:t>
      </w:r>
      <w:r w:rsidR="00DF6A26">
        <w:t>)</w:t>
      </w:r>
      <w:r w:rsidRPr="00100F0A">
        <w:t xml:space="preserve"> require companies generating, transporting and treating or disposing hazardous waste to provide a record to government of each transaction to which they are a party. Data from these systems was collected, collated and analysed, together with other jurisdictional waste data.</w:t>
      </w:r>
      <w:r w:rsidR="004410A4">
        <w:rPr>
          <w:rStyle w:val="FootnoteReference"/>
        </w:rPr>
        <w:footnoteReference w:id="2"/>
      </w:r>
    </w:p>
    <w:p w14:paraId="2D9DDD8F" w14:textId="77777777" w:rsidR="00347ED1" w:rsidRPr="00100F0A" w:rsidRDefault="00347ED1" w:rsidP="00347ED1">
      <w:pPr>
        <w:pStyle w:val="BodyText"/>
      </w:pPr>
    </w:p>
    <w:p w14:paraId="1C498301" w14:textId="479F66AC" w:rsidR="00347ED1" w:rsidRPr="00100F0A" w:rsidRDefault="00347ED1" w:rsidP="00347ED1">
      <w:pPr>
        <w:pStyle w:val="BodyText"/>
      </w:pPr>
      <w:r w:rsidRPr="00100F0A">
        <w:t xml:space="preserve">A baseline tonnage figure was established for each of </w:t>
      </w:r>
      <w:r w:rsidR="00C54E8E" w:rsidRPr="00100F0A">
        <w:t>33</w:t>
      </w:r>
      <w:r w:rsidRPr="00100F0A">
        <w:t xml:space="preserve"> waste groups in each jurisdiction, typically based on the most recent datum available. Three scenarios (best, high and low estimates) of future quantities of each waste group until 203</w:t>
      </w:r>
      <w:r w:rsidR="00C54E8E" w:rsidRPr="00100F0A">
        <w:t>7</w:t>
      </w:r>
      <w:r w:rsidRPr="00100F0A">
        <w:t xml:space="preserve"> were developed based on considerations that varied with the waste group. Providing three scenarios reflects the highly uncertain nature of projecting future quantities of hazardous wastes. In most cases, the projections were linked to apparent trends, projected economic and population growth, and the anticipated prospects of the industries generating the waste. </w:t>
      </w:r>
    </w:p>
    <w:p w14:paraId="4B337EDA" w14:textId="77777777" w:rsidR="00347ED1" w:rsidRPr="00100F0A" w:rsidRDefault="00347ED1" w:rsidP="00347ED1">
      <w:pPr>
        <w:pStyle w:val="BodyText"/>
      </w:pPr>
    </w:p>
    <w:p w14:paraId="50FDF39F" w14:textId="06E1F940" w:rsidR="00C54E8E" w:rsidRPr="00100F0A" w:rsidRDefault="00347ED1" w:rsidP="00C54E8E">
      <w:pPr>
        <w:pStyle w:val="BodyText"/>
      </w:pPr>
      <w:r w:rsidRPr="00100F0A">
        <w:t>The</w:t>
      </w:r>
      <w:r w:rsidR="0062649A">
        <w:t xml:space="preserve"> best estimates of</w:t>
      </w:r>
      <w:r w:rsidRPr="00100F0A">
        <w:t xml:space="preserve"> projected waste arisings for each waste group are shown in Figure S1.</w:t>
      </w:r>
      <w:r w:rsidR="00C54E8E" w:rsidRPr="00100F0A">
        <w:t xml:space="preserve"> The</w:t>
      </w:r>
      <w:r w:rsidR="0062649A">
        <w:t xml:space="preserve"> overall</w:t>
      </w:r>
      <w:r w:rsidR="00C54E8E" w:rsidRPr="00100F0A">
        <w:t xml:space="preserve"> quantity of hazardous waste</w:t>
      </w:r>
      <w:r w:rsidR="0062649A">
        <w:t xml:space="preserve"> is projected to</w:t>
      </w:r>
      <w:r w:rsidR="00C54E8E" w:rsidRPr="00100F0A">
        <w:t xml:space="preserve"> rise from 6.</w:t>
      </w:r>
      <w:r w:rsidR="00455419">
        <w:t>1</w:t>
      </w:r>
      <w:r w:rsidR="00C54E8E" w:rsidRPr="00100F0A">
        <w:t xml:space="preserve"> Mt in 2016-17 to </w:t>
      </w:r>
      <w:r w:rsidR="00455419">
        <w:t>8.9</w:t>
      </w:r>
      <w:r w:rsidR="00C54E8E" w:rsidRPr="00100F0A">
        <w:t xml:space="preserve"> Mt in 2036-37. This represents an average growth rate of </w:t>
      </w:r>
      <w:r w:rsidR="00455419">
        <w:t>1.9</w:t>
      </w:r>
      <w:r w:rsidR="00C54E8E" w:rsidRPr="00100F0A">
        <w:t xml:space="preserve">% per year, larger than the projected average growth rate for population (1.4%), which is illustrated on the chart, but less than the long-term projected economic growth rate (2.8%). </w:t>
      </w:r>
    </w:p>
    <w:p w14:paraId="397807A2" w14:textId="77777777" w:rsidR="00C54E8E" w:rsidRPr="00100F0A" w:rsidRDefault="00C54E8E" w:rsidP="00C54E8E">
      <w:pPr>
        <w:pStyle w:val="BodyText"/>
      </w:pPr>
    </w:p>
    <w:p w14:paraId="4CC9A8C5" w14:textId="77777777" w:rsidR="00C54E8E" w:rsidRPr="00100F0A" w:rsidRDefault="00C54E8E" w:rsidP="00C54E8E">
      <w:pPr>
        <w:pStyle w:val="BodyText"/>
      </w:pPr>
      <w:r w:rsidRPr="00100F0A">
        <w:t>The top six groups in terms of tonnes arising – in order, contaminated soils, asbestos, grease trap waste, PFAS contaminated soils, tyres and oils – represent about 70% of the total at both the start and end of the projection period. In some cases, the best estimate provides for some clearing of waste stockpiles and storages.</w:t>
      </w:r>
    </w:p>
    <w:p w14:paraId="6F5C5C04" w14:textId="77777777" w:rsidR="00C54E8E" w:rsidRPr="00100F0A" w:rsidRDefault="00C54E8E" w:rsidP="00C54E8E">
      <w:pPr>
        <w:pStyle w:val="BodyText"/>
      </w:pPr>
    </w:p>
    <w:p w14:paraId="4542E61C" w14:textId="787DAD21" w:rsidR="00C54E8E" w:rsidRPr="00100F0A" w:rsidRDefault="00C54E8E" w:rsidP="00C54E8E">
      <w:pPr>
        <w:pStyle w:val="BodyText"/>
      </w:pPr>
      <w:r w:rsidRPr="00100F0A">
        <w:t xml:space="preserve">A few waste groups are projected to become much more significant at the end of the period than at the start. Waste </w:t>
      </w:r>
      <w:r w:rsidR="0018460F">
        <w:t>lithium ion</w:t>
      </w:r>
      <w:r w:rsidRPr="00100F0A">
        <w:t xml:space="preserve"> batteries are projected to grow at an average rate of 19% per year. Three other waste groups (POP-BDEs and HBCD, PFOS contaminated biosolids and PFAS contaminated soils) are recorded at zero at the start of the period but reach tens or hundreds of thousands of tonnes at the end, following the </w:t>
      </w:r>
      <w:r w:rsidR="00DE7D0E" w:rsidRPr="00100F0A">
        <w:t xml:space="preserve">implementation of the </w:t>
      </w:r>
      <w:r w:rsidR="00DE7D0E" w:rsidRPr="00100F0A">
        <w:rPr>
          <w:i/>
        </w:rPr>
        <w:t xml:space="preserve">PFAS National Environmental Management Plan </w:t>
      </w:r>
      <w:r w:rsidR="00DE7D0E" w:rsidRPr="00100F0A">
        <w:t xml:space="preserve">and the </w:t>
      </w:r>
      <w:r w:rsidRPr="00100F0A">
        <w:t>assumed ratification of additions to the Stockholm Convention</w:t>
      </w:r>
      <w:r w:rsidR="00DE7D0E" w:rsidRPr="00100F0A">
        <w:t>.</w:t>
      </w:r>
      <w:r w:rsidRPr="00100F0A">
        <w:t xml:space="preserve"> All other waste streams a</w:t>
      </w:r>
      <w:r w:rsidR="00307D3B">
        <w:t>re</w:t>
      </w:r>
      <w:r w:rsidRPr="00100F0A">
        <w:t xml:space="preserve"> projected to grow at less than 3% per year on average. Five are projected to decline, three reducing by 1-2% per year on average (other inorganic chemicals, reactive chemicals, PCBs) and two disappearing entirely (HCB and AFFF concentrates).</w:t>
      </w:r>
    </w:p>
    <w:p w14:paraId="35CCB8CC" w14:textId="77777777" w:rsidR="002F545F" w:rsidRPr="00100F0A" w:rsidRDefault="002F545F" w:rsidP="00C54E8E">
      <w:pPr>
        <w:pStyle w:val="BodyText"/>
      </w:pPr>
    </w:p>
    <w:p w14:paraId="2B68D9DE" w14:textId="6C364918" w:rsidR="00347ED1" w:rsidRPr="00100F0A" w:rsidRDefault="00347ED1" w:rsidP="00347ED1">
      <w:pPr>
        <w:pStyle w:val="BodyText"/>
      </w:pPr>
      <w:r w:rsidRPr="00100F0A">
        <w:t xml:space="preserve">Section </w:t>
      </w:r>
      <w:r w:rsidR="002F545F" w:rsidRPr="00100F0A">
        <w:fldChar w:fldCharType="begin"/>
      </w:r>
      <w:r w:rsidR="002F545F" w:rsidRPr="00100F0A">
        <w:instrText xml:space="preserve"> REF _Ref531132511 \r \h </w:instrText>
      </w:r>
      <w:r w:rsidR="002F545F" w:rsidRPr="00100F0A">
        <w:fldChar w:fldCharType="separate"/>
      </w:r>
      <w:r w:rsidR="00EB634D">
        <w:t>2.7</w:t>
      </w:r>
      <w:r w:rsidR="002F545F" w:rsidRPr="00100F0A">
        <w:fldChar w:fldCharType="end"/>
      </w:r>
      <w:r w:rsidRPr="00100F0A">
        <w:t xml:space="preserve"> provides an account for each waste group of industry sources, considerations and factors applied in developing the projections, the arithmetical methods used, and a figure showing the projected quantities in the best, high and low estimate scenarios.</w:t>
      </w:r>
    </w:p>
    <w:p w14:paraId="128E80F9" w14:textId="5A0A56C3" w:rsidR="002F545F" w:rsidRPr="00100F0A" w:rsidRDefault="002F545F" w:rsidP="002F545F">
      <w:pPr>
        <w:pStyle w:val="Heading3-nonumber"/>
      </w:pPr>
      <w:r w:rsidRPr="00100F0A">
        <w:t xml:space="preserve">The </w:t>
      </w:r>
      <w:r w:rsidR="00D20469" w:rsidRPr="00100F0A">
        <w:t xml:space="preserve">management </w:t>
      </w:r>
      <w:r w:rsidRPr="00100F0A">
        <w:t>of hazardous waste</w:t>
      </w:r>
    </w:p>
    <w:p w14:paraId="7FF690BE" w14:textId="653AFBDC" w:rsidR="002F545F" w:rsidRPr="00100F0A" w:rsidRDefault="002F545F" w:rsidP="002F545F">
      <w:pPr>
        <w:pStyle w:val="BodyText"/>
      </w:pPr>
      <w:r w:rsidRPr="00100F0A">
        <w:t xml:space="preserve">Data on the </w:t>
      </w:r>
      <w:r w:rsidR="00D20469" w:rsidRPr="00100F0A">
        <w:t xml:space="preserve">management </w:t>
      </w:r>
      <w:r w:rsidRPr="00100F0A">
        <w:t>of hazardous waste in 201</w:t>
      </w:r>
      <w:r w:rsidR="00D20469" w:rsidRPr="00100F0A">
        <w:t>6</w:t>
      </w:r>
      <w:r w:rsidRPr="00100F0A">
        <w:t>-1</w:t>
      </w:r>
      <w:r w:rsidR="00D20469" w:rsidRPr="00100F0A">
        <w:t>7</w:t>
      </w:r>
      <w:r w:rsidRPr="00100F0A">
        <w:t xml:space="preserve"> was compiled from NSW, Qld</w:t>
      </w:r>
      <w:r w:rsidR="00D20469" w:rsidRPr="00100F0A">
        <w:t>, SA, WA</w:t>
      </w:r>
      <w:r w:rsidRPr="00100F0A">
        <w:t xml:space="preserve"> and Vic tracking system data. This provided a basis for estimating the </w:t>
      </w:r>
      <w:r w:rsidR="00D20469" w:rsidRPr="00100F0A">
        <w:t xml:space="preserve">management methods </w:t>
      </w:r>
      <w:r w:rsidRPr="00100F0A">
        <w:t xml:space="preserve">for </w:t>
      </w:r>
      <w:r w:rsidR="00DF6A26">
        <w:t>Northern Territory (</w:t>
      </w:r>
      <w:r w:rsidRPr="00100F0A">
        <w:t>NT</w:t>
      </w:r>
      <w:r w:rsidR="00DF6A26">
        <w:t>)</w:t>
      </w:r>
      <w:r w:rsidRPr="00100F0A">
        <w:t>,</w:t>
      </w:r>
      <w:r w:rsidR="00DF6A26">
        <w:t xml:space="preserve"> Australian Capital Territory</w:t>
      </w:r>
      <w:r w:rsidRPr="00100F0A">
        <w:t xml:space="preserve"> </w:t>
      </w:r>
      <w:r w:rsidR="00DF6A26">
        <w:t>(</w:t>
      </w:r>
      <w:r w:rsidRPr="00100F0A">
        <w:t>ACT</w:t>
      </w:r>
      <w:r w:rsidR="00DF6A26">
        <w:t>)</w:t>
      </w:r>
      <w:r w:rsidRPr="00100F0A">
        <w:t xml:space="preserve"> and </w:t>
      </w:r>
      <w:r w:rsidR="00DF6A26">
        <w:t>Tasmania (</w:t>
      </w:r>
      <w:r w:rsidRPr="00100F0A">
        <w:t>Tas</w:t>
      </w:r>
      <w:r w:rsidR="00DF6A26">
        <w:t>)</w:t>
      </w:r>
      <w:r w:rsidRPr="00100F0A">
        <w:t>, f</w:t>
      </w:r>
      <w:r w:rsidR="00307D3B">
        <w:t>or</w:t>
      </w:r>
      <w:r w:rsidRPr="00100F0A">
        <w:t xml:space="preserve"> which </w:t>
      </w:r>
      <w:r w:rsidR="00D20469" w:rsidRPr="00100F0A">
        <w:t>management</w:t>
      </w:r>
      <w:r w:rsidRPr="00100F0A">
        <w:t xml:space="preserve"> data was not available. The overall tonnage data by </w:t>
      </w:r>
      <w:r w:rsidR="00D20469" w:rsidRPr="00100F0A">
        <w:t xml:space="preserve">management method </w:t>
      </w:r>
      <w:r w:rsidRPr="00100F0A">
        <w:t xml:space="preserve">is presented in Figure S2. See Section </w:t>
      </w:r>
      <w:r w:rsidRPr="00100F0A">
        <w:fldChar w:fldCharType="begin"/>
      </w:r>
      <w:r w:rsidRPr="00100F0A">
        <w:instrText xml:space="preserve"> REF _Ref420950573 \r \h </w:instrText>
      </w:r>
      <w:r w:rsidRPr="00100F0A">
        <w:fldChar w:fldCharType="separate"/>
      </w:r>
      <w:r w:rsidR="00EB634D">
        <w:t>2.8</w:t>
      </w:r>
      <w:r w:rsidRPr="00100F0A">
        <w:fldChar w:fldCharType="end"/>
      </w:r>
      <w:r w:rsidRPr="00100F0A">
        <w:t xml:space="preserve"> for detailed analysis of available </w:t>
      </w:r>
      <w:r w:rsidR="00D20469" w:rsidRPr="00100F0A">
        <w:t>management</w:t>
      </w:r>
      <w:r w:rsidRPr="00100F0A">
        <w:t xml:space="preserve"> data.</w:t>
      </w:r>
    </w:p>
    <w:p w14:paraId="623D006F" w14:textId="77777777" w:rsidR="002F545F" w:rsidRPr="00100F0A" w:rsidRDefault="002F545F" w:rsidP="00347ED1">
      <w:pPr>
        <w:sectPr w:rsidR="002F545F" w:rsidRPr="00100F0A" w:rsidSect="00347ED1">
          <w:pgSz w:w="11907" w:h="16840" w:code="9"/>
          <w:pgMar w:top="1531" w:right="1077" w:bottom="1134" w:left="1304" w:header="709" w:footer="709" w:gutter="0"/>
          <w:pgNumType w:fmt="lowerRoman"/>
          <w:cols w:space="708"/>
          <w:docGrid w:linePitch="360"/>
        </w:sectPr>
      </w:pPr>
    </w:p>
    <w:p w14:paraId="13AE3730" w14:textId="72BC34C7" w:rsidR="002F545F" w:rsidRPr="00100F0A" w:rsidRDefault="002F545F" w:rsidP="002F545F">
      <w:pPr>
        <w:pStyle w:val="Caption"/>
      </w:pPr>
      <w:r w:rsidRPr="00100F0A">
        <w:t xml:space="preserve">Figure S1: </w:t>
      </w:r>
      <w:r w:rsidRPr="00100F0A">
        <w:tab/>
        <w:t>Best estimate of national projections for all hazardous waste to 2037</w:t>
      </w:r>
    </w:p>
    <w:p w14:paraId="1D87EAC8" w14:textId="77777777" w:rsidR="002F545F" w:rsidRPr="00100F0A" w:rsidRDefault="002F545F" w:rsidP="002F545F">
      <w:pPr>
        <w:pStyle w:val="BodyText"/>
        <w:keepNext/>
      </w:pPr>
    </w:p>
    <w:p w14:paraId="0246B2EE" w14:textId="2623BC35" w:rsidR="002F545F" w:rsidRPr="00100F0A" w:rsidRDefault="003C162F" w:rsidP="002F545F">
      <w:pPr>
        <w:pStyle w:val="BodyText"/>
        <w:keepNext/>
      </w:pPr>
      <w:r w:rsidRPr="003C162F">
        <w:rPr>
          <w:noProof/>
          <w:lang w:eastAsia="en-AU"/>
        </w:rPr>
        <w:drawing>
          <wp:inline distT="0" distB="0" distL="0" distR="0" wp14:anchorId="3EE1771D" wp14:editId="0EC0DD4F">
            <wp:extent cx="9001125" cy="5183505"/>
            <wp:effectExtent l="0" t="0" r="9525"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001125" cy="5183505"/>
                    </a:xfrm>
                    <a:prstGeom prst="rect">
                      <a:avLst/>
                    </a:prstGeom>
                  </pic:spPr>
                </pic:pic>
              </a:graphicData>
            </a:graphic>
          </wp:inline>
        </w:drawing>
      </w:r>
    </w:p>
    <w:p w14:paraId="6D4B17BE" w14:textId="77777777" w:rsidR="002F545F" w:rsidRPr="00100F0A" w:rsidRDefault="002F545F" w:rsidP="002F545F">
      <w:pPr>
        <w:pStyle w:val="BodyText"/>
      </w:pPr>
    </w:p>
    <w:p w14:paraId="04EB9E82" w14:textId="6F67459E" w:rsidR="00D20469" w:rsidRPr="00100F0A" w:rsidRDefault="00347ED1" w:rsidP="00D20469">
      <w:pPr>
        <w:pStyle w:val="Caption"/>
      </w:pPr>
      <w:r w:rsidRPr="00100F0A">
        <w:t>Figure S2</w:t>
      </w:r>
      <w:r w:rsidR="00564608">
        <w:t>:</w:t>
      </w:r>
      <w:r w:rsidRPr="00100F0A">
        <w:t xml:space="preserve"> </w:t>
      </w:r>
      <w:r w:rsidRPr="00100F0A">
        <w:tab/>
      </w:r>
      <w:r w:rsidR="00D20469" w:rsidRPr="00100F0A">
        <w:t>The management method of reported tracked hazardous waste in NSW, Qld, SA, Vic and WA, 2016-17 (tonnes)</w:t>
      </w:r>
    </w:p>
    <w:p w14:paraId="4E1A8470" w14:textId="1C242BFB" w:rsidR="00347ED1" w:rsidRPr="00100F0A" w:rsidRDefault="00D20469" w:rsidP="00D20469">
      <w:pPr>
        <w:pStyle w:val="BodyText"/>
        <w:rPr>
          <w:color w:val="4D4DB8"/>
        </w:rPr>
      </w:pPr>
      <w:r w:rsidRPr="00100F0A">
        <w:rPr>
          <w:noProof/>
          <w:lang w:eastAsia="en-AU"/>
        </w:rPr>
        <w:drawing>
          <wp:inline distT="0" distB="0" distL="0" distR="0" wp14:anchorId="0132CA9A" wp14:editId="2CBEFE10">
            <wp:extent cx="9227127" cy="5481416"/>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229315" cy="5482716"/>
                    </a:xfrm>
                    <a:prstGeom prst="rect">
                      <a:avLst/>
                    </a:prstGeom>
                  </pic:spPr>
                </pic:pic>
              </a:graphicData>
            </a:graphic>
          </wp:inline>
        </w:drawing>
      </w:r>
    </w:p>
    <w:p w14:paraId="57A09EF3" w14:textId="47FEABB1" w:rsidR="002F545F" w:rsidRPr="00100F0A" w:rsidRDefault="002F545F" w:rsidP="00347ED1">
      <w:pPr>
        <w:rPr>
          <w:color w:val="080808"/>
        </w:rPr>
      </w:pPr>
    </w:p>
    <w:p w14:paraId="170A9272" w14:textId="77777777" w:rsidR="002F545F" w:rsidRPr="00100F0A" w:rsidRDefault="002F545F" w:rsidP="00347ED1">
      <w:pPr>
        <w:rPr>
          <w:color w:val="080808"/>
        </w:rPr>
        <w:sectPr w:rsidR="002F545F" w:rsidRPr="00100F0A" w:rsidSect="002F545F">
          <w:headerReference w:type="default" r:id="rId23"/>
          <w:footerReference w:type="default" r:id="rId24"/>
          <w:pgSz w:w="16840" w:h="11907" w:orient="landscape" w:code="9"/>
          <w:pgMar w:top="1304" w:right="1531" w:bottom="1077" w:left="1134" w:header="709" w:footer="451" w:gutter="0"/>
          <w:pgNumType w:fmt="lowerRoman"/>
          <w:cols w:space="708"/>
          <w:docGrid w:linePitch="360"/>
        </w:sectPr>
      </w:pPr>
    </w:p>
    <w:p w14:paraId="6A579939" w14:textId="77777777" w:rsidR="00347ED1" w:rsidRPr="00100F0A" w:rsidRDefault="00347ED1" w:rsidP="002F545F">
      <w:pPr>
        <w:pStyle w:val="Heading3-nonumber"/>
      </w:pPr>
      <w:r w:rsidRPr="00100F0A">
        <w:t>Hazardous waste infrastructure assessment</w:t>
      </w:r>
    </w:p>
    <w:p w14:paraId="3C9F1885" w14:textId="73BA6786" w:rsidR="00F62FA9" w:rsidRPr="00100F0A" w:rsidRDefault="0062649A" w:rsidP="00F62FA9">
      <w:r>
        <w:rPr>
          <w:color w:val="080808"/>
        </w:rPr>
        <w:t>This project</w:t>
      </w:r>
      <w:r w:rsidR="00F62FA9" w:rsidRPr="00100F0A">
        <w:rPr>
          <w:color w:val="080808"/>
        </w:rPr>
        <w:t xml:space="preserve"> involved extensive consultation with industry to update and validate the information from the</w:t>
      </w:r>
      <w:r>
        <w:rPr>
          <w:color w:val="080808"/>
        </w:rPr>
        <w:t xml:space="preserve"> original</w:t>
      </w:r>
      <w:r w:rsidR="00F62FA9" w:rsidRPr="00100F0A">
        <w:rPr>
          <w:color w:val="080808"/>
        </w:rPr>
        <w:t xml:space="preserve"> 2015 assessment and, importantly, to collate capability and capacity data for </w:t>
      </w:r>
      <w:r w:rsidR="00AC42B4">
        <w:rPr>
          <w:color w:val="080808"/>
        </w:rPr>
        <w:t>some</w:t>
      </w:r>
      <w:r w:rsidR="00AC42B4" w:rsidRPr="00100F0A">
        <w:rPr>
          <w:color w:val="080808"/>
        </w:rPr>
        <w:t xml:space="preserve"> </w:t>
      </w:r>
      <w:r w:rsidR="00F62FA9" w:rsidRPr="00100F0A">
        <w:rPr>
          <w:color w:val="080808"/>
        </w:rPr>
        <w:t>additional infrastructure groups</w:t>
      </w:r>
      <w:r w:rsidR="00F62FA9" w:rsidRPr="00100F0A">
        <w:t>.</w:t>
      </w:r>
    </w:p>
    <w:p w14:paraId="3E7C6A94" w14:textId="77777777" w:rsidR="00F62FA9" w:rsidRPr="00100F0A" w:rsidRDefault="00F62FA9" w:rsidP="00F62FA9">
      <w:pPr>
        <w:rPr>
          <w:color w:val="080808"/>
        </w:rPr>
      </w:pPr>
    </w:p>
    <w:p w14:paraId="12777641" w14:textId="158D7A40" w:rsidR="00F62FA9" w:rsidRPr="00100F0A" w:rsidRDefault="00F62FA9" w:rsidP="00F62FA9">
      <w:pPr>
        <w:rPr>
          <w:color w:val="080808"/>
        </w:rPr>
      </w:pPr>
      <w:r w:rsidRPr="00100F0A">
        <w:rPr>
          <w:color w:val="080808"/>
        </w:rPr>
        <w:t xml:space="preserve">To enable the assessment of projected infrastructure need vs capacity, it was necessary to group the infrastructure included in the </w:t>
      </w:r>
      <w:r w:rsidRPr="00100F0A">
        <w:rPr>
          <w:i/>
        </w:rPr>
        <w:t>Hazwaste infrastructure database 2018</w:t>
      </w:r>
      <w:r w:rsidRPr="00100F0A">
        <w:rPr>
          <w:color w:val="080808"/>
        </w:rPr>
        <w:t>. The infrastructure was grouped based on the waste received and the waste management method of the infrastructure</w:t>
      </w:r>
      <w:r w:rsidR="00307D3B">
        <w:rPr>
          <w:color w:val="080808"/>
        </w:rPr>
        <w:t xml:space="preserve">, e.g. </w:t>
      </w:r>
      <w:r w:rsidRPr="00100F0A">
        <w:rPr>
          <w:color w:val="080808"/>
        </w:rPr>
        <w:t xml:space="preserve"> e-waste recycling, </w:t>
      </w:r>
      <w:r w:rsidR="00374225">
        <w:rPr>
          <w:color w:val="080808"/>
        </w:rPr>
        <w:t>POP</w:t>
      </w:r>
      <w:r w:rsidRPr="00100F0A">
        <w:rPr>
          <w:color w:val="080808"/>
        </w:rPr>
        <w:t xml:space="preserve"> thermal destruction, clinical waste treatment and clinical waste thermal destruction.</w:t>
      </w:r>
    </w:p>
    <w:p w14:paraId="0C005BE8" w14:textId="77777777" w:rsidR="00F62FA9" w:rsidRPr="00100F0A" w:rsidRDefault="00F62FA9" w:rsidP="00F62FA9">
      <w:pPr>
        <w:rPr>
          <w:color w:val="080808"/>
        </w:rPr>
      </w:pPr>
    </w:p>
    <w:p w14:paraId="602C3CBF" w14:textId="43F7FA52" w:rsidR="00F62FA9" w:rsidRPr="00100F0A" w:rsidRDefault="00F62FA9" w:rsidP="00F62FA9">
      <w:r w:rsidRPr="00100F0A">
        <w:rPr>
          <w:color w:val="080808"/>
        </w:rPr>
        <w:t xml:space="preserve">The infrastructure groups were then used to compare waste group arisings and management to infrastructure capacity. The infrastructure groups are </w:t>
      </w:r>
      <w:r w:rsidRPr="00100F0A">
        <w:t>listed in S2 below, which is ordered following the waste hierarchy</w:t>
      </w:r>
      <w:r w:rsidRPr="00100F0A">
        <w:rPr>
          <w:vertAlign w:val="superscript"/>
        </w:rPr>
        <w:footnoteReference w:id="3"/>
      </w:r>
      <w:r w:rsidRPr="00100F0A">
        <w:t xml:space="preserve">. New infrastructure groups for the 2018 assessment are </w:t>
      </w:r>
      <w:r w:rsidR="00323506">
        <w:t xml:space="preserve">marked with an </w:t>
      </w:r>
      <w:r w:rsidR="00323506" w:rsidRPr="00323506">
        <w:t>asterisk</w:t>
      </w:r>
      <w:r w:rsidRPr="00100F0A">
        <w:t xml:space="preserve">. The scope and coverage limitations for each infrastructure are also </w:t>
      </w:r>
      <w:r w:rsidRPr="00100F0A">
        <w:rPr>
          <w:color w:val="080808"/>
        </w:rPr>
        <w:t xml:space="preserve">flagged </w:t>
      </w:r>
      <w:r w:rsidRPr="00100F0A">
        <w:t>b</w:t>
      </w:r>
      <w:r w:rsidRPr="00100F0A">
        <w:rPr>
          <w:color w:val="080808"/>
        </w:rPr>
        <w:t xml:space="preserve">elow. </w:t>
      </w:r>
    </w:p>
    <w:p w14:paraId="1036FD94" w14:textId="77777777" w:rsidR="00F62FA9" w:rsidRPr="00100F0A" w:rsidRDefault="00F62FA9" w:rsidP="00F62FA9">
      <w:pPr>
        <w:rPr>
          <w:color w:val="080808"/>
          <w:sz w:val="2"/>
          <w:szCs w:val="2"/>
        </w:rPr>
      </w:pPr>
    </w:p>
    <w:p w14:paraId="28AAC24D" w14:textId="344DD1CF" w:rsidR="00F62FA9" w:rsidRPr="00100F0A" w:rsidRDefault="00F62FA9" w:rsidP="00F62FA9">
      <w:pPr>
        <w:pStyle w:val="Caption"/>
      </w:pPr>
      <w:r w:rsidRPr="00100F0A">
        <w:t>Table S2:</w:t>
      </w:r>
      <w:r w:rsidRPr="00100F0A">
        <w:tab/>
        <w:t>Infrastructure groups description and coverage</w:t>
      </w:r>
    </w:p>
    <w:tbl>
      <w:tblPr>
        <w:tblStyle w:val="BETable11"/>
        <w:tblW w:w="5000" w:type="pct"/>
        <w:tblInd w:w="0" w:type="dxa"/>
        <w:tblBorders>
          <w:top w:val="single" w:sz="4" w:space="0" w:color="AAABD6"/>
          <w:left w:val="single" w:sz="4" w:space="0" w:color="AAABD6"/>
          <w:bottom w:val="single" w:sz="4" w:space="0" w:color="AAABD6"/>
          <w:right w:val="single" w:sz="4" w:space="0" w:color="AAABD6"/>
          <w:insideH w:val="single" w:sz="4" w:space="0" w:color="AAABD6"/>
          <w:insideV w:val="single" w:sz="4" w:space="0" w:color="AAABD6"/>
        </w:tblBorders>
        <w:tblLook w:val="04A0" w:firstRow="1" w:lastRow="0" w:firstColumn="1" w:lastColumn="0" w:noHBand="0" w:noVBand="1"/>
      </w:tblPr>
      <w:tblGrid>
        <w:gridCol w:w="1548"/>
        <w:gridCol w:w="2671"/>
        <w:gridCol w:w="4803"/>
      </w:tblGrid>
      <w:tr w:rsidR="005D004B" w:rsidRPr="00100F0A" w14:paraId="38B5C996" w14:textId="77777777" w:rsidTr="006B2A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8" w:type="pct"/>
            <w:tcBorders>
              <w:top w:val="nil"/>
              <w:left w:val="single" w:sz="4" w:space="0" w:color="AAABD6"/>
              <w:bottom w:val="single" w:sz="4" w:space="0" w:color="AAABD6"/>
            </w:tcBorders>
            <w:shd w:val="clear" w:color="auto" w:fill="AAABD6"/>
          </w:tcPr>
          <w:p w14:paraId="0E3A65B1" w14:textId="77777777" w:rsidR="005D004B" w:rsidRPr="00100F0A" w:rsidRDefault="005D004B" w:rsidP="006B2A8A">
            <w:pPr>
              <w:pStyle w:val="BodyText"/>
              <w:rPr>
                <w:color w:val="FFFFFF" w:themeColor="background1"/>
              </w:rPr>
            </w:pPr>
            <w:r w:rsidRPr="00100F0A">
              <w:rPr>
                <w:color w:val="FFFFFF" w:themeColor="background1"/>
              </w:rPr>
              <w:t>Hazardous waste management method</w:t>
            </w:r>
          </w:p>
        </w:tc>
        <w:tc>
          <w:tcPr>
            <w:tcW w:w="1480" w:type="pct"/>
            <w:tcBorders>
              <w:top w:val="nil"/>
              <w:bottom w:val="single" w:sz="4" w:space="0" w:color="AAABD6"/>
            </w:tcBorders>
            <w:shd w:val="clear" w:color="auto" w:fill="AAABD6"/>
          </w:tcPr>
          <w:p w14:paraId="715BF377" w14:textId="77777777" w:rsidR="005D004B" w:rsidRPr="00100F0A" w:rsidRDefault="005D004B" w:rsidP="006B2A8A">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Hazardous waste infrastructure group</w:t>
            </w:r>
          </w:p>
        </w:tc>
        <w:tc>
          <w:tcPr>
            <w:tcW w:w="2662" w:type="pct"/>
            <w:tcBorders>
              <w:top w:val="nil"/>
              <w:bottom w:val="single" w:sz="4" w:space="0" w:color="AAABD6"/>
              <w:right w:val="single" w:sz="4" w:space="0" w:color="AAABD6"/>
            </w:tcBorders>
            <w:shd w:val="clear" w:color="auto" w:fill="AAABD6"/>
          </w:tcPr>
          <w:p w14:paraId="6F9816F6" w14:textId="03083BE0" w:rsidR="005D004B" w:rsidRPr="00100F0A" w:rsidRDefault="005D004B" w:rsidP="006B2A8A">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Description</w:t>
            </w:r>
            <w:r w:rsidR="001630AF">
              <w:rPr>
                <w:color w:val="FFFFFF" w:themeColor="background1"/>
              </w:rPr>
              <w:t xml:space="preserve"> and coverage</w:t>
            </w:r>
          </w:p>
        </w:tc>
      </w:tr>
      <w:tr w:rsidR="005D004B" w:rsidRPr="00100F0A" w14:paraId="37E399CB" w14:textId="77777777" w:rsidTr="00FD3200">
        <w:trPr>
          <w:trHeight w:val="923"/>
        </w:trPr>
        <w:tc>
          <w:tcPr>
            <w:cnfStyle w:val="001000000000" w:firstRow="0" w:lastRow="0" w:firstColumn="1" w:lastColumn="0" w:oddVBand="0" w:evenVBand="0" w:oddHBand="0" w:evenHBand="0" w:firstRowFirstColumn="0" w:firstRowLastColumn="0" w:lastRowFirstColumn="0" w:lastRowLastColumn="0"/>
            <w:tcW w:w="858" w:type="pct"/>
            <w:vMerge w:val="restart"/>
            <w:tcBorders>
              <w:top w:val="single" w:sz="4" w:space="0" w:color="AAABD6"/>
            </w:tcBorders>
            <w:vAlign w:val="center"/>
          </w:tcPr>
          <w:p w14:paraId="310360D3" w14:textId="77777777" w:rsidR="005D004B" w:rsidRPr="00100F0A" w:rsidRDefault="005D004B" w:rsidP="006B2A8A">
            <w:pPr>
              <w:pStyle w:val="BodyText"/>
            </w:pPr>
            <w:r w:rsidRPr="00100F0A">
              <w:rPr>
                <w:b/>
                <w:bCs/>
              </w:rPr>
              <w:t xml:space="preserve">Recycling </w:t>
            </w:r>
          </w:p>
          <w:p w14:paraId="69A6569E" w14:textId="77777777" w:rsidR="005D004B" w:rsidRPr="00100F0A" w:rsidRDefault="005D004B" w:rsidP="006B2A8A">
            <w:pPr>
              <w:pStyle w:val="BodyText"/>
            </w:pPr>
            <w:r w:rsidRPr="00100F0A">
              <w:rPr>
                <w:b/>
                <w:bCs/>
              </w:rPr>
              <w:t> </w:t>
            </w:r>
          </w:p>
          <w:p w14:paraId="2D55CEAE" w14:textId="77777777" w:rsidR="005D004B" w:rsidRPr="00100F0A" w:rsidRDefault="005D004B" w:rsidP="006B2A8A">
            <w:pPr>
              <w:pStyle w:val="BodyText"/>
            </w:pPr>
            <w:r w:rsidRPr="00100F0A">
              <w:rPr>
                <w:b/>
                <w:bCs/>
              </w:rPr>
              <w:t> </w:t>
            </w:r>
          </w:p>
          <w:p w14:paraId="4FE6B689" w14:textId="77777777" w:rsidR="005D004B" w:rsidRPr="00100F0A" w:rsidRDefault="005D004B" w:rsidP="006B2A8A">
            <w:pPr>
              <w:pStyle w:val="BodyText"/>
            </w:pPr>
            <w:r w:rsidRPr="00100F0A">
              <w:rPr>
                <w:b/>
                <w:bCs/>
              </w:rPr>
              <w:t> </w:t>
            </w:r>
          </w:p>
          <w:p w14:paraId="60F590FD" w14:textId="77777777" w:rsidR="005D004B" w:rsidRPr="00100F0A" w:rsidRDefault="005D004B" w:rsidP="006B2A8A">
            <w:pPr>
              <w:pStyle w:val="BodyText"/>
            </w:pPr>
            <w:r w:rsidRPr="00100F0A">
              <w:rPr>
                <w:b/>
                <w:bCs/>
              </w:rPr>
              <w:t> </w:t>
            </w:r>
          </w:p>
          <w:p w14:paraId="47C83757" w14:textId="77777777" w:rsidR="005D004B" w:rsidRPr="00100F0A" w:rsidRDefault="005D004B" w:rsidP="006B2A8A">
            <w:pPr>
              <w:pStyle w:val="BodyText"/>
            </w:pPr>
            <w:r w:rsidRPr="00100F0A">
              <w:rPr>
                <w:b/>
                <w:bCs/>
              </w:rPr>
              <w:t> </w:t>
            </w:r>
          </w:p>
          <w:p w14:paraId="66FFE0FD" w14:textId="77777777" w:rsidR="005D004B" w:rsidRPr="00100F0A" w:rsidRDefault="005D004B" w:rsidP="006B2A8A">
            <w:pPr>
              <w:pStyle w:val="BodyText"/>
            </w:pPr>
            <w:r w:rsidRPr="00100F0A">
              <w:rPr>
                <w:b/>
                <w:bCs/>
              </w:rPr>
              <w:t> </w:t>
            </w:r>
          </w:p>
          <w:p w14:paraId="016748B1" w14:textId="77777777" w:rsidR="005D004B" w:rsidRPr="00100F0A" w:rsidRDefault="005D004B" w:rsidP="006B2A8A">
            <w:pPr>
              <w:pStyle w:val="BodyText"/>
            </w:pPr>
            <w:r w:rsidRPr="00100F0A">
              <w:rPr>
                <w:b/>
                <w:bCs/>
              </w:rPr>
              <w:t> </w:t>
            </w:r>
          </w:p>
          <w:p w14:paraId="725C6EA9" w14:textId="77777777" w:rsidR="005D004B" w:rsidRPr="00100F0A" w:rsidRDefault="005D004B" w:rsidP="006B2A8A">
            <w:pPr>
              <w:pStyle w:val="BodyText"/>
            </w:pPr>
            <w:r w:rsidRPr="00100F0A">
              <w:rPr>
                <w:b/>
                <w:bCs/>
              </w:rPr>
              <w:t> </w:t>
            </w:r>
          </w:p>
          <w:p w14:paraId="5F0E4AB8" w14:textId="77777777" w:rsidR="005D004B" w:rsidRPr="00100F0A" w:rsidRDefault="005D004B" w:rsidP="006B2A8A">
            <w:pPr>
              <w:pStyle w:val="BodyText"/>
            </w:pPr>
            <w:r w:rsidRPr="00100F0A">
              <w:rPr>
                <w:b/>
                <w:bCs/>
              </w:rPr>
              <w:t> </w:t>
            </w:r>
          </w:p>
        </w:tc>
        <w:tc>
          <w:tcPr>
            <w:tcW w:w="1480" w:type="pct"/>
            <w:tcBorders>
              <w:top w:val="single" w:sz="4" w:space="0" w:color="AAABD6"/>
              <w:bottom w:val="single" w:sz="4" w:space="0" w:color="AAABD6"/>
            </w:tcBorders>
          </w:tcPr>
          <w:p w14:paraId="42556DDA" w14:textId="77777777" w:rsidR="005D004B" w:rsidRPr="00100F0A" w:rsidRDefault="005D004B" w:rsidP="00371019">
            <w:pPr>
              <w:pStyle w:val="BodyText"/>
              <w:cnfStyle w:val="000000000000" w:firstRow="0" w:lastRow="0" w:firstColumn="0" w:lastColumn="0" w:oddVBand="0" w:evenVBand="0" w:oddHBand="0" w:evenHBand="0" w:firstRowFirstColumn="0" w:firstRowLastColumn="0" w:lastRowFirstColumn="0" w:lastRowLastColumn="0"/>
            </w:pPr>
            <w:r w:rsidRPr="00100F0A">
              <w:t>Hazardous waste packaging facility</w:t>
            </w:r>
          </w:p>
        </w:tc>
        <w:tc>
          <w:tcPr>
            <w:tcW w:w="2662" w:type="pct"/>
            <w:tcBorders>
              <w:top w:val="single" w:sz="4" w:space="0" w:color="AAABD6"/>
              <w:bottom w:val="single" w:sz="4" w:space="0" w:color="AAABD6"/>
            </w:tcBorders>
            <w:vAlign w:val="center"/>
          </w:tcPr>
          <w:p w14:paraId="62642B72" w14:textId="6B6CE36C" w:rsidR="005D004B" w:rsidRPr="00100F0A" w:rsidRDefault="005D004B" w:rsidP="006B2A8A">
            <w:pPr>
              <w:pStyle w:val="BodyText"/>
              <w:cnfStyle w:val="000000000000" w:firstRow="0" w:lastRow="0" w:firstColumn="0" w:lastColumn="0" w:oddVBand="0" w:evenVBand="0" w:oddHBand="0" w:evenHBand="0" w:firstRowFirstColumn="0" w:firstRowLastColumn="0" w:lastRowFirstColumn="0" w:lastRowLastColumn="0"/>
            </w:pPr>
            <w:r w:rsidRPr="00100F0A">
              <w:t>Facilities that recycle industrial packing that contains residual hazardous waste. Containers are typically refurbished and reused or materials are recycled.</w:t>
            </w:r>
          </w:p>
        </w:tc>
      </w:tr>
      <w:tr w:rsidR="005D004B" w:rsidRPr="00100F0A" w14:paraId="4CB927BD" w14:textId="77777777" w:rsidTr="00FD3200">
        <w:trPr>
          <w:trHeight w:val="584"/>
        </w:trPr>
        <w:tc>
          <w:tcPr>
            <w:cnfStyle w:val="001000000000" w:firstRow="0" w:lastRow="0" w:firstColumn="1" w:lastColumn="0" w:oddVBand="0" w:evenVBand="0" w:oddHBand="0" w:evenHBand="0" w:firstRowFirstColumn="0" w:firstRowLastColumn="0" w:lastRowFirstColumn="0" w:lastRowLastColumn="0"/>
            <w:tcW w:w="858" w:type="pct"/>
            <w:vMerge/>
            <w:vAlign w:val="center"/>
          </w:tcPr>
          <w:p w14:paraId="318FD15F" w14:textId="77777777" w:rsidR="005D004B" w:rsidRPr="00100F0A" w:rsidRDefault="005D004B" w:rsidP="006B2A8A">
            <w:pPr>
              <w:pStyle w:val="BodyText"/>
            </w:pPr>
          </w:p>
        </w:tc>
        <w:tc>
          <w:tcPr>
            <w:tcW w:w="1480" w:type="pct"/>
            <w:tcBorders>
              <w:top w:val="single" w:sz="4" w:space="0" w:color="AAABD6"/>
              <w:bottom w:val="single" w:sz="4" w:space="0" w:color="AAABD6"/>
            </w:tcBorders>
          </w:tcPr>
          <w:p w14:paraId="755FEE11" w14:textId="77777777" w:rsidR="005D004B" w:rsidRPr="00100F0A" w:rsidRDefault="005D004B" w:rsidP="00371019">
            <w:pPr>
              <w:pStyle w:val="BodyText"/>
              <w:cnfStyle w:val="000000000000" w:firstRow="0" w:lastRow="0" w:firstColumn="0" w:lastColumn="0" w:oddVBand="0" w:evenVBand="0" w:oddHBand="0" w:evenHBand="0" w:firstRowFirstColumn="0" w:firstRowLastColumn="0" w:lastRowFirstColumn="0" w:lastRowLastColumn="0"/>
            </w:pPr>
            <w:r w:rsidRPr="00100F0A">
              <w:t>E-waste facility</w:t>
            </w:r>
          </w:p>
        </w:tc>
        <w:tc>
          <w:tcPr>
            <w:tcW w:w="2662" w:type="pct"/>
            <w:tcBorders>
              <w:top w:val="single" w:sz="4" w:space="0" w:color="AAABD6"/>
              <w:bottom w:val="single" w:sz="4" w:space="0" w:color="AAABD6"/>
            </w:tcBorders>
            <w:vAlign w:val="center"/>
          </w:tcPr>
          <w:p w14:paraId="7C3D0A18" w14:textId="4B5D9042" w:rsidR="005D004B" w:rsidRPr="00100F0A" w:rsidRDefault="005D004B" w:rsidP="006B2A8A">
            <w:pPr>
              <w:pStyle w:val="BodyText"/>
              <w:cnfStyle w:val="000000000000" w:firstRow="0" w:lastRow="0" w:firstColumn="0" w:lastColumn="0" w:oddVBand="0" w:evenVBand="0" w:oddHBand="0" w:evenHBand="0" w:firstRowFirstColumn="0" w:firstRowLastColumn="0" w:lastRowFirstColumn="0" w:lastRowLastColumn="0"/>
            </w:pPr>
            <w:r w:rsidRPr="00AC42B4">
              <w:t>Major</w:t>
            </w:r>
            <w:r w:rsidRPr="00100F0A">
              <w:t xml:space="preserve"> e-waste physical/chemical and manual disassembly processing facilities. Facilities receive inorganic hazardous waste, such as copper, cobalt, and lead.</w:t>
            </w:r>
          </w:p>
        </w:tc>
      </w:tr>
      <w:tr w:rsidR="005D004B" w:rsidRPr="00100F0A" w14:paraId="203D0EDA" w14:textId="77777777" w:rsidTr="00FD3200">
        <w:trPr>
          <w:trHeight w:val="684"/>
        </w:trPr>
        <w:tc>
          <w:tcPr>
            <w:cnfStyle w:val="001000000000" w:firstRow="0" w:lastRow="0" w:firstColumn="1" w:lastColumn="0" w:oddVBand="0" w:evenVBand="0" w:oddHBand="0" w:evenHBand="0" w:firstRowFirstColumn="0" w:firstRowLastColumn="0" w:lastRowFirstColumn="0" w:lastRowLastColumn="0"/>
            <w:tcW w:w="858" w:type="pct"/>
            <w:vMerge/>
            <w:vAlign w:val="center"/>
          </w:tcPr>
          <w:p w14:paraId="76366296" w14:textId="77777777" w:rsidR="005D004B" w:rsidRPr="00100F0A" w:rsidRDefault="005D004B" w:rsidP="006B2A8A">
            <w:pPr>
              <w:pStyle w:val="BodyText"/>
            </w:pPr>
          </w:p>
        </w:tc>
        <w:tc>
          <w:tcPr>
            <w:tcW w:w="1480" w:type="pct"/>
            <w:tcBorders>
              <w:top w:val="single" w:sz="4" w:space="0" w:color="AAABD6"/>
              <w:bottom w:val="single" w:sz="4" w:space="0" w:color="AAABD6"/>
            </w:tcBorders>
          </w:tcPr>
          <w:p w14:paraId="1F710809" w14:textId="77777777" w:rsidR="005D004B" w:rsidRPr="00100F0A" w:rsidRDefault="005D004B" w:rsidP="00371019">
            <w:pPr>
              <w:pStyle w:val="BodyText"/>
              <w:cnfStyle w:val="000000000000" w:firstRow="0" w:lastRow="0" w:firstColumn="0" w:lastColumn="0" w:oddVBand="0" w:evenVBand="0" w:oddHBand="0" w:evenHBand="0" w:firstRowFirstColumn="0" w:firstRowLastColumn="0" w:lastRowFirstColumn="0" w:lastRowLastColumn="0"/>
            </w:pPr>
            <w:r w:rsidRPr="00100F0A">
              <w:t>Oil re-refining facility</w:t>
            </w:r>
          </w:p>
        </w:tc>
        <w:tc>
          <w:tcPr>
            <w:tcW w:w="2662" w:type="pct"/>
            <w:tcBorders>
              <w:top w:val="single" w:sz="4" w:space="0" w:color="AAABD6"/>
              <w:bottom w:val="single" w:sz="4" w:space="0" w:color="AAABD6"/>
            </w:tcBorders>
            <w:vAlign w:val="center"/>
          </w:tcPr>
          <w:p w14:paraId="4E4DF857" w14:textId="77777777" w:rsidR="005D004B" w:rsidRPr="00100F0A" w:rsidRDefault="005D004B" w:rsidP="006B2A8A">
            <w:pPr>
              <w:pStyle w:val="BodyText"/>
              <w:cnfStyle w:val="000000000000" w:firstRow="0" w:lastRow="0" w:firstColumn="0" w:lastColumn="0" w:oddVBand="0" w:evenVBand="0" w:oddHBand="0" w:evenHBand="0" w:firstRowFirstColumn="0" w:firstRowLastColumn="0" w:lastRowFirstColumn="0" w:lastRowLastColumn="0"/>
            </w:pPr>
            <w:r w:rsidRPr="00100F0A">
              <w:t>Facilities that re-refine (recycle) waste oil. Facilities that dewater and filter waste oil are included in oil/water treatment (OWT), see below.</w:t>
            </w:r>
          </w:p>
        </w:tc>
      </w:tr>
      <w:tr w:rsidR="005D004B" w:rsidRPr="00100F0A" w14:paraId="07425957" w14:textId="77777777" w:rsidTr="00FD3200">
        <w:trPr>
          <w:trHeight w:val="61"/>
        </w:trPr>
        <w:tc>
          <w:tcPr>
            <w:cnfStyle w:val="001000000000" w:firstRow="0" w:lastRow="0" w:firstColumn="1" w:lastColumn="0" w:oddVBand="0" w:evenVBand="0" w:oddHBand="0" w:evenHBand="0" w:firstRowFirstColumn="0" w:firstRowLastColumn="0" w:lastRowFirstColumn="0" w:lastRowLastColumn="0"/>
            <w:tcW w:w="858" w:type="pct"/>
            <w:vMerge/>
            <w:vAlign w:val="center"/>
          </w:tcPr>
          <w:p w14:paraId="616F9497" w14:textId="77777777" w:rsidR="005D004B" w:rsidRPr="00100F0A" w:rsidRDefault="005D004B" w:rsidP="006B2A8A">
            <w:pPr>
              <w:pStyle w:val="BodyText"/>
            </w:pPr>
          </w:p>
        </w:tc>
        <w:tc>
          <w:tcPr>
            <w:tcW w:w="1480" w:type="pct"/>
            <w:tcBorders>
              <w:top w:val="single" w:sz="4" w:space="0" w:color="AAABD6"/>
              <w:bottom w:val="single" w:sz="4" w:space="0" w:color="AAABD6"/>
            </w:tcBorders>
          </w:tcPr>
          <w:p w14:paraId="10A44511" w14:textId="77777777" w:rsidR="005D004B" w:rsidRPr="00100F0A" w:rsidRDefault="005D004B" w:rsidP="00371019">
            <w:pPr>
              <w:pStyle w:val="BodyText"/>
              <w:cnfStyle w:val="000000000000" w:firstRow="0" w:lastRow="0" w:firstColumn="0" w:lastColumn="0" w:oddVBand="0" w:evenVBand="0" w:oddHBand="0" w:evenHBand="0" w:firstRowFirstColumn="0" w:firstRowLastColumn="0" w:lastRowFirstColumn="0" w:lastRowLastColumn="0"/>
            </w:pPr>
            <w:r w:rsidRPr="00100F0A">
              <w:t>Lead facility</w:t>
            </w:r>
          </w:p>
        </w:tc>
        <w:tc>
          <w:tcPr>
            <w:tcW w:w="2662" w:type="pct"/>
            <w:tcBorders>
              <w:top w:val="single" w:sz="4" w:space="0" w:color="AAABD6"/>
              <w:bottom w:val="single" w:sz="4" w:space="0" w:color="AAABD6"/>
            </w:tcBorders>
            <w:vAlign w:val="center"/>
          </w:tcPr>
          <w:p w14:paraId="08FA5959" w14:textId="77777777" w:rsidR="005D004B" w:rsidRPr="00100F0A" w:rsidRDefault="005D004B" w:rsidP="006B2A8A">
            <w:pPr>
              <w:pStyle w:val="BodyText"/>
              <w:cnfStyle w:val="000000000000" w:firstRow="0" w:lastRow="0" w:firstColumn="0" w:lastColumn="0" w:oddVBand="0" w:evenVBand="0" w:oddHBand="0" w:evenHBand="0" w:firstRowFirstColumn="0" w:firstRowLastColumn="0" w:lastRowFirstColumn="0" w:lastRowLastColumn="0"/>
            </w:pPr>
            <w:r w:rsidRPr="00100F0A">
              <w:t>Facilities that recycle lead. Typically, the lead is from used lead acid batteries.</w:t>
            </w:r>
          </w:p>
        </w:tc>
      </w:tr>
      <w:tr w:rsidR="005D004B" w:rsidRPr="00100F0A" w14:paraId="2DF6AA79" w14:textId="77777777" w:rsidTr="00895CD4">
        <w:trPr>
          <w:trHeight w:val="70"/>
        </w:trPr>
        <w:tc>
          <w:tcPr>
            <w:cnfStyle w:val="001000000000" w:firstRow="0" w:lastRow="0" w:firstColumn="1" w:lastColumn="0" w:oddVBand="0" w:evenVBand="0" w:oddHBand="0" w:evenHBand="0" w:firstRowFirstColumn="0" w:firstRowLastColumn="0" w:lastRowFirstColumn="0" w:lastRowLastColumn="0"/>
            <w:tcW w:w="0" w:type="pct"/>
            <w:vMerge/>
            <w:vAlign w:val="center"/>
          </w:tcPr>
          <w:p w14:paraId="176A2651" w14:textId="77777777" w:rsidR="005D004B" w:rsidRPr="00100F0A" w:rsidRDefault="005D004B" w:rsidP="006B2A8A">
            <w:pPr>
              <w:pStyle w:val="BodyText"/>
            </w:pPr>
          </w:p>
        </w:tc>
        <w:tc>
          <w:tcPr>
            <w:tcW w:w="0" w:type="pct"/>
            <w:tcBorders>
              <w:top w:val="single" w:sz="4" w:space="0" w:color="AAABD6"/>
              <w:bottom w:val="single" w:sz="4" w:space="0" w:color="AAABD6"/>
            </w:tcBorders>
            <w:shd w:val="clear" w:color="auto" w:fill="auto"/>
          </w:tcPr>
          <w:p w14:paraId="5E4C9E62" w14:textId="582315BA" w:rsidR="005D004B" w:rsidRPr="00100F0A" w:rsidRDefault="005D004B" w:rsidP="00371019">
            <w:pPr>
              <w:pStyle w:val="BodyText"/>
              <w:cnfStyle w:val="000000000000" w:firstRow="0" w:lastRow="0" w:firstColumn="0" w:lastColumn="0" w:oddVBand="0" w:evenVBand="0" w:oddHBand="0" w:evenHBand="0" w:firstRowFirstColumn="0" w:firstRowLastColumn="0" w:lastRowFirstColumn="0" w:lastRowLastColumn="0"/>
            </w:pPr>
            <w:r w:rsidRPr="00100F0A">
              <w:t>Zinc facility</w:t>
            </w:r>
            <w:r w:rsidR="00323506">
              <w:t>*</w:t>
            </w:r>
          </w:p>
        </w:tc>
        <w:tc>
          <w:tcPr>
            <w:tcW w:w="0" w:type="pct"/>
            <w:tcBorders>
              <w:top w:val="single" w:sz="4" w:space="0" w:color="AAABD6"/>
              <w:bottom w:val="single" w:sz="4" w:space="0" w:color="AAABD6"/>
            </w:tcBorders>
            <w:shd w:val="clear" w:color="auto" w:fill="auto"/>
            <w:vAlign w:val="center"/>
          </w:tcPr>
          <w:p w14:paraId="3C64EED7" w14:textId="77777777" w:rsidR="005D004B" w:rsidRPr="00100F0A" w:rsidRDefault="005D004B" w:rsidP="006B2A8A">
            <w:pPr>
              <w:pStyle w:val="BodyText"/>
              <w:cnfStyle w:val="000000000000" w:firstRow="0" w:lastRow="0" w:firstColumn="0" w:lastColumn="0" w:oddVBand="0" w:evenVBand="0" w:oddHBand="0" w:evenHBand="0" w:firstRowFirstColumn="0" w:firstRowLastColumn="0" w:lastRowFirstColumn="0" w:lastRowLastColumn="0"/>
            </w:pPr>
            <w:r w:rsidRPr="00100F0A">
              <w:t xml:space="preserve">Currently this group is limited to the Nyrstar Port Pirie multi-metals recovery plant (which processes lead rich concentrates and smelting industry by-products) including waste generated by Nyrstar’s zinc smelter in Hobart. </w:t>
            </w:r>
          </w:p>
          <w:p w14:paraId="072B94C3" w14:textId="5F740EB7" w:rsidR="005D004B" w:rsidRPr="00100F0A" w:rsidRDefault="005D004B" w:rsidP="006B2A8A">
            <w:pPr>
              <w:pStyle w:val="BodyText"/>
              <w:cnfStyle w:val="000000000000" w:firstRow="0" w:lastRow="0" w:firstColumn="0" w:lastColumn="0" w:oddVBand="0" w:evenVBand="0" w:oddHBand="0" w:evenHBand="0" w:firstRowFirstColumn="0" w:firstRowLastColumn="0" w:lastRowFirstColumn="0" w:lastRowLastColumn="0"/>
            </w:pPr>
            <w:r w:rsidRPr="00A307F3">
              <w:t>Note:</w:t>
            </w:r>
            <w:r w:rsidRPr="00100F0A">
              <w:t xml:space="preserve"> due to this group being limited to the Nyrstar Port Pirie facility which is treating waste mostly from Nyrstar Hobart, </w:t>
            </w:r>
            <w:r w:rsidRPr="00A307F3">
              <w:t>no needs versus capacity assessment is provided for this infrastructure group</w:t>
            </w:r>
            <w:r w:rsidRPr="00374B58">
              <w:t>.</w:t>
            </w:r>
            <w:r w:rsidRPr="00100F0A">
              <w:t xml:space="preserve"> Nyrstar Port Pirie reports unconstrained capacity to recycle all lead</w:t>
            </w:r>
            <w:r w:rsidR="00374B58">
              <w:t>-</w:t>
            </w:r>
            <w:r w:rsidRPr="00100F0A">
              <w:t>rich waste from their Hobart operations.</w:t>
            </w:r>
          </w:p>
        </w:tc>
      </w:tr>
      <w:tr w:rsidR="005D004B" w:rsidRPr="00100F0A" w14:paraId="2D4C18EB" w14:textId="77777777" w:rsidTr="00FD3200">
        <w:trPr>
          <w:trHeight w:val="470"/>
        </w:trPr>
        <w:tc>
          <w:tcPr>
            <w:cnfStyle w:val="001000000000" w:firstRow="0" w:lastRow="0" w:firstColumn="1" w:lastColumn="0" w:oddVBand="0" w:evenVBand="0" w:oddHBand="0" w:evenHBand="0" w:firstRowFirstColumn="0" w:firstRowLastColumn="0" w:lastRowFirstColumn="0" w:lastRowLastColumn="0"/>
            <w:tcW w:w="858" w:type="pct"/>
            <w:vMerge/>
            <w:vAlign w:val="center"/>
          </w:tcPr>
          <w:p w14:paraId="6AF6AF2F" w14:textId="77777777" w:rsidR="005D004B" w:rsidRPr="00100F0A" w:rsidRDefault="005D004B" w:rsidP="006B2A8A">
            <w:pPr>
              <w:pStyle w:val="BodyText"/>
            </w:pPr>
          </w:p>
        </w:tc>
        <w:tc>
          <w:tcPr>
            <w:tcW w:w="1480" w:type="pct"/>
            <w:tcBorders>
              <w:top w:val="single" w:sz="4" w:space="0" w:color="AAABD6"/>
              <w:bottom w:val="single" w:sz="4" w:space="0" w:color="AAABD6"/>
            </w:tcBorders>
          </w:tcPr>
          <w:p w14:paraId="14AB8601" w14:textId="77777777" w:rsidR="005D004B" w:rsidRPr="00100F0A" w:rsidRDefault="005D004B" w:rsidP="00371019">
            <w:pPr>
              <w:pStyle w:val="BodyText"/>
              <w:cnfStyle w:val="000000000000" w:firstRow="0" w:lastRow="0" w:firstColumn="0" w:lastColumn="0" w:oddVBand="0" w:evenVBand="0" w:oddHBand="0" w:evenHBand="0" w:firstRowFirstColumn="0" w:firstRowLastColumn="0" w:lastRowFirstColumn="0" w:lastRowLastColumn="0"/>
            </w:pPr>
            <w:r w:rsidRPr="00100F0A">
              <w:t>Mercury facility</w:t>
            </w:r>
          </w:p>
        </w:tc>
        <w:tc>
          <w:tcPr>
            <w:tcW w:w="2662" w:type="pct"/>
            <w:tcBorders>
              <w:top w:val="single" w:sz="4" w:space="0" w:color="AAABD6"/>
              <w:bottom w:val="single" w:sz="4" w:space="0" w:color="AAABD6"/>
            </w:tcBorders>
            <w:vAlign w:val="center"/>
          </w:tcPr>
          <w:p w14:paraId="13408572" w14:textId="77777777" w:rsidR="005D004B" w:rsidRPr="00100F0A" w:rsidRDefault="005D004B" w:rsidP="006B2A8A">
            <w:pPr>
              <w:pStyle w:val="BodyText"/>
              <w:cnfStyle w:val="000000000000" w:firstRow="0" w:lastRow="0" w:firstColumn="0" w:lastColumn="0" w:oddVBand="0" w:evenVBand="0" w:oddHBand="0" w:evenHBand="0" w:firstRowFirstColumn="0" w:firstRowLastColumn="0" w:lastRowFirstColumn="0" w:lastRowLastColumn="0"/>
            </w:pPr>
            <w:r w:rsidRPr="00100F0A">
              <w:t xml:space="preserve">Facilities that recycle mercury from used fluorescent light fittings and or oil and gas mining spent catalysts. </w:t>
            </w:r>
          </w:p>
        </w:tc>
      </w:tr>
      <w:tr w:rsidR="005D004B" w:rsidRPr="00100F0A" w14:paraId="72353E0A" w14:textId="77777777" w:rsidTr="00FD3200">
        <w:trPr>
          <w:trHeight w:val="350"/>
        </w:trPr>
        <w:tc>
          <w:tcPr>
            <w:cnfStyle w:val="001000000000" w:firstRow="0" w:lastRow="0" w:firstColumn="1" w:lastColumn="0" w:oddVBand="0" w:evenVBand="0" w:oddHBand="0" w:evenHBand="0" w:firstRowFirstColumn="0" w:firstRowLastColumn="0" w:lastRowFirstColumn="0" w:lastRowLastColumn="0"/>
            <w:tcW w:w="858" w:type="pct"/>
            <w:vMerge/>
            <w:vAlign w:val="center"/>
          </w:tcPr>
          <w:p w14:paraId="5B64B32E" w14:textId="77777777" w:rsidR="005D004B" w:rsidRPr="00100F0A" w:rsidRDefault="005D004B" w:rsidP="006B2A8A">
            <w:pPr>
              <w:pStyle w:val="BodyText"/>
            </w:pPr>
          </w:p>
        </w:tc>
        <w:tc>
          <w:tcPr>
            <w:tcW w:w="1480" w:type="pct"/>
            <w:tcBorders>
              <w:top w:val="single" w:sz="4" w:space="0" w:color="AAABD6"/>
              <w:bottom w:val="single" w:sz="4" w:space="0" w:color="AAABD6"/>
            </w:tcBorders>
          </w:tcPr>
          <w:p w14:paraId="413AD450" w14:textId="77777777" w:rsidR="005D004B" w:rsidRPr="00100F0A" w:rsidRDefault="005D004B" w:rsidP="00371019">
            <w:pPr>
              <w:pStyle w:val="BodyText"/>
              <w:cnfStyle w:val="000000000000" w:firstRow="0" w:lastRow="0" w:firstColumn="0" w:lastColumn="0" w:oddVBand="0" w:evenVBand="0" w:oddHBand="0" w:evenHBand="0" w:firstRowFirstColumn="0" w:firstRowLastColumn="0" w:lastRowFirstColumn="0" w:lastRowLastColumn="0"/>
            </w:pPr>
            <w:r w:rsidRPr="00100F0A">
              <w:t>Solvents/paints/organic chemicals facility</w:t>
            </w:r>
          </w:p>
        </w:tc>
        <w:tc>
          <w:tcPr>
            <w:tcW w:w="2662" w:type="pct"/>
            <w:tcBorders>
              <w:top w:val="single" w:sz="4" w:space="0" w:color="AAABD6"/>
              <w:bottom w:val="single" w:sz="4" w:space="0" w:color="AAABD6"/>
            </w:tcBorders>
            <w:vAlign w:val="center"/>
          </w:tcPr>
          <w:p w14:paraId="08EFCA6C" w14:textId="77777777" w:rsidR="005D004B" w:rsidRPr="00100F0A" w:rsidRDefault="005D004B" w:rsidP="006B2A8A">
            <w:pPr>
              <w:pStyle w:val="BodyText"/>
              <w:cnfStyle w:val="000000000000" w:firstRow="0" w:lastRow="0" w:firstColumn="0" w:lastColumn="0" w:oddVBand="0" w:evenVBand="0" w:oddHBand="0" w:evenHBand="0" w:firstRowFirstColumn="0" w:firstRowLastColumn="0" w:lastRowFirstColumn="0" w:lastRowLastColumn="0"/>
            </w:pPr>
            <w:r w:rsidRPr="00100F0A">
              <w:t>Facilities that recycle paints, resins, inks, organic sludges and/or organic solvents, but not for energy recovery.</w:t>
            </w:r>
          </w:p>
        </w:tc>
      </w:tr>
      <w:tr w:rsidR="005D004B" w:rsidRPr="00100F0A" w14:paraId="66DBB0EA" w14:textId="77777777" w:rsidTr="00FD3200">
        <w:trPr>
          <w:trHeight w:val="533"/>
        </w:trPr>
        <w:tc>
          <w:tcPr>
            <w:cnfStyle w:val="001000000000" w:firstRow="0" w:lastRow="0" w:firstColumn="1" w:lastColumn="0" w:oddVBand="0" w:evenVBand="0" w:oddHBand="0" w:evenHBand="0" w:firstRowFirstColumn="0" w:firstRowLastColumn="0" w:lastRowFirstColumn="0" w:lastRowLastColumn="0"/>
            <w:tcW w:w="858" w:type="pct"/>
            <w:vMerge/>
            <w:vAlign w:val="center"/>
          </w:tcPr>
          <w:p w14:paraId="7F99F74C" w14:textId="77777777" w:rsidR="005D004B" w:rsidRPr="00100F0A" w:rsidRDefault="005D004B" w:rsidP="006B2A8A">
            <w:pPr>
              <w:pStyle w:val="BodyText"/>
            </w:pPr>
          </w:p>
        </w:tc>
        <w:tc>
          <w:tcPr>
            <w:tcW w:w="1480" w:type="pct"/>
            <w:tcBorders>
              <w:top w:val="single" w:sz="4" w:space="0" w:color="AAABD6"/>
              <w:bottom w:val="single" w:sz="4" w:space="0" w:color="AAABD6"/>
            </w:tcBorders>
          </w:tcPr>
          <w:p w14:paraId="50B10D94" w14:textId="77777777" w:rsidR="005D004B" w:rsidRPr="00100F0A" w:rsidRDefault="005D004B" w:rsidP="00371019">
            <w:pPr>
              <w:pStyle w:val="BodyText"/>
              <w:cnfStyle w:val="000000000000" w:firstRow="0" w:lastRow="0" w:firstColumn="0" w:lastColumn="0" w:oddVBand="0" w:evenVBand="0" w:oddHBand="0" w:evenHBand="0" w:firstRowFirstColumn="0" w:firstRowLastColumn="0" w:lastRowFirstColumn="0" w:lastRowLastColumn="0"/>
            </w:pPr>
            <w:r w:rsidRPr="00100F0A">
              <w:t>Organics processing facility</w:t>
            </w:r>
          </w:p>
        </w:tc>
        <w:tc>
          <w:tcPr>
            <w:tcW w:w="2662" w:type="pct"/>
            <w:tcBorders>
              <w:top w:val="single" w:sz="4" w:space="0" w:color="AAABD6"/>
              <w:bottom w:val="single" w:sz="4" w:space="0" w:color="AAABD6"/>
            </w:tcBorders>
            <w:vAlign w:val="center"/>
          </w:tcPr>
          <w:p w14:paraId="3362C10E" w14:textId="02655B0D" w:rsidR="005D004B" w:rsidRPr="00100F0A" w:rsidRDefault="005D004B" w:rsidP="006B2A8A">
            <w:pPr>
              <w:pStyle w:val="BodyText"/>
              <w:cnfStyle w:val="000000000000" w:firstRow="0" w:lastRow="0" w:firstColumn="0" w:lastColumn="0" w:oddVBand="0" w:evenVBand="0" w:oddHBand="0" w:evenHBand="0" w:firstRowFirstColumn="0" w:firstRowLastColumn="0" w:lastRowFirstColumn="0" w:lastRowLastColumn="0"/>
            </w:pPr>
            <w:r w:rsidRPr="00100F0A">
              <w:t xml:space="preserve">Facilities that recycle a range of low hazard organic waste such as grease trap waste, cooking oil, animal effluents, etc. </w:t>
            </w:r>
          </w:p>
          <w:p w14:paraId="6E950B34" w14:textId="0562A9AA" w:rsidR="005D004B" w:rsidRPr="00100F0A" w:rsidRDefault="005D004B" w:rsidP="006B2A8A">
            <w:pPr>
              <w:pStyle w:val="BodyText"/>
              <w:cnfStyle w:val="000000000000" w:firstRow="0" w:lastRow="0" w:firstColumn="0" w:lastColumn="0" w:oddVBand="0" w:evenVBand="0" w:oddHBand="0" w:evenHBand="0" w:firstRowFirstColumn="0" w:firstRowLastColumn="0" w:lastRowFirstColumn="0" w:lastRowLastColumn="0"/>
            </w:pPr>
            <w:r w:rsidRPr="00A307F3">
              <w:rPr>
                <w:color w:val="000000"/>
              </w:rPr>
              <w:t>Capacity data coverage limitation</w:t>
            </w:r>
            <w:r w:rsidRPr="00374B58">
              <w:rPr>
                <w:color w:val="000000"/>
              </w:rPr>
              <w:t>:</w:t>
            </w:r>
            <w:r w:rsidRPr="00100F0A">
              <w:rPr>
                <w:color w:val="000000"/>
              </w:rPr>
              <w:t xml:space="preserve"> composting facilities are excluded from the database. This group refers to</w:t>
            </w:r>
            <w:r w:rsidRPr="00100F0A">
              <w:rPr>
                <w:rFonts w:asciiTheme="minorHAnsi" w:hAnsiTheme="minorHAnsi" w:cs="Calibri"/>
                <w:i/>
              </w:rPr>
              <w:t xml:space="preserve"> </w:t>
            </w:r>
            <w:r w:rsidRPr="00100F0A">
              <w:rPr>
                <w:rFonts w:asciiTheme="minorHAnsi" w:hAnsiTheme="minorHAnsi" w:cs="Calibri"/>
              </w:rPr>
              <w:t xml:space="preserve">facilities that treat grease trap waste and other similar waste. </w:t>
            </w:r>
          </w:p>
        </w:tc>
      </w:tr>
      <w:tr w:rsidR="005D004B" w:rsidRPr="00100F0A" w14:paraId="67459882" w14:textId="77777777" w:rsidTr="00895CD4">
        <w:trPr>
          <w:trHeight w:val="66"/>
        </w:trPr>
        <w:tc>
          <w:tcPr>
            <w:cnfStyle w:val="001000000000" w:firstRow="0" w:lastRow="0" w:firstColumn="1" w:lastColumn="0" w:oddVBand="0" w:evenVBand="0" w:oddHBand="0" w:evenHBand="0" w:firstRowFirstColumn="0" w:firstRowLastColumn="0" w:lastRowFirstColumn="0" w:lastRowLastColumn="0"/>
            <w:tcW w:w="0" w:type="pct"/>
            <w:vMerge/>
            <w:vAlign w:val="center"/>
          </w:tcPr>
          <w:p w14:paraId="151EF7EC" w14:textId="77777777" w:rsidR="005D004B" w:rsidRPr="00100F0A" w:rsidRDefault="005D004B" w:rsidP="006B2A8A">
            <w:pPr>
              <w:pStyle w:val="BodyText"/>
            </w:pPr>
          </w:p>
        </w:tc>
        <w:tc>
          <w:tcPr>
            <w:tcW w:w="0" w:type="pct"/>
            <w:tcBorders>
              <w:top w:val="single" w:sz="4" w:space="0" w:color="AAABD6"/>
              <w:bottom w:val="single" w:sz="4" w:space="0" w:color="AAABD6"/>
            </w:tcBorders>
            <w:shd w:val="clear" w:color="auto" w:fill="auto"/>
          </w:tcPr>
          <w:p w14:paraId="6019D653" w14:textId="30582BCB" w:rsidR="005D004B" w:rsidRPr="00100F0A" w:rsidRDefault="003C51AB" w:rsidP="00371019">
            <w:pPr>
              <w:pStyle w:val="BodyText"/>
              <w:cnfStyle w:val="000000000000" w:firstRow="0" w:lastRow="0" w:firstColumn="0" w:lastColumn="0" w:oddVBand="0" w:evenVBand="0" w:oddHBand="0" w:evenHBand="0" w:firstRowFirstColumn="0" w:firstRowLastColumn="0" w:lastRowFirstColumn="0" w:lastRowLastColumn="0"/>
            </w:pPr>
            <w:r>
              <w:t>EOLT</w:t>
            </w:r>
            <w:r w:rsidR="005D004B" w:rsidRPr="00100F0A">
              <w:t xml:space="preserve"> facility</w:t>
            </w:r>
            <w:r w:rsidR="00323506">
              <w:t>*</w:t>
            </w:r>
          </w:p>
        </w:tc>
        <w:tc>
          <w:tcPr>
            <w:tcW w:w="0" w:type="pct"/>
            <w:tcBorders>
              <w:top w:val="single" w:sz="4" w:space="0" w:color="AAABD6"/>
              <w:bottom w:val="single" w:sz="4" w:space="0" w:color="AAABD6"/>
            </w:tcBorders>
            <w:shd w:val="clear" w:color="auto" w:fill="auto"/>
            <w:vAlign w:val="center"/>
          </w:tcPr>
          <w:p w14:paraId="5A4013D4" w14:textId="533D7AB1" w:rsidR="005D004B" w:rsidRPr="00100F0A" w:rsidRDefault="005D004B" w:rsidP="006B2A8A">
            <w:pPr>
              <w:pStyle w:val="BodyText"/>
              <w:cnfStyle w:val="000000000000" w:firstRow="0" w:lastRow="0" w:firstColumn="0" w:lastColumn="0" w:oddVBand="0" w:evenVBand="0" w:oddHBand="0" w:evenHBand="0" w:firstRowFirstColumn="0" w:firstRowLastColumn="0" w:lastRowFirstColumn="0" w:lastRowLastColumn="0"/>
            </w:pPr>
            <w:r w:rsidRPr="00100F0A">
              <w:t xml:space="preserve">Facilities that recycle end-of-life-tyres (EOLT) including facilities that partially process EOLT for export and processing overseas. </w:t>
            </w:r>
          </w:p>
        </w:tc>
      </w:tr>
      <w:tr w:rsidR="005D004B" w:rsidRPr="00100F0A" w14:paraId="0C48EE1E" w14:textId="77777777" w:rsidTr="00FD3200">
        <w:trPr>
          <w:trHeight w:val="261"/>
        </w:trPr>
        <w:tc>
          <w:tcPr>
            <w:cnfStyle w:val="001000000000" w:firstRow="0" w:lastRow="0" w:firstColumn="1" w:lastColumn="0" w:oddVBand="0" w:evenVBand="0" w:oddHBand="0" w:evenHBand="0" w:firstRowFirstColumn="0" w:firstRowLastColumn="0" w:lastRowFirstColumn="0" w:lastRowLastColumn="0"/>
            <w:tcW w:w="858" w:type="pct"/>
            <w:vMerge/>
            <w:tcBorders>
              <w:bottom w:val="single" w:sz="4" w:space="0" w:color="AAABD6"/>
            </w:tcBorders>
            <w:vAlign w:val="center"/>
          </w:tcPr>
          <w:p w14:paraId="73F8B407" w14:textId="77777777" w:rsidR="005D004B" w:rsidRPr="00100F0A" w:rsidRDefault="005D004B" w:rsidP="006B2A8A">
            <w:pPr>
              <w:pStyle w:val="BodyText"/>
            </w:pPr>
          </w:p>
        </w:tc>
        <w:tc>
          <w:tcPr>
            <w:tcW w:w="1480" w:type="pct"/>
            <w:tcBorders>
              <w:top w:val="single" w:sz="4" w:space="0" w:color="AAABD6"/>
              <w:bottom w:val="single" w:sz="4" w:space="0" w:color="AAABD6"/>
            </w:tcBorders>
          </w:tcPr>
          <w:p w14:paraId="271F539A" w14:textId="7898BEA6" w:rsidR="005D004B" w:rsidRPr="00100F0A" w:rsidRDefault="008637BA" w:rsidP="00371019">
            <w:pPr>
              <w:pStyle w:val="BodyText"/>
              <w:cnfStyle w:val="000000000000" w:firstRow="0" w:lastRow="0" w:firstColumn="0" w:lastColumn="0" w:oddVBand="0" w:evenVBand="0" w:oddHBand="0" w:evenHBand="0" w:firstRowFirstColumn="0" w:firstRowLastColumn="0" w:lastRowFirstColumn="0" w:lastRowLastColumn="0"/>
            </w:pPr>
            <w:r>
              <w:t>SPL</w:t>
            </w:r>
            <w:r w:rsidR="005D004B" w:rsidRPr="00100F0A">
              <w:t xml:space="preserve"> facility</w:t>
            </w:r>
          </w:p>
        </w:tc>
        <w:tc>
          <w:tcPr>
            <w:tcW w:w="2662" w:type="pct"/>
            <w:tcBorders>
              <w:top w:val="single" w:sz="4" w:space="0" w:color="AAABD6"/>
              <w:bottom w:val="single" w:sz="4" w:space="0" w:color="AAABD6"/>
            </w:tcBorders>
            <w:vAlign w:val="center"/>
          </w:tcPr>
          <w:p w14:paraId="77D6F383" w14:textId="16D6EB28" w:rsidR="005D004B" w:rsidRPr="00100F0A" w:rsidRDefault="005D004B" w:rsidP="006B2A8A">
            <w:pPr>
              <w:pStyle w:val="BodyText"/>
              <w:cnfStyle w:val="000000000000" w:firstRow="0" w:lastRow="0" w:firstColumn="0" w:lastColumn="0" w:oddVBand="0" w:evenVBand="0" w:oddHBand="0" w:evenHBand="0" w:firstRowFirstColumn="0" w:firstRowLastColumn="0" w:lastRowFirstColumn="0" w:lastRowLastColumn="0"/>
            </w:pPr>
            <w:r w:rsidRPr="00100F0A">
              <w:t xml:space="preserve">Facilities that recycle </w:t>
            </w:r>
            <w:r w:rsidR="008637BA">
              <w:t>SPL</w:t>
            </w:r>
            <w:r w:rsidRPr="00100F0A">
              <w:t xml:space="preserve"> waste from the aluminium industry.</w:t>
            </w:r>
          </w:p>
        </w:tc>
      </w:tr>
      <w:tr w:rsidR="005D004B" w:rsidRPr="00100F0A" w14:paraId="61986508" w14:textId="77777777" w:rsidTr="00FD3200">
        <w:trPr>
          <w:trHeight w:val="127"/>
        </w:trPr>
        <w:tc>
          <w:tcPr>
            <w:cnfStyle w:val="001000000000" w:firstRow="0" w:lastRow="0" w:firstColumn="1" w:lastColumn="0" w:oddVBand="0" w:evenVBand="0" w:oddHBand="0" w:evenHBand="0" w:firstRowFirstColumn="0" w:firstRowLastColumn="0" w:lastRowFirstColumn="0" w:lastRowLastColumn="0"/>
            <w:tcW w:w="858" w:type="pct"/>
            <w:tcBorders>
              <w:top w:val="single" w:sz="4" w:space="0" w:color="AAABD6"/>
              <w:bottom w:val="single" w:sz="4" w:space="0" w:color="AAABD6"/>
            </w:tcBorders>
            <w:vAlign w:val="center"/>
          </w:tcPr>
          <w:p w14:paraId="64E39C62" w14:textId="77777777" w:rsidR="005D004B" w:rsidRPr="00100F0A" w:rsidRDefault="005D004B" w:rsidP="006B2A8A">
            <w:pPr>
              <w:pStyle w:val="BodyText"/>
            </w:pPr>
            <w:r w:rsidRPr="00100F0A">
              <w:rPr>
                <w:b/>
                <w:bCs/>
              </w:rPr>
              <w:t>Energy recovery</w:t>
            </w:r>
          </w:p>
        </w:tc>
        <w:tc>
          <w:tcPr>
            <w:tcW w:w="1480" w:type="pct"/>
            <w:tcBorders>
              <w:top w:val="single" w:sz="4" w:space="0" w:color="AAABD6"/>
              <w:bottom w:val="single" w:sz="4" w:space="0" w:color="AAABD6"/>
            </w:tcBorders>
          </w:tcPr>
          <w:p w14:paraId="0AF3513E" w14:textId="54B54216" w:rsidR="005D004B" w:rsidRPr="00100F0A" w:rsidRDefault="005D004B" w:rsidP="00371019">
            <w:pPr>
              <w:pStyle w:val="BodyText"/>
              <w:cnfStyle w:val="000000000000" w:firstRow="0" w:lastRow="0" w:firstColumn="0" w:lastColumn="0" w:oddVBand="0" w:evenVBand="0" w:oddHBand="0" w:evenHBand="0" w:firstRowFirstColumn="0" w:firstRowLastColumn="0" w:lastRowFirstColumn="0" w:lastRowLastColumn="0"/>
            </w:pPr>
            <w:r w:rsidRPr="00100F0A">
              <w:t>Energy recovery</w:t>
            </w:r>
          </w:p>
        </w:tc>
        <w:tc>
          <w:tcPr>
            <w:tcW w:w="2662" w:type="pct"/>
            <w:tcBorders>
              <w:top w:val="single" w:sz="4" w:space="0" w:color="AAABD6"/>
              <w:bottom w:val="single" w:sz="4" w:space="0" w:color="AAABD6"/>
            </w:tcBorders>
            <w:vAlign w:val="center"/>
          </w:tcPr>
          <w:p w14:paraId="338071BE" w14:textId="4E0812F4" w:rsidR="005D004B" w:rsidRPr="00100F0A" w:rsidRDefault="005D004B" w:rsidP="006B2A8A">
            <w:pPr>
              <w:pStyle w:val="BodyText"/>
              <w:cnfStyle w:val="000000000000" w:firstRow="0" w:lastRow="0" w:firstColumn="0" w:lastColumn="0" w:oddVBand="0" w:evenVBand="0" w:oddHBand="0" w:evenHBand="0" w:firstRowFirstColumn="0" w:firstRowLastColumn="0" w:lastRowFirstColumn="0" w:lastRowLastColumn="0"/>
            </w:pPr>
            <w:r w:rsidRPr="00100F0A">
              <w:t>Facilities that recover or use solvents, paints or other hazardous waste with calorific value for energy recovery on-site or elsewhere (e.g. a cement facility).</w:t>
            </w:r>
          </w:p>
        </w:tc>
      </w:tr>
      <w:tr w:rsidR="005D004B" w:rsidRPr="00100F0A" w14:paraId="07A07677" w14:textId="77777777" w:rsidTr="00FD3200">
        <w:trPr>
          <w:trHeight w:val="1645"/>
        </w:trPr>
        <w:tc>
          <w:tcPr>
            <w:cnfStyle w:val="001000000000" w:firstRow="0" w:lastRow="0" w:firstColumn="1" w:lastColumn="0" w:oddVBand="0" w:evenVBand="0" w:oddHBand="0" w:evenHBand="0" w:firstRowFirstColumn="0" w:firstRowLastColumn="0" w:lastRowFirstColumn="0" w:lastRowLastColumn="0"/>
            <w:tcW w:w="858" w:type="pct"/>
            <w:vMerge w:val="restart"/>
            <w:tcBorders>
              <w:top w:val="single" w:sz="4" w:space="0" w:color="AAABD6"/>
            </w:tcBorders>
            <w:vAlign w:val="center"/>
          </w:tcPr>
          <w:p w14:paraId="2E68CA09" w14:textId="77777777" w:rsidR="005D004B" w:rsidRPr="00100F0A" w:rsidRDefault="005D004B" w:rsidP="006B2A8A">
            <w:pPr>
              <w:pStyle w:val="BodyText"/>
            </w:pPr>
            <w:r w:rsidRPr="00100F0A">
              <w:rPr>
                <w:b/>
                <w:bCs/>
              </w:rPr>
              <w:t>Treatment</w:t>
            </w:r>
          </w:p>
          <w:p w14:paraId="051B84DA" w14:textId="77777777" w:rsidR="005D004B" w:rsidRPr="00100F0A" w:rsidRDefault="005D004B" w:rsidP="006B2A8A">
            <w:pPr>
              <w:pStyle w:val="BodyText"/>
            </w:pPr>
            <w:r w:rsidRPr="00100F0A">
              <w:rPr>
                <w:b/>
                <w:bCs/>
              </w:rPr>
              <w:t> </w:t>
            </w:r>
          </w:p>
          <w:p w14:paraId="0BC460E9" w14:textId="77777777" w:rsidR="005D004B" w:rsidRPr="00100F0A" w:rsidRDefault="005D004B" w:rsidP="006B2A8A">
            <w:pPr>
              <w:pStyle w:val="BodyText"/>
            </w:pPr>
            <w:r w:rsidRPr="00100F0A">
              <w:rPr>
                <w:b/>
                <w:bCs/>
              </w:rPr>
              <w:t> </w:t>
            </w:r>
          </w:p>
          <w:p w14:paraId="07C68997" w14:textId="77777777" w:rsidR="005D004B" w:rsidRPr="00100F0A" w:rsidRDefault="005D004B" w:rsidP="006B2A8A">
            <w:pPr>
              <w:pStyle w:val="BodyText"/>
            </w:pPr>
            <w:r w:rsidRPr="00100F0A">
              <w:rPr>
                <w:b/>
                <w:bCs/>
              </w:rPr>
              <w:t> </w:t>
            </w:r>
          </w:p>
          <w:p w14:paraId="66990925" w14:textId="77777777" w:rsidR="005D004B" w:rsidRPr="00100F0A" w:rsidRDefault="005D004B" w:rsidP="006B2A8A">
            <w:pPr>
              <w:pStyle w:val="BodyText"/>
            </w:pPr>
            <w:r w:rsidRPr="00100F0A">
              <w:rPr>
                <w:b/>
                <w:bCs/>
              </w:rPr>
              <w:t> </w:t>
            </w:r>
          </w:p>
        </w:tc>
        <w:tc>
          <w:tcPr>
            <w:tcW w:w="1480" w:type="pct"/>
            <w:tcBorders>
              <w:top w:val="single" w:sz="4" w:space="0" w:color="AAABD6"/>
              <w:bottom w:val="single" w:sz="4" w:space="0" w:color="AAABD6"/>
            </w:tcBorders>
          </w:tcPr>
          <w:p w14:paraId="1800BF7D" w14:textId="3EE18F7A" w:rsidR="005D004B" w:rsidRPr="00100F0A" w:rsidRDefault="005D004B" w:rsidP="00371019">
            <w:pPr>
              <w:pStyle w:val="BodyText"/>
              <w:cnfStyle w:val="000000000000" w:firstRow="0" w:lastRow="0" w:firstColumn="0" w:lastColumn="0" w:oddVBand="0" w:evenVBand="0" w:oddHBand="0" w:evenHBand="0" w:firstRowFirstColumn="0" w:firstRowLastColumn="0" w:lastRowFirstColumn="0" w:lastRowLastColumn="0"/>
            </w:pPr>
            <w:r w:rsidRPr="00100F0A">
              <w:t>Chemical</w:t>
            </w:r>
            <w:r w:rsidR="0050590B">
              <w:t xml:space="preserve"> or</w:t>
            </w:r>
            <w:r w:rsidRPr="00100F0A">
              <w:t xml:space="preserve"> physical treatment (CPT) plant</w:t>
            </w:r>
          </w:p>
        </w:tc>
        <w:tc>
          <w:tcPr>
            <w:tcW w:w="2662" w:type="pct"/>
            <w:tcBorders>
              <w:top w:val="single" w:sz="4" w:space="0" w:color="AAABD6"/>
              <w:bottom w:val="single" w:sz="4" w:space="0" w:color="AAABD6"/>
            </w:tcBorders>
            <w:vAlign w:val="center"/>
          </w:tcPr>
          <w:p w14:paraId="6FBED93A" w14:textId="26CC080A" w:rsidR="005D004B" w:rsidRPr="00100F0A" w:rsidRDefault="005D004B" w:rsidP="006B2A8A">
            <w:pPr>
              <w:pStyle w:val="BodyText"/>
              <w:cnfStyle w:val="000000000000" w:firstRow="0" w:lastRow="0" w:firstColumn="0" w:lastColumn="0" w:oddVBand="0" w:evenVBand="0" w:oddHBand="0" w:evenHBand="0" w:firstRowFirstColumn="0" w:firstRowLastColumn="0" w:lastRowFirstColumn="0" w:lastRowLastColumn="0"/>
            </w:pPr>
            <w:r w:rsidRPr="00100F0A">
              <w:t>Sophisticated facilities developed with significant capital to apply chemical and physical treatments to a broad range of waste. Often licensed to receive almost all NEPM 15 waste codes. Processes can include many chemical treatments (e.g. oxidation, reduction, precipitation, neutralisation, etc.) and physical treatments (e.g. sedimentation, filtration, adsorption, immobilisation, etc.)</w:t>
            </w:r>
          </w:p>
        </w:tc>
      </w:tr>
      <w:tr w:rsidR="005D004B" w:rsidRPr="00100F0A" w14:paraId="7596950F" w14:textId="77777777" w:rsidTr="00FD3200">
        <w:trPr>
          <w:trHeight w:val="42"/>
        </w:trPr>
        <w:tc>
          <w:tcPr>
            <w:cnfStyle w:val="001000000000" w:firstRow="0" w:lastRow="0" w:firstColumn="1" w:lastColumn="0" w:oddVBand="0" w:evenVBand="0" w:oddHBand="0" w:evenHBand="0" w:firstRowFirstColumn="0" w:firstRowLastColumn="0" w:lastRowFirstColumn="0" w:lastRowLastColumn="0"/>
            <w:tcW w:w="858" w:type="pct"/>
            <w:vMerge/>
            <w:vAlign w:val="center"/>
          </w:tcPr>
          <w:p w14:paraId="31ED7864" w14:textId="77777777" w:rsidR="005D004B" w:rsidRPr="00100F0A" w:rsidRDefault="005D004B" w:rsidP="006B2A8A">
            <w:pPr>
              <w:pStyle w:val="BodyText"/>
            </w:pPr>
          </w:p>
        </w:tc>
        <w:tc>
          <w:tcPr>
            <w:tcW w:w="1480" w:type="pct"/>
            <w:tcBorders>
              <w:top w:val="single" w:sz="4" w:space="0" w:color="AAABD6"/>
              <w:bottom w:val="single" w:sz="4" w:space="0" w:color="AAABD6"/>
            </w:tcBorders>
          </w:tcPr>
          <w:p w14:paraId="7E3060E7" w14:textId="48B526CD" w:rsidR="005D004B" w:rsidRPr="00100F0A" w:rsidRDefault="005D004B" w:rsidP="00371019">
            <w:pPr>
              <w:pStyle w:val="BodyText"/>
              <w:cnfStyle w:val="000000000000" w:firstRow="0" w:lastRow="0" w:firstColumn="0" w:lastColumn="0" w:oddVBand="0" w:evenVBand="0" w:oddHBand="0" w:evenHBand="0" w:firstRowFirstColumn="0" w:firstRowLastColumn="0" w:lastRowFirstColumn="0" w:lastRowLastColumn="0"/>
            </w:pPr>
            <w:r w:rsidRPr="00100F0A">
              <w:t>Clinical waste treatment facility</w:t>
            </w:r>
          </w:p>
        </w:tc>
        <w:tc>
          <w:tcPr>
            <w:tcW w:w="2662" w:type="pct"/>
            <w:tcBorders>
              <w:top w:val="single" w:sz="4" w:space="0" w:color="AAABD6"/>
              <w:bottom w:val="single" w:sz="4" w:space="0" w:color="AAABD6"/>
            </w:tcBorders>
            <w:vAlign w:val="center"/>
          </w:tcPr>
          <w:p w14:paraId="21027030" w14:textId="77777777" w:rsidR="005D004B" w:rsidRPr="00100F0A" w:rsidRDefault="005D004B" w:rsidP="006B2A8A">
            <w:pPr>
              <w:pStyle w:val="BodyText"/>
              <w:cnfStyle w:val="000000000000" w:firstRow="0" w:lastRow="0" w:firstColumn="0" w:lastColumn="0" w:oddVBand="0" w:evenVBand="0" w:oddHBand="0" w:evenHBand="0" w:firstRowFirstColumn="0" w:firstRowLastColumn="0" w:lastRowFirstColumn="0" w:lastRowLastColumn="0"/>
            </w:pPr>
            <w:r w:rsidRPr="00100F0A">
              <w:t>Facilities that treat clinical waste typically using an autoclave.</w:t>
            </w:r>
          </w:p>
        </w:tc>
      </w:tr>
      <w:tr w:rsidR="005D004B" w:rsidRPr="00100F0A" w14:paraId="4C414A69" w14:textId="77777777" w:rsidTr="00895CD4">
        <w:trPr>
          <w:trHeight w:val="813"/>
        </w:trPr>
        <w:tc>
          <w:tcPr>
            <w:cnfStyle w:val="001000000000" w:firstRow="0" w:lastRow="0" w:firstColumn="1" w:lastColumn="0" w:oddVBand="0" w:evenVBand="0" w:oddHBand="0" w:evenHBand="0" w:firstRowFirstColumn="0" w:firstRowLastColumn="0" w:lastRowFirstColumn="0" w:lastRowLastColumn="0"/>
            <w:tcW w:w="0" w:type="pct"/>
            <w:vMerge/>
            <w:vAlign w:val="center"/>
          </w:tcPr>
          <w:p w14:paraId="2CE1666C" w14:textId="77777777" w:rsidR="005D004B" w:rsidRPr="00100F0A" w:rsidRDefault="005D004B" w:rsidP="006B2A8A">
            <w:pPr>
              <w:pStyle w:val="BodyText"/>
            </w:pPr>
          </w:p>
        </w:tc>
        <w:tc>
          <w:tcPr>
            <w:tcW w:w="0" w:type="pct"/>
            <w:tcBorders>
              <w:top w:val="single" w:sz="4" w:space="0" w:color="AAABD6"/>
              <w:bottom w:val="single" w:sz="4" w:space="0" w:color="AAABD6"/>
            </w:tcBorders>
            <w:shd w:val="clear" w:color="auto" w:fill="auto"/>
          </w:tcPr>
          <w:p w14:paraId="5E230E61" w14:textId="4194E137" w:rsidR="005D004B" w:rsidRPr="00100F0A" w:rsidRDefault="005D004B" w:rsidP="00371019">
            <w:pPr>
              <w:pStyle w:val="BodyText"/>
              <w:cnfStyle w:val="000000000000" w:firstRow="0" w:lastRow="0" w:firstColumn="0" w:lastColumn="0" w:oddVBand="0" w:evenVBand="0" w:oddHBand="0" w:evenHBand="0" w:firstRowFirstColumn="0" w:firstRowLastColumn="0" w:lastRowFirstColumn="0" w:lastRowLastColumn="0"/>
            </w:pPr>
            <w:r w:rsidRPr="00100F0A">
              <w:t>Bioremediation facility</w:t>
            </w:r>
            <w:r w:rsidR="00323506">
              <w:t>*</w:t>
            </w:r>
          </w:p>
        </w:tc>
        <w:tc>
          <w:tcPr>
            <w:tcW w:w="0" w:type="pct"/>
            <w:tcBorders>
              <w:top w:val="single" w:sz="4" w:space="0" w:color="AAABD6"/>
              <w:bottom w:val="single" w:sz="4" w:space="0" w:color="AAABD6"/>
            </w:tcBorders>
            <w:shd w:val="clear" w:color="auto" w:fill="auto"/>
          </w:tcPr>
          <w:p w14:paraId="00F82F75" w14:textId="098021FA" w:rsidR="005D004B" w:rsidRPr="00100F0A" w:rsidRDefault="005D004B" w:rsidP="006B2A8A">
            <w:pPr>
              <w:pStyle w:val="BodyText"/>
              <w:cnfStyle w:val="000000000000" w:firstRow="0" w:lastRow="0" w:firstColumn="0" w:lastColumn="0" w:oddVBand="0" w:evenVBand="0" w:oddHBand="0" w:evenHBand="0" w:firstRowFirstColumn="0" w:firstRowLastColumn="0" w:lastRowFirstColumn="0" w:lastRowLastColumn="0"/>
            </w:pPr>
            <w:r w:rsidRPr="00100F0A">
              <w:t>Temporary or permanent facilities that treat hazardous waste by land-farming or bioremediation. Often does not generate a useful product for sale.</w:t>
            </w:r>
            <w:r w:rsidR="0050590B">
              <w:t xml:space="preserve"> </w:t>
            </w:r>
            <w:r w:rsidRPr="00A307F3">
              <w:rPr>
                <w:color w:val="000000"/>
              </w:rPr>
              <w:t>Capacity data coverage limitation</w:t>
            </w:r>
            <w:r w:rsidRPr="00374B58">
              <w:rPr>
                <w:color w:val="000000"/>
              </w:rPr>
              <w:t>:</w:t>
            </w:r>
            <w:r w:rsidRPr="00100F0A">
              <w:rPr>
                <w:color w:val="000000"/>
              </w:rPr>
              <w:t xml:space="preserve"> composting facilities are excluded from the database. This group is intended to refer to</w:t>
            </w:r>
            <w:r w:rsidRPr="00100F0A">
              <w:rPr>
                <w:rFonts w:asciiTheme="minorHAnsi" w:hAnsiTheme="minorHAnsi" w:cs="Calibri"/>
                <w:i/>
              </w:rPr>
              <w:t xml:space="preserve"> </w:t>
            </w:r>
            <w:r w:rsidRPr="00100F0A">
              <w:rPr>
                <w:rFonts w:asciiTheme="minorHAnsi" w:hAnsiTheme="minorHAnsi" w:cs="Calibri"/>
              </w:rPr>
              <w:t>facilities that treat hazardous waste th</w:t>
            </w:r>
            <w:r w:rsidR="00AA13FA">
              <w:rPr>
                <w:rFonts w:asciiTheme="minorHAnsi" w:hAnsiTheme="minorHAnsi" w:cs="Calibri"/>
              </w:rPr>
              <w:t>r</w:t>
            </w:r>
            <w:r w:rsidRPr="00100F0A">
              <w:rPr>
                <w:rFonts w:asciiTheme="minorHAnsi" w:hAnsiTheme="minorHAnsi" w:cs="Calibri"/>
              </w:rPr>
              <w:t xml:space="preserve">ough biodegradation that are not generating compost for sale. However, many commercial composting facilities are licenced to receive low level hazardous waste which </w:t>
            </w:r>
            <w:r w:rsidR="00AA13FA">
              <w:rPr>
                <w:rFonts w:asciiTheme="minorHAnsi" w:hAnsiTheme="minorHAnsi" w:cs="Calibri"/>
              </w:rPr>
              <w:t>is</w:t>
            </w:r>
            <w:r w:rsidRPr="00100F0A">
              <w:rPr>
                <w:rFonts w:asciiTheme="minorHAnsi" w:hAnsiTheme="minorHAnsi" w:cs="Calibri"/>
              </w:rPr>
              <w:t xml:space="preserve"> effectively bioremediated in the composting process and these facilities are not within the project scope. </w:t>
            </w:r>
          </w:p>
        </w:tc>
      </w:tr>
      <w:tr w:rsidR="005D004B" w:rsidRPr="00100F0A" w14:paraId="61119E53" w14:textId="77777777" w:rsidTr="00895CD4">
        <w:trPr>
          <w:trHeight w:val="661"/>
        </w:trPr>
        <w:tc>
          <w:tcPr>
            <w:cnfStyle w:val="001000000000" w:firstRow="0" w:lastRow="0" w:firstColumn="1" w:lastColumn="0" w:oddVBand="0" w:evenVBand="0" w:oddHBand="0" w:evenHBand="0" w:firstRowFirstColumn="0" w:firstRowLastColumn="0" w:lastRowFirstColumn="0" w:lastRowLastColumn="0"/>
            <w:tcW w:w="0" w:type="pct"/>
            <w:vMerge/>
            <w:vAlign w:val="center"/>
          </w:tcPr>
          <w:p w14:paraId="7FD06CBE" w14:textId="77777777" w:rsidR="005D004B" w:rsidRPr="00100F0A" w:rsidRDefault="005D004B" w:rsidP="006B2A8A">
            <w:pPr>
              <w:pStyle w:val="BodyText"/>
            </w:pPr>
          </w:p>
        </w:tc>
        <w:tc>
          <w:tcPr>
            <w:tcW w:w="0" w:type="pct"/>
            <w:tcBorders>
              <w:top w:val="single" w:sz="4" w:space="0" w:color="AAABD6"/>
              <w:bottom w:val="single" w:sz="4" w:space="0" w:color="AAABD6"/>
            </w:tcBorders>
            <w:shd w:val="clear" w:color="auto" w:fill="auto"/>
          </w:tcPr>
          <w:p w14:paraId="79E8AF14" w14:textId="0790C5FD" w:rsidR="005D004B" w:rsidRPr="00100F0A" w:rsidRDefault="005D004B" w:rsidP="00371019">
            <w:pPr>
              <w:pStyle w:val="BodyText"/>
              <w:cnfStyle w:val="000000000000" w:firstRow="0" w:lastRow="0" w:firstColumn="0" w:lastColumn="0" w:oddVBand="0" w:evenVBand="0" w:oddHBand="0" w:evenHBand="0" w:firstRowFirstColumn="0" w:firstRowLastColumn="0" w:lastRowFirstColumn="0" w:lastRowLastColumn="0"/>
            </w:pPr>
            <w:r w:rsidRPr="00100F0A">
              <w:t>Oil/water treatment (OWT) facility</w:t>
            </w:r>
            <w:r w:rsidR="00323506">
              <w:t>*</w:t>
            </w:r>
          </w:p>
        </w:tc>
        <w:tc>
          <w:tcPr>
            <w:tcW w:w="0" w:type="pct"/>
            <w:tcBorders>
              <w:top w:val="single" w:sz="4" w:space="0" w:color="AAABD6"/>
              <w:bottom w:val="single" w:sz="4" w:space="0" w:color="AAABD6"/>
            </w:tcBorders>
            <w:shd w:val="clear" w:color="auto" w:fill="auto"/>
          </w:tcPr>
          <w:p w14:paraId="6E918E6B" w14:textId="77777777" w:rsidR="005D004B" w:rsidRPr="00100F0A" w:rsidRDefault="005D004B" w:rsidP="006B2A8A">
            <w:pPr>
              <w:pStyle w:val="BodyText"/>
              <w:cnfStyle w:val="000000000000" w:firstRow="0" w:lastRow="0" w:firstColumn="0" w:lastColumn="0" w:oddVBand="0" w:evenVBand="0" w:oddHBand="0" w:evenHBand="0" w:firstRowFirstColumn="0" w:firstRowLastColumn="0" w:lastRowFirstColumn="0" w:lastRowLastColumn="0"/>
            </w:pPr>
            <w:r w:rsidRPr="00100F0A">
              <w:t>Facilities that treat waste oil/water, hydrocarbons/water mixtures or emulsions. Recovered oils are then typically sent on to an oil re-refining facility</w:t>
            </w:r>
          </w:p>
        </w:tc>
      </w:tr>
      <w:tr w:rsidR="005D004B" w:rsidRPr="00100F0A" w14:paraId="6B9BB8B8" w14:textId="77777777" w:rsidTr="00FD3200">
        <w:trPr>
          <w:trHeight w:val="193"/>
        </w:trPr>
        <w:tc>
          <w:tcPr>
            <w:cnfStyle w:val="001000000000" w:firstRow="0" w:lastRow="0" w:firstColumn="1" w:lastColumn="0" w:oddVBand="0" w:evenVBand="0" w:oddHBand="0" w:evenHBand="0" w:firstRowFirstColumn="0" w:firstRowLastColumn="0" w:lastRowFirstColumn="0" w:lastRowLastColumn="0"/>
            <w:tcW w:w="858" w:type="pct"/>
            <w:vMerge/>
            <w:tcBorders>
              <w:bottom w:val="single" w:sz="4" w:space="0" w:color="AAABD6"/>
            </w:tcBorders>
            <w:vAlign w:val="center"/>
          </w:tcPr>
          <w:p w14:paraId="7BF3AEF0" w14:textId="77777777" w:rsidR="005D004B" w:rsidRPr="00100F0A" w:rsidRDefault="005D004B" w:rsidP="006B2A8A">
            <w:pPr>
              <w:pStyle w:val="BodyText"/>
            </w:pPr>
          </w:p>
        </w:tc>
        <w:tc>
          <w:tcPr>
            <w:tcW w:w="1480" w:type="pct"/>
            <w:tcBorders>
              <w:top w:val="single" w:sz="4" w:space="0" w:color="AAABD6"/>
              <w:bottom w:val="single" w:sz="4" w:space="0" w:color="AAABD6"/>
            </w:tcBorders>
          </w:tcPr>
          <w:p w14:paraId="4E8B36C1" w14:textId="77777777" w:rsidR="005D004B" w:rsidRPr="00100F0A" w:rsidRDefault="005D004B" w:rsidP="00371019">
            <w:pPr>
              <w:pStyle w:val="BodyText"/>
              <w:cnfStyle w:val="000000000000" w:firstRow="0" w:lastRow="0" w:firstColumn="0" w:lastColumn="0" w:oddVBand="0" w:evenVBand="0" w:oddHBand="0" w:evenHBand="0" w:firstRowFirstColumn="0" w:firstRowLastColumn="0" w:lastRowFirstColumn="0" w:lastRowLastColumn="0"/>
            </w:pPr>
            <w:r w:rsidRPr="00100F0A">
              <w:t>Soils treatment facility</w:t>
            </w:r>
          </w:p>
        </w:tc>
        <w:tc>
          <w:tcPr>
            <w:tcW w:w="2662" w:type="pct"/>
            <w:tcBorders>
              <w:top w:val="single" w:sz="4" w:space="0" w:color="AAABD6"/>
              <w:bottom w:val="single" w:sz="4" w:space="0" w:color="AAABD6"/>
            </w:tcBorders>
            <w:vAlign w:val="center"/>
          </w:tcPr>
          <w:p w14:paraId="4DC076D5" w14:textId="77777777" w:rsidR="005D004B" w:rsidRPr="00100F0A" w:rsidRDefault="005D004B" w:rsidP="006B2A8A">
            <w:pPr>
              <w:pStyle w:val="BodyText"/>
              <w:cnfStyle w:val="000000000000" w:firstRow="0" w:lastRow="0" w:firstColumn="0" w:lastColumn="0" w:oddVBand="0" w:evenVBand="0" w:oddHBand="0" w:evenHBand="0" w:firstRowFirstColumn="0" w:firstRowLastColumn="0" w:lastRowFirstColumn="0" w:lastRowLastColumn="0"/>
            </w:pPr>
            <w:r w:rsidRPr="00100F0A">
              <w:t>Facilities that treat contaminated soils. Treatment processes include biodegradation and thermal destruction of contaminants.</w:t>
            </w:r>
          </w:p>
        </w:tc>
      </w:tr>
      <w:tr w:rsidR="005D004B" w:rsidRPr="00100F0A" w14:paraId="380BF8D6" w14:textId="77777777" w:rsidTr="00FD3200">
        <w:trPr>
          <w:trHeight w:val="91"/>
        </w:trPr>
        <w:tc>
          <w:tcPr>
            <w:cnfStyle w:val="001000000000" w:firstRow="0" w:lastRow="0" w:firstColumn="1" w:lastColumn="0" w:oddVBand="0" w:evenVBand="0" w:oddHBand="0" w:evenHBand="0" w:firstRowFirstColumn="0" w:firstRowLastColumn="0" w:lastRowFirstColumn="0" w:lastRowLastColumn="0"/>
            <w:tcW w:w="858" w:type="pct"/>
            <w:vMerge w:val="restart"/>
            <w:tcBorders>
              <w:top w:val="single" w:sz="4" w:space="0" w:color="AAABD6"/>
            </w:tcBorders>
            <w:vAlign w:val="center"/>
          </w:tcPr>
          <w:p w14:paraId="500A67E6" w14:textId="77777777" w:rsidR="005D004B" w:rsidRPr="00100F0A" w:rsidRDefault="005D004B" w:rsidP="006B2A8A">
            <w:pPr>
              <w:pStyle w:val="BodyText"/>
            </w:pPr>
            <w:r w:rsidRPr="00100F0A">
              <w:rPr>
                <w:b/>
                <w:bCs/>
              </w:rPr>
              <w:t>Disposal</w:t>
            </w:r>
          </w:p>
          <w:p w14:paraId="3A40C28A" w14:textId="77777777" w:rsidR="005D004B" w:rsidRPr="00100F0A" w:rsidRDefault="005D004B" w:rsidP="006B2A8A">
            <w:pPr>
              <w:pStyle w:val="BodyText"/>
            </w:pPr>
            <w:r w:rsidRPr="00100F0A">
              <w:rPr>
                <w:b/>
                <w:bCs/>
              </w:rPr>
              <w:t> </w:t>
            </w:r>
          </w:p>
          <w:p w14:paraId="6173F5C2" w14:textId="77777777" w:rsidR="005D004B" w:rsidRPr="00100F0A" w:rsidRDefault="005D004B" w:rsidP="006B2A8A">
            <w:pPr>
              <w:pStyle w:val="BodyText"/>
            </w:pPr>
            <w:r w:rsidRPr="00100F0A">
              <w:rPr>
                <w:b/>
                <w:bCs/>
              </w:rPr>
              <w:t> </w:t>
            </w:r>
          </w:p>
          <w:p w14:paraId="38A7F436" w14:textId="77777777" w:rsidR="005D004B" w:rsidRPr="00100F0A" w:rsidRDefault="005D004B" w:rsidP="006B2A8A">
            <w:pPr>
              <w:pStyle w:val="BodyText"/>
            </w:pPr>
            <w:r w:rsidRPr="00100F0A">
              <w:rPr>
                <w:b/>
                <w:bCs/>
              </w:rPr>
              <w:t> </w:t>
            </w:r>
          </w:p>
        </w:tc>
        <w:tc>
          <w:tcPr>
            <w:tcW w:w="1480" w:type="pct"/>
            <w:tcBorders>
              <w:top w:val="single" w:sz="4" w:space="0" w:color="AAABD6"/>
              <w:bottom w:val="single" w:sz="4" w:space="0" w:color="AAABD6"/>
            </w:tcBorders>
          </w:tcPr>
          <w:p w14:paraId="1E508234" w14:textId="1D0A43F2" w:rsidR="005D004B" w:rsidRPr="00100F0A" w:rsidRDefault="005D004B" w:rsidP="00371019">
            <w:pPr>
              <w:pStyle w:val="BodyText"/>
              <w:cnfStyle w:val="000000000000" w:firstRow="0" w:lastRow="0" w:firstColumn="0" w:lastColumn="0" w:oddVBand="0" w:evenVBand="0" w:oddHBand="0" w:evenHBand="0" w:firstRowFirstColumn="0" w:firstRowLastColumn="0" w:lastRowFirstColumn="0" w:lastRowLastColumn="0"/>
            </w:pPr>
            <w:r w:rsidRPr="00100F0A">
              <w:t>Hazardous waste landfill facility</w:t>
            </w:r>
          </w:p>
        </w:tc>
        <w:tc>
          <w:tcPr>
            <w:tcW w:w="2662" w:type="pct"/>
            <w:tcBorders>
              <w:top w:val="single" w:sz="4" w:space="0" w:color="AAABD6"/>
              <w:bottom w:val="single" w:sz="4" w:space="0" w:color="AAABD6"/>
            </w:tcBorders>
            <w:vAlign w:val="center"/>
          </w:tcPr>
          <w:p w14:paraId="119FBC6A" w14:textId="77777777" w:rsidR="005D004B" w:rsidRPr="00100F0A" w:rsidRDefault="005D004B" w:rsidP="006B2A8A">
            <w:pPr>
              <w:pStyle w:val="BodyText"/>
              <w:cnfStyle w:val="000000000000" w:firstRow="0" w:lastRow="0" w:firstColumn="0" w:lastColumn="0" w:oddVBand="0" w:evenVBand="0" w:oddHBand="0" w:evenHBand="0" w:firstRowFirstColumn="0" w:firstRowLastColumn="0" w:lastRowFirstColumn="0" w:lastRowLastColumn="0"/>
            </w:pPr>
            <w:r w:rsidRPr="00100F0A">
              <w:t>A small number of landfill facilities that are licensed to dispose of a wide range of hazardous wastes many of which can only be landfilled at these sites.</w:t>
            </w:r>
          </w:p>
        </w:tc>
      </w:tr>
      <w:tr w:rsidR="005D004B" w:rsidRPr="00100F0A" w14:paraId="516EF1C4" w14:textId="77777777" w:rsidTr="00FD3200">
        <w:trPr>
          <w:trHeight w:val="1156"/>
        </w:trPr>
        <w:tc>
          <w:tcPr>
            <w:cnfStyle w:val="001000000000" w:firstRow="0" w:lastRow="0" w:firstColumn="1" w:lastColumn="0" w:oddVBand="0" w:evenVBand="0" w:oddHBand="0" w:evenHBand="0" w:firstRowFirstColumn="0" w:firstRowLastColumn="0" w:lastRowFirstColumn="0" w:lastRowLastColumn="0"/>
            <w:tcW w:w="858" w:type="pct"/>
            <w:vMerge/>
            <w:vAlign w:val="center"/>
          </w:tcPr>
          <w:p w14:paraId="3E560AC6" w14:textId="77777777" w:rsidR="005D004B" w:rsidRPr="00100F0A" w:rsidRDefault="005D004B" w:rsidP="006B2A8A">
            <w:pPr>
              <w:pStyle w:val="BodyText"/>
            </w:pPr>
          </w:p>
        </w:tc>
        <w:tc>
          <w:tcPr>
            <w:tcW w:w="1480" w:type="pct"/>
            <w:tcBorders>
              <w:top w:val="single" w:sz="4" w:space="0" w:color="AAABD6"/>
              <w:bottom w:val="single" w:sz="4" w:space="0" w:color="AAABD6"/>
            </w:tcBorders>
          </w:tcPr>
          <w:p w14:paraId="05E83064" w14:textId="77777777" w:rsidR="005D004B" w:rsidRPr="00100F0A" w:rsidRDefault="005D004B" w:rsidP="00371019">
            <w:pPr>
              <w:pStyle w:val="BodyText"/>
              <w:cnfStyle w:val="000000000000" w:firstRow="0" w:lastRow="0" w:firstColumn="0" w:lastColumn="0" w:oddVBand="0" w:evenVBand="0" w:oddHBand="0" w:evenHBand="0" w:firstRowFirstColumn="0" w:firstRowLastColumn="0" w:lastRowFirstColumn="0" w:lastRowLastColumn="0"/>
            </w:pPr>
            <w:r w:rsidRPr="00100F0A">
              <w:t>Landfill facility (NEPM codes N, T)</w:t>
            </w:r>
          </w:p>
        </w:tc>
        <w:tc>
          <w:tcPr>
            <w:tcW w:w="2662" w:type="pct"/>
            <w:tcBorders>
              <w:top w:val="single" w:sz="4" w:space="0" w:color="AAABD6"/>
              <w:bottom w:val="single" w:sz="4" w:space="0" w:color="AAABD6"/>
            </w:tcBorders>
            <w:vAlign w:val="center"/>
          </w:tcPr>
          <w:p w14:paraId="3795135E" w14:textId="1E5E966E" w:rsidR="005D004B" w:rsidRPr="00AA13FA" w:rsidRDefault="005D004B" w:rsidP="006B2A8A">
            <w:pPr>
              <w:pStyle w:val="BodyText"/>
              <w:cnfStyle w:val="000000000000" w:firstRow="0" w:lastRow="0" w:firstColumn="0" w:lastColumn="0" w:oddVBand="0" w:evenVBand="0" w:oddHBand="0" w:evenHBand="0" w:firstRowFirstColumn="0" w:firstRowLastColumn="0" w:lastRowFirstColumn="0" w:lastRowLastColumn="0"/>
            </w:pPr>
            <w:r w:rsidRPr="00AA13FA">
              <w:t>Landfill facilities licensed to dispose of low-risk hazardous waste such as low-level contaminated soils, asbestos, and tyres (NEPM 15 codes N and T). These landfills also generally dispose of non-hazardous waste, which typically represent</w:t>
            </w:r>
            <w:r w:rsidR="00AA13FA">
              <w:t>s</w:t>
            </w:r>
            <w:r w:rsidRPr="00AA13FA">
              <w:t xml:space="preserve"> the majority of their inputs.</w:t>
            </w:r>
          </w:p>
          <w:p w14:paraId="6D14C8F9" w14:textId="2A2118EE" w:rsidR="005D004B" w:rsidRPr="003E117E" w:rsidRDefault="005D004B" w:rsidP="006B2A8A">
            <w:pPr>
              <w:pStyle w:val="BodyText"/>
              <w:cnfStyle w:val="000000000000" w:firstRow="0" w:lastRow="0" w:firstColumn="0" w:lastColumn="0" w:oddVBand="0" w:evenVBand="0" w:oddHBand="0" w:evenHBand="0" w:firstRowFirstColumn="0" w:firstRowLastColumn="0" w:lastRowFirstColumn="0" w:lastRowLastColumn="0"/>
            </w:pPr>
            <w:r w:rsidRPr="00A307F3">
              <w:t xml:space="preserve">Capacity data for this group is excluded from database. </w:t>
            </w:r>
            <w:r w:rsidRPr="00AA13FA">
              <w:t xml:space="preserve">This infrastructure group is excluded from the </w:t>
            </w:r>
            <w:r w:rsidRPr="00AA13FA">
              <w:rPr>
                <w:i/>
              </w:rPr>
              <w:t xml:space="preserve">Hazwaste infrastructure database 2018. </w:t>
            </w:r>
            <w:r w:rsidRPr="00AA13FA">
              <w:t>Many landfills around Australia dispose</w:t>
            </w:r>
            <w:r w:rsidR="00AA13FA">
              <w:t xml:space="preserve"> of</w:t>
            </w:r>
            <w:r w:rsidRPr="00AA13FA">
              <w:t xml:space="preserve"> low-level contaminated soils, asbestos and tyres. These landfills are not classified as hazardous waste landfills and are beyond the scope of this assessment. </w:t>
            </w:r>
          </w:p>
        </w:tc>
      </w:tr>
      <w:tr w:rsidR="005D004B" w:rsidRPr="00100F0A" w14:paraId="251839ED" w14:textId="77777777" w:rsidTr="00FD3200">
        <w:trPr>
          <w:trHeight w:val="42"/>
        </w:trPr>
        <w:tc>
          <w:tcPr>
            <w:cnfStyle w:val="001000000000" w:firstRow="0" w:lastRow="0" w:firstColumn="1" w:lastColumn="0" w:oddVBand="0" w:evenVBand="0" w:oddHBand="0" w:evenHBand="0" w:firstRowFirstColumn="0" w:firstRowLastColumn="0" w:lastRowFirstColumn="0" w:lastRowLastColumn="0"/>
            <w:tcW w:w="858" w:type="pct"/>
            <w:vMerge/>
            <w:vAlign w:val="center"/>
          </w:tcPr>
          <w:p w14:paraId="283DC90B" w14:textId="77777777" w:rsidR="005D004B" w:rsidRPr="00100F0A" w:rsidRDefault="005D004B" w:rsidP="006B2A8A">
            <w:pPr>
              <w:pStyle w:val="BodyText"/>
            </w:pPr>
          </w:p>
        </w:tc>
        <w:tc>
          <w:tcPr>
            <w:tcW w:w="1480" w:type="pct"/>
            <w:tcBorders>
              <w:top w:val="single" w:sz="4" w:space="0" w:color="AAABD6"/>
              <w:bottom w:val="single" w:sz="4" w:space="0" w:color="AAABD6"/>
            </w:tcBorders>
          </w:tcPr>
          <w:p w14:paraId="6556607E" w14:textId="2DDD659E" w:rsidR="005D004B" w:rsidRPr="00100F0A" w:rsidRDefault="005D004B" w:rsidP="00371019">
            <w:pPr>
              <w:pStyle w:val="BodyText"/>
              <w:cnfStyle w:val="000000000000" w:firstRow="0" w:lastRow="0" w:firstColumn="0" w:lastColumn="0" w:oddVBand="0" w:evenVBand="0" w:oddHBand="0" w:evenHBand="0" w:firstRowFirstColumn="0" w:firstRowLastColumn="0" w:lastRowFirstColumn="0" w:lastRowLastColumn="0"/>
            </w:pPr>
            <w:r w:rsidRPr="00100F0A">
              <w:t>Persistent organic pollutants thermal destruction facility</w:t>
            </w:r>
          </w:p>
        </w:tc>
        <w:tc>
          <w:tcPr>
            <w:tcW w:w="2662" w:type="pct"/>
            <w:tcBorders>
              <w:top w:val="single" w:sz="4" w:space="0" w:color="AAABD6"/>
              <w:bottom w:val="single" w:sz="4" w:space="0" w:color="AAABD6"/>
            </w:tcBorders>
            <w:vAlign w:val="center"/>
          </w:tcPr>
          <w:p w14:paraId="3DC0B623" w14:textId="52C63E06" w:rsidR="005D004B" w:rsidRPr="00100F0A" w:rsidRDefault="005D004B" w:rsidP="006B2A8A">
            <w:pPr>
              <w:pStyle w:val="BodyText"/>
              <w:cnfStyle w:val="000000000000" w:firstRow="0" w:lastRow="0" w:firstColumn="0" w:lastColumn="0" w:oddVBand="0" w:evenVBand="0" w:oddHBand="0" w:evenHBand="0" w:firstRowFirstColumn="0" w:firstRowLastColumn="0" w:lastRowFirstColumn="0" w:lastRowLastColumn="0"/>
            </w:pPr>
            <w:r w:rsidRPr="00100F0A">
              <w:t>Facilities able to destroy persistent organic compounds or pollutants (</w:t>
            </w:r>
            <w:r w:rsidR="00374225">
              <w:t>POP</w:t>
            </w:r>
            <w:r w:rsidRPr="00100F0A">
              <w:t>) by thermal destruction.</w:t>
            </w:r>
          </w:p>
        </w:tc>
      </w:tr>
      <w:tr w:rsidR="005D004B" w:rsidRPr="00100F0A" w14:paraId="3A11D63C" w14:textId="77777777" w:rsidTr="00FD3200">
        <w:trPr>
          <w:trHeight w:val="42"/>
        </w:trPr>
        <w:tc>
          <w:tcPr>
            <w:cnfStyle w:val="001000000000" w:firstRow="0" w:lastRow="0" w:firstColumn="1" w:lastColumn="0" w:oddVBand="0" w:evenVBand="0" w:oddHBand="0" w:evenHBand="0" w:firstRowFirstColumn="0" w:firstRowLastColumn="0" w:lastRowFirstColumn="0" w:lastRowLastColumn="0"/>
            <w:tcW w:w="858" w:type="pct"/>
            <w:vMerge/>
            <w:tcBorders>
              <w:bottom w:val="single" w:sz="4" w:space="0" w:color="AAABD6"/>
            </w:tcBorders>
            <w:vAlign w:val="center"/>
          </w:tcPr>
          <w:p w14:paraId="2D731171" w14:textId="77777777" w:rsidR="005D004B" w:rsidRPr="00100F0A" w:rsidRDefault="005D004B" w:rsidP="006B2A8A">
            <w:pPr>
              <w:pStyle w:val="BodyText"/>
            </w:pPr>
          </w:p>
        </w:tc>
        <w:tc>
          <w:tcPr>
            <w:tcW w:w="1480" w:type="pct"/>
            <w:tcBorders>
              <w:top w:val="single" w:sz="4" w:space="0" w:color="AAABD6"/>
              <w:bottom w:val="single" w:sz="4" w:space="0" w:color="AAABD6"/>
            </w:tcBorders>
          </w:tcPr>
          <w:p w14:paraId="3270D572" w14:textId="77777777" w:rsidR="005D004B" w:rsidRPr="00100F0A" w:rsidRDefault="005D004B" w:rsidP="00371019">
            <w:pPr>
              <w:pStyle w:val="BodyText"/>
              <w:cnfStyle w:val="000000000000" w:firstRow="0" w:lastRow="0" w:firstColumn="0" w:lastColumn="0" w:oddVBand="0" w:evenVBand="0" w:oddHBand="0" w:evenHBand="0" w:firstRowFirstColumn="0" w:firstRowLastColumn="0" w:lastRowFirstColumn="0" w:lastRowLastColumn="0"/>
            </w:pPr>
            <w:r w:rsidRPr="00100F0A">
              <w:t>Clinical waste facility thermal destruction</w:t>
            </w:r>
          </w:p>
        </w:tc>
        <w:tc>
          <w:tcPr>
            <w:tcW w:w="2662" w:type="pct"/>
            <w:tcBorders>
              <w:top w:val="single" w:sz="4" w:space="0" w:color="AAABD6"/>
              <w:bottom w:val="single" w:sz="4" w:space="0" w:color="AAABD6"/>
            </w:tcBorders>
            <w:vAlign w:val="center"/>
          </w:tcPr>
          <w:p w14:paraId="2DB95580" w14:textId="77777777" w:rsidR="005D004B" w:rsidRPr="00100F0A" w:rsidRDefault="005D004B" w:rsidP="006B2A8A">
            <w:pPr>
              <w:pStyle w:val="BodyText"/>
              <w:cnfStyle w:val="000000000000" w:firstRow="0" w:lastRow="0" w:firstColumn="0" w:lastColumn="0" w:oddVBand="0" w:evenVBand="0" w:oddHBand="0" w:evenHBand="0" w:firstRowFirstColumn="0" w:firstRowLastColumn="0" w:lastRowFirstColumn="0" w:lastRowLastColumn="0"/>
            </w:pPr>
            <w:r w:rsidRPr="00100F0A">
              <w:t>Facilities that dispose of medical waste by thermal destruction.</w:t>
            </w:r>
          </w:p>
        </w:tc>
      </w:tr>
      <w:tr w:rsidR="005D004B" w:rsidRPr="00100F0A" w14:paraId="59923967" w14:textId="77777777" w:rsidTr="00FD3200">
        <w:trPr>
          <w:trHeight w:val="61"/>
        </w:trPr>
        <w:tc>
          <w:tcPr>
            <w:cnfStyle w:val="001000000000" w:firstRow="0" w:lastRow="0" w:firstColumn="1" w:lastColumn="0" w:oddVBand="0" w:evenVBand="0" w:oddHBand="0" w:evenHBand="0" w:firstRowFirstColumn="0" w:firstRowLastColumn="0" w:lastRowFirstColumn="0" w:lastRowLastColumn="0"/>
            <w:tcW w:w="858" w:type="pct"/>
            <w:tcBorders>
              <w:top w:val="single" w:sz="4" w:space="0" w:color="AAABD6"/>
              <w:bottom w:val="single" w:sz="4" w:space="0" w:color="AAABD6"/>
            </w:tcBorders>
            <w:vAlign w:val="center"/>
          </w:tcPr>
          <w:p w14:paraId="59548141" w14:textId="77777777" w:rsidR="005D004B" w:rsidRPr="00100F0A" w:rsidRDefault="005D004B" w:rsidP="006B2A8A">
            <w:pPr>
              <w:pStyle w:val="BodyText"/>
            </w:pPr>
            <w:r w:rsidRPr="00100F0A">
              <w:rPr>
                <w:b/>
                <w:bCs/>
              </w:rPr>
              <w:t>Short-term storage or transfer</w:t>
            </w:r>
          </w:p>
        </w:tc>
        <w:tc>
          <w:tcPr>
            <w:tcW w:w="1480" w:type="pct"/>
            <w:tcBorders>
              <w:top w:val="single" w:sz="4" w:space="0" w:color="AAABD6"/>
              <w:bottom w:val="single" w:sz="4" w:space="0" w:color="AAABD6"/>
            </w:tcBorders>
          </w:tcPr>
          <w:p w14:paraId="19EF8311" w14:textId="77777777" w:rsidR="005D004B" w:rsidRPr="00100F0A" w:rsidRDefault="005D004B" w:rsidP="00371019">
            <w:pPr>
              <w:pStyle w:val="BodyText"/>
              <w:cnfStyle w:val="000000000000" w:firstRow="0" w:lastRow="0" w:firstColumn="0" w:lastColumn="0" w:oddVBand="0" w:evenVBand="0" w:oddHBand="0" w:evenHBand="0" w:firstRowFirstColumn="0" w:firstRowLastColumn="0" w:lastRowFirstColumn="0" w:lastRowLastColumn="0"/>
            </w:pPr>
            <w:r w:rsidRPr="00100F0A">
              <w:t>Transfer facility</w:t>
            </w:r>
          </w:p>
        </w:tc>
        <w:tc>
          <w:tcPr>
            <w:tcW w:w="2662" w:type="pct"/>
            <w:tcBorders>
              <w:top w:val="single" w:sz="4" w:space="0" w:color="AAABD6"/>
              <w:bottom w:val="single" w:sz="4" w:space="0" w:color="AAABD6"/>
            </w:tcBorders>
            <w:vAlign w:val="center"/>
          </w:tcPr>
          <w:p w14:paraId="1483DE99" w14:textId="6E7AC5C4" w:rsidR="005D004B" w:rsidRPr="00100F0A" w:rsidRDefault="005D004B" w:rsidP="006B2A8A">
            <w:pPr>
              <w:pStyle w:val="BodyText"/>
              <w:cnfStyle w:val="000000000000" w:firstRow="0" w:lastRow="0" w:firstColumn="0" w:lastColumn="0" w:oddVBand="0" w:evenVBand="0" w:oddHBand="0" w:evenHBand="0" w:firstRowFirstColumn="0" w:firstRowLastColumn="0" w:lastRowFirstColumn="0" w:lastRowLastColumn="0"/>
            </w:pPr>
            <w:r w:rsidRPr="00100F0A">
              <w:t>Facilities that transfer or temporarily store hazardous waste. Some of these facilities receive a wide range of waste, others only specific waste.</w:t>
            </w:r>
          </w:p>
          <w:p w14:paraId="21FF48A2" w14:textId="77777777" w:rsidR="005D004B" w:rsidRPr="00100F0A" w:rsidRDefault="005D004B" w:rsidP="006B2A8A">
            <w:pPr>
              <w:pStyle w:val="BodyText"/>
              <w:cnfStyle w:val="000000000000" w:firstRow="0" w:lastRow="0" w:firstColumn="0" w:lastColumn="0" w:oddVBand="0" w:evenVBand="0" w:oddHBand="0" w:evenHBand="0" w:firstRowFirstColumn="0" w:firstRowLastColumn="0" w:lastRowFirstColumn="0" w:lastRowLastColumn="0"/>
            </w:pPr>
            <w:r w:rsidRPr="00A307F3">
              <w:rPr>
                <w:color w:val="000000"/>
              </w:rPr>
              <w:t>Capacity data coverage limitation</w:t>
            </w:r>
            <w:r w:rsidRPr="00AA13FA">
              <w:rPr>
                <w:color w:val="000000"/>
              </w:rPr>
              <w:t>:</w:t>
            </w:r>
            <w:r w:rsidRPr="00100F0A">
              <w:rPr>
                <w:color w:val="000000"/>
              </w:rPr>
              <w:t xml:space="preserve"> not all transfer facilities are covered in the database and some infrastructure groups operate in part as a transfer facility.</w:t>
            </w:r>
          </w:p>
        </w:tc>
      </w:tr>
      <w:tr w:rsidR="005D004B" w:rsidRPr="00100F0A" w14:paraId="5EFBEC07" w14:textId="77777777" w:rsidTr="00895CD4">
        <w:trPr>
          <w:trHeight w:val="42"/>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AABD6"/>
              <w:bottom w:val="single" w:sz="4" w:space="0" w:color="AAABD6"/>
            </w:tcBorders>
            <w:shd w:val="clear" w:color="auto" w:fill="auto"/>
            <w:vAlign w:val="center"/>
          </w:tcPr>
          <w:p w14:paraId="59B11A5B" w14:textId="77777777" w:rsidR="005D004B" w:rsidRPr="00100F0A" w:rsidRDefault="005D004B" w:rsidP="006B2A8A">
            <w:pPr>
              <w:pStyle w:val="BodyText"/>
            </w:pPr>
            <w:r w:rsidRPr="00100F0A">
              <w:rPr>
                <w:b/>
                <w:bCs/>
              </w:rPr>
              <w:t>Long-term storage</w:t>
            </w:r>
          </w:p>
        </w:tc>
        <w:tc>
          <w:tcPr>
            <w:tcW w:w="0" w:type="pct"/>
            <w:tcBorders>
              <w:top w:val="single" w:sz="4" w:space="0" w:color="AAABD6"/>
              <w:bottom w:val="single" w:sz="4" w:space="0" w:color="AAABD6"/>
            </w:tcBorders>
            <w:shd w:val="clear" w:color="auto" w:fill="auto"/>
          </w:tcPr>
          <w:p w14:paraId="7A4CEB26" w14:textId="58082791" w:rsidR="005D004B" w:rsidRPr="00100F0A" w:rsidRDefault="005D004B" w:rsidP="00371019">
            <w:pPr>
              <w:pStyle w:val="BodyText"/>
              <w:cnfStyle w:val="000000000000" w:firstRow="0" w:lastRow="0" w:firstColumn="0" w:lastColumn="0" w:oddVBand="0" w:evenVBand="0" w:oddHBand="0" w:evenHBand="0" w:firstRowFirstColumn="0" w:firstRowLastColumn="0" w:lastRowFirstColumn="0" w:lastRowLastColumn="0"/>
            </w:pPr>
            <w:r w:rsidRPr="00100F0A">
              <w:t>Long-term on-site storage</w:t>
            </w:r>
            <w:r w:rsidR="00323506">
              <w:t>*</w:t>
            </w:r>
          </w:p>
        </w:tc>
        <w:tc>
          <w:tcPr>
            <w:tcW w:w="0" w:type="pct"/>
            <w:tcBorders>
              <w:top w:val="single" w:sz="4" w:space="0" w:color="AAABD6"/>
              <w:bottom w:val="single" w:sz="4" w:space="0" w:color="AAABD6"/>
            </w:tcBorders>
            <w:shd w:val="clear" w:color="auto" w:fill="auto"/>
            <w:vAlign w:val="center"/>
          </w:tcPr>
          <w:p w14:paraId="73E605B1" w14:textId="77777777" w:rsidR="005D004B" w:rsidRPr="00100F0A" w:rsidRDefault="005D004B" w:rsidP="006B2A8A">
            <w:pPr>
              <w:pStyle w:val="BodyText"/>
              <w:cnfStyle w:val="000000000000" w:firstRow="0" w:lastRow="0" w:firstColumn="0" w:lastColumn="0" w:oddVBand="0" w:evenVBand="0" w:oddHBand="0" w:evenHBand="0" w:firstRowFirstColumn="0" w:firstRowLastColumn="0" w:lastRowFirstColumn="0" w:lastRowLastColumn="0"/>
            </w:pPr>
            <w:r w:rsidRPr="00100F0A">
              <w:t xml:space="preserve">Pre-approved on-site (or near site) long-term storages of hazardous waste in designated area/s. </w:t>
            </w:r>
          </w:p>
          <w:p w14:paraId="5A753EED" w14:textId="1DB0574A" w:rsidR="005D004B" w:rsidRPr="00100F0A" w:rsidRDefault="005D004B" w:rsidP="006B2A8A">
            <w:pPr>
              <w:pStyle w:val="BodyText"/>
              <w:cnfStyle w:val="000000000000" w:firstRow="0" w:lastRow="0" w:firstColumn="0" w:lastColumn="0" w:oddVBand="0" w:evenVBand="0" w:oddHBand="0" w:evenHBand="0" w:firstRowFirstColumn="0" w:firstRowLastColumn="0" w:lastRowFirstColumn="0" w:lastRowLastColumn="0"/>
            </w:pPr>
            <w:r w:rsidRPr="00A307F3">
              <w:rPr>
                <w:color w:val="000000"/>
              </w:rPr>
              <w:t>Capacity data coverage limitation</w:t>
            </w:r>
            <w:r w:rsidRPr="00AA13FA">
              <w:rPr>
                <w:color w:val="000000"/>
              </w:rPr>
              <w:t>:</w:t>
            </w:r>
            <w:r w:rsidRPr="00100F0A">
              <w:rPr>
                <w:color w:val="000000"/>
              </w:rPr>
              <w:t xml:space="preserve"> long-term on-site storage facilities are excluded from the database and the needs vs capacity assessment. The infrastructure group has been included recognising that some hazardous waste</w:t>
            </w:r>
            <w:r w:rsidR="00AA13FA">
              <w:rPr>
                <w:color w:val="000000"/>
              </w:rPr>
              <w:t xml:space="preserve"> i</w:t>
            </w:r>
            <w:r w:rsidRPr="00100F0A">
              <w:rPr>
                <w:color w:val="000000"/>
              </w:rPr>
              <w:t>s managed in on</w:t>
            </w:r>
            <w:r w:rsidR="00AA13FA">
              <w:rPr>
                <w:color w:val="000000"/>
              </w:rPr>
              <w:t>-</w:t>
            </w:r>
            <w:r w:rsidRPr="00100F0A">
              <w:rPr>
                <w:color w:val="000000"/>
              </w:rPr>
              <w:t>site infrastructure that is often for the long term.</w:t>
            </w:r>
            <w:r w:rsidRPr="00100F0A">
              <w:rPr>
                <w:rFonts w:asciiTheme="minorHAnsi" w:hAnsiTheme="minorHAnsi" w:cs="Calibri"/>
              </w:rPr>
              <w:t xml:space="preserve"> </w:t>
            </w:r>
            <w:r w:rsidRPr="00100F0A">
              <w:t xml:space="preserve"> </w:t>
            </w:r>
          </w:p>
        </w:tc>
      </w:tr>
      <w:tr w:rsidR="005D004B" w:rsidRPr="00100F0A" w14:paraId="4689DCFD" w14:textId="77777777" w:rsidTr="00895CD4">
        <w:trPr>
          <w:trHeight w:val="485"/>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AABD6"/>
              <w:bottom w:val="single" w:sz="4" w:space="0" w:color="AAABD6"/>
            </w:tcBorders>
            <w:shd w:val="clear" w:color="auto" w:fill="auto"/>
            <w:vAlign w:val="center"/>
          </w:tcPr>
          <w:p w14:paraId="019AB1E5" w14:textId="77777777" w:rsidR="005D004B" w:rsidRPr="00100F0A" w:rsidRDefault="005D004B" w:rsidP="006B2A8A">
            <w:pPr>
              <w:pStyle w:val="BodyText"/>
            </w:pPr>
            <w:r w:rsidRPr="00100F0A">
              <w:rPr>
                <w:b/>
                <w:bCs/>
              </w:rPr>
              <w:t> </w:t>
            </w:r>
          </w:p>
        </w:tc>
        <w:tc>
          <w:tcPr>
            <w:tcW w:w="0" w:type="pct"/>
            <w:tcBorders>
              <w:top w:val="single" w:sz="4" w:space="0" w:color="AAABD6"/>
              <w:bottom w:val="single" w:sz="4" w:space="0" w:color="AAABD6"/>
            </w:tcBorders>
            <w:shd w:val="clear" w:color="auto" w:fill="auto"/>
          </w:tcPr>
          <w:p w14:paraId="26A76081" w14:textId="4BE2C968" w:rsidR="005D004B" w:rsidRPr="00100F0A" w:rsidRDefault="005D004B" w:rsidP="00371019">
            <w:pPr>
              <w:pStyle w:val="BodyText"/>
              <w:cnfStyle w:val="000000000000" w:firstRow="0" w:lastRow="0" w:firstColumn="0" w:lastColumn="0" w:oddVBand="0" w:evenVBand="0" w:oddHBand="0" w:evenHBand="0" w:firstRowFirstColumn="0" w:firstRowLastColumn="0" w:lastRowFirstColumn="0" w:lastRowLastColumn="0"/>
            </w:pPr>
            <w:r w:rsidRPr="00100F0A">
              <w:t>Long-term isolation facility</w:t>
            </w:r>
            <w:r w:rsidR="00323506">
              <w:t>*</w:t>
            </w:r>
          </w:p>
        </w:tc>
        <w:tc>
          <w:tcPr>
            <w:tcW w:w="0" w:type="pct"/>
            <w:tcBorders>
              <w:top w:val="single" w:sz="4" w:space="0" w:color="AAABD6"/>
              <w:bottom w:val="single" w:sz="4" w:space="0" w:color="AAABD6"/>
            </w:tcBorders>
            <w:shd w:val="clear" w:color="auto" w:fill="auto"/>
            <w:vAlign w:val="center"/>
          </w:tcPr>
          <w:p w14:paraId="7E2E052F" w14:textId="11117F23" w:rsidR="005D004B" w:rsidRPr="00100F0A" w:rsidRDefault="005D004B" w:rsidP="006B2A8A">
            <w:pPr>
              <w:pStyle w:val="BodyText"/>
              <w:cnfStyle w:val="000000000000" w:firstRow="0" w:lastRow="0" w:firstColumn="0" w:lastColumn="0" w:oddVBand="0" w:evenVBand="0" w:oddHBand="0" w:evenHBand="0" w:firstRowFirstColumn="0" w:firstRowLastColumn="0" w:lastRowFirstColumn="0" w:lastRowLastColumn="0"/>
            </w:pPr>
            <w:r w:rsidRPr="00100F0A">
              <w:t>Facilities licensed to store hazardous waste for long periods (≥10 years), typically until an economically viable treatment or disposal solution is developed.</w:t>
            </w:r>
          </w:p>
        </w:tc>
      </w:tr>
    </w:tbl>
    <w:p w14:paraId="3C327F02" w14:textId="32602135" w:rsidR="00F62FA9" w:rsidRPr="00100F0A" w:rsidRDefault="00F62FA9" w:rsidP="00F62FA9">
      <w:pPr>
        <w:pStyle w:val="Notes"/>
      </w:pPr>
      <w:r w:rsidRPr="00100F0A">
        <w:t>Note</w:t>
      </w:r>
      <w:r w:rsidR="00323506">
        <w:t>s</w:t>
      </w:r>
      <w:r w:rsidRPr="00100F0A">
        <w:t xml:space="preserve">: </w:t>
      </w:r>
      <w:r w:rsidR="00323506">
        <w:t xml:space="preserve">* </w:t>
      </w:r>
      <w:r w:rsidRPr="00100F0A">
        <w:t>new infrastructure group</w:t>
      </w:r>
      <w:r w:rsidR="00AA13FA">
        <w:t>s</w:t>
      </w:r>
      <w:r w:rsidRPr="00100F0A">
        <w:t xml:space="preserve"> added in 2018 assessment </w:t>
      </w:r>
    </w:p>
    <w:p w14:paraId="5A64CD32" w14:textId="77777777" w:rsidR="00347ED1" w:rsidRPr="00100F0A" w:rsidRDefault="00347ED1" w:rsidP="00347ED1">
      <w:pPr>
        <w:pStyle w:val="BodyText"/>
      </w:pPr>
    </w:p>
    <w:p w14:paraId="51FB3663" w14:textId="2CE6C399" w:rsidR="00347ED1" w:rsidRPr="00100F0A" w:rsidRDefault="00347ED1" w:rsidP="00347ED1">
      <w:pPr>
        <w:pStyle w:val="BodyText"/>
      </w:pPr>
      <w:r w:rsidRPr="00100F0A">
        <w:t>The scope and coverage of the infrastructure database constrains the assessment of infrastructure capacity against projected arisings. Some hazardous waste</w:t>
      </w:r>
      <w:r w:rsidR="00AA13FA">
        <w:t xml:space="preserve"> i</w:t>
      </w:r>
      <w:r w:rsidRPr="00100F0A">
        <w:t xml:space="preserve">s managed in facilities that are not included in the infrastructure database, while others are sent to infrastructure with limited coverage in the database. </w:t>
      </w:r>
      <w:r w:rsidR="009A5153">
        <w:t xml:space="preserve">For these wastes, a comparison of future arisings vs processing capacity using the available data may not produce </w:t>
      </w:r>
      <w:r w:rsidRPr="00100F0A">
        <w:t>an accurate</w:t>
      </w:r>
      <w:r w:rsidR="009A5153">
        <w:t xml:space="preserve"> result</w:t>
      </w:r>
      <w:r w:rsidRPr="00100F0A">
        <w:t>. Figure S3 illustrates which infrastructure groups are out of the capacity assessment scope or have limited coverage</w:t>
      </w:r>
      <w:r w:rsidR="007A0AEE">
        <w:t xml:space="preserve"> and the total tonnages of hazardous waste reported in 2016-17</w:t>
      </w:r>
      <w:r w:rsidR="00A43053">
        <w:t>.</w:t>
      </w:r>
    </w:p>
    <w:p w14:paraId="2D6263A6" w14:textId="337ECB7F" w:rsidR="00347ED1" w:rsidRPr="00100F0A" w:rsidRDefault="00347ED1" w:rsidP="00347ED1">
      <w:pPr>
        <w:pStyle w:val="BodyText"/>
      </w:pPr>
    </w:p>
    <w:p w14:paraId="7CF8E07F" w14:textId="72C9536E" w:rsidR="00F62FA9" w:rsidRPr="00100F0A" w:rsidRDefault="00F62FA9" w:rsidP="00347ED1">
      <w:pPr>
        <w:pStyle w:val="BodyText"/>
      </w:pPr>
    </w:p>
    <w:p w14:paraId="3092A75C" w14:textId="052B4CC4" w:rsidR="00F62FA9" w:rsidRPr="00100F0A" w:rsidRDefault="00F62FA9" w:rsidP="00347ED1">
      <w:pPr>
        <w:pStyle w:val="BodyText"/>
      </w:pPr>
    </w:p>
    <w:p w14:paraId="692CB499" w14:textId="731930AA" w:rsidR="00F62FA9" w:rsidRPr="00100F0A" w:rsidRDefault="00F62FA9" w:rsidP="00347ED1">
      <w:pPr>
        <w:pStyle w:val="BodyText"/>
      </w:pPr>
    </w:p>
    <w:p w14:paraId="286CD6DB" w14:textId="727B5504" w:rsidR="00F62FA9" w:rsidRPr="00100F0A" w:rsidRDefault="00F62FA9" w:rsidP="00347ED1">
      <w:pPr>
        <w:pStyle w:val="BodyText"/>
      </w:pPr>
    </w:p>
    <w:p w14:paraId="007962E8" w14:textId="4BD419D9" w:rsidR="00F62FA9" w:rsidRPr="00100F0A" w:rsidRDefault="00F62FA9" w:rsidP="00347ED1">
      <w:pPr>
        <w:pStyle w:val="BodyText"/>
      </w:pPr>
    </w:p>
    <w:p w14:paraId="22F0832F" w14:textId="170F0CCC" w:rsidR="00F62FA9" w:rsidRDefault="00F62FA9" w:rsidP="00347ED1">
      <w:pPr>
        <w:pStyle w:val="BodyText"/>
      </w:pPr>
    </w:p>
    <w:p w14:paraId="376AA063" w14:textId="3B5C9049" w:rsidR="00C157EA" w:rsidRDefault="00C157EA" w:rsidP="00347ED1">
      <w:pPr>
        <w:pStyle w:val="BodyText"/>
      </w:pPr>
    </w:p>
    <w:p w14:paraId="69181E41" w14:textId="5D4D865E" w:rsidR="00C157EA" w:rsidRDefault="00C157EA" w:rsidP="00347ED1">
      <w:pPr>
        <w:pStyle w:val="BodyText"/>
      </w:pPr>
    </w:p>
    <w:p w14:paraId="0228AD6D" w14:textId="6D91E9F0" w:rsidR="00C157EA" w:rsidRDefault="00C157EA" w:rsidP="00347ED1">
      <w:pPr>
        <w:pStyle w:val="BodyText"/>
      </w:pPr>
    </w:p>
    <w:p w14:paraId="11C89700" w14:textId="57559A50" w:rsidR="00C157EA" w:rsidRDefault="00C157EA" w:rsidP="00347ED1">
      <w:pPr>
        <w:pStyle w:val="BodyText"/>
      </w:pPr>
    </w:p>
    <w:p w14:paraId="0A0DDB90" w14:textId="77777777" w:rsidR="00C157EA" w:rsidRPr="00100F0A" w:rsidRDefault="00C157EA" w:rsidP="00347ED1">
      <w:pPr>
        <w:pStyle w:val="BodyText"/>
      </w:pPr>
    </w:p>
    <w:p w14:paraId="15258C5F" w14:textId="48E717E7" w:rsidR="00F62FA9" w:rsidRDefault="00347ED1" w:rsidP="00F62FA9">
      <w:pPr>
        <w:pStyle w:val="Caption"/>
      </w:pPr>
      <w:r w:rsidRPr="00100F0A">
        <w:t xml:space="preserve">Figure S3: </w:t>
      </w:r>
      <w:r w:rsidR="005D004C">
        <w:t>W</w:t>
      </w:r>
      <w:r w:rsidR="00F62FA9" w:rsidRPr="00100F0A">
        <w:t xml:space="preserve">aste groups arisings, coverage in capacity database, and extent of </w:t>
      </w:r>
      <w:r w:rsidR="005D004C">
        <w:t>a</w:t>
      </w:r>
      <w:r w:rsidR="00F62FA9" w:rsidRPr="00100F0A">
        <w:t>ssessment</w:t>
      </w:r>
      <w:r w:rsidR="001754FC">
        <w:t xml:space="preserve"> </w:t>
      </w:r>
    </w:p>
    <w:p w14:paraId="5C86E131" w14:textId="648CD826" w:rsidR="00F62FA9" w:rsidRPr="00100F0A" w:rsidRDefault="002919BE" w:rsidP="00F62FA9">
      <w:pPr>
        <w:pStyle w:val="BodyText"/>
      </w:pPr>
      <w:r>
        <w:rPr>
          <w:noProof/>
          <w:lang w:eastAsia="en-AU"/>
        </w:rPr>
        <w:drawing>
          <wp:inline distT="0" distB="0" distL="0" distR="0" wp14:anchorId="04624891" wp14:editId="29886E84">
            <wp:extent cx="5735320" cy="5625465"/>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HWIN coverage v3.emf"/>
                    <pic:cNvPicPr/>
                  </pic:nvPicPr>
                  <pic:blipFill>
                    <a:blip r:embed="rId25">
                      <a:extLst>
                        <a:ext uri="{28A0092B-C50C-407E-A947-70E740481C1C}">
                          <a14:useLocalDpi xmlns:a14="http://schemas.microsoft.com/office/drawing/2010/main" val="0"/>
                        </a:ext>
                      </a:extLst>
                    </a:blip>
                    <a:stretch>
                      <a:fillRect/>
                    </a:stretch>
                  </pic:blipFill>
                  <pic:spPr>
                    <a:xfrm>
                      <a:off x="0" y="0"/>
                      <a:ext cx="5735320" cy="5625465"/>
                    </a:xfrm>
                    <a:prstGeom prst="rect">
                      <a:avLst/>
                    </a:prstGeom>
                  </pic:spPr>
                </pic:pic>
              </a:graphicData>
            </a:graphic>
          </wp:inline>
        </w:drawing>
      </w:r>
    </w:p>
    <w:p w14:paraId="38BCEE01" w14:textId="77777777" w:rsidR="00A43053" w:rsidRDefault="00A43053" w:rsidP="00347ED1">
      <w:pPr>
        <w:pStyle w:val="BodyText"/>
      </w:pPr>
    </w:p>
    <w:p w14:paraId="1448CFF3" w14:textId="175B5D82" w:rsidR="00B504FA" w:rsidRPr="00100F0A" w:rsidRDefault="00347ED1" w:rsidP="00347ED1">
      <w:pPr>
        <w:pStyle w:val="BodyText"/>
      </w:pPr>
      <w:r w:rsidRPr="00100F0A">
        <w:t xml:space="preserve">The capacity of each infrastructure group was compiled by jurisdiction. Data gaps were filled through estimates based on EPA licence limits and average capacity reported by survey respondents in the relevant group. Section </w:t>
      </w:r>
      <w:r w:rsidRPr="00100F0A">
        <w:fldChar w:fldCharType="begin"/>
      </w:r>
      <w:r w:rsidRPr="00100F0A">
        <w:instrText xml:space="preserve"> REF _Ref420062067 \r \h </w:instrText>
      </w:r>
      <w:r w:rsidRPr="00100F0A">
        <w:fldChar w:fldCharType="separate"/>
      </w:r>
      <w:r w:rsidR="00EB634D">
        <w:t>4.2</w:t>
      </w:r>
      <w:r w:rsidRPr="00100F0A">
        <w:fldChar w:fldCharType="end"/>
      </w:r>
      <w:r w:rsidRPr="00100F0A">
        <w:t xml:space="preserve"> provides detailed analysis of the limitations and uncertainty associated with the infrastructure capacity assessment and an overall estimate of uncertainty for each infrastructure group. </w:t>
      </w:r>
    </w:p>
    <w:p w14:paraId="67C25176" w14:textId="77777777" w:rsidR="00B504FA" w:rsidRPr="00100F0A" w:rsidRDefault="00B504FA" w:rsidP="00347ED1">
      <w:pPr>
        <w:pStyle w:val="BodyText"/>
      </w:pPr>
    </w:p>
    <w:p w14:paraId="073438AE" w14:textId="0A4D24D7" w:rsidR="00347ED1" w:rsidRPr="00100F0A" w:rsidRDefault="00347ED1" w:rsidP="00347ED1">
      <w:pPr>
        <w:pStyle w:val="BodyText"/>
      </w:pPr>
      <w:r w:rsidRPr="00100F0A">
        <w:t xml:space="preserve">The national capacity is summarised in Table S3, including the overall estimates of uncertainty for each </w:t>
      </w:r>
      <w:r w:rsidR="00F62FA9" w:rsidRPr="00100F0A">
        <w:t>i</w:t>
      </w:r>
      <w:r w:rsidRPr="00100F0A">
        <w:t>nfrastructure group</w:t>
      </w:r>
      <w:r w:rsidR="00F62FA9" w:rsidRPr="00100F0A">
        <w:t xml:space="preserve"> </w:t>
      </w:r>
      <w:r w:rsidR="00567CF9">
        <w:t xml:space="preserve">capacity </w:t>
      </w:r>
      <w:r w:rsidR="00F62FA9" w:rsidRPr="00100F0A">
        <w:t>assessment</w:t>
      </w:r>
      <w:r w:rsidRPr="00100F0A">
        <w:t xml:space="preserve">. </w:t>
      </w:r>
      <w:r w:rsidR="00B504FA" w:rsidRPr="00100F0A">
        <w:t>T</w:t>
      </w:r>
      <w:r w:rsidRPr="00100F0A">
        <w:t>he difference between overall arisings (</w:t>
      </w:r>
      <w:r w:rsidR="00B504FA" w:rsidRPr="00100F0A">
        <w:t>6.</w:t>
      </w:r>
      <w:r w:rsidR="00537F94">
        <w:t>1</w:t>
      </w:r>
      <w:r w:rsidRPr="00100F0A">
        <w:t xml:space="preserve"> Mt) and overall capacity (</w:t>
      </w:r>
      <w:r w:rsidR="00B504FA" w:rsidRPr="00100F0A">
        <w:t>2.3</w:t>
      </w:r>
      <w:r w:rsidRPr="00100F0A">
        <w:t xml:space="preserve"> Mt) is mainly attributable to the limits on the scope of the </w:t>
      </w:r>
      <w:r w:rsidR="00B504FA" w:rsidRPr="00100F0A">
        <w:t xml:space="preserve">hazardous waste </w:t>
      </w:r>
      <w:r w:rsidRPr="00100F0A">
        <w:t>infrastructure database</w:t>
      </w:r>
      <w:r w:rsidR="00B504FA" w:rsidRPr="00100F0A">
        <w:t>, as illustrated in Figure S3.</w:t>
      </w:r>
    </w:p>
    <w:p w14:paraId="6821931A" w14:textId="6B154202" w:rsidR="00B504FA" w:rsidRPr="00100F0A" w:rsidRDefault="00B504FA" w:rsidP="00347ED1">
      <w:pPr>
        <w:pStyle w:val="BodyText"/>
      </w:pPr>
    </w:p>
    <w:p w14:paraId="6EAAD5C4" w14:textId="4C8B0952" w:rsidR="00615F2B" w:rsidRPr="00100F0A" w:rsidRDefault="00615F2B" w:rsidP="00347ED1">
      <w:pPr>
        <w:pStyle w:val="BodyText"/>
      </w:pPr>
      <w:r>
        <w:t xml:space="preserve">‘Mobile’ waste treatment technology that is moved from one site clean-up to another is included in the scope of the assessment where the technology is providing the waste treatment (onsite). Mobile equipment that is used to simply collect, concentrate, or transport hazardous wastes simply to enable treatment off-site is not included. </w:t>
      </w:r>
    </w:p>
    <w:p w14:paraId="1A0F1732" w14:textId="0CF177FE" w:rsidR="00C512EF" w:rsidRDefault="00C512EF" w:rsidP="00895CD4">
      <w:pPr>
        <w:pStyle w:val="BodyText"/>
      </w:pPr>
    </w:p>
    <w:p w14:paraId="24A22C43" w14:textId="22253AD3" w:rsidR="00B30B8D" w:rsidRDefault="001138C3" w:rsidP="00347ED1">
      <w:pPr>
        <w:pStyle w:val="BodyText"/>
        <w:spacing w:after="120" w:line="260" w:lineRule="atLeast"/>
        <w:rPr>
          <w:i/>
          <w:iCs/>
          <w:color w:val="4D4DB8"/>
          <w:szCs w:val="18"/>
        </w:rPr>
      </w:pPr>
      <w:r>
        <w:rPr>
          <w:noProof/>
          <w:color w:val="4D4DB8"/>
          <w:szCs w:val="18"/>
          <w:lang w:eastAsia="en-AU"/>
        </w:rPr>
        <w:drawing>
          <wp:anchor distT="0" distB="0" distL="114300" distR="114300" simplePos="0" relativeHeight="251678208" behindDoc="0" locked="0" layoutInCell="1" allowOverlap="1" wp14:anchorId="46633454" wp14:editId="11C158C0">
            <wp:simplePos x="0" y="0"/>
            <wp:positionH relativeFrom="column">
              <wp:posOffset>-12065</wp:posOffset>
            </wp:positionH>
            <wp:positionV relativeFrom="paragraph">
              <wp:posOffset>246380</wp:posOffset>
            </wp:positionV>
            <wp:extent cx="5692775" cy="4366895"/>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1.PN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692775" cy="4366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7ED1" w:rsidRPr="00100F0A">
        <w:rPr>
          <w:i/>
          <w:iCs/>
          <w:color w:val="4D4DB8"/>
          <w:szCs w:val="18"/>
        </w:rPr>
        <w:t xml:space="preserve">Table S3: </w:t>
      </w:r>
      <w:r w:rsidR="00347ED1" w:rsidRPr="00100F0A">
        <w:rPr>
          <w:i/>
          <w:iCs/>
          <w:color w:val="4D4DB8"/>
          <w:szCs w:val="18"/>
        </w:rPr>
        <w:tab/>
        <w:t>National capacity estimate of hazardous waste infrastructure</w:t>
      </w:r>
    </w:p>
    <w:tbl>
      <w:tblPr>
        <w:tblW w:w="8505" w:type="dxa"/>
        <w:tblLook w:val="04A0" w:firstRow="1" w:lastRow="0" w:firstColumn="1" w:lastColumn="0" w:noHBand="0" w:noVBand="1"/>
      </w:tblPr>
      <w:tblGrid>
        <w:gridCol w:w="2797"/>
        <w:gridCol w:w="791"/>
        <w:gridCol w:w="4917"/>
      </w:tblGrid>
      <w:tr w:rsidR="00B30B8D" w:rsidRPr="00B30B8D" w14:paraId="3D98A907" w14:textId="77777777" w:rsidTr="00895CD4">
        <w:trPr>
          <w:trHeight w:val="255"/>
        </w:trPr>
        <w:tc>
          <w:tcPr>
            <w:tcW w:w="2797" w:type="dxa"/>
            <w:tcBorders>
              <w:top w:val="nil"/>
              <w:left w:val="nil"/>
              <w:bottom w:val="single" w:sz="4" w:space="0" w:color="BFBFBF"/>
              <w:right w:val="nil"/>
            </w:tcBorders>
            <w:shd w:val="clear" w:color="auto" w:fill="auto"/>
            <w:noWrap/>
            <w:vAlign w:val="bottom"/>
            <w:hideMark/>
          </w:tcPr>
          <w:p w14:paraId="47B6F7FC" w14:textId="77777777" w:rsidR="00AC2649" w:rsidRPr="00895CD4" w:rsidRDefault="00AC2649" w:rsidP="00AC2649">
            <w:pPr>
              <w:rPr>
                <w:rFonts w:asciiTheme="minorHAnsi" w:eastAsia="Times New Roman" w:hAnsiTheme="minorHAnsi" w:cstheme="minorHAnsi"/>
                <w:b/>
                <w:bCs/>
                <w:sz w:val="20"/>
                <w:szCs w:val="20"/>
                <w:lang w:eastAsia="en-AU"/>
              </w:rPr>
            </w:pPr>
            <w:r w:rsidRPr="00895CD4">
              <w:rPr>
                <w:rFonts w:asciiTheme="minorHAnsi" w:eastAsia="Times New Roman" w:hAnsiTheme="minorHAnsi" w:cstheme="minorHAnsi"/>
                <w:b/>
                <w:bCs/>
                <w:sz w:val="20"/>
                <w:szCs w:val="20"/>
                <w:lang w:eastAsia="en-AU"/>
              </w:rPr>
              <w:t>Data quality definitions</w:t>
            </w:r>
          </w:p>
        </w:tc>
        <w:tc>
          <w:tcPr>
            <w:tcW w:w="791" w:type="dxa"/>
            <w:tcBorders>
              <w:top w:val="single" w:sz="4" w:space="0" w:color="BFBFBF"/>
              <w:left w:val="nil"/>
              <w:bottom w:val="single" w:sz="4" w:space="0" w:color="BFBFBF"/>
              <w:right w:val="nil"/>
            </w:tcBorders>
            <w:shd w:val="clear" w:color="auto" w:fill="auto"/>
            <w:vAlign w:val="bottom"/>
            <w:hideMark/>
          </w:tcPr>
          <w:p w14:paraId="51545769" w14:textId="77777777" w:rsidR="00AC2649" w:rsidRPr="00895CD4" w:rsidRDefault="00AC2649" w:rsidP="00AC2649">
            <w:pPr>
              <w:rPr>
                <w:rFonts w:asciiTheme="minorHAnsi" w:eastAsia="Times New Roman" w:hAnsiTheme="minorHAnsi" w:cstheme="minorHAnsi"/>
                <w:b/>
                <w:sz w:val="20"/>
                <w:szCs w:val="20"/>
                <w:lang w:eastAsia="en-AU"/>
              </w:rPr>
            </w:pPr>
            <w:r w:rsidRPr="00895CD4">
              <w:rPr>
                <w:rFonts w:asciiTheme="minorHAnsi" w:eastAsia="Times New Roman" w:hAnsiTheme="minorHAnsi" w:cstheme="minorHAnsi"/>
                <w:b/>
                <w:sz w:val="20"/>
                <w:szCs w:val="20"/>
                <w:lang w:eastAsia="en-AU"/>
              </w:rPr>
              <w:t>Good</w:t>
            </w:r>
          </w:p>
        </w:tc>
        <w:tc>
          <w:tcPr>
            <w:tcW w:w="4917" w:type="dxa"/>
            <w:tcBorders>
              <w:top w:val="single" w:sz="4" w:space="0" w:color="BFBFBF"/>
              <w:left w:val="nil"/>
              <w:bottom w:val="single" w:sz="4" w:space="0" w:color="BFBFBF"/>
              <w:right w:val="nil"/>
            </w:tcBorders>
            <w:shd w:val="clear" w:color="auto" w:fill="auto"/>
            <w:noWrap/>
            <w:vAlign w:val="bottom"/>
            <w:hideMark/>
          </w:tcPr>
          <w:p w14:paraId="2BAA4152" w14:textId="2694FFA6" w:rsidR="00AC2649" w:rsidRPr="00895CD4" w:rsidRDefault="00AC2649" w:rsidP="00AC2649">
            <w:pPr>
              <w:rPr>
                <w:rFonts w:asciiTheme="minorHAnsi" w:eastAsia="Times New Roman" w:hAnsiTheme="minorHAnsi" w:cstheme="minorHAnsi"/>
                <w:sz w:val="20"/>
                <w:szCs w:val="20"/>
                <w:lang w:eastAsia="en-AU"/>
              </w:rPr>
            </w:pPr>
            <w:r w:rsidRPr="00895CD4">
              <w:rPr>
                <w:rFonts w:asciiTheme="minorHAnsi" w:eastAsia="Times New Roman" w:hAnsiTheme="minorHAnsi" w:cstheme="minorHAnsi"/>
                <w:sz w:val="20"/>
                <w:szCs w:val="20"/>
                <w:lang w:eastAsia="en-AU"/>
              </w:rPr>
              <w:t xml:space="preserve">Industry response received. Processing, licensed, and installed capacity data supplied during consultation  </w:t>
            </w:r>
          </w:p>
        </w:tc>
      </w:tr>
      <w:tr w:rsidR="00B30B8D" w:rsidRPr="00B30B8D" w14:paraId="344157E8" w14:textId="77777777" w:rsidTr="00895CD4">
        <w:trPr>
          <w:trHeight w:val="255"/>
        </w:trPr>
        <w:tc>
          <w:tcPr>
            <w:tcW w:w="2797" w:type="dxa"/>
            <w:tcBorders>
              <w:top w:val="nil"/>
              <w:left w:val="nil"/>
              <w:bottom w:val="nil"/>
              <w:right w:val="nil"/>
            </w:tcBorders>
            <w:shd w:val="clear" w:color="auto" w:fill="auto"/>
            <w:noWrap/>
            <w:vAlign w:val="bottom"/>
            <w:hideMark/>
          </w:tcPr>
          <w:p w14:paraId="24993AE6" w14:textId="77777777" w:rsidR="00AC2649" w:rsidRPr="00895CD4" w:rsidRDefault="00AC2649" w:rsidP="00AC2649">
            <w:pPr>
              <w:rPr>
                <w:rFonts w:asciiTheme="minorHAnsi" w:eastAsia="Times New Roman" w:hAnsiTheme="minorHAnsi" w:cstheme="minorHAnsi"/>
                <w:color w:val="000000"/>
                <w:sz w:val="20"/>
                <w:szCs w:val="20"/>
                <w:lang w:eastAsia="en-AU"/>
              </w:rPr>
            </w:pPr>
            <w:r w:rsidRPr="00895CD4">
              <w:rPr>
                <w:rFonts w:asciiTheme="minorHAnsi" w:eastAsia="Times New Roman" w:hAnsiTheme="minorHAnsi" w:cstheme="minorHAnsi"/>
                <w:color w:val="000000"/>
                <w:sz w:val="20"/>
                <w:szCs w:val="20"/>
                <w:lang w:eastAsia="en-AU"/>
              </w:rPr>
              <w:t> </w:t>
            </w:r>
          </w:p>
        </w:tc>
        <w:tc>
          <w:tcPr>
            <w:tcW w:w="791" w:type="dxa"/>
            <w:tcBorders>
              <w:top w:val="nil"/>
              <w:left w:val="nil"/>
              <w:bottom w:val="single" w:sz="4" w:space="0" w:color="BFBFBF"/>
              <w:right w:val="nil"/>
            </w:tcBorders>
            <w:shd w:val="clear" w:color="auto" w:fill="auto"/>
            <w:vAlign w:val="bottom"/>
            <w:hideMark/>
          </w:tcPr>
          <w:p w14:paraId="25755CBA" w14:textId="77777777" w:rsidR="00AC2649" w:rsidRPr="00895CD4" w:rsidRDefault="00AC2649" w:rsidP="00AC2649">
            <w:pPr>
              <w:rPr>
                <w:rFonts w:asciiTheme="minorHAnsi" w:eastAsia="Times New Roman" w:hAnsiTheme="minorHAnsi" w:cstheme="minorHAnsi"/>
                <w:b/>
                <w:sz w:val="20"/>
                <w:szCs w:val="20"/>
                <w:lang w:eastAsia="en-AU"/>
              </w:rPr>
            </w:pPr>
            <w:r w:rsidRPr="00895CD4">
              <w:rPr>
                <w:rFonts w:asciiTheme="minorHAnsi" w:eastAsia="Times New Roman" w:hAnsiTheme="minorHAnsi" w:cstheme="minorHAnsi"/>
                <w:b/>
                <w:sz w:val="20"/>
                <w:szCs w:val="20"/>
                <w:lang w:eastAsia="en-AU"/>
              </w:rPr>
              <w:t>Ok</w:t>
            </w:r>
          </w:p>
        </w:tc>
        <w:tc>
          <w:tcPr>
            <w:tcW w:w="4917" w:type="dxa"/>
            <w:tcBorders>
              <w:top w:val="nil"/>
              <w:left w:val="nil"/>
              <w:bottom w:val="single" w:sz="4" w:space="0" w:color="BFBFBF"/>
              <w:right w:val="nil"/>
            </w:tcBorders>
            <w:shd w:val="clear" w:color="auto" w:fill="auto"/>
            <w:noWrap/>
            <w:vAlign w:val="bottom"/>
            <w:hideMark/>
          </w:tcPr>
          <w:p w14:paraId="227316E0" w14:textId="3D205BDF" w:rsidR="00AC2649" w:rsidRPr="00895CD4" w:rsidRDefault="00AC2649" w:rsidP="00AC2649">
            <w:pPr>
              <w:rPr>
                <w:rFonts w:asciiTheme="minorHAnsi" w:eastAsia="Times New Roman" w:hAnsiTheme="minorHAnsi" w:cstheme="minorHAnsi"/>
                <w:sz w:val="20"/>
                <w:szCs w:val="20"/>
                <w:lang w:eastAsia="en-AU"/>
              </w:rPr>
            </w:pPr>
            <w:r w:rsidRPr="00895CD4">
              <w:rPr>
                <w:rFonts w:asciiTheme="minorHAnsi" w:eastAsia="Times New Roman" w:hAnsiTheme="minorHAnsi" w:cstheme="minorHAnsi"/>
                <w:sz w:val="20"/>
                <w:szCs w:val="20"/>
                <w:lang w:eastAsia="en-AU"/>
              </w:rPr>
              <w:t xml:space="preserve">No response. Maximum licensed processing capacity data identified in licence or published company information </w:t>
            </w:r>
          </w:p>
        </w:tc>
      </w:tr>
      <w:tr w:rsidR="00B30B8D" w:rsidRPr="00B30B8D" w14:paraId="0A4DFF5E" w14:textId="77777777" w:rsidTr="00895CD4">
        <w:trPr>
          <w:trHeight w:val="255"/>
        </w:trPr>
        <w:tc>
          <w:tcPr>
            <w:tcW w:w="2797" w:type="dxa"/>
            <w:tcBorders>
              <w:top w:val="nil"/>
              <w:left w:val="nil"/>
              <w:bottom w:val="nil"/>
              <w:right w:val="nil"/>
            </w:tcBorders>
            <w:shd w:val="clear" w:color="auto" w:fill="auto"/>
            <w:noWrap/>
            <w:vAlign w:val="bottom"/>
            <w:hideMark/>
          </w:tcPr>
          <w:p w14:paraId="49D63287" w14:textId="77777777" w:rsidR="00AC2649" w:rsidRPr="00895CD4" w:rsidRDefault="00AC2649" w:rsidP="00AC2649">
            <w:pPr>
              <w:rPr>
                <w:rFonts w:asciiTheme="minorHAnsi" w:eastAsia="Times New Roman" w:hAnsiTheme="minorHAnsi" w:cstheme="minorHAnsi"/>
                <w:color w:val="000000"/>
                <w:sz w:val="20"/>
                <w:szCs w:val="20"/>
                <w:lang w:eastAsia="en-AU"/>
              </w:rPr>
            </w:pPr>
            <w:r w:rsidRPr="00895CD4">
              <w:rPr>
                <w:rFonts w:asciiTheme="minorHAnsi" w:eastAsia="Times New Roman" w:hAnsiTheme="minorHAnsi" w:cstheme="minorHAnsi"/>
                <w:color w:val="000000"/>
                <w:sz w:val="20"/>
                <w:szCs w:val="20"/>
                <w:lang w:eastAsia="en-AU"/>
              </w:rPr>
              <w:t> </w:t>
            </w:r>
          </w:p>
        </w:tc>
        <w:tc>
          <w:tcPr>
            <w:tcW w:w="791" w:type="dxa"/>
            <w:tcBorders>
              <w:top w:val="nil"/>
              <w:left w:val="nil"/>
              <w:bottom w:val="single" w:sz="4" w:space="0" w:color="BFBFBF"/>
              <w:right w:val="nil"/>
            </w:tcBorders>
            <w:shd w:val="clear" w:color="auto" w:fill="auto"/>
            <w:vAlign w:val="bottom"/>
            <w:hideMark/>
          </w:tcPr>
          <w:p w14:paraId="395D3751" w14:textId="77777777" w:rsidR="00AC2649" w:rsidRPr="00895CD4" w:rsidRDefault="00AC2649" w:rsidP="00AC2649">
            <w:pPr>
              <w:rPr>
                <w:rFonts w:asciiTheme="minorHAnsi" w:eastAsia="Times New Roman" w:hAnsiTheme="minorHAnsi" w:cstheme="minorHAnsi"/>
                <w:b/>
                <w:sz w:val="20"/>
                <w:szCs w:val="20"/>
                <w:lang w:eastAsia="en-AU"/>
              </w:rPr>
            </w:pPr>
            <w:r w:rsidRPr="00895CD4">
              <w:rPr>
                <w:rFonts w:asciiTheme="minorHAnsi" w:eastAsia="Times New Roman" w:hAnsiTheme="minorHAnsi" w:cstheme="minorHAnsi"/>
                <w:b/>
                <w:sz w:val="20"/>
                <w:szCs w:val="20"/>
                <w:lang w:eastAsia="en-AU"/>
              </w:rPr>
              <w:t>Poor</w:t>
            </w:r>
          </w:p>
        </w:tc>
        <w:tc>
          <w:tcPr>
            <w:tcW w:w="4917" w:type="dxa"/>
            <w:tcBorders>
              <w:top w:val="nil"/>
              <w:left w:val="nil"/>
              <w:bottom w:val="single" w:sz="4" w:space="0" w:color="BFBFBF"/>
              <w:right w:val="nil"/>
            </w:tcBorders>
            <w:shd w:val="clear" w:color="auto" w:fill="auto"/>
            <w:noWrap/>
            <w:vAlign w:val="bottom"/>
            <w:hideMark/>
          </w:tcPr>
          <w:p w14:paraId="481FE2D6" w14:textId="1D714850" w:rsidR="00AC2649" w:rsidRPr="00895CD4" w:rsidRDefault="00AC2649" w:rsidP="00AC2649">
            <w:pPr>
              <w:rPr>
                <w:rFonts w:asciiTheme="minorHAnsi" w:eastAsia="Times New Roman" w:hAnsiTheme="minorHAnsi" w:cstheme="minorHAnsi"/>
                <w:sz w:val="20"/>
                <w:szCs w:val="20"/>
                <w:lang w:eastAsia="en-AU"/>
              </w:rPr>
            </w:pPr>
            <w:r w:rsidRPr="00895CD4">
              <w:rPr>
                <w:rFonts w:asciiTheme="minorHAnsi" w:eastAsia="Times New Roman" w:hAnsiTheme="minorHAnsi" w:cstheme="minorHAnsi"/>
                <w:sz w:val="20"/>
                <w:szCs w:val="20"/>
                <w:lang w:eastAsia="en-AU"/>
              </w:rPr>
              <w:t>No response. Licensed processing capacity assumed to be the average of the tonnage processed by inf. with the same inf. group</w:t>
            </w:r>
          </w:p>
        </w:tc>
      </w:tr>
    </w:tbl>
    <w:p w14:paraId="2F23C7B8" w14:textId="3E85FA49" w:rsidR="00323506" w:rsidRDefault="00323506" w:rsidP="00323506">
      <w:pPr>
        <w:pStyle w:val="Notes"/>
        <w:ind w:left="0" w:firstLine="0"/>
      </w:pPr>
      <w:r w:rsidRPr="00100F0A">
        <w:t>Notes:</w:t>
      </w:r>
      <w:r w:rsidRPr="00F7413A">
        <w:rPr>
          <w:shd w:val="clear" w:color="auto" w:fill="FFFFFF" w:themeFill="background1"/>
        </w:rPr>
        <w:t xml:space="preserve"> </w:t>
      </w:r>
      <w:r w:rsidR="009D734D">
        <w:rPr>
          <w:shd w:val="clear" w:color="auto" w:fill="FFFFFF" w:themeFill="background1"/>
        </w:rPr>
        <w:t>I</w:t>
      </w:r>
      <w:r w:rsidRPr="00100F0A">
        <w:t xml:space="preserve">nfrastructure groups </w:t>
      </w:r>
      <w:r w:rsidR="009D734D">
        <w:t xml:space="preserve">that are </w:t>
      </w:r>
      <w:r w:rsidR="009D734D">
        <w:rPr>
          <w:shd w:val="clear" w:color="auto" w:fill="D9D9D9" w:themeFill="background1" w:themeFillShade="D9"/>
        </w:rPr>
        <w:t>s</w:t>
      </w:r>
      <w:r w:rsidR="009D734D" w:rsidRPr="00AC2649">
        <w:rPr>
          <w:shd w:val="clear" w:color="auto" w:fill="D9D9D9" w:themeFill="background1" w:themeFillShade="D9"/>
        </w:rPr>
        <w:t>haded</w:t>
      </w:r>
      <w:r w:rsidR="009D734D" w:rsidRPr="00100F0A">
        <w:rPr>
          <w:shd w:val="clear" w:color="auto" w:fill="D9D9D9" w:themeFill="background1" w:themeFillShade="D9"/>
        </w:rPr>
        <w:t xml:space="preserve"> grey</w:t>
      </w:r>
      <w:r w:rsidR="009D734D" w:rsidRPr="00100F0A">
        <w:t xml:space="preserve"> </w:t>
      </w:r>
      <w:r w:rsidRPr="00100F0A">
        <w:t>have coverage limitations</w:t>
      </w:r>
      <w:r>
        <w:t xml:space="preserve"> or are excluded</w:t>
      </w:r>
      <w:r w:rsidRPr="00100F0A">
        <w:t xml:space="preserve">. </w:t>
      </w:r>
    </w:p>
    <w:p w14:paraId="06538EEF" w14:textId="48F69CA0" w:rsidR="00347ED1" w:rsidRPr="00100F0A" w:rsidRDefault="00347ED1" w:rsidP="00B504FA">
      <w:pPr>
        <w:pStyle w:val="Heading3-nonumber"/>
      </w:pPr>
      <w:r w:rsidRPr="00100F0A">
        <w:t>Assessment of projected need vs capacity of hazardous waste infrastructure</w:t>
      </w:r>
    </w:p>
    <w:p w14:paraId="4E9F1D72" w14:textId="6D8C9DF8" w:rsidR="00347ED1" w:rsidRPr="00100F0A" w:rsidRDefault="00347ED1" w:rsidP="00347ED1">
      <w:pPr>
        <w:pStyle w:val="BodyText"/>
      </w:pPr>
      <w:r w:rsidRPr="00100F0A">
        <w:t xml:space="preserve">The assessment of need against capacity involved four main steps (refer to Section </w:t>
      </w:r>
      <w:r w:rsidRPr="00100F0A">
        <w:fldChar w:fldCharType="begin"/>
      </w:r>
      <w:r w:rsidRPr="00100F0A">
        <w:instrText xml:space="preserve"> REF _Ref419553398 \r \h </w:instrText>
      </w:r>
      <w:r w:rsidRPr="00100F0A">
        <w:fldChar w:fldCharType="separate"/>
      </w:r>
      <w:r w:rsidR="00EB634D">
        <w:t>4.1</w:t>
      </w:r>
      <w:r w:rsidRPr="00100F0A">
        <w:fldChar w:fldCharType="end"/>
      </w:r>
      <w:r w:rsidRPr="00100F0A">
        <w:t xml:space="preserve"> for detail):</w:t>
      </w:r>
    </w:p>
    <w:p w14:paraId="49398836" w14:textId="0412D49D" w:rsidR="00347ED1" w:rsidRPr="00100F0A" w:rsidRDefault="00347ED1" w:rsidP="00567CF9">
      <w:pPr>
        <w:pStyle w:val="ListNumber"/>
        <w:numPr>
          <w:ilvl w:val="0"/>
          <w:numId w:val="38"/>
        </w:numPr>
      </w:pPr>
      <w:r w:rsidRPr="00100F0A">
        <w:t xml:space="preserve">The </w:t>
      </w:r>
      <w:r w:rsidR="00A8067A" w:rsidRPr="00100F0A">
        <w:t xml:space="preserve">management </w:t>
      </w:r>
      <w:r w:rsidRPr="00100F0A">
        <w:t>of 201</w:t>
      </w:r>
      <w:r w:rsidR="00A8067A" w:rsidRPr="00100F0A">
        <w:t>6</w:t>
      </w:r>
      <w:r w:rsidRPr="00100F0A">
        <w:t>-1</w:t>
      </w:r>
      <w:r w:rsidR="00A8067A" w:rsidRPr="00100F0A">
        <w:t>7</w:t>
      </w:r>
      <w:r w:rsidRPr="00100F0A">
        <w:t xml:space="preserve"> waste arisings were expressed in proportions (percentages) and adjusted to remove anomalies.</w:t>
      </w:r>
    </w:p>
    <w:p w14:paraId="612BA48D" w14:textId="0AA022C3" w:rsidR="00A8067A" w:rsidRPr="00100F0A" w:rsidRDefault="00347ED1" w:rsidP="00567CF9">
      <w:pPr>
        <w:pStyle w:val="ListNumber"/>
        <w:numPr>
          <w:ilvl w:val="0"/>
          <w:numId w:val="38"/>
        </w:numPr>
      </w:pPr>
      <w:r w:rsidRPr="00100F0A">
        <w:t xml:space="preserve">For each waste group, the </w:t>
      </w:r>
      <w:r w:rsidR="00A8067A" w:rsidRPr="00100F0A">
        <w:t xml:space="preserve">management methods </w:t>
      </w:r>
      <w:r w:rsidRPr="00100F0A">
        <w:t xml:space="preserve">were </w:t>
      </w:r>
      <w:r w:rsidR="00454CF8">
        <w:t>mapped</w:t>
      </w:r>
      <w:r w:rsidR="00454CF8" w:rsidRPr="00100F0A">
        <w:t xml:space="preserve"> </w:t>
      </w:r>
      <w:r w:rsidRPr="00100F0A">
        <w:t xml:space="preserve">to an infrastructure group. </w:t>
      </w:r>
    </w:p>
    <w:p w14:paraId="5626901F" w14:textId="3C624A83" w:rsidR="00347ED1" w:rsidRPr="00100F0A" w:rsidRDefault="00347ED1" w:rsidP="00567CF9">
      <w:pPr>
        <w:pStyle w:val="ListNumber"/>
        <w:numPr>
          <w:ilvl w:val="0"/>
          <w:numId w:val="38"/>
        </w:numPr>
      </w:pPr>
      <w:r w:rsidRPr="00100F0A">
        <w:t>The tonnes of each waste sent to each infrastructure group were projected for each year and scenario, assuming waste is sent to the various infrastructure groups in the same proportions as</w:t>
      </w:r>
      <w:r w:rsidR="00C512EF">
        <w:t xml:space="preserve"> </w:t>
      </w:r>
      <w:r w:rsidRPr="00100F0A">
        <w:t>201</w:t>
      </w:r>
      <w:r w:rsidR="00A8067A" w:rsidRPr="00100F0A">
        <w:t>6</w:t>
      </w:r>
      <w:r w:rsidRPr="00100F0A">
        <w:t>-1</w:t>
      </w:r>
      <w:r w:rsidR="00A8067A" w:rsidRPr="00100F0A">
        <w:t>7</w:t>
      </w:r>
      <w:r w:rsidRPr="00100F0A">
        <w:t xml:space="preserve"> (i.e. the recovery rate of each waste group remains constant over the period).</w:t>
      </w:r>
    </w:p>
    <w:p w14:paraId="2073E163" w14:textId="77777777" w:rsidR="00347ED1" w:rsidRPr="00100F0A" w:rsidRDefault="00347ED1" w:rsidP="00567CF9">
      <w:pPr>
        <w:pStyle w:val="ListNumber"/>
        <w:numPr>
          <w:ilvl w:val="0"/>
          <w:numId w:val="38"/>
        </w:numPr>
      </w:pPr>
      <w:r w:rsidRPr="00100F0A">
        <w:t>The projected tonnages sent to each infrastructure group were compared with capacity.</w:t>
      </w:r>
    </w:p>
    <w:p w14:paraId="189A4A90" w14:textId="77777777" w:rsidR="00347ED1" w:rsidRPr="00100F0A" w:rsidRDefault="00347ED1" w:rsidP="00347ED1">
      <w:pPr>
        <w:pStyle w:val="BodyText"/>
      </w:pPr>
    </w:p>
    <w:p w14:paraId="5080FC7F" w14:textId="09FB6118" w:rsidR="00F91F60" w:rsidRDefault="00347ED1" w:rsidP="00347ED1">
      <w:pPr>
        <w:pStyle w:val="BodyText"/>
      </w:pPr>
      <w:r w:rsidRPr="00100F0A">
        <w:t xml:space="preserve">The results of the comparison are shown in Table S5 on a national basis. Estimates shaded grey are considered inaccurate due mainly to the infrastructure group having limited coverage in the capacity assessment. Separate jurisdictional assessments were undertaken (see </w:t>
      </w:r>
      <w:r w:rsidRPr="00100F0A">
        <w:fldChar w:fldCharType="begin"/>
      </w:r>
      <w:r w:rsidRPr="00100F0A">
        <w:instrText xml:space="preserve"> REF _Ref409389114 \h  \* MERGEFORMAT </w:instrText>
      </w:r>
      <w:r w:rsidRPr="00100F0A">
        <w:fldChar w:fldCharType="separate"/>
      </w:r>
      <w:r w:rsidR="00EB634D" w:rsidRPr="00100F0A">
        <w:t xml:space="preserve">Table </w:t>
      </w:r>
      <w:r w:rsidR="00EB634D">
        <w:t>52</w:t>
      </w:r>
      <w:r w:rsidRPr="00100F0A">
        <w:fldChar w:fldCharType="end"/>
      </w:r>
      <w:r w:rsidRPr="00100F0A">
        <w:t xml:space="preserve"> </w:t>
      </w:r>
      <w:r w:rsidRPr="003C162F">
        <w:t>to</w:t>
      </w:r>
      <w:r w:rsidR="00F91F60" w:rsidRPr="00537F94">
        <w:t xml:space="preserve"> </w:t>
      </w:r>
      <w:r w:rsidR="00F91F60" w:rsidRPr="001D22FE">
        <w:fldChar w:fldCharType="begin"/>
      </w:r>
      <w:r w:rsidR="00F91F60" w:rsidRPr="00F74D52">
        <w:instrText xml:space="preserve"> REF _Ref531182821 \h </w:instrText>
      </w:r>
      <w:r w:rsidR="00F74D52">
        <w:instrText xml:space="preserve"> \* MERGEFORMAT </w:instrText>
      </w:r>
      <w:r w:rsidR="00F91F60" w:rsidRPr="001D22FE">
        <w:fldChar w:fldCharType="separate"/>
      </w:r>
      <w:r w:rsidR="00EB634D" w:rsidRPr="00EB634D">
        <w:t>Table 59</w:t>
      </w:r>
      <w:r w:rsidR="00F91F60" w:rsidRPr="001D22FE">
        <w:fldChar w:fldCharType="end"/>
      </w:r>
      <w:r w:rsidRPr="00100F0A">
        <w:t>).</w:t>
      </w:r>
    </w:p>
    <w:p w14:paraId="4E9BAA22" w14:textId="77777777" w:rsidR="003249F2" w:rsidRPr="00100F0A" w:rsidRDefault="003249F2" w:rsidP="00347ED1">
      <w:pPr>
        <w:pStyle w:val="BodyText"/>
      </w:pPr>
    </w:p>
    <w:p w14:paraId="7C19BAFF" w14:textId="77777777" w:rsidR="00F91F60" w:rsidRPr="003C162F" w:rsidRDefault="00F91F60" w:rsidP="003C162F">
      <w:pPr>
        <w:pStyle w:val="BodyText"/>
      </w:pPr>
    </w:p>
    <w:p w14:paraId="68C11EF5" w14:textId="31F1937D" w:rsidR="00347ED1" w:rsidRDefault="00347ED1" w:rsidP="00347ED1">
      <w:pPr>
        <w:pStyle w:val="BodyText"/>
        <w:spacing w:after="120" w:line="260" w:lineRule="atLeast"/>
        <w:rPr>
          <w:i/>
          <w:iCs/>
          <w:color w:val="4D4DB8"/>
          <w:szCs w:val="18"/>
        </w:rPr>
      </w:pPr>
      <w:r w:rsidRPr="00100F0A">
        <w:rPr>
          <w:i/>
          <w:iCs/>
          <w:color w:val="4D4DB8"/>
          <w:szCs w:val="18"/>
        </w:rPr>
        <w:t xml:space="preserve">Table S5: </w:t>
      </w:r>
      <w:r w:rsidRPr="00100F0A">
        <w:rPr>
          <w:i/>
          <w:iCs/>
          <w:color w:val="4D4DB8"/>
          <w:szCs w:val="18"/>
        </w:rPr>
        <w:tab/>
        <w:t>National assessment of projected arisings vs infrastructure capacity</w:t>
      </w:r>
    </w:p>
    <w:tbl>
      <w:tblPr>
        <w:tblW w:w="9647" w:type="dxa"/>
        <w:tblInd w:w="-431" w:type="dxa"/>
        <w:tblLook w:val="04A0" w:firstRow="1" w:lastRow="0" w:firstColumn="1" w:lastColumn="0" w:noHBand="0" w:noVBand="1"/>
      </w:tblPr>
      <w:tblGrid>
        <w:gridCol w:w="3403"/>
        <w:gridCol w:w="850"/>
        <w:gridCol w:w="931"/>
        <w:gridCol w:w="975"/>
        <w:gridCol w:w="1320"/>
        <w:gridCol w:w="723"/>
        <w:gridCol w:w="723"/>
        <w:gridCol w:w="722"/>
      </w:tblGrid>
      <w:tr w:rsidR="00490741" w:rsidRPr="00100F0A" w14:paraId="137D5AE9" w14:textId="77777777" w:rsidTr="00895CD4">
        <w:trPr>
          <w:trHeight w:val="1020"/>
          <w:tblHeader/>
        </w:trPr>
        <w:tc>
          <w:tcPr>
            <w:tcW w:w="3403" w:type="dxa"/>
            <w:tcBorders>
              <w:top w:val="single" w:sz="4" w:space="0" w:color="BFBFBF"/>
              <w:left w:val="single" w:sz="4" w:space="0" w:color="BFBFBF"/>
              <w:bottom w:val="nil"/>
              <w:right w:val="nil"/>
            </w:tcBorders>
            <w:shd w:val="clear" w:color="000000" w:fill="C5D9F1"/>
            <w:vAlign w:val="center"/>
            <w:hideMark/>
          </w:tcPr>
          <w:p w14:paraId="33748BF0" w14:textId="77777777" w:rsidR="00490741" w:rsidRPr="00100F0A" w:rsidRDefault="00490741" w:rsidP="00490741">
            <w:pPr>
              <w:jc w:val="center"/>
              <w:rPr>
                <w:rFonts w:eastAsia="Times New Roman" w:cs="Calibri"/>
                <w:b/>
                <w:bCs/>
                <w:color w:val="000000"/>
                <w:sz w:val="20"/>
                <w:szCs w:val="18"/>
                <w:lang w:eastAsia="en-AU"/>
              </w:rPr>
            </w:pPr>
            <w:r w:rsidRPr="00100F0A">
              <w:rPr>
                <w:rFonts w:eastAsia="Times New Roman" w:cs="Calibri"/>
                <w:b/>
                <w:bCs/>
                <w:color w:val="000000"/>
                <w:sz w:val="20"/>
                <w:szCs w:val="18"/>
                <w:lang w:eastAsia="en-AU"/>
              </w:rPr>
              <w:t>Infrastructure group</w:t>
            </w:r>
          </w:p>
        </w:tc>
        <w:tc>
          <w:tcPr>
            <w:tcW w:w="850" w:type="dxa"/>
            <w:tcBorders>
              <w:top w:val="single" w:sz="4" w:space="0" w:color="BFBFBF"/>
              <w:left w:val="nil"/>
              <w:bottom w:val="nil"/>
              <w:right w:val="nil"/>
            </w:tcBorders>
            <w:shd w:val="clear" w:color="000000" w:fill="C5D9F1"/>
            <w:hideMark/>
          </w:tcPr>
          <w:p w14:paraId="19295619" w14:textId="77777777" w:rsidR="00490741" w:rsidRPr="00100F0A" w:rsidRDefault="00490741" w:rsidP="00490741">
            <w:pPr>
              <w:jc w:val="right"/>
              <w:rPr>
                <w:rFonts w:eastAsia="Times New Roman" w:cs="Calibri"/>
                <w:b/>
                <w:bCs/>
                <w:color w:val="000000"/>
                <w:sz w:val="20"/>
                <w:szCs w:val="18"/>
                <w:lang w:eastAsia="en-AU"/>
              </w:rPr>
            </w:pPr>
            <w:r w:rsidRPr="00100F0A">
              <w:rPr>
                <w:rFonts w:eastAsia="Times New Roman" w:cs="Calibri"/>
                <w:b/>
                <w:bCs/>
                <w:color w:val="000000"/>
                <w:sz w:val="20"/>
                <w:szCs w:val="18"/>
                <w:lang w:eastAsia="en-AU"/>
              </w:rPr>
              <w:t>16-17 arisings</w:t>
            </w:r>
          </w:p>
        </w:tc>
        <w:tc>
          <w:tcPr>
            <w:tcW w:w="931" w:type="dxa"/>
            <w:tcBorders>
              <w:top w:val="single" w:sz="4" w:space="0" w:color="BFBFBF"/>
              <w:left w:val="nil"/>
              <w:bottom w:val="nil"/>
              <w:right w:val="nil"/>
            </w:tcBorders>
            <w:shd w:val="clear" w:color="000000" w:fill="C5D9F1"/>
            <w:hideMark/>
          </w:tcPr>
          <w:p w14:paraId="61D8C3BD" w14:textId="77777777" w:rsidR="00490741" w:rsidRPr="00100F0A" w:rsidRDefault="00490741" w:rsidP="00490741">
            <w:pPr>
              <w:jc w:val="right"/>
              <w:rPr>
                <w:rFonts w:eastAsia="Times New Roman" w:cs="Calibri"/>
                <w:b/>
                <w:bCs/>
                <w:color w:val="000000"/>
                <w:sz w:val="20"/>
                <w:szCs w:val="18"/>
                <w:lang w:eastAsia="en-AU"/>
              </w:rPr>
            </w:pPr>
            <w:r w:rsidRPr="00100F0A">
              <w:rPr>
                <w:rFonts w:eastAsia="Times New Roman" w:cs="Calibri"/>
                <w:b/>
                <w:bCs/>
                <w:color w:val="000000"/>
                <w:sz w:val="20"/>
                <w:szCs w:val="18"/>
                <w:lang w:eastAsia="en-AU"/>
              </w:rPr>
              <w:t>Installed capacity</w:t>
            </w:r>
          </w:p>
        </w:tc>
        <w:tc>
          <w:tcPr>
            <w:tcW w:w="975" w:type="dxa"/>
            <w:tcBorders>
              <w:top w:val="single" w:sz="4" w:space="0" w:color="BFBFBF"/>
              <w:left w:val="nil"/>
              <w:bottom w:val="nil"/>
              <w:right w:val="nil"/>
            </w:tcBorders>
            <w:shd w:val="clear" w:color="000000" w:fill="C5D9F1"/>
            <w:hideMark/>
          </w:tcPr>
          <w:p w14:paraId="53DA0E83" w14:textId="31D1C5E0" w:rsidR="00490741" w:rsidRPr="00100F0A" w:rsidRDefault="00387CBE" w:rsidP="00490741">
            <w:pPr>
              <w:jc w:val="right"/>
              <w:rPr>
                <w:rFonts w:eastAsia="Times New Roman" w:cs="Calibri"/>
                <w:b/>
                <w:bCs/>
                <w:color w:val="000000"/>
                <w:sz w:val="20"/>
                <w:szCs w:val="18"/>
                <w:lang w:eastAsia="en-AU"/>
              </w:rPr>
            </w:pPr>
            <w:r w:rsidRPr="00100F0A">
              <w:rPr>
                <w:rFonts w:eastAsia="Times New Roman" w:cs="Calibri"/>
                <w:b/>
                <w:bCs/>
                <w:color w:val="000000"/>
                <w:sz w:val="20"/>
                <w:szCs w:val="18"/>
                <w:lang w:eastAsia="en-AU"/>
              </w:rPr>
              <w:t>Expected capacity</w:t>
            </w:r>
            <w:r w:rsidR="00490741" w:rsidRPr="00100F0A">
              <w:rPr>
                <w:rFonts w:eastAsia="Times New Roman" w:cs="Calibri"/>
                <w:b/>
                <w:bCs/>
                <w:color w:val="000000"/>
                <w:sz w:val="20"/>
                <w:szCs w:val="18"/>
                <w:lang w:eastAsia="en-AU"/>
              </w:rPr>
              <w:t xml:space="preserve"> change</w:t>
            </w:r>
          </w:p>
        </w:tc>
        <w:tc>
          <w:tcPr>
            <w:tcW w:w="1320" w:type="dxa"/>
            <w:tcBorders>
              <w:top w:val="single" w:sz="4" w:space="0" w:color="BFBFBF"/>
              <w:left w:val="nil"/>
              <w:bottom w:val="nil"/>
              <w:right w:val="nil"/>
            </w:tcBorders>
            <w:shd w:val="clear" w:color="000000" w:fill="C5D9F1"/>
            <w:hideMark/>
          </w:tcPr>
          <w:p w14:paraId="6F6BA429" w14:textId="77777777" w:rsidR="00490741" w:rsidRPr="00100F0A" w:rsidRDefault="00490741" w:rsidP="00490741">
            <w:pPr>
              <w:jc w:val="center"/>
              <w:rPr>
                <w:rFonts w:eastAsia="Times New Roman" w:cs="Calibri"/>
                <w:b/>
                <w:bCs/>
                <w:color w:val="000000"/>
                <w:sz w:val="20"/>
                <w:szCs w:val="18"/>
                <w:lang w:eastAsia="en-AU"/>
              </w:rPr>
            </w:pPr>
            <w:r w:rsidRPr="00100F0A">
              <w:rPr>
                <w:rFonts w:eastAsia="Times New Roman" w:cs="Calibri"/>
                <w:b/>
                <w:bCs/>
                <w:color w:val="000000"/>
                <w:sz w:val="20"/>
                <w:szCs w:val="18"/>
                <w:lang w:eastAsia="en-AU"/>
              </w:rPr>
              <w:t xml:space="preserve">Uncertainty of needs vs capacity assessment </w:t>
            </w:r>
          </w:p>
        </w:tc>
        <w:tc>
          <w:tcPr>
            <w:tcW w:w="2168" w:type="dxa"/>
            <w:gridSpan w:val="3"/>
            <w:tcBorders>
              <w:top w:val="single" w:sz="4" w:space="0" w:color="BFBFBF"/>
              <w:left w:val="nil"/>
              <w:bottom w:val="nil"/>
              <w:right w:val="single" w:sz="4" w:space="0" w:color="BFBFBF"/>
            </w:tcBorders>
            <w:shd w:val="clear" w:color="000000" w:fill="C5D9F1"/>
            <w:hideMark/>
          </w:tcPr>
          <w:p w14:paraId="0F859A4E" w14:textId="77777777" w:rsidR="00490741" w:rsidRPr="00100F0A" w:rsidRDefault="00490741" w:rsidP="00490741">
            <w:pPr>
              <w:jc w:val="center"/>
              <w:rPr>
                <w:rFonts w:eastAsia="Times New Roman" w:cs="Calibri"/>
                <w:b/>
                <w:bCs/>
                <w:color w:val="000000"/>
                <w:sz w:val="20"/>
                <w:szCs w:val="18"/>
                <w:lang w:eastAsia="en-AU"/>
              </w:rPr>
            </w:pPr>
            <w:r w:rsidRPr="00100F0A">
              <w:rPr>
                <w:rFonts w:eastAsia="Times New Roman" w:cs="Calibri"/>
                <w:b/>
                <w:bCs/>
                <w:color w:val="000000"/>
                <w:sz w:val="20"/>
                <w:szCs w:val="18"/>
                <w:lang w:eastAsia="en-AU"/>
              </w:rPr>
              <w:t xml:space="preserve">Est. year arisings &gt; installed capacity by scenario </w:t>
            </w:r>
          </w:p>
        </w:tc>
      </w:tr>
      <w:tr w:rsidR="00490741" w:rsidRPr="00100F0A" w14:paraId="063AC2CF" w14:textId="77777777" w:rsidTr="00AE49A9">
        <w:trPr>
          <w:trHeight w:val="255"/>
        </w:trPr>
        <w:tc>
          <w:tcPr>
            <w:tcW w:w="3403" w:type="dxa"/>
            <w:tcBorders>
              <w:top w:val="nil"/>
              <w:left w:val="single" w:sz="4" w:space="0" w:color="BFBFBF"/>
              <w:bottom w:val="single" w:sz="4" w:space="0" w:color="BFBFBF"/>
              <w:right w:val="nil"/>
            </w:tcBorders>
            <w:shd w:val="clear" w:color="000000" w:fill="C5D9F1"/>
            <w:vAlign w:val="center"/>
            <w:hideMark/>
          </w:tcPr>
          <w:p w14:paraId="4B155571" w14:textId="77777777" w:rsidR="00490741" w:rsidRPr="00100F0A" w:rsidRDefault="00490741" w:rsidP="00490741">
            <w:pPr>
              <w:jc w:val="center"/>
              <w:rPr>
                <w:rFonts w:eastAsia="Times New Roman" w:cs="Calibri"/>
                <w:b/>
                <w:bCs/>
                <w:color w:val="000000"/>
                <w:sz w:val="20"/>
                <w:szCs w:val="18"/>
                <w:lang w:eastAsia="en-AU"/>
              </w:rPr>
            </w:pPr>
            <w:r w:rsidRPr="00100F0A">
              <w:rPr>
                <w:rFonts w:eastAsia="Times New Roman" w:cs="Calibri"/>
                <w:b/>
                <w:bCs/>
                <w:color w:val="000000"/>
                <w:sz w:val="20"/>
                <w:szCs w:val="18"/>
                <w:lang w:eastAsia="en-AU"/>
              </w:rPr>
              <w:t> </w:t>
            </w:r>
          </w:p>
        </w:tc>
        <w:tc>
          <w:tcPr>
            <w:tcW w:w="850" w:type="dxa"/>
            <w:tcBorders>
              <w:top w:val="nil"/>
              <w:left w:val="nil"/>
              <w:bottom w:val="single" w:sz="4" w:space="0" w:color="BFBFBF"/>
              <w:right w:val="nil"/>
            </w:tcBorders>
            <w:shd w:val="clear" w:color="000000" w:fill="C5D9F1"/>
            <w:hideMark/>
          </w:tcPr>
          <w:p w14:paraId="0C7B9DC1" w14:textId="268F213D" w:rsidR="00490741" w:rsidRPr="00100F0A" w:rsidRDefault="00490741" w:rsidP="00490741">
            <w:pPr>
              <w:jc w:val="right"/>
              <w:rPr>
                <w:rFonts w:eastAsia="Times New Roman" w:cs="Calibri"/>
                <w:b/>
                <w:bCs/>
                <w:color w:val="000000"/>
                <w:sz w:val="20"/>
                <w:szCs w:val="18"/>
                <w:lang w:eastAsia="en-AU"/>
              </w:rPr>
            </w:pPr>
            <w:r w:rsidRPr="00100F0A">
              <w:rPr>
                <w:rFonts w:eastAsia="Times New Roman" w:cs="Calibri"/>
                <w:b/>
                <w:bCs/>
                <w:color w:val="000000"/>
                <w:sz w:val="20"/>
                <w:szCs w:val="18"/>
                <w:lang w:eastAsia="en-AU"/>
              </w:rPr>
              <w:t>(kt/yr)</w:t>
            </w:r>
          </w:p>
        </w:tc>
        <w:tc>
          <w:tcPr>
            <w:tcW w:w="931" w:type="dxa"/>
            <w:tcBorders>
              <w:top w:val="nil"/>
              <w:left w:val="nil"/>
              <w:bottom w:val="single" w:sz="4" w:space="0" w:color="BFBFBF"/>
              <w:right w:val="nil"/>
            </w:tcBorders>
            <w:shd w:val="clear" w:color="000000" w:fill="C5D9F1"/>
            <w:hideMark/>
          </w:tcPr>
          <w:p w14:paraId="7D5FB673" w14:textId="5BFAEFAF" w:rsidR="00490741" w:rsidRPr="00100F0A" w:rsidRDefault="00490741" w:rsidP="00490741">
            <w:pPr>
              <w:jc w:val="right"/>
              <w:rPr>
                <w:rFonts w:eastAsia="Times New Roman" w:cs="Calibri"/>
                <w:b/>
                <w:bCs/>
                <w:color w:val="000000"/>
                <w:sz w:val="20"/>
                <w:szCs w:val="18"/>
                <w:lang w:eastAsia="en-AU"/>
              </w:rPr>
            </w:pPr>
            <w:r w:rsidRPr="00100F0A">
              <w:rPr>
                <w:rFonts w:eastAsia="Times New Roman" w:cs="Calibri"/>
                <w:b/>
                <w:bCs/>
                <w:color w:val="000000"/>
                <w:sz w:val="20"/>
                <w:szCs w:val="18"/>
                <w:lang w:eastAsia="en-AU"/>
              </w:rPr>
              <w:t>(kt/yr)</w:t>
            </w:r>
          </w:p>
        </w:tc>
        <w:tc>
          <w:tcPr>
            <w:tcW w:w="975" w:type="dxa"/>
            <w:tcBorders>
              <w:top w:val="nil"/>
              <w:left w:val="nil"/>
              <w:bottom w:val="single" w:sz="4" w:space="0" w:color="BFBFBF"/>
              <w:right w:val="nil"/>
            </w:tcBorders>
            <w:shd w:val="clear" w:color="000000" w:fill="C5D9F1"/>
            <w:hideMark/>
          </w:tcPr>
          <w:p w14:paraId="5BE7429A" w14:textId="44C9F433" w:rsidR="00490741" w:rsidRPr="00100F0A" w:rsidRDefault="00490741" w:rsidP="00490741">
            <w:pPr>
              <w:jc w:val="right"/>
              <w:rPr>
                <w:rFonts w:eastAsia="Times New Roman" w:cs="Calibri"/>
                <w:b/>
                <w:bCs/>
                <w:color w:val="000000"/>
                <w:sz w:val="20"/>
                <w:szCs w:val="18"/>
                <w:lang w:eastAsia="en-AU"/>
              </w:rPr>
            </w:pPr>
            <w:r w:rsidRPr="00100F0A">
              <w:rPr>
                <w:rFonts w:eastAsia="Times New Roman" w:cs="Calibri"/>
                <w:b/>
                <w:bCs/>
                <w:color w:val="000000"/>
                <w:sz w:val="20"/>
                <w:szCs w:val="18"/>
                <w:lang w:eastAsia="en-AU"/>
              </w:rPr>
              <w:t>(kt/yr)</w:t>
            </w:r>
          </w:p>
        </w:tc>
        <w:tc>
          <w:tcPr>
            <w:tcW w:w="1320" w:type="dxa"/>
            <w:tcBorders>
              <w:top w:val="nil"/>
              <w:left w:val="nil"/>
              <w:bottom w:val="single" w:sz="4" w:space="0" w:color="BFBFBF"/>
              <w:right w:val="nil"/>
            </w:tcBorders>
            <w:shd w:val="clear" w:color="000000" w:fill="C5D9F1"/>
            <w:hideMark/>
          </w:tcPr>
          <w:p w14:paraId="51F2EC47" w14:textId="77777777" w:rsidR="00490741" w:rsidRPr="00100F0A" w:rsidRDefault="00490741" w:rsidP="00490741">
            <w:pPr>
              <w:jc w:val="center"/>
              <w:rPr>
                <w:rFonts w:eastAsia="Times New Roman" w:cs="Calibri"/>
                <w:b/>
                <w:bCs/>
                <w:color w:val="000000"/>
                <w:sz w:val="20"/>
                <w:szCs w:val="18"/>
                <w:lang w:eastAsia="en-AU"/>
              </w:rPr>
            </w:pPr>
            <w:r w:rsidRPr="00100F0A">
              <w:rPr>
                <w:rFonts w:eastAsia="Times New Roman" w:cs="Calibri"/>
                <w:b/>
                <w:bCs/>
                <w:color w:val="000000"/>
                <w:sz w:val="20"/>
                <w:szCs w:val="18"/>
                <w:lang w:eastAsia="en-AU"/>
              </w:rPr>
              <w:t>low - very high</w:t>
            </w:r>
          </w:p>
        </w:tc>
        <w:tc>
          <w:tcPr>
            <w:tcW w:w="723" w:type="dxa"/>
            <w:tcBorders>
              <w:top w:val="nil"/>
              <w:left w:val="nil"/>
              <w:bottom w:val="single" w:sz="4" w:space="0" w:color="BFBFBF"/>
              <w:right w:val="nil"/>
            </w:tcBorders>
            <w:shd w:val="clear" w:color="000000" w:fill="C5D9F1"/>
            <w:hideMark/>
          </w:tcPr>
          <w:p w14:paraId="6F5F53EE" w14:textId="77777777" w:rsidR="00490741" w:rsidRPr="00100F0A" w:rsidRDefault="00490741" w:rsidP="00490741">
            <w:pPr>
              <w:jc w:val="center"/>
              <w:rPr>
                <w:rFonts w:eastAsia="Times New Roman" w:cs="Calibri"/>
                <w:b/>
                <w:bCs/>
                <w:color w:val="000000"/>
                <w:sz w:val="20"/>
                <w:szCs w:val="18"/>
                <w:lang w:eastAsia="en-AU"/>
              </w:rPr>
            </w:pPr>
            <w:r w:rsidRPr="00100F0A">
              <w:rPr>
                <w:rFonts w:eastAsia="Times New Roman" w:cs="Calibri"/>
                <w:b/>
                <w:bCs/>
                <w:color w:val="000000"/>
                <w:sz w:val="20"/>
                <w:szCs w:val="18"/>
                <w:lang w:eastAsia="en-AU"/>
              </w:rPr>
              <w:t>Best</w:t>
            </w:r>
          </w:p>
        </w:tc>
        <w:tc>
          <w:tcPr>
            <w:tcW w:w="723" w:type="dxa"/>
            <w:tcBorders>
              <w:top w:val="nil"/>
              <w:left w:val="nil"/>
              <w:bottom w:val="single" w:sz="4" w:space="0" w:color="BFBFBF"/>
              <w:right w:val="nil"/>
            </w:tcBorders>
            <w:shd w:val="clear" w:color="000000" w:fill="C5D9F1"/>
            <w:hideMark/>
          </w:tcPr>
          <w:p w14:paraId="3723C022" w14:textId="77777777" w:rsidR="00490741" w:rsidRPr="00100F0A" w:rsidRDefault="00490741" w:rsidP="00490741">
            <w:pPr>
              <w:jc w:val="center"/>
              <w:rPr>
                <w:rFonts w:eastAsia="Times New Roman" w:cs="Calibri"/>
                <w:b/>
                <w:bCs/>
                <w:color w:val="000000"/>
                <w:sz w:val="20"/>
                <w:szCs w:val="18"/>
                <w:lang w:eastAsia="en-AU"/>
              </w:rPr>
            </w:pPr>
            <w:r w:rsidRPr="00100F0A">
              <w:rPr>
                <w:rFonts w:eastAsia="Times New Roman" w:cs="Calibri"/>
                <w:b/>
                <w:bCs/>
                <w:color w:val="000000"/>
                <w:sz w:val="20"/>
                <w:szCs w:val="18"/>
                <w:lang w:eastAsia="en-AU"/>
              </w:rPr>
              <w:t>High</w:t>
            </w:r>
          </w:p>
        </w:tc>
        <w:tc>
          <w:tcPr>
            <w:tcW w:w="722" w:type="dxa"/>
            <w:tcBorders>
              <w:top w:val="nil"/>
              <w:left w:val="nil"/>
              <w:bottom w:val="single" w:sz="4" w:space="0" w:color="BFBFBF"/>
              <w:right w:val="single" w:sz="4" w:space="0" w:color="BFBFBF"/>
            </w:tcBorders>
            <w:shd w:val="clear" w:color="000000" w:fill="C5D9F1"/>
            <w:hideMark/>
          </w:tcPr>
          <w:p w14:paraId="718E96C4" w14:textId="77777777" w:rsidR="00490741" w:rsidRPr="00100F0A" w:rsidRDefault="00490741" w:rsidP="00490741">
            <w:pPr>
              <w:jc w:val="center"/>
              <w:rPr>
                <w:rFonts w:eastAsia="Times New Roman" w:cs="Calibri"/>
                <w:b/>
                <w:bCs/>
                <w:color w:val="000000"/>
                <w:sz w:val="20"/>
                <w:szCs w:val="18"/>
                <w:lang w:eastAsia="en-AU"/>
              </w:rPr>
            </w:pPr>
            <w:r w:rsidRPr="00100F0A">
              <w:rPr>
                <w:rFonts w:eastAsia="Times New Roman" w:cs="Calibri"/>
                <w:b/>
                <w:bCs/>
                <w:color w:val="000000"/>
                <w:sz w:val="20"/>
                <w:szCs w:val="18"/>
                <w:lang w:eastAsia="en-AU"/>
              </w:rPr>
              <w:t>Low</w:t>
            </w:r>
          </w:p>
        </w:tc>
      </w:tr>
      <w:tr w:rsidR="00490741" w:rsidRPr="00100F0A" w14:paraId="7463E697" w14:textId="77777777" w:rsidTr="00AE49A9">
        <w:trPr>
          <w:trHeight w:val="255"/>
        </w:trPr>
        <w:tc>
          <w:tcPr>
            <w:tcW w:w="3403" w:type="dxa"/>
            <w:tcBorders>
              <w:top w:val="nil"/>
              <w:left w:val="single" w:sz="4" w:space="0" w:color="BFBFBF"/>
              <w:bottom w:val="single" w:sz="4" w:space="0" w:color="BFBFBF"/>
              <w:right w:val="single" w:sz="4" w:space="0" w:color="BFBFBF"/>
            </w:tcBorders>
            <w:shd w:val="clear" w:color="000000" w:fill="C5D9F1"/>
            <w:noWrap/>
            <w:vAlign w:val="bottom"/>
            <w:hideMark/>
          </w:tcPr>
          <w:p w14:paraId="17503E5E" w14:textId="77777777" w:rsidR="00490741" w:rsidRPr="00100F0A" w:rsidRDefault="00490741" w:rsidP="00490741">
            <w:pPr>
              <w:jc w:val="right"/>
              <w:rPr>
                <w:rFonts w:eastAsia="Times New Roman" w:cs="Calibri"/>
                <w:b/>
                <w:bCs/>
                <w:color w:val="000000"/>
                <w:sz w:val="20"/>
                <w:szCs w:val="18"/>
                <w:lang w:eastAsia="en-AU"/>
              </w:rPr>
            </w:pPr>
            <w:r w:rsidRPr="00100F0A">
              <w:rPr>
                <w:rFonts w:eastAsia="Times New Roman" w:cs="Calibri"/>
                <w:b/>
                <w:bCs/>
                <w:color w:val="000000"/>
                <w:sz w:val="20"/>
                <w:szCs w:val="18"/>
                <w:lang w:eastAsia="en-AU"/>
              </w:rPr>
              <w:t>Recycling and energy recovery</w:t>
            </w:r>
          </w:p>
        </w:tc>
        <w:tc>
          <w:tcPr>
            <w:tcW w:w="850" w:type="dxa"/>
            <w:tcBorders>
              <w:top w:val="nil"/>
              <w:left w:val="nil"/>
              <w:bottom w:val="single" w:sz="4" w:space="0" w:color="BFBFBF"/>
              <w:right w:val="single" w:sz="4" w:space="0" w:color="BFBFBF"/>
            </w:tcBorders>
            <w:shd w:val="clear" w:color="000000" w:fill="C5D9F1"/>
            <w:noWrap/>
            <w:hideMark/>
          </w:tcPr>
          <w:p w14:paraId="7C755457" w14:textId="77777777" w:rsidR="00490741" w:rsidRPr="00100F0A" w:rsidRDefault="00490741" w:rsidP="00490741">
            <w:pPr>
              <w:rPr>
                <w:rFonts w:eastAsia="Times New Roman" w:cs="Calibri"/>
                <w:b/>
                <w:bCs/>
                <w:color w:val="000000"/>
                <w:sz w:val="20"/>
                <w:szCs w:val="18"/>
                <w:lang w:eastAsia="en-AU"/>
              </w:rPr>
            </w:pPr>
            <w:r w:rsidRPr="00100F0A">
              <w:rPr>
                <w:rFonts w:eastAsia="Times New Roman" w:cs="Calibri"/>
                <w:b/>
                <w:bCs/>
                <w:color w:val="000000"/>
                <w:sz w:val="20"/>
                <w:szCs w:val="18"/>
                <w:lang w:eastAsia="en-AU"/>
              </w:rPr>
              <w:t> </w:t>
            </w:r>
          </w:p>
        </w:tc>
        <w:tc>
          <w:tcPr>
            <w:tcW w:w="931" w:type="dxa"/>
            <w:tcBorders>
              <w:top w:val="nil"/>
              <w:left w:val="nil"/>
              <w:bottom w:val="single" w:sz="4" w:space="0" w:color="BFBFBF"/>
              <w:right w:val="single" w:sz="4" w:space="0" w:color="BFBFBF"/>
            </w:tcBorders>
            <w:shd w:val="clear" w:color="000000" w:fill="C5D9F1"/>
            <w:noWrap/>
            <w:hideMark/>
          </w:tcPr>
          <w:p w14:paraId="3C3196A6" w14:textId="77777777" w:rsidR="00490741" w:rsidRPr="00100F0A" w:rsidRDefault="00490741" w:rsidP="00490741">
            <w:pPr>
              <w:rPr>
                <w:rFonts w:eastAsia="Times New Roman" w:cs="Calibri"/>
                <w:b/>
                <w:bCs/>
                <w:color w:val="000000"/>
                <w:sz w:val="20"/>
                <w:szCs w:val="18"/>
                <w:lang w:eastAsia="en-AU"/>
              </w:rPr>
            </w:pPr>
            <w:r w:rsidRPr="00100F0A">
              <w:rPr>
                <w:rFonts w:eastAsia="Times New Roman" w:cs="Calibri"/>
                <w:b/>
                <w:bCs/>
                <w:color w:val="000000"/>
                <w:sz w:val="20"/>
                <w:szCs w:val="18"/>
                <w:lang w:eastAsia="en-AU"/>
              </w:rPr>
              <w:t> </w:t>
            </w:r>
          </w:p>
        </w:tc>
        <w:tc>
          <w:tcPr>
            <w:tcW w:w="975" w:type="dxa"/>
            <w:tcBorders>
              <w:top w:val="nil"/>
              <w:left w:val="nil"/>
              <w:bottom w:val="single" w:sz="4" w:space="0" w:color="BFBFBF"/>
              <w:right w:val="single" w:sz="4" w:space="0" w:color="BFBFBF"/>
            </w:tcBorders>
            <w:shd w:val="clear" w:color="000000" w:fill="C5D9F1"/>
            <w:noWrap/>
            <w:hideMark/>
          </w:tcPr>
          <w:p w14:paraId="556D40AF" w14:textId="77777777" w:rsidR="00490741" w:rsidRPr="00100F0A" w:rsidRDefault="00490741" w:rsidP="00490741">
            <w:pPr>
              <w:rPr>
                <w:rFonts w:eastAsia="Times New Roman" w:cs="Calibri"/>
                <w:b/>
                <w:bCs/>
                <w:color w:val="000000"/>
                <w:sz w:val="20"/>
                <w:szCs w:val="18"/>
                <w:lang w:eastAsia="en-AU"/>
              </w:rPr>
            </w:pPr>
            <w:r w:rsidRPr="00100F0A">
              <w:rPr>
                <w:rFonts w:eastAsia="Times New Roman" w:cs="Calibri"/>
                <w:b/>
                <w:bCs/>
                <w:color w:val="000000"/>
                <w:sz w:val="20"/>
                <w:szCs w:val="18"/>
                <w:lang w:eastAsia="en-AU"/>
              </w:rPr>
              <w:t> </w:t>
            </w:r>
          </w:p>
        </w:tc>
        <w:tc>
          <w:tcPr>
            <w:tcW w:w="1320" w:type="dxa"/>
            <w:tcBorders>
              <w:top w:val="nil"/>
              <w:left w:val="nil"/>
              <w:bottom w:val="single" w:sz="4" w:space="0" w:color="BFBFBF"/>
              <w:right w:val="single" w:sz="4" w:space="0" w:color="BFBFBF"/>
            </w:tcBorders>
            <w:shd w:val="clear" w:color="000000" w:fill="C5D9F1"/>
            <w:noWrap/>
            <w:hideMark/>
          </w:tcPr>
          <w:p w14:paraId="5B57665E" w14:textId="77777777" w:rsidR="00490741" w:rsidRPr="00100F0A" w:rsidRDefault="00490741" w:rsidP="00490741">
            <w:pPr>
              <w:rPr>
                <w:rFonts w:eastAsia="Times New Roman" w:cs="Calibri"/>
                <w:b/>
                <w:bCs/>
                <w:color w:val="000000"/>
                <w:sz w:val="20"/>
                <w:szCs w:val="18"/>
                <w:lang w:eastAsia="en-AU"/>
              </w:rPr>
            </w:pPr>
            <w:r w:rsidRPr="00100F0A">
              <w:rPr>
                <w:rFonts w:eastAsia="Times New Roman" w:cs="Calibri"/>
                <w:b/>
                <w:bCs/>
                <w:color w:val="000000"/>
                <w:sz w:val="20"/>
                <w:szCs w:val="18"/>
                <w:lang w:eastAsia="en-AU"/>
              </w:rPr>
              <w:t> </w:t>
            </w:r>
          </w:p>
        </w:tc>
        <w:tc>
          <w:tcPr>
            <w:tcW w:w="723" w:type="dxa"/>
            <w:tcBorders>
              <w:top w:val="nil"/>
              <w:left w:val="nil"/>
              <w:bottom w:val="single" w:sz="4" w:space="0" w:color="BFBFBF"/>
              <w:right w:val="single" w:sz="4" w:space="0" w:color="BFBFBF"/>
            </w:tcBorders>
            <w:shd w:val="clear" w:color="000000" w:fill="C5D9F1"/>
            <w:noWrap/>
            <w:hideMark/>
          </w:tcPr>
          <w:p w14:paraId="42FF1A76" w14:textId="77777777" w:rsidR="00490741" w:rsidRPr="00100F0A" w:rsidRDefault="00490741" w:rsidP="00490741">
            <w:pPr>
              <w:rPr>
                <w:rFonts w:eastAsia="Times New Roman" w:cs="Calibri"/>
                <w:b/>
                <w:bCs/>
                <w:color w:val="95B3D7"/>
                <w:sz w:val="20"/>
                <w:szCs w:val="18"/>
                <w:lang w:eastAsia="en-AU"/>
              </w:rPr>
            </w:pPr>
            <w:r w:rsidRPr="00100F0A">
              <w:rPr>
                <w:rFonts w:eastAsia="Times New Roman" w:cs="Calibri"/>
                <w:b/>
                <w:bCs/>
                <w:color w:val="95B3D7"/>
                <w:sz w:val="20"/>
                <w:szCs w:val="18"/>
                <w:lang w:eastAsia="en-AU"/>
              </w:rPr>
              <w:t> </w:t>
            </w:r>
          </w:p>
        </w:tc>
        <w:tc>
          <w:tcPr>
            <w:tcW w:w="723" w:type="dxa"/>
            <w:tcBorders>
              <w:top w:val="nil"/>
              <w:left w:val="nil"/>
              <w:bottom w:val="single" w:sz="4" w:space="0" w:color="BFBFBF"/>
              <w:right w:val="single" w:sz="4" w:space="0" w:color="BFBFBF"/>
            </w:tcBorders>
            <w:shd w:val="clear" w:color="000000" w:fill="C5D9F1"/>
            <w:noWrap/>
            <w:hideMark/>
          </w:tcPr>
          <w:p w14:paraId="4FA6F370" w14:textId="77777777" w:rsidR="00490741" w:rsidRPr="00100F0A" w:rsidRDefault="00490741" w:rsidP="00490741">
            <w:pPr>
              <w:rPr>
                <w:rFonts w:eastAsia="Times New Roman" w:cs="Calibri"/>
                <w:b/>
                <w:bCs/>
                <w:color w:val="95B3D7"/>
                <w:sz w:val="20"/>
                <w:szCs w:val="18"/>
                <w:lang w:eastAsia="en-AU"/>
              </w:rPr>
            </w:pPr>
            <w:r w:rsidRPr="00100F0A">
              <w:rPr>
                <w:rFonts w:eastAsia="Times New Roman" w:cs="Calibri"/>
                <w:b/>
                <w:bCs/>
                <w:color w:val="95B3D7"/>
                <w:sz w:val="20"/>
                <w:szCs w:val="18"/>
                <w:lang w:eastAsia="en-AU"/>
              </w:rPr>
              <w:t> </w:t>
            </w:r>
          </w:p>
        </w:tc>
        <w:tc>
          <w:tcPr>
            <w:tcW w:w="722" w:type="dxa"/>
            <w:tcBorders>
              <w:top w:val="nil"/>
              <w:left w:val="nil"/>
              <w:bottom w:val="single" w:sz="4" w:space="0" w:color="BFBFBF"/>
              <w:right w:val="single" w:sz="4" w:space="0" w:color="BFBFBF"/>
            </w:tcBorders>
            <w:shd w:val="clear" w:color="000000" w:fill="C5D9F1"/>
            <w:noWrap/>
            <w:hideMark/>
          </w:tcPr>
          <w:p w14:paraId="52D5EFF8" w14:textId="77777777" w:rsidR="00490741" w:rsidRPr="00100F0A" w:rsidRDefault="00490741" w:rsidP="00490741">
            <w:pPr>
              <w:rPr>
                <w:rFonts w:eastAsia="Times New Roman" w:cs="Calibri"/>
                <w:b/>
                <w:bCs/>
                <w:color w:val="95B3D7"/>
                <w:sz w:val="20"/>
                <w:szCs w:val="18"/>
                <w:lang w:eastAsia="en-AU"/>
              </w:rPr>
            </w:pPr>
            <w:r w:rsidRPr="00100F0A">
              <w:rPr>
                <w:rFonts w:eastAsia="Times New Roman" w:cs="Calibri"/>
                <w:b/>
                <w:bCs/>
                <w:color w:val="95B3D7"/>
                <w:sz w:val="20"/>
                <w:szCs w:val="18"/>
                <w:lang w:eastAsia="en-AU"/>
              </w:rPr>
              <w:t> </w:t>
            </w:r>
          </w:p>
        </w:tc>
      </w:tr>
      <w:tr w:rsidR="00490741" w:rsidRPr="00100F0A" w14:paraId="134F517A" w14:textId="77777777" w:rsidTr="00AE49A9">
        <w:trPr>
          <w:trHeight w:val="300"/>
        </w:trPr>
        <w:tc>
          <w:tcPr>
            <w:tcW w:w="3403" w:type="dxa"/>
            <w:tcBorders>
              <w:top w:val="nil"/>
              <w:left w:val="single" w:sz="4" w:space="0" w:color="BFBFBF"/>
              <w:bottom w:val="single" w:sz="4" w:space="0" w:color="BFBFBF"/>
              <w:right w:val="single" w:sz="4" w:space="0" w:color="BFBFBF"/>
            </w:tcBorders>
            <w:shd w:val="clear" w:color="auto" w:fill="auto"/>
            <w:noWrap/>
            <w:vAlign w:val="center"/>
            <w:hideMark/>
          </w:tcPr>
          <w:p w14:paraId="37922578"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Hazardous waste packaging facility</w:t>
            </w:r>
          </w:p>
        </w:tc>
        <w:tc>
          <w:tcPr>
            <w:tcW w:w="850" w:type="dxa"/>
            <w:tcBorders>
              <w:top w:val="nil"/>
              <w:left w:val="nil"/>
              <w:bottom w:val="single" w:sz="4" w:space="0" w:color="BFBFBF"/>
              <w:right w:val="single" w:sz="4" w:space="0" w:color="BFBFBF"/>
            </w:tcBorders>
            <w:shd w:val="clear" w:color="auto" w:fill="auto"/>
            <w:noWrap/>
            <w:hideMark/>
          </w:tcPr>
          <w:p w14:paraId="7CB434BF"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15</w:t>
            </w:r>
          </w:p>
        </w:tc>
        <w:tc>
          <w:tcPr>
            <w:tcW w:w="931" w:type="dxa"/>
            <w:tcBorders>
              <w:top w:val="nil"/>
              <w:left w:val="nil"/>
              <w:bottom w:val="single" w:sz="4" w:space="0" w:color="BFBFBF"/>
              <w:right w:val="single" w:sz="4" w:space="0" w:color="BFBFBF"/>
            </w:tcBorders>
            <w:shd w:val="clear" w:color="auto" w:fill="auto"/>
            <w:noWrap/>
            <w:hideMark/>
          </w:tcPr>
          <w:p w14:paraId="28588085"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19</w:t>
            </w:r>
          </w:p>
        </w:tc>
        <w:tc>
          <w:tcPr>
            <w:tcW w:w="975" w:type="dxa"/>
            <w:tcBorders>
              <w:top w:val="nil"/>
              <w:left w:val="nil"/>
              <w:bottom w:val="single" w:sz="4" w:space="0" w:color="BFBFBF"/>
              <w:right w:val="single" w:sz="4" w:space="0" w:color="BFBFBF"/>
            </w:tcBorders>
            <w:shd w:val="clear" w:color="auto" w:fill="auto"/>
            <w:noWrap/>
            <w:hideMark/>
          </w:tcPr>
          <w:p w14:paraId="66472EFA"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0</w:t>
            </w:r>
          </w:p>
        </w:tc>
        <w:tc>
          <w:tcPr>
            <w:tcW w:w="1320" w:type="dxa"/>
            <w:tcBorders>
              <w:top w:val="nil"/>
              <w:left w:val="nil"/>
              <w:bottom w:val="single" w:sz="4" w:space="0" w:color="BFBFBF"/>
              <w:right w:val="single" w:sz="4" w:space="0" w:color="BFBFBF"/>
            </w:tcBorders>
            <w:shd w:val="clear" w:color="auto" w:fill="auto"/>
            <w:noWrap/>
            <w:hideMark/>
          </w:tcPr>
          <w:p w14:paraId="53E223A8"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High</w:t>
            </w:r>
          </w:p>
        </w:tc>
        <w:tc>
          <w:tcPr>
            <w:tcW w:w="723" w:type="dxa"/>
            <w:tcBorders>
              <w:top w:val="nil"/>
              <w:left w:val="nil"/>
              <w:bottom w:val="single" w:sz="4" w:space="0" w:color="BFBFBF"/>
              <w:right w:val="single" w:sz="4" w:space="0" w:color="BFBFBF"/>
            </w:tcBorders>
            <w:shd w:val="clear" w:color="000000" w:fill="FFFFFF"/>
            <w:noWrap/>
            <w:hideMark/>
          </w:tcPr>
          <w:p w14:paraId="257EC105"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&gt;2037</w:t>
            </w:r>
          </w:p>
        </w:tc>
        <w:tc>
          <w:tcPr>
            <w:tcW w:w="723" w:type="dxa"/>
            <w:tcBorders>
              <w:top w:val="nil"/>
              <w:left w:val="nil"/>
              <w:bottom w:val="single" w:sz="4" w:space="0" w:color="BFBFBF"/>
              <w:right w:val="single" w:sz="4" w:space="0" w:color="BFBFBF"/>
            </w:tcBorders>
            <w:shd w:val="clear" w:color="000000" w:fill="FFFFFF"/>
            <w:noWrap/>
            <w:hideMark/>
          </w:tcPr>
          <w:p w14:paraId="0ABFA041"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2033</w:t>
            </w:r>
          </w:p>
        </w:tc>
        <w:tc>
          <w:tcPr>
            <w:tcW w:w="722" w:type="dxa"/>
            <w:tcBorders>
              <w:top w:val="nil"/>
              <w:left w:val="nil"/>
              <w:bottom w:val="single" w:sz="4" w:space="0" w:color="BFBFBF"/>
              <w:right w:val="single" w:sz="4" w:space="0" w:color="BFBFBF"/>
            </w:tcBorders>
            <w:shd w:val="clear" w:color="000000" w:fill="FFFFFF"/>
            <w:noWrap/>
            <w:hideMark/>
          </w:tcPr>
          <w:p w14:paraId="7473A35E"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&gt;2037</w:t>
            </w:r>
          </w:p>
        </w:tc>
      </w:tr>
      <w:tr w:rsidR="00490741" w:rsidRPr="00100F0A" w14:paraId="7A87BBA8" w14:textId="77777777" w:rsidTr="00AE49A9">
        <w:trPr>
          <w:trHeight w:val="300"/>
        </w:trPr>
        <w:tc>
          <w:tcPr>
            <w:tcW w:w="3403" w:type="dxa"/>
            <w:tcBorders>
              <w:top w:val="nil"/>
              <w:left w:val="single" w:sz="4" w:space="0" w:color="BFBFBF"/>
              <w:bottom w:val="single" w:sz="4" w:space="0" w:color="BFBFBF"/>
              <w:right w:val="single" w:sz="4" w:space="0" w:color="BFBFBF"/>
            </w:tcBorders>
            <w:shd w:val="clear" w:color="auto" w:fill="auto"/>
            <w:noWrap/>
            <w:vAlign w:val="center"/>
            <w:hideMark/>
          </w:tcPr>
          <w:p w14:paraId="64F56067"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E-waste facility</w:t>
            </w:r>
          </w:p>
        </w:tc>
        <w:tc>
          <w:tcPr>
            <w:tcW w:w="850" w:type="dxa"/>
            <w:tcBorders>
              <w:top w:val="nil"/>
              <w:left w:val="nil"/>
              <w:bottom w:val="single" w:sz="4" w:space="0" w:color="BFBFBF"/>
              <w:right w:val="single" w:sz="4" w:space="0" w:color="BFBFBF"/>
            </w:tcBorders>
            <w:shd w:val="clear" w:color="auto" w:fill="auto"/>
            <w:noWrap/>
            <w:hideMark/>
          </w:tcPr>
          <w:p w14:paraId="34803A44"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4</w:t>
            </w:r>
          </w:p>
        </w:tc>
        <w:tc>
          <w:tcPr>
            <w:tcW w:w="931" w:type="dxa"/>
            <w:tcBorders>
              <w:top w:val="nil"/>
              <w:left w:val="nil"/>
              <w:bottom w:val="single" w:sz="4" w:space="0" w:color="BFBFBF"/>
              <w:right w:val="single" w:sz="4" w:space="0" w:color="BFBFBF"/>
            </w:tcBorders>
            <w:shd w:val="clear" w:color="auto" w:fill="auto"/>
            <w:noWrap/>
            <w:hideMark/>
          </w:tcPr>
          <w:p w14:paraId="36481D4B"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106</w:t>
            </w:r>
          </w:p>
        </w:tc>
        <w:tc>
          <w:tcPr>
            <w:tcW w:w="975" w:type="dxa"/>
            <w:tcBorders>
              <w:top w:val="nil"/>
              <w:left w:val="nil"/>
              <w:bottom w:val="single" w:sz="4" w:space="0" w:color="BFBFBF"/>
              <w:right w:val="single" w:sz="4" w:space="0" w:color="BFBFBF"/>
            </w:tcBorders>
            <w:shd w:val="clear" w:color="auto" w:fill="auto"/>
            <w:noWrap/>
            <w:hideMark/>
          </w:tcPr>
          <w:p w14:paraId="079890E1"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12</w:t>
            </w:r>
          </w:p>
        </w:tc>
        <w:tc>
          <w:tcPr>
            <w:tcW w:w="1320" w:type="dxa"/>
            <w:tcBorders>
              <w:top w:val="nil"/>
              <w:left w:val="nil"/>
              <w:bottom w:val="single" w:sz="4" w:space="0" w:color="BFBFBF"/>
              <w:right w:val="single" w:sz="4" w:space="0" w:color="BFBFBF"/>
            </w:tcBorders>
            <w:shd w:val="clear" w:color="auto" w:fill="auto"/>
            <w:noWrap/>
            <w:hideMark/>
          </w:tcPr>
          <w:p w14:paraId="02FAB7EC"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High</w:t>
            </w:r>
          </w:p>
        </w:tc>
        <w:tc>
          <w:tcPr>
            <w:tcW w:w="723" w:type="dxa"/>
            <w:tcBorders>
              <w:top w:val="nil"/>
              <w:left w:val="nil"/>
              <w:bottom w:val="single" w:sz="4" w:space="0" w:color="BFBFBF"/>
              <w:right w:val="single" w:sz="4" w:space="0" w:color="BFBFBF"/>
            </w:tcBorders>
            <w:shd w:val="clear" w:color="000000" w:fill="FFFFFF"/>
            <w:noWrap/>
            <w:hideMark/>
          </w:tcPr>
          <w:p w14:paraId="676E8457"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2037</w:t>
            </w:r>
          </w:p>
        </w:tc>
        <w:tc>
          <w:tcPr>
            <w:tcW w:w="723" w:type="dxa"/>
            <w:tcBorders>
              <w:top w:val="nil"/>
              <w:left w:val="nil"/>
              <w:bottom w:val="single" w:sz="4" w:space="0" w:color="BFBFBF"/>
              <w:right w:val="single" w:sz="4" w:space="0" w:color="BFBFBF"/>
            </w:tcBorders>
            <w:shd w:val="clear" w:color="000000" w:fill="FFFFFF"/>
            <w:noWrap/>
            <w:hideMark/>
          </w:tcPr>
          <w:p w14:paraId="15D7F2E0"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2035</w:t>
            </w:r>
          </w:p>
        </w:tc>
        <w:tc>
          <w:tcPr>
            <w:tcW w:w="722" w:type="dxa"/>
            <w:tcBorders>
              <w:top w:val="nil"/>
              <w:left w:val="nil"/>
              <w:bottom w:val="single" w:sz="4" w:space="0" w:color="BFBFBF"/>
              <w:right w:val="single" w:sz="4" w:space="0" w:color="BFBFBF"/>
            </w:tcBorders>
            <w:shd w:val="clear" w:color="000000" w:fill="FFFFFF"/>
            <w:noWrap/>
            <w:hideMark/>
          </w:tcPr>
          <w:p w14:paraId="188D29C2"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&gt;2037</w:t>
            </w:r>
          </w:p>
        </w:tc>
      </w:tr>
      <w:tr w:rsidR="00490741" w:rsidRPr="00100F0A" w14:paraId="01815021" w14:textId="77777777" w:rsidTr="00AE49A9">
        <w:trPr>
          <w:trHeight w:val="300"/>
        </w:trPr>
        <w:tc>
          <w:tcPr>
            <w:tcW w:w="3403" w:type="dxa"/>
            <w:tcBorders>
              <w:top w:val="nil"/>
              <w:left w:val="single" w:sz="4" w:space="0" w:color="BFBFBF"/>
              <w:bottom w:val="single" w:sz="4" w:space="0" w:color="BFBFBF"/>
              <w:right w:val="single" w:sz="4" w:space="0" w:color="BFBFBF"/>
            </w:tcBorders>
            <w:shd w:val="clear" w:color="auto" w:fill="auto"/>
            <w:noWrap/>
            <w:vAlign w:val="center"/>
            <w:hideMark/>
          </w:tcPr>
          <w:p w14:paraId="44372779"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Oil re-refining facility</w:t>
            </w:r>
          </w:p>
        </w:tc>
        <w:tc>
          <w:tcPr>
            <w:tcW w:w="850" w:type="dxa"/>
            <w:tcBorders>
              <w:top w:val="nil"/>
              <w:left w:val="nil"/>
              <w:bottom w:val="single" w:sz="4" w:space="0" w:color="BFBFBF"/>
              <w:right w:val="single" w:sz="4" w:space="0" w:color="BFBFBF"/>
            </w:tcBorders>
            <w:shd w:val="clear" w:color="auto" w:fill="auto"/>
            <w:noWrap/>
            <w:hideMark/>
          </w:tcPr>
          <w:p w14:paraId="12F22826"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325</w:t>
            </w:r>
          </w:p>
        </w:tc>
        <w:tc>
          <w:tcPr>
            <w:tcW w:w="931" w:type="dxa"/>
            <w:tcBorders>
              <w:top w:val="nil"/>
              <w:left w:val="nil"/>
              <w:bottom w:val="single" w:sz="4" w:space="0" w:color="BFBFBF"/>
              <w:right w:val="single" w:sz="4" w:space="0" w:color="BFBFBF"/>
            </w:tcBorders>
            <w:shd w:val="clear" w:color="auto" w:fill="auto"/>
            <w:noWrap/>
            <w:hideMark/>
          </w:tcPr>
          <w:p w14:paraId="6EFAEF73"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526</w:t>
            </w:r>
          </w:p>
        </w:tc>
        <w:tc>
          <w:tcPr>
            <w:tcW w:w="975" w:type="dxa"/>
            <w:tcBorders>
              <w:top w:val="nil"/>
              <w:left w:val="nil"/>
              <w:bottom w:val="single" w:sz="4" w:space="0" w:color="BFBFBF"/>
              <w:right w:val="single" w:sz="4" w:space="0" w:color="BFBFBF"/>
            </w:tcBorders>
            <w:shd w:val="clear" w:color="auto" w:fill="auto"/>
            <w:noWrap/>
            <w:hideMark/>
          </w:tcPr>
          <w:p w14:paraId="2BC11114"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0</w:t>
            </w:r>
          </w:p>
        </w:tc>
        <w:tc>
          <w:tcPr>
            <w:tcW w:w="1320" w:type="dxa"/>
            <w:tcBorders>
              <w:top w:val="nil"/>
              <w:left w:val="nil"/>
              <w:bottom w:val="single" w:sz="4" w:space="0" w:color="BFBFBF"/>
              <w:right w:val="single" w:sz="4" w:space="0" w:color="BFBFBF"/>
            </w:tcBorders>
            <w:shd w:val="clear" w:color="auto" w:fill="auto"/>
            <w:noWrap/>
            <w:hideMark/>
          </w:tcPr>
          <w:p w14:paraId="28B90150"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Moderate</w:t>
            </w:r>
          </w:p>
        </w:tc>
        <w:tc>
          <w:tcPr>
            <w:tcW w:w="723" w:type="dxa"/>
            <w:tcBorders>
              <w:top w:val="nil"/>
              <w:left w:val="nil"/>
              <w:bottom w:val="single" w:sz="4" w:space="0" w:color="BFBFBF"/>
              <w:right w:val="single" w:sz="4" w:space="0" w:color="BFBFBF"/>
            </w:tcBorders>
            <w:shd w:val="clear" w:color="000000" w:fill="FFFFFF"/>
            <w:noWrap/>
            <w:hideMark/>
          </w:tcPr>
          <w:p w14:paraId="5C7413C2"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&gt;2037</w:t>
            </w:r>
          </w:p>
        </w:tc>
        <w:tc>
          <w:tcPr>
            <w:tcW w:w="723" w:type="dxa"/>
            <w:tcBorders>
              <w:top w:val="nil"/>
              <w:left w:val="nil"/>
              <w:bottom w:val="single" w:sz="4" w:space="0" w:color="BFBFBF"/>
              <w:right w:val="single" w:sz="4" w:space="0" w:color="BFBFBF"/>
            </w:tcBorders>
            <w:shd w:val="clear" w:color="000000" w:fill="FFFFFF"/>
            <w:noWrap/>
            <w:hideMark/>
          </w:tcPr>
          <w:p w14:paraId="6C26CE11"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2034</w:t>
            </w:r>
          </w:p>
        </w:tc>
        <w:tc>
          <w:tcPr>
            <w:tcW w:w="722" w:type="dxa"/>
            <w:tcBorders>
              <w:top w:val="nil"/>
              <w:left w:val="nil"/>
              <w:bottom w:val="single" w:sz="4" w:space="0" w:color="BFBFBF"/>
              <w:right w:val="single" w:sz="4" w:space="0" w:color="BFBFBF"/>
            </w:tcBorders>
            <w:shd w:val="clear" w:color="000000" w:fill="FFFFFF"/>
            <w:noWrap/>
            <w:hideMark/>
          </w:tcPr>
          <w:p w14:paraId="27BC6527"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&gt;2037</w:t>
            </w:r>
          </w:p>
        </w:tc>
      </w:tr>
      <w:tr w:rsidR="00490741" w:rsidRPr="00100F0A" w14:paraId="7800BCAE" w14:textId="77777777" w:rsidTr="00AE49A9">
        <w:trPr>
          <w:trHeight w:val="300"/>
        </w:trPr>
        <w:tc>
          <w:tcPr>
            <w:tcW w:w="3403" w:type="dxa"/>
            <w:tcBorders>
              <w:top w:val="nil"/>
              <w:left w:val="single" w:sz="4" w:space="0" w:color="BFBFBF"/>
              <w:bottom w:val="single" w:sz="4" w:space="0" w:color="BFBFBF"/>
              <w:right w:val="single" w:sz="4" w:space="0" w:color="BFBFBF"/>
            </w:tcBorders>
            <w:shd w:val="clear" w:color="auto" w:fill="auto"/>
            <w:noWrap/>
            <w:vAlign w:val="center"/>
            <w:hideMark/>
          </w:tcPr>
          <w:p w14:paraId="58EBB5FD"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Lead facility</w:t>
            </w:r>
          </w:p>
        </w:tc>
        <w:tc>
          <w:tcPr>
            <w:tcW w:w="850" w:type="dxa"/>
            <w:tcBorders>
              <w:top w:val="nil"/>
              <w:left w:val="nil"/>
              <w:bottom w:val="single" w:sz="4" w:space="0" w:color="BFBFBF"/>
              <w:right w:val="single" w:sz="4" w:space="0" w:color="BFBFBF"/>
            </w:tcBorders>
            <w:shd w:val="clear" w:color="auto" w:fill="auto"/>
            <w:noWrap/>
            <w:hideMark/>
          </w:tcPr>
          <w:p w14:paraId="65B186FF"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119</w:t>
            </w:r>
          </w:p>
        </w:tc>
        <w:tc>
          <w:tcPr>
            <w:tcW w:w="931" w:type="dxa"/>
            <w:tcBorders>
              <w:top w:val="nil"/>
              <w:left w:val="nil"/>
              <w:bottom w:val="single" w:sz="4" w:space="0" w:color="BFBFBF"/>
              <w:right w:val="single" w:sz="4" w:space="0" w:color="BFBFBF"/>
            </w:tcBorders>
            <w:shd w:val="clear" w:color="auto" w:fill="auto"/>
            <w:noWrap/>
            <w:hideMark/>
          </w:tcPr>
          <w:p w14:paraId="6694D301"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124</w:t>
            </w:r>
          </w:p>
        </w:tc>
        <w:tc>
          <w:tcPr>
            <w:tcW w:w="975" w:type="dxa"/>
            <w:tcBorders>
              <w:top w:val="nil"/>
              <w:left w:val="nil"/>
              <w:bottom w:val="single" w:sz="4" w:space="0" w:color="BFBFBF"/>
              <w:right w:val="single" w:sz="4" w:space="0" w:color="BFBFBF"/>
            </w:tcBorders>
            <w:shd w:val="clear" w:color="auto" w:fill="auto"/>
            <w:noWrap/>
            <w:hideMark/>
          </w:tcPr>
          <w:p w14:paraId="766FBC8E"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71</w:t>
            </w:r>
          </w:p>
        </w:tc>
        <w:tc>
          <w:tcPr>
            <w:tcW w:w="1320" w:type="dxa"/>
            <w:tcBorders>
              <w:top w:val="nil"/>
              <w:left w:val="nil"/>
              <w:bottom w:val="single" w:sz="4" w:space="0" w:color="BFBFBF"/>
              <w:right w:val="single" w:sz="4" w:space="0" w:color="BFBFBF"/>
            </w:tcBorders>
            <w:shd w:val="clear" w:color="auto" w:fill="auto"/>
            <w:noWrap/>
            <w:hideMark/>
          </w:tcPr>
          <w:p w14:paraId="37A182B5"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Moderate</w:t>
            </w:r>
          </w:p>
        </w:tc>
        <w:tc>
          <w:tcPr>
            <w:tcW w:w="723" w:type="dxa"/>
            <w:tcBorders>
              <w:top w:val="nil"/>
              <w:left w:val="nil"/>
              <w:bottom w:val="single" w:sz="4" w:space="0" w:color="BFBFBF"/>
              <w:right w:val="single" w:sz="4" w:space="0" w:color="BFBFBF"/>
            </w:tcBorders>
            <w:shd w:val="clear" w:color="000000" w:fill="FFFFFF"/>
            <w:noWrap/>
            <w:hideMark/>
          </w:tcPr>
          <w:p w14:paraId="4A201B9E"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2023</w:t>
            </w:r>
          </w:p>
        </w:tc>
        <w:tc>
          <w:tcPr>
            <w:tcW w:w="723" w:type="dxa"/>
            <w:tcBorders>
              <w:top w:val="nil"/>
              <w:left w:val="nil"/>
              <w:bottom w:val="single" w:sz="4" w:space="0" w:color="BFBFBF"/>
              <w:right w:val="single" w:sz="4" w:space="0" w:color="BFBFBF"/>
            </w:tcBorders>
            <w:shd w:val="clear" w:color="000000" w:fill="FFFFFF"/>
            <w:noWrap/>
            <w:hideMark/>
          </w:tcPr>
          <w:p w14:paraId="4CD04946"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2018</w:t>
            </w:r>
          </w:p>
        </w:tc>
        <w:tc>
          <w:tcPr>
            <w:tcW w:w="722" w:type="dxa"/>
            <w:tcBorders>
              <w:top w:val="nil"/>
              <w:left w:val="nil"/>
              <w:bottom w:val="single" w:sz="4" w:space="0" w:color="BFBFBF"/>
              <w:right w:val="single" w:sz="4" w:space="0" w:color="BFBFBF"/>
            </w:tcBorders>
            <w:shd w:val="clear" w:color="000000" w:fill="FFFFFF"/>
            <w:noWrap/>
            <w:hideMark/>
          </w:tcPr>
          <w:p w14:paraId="6D97EA34"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&gt;2037</w:t>
            </w:r>
          </w:p>
        </w:tc>
      </w:tr>
      <w:tr w:rsidR="00F06095" w:rsidRPr="00100F0A" w14:paraId="585E39F1" w14:textId="77777777" w:rsidTr="00A43DAF">
        <w:trPr>
          <w:trHeight w:val="300"/>
        </w:trPr>
        <w:tc>
          <w:tcPr>
            <w:tcW w:w="3403" w:type="dxa"/>
            <w:tcBorders>
              <w:top w:val="nil"/>
              <w:left w:val="single" w:sz="4" w:space="0" w:color="BFBFBF"/>
              <w:bottom w:val="single" w:sz="4" w:space="0" w:color="BFBFBF"/>
              <w:right w:val="single" w:sz="4" w:space="0" w:color="BFBFBF"/>
            </w:tcBorders>
            <w:shd w:val="clear" w:color="auto" w:fill="auto"/>
            <w:noWrap/>
            <w:vAlign w:val="center"/>
            <w:hideMark/>
          </w:tcPr>
          <w:p w14:paraId="4F535FB6" w14:textId="77777777" w:rsidR="00F06095" w:rsidRPr="00100F0A" w:rsidRDefault="00F06095"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Mercury facility</w:t>
            </w:r>
          </w:p>
        </w:tc>
        <w:tc>
          <w:tcPr>
            <w:tcW w:w="850" w:type="dxa"/>
            <w:tcBorders>
              <w:top w:val="nil"/>
              <w:left w:val="nil"/>
              <w:bottom w:val="single" w:sz="4" w:space="0" w:color="BFBFBF"/>
              <w:right w:val="single" w:sz="4" w:space="0" w:color="BFBFBF"/>
            </w:tcBorders>
            <w:shd w:val="clear" w:color="auto" w:fill="auto"/>
            <w:noWrap/>
            <w:hideMark/>
          </w:tcPr>
          <w:p w14:paraId="4C8BB6BD" w14:textId="77777777" w:rsidR="00F06095" w:rsidRPr="00100F0A" w:rsidRDefault="00F06095"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0.2</w:t>
            </w:r>
          </w:p>
        </w:tc>
        <w:tc>
          <w:tcPr>
            <w:tcW w:w="1906" w:type="dxa"/>
            <w:gridSpan w:val="2"/>
            <w:tcBorders>
              <w:top w:val="nil"/>
              <w:left w:val="nil"/>
              <w:bottom w:val="single" w:sz="4" w:space="0" w:color="BFBFBF"/>
              <w:right w:val="single" w:sz="4" w:space="0" w:color="BFBFBF"/>
            </w:tcBorders>
            <w:shd w:val="clear" w:color="auto" w:fill="FF0000"/>
            <w:noWrap/>
            <w:vAlign w:val="center"/>
          </w:tcPr>
          <w:p w14:paraId="1D2E9360" w14:textId="0338F32E" w:rsidR="00F06095" w:rsidRPr="00100F0A" w:rsidRDefault="00F06095" w:rsidP="009D734D">
            <w:pPr>
              <w:jc w:val="center"/>
              <w:rPr>
                <w:rFonts w:eastAsia="Times New Roman" w:cs="Calibri"/>
                <w:color w:val="000000"/>
                <w:sz w:val="20"/>
                <w:szCs w:val="18"/>
                <w:lang w:eastAsia="en-AU"/>
              </w:rPr>
            </w:pPr>
            <w:r>
              <w:rPr>
                <w:rFonts w:eastAsia="Times New Roman" w:cs="Calibri"/>
                <w:color w:val="000000"/>
                <w:sz w:val="20"/>
                <w:szCs w:val="18"/>
                <w:lang w:eastAsia="en-AU"/>
              </w:rPr>
              <w:t>CIC</w:t>
            </w:r>
          </w:p>
        </w:tc>
        <w:tc>
          <w:tcPr>
            <w:tcW w:w="1320" w:type="dxa"/>
            <w:tcBorders>
              <w:top w:val="nil"/>
              <w:left w:val="nil"/>
              <w:bottom w:val="single" w:sz="4" w:space="0" w:color="BFBFBF"/>
              <w:right w:val="single" w:sz="4" w:space="0" w:color="BFBFBF"/>
            </w:tcBorders>
            <w:shd w:val="clear" w:color="auto" w:fill="auto"/>
            <w:noWrap/>
            <w:hideMark/>
          </w:tcPr>
          <w:p w14:paraId="1ED887EB" w14:textId="77777777" w:rsidR="00F06095" w:rsidRPr="00100F0A" w:rsidRDefault="00F06095"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Low</w:t>
            </w:r>
          </w:p>
        </w:tc>
        <w:tc>
          <w:tcPr>
            <w:tcW w:w="722" w:type="dxa"/>
            <w:tcBorders>
              <w:top w:val="nil"/>
              <w:left w:val="nil"/>
              <w:bottom w:val="single" w:sz="4" w:space="0" w:color="BFBFBF"/>
              <w:right w:val="single" w:sz="4" w:space="0" w:color="BFBFBF"/>
            </w:tcBorders>
            <w:shd w:val="clear" w:color="000000" w:fill="FFFFFF"/>
            <w:noWrap/>
          </w:tcPr>
          <w:p w14:paraId="49B883A4" w14:textId="77777777" w:rsidR="00F06095" w:rsidRPr="00100F0A" w:rsidRDefault="00F06095"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&gt;2037</w:t>
            </w:r>
          </w:p>
        </w:tc>
        <w:tc>
          <w:tcPr>
            <w:tcW w:w="723" w:type="dxa"/>
            <w:tcBorders>
              <w:top w:val="nil"/>
              <w:left w:val="nil"/>
              <w:bottom w:val="single" w:sz="4" w:space="0" w:color="BFBFBF"/>
              <w:right w:val="single" w:sz="4" w:space="0" w:color="BFBFBF"/>
            </w:tcBorders>
            <w:shd w:val="clear" w:color="000000" w:fill="FFFFFF"/>
          </w:tcPr>
          <w:p w14:paraId="4D3EFE74" w14:textId="303A5AC2" w:rsidR="00F06095" w:rsidRPr="00100F0A" w:rsidRDefault="00F06095" w:rsidP="00B01AA4">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&gt;2037</w:t>
            </w:r>
          </w:p>
        </w:tc>
        <w:tc>
          <w:tcPr>
            <w:tcW w:w="723" w:type="dxa"/>
            <w:tcBorders>
              <w:top w:val="nil"/>
              <w:left w:val="nil"/>
              <w:bottom w:val="single" w:sz="4" w:space="0" w:color="BFBFBF"/>
              <w:right w:val="single" w:sz="4" w:space="0" w:color="BFBFBF"/>
            </w:tcBorders>
            <w:shd w:val="clear" w:color="000000" w:fill="FFFFFF"/>
          </w:tcPr>
          <w:p w14:paraId="6C8C2B18" w14:textId="0E2F7242" w:rsidR="00F06095" w:rsidRPr="00100F0A" w:rsidRDefault="00F06095" w:rsidP="00A20188">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&gt;2037</w:t>
            </w:r>
          </w:p>
        </w:tc>
      </w:tr>
      <w:tr w:rsidR="00490741" w:rsidRPr="00100F0A" w14:paraId="13F2D970" w14:textId="77777777" w:rsidTr="00AE49A9">
        <w:trPr>
          <w:trHeight w:val="300"/>
        </w:trPr>
        <w:tc>
          <w:tcPr>
            <w:tcW w:w="3403" w:type="dxa"/>
            <w:tcBorders>
              <w:top w:val="nil"/>
              <w:left w:val="single" w:sz="4" w:space="0" w:color="BFBFBF"/>
              <w:bottom w:val="single" w:sz="4" w:space="0" w:color="BFBFBF"/>
              <w:right w:val="single" w:sz="4" w:space="0" w:color="BFBFBF"/>
            </w:tcBorders>
            <w:shd w:val="clear" w:color="auto" w:fill="auto"/>
            <w:noWrap/>
            <w:vAlign w:val="center"/>
            <w:hideMark/>
          </w:tcPr>
          <w:p w14:paraId="31E1C711"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Solvents/paints/organic chemicals facility</w:t>
            </w:r>
          </w:p>
        </w:tc>
        <w:tc>
          <w:tcPr>
            <w:tcW w:w="850" w:type="dxa"/>
            <w:tcBorders>
              <w:top w:val="nil"/>
              <w:left w:val="nil"/>
              <w:bottom w:val="single" w:sz="4" w:space="0" w:color="BFBFBF"/>
              <w:right w:val="single" w:sz="4" w:space="0" w:color="BFBFBF"/>
            </w:tcBorders>
            <w:shd w:val="clear" w:color="auto" w:fill="auto"/>
            <w:noWrap/>
            <w:hideMark/>
          </w:tcPr>
          <w:p w14:paraId="3D9E9BF6"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26</w:t>
            </w:r>
          </w:p>
        </w:tc>
        <w:tc>
          <w:tcPr>
            <w:tcW w:w="931" w:type="dxa"/>
            <w:tcBorders>
              <w:top w:val="nil"/>
              <w:left w:val="nil"/>
              <w:bottom w:val="single" w:sz="4" w:space="0" w:color="BFBFBF"/>
              <w:right w:val="single" w:sz="4" w:space="0" w:color="BFBFBF"/>
            </w:tcBorders>
            <w:shd w:val="clear" w:color="auto" w:fill="auto"/>
            <w:noWrap/>
            <w:hideMark/>
          </w:tcPr>
          <w:p w14:paraId="08D1FC78"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14</w:t>
            </w:r>
          </w:p>
        </w:tc>
        <w:tc>
          <w:tcPr>
            <w:tcW w:w="975" w:type="dxa"/>
            <w:tcBorders>
              <w:top w:val="nil"/>
              <w:left w:val="nil"/>
              <w:bottom w:val="single" w:sz="4" w:space="0" w:color="BFBFBF"/>
              <w:right w:val="single" w:sz="4" w:space="0" w:color="BFBFBF"/>
            </w:tcBorders>
            <w:shd w:val="clear" w:color="auto" w:fill="auto"/>
            <w:noWrap/>
            <w:hideMark/>
          </w:tcPr>
          <w:p w14:paraId="7ACF41BC"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0</w:t>
            </w:r>
          </w:p>
        </w:tc>
        <w:tc>
          <w:tcPr>
            <w:tcW w:w="1320" w:type="dxa"/>
            <w:tcBorders>
              <w:top w:val="nil"/>
              <w:left w:val="nil"/>
              <w:bottom w:val="single" w:sz="4" w:space="0" w:color="BFBFBF"/>
              <w:right w:val="single" w:sz="4" w:space="0" w:color="BFBFBF"/>
            </w:tcBorders>
            <w:shd w:val="clear" w:color="auto" w:fill="auto"/>
            <w:noWrap/>
            <w:hideMark/>
          </w:tcPr>
          <w:p w14:paraId="7C19C7B3"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Very high</w:t>
            </w:r>
          </w:p>
        </w:tc>
        <w:tc>
          <w:tcPr>
            <w:tcW w:w="723" w:type="dxa"/>
            <w:tcBorders>
              <w:top w:val="nil"/>
              <w:left w:val="nil"/>
              <w:bottom w:val="single" w:sz="4" w:space="0" w:color="BFBFBF"/>
              <w:right w:val="single" w:sz="4" w:space="0" w:color="BFBFBF"/>
            </w:tcBorders>
            <w:shd w:val="clear" w:color="000000" w:fill="FFFFFF"/>
            <w:noWrap/>
            <w:hideMark/>
          </w:tcPr>
          <w:p w14:paraId="040F085B"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2018</w:t>
            </w:r>
          </w:p>
        </w:tc>
        <w:tc>
          <w:tcPr>
            <w:tcW w:w="723" w:type="dxa"/>
            <w:tcBorders>
              <w:top w:val="nil"/>
              <w:left w:val="nil"/>
              <w:bottom w:val="single" w:sz="4" w:space="0" w:color="BFBFBF"/>
              <w:right w:val="single" w:sz="4" w:space="0" w:color="BFBFBF"/>
            </w:tcBorders>
            <w:shd w:val="clear" w:color="000000" w:fill="FFFFFF"/>
            <w:noWrap/>
            <w:hideMark/>
          </w:tcPr>
          <w:p w14:paraId="4FC034F1"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2018</w:t>
            </w:r>
          </w:p>
        </w:tc>
        <w:tc>
          <w:tcPr>
            <w:tcW w:w="722" w:type="dxa"/>
            <w:tcBorders>
              <w:top w:val="nil"/>
              <w:left w:val="nil"/>
              <w:bottom w:val="single" w:sz="4" w:space="0" w:color="BFBFBF"/>
              <w:right w:val="single" w:sz="4" w:space="0" w:color="BFBFBF"/>
            </w:tcBorders>
            <w:shd w:val="clear" w:color="000000" w:fill="FFFFFF"/>
            <w:noWrap/>
            <w:hideMark/>
          </w:tcPr>
          <w:p w14:paraId="1BBBEFFF"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2018</w:t>
            </w:r>
          </w:p>
        </w:tc>
      </w:tr>
      <w:tr w:rsidR="00490741" w:rsidRPr="00100F0A" w14:paraId="701C86C7" w14:textId="77777777" w:rsidTr="00AE49A9">
        <w:trPr>
          <w:trHeight w:val="300"/>
        </w:trPr>
        <w:tc>
          <w:tcPr>
            <w:tcW w:w="3403" w:type="dxa"/>
            <w:tcBorders>
              <w:top w:val="nil"/>
              <w:left w:val="single" w:sz="4" w:space="0" w:color="BFBFBF"/>
              <w:bottom w:val="single" w:sz="4" w:space="0" w:color="BFBFBF"/>
              <w:right w:val="single" w:sz="4" w:space="0" w:color="BFBFBF"/>
            </w:tcBorders>
            <w:shd w:val="clear" w:color="auto" w:fill="D9D9D9" w:themeFill="background1" w:themeFillShade="D9"/>
            <w:noWrap/>
            <w:vAlign w:val="center"/>
            <w:hideMark/>
          </w:tcPr>
          <w:p w14:paraId="668C6252"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Organics processing facility</w:t>
            </w:r>
          </w:p>
        </w:tc>
        <w:tc>
          <w:tcPr>
            <w:tcW w:w="850" w:type="dxa"/>
            <w:tcBorders>
              <w:top w:val="nil"/>
              <w:left w:val="nil"/>
              <w:bottom w:val="single" w:sz="4" w:space="0" w:color="BFBFBF"/>
              <w:right w:val="single" w:sz="4" w:space="0" w:color="BFBFBF"/>
            </w:tcBorders>
            <w:shd w:val="clear" w:color="auto" w:fill="D9D9D9" w:themeFill="background1" w:themeFillShade="D9"/>
            <w:noWrap/>
            <w:hideMark/>
          </w:tcPr>
          <w:p w14:paraId="32A4CC51"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600</w:t>
            </w:r>
          </w:p>
        </w:tc>
        <w:tc>
          <w:tcPr>
            <w:tcW w:w="931" w:type="dxa"/>
            <w:tcBorders>
              <w:top w:val="nil"/>
              <w:left w:val="nil"/>
              <w:bottom w:val="single" w:sz="4" w:space="0" w:color="BFBFBF"/>
              <w:right w:val="single" w:sz="4" w:space="0" w:color="BFBFBF"/>
            </w:tcBorders>
            <w:shd w:val="clear" w:color="auto" w:fill="D9D9D9" w:themeFill="background1" w:themeFillShade="D9"/>
            <w:noWrap/>
            <w:hideMark/>
          </w:tcPr>
          <w:p w14:paraId="773F01CF"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106</w:t>
            </w:r>
          </w:p>
        </w:tc>
        <w:tc>
          <w:tcPr>
            <w:tcW w:w="975" w:type="dxa"/>
            <w:tcBorders>
              <w:top w:val="nil"/>
              <w:left w:val="nil"/>
              <w:bottom w:val="single" w:sz="4" w:space="0" w:color="BFBFBF"/>
              <w:right w:val="single" w:sz="4" w:space="0" w:color="BFBFBF"/>
            </w:tcBorders>
            <w:shd w:val="clear" w:color="auto" w:fill="D9D9D9" w:themeFill="background1" w:themeFillShade="D9"/>
            <w:noWrap/>
            <w:hideMark/>
          </w:tcPr>
          <w:p w14:paraId="47355FDB"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0</w:t>
            </w:r>
          </w:p>
        </w:tc>
        <w:tc>
          <w:tcPr>
            <w:tcW w:w="1320" w:type="dxa"/>
            <w:tcBorders>
              <w:top w:val="nil"/>
              <w:left w:val="nil"/>
              <w:bottom w:val="single" w:sz="4" w:space="0" w:color="BFBFBF"/>
              <w:right w:val="single" w:sz="4" w:space="0" w:color="BFBFBF"/>
            </w:tcBorders>
            <w:shd w:val="clear" w:color="auto" w:fill="D9D9D9" w:themeFill="background1" w:themeFillShade="D9"/>
            <w:noWrap/>
            <w:hideMark/>
          </w:tcPr>
          <w:p w14:paraId="65AB1F8F"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Very high</w:t>
            </w:r>
          </w:p>
        </w:tc>
        <w:tc>
          <w:tcPr>
            <w:tcW w:w="723" w:type="dxa"/>
            <w:tcBorders>
              <w:top w:val="nil"/>
              <w:left w:val="nil"/>
              <w:bottom w:val="single" w:sz="4" w:space="0" w:color="BFBFBF"/>
              <w:right w:val="single" w:sz="4" w:space="0" w:color="BFBFBF"/>
            </w:tcBorders>
            <w:shd w:val="clear" w:color="auto" w:fill="D9D9D9" w:themeFill="background1" w:themeFillShade="D9"/>
            <w:noWrap/>
            <w:hideMark/>
          </w:tcPr>
          <w:p w14:paraId="70E6AA55"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2018</w:t>
            </w:r>
          </w:p>
        </w:tc>
        <w:tc>
          <w:tcPr>
            <w:tcW w:w="723" w:type="dxa"/>
            <w:tcBorders>
              <w:top w:val="nil"/>
              <w:left w:val="nil"/>
              <w:bottom w:val="single" w:sz="4" w:space="0" w:color="BFBFBF"/>
              <w:right w:val="single" w:sz="4" w:space="0" w:color="BFBFBF"/>
            </w:tcBorders>
            <w:shd w:val="clear" w:color="auto" w:fill="D9D9D9" w:themeFill="background1" w:themeFillShade="D9"/>
            <w:noWrap/>
            <w:hideMark/>
          </w:tcPr>
          <w:p w14:paraId="5C21629B"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2018</w:t>
            </w:r>
          </w:p>
        </w:tc>
        <w:tc>
          <w:tcPr>
            <w:tcW w:w="722" w:type="dxa"/>
            <w:tcBorders>
              <w:top w:val="nil"/>
              <w:left w:val="nil"/>
              <w:bottom w:val="single" w:sz="4" w:space="0" w:color="BFBFBF"/>
              <w:right w:val="single" w:sz="4" w:space="0" w:color="BFBFBF"/>
            </w:tcBorders>
            <w:shd w:val="clear" w:color="auto" w:fill="D9D9D9" w:themeFill="background1" w:themeFillShade="D9"/>
            <w:noWrap/>
            <w:hideMark/>
          </w:tcPr>
          <w:p w14:paraId="07D0CB86"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2018</w:t>
            </w:r>
          </w:p>
        </w:tc>
      </w:tr>
      <w:tr w:rsidR="00490741" w:rsidRPr="00100F0A" w14:paraId="08C8C1C2" w14:textId="77777777" w:rsidTr="00AE49A9">
        <w:trPr>
          <w:trHeight w:val="300"/>
        </w:trPr>
        <w:tc>
          <w:tcPr>
            <w:tcW w:w="3403" w:type="dxa"/>
            <w:tcBorders>
              <w:top w:val="nil"/>
              <w:left w:val="single" w:sz="4" w:space="0" w:color="BFBFBF"/>
              <w:bottom w:val="single" w:sz="4" w:space="0" w:color="BFBFBF"/>
              <w:right w:val="single" w:sz="4" w:space="0" w:color="BFBFBF"/>
            </w:tcBorders>
            <w:shd w:val="clear" w:color="auto" w:fill="auto"/>
            <w:noWrap/>
            <w:vAlign w:val="center"/>
            <w:hideMark/>
          </w:tcPr>
          <w:p w14:paraId="116B7BDA" w14:textId="12AA2A63" w:rsidR="00490741" w:rsidRPr="00100F0A" w:rsidRDefault="003C51AB" w:rsidP="00490741">
            <w:pPr>
              <w:jc w:val="right"/>
              <w:rPr>
                <w:rFonts w:eastAsia="Times New Roman" w:cs="Calibri"/>
                <w:color w:val="000000"/>
                <w:sz w:val="20"/>
                <w:szCs w:val="18"/>
                <w:lang w:eastAsia="en-AU"/>
              </w:rPr>
            </w:pPr>
            <w:r>
              <w:rPr>
                <w:rFonts w:eastAsia="Times New Roman" w:cs="Calibri"/>
                <w:color w:val="000000"/>
                <w:sz w:val="20"/>
                <w:szCs w:val="18"/>
                <w:lang w:eastAsia="en-AU"/>
              </w:rPr>
              <w:t>EOLT</w:t>
            </w:r>
            <w:r w:rsidR="00490741" w:rsidRPr="00100F0A">
              <w:rPr>
                <w:rFonts w:eastAsia="Times New Roman" w:cs="Calibri"/>
                <w:color w:val="000000"/>
                <w:sz w:val="20"/>
                <w:szCs w:val="18"/>
                <w:lang w:eastAsia="en-AU"/>
              </w:rPr>
              <w:t xml:space="preserve"> facility</w:t>
            </w:r>
          </w:p>
        </w:tc>
        <w:tc>
          <w:tcPr>
            <w:tcW w:w="850" w:type="dxa"/>
            <w:tcBorders>
              <w:top w:val="nil"/>
              <w:left w:val="nil"/>
              <w:bottom w:val="single" w:sz="4" w:space="0" w:color="BFBFBF"/>
              <w:right w:val="single" w:sz="4" w:space="0" w:color="BFBFBF"/>
            </w:tcBorders>
            <w:shd w:val="clear" w:color="auto" w:fill="auto"/>
            <w:noWrap/>
            <w:hideMark/>
          </w:tcPr>
          <w:p w14:paraId="637B21E6" w14:textId="23826E3C"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4</w:t>
            </w:r>
            <w:r w:rsidR="00BF7776">
              <w:rPr>
                <w:rFonts w:eastAsia="Times New Roman" w:cs="Calibri"/>
                <w:color w:val="000000"/>
                <w:sz w:val="20"/>
                <w:szCs w:val="18"/>
                <w:lang w:eastAsia="en-AU"/>
              </w:rPr>
              <w:t>7</w:t>
            </w:r>
          </w:p>
        </w:tc>
        <w:tc>
          <w:tcPr>
            <w:tcW w:w="931" w:type="dxa"/>
            <w:tcBorders>
              <w:top w:val="nil"/>
              <w:left w:val="nil"/>
              <w:bottom w:val="single" w:sz="4" w:space="0" w:color="BFBFBF"/>
              <w:right w:val="single" w:sz="4" w:space="0" w:color="BFBFBF"/>
            </w:tcBorders>
            <w:shd w:val="clear" w:color="auto" w:fill="auto"/>
            <w:noWrap/>
            <w:hideMark/>
          </w:tcPr>
          <w:p w14:paraId="05D06E3E"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100</w:t>
            </w:r>
          </w:p>
        </w:tc>
        <w:tc>
          <w:tcPr>
            <w:tcW w:w="975" w:type="dxa"/>
            <w:tcBorders>
              <w:top w:val="nil"/>
              <w:left w:val="nil"/>
              <w:bottom w:val="single" w:sz="4" w:space="0" w:color="BFBFBF"/>
              <w:right w:val="single" w:sz="4" w:space="0" w:color="BFBFBF"/>
            </w:tcBorders>
            <w:shd w:val="clear" w:color="auto" w:fill="auto"/>
            <w:noWrap/>
            <w:hideMark/>
          </w:tcPr>
          <w:p w14:paraId="2821F367"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9</w:t>
            </w:r>
          </w:p>
        </w:tc>
        <w:tc>
          <w:tcPr>
            <w:tcW w:w="1320" w:type="dxa"/>
            <w:tcBorders>
              <w:top w:val="nil"/>
              <w:left w:val="nil"/>
              <w:bottom w:val="single" w:sz="4" w:space="0" w:color="BFBFBF"/>
              <w:right w:val="single" w:sz="4" w:space="0" w:color="BFBFBF"/>
            </w:tcBorders>
            <w:shd w:val="clear" w:color="auto" w:fill="auto"/>
            <w:noWrap/>
            <w:hideMark/>
          </w:tcPr>
          <w:p w14:paraId="398376B5"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High</w:t>
            </w:r>
          </w:p>
        </w:tc>
        <w:tc>
          <w:tcPr>
            <w:tcW w:w="723" w:type="dxa"/>
            <w:tcBorders>
              <w:top w:val="nil"/>
              <w:left w:val="nil"/>
              <w:bottom w:val="single" w:sz="4" w:space="0" w:color="BFBFBF"/>
              <w:right w:val="single" w:sz="4" w:space="0" w:color="BFBFBF"/>
            </w:tcBorders>
            <w:shd w:val="clear" w:color="000000" w:fill="FFFFFF"/>
            <w:noWrap/>
            <w:hideMark/>
          </w:tcPr>
          <w:p w14:paraId="036DD1C1"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&gt;2037</w:t>
            </w:r>
          </w:p>
        </w:tc>
        <w:tc>
          <w:tcPr>
            <w:tcW w:w="723" w:type="dxa"/>
            <w:tcBorders>
              <w:top w:val="nil"/>
              <w:left w:val="nil"/>
              <w:bottom w:val="single" w:sz="4" w:space="0" w:color="BFBFBF"/>
              <w:right w:val="single" w:sz="4" w:space="0" w:color="BFBFBF"/>
            </w:tcBorders>
            <w:shd w:val="clear" w:color="000000" w:fill="FFFFFF"/>
            <w:noWrap/>
            <w:hideMark/>
          </w:tcPr>
          <w:p w14:paraId="27147DFB"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&gt;2037</w:t>
            </w:r>
          </w:p>
        </w:tc>
        <w:tc>
          <w:tcPr>
            <w:tcW w:w="722" w:type="dxa"/>
            <w:tcBorders>
              <w:top w:val="nil"/>
              <w:left w:val="nil"/>
              <w:bottom w:val="single" w:sz="4" w:space="0" w:color="BFBFBF"/>
              <w:right w:val="single" w:sz="4" w:space="0" w:color="BFBFBF"/>
            </w:tcBorders>
            <w:shd w:val="clear" w:color="000000" w:fill="FFFFFF"/>
            <w:noWrap/>
            <w:hideMark/>
          </w:tcPr>
          <w:p w14:paraId="5831C7BF"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&gt;2037</w:t>
            </w:r>
          </w:p>
        </w:tc>
      </w:tr>
      <w:tr w:rsidR="00F06095" w:rsidRPr="00100F0A" w14:paraId="1154192E" w14:textId="77777777" w:rsidTr="00F06095">
        <w:trPr>
          <w:trHeight w:val="300"/>
        </w:trPr>
        <w:tc>
          <w:tcPr>
            <w:tcW w:w="3403" w:type="dxa"/>
            <w:tcBorders>
              <w:top w:val="nil"/>
              <w:left w:val="single" w:sz="4" w:space="0" w:color="BFBFBF"/>
              <w:bottom w:val="single" w:sz="4" w:space="0" w:color="BFBFBF"/>
              <w:right w:val="single" w:sz="4" w:space="0" w:color="BFBFBF"/>
            </w:tcBorders>
            <w:shd w:val="clear" w:color="auto" w:fill="auto"/>
            <w:noWrap/>
            <w:vAlign w:val="center"/>
            <w:hideMark/>
          </w:tcPr>
          <w:p w14:paraId="18BDDB03" w14:textId="2528D3FC" w:rsidR="00F06095" w:rsidRPr="00100F0A" w:rsidRDefault="00F06095" w:rsidP="00490741">
            <w:pPr>
              <w:jc w:val="right"/>
              <w:rPr>
                <w:rFonts w:eastAsia="Times New Roman" w:cs="Calibri"/>
                <w:color w:val="000000"/>
                <w:sz w:val="20"/>
                <w:szCs w:val="18"/>
                <w:lang w:eastAsia="en-AU"/>
              </w:rPr>
            </w:pPr>
            <w:r>
              <w:rPr>
                <w:rFonts w:eastAsia="Times New Roman" w:cs="Calibri"/>
                <w:color w:val="000000"/>
                <w:sz w:val="20"/>
                <w:szCs w:val="18"/>
                <w:lang w:eastAsia="en-AU"/>
              </w:rPr>
              <w:t>SPL</w:t>
            </w:r>
            <w:r w:rsidRPr="00100F0A">
              <w:rPr>
                <w:rFonts w:eastAsia="Times New Roman" w:cs="Calibri"/>
                <w:color w:val="000000"/>
                <w:sz w:val="20"/>
                <w:szCs w:val="18"/>
                <w:lang w:eastAsia="en-AU"/>
              </w:rPr>
              <w:t xml:space="preserve"> facility</w:t>
            </w:r>
          </w:p>
        </w:tc>
        <w:tc>
          <w:tcPr>
            <w:tcW w:w="850" w:type="dxa"/>
            <w:tcBorders>
              <w:top w:val="nil"/>
              <w:left w:val="nil"/>
              <w:bottom w:val="single" w:sz="4" w:space="0" w:color="BFBFBF"/>
              <w:right w:val="single" w:sz="4" w:space="0" w:color="BFBFBF"/>
            </w:tcBorders>
            <w:shd w:val="clear" w:color="auto" w:fill="auto"/>
            <w:noWrap/>
            <w:hideMark/>
          </w:tcPr>
          <w:p w14:paraId="4687CA05" w14:textId="77777777" w:rsidR="00F06095" w:rsidRPr="00100F0A" w:rsidRDefault="00F06095"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46</w:t>
            </w:r>
          </w:p>
        </w:tc>
        <w:tc>
          <w:tcPr>
            <w:tcW w:w="1906" w:type="dxa"/>
            <w:gridSpan w:val="2"/>
            <w:tcBorders>
              <w:top w:val="nil"/>
              <w:left w:val="nil"/>
              <w:bottom w:val="single" w:sz="4" w:space="0" w:color="BFBFBF"/>
              <w:right w:val="single" w:sz="4" w:space="0" w:color="BFBFBF"/>
            </w:tcBorders>
            <w:shd w:val="clear" w:color="auto" w:fill="FF0000"/>
            <w:noWrap/>
            <w:vAlign w:val="center"/>
          </w:tcPr>
          <w:p w14:paraId="4CB414DF" w14:textId="3C6F68A0" w:rsidR="00F06095" w:rsidRPr="00100F0A" w:rsidRDefault="00F06095" w:rsidP="009D734D">
            <w:pPr>
              <w:jc w:val="center"/>
              <w:rPr>
                <w:rFonts w:eastAsia="Times New Roman" w:cs="Calibri"/>
                <w:color w:val="000000"/>
                <w:sz w:val="20"/>
                <w:szCs w:val="18"/>
                <w:lang w:eastAsia="en-AU"/>
              </w:rPr>
            </w:pPr>
            <w:r>
              <w:rPr>
                <w:rFonts w:eastAsia="Times New Roman" w:cs="Calibri"/>
                <w:color w:val="000000"/>
                <w:sz w:val="20"/>
                <w:szCs w:val="18"/>
                <w:lang w:eastAsia="en-AU"/>
              </w:rPr>
              <w:t>CIC</w:t>
            </w:r>
          </w:p>
        </w:tc>
        <w:tc>
          <w:tcPr>
            <w:tcW w:w="1320" w:type="dxa"/>
            <w:tcBorders>
              <w:top w:val="nil"/>
              <w:left w:val="nil"/>
              <w:bottom w:val="single" w:sz="4" w:space="0" w:color="BFBFBF"/>
              <w:right w:val="single" w:sz="4" w:space="0" w:color="BFBFBF"/>
            </w:tcBorders>
            <w:shd w:val="clear" w:color="auto" w:fill="auto"/>
            <w:noWrap/>
            <w:hideMark/>
          </w:tcPr>
          <w:p w14:paraId="339196CA" w14:textId="77777777" w:rsidR="00F06095" w:rsidRPr="00100F0A" w:rsidRDefault="00F06095"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Low</w:t>
            </w:r>
          </w:p>
        </w:tc>
        <w:tc>
          <w:tcPr>
            <w:tcW w:w="723" w:type="dxa"/>
            <w:tcBorders>
              <w:top w:val="nil"/>
              <w:left w:val="nil"/>
              <w:bottom w:val="single" w:sz="4" w:space="0" w:color="BFBFBF"/>
              <w:right w:val="single" w:sz="4" w:space="0" w:color="BFBFBF"/>
            </w:tcBorders>
            <w:shd w:val="clear" w:color="000000" w:fill="FFFFFF"/>
            <w:noWrap/>
            <w:hideMark/>
          </w:tcPr>
          <w:p w14:paraId="1524F1E3" w14:textId="77777777" w:rsidR="00F06095" w:rsidRPr="00100F0A" w:rsidRDefault="00F06095"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&gt;2037</w:t>
            </w:r>
          </w:p>
        </w:tc>
        <w:tc>
          <w:tcPr>
            <w:tcW w:w="723" w:type="dxa"/>
            <w:tcBorders>
              <w:top w:val="nil"/>
              <w:left w:val="nil"/>
              <w:bottom w:val="single" w:sz="4" w:space="0" w:color="BFBFBF"/>
              <w:right w:val="single" w:sz="4" w:space="0" w:color="BFBFBF"/>
            </w:tcBorders>
            <w:shd w:val="clear" w:color="000000" w:fill="FFFFFF"/>
          </w:tcPr>
          <w:p w14:paraId="7F7E561F" w14:textId="0128CBF4" w:rsidR="00F06095" w:rsidRPr="00100F0A" w:rsidRDefault="00F06095" w:rsidP="00B01AA4">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2020</w:t>
            </w:r>
          </w:p>
        </w:tc>
        <w:tc>
          <w:tcPr>
            <w:tcW w:w="722" w:type="dxa"/>
            <w:tcBorders>
              <w:top w:val="nil"/>
              <w:left w:val="nil"/>
              <w:bottom w:val="single" w:sz="4" w:space="0" w:color="BFBFBF"/>
              <w:right w:val="single" w:sz="4" w:space="0" w:color="BFBFBF"/>
            </w:tcBorders>
            <w:shd w:val="clear" w:color="000000" w:fill="FFFFFF"/>
          </w:tcPr>
          <w:p w14:paraId="740F7DA5" w14:textId="69766E9C" w:rsidR="00F06095" w:rsidRPr="00100F0A" w:rsidRDefault="00F06095" w:rsidP="00A20188">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&gt;2037</w:t>
            </w:r>
          </w:p>
        </w:tc>
      </w:tr>
      <w:tr w:rsidR="00F06095" w:rsidRPr="00100F0A" w14:paraId="43F1061C" w14:textId="77777777" w:rsidTr="00F06095">
        <w:trPr>
          <w:trHeight w:val="300"/>
        </w:trPr>
        <w:tc>
          <w:tcPr>
            <w:tcW w:w="3403" w:type="dxa"/>
            <w:tcBorders>
              <w:top w:val="nil"/>
              <w:left w:val="single" w:sz="4" w:space="0" w:color="BFBFBF"/>
              <w:bottom w:val="single" w:sz="4" w:space="0" w:color="BFBFBF"/>
              <w:right w:val="single" w:sz="4" w:space="0" w:color="BFBFBF"/>
            </w:tcBorders>
            <w:shd w:val="clear" w:color="auto" w:fill="auto"/>
            <w:noWrap/>
            <w:vAlign w:val="center"/>
            <w:hideMark/>
          </w:tcPr>
          <w:p w14:paraId="6256C576" w14:textId="77777777" w:rsidR="00F06095" w:rsidRPr="00100F0A" w:rsidRDefault="00F06095"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 xml:space="preserve">Energy recovery </w:t>
            </w:r>
          </w:p>
        </w:tc>
        <w:tc>
          <w:tcPr>
            <w:tcW w:w="850" w:type="dxa"/>
            <w:tcBorders>
              <w:top w:val="nil"/>
              <w:left w:val="nil"/>
              <w:bottom w:val="single" w:sz="4" w:space="0" w:color="BFBFBF"/>
              <w:right w:val="single" w:sz="4" w:space="0" w:color="BFBFBF"/>
            </w:tcBorders>
            <w:shd w:val="clear" w:color="auto" w:fill="auto"/>
            <w:noWrap/>
            <w:hideMark/>
          </w:tcPr>
          <w:p w14:paraId="35E23235" w14:textId="77777777" w:rsidR="00F06095" w:rsidRPr="00100F0A" w:rsidRDefault="00F06095"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2</w:t>
            </w:r>
          </w:p>
        </w:tc>
        <w:tc>
          <w:tcPr>
            <w:tcW w:w="1906" w:type="dxa"/>
            <w:gridSpan w:val="2"/>
            <w:tcBorders>
              <w:top w:val="nil"/>
              <w:left w:val="nil"/>
              <w:bottom w:val="single" w:sz="4" w:space="0" w:color="BFBFBF"/>
              <w:right w:val="single" w:sz="4" w:space="0" w:color="BFBFBF"/>
            </w:tcBorders>
            <w:shd w:val="clear" w:color="auto" w:fill="FF0000"/>
            <w:noWrap/>
            <w:vAlign w:val="center"/>
          </w:tcPr>
          <w:p w14:paraId="24519F3C" w14:textId="596CA173" w:rsidR="00F06095" w:rsidRPr="00100F0A" w:rsidRDefault="00F06095" w:rsidP="009D734D">
            <w:pPr>
              <w:jc w:val="center"/>
              <w:rPr>
                <w:rFonts w:eastAsia="Times New Roman" w:cs="Calibri"/>
                <w:color w:val="000000"/>
                <w:sz w:val="20"/>
                <w:szCs w:val="18"/>
                <w:lang w:eastAsia="en-AU"/>
              </w:rPr>
            </w:pPr>
            <w:r>
              <w:rPr>
                <w:rFonts w:eastAsia="Times New Roman" w:cs="Calibri"/>
                <w:color w:val="000000"/>
                <w:sz w:val="20"/>
                <w:szCs w:val="18"/>
                <w:lang w:eastAsia="en-AU"/>
              </w:rPr>
              <w:t>CIC</w:t>
            </w:r>
          </w:p>
        </w:tc>
        <w:tc>
          <w:tcPr>
            <w:tcW w:w="1320" w:type="dxa"/>
            <w:tcBorders>
              <w:top w:val="nil"/>
              <w:left w:val="nil"/>
              <w:bottom w:val="single" w:sz="4" w:space="0" w:color="BFBFBF"/>
              <w:right w:val="single" w:sz="4" w:space="0" w:color="BFBFBF"/>
            </w:tcBorders>
            <w:shd w:val="clear" w:color="auto" w:fill="auto"/>
            <w:noWrap/>
            <w:hideMark/>
          </w:tcPr>
          <w:p w14:paraId="6A569670" w14:textId="77777777" w:rsidR="00F06095" w:rsidRPr="00100F0A" w:rsidRDefault="00F06095"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Very high</w:t>
            </w:r>
          </w:p>
        </w:tc>
        <w:tc>
          <w:tcPr>
            <w:tcW w:w="723" w:type="dxa"/>
            <w:tcBorders>
              <w:top w:val="nil"/>
              <w:left w:val="nil"/>
              <w:bottom w:val="single" w:sz="4" w:space="0" w:color="BFBFBF"/>
              <w:right w:val="single" w:sz="4" w:space="0" w:color="BFBFBF"/>
            </w:tcBorders>
            <w:shd w:val="clear" w:color="000000" w:fill="FFFFFF"/>
            <w:noWrap/>
            <w:hideMark/>
          </w:tcPr>
          <w:p w14:paraId="20E3D378" w14:textId="77777777" w:rsidR="00F06095" w:rsidRPr="00100F0A" w:rsidRDefault="00F06095"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&gt;2037</w:t>
            </w:r>
          </w:p>
        </w:tc>
        <w:tc>
          <w:tcPr>
            <w:tcW w:w="723" w:type="dxa"/>
            <w:tcBorders>
              <w:top w:val="nil"/>
              <w:left w:val="nil"/>
              <w:bottom w:val="single" w:sz="4" w:space="0" w:color="BFBFBF"/>
              <w:right w:val="single" w:sz="4" w:space="0" w:color="BFBFBF"/>
            </w:tcBorders>
            <w:shd w:val="clear" w:color="000000" w:fill="FFFFFF"/>
          </w:tcPr>
          <w:p w14:paraId="1C3D88F1" w14:textId="17BBF648" w:rsidR="00F06095" w:rsidRPr="00100F0A" w:rsidRDefault="00F06095" w:rsidP="00B01AA4">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&gt;2037</w:t>
            </w:r>
          </w:p>
        </w:tc>
        <w:tc>
          <w:tcPr>
            <w:tcW w:w="722" w:type="dxa"/>
            <w:tcBorders>
              <w:top w:val="nil"/>
              <w:left w:val="nil"/>
              <w:bottom w:val="single" w:sz="4" w:space="0" w:color="BFBFBF"/>
              <w:right w:val="single" w:sz="4" w:space="0" w:color="BFBFBF"/>
            </w:tcBorders>
            <w:shd w:val="clear" w:color="000000" w:fill="FFFFFF"/>
          </w:tcPr>
          <w:p w14:paraId="72550D6D" w14:textId="69D1447E" w:rsidR="00F06095" w:rsidRPr="00100F0A" w:rsidRDefault="00F06095" w:rsidP="00A20188">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&gt;2037</w:t>
            </w:r>
          </w:p>
        </w:tc>
      </w:tr>
      <w:tr w:rsidR="00490741" w:rsidRPr="00100F0A" w14:paraId="35EF856D" w14:textId="77777777" w:rsidTr="00AE49A9">
        <w:trPr>
          <w:trHeight w:val="300"/>
        </w:trPr>
        <w:tc>
          <w:tcPr>
            <w:tcW w:w="3403" w:type="dxa"/>
            <w:tcBorders>
              <w:top w:val="nil"/>
              <w:left w:val="single" w:sz="4" w:space="0" w:color="BFBFBF"/>
              <w:bottom w:val="single" w:sz="4" w:space="0" w:color="BFBFBF"/>
              <w:right w:val="single" w:sz="4" w:space="0" w:color="BFBFBF"/>
            </w:tcBorders>
            <w:shd w:val="clear" w:color="000000" w:fill="C5D9F1"/>
            <w:noWrap/>
            <w:vAlign w:val="bottom"/>
            <w:hideMark/>
          </w:tcPr>
          <w:p w14:paraId="10842F39" w14:textId="77777777" w:rsidR="00490741" w:rsidRPr="00100F0A" w:rsidRDefault="00490741" w:rsidP="00490741">
            <w:pPr>
              <w:jc w:val="right"/>
              <w:rPr>
                <w:rFonts w:eastAsia="Times New Roman" w:cs="Calibri"/>
                <w:b/>
                <w:bCs/>
                <w:color w:val="000000"/>
                <w:sz w:val="20"/>
                <w:szCs w:val="18"/>
                <w:lang w:eastAsia="en-AU"/>
              </w:rPr>
            </w:pPr>
            <w:r w:rsidRPr="00100F0A">
              <w:rPr>
                <w:rFonts w:eastAsia="Times New Roman" w:cs="Calibri"/>
                <w:b/>
                <w:bCs/>
                <w:color w:val="000000"/>
                <w:sz w:val="20"/>
                <w:szCs w:val="18"/>
                <w:lang w:eastAsia="en-AU"/>
              </w:rPr>
              <w:t xml:space="preserve">Treatment </w:t>
            </w:r>
          </w:p>
        </w:tc>
        <w:tc>
          <w:tcPr>
            <w:tcW w:w="850" w:type="dxa"/>
            <w:tcBorders>
              <w:top w:val="nil"/>
              <w:left w:val="nil"/>
              <w:bottom w:val="single" w:sz="4" w:space="0" w:color="BFBFBF"/>
              <w:right w:val="single" w:sz="4" w:space="0" w:color="BFBFBF"/>
            </w:tcBorders>
            <w:shd w:val="clear" w:color="000000" w:fill="C5D9F1"/>
            <w:noWrap/>
            <w:hideMark/>
          </w:tcPr>
          <w:p w14:paraId="3A146963" w14:textId="77777777" w:rsidR="00490741" w:rsidRPr="00100F0A" w:rsidRDefault="00490741" w:rsidP="00490741">
            <w:pPr>
              <w:rPr>
                <w:rFonts w:eastAsia="Times New Roman" w:cs="Calibri"/>
                <w:color w:val="000000"/>
                <w:sz w:val="20"/>
                <w:szCs w:val="18"/>
                <w:lang w:eastAsia="en-AU"/>
              </w:rPr>
            </w:pPr>
            <w:r w:rsidRPr="00100F0A">
              <w:rPr>
                <w:rFonts w:eastAsia="Times New Roman" w:cs="Calibri"/>
                <w:color w:val="000000"/>
                <w:sz w:val="20"/>
                <w:szCs w:val="18"/>
                <w:lang w:eastAsia="en-AU"/>
              </w:rPr>
              <w:t> </w:t>
            </w:r>
          </w:p>
        </w:tc>
        <w:tc>
          <w:tcPr>
            <w:tcW w:w="931" w:type="dxa"/>
            <w:tcBorders>
              <w:top w:val="nil"/>
              <w:left w:val="nil"/>
              <w:bottom w:val="single" w:sz="4" w:space="0" w:color="BFBFBF"/>
              <w:right w:val="single" w:sz="4" w:space="0" w:color="BFBFBF"/>
            </w:tcBorders>
            <w:shd w:val="clear" w:color="000000" w:fill="C5D9F1"/>
            <w:noWrap/>
            <w:hideMark/>
          </w:tcPr>
          <w:p w14:paraId="3C1BBFF9" w14:textId="77777777" w:rsidR="00490741" w:rsidRPr="00100F0A" w:rsidRDefault="00490741" w:rsidP="00490741">
            <w:pPr>
              <w:rPr>
                <w:rFonts w:eastAsia="Times New Roman" w:cs="Calibri"/>
                <w:color w:val="000000"/>
                <w:sz w:val="20"/>
                <w:szCs w:val="18"/>
                <w:lang w:eastAsia="en-AU"/>
              </w:rPr>
            </w:pPr>
            <w:r w:rsidRPr="00100F0A">
              <w:rPr>
                <w:rFonts w:eastAsia="Times New Roman" w:cs="Calibri"/>
                <w:color w:val="000000"/>
                <w:sz w:val="20"/>
                <w:szCs w:val="18"/>
                <w:lang w:eastAsia="en-AU"/>
              </w:rPr>
              <w:t> </w:t>
            </w:r>
          </w:p>
        </w:tc>
        <w:tc>
          <w:tcPr>
            <w:tcW w:w="975" w:type="dxa"/>
            <w:tcBorders>
              <w:top w:val="nil"/>
              <w:left w:val="nil"/>
              <w:bottom w:val="single" w:sz="4" w:space="0" w:color="BFBFBF"/>
              <w:right w:val="single" w:sz="4" w:space="0" w:color="BFBFBF"/>
            </w:tcBorders>
            <w:shd w:val="clear" w:color="000000" w:fill="C5D9F1"/>
            <w:noWrap/>
            <w:hideMark/>
          </w:tcPr>
          <w:p w14:paraId="0FA09877" w14:textId="77777777" w:rsidR="00490741" w:rsidRPr="00100F0A" w:rsidRDefault="00490741" w:rsidP="00490741">
            <w:pPr>
              <w:rPr>
                <w:rFonts w:eastAsia="Times New Roman" w:cs="Calibri"/>
                <w:color w:val="000000"/>
                <w:sz w:val="20"/>
                <w:szCs w:val="18"/>
                <w:lang w:eastAsia="en-AU"/>
              </w:rPr>
            </w:pPr>
            <w:r w:rsidRPr="00100F0A">
              <w:rPr>
                <w:rFonts w:eastAsia="Times New Roman" w:cs="Calibri"/>
                <w:color w:val="000000"/>
                <w:sz w:val="20"/>
                <w:szCs w:val="18"/>
                <w:lang w:eastAsia="en-AU"/>
              </w:rPr>
              <w:t> </w:t>
            </w:r>
          </w:p>
        </w:tc>
        <w:tc>
          <w:tcPr>
            <w:tcW w:w="1320" w:type="dxa"/>
            <w:tcBorders>
              <w:top w:val="nil"/>
              <w:left w:val="nil"/>
              <w:bottom w:val="single" w:sz="4" w:space="0" w:color="BFBFBF"/>
              <w:right w:val="single" w:sz="4" w:space="0" w:color="BFBFBF"/>
            </w:tcBorders>
            <w:shd w:val="clear" w:color="000000" w:fill="C5D9F1"/>
            <w:noWrap/>
            <w:hideMark/>
          </w:tcPr>
          <w:p w14:paraId="1F05BB04" w14:textId="77777777" w:rsidR="00490741" w:rsidRPr="00100F0A" w:rsidRDefault="00490741" w:rsidP="00490741">
            <w:pPr>
              <w:rPr>
                <w:rFonts w:eastAsia="Times New Roman" w:cs="Calibri"/>
                <w:color w:val="000000"/>
                <w:sz w:val="20"/>
                <w:szCs w:val="18"/>
                <w:lang w:eastAsia="en-AU"/>
              </w:rPr>
            </w:pPr>
            <w:r w:rsidRPr="00100F0A">
              <w:rPr>
                <w:rFonts w:eastAsia="Times New Roman" w:cs="Calibri"/>
                <w:color w:val="000000"/>
                <w:sz w:val="20"/>
                <w:szCs w:val="18"/>
                <w:lang w:eastAsia="en-AU"/>
              </w:rPr>
              <w:t> </w:t>
            </w:r>
          </w:p>
        </w:tc>
        <w:tc>
          <w:tcPr>
            <w:tcW w:w="723" w:type="dxa"/>
            <w:tcBorders>
              <w:top w:val="nil"/>
              <w:left w:val="nil"/>
              <w:bottom w:val="single" w:sz="4" w:space="0" w:color="BFBFBF"/>
              <w:right w:val="single" w:sz="4" w:space="0" w:color="BFBFBF"/>
            </w:tcBorders>
            <w:shd w:val="clear" w:color="000000" w:fill="C5D9F1"/>
            <w:noWrap/>
            <w:hideMark/>
          </w:tcPr>
          <w:p w14:paraId="39E43B41" w14:textId="77777777" w:rsidR="00490741" w:rsidRPr="00100F0A" w:rsidRDefault="00490741" w:rsidP="00490741">
            <w:pPr>
              <w:rPr>
                <w:rFonts w:eastAsia="Times New Roman" w:cs="Calibri"/>
                <w:color w:val="000000"/>
                <w:sz w:val="20"/>
                <w:szCs w:val="18"/>
                <w:lang w:eastAsia="en-AU"/>
              </w:rPr>
            </w:pPr>
            <w:r w:rsidRPr="00100F0A">
              <w:rPr>
                <w:rFonts w:eastAsia="Times New Roman" w:cs="Calibri"/>
                <w:color w:val="000000"/>
                <w:sz w:val="20"/>
                <w:szCs w:val="18"/>
                <w:lang w:eastAsia="en-AU"/>
              </w:rPr>
              <w:t> </w:t>
            </w:r>
          </w:p>
        </w:tc>
        <w:tc>
          <w:tcPr>
            <w:tcW w:w="723" w:type="dxa"/>
            <w:tcBorders>
              <w:top w:val="nil"/>
              <w:left w:val="nil"/>
              <w:bottom w:val="single" w:sz="4" w:space="0" w:color="BFBFBF"/>
              <w:right w:val="single" w:sz="4" w:space="0" w:color="BFBFBF"/>
            </w:tcBorders>
            <w:shd w:val="clear" w:color="000000" w:fill="C5D9F1"/>
            <w:noWrap/>
            <w:hideMark/>
          </w:tcPr>
          <w:p w14:paraId="03C20C4D" w14:textId="77777777" w:rsidR="00490741" w:rsidRPr="00100F0A" w:rsidRDefault="00490741" w:rsidP="00490741">
            <w:pPr>
              <w:rPr>
                <w:rFonts w:eastAsia="Times New Roman" w:cs="Calibri"/>
                <w:color w:val="000000"/>
                <w:sz w:val="20"/>
                <w:szCs w:val="18"/>
                <w:lang w:eastAsia="en-AU"/>
              </w:rPr>
            </w:pPr>
            <w:r w:rsidRPr="00100F0A">
              <w:rPr>
                <w:rFonts w:eastAsia="Times New Roman" w:cs="Calibri"/>
                <w:color w:val="000000"/>
                <w:sz w:val="20"/>
                <w:szCs w:val="18"/>
                <w:lang w:eastAsia="en-AU"/>
              </w:rPr>
              <w:t> </w:t>
            </w:r>
          </w:p>
        </w:tc>
        <w:tc>
          <w:tcPr>
            <w:tcW w:w="722" w:type="dxa"/>
            <w:tcBorders>
              <w:top w:val="nil"/>
              <w:left w:val="nil"/>
              <w:bottom w:val="single" w:sz="4" w:space="0" w:color="BFBFBF"/>
              <w:right w:val="single" w:sz="4" w:space="0" w:color="BFBFBF"/>
            </w:tcBorders>
            <w:shd w:val="clear" w:color="000000" w:fill="C5D9F1"/>
            <w:noWrap/>
            <w:hideMark/>
          </w:tcPr>
          <w:p w14:paraId="465E97BA" w14:textId="77777777" w:rsidR="00490741" w:rsidRPr="00100F0A" w:rsidRDefault="00490741" w:rsidP="00490741">
            <w:pPr>
              <w:rPr>
                <w:rFonts w:eastAsia="Times New Roman" w:cs="Calibri"/>
                <w:color w:val="000000"/>
                <w:sz w:val="20"/>
                <w:szCs w:val="18"/>
                <w:lang w:eastAsia="en-AU"/>
              </w:rPr>
            </w:pPr>
            <w:r w:rsidRPr="00100F0A">
              <w:rPr>
                <w:rFonts w:eastAsia="Times New Roman" w:cs="Calibri"/>
                <w:color w:val="000000"/>
                <w:sz w:val="20"/>
                <w:szCs w:val="18"/>
                <w:lang w:eastAsia="en-AU"/>
              </w:rPr>
              <w:t> </w:t>
            </w:r>
          </w:p>
        </w:tc>
      </w:tr>
      <w:tr w:rsidR="00490741" w:rsidRPr="00100F0A" w14:paraId="575C0545" w14:textId="77777777" w:rsidTr="00AE49A9">
        <w:trPr>
          <w:trHeight w:val="300"/>
        </w:trPr>
        <w:tc>
          <w:tcPr>
            <w:tcW w:w="3403" w:type="dxa"/>
            <w:tcBorders>
              <w:top w:val="nil"/>
              <w:left w:val="single" w:sz="4" w:space="0" w:color="BFBFBF"/>
              <w:bottom w:val="single" w:sz="4" w:space="0" w:color="BFBFBF"/>
              <w:right w:val="single" w:sz="4" w:space="0" w:color="BFBFBF"/>
            </w:tcBorders>
            <w:shd w:val="clear" w:color="auto" w:fill="auto"/>
            <w:noWrap/>
            <w:vAlign w:val="center"/>
            <w:hideMark/>
          </w:tcPr>
          <w:p w14:paraId="40DE6BAF"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CPT plant</w:t>
            </w:r>
          </w:p>
        </w:tc>
        <w:tc>
          <w:tcPr>
            <w:tcW w:w="850" w:type="dxa"/>
            <w:tcBorders>
              <w:top w:val="nil"/>
              <w:left w:val="nil"/>
              <w:bottom w:val="single" w:sz="4" w:space="0" w:color="BFBFBF"/>
              <w:right w:val="single" w:sz="4" w:space="0" w:color="BFBFBF"/>
            </w:tcBorders>
            <w:shd w:val="clear" w:color="auto" w:fill="auto"/>
            <w:noWrap/>
            <w:hideMark/>
          </w:tcPr>
          <w:p w14:paraId="2FD5DE2F"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395</w:t>
            </w:r>
          </w:p>
        </w:tc>
        <w:tc>
          <w:tcPr>
            <w:tcW w:w="931" w:type="dxa"/>
            <w:tcBorders>
              <w:top w:val="nil"/>
              <w:left w:val="nil"/>
              <w:bottom w:val="single" w:sz="4" w:space="0" w:color="BFBFBF"/>
              <w:right w:val="single" w:sz="4" w:space="0" w:color="BFBFBF"/>
            </w:tcBorders>
            <w:shd w:val="clear" w:color="auto" w:fill="auto"/>
            <w:noWrap/>
            <w:hideMark/>
          </w:tcPr>
          <w:p w14:paraId="3AB98119"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1,129</w:t>
            </w:r>
          </w:p>
        </w:tc>
        <w:tc>
          <w:tcPr>
            <w:tcW w:w="975" w:type="dxa"/>
            <w:tcBorders>
              <w:top w:val="nil"/>
              <w:left w:val="nil"/>
              <w:bottom w:val="single" w:sz="4" w:space="0" w:color="BFBFBF"/>
              <w:right w:val="single" w:sz="4" w:space="0" w:color="BFBFBF"/>
            </w:tcBorders>
            <w:shd w:val="clear" w:color="auto" w:fill="auto"/>
            <w:noWrap/>
            <w:hideMark/>
          </w:tcPr>
          <w:p w14:paraId="799A759E"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4</w:t>
            </w:r>
          </w:p>
        </w:tc>
        <w:tc>
          <w:tcPr>
            <w:tcW w:w="1320" w:type="dxa"/>
            <w:tcBorders>
              <w:top w:val="nil"/>
              <w:left w:val="nil"/>
              <w:bottom w:val="single" w:sz="4" w:space="0" w:color="BFBFBF"/>
              <w:right w:val="single" w:sz="4" w:space="0" w:color="BFBFBF"/>
            </w:tcBorders>
            <w:shd w:val="clear" w:color="auto" w:fill="auto"/>
            <w:noWrap/>
            <w:hideMark/>
          </w:tcPr>
          <w:p w14:paraId="359F30ED"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Moderate</w:t>
            </w:r>
          </w:p>
        </w:tc>
        <w:tc>
          <w:tcPr>
            <w:tcW w:w="723" w:type="dxa"/>
            <w:tcBorders>
              <w:top w:val="nil"/>
              <w:left w:val="nil"/>
              <w:bottom w:val="single" w:sz="4" w:space="0" w:color="BFBFBF"/>
              <w:right w:val="single" w:sz="4" w:space="0" w:color="BFBFBF"/>
            </w:tcBorders>
            <w:shd w:val="clear" w:color="000000" w:fill="FFFFFF"/>
            <w:noWrap/>
            <w:hideMark/>
          </w:tcPr>
          <w:p w14:paraId="3724B7C2"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&gt;2037</w:t>
            </w:r>
          </w:p>
        </w:tc>
        <w:tc>
          <w:tcPr>
            <w:tcW w:w="723" w:type="dxa"/>
            <w:tcBorders>
              <w:top w:val="nil"/>
              <w:left w:val="nil"/>
              <w:bottom w:val="single" w:sz="4" w:space="0" w:color="BFBFBF"/>
              <w:right w:val="single" w:sz="4" w:space="0" w:color="BFBFBF"/>
            </w:tcBorders>
            <w:shd w:val="clear" w:color="000000" w:fill="FFFFFF"/>
            <w:noWrap/>
            <w:hideMark/>
          </w:tcPr>
          <w:p w14:paraId="16AA6825"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&gt;2037</w:t>
            </w:r>
          </w:p>
        </w:tc>
        <w:tc>
          <w:tcPr>
            <w:tcW w:w="722" w:type="dxa"/>
            <w:tcBorders>
              <w:top w:val="nil"/>
              <w:left w:val="nil"/>
              <w:bottom w:val="single" w:sz="4" w:space="0" w:color="BFBFBF"/>
              <w:right w:val="single" w:sz="4" w:space="0" w:color="BFBFBF"/>
            </w:tcBorders>
            <w:shd w:val="clear" w:color="000000" w:fill="FFFFFF"/>
            <w:noWrap/>
            <w:hideMark/>
          </w:tcPr>
          <w:p w14:paraId="2269FEAD"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&gt;2037</w:t>
            </w:r>
          </w:p>
        </w:tc>
      </w:tr>
      <w:tr w:rsidR="00490741" w:rsidRPr="00100F0A" w14:paraId="2BDE0175" w14:textId="77777777" w:rsidTr="00AE49A9">
        <w:trPr>
          <w:trHeight w:val="300"/>
        </w:trPr>
        <w:tc>
          <w:tcPr>
            <w:tcW w:w="3403" w:type="dxa"/>
            <w:tcBorders>
              <w:top w:val="nil"/>
              <w:left w:val="single" w:sz="4" w:space="0" w:color="BFBFBF"/>
              <w:bottom w:val="single" w:sz="4" w:space="0" w:color="BFBFBF"/>
              <w:right w:val="single" w:sz="4" w:space="0" w:color="BFBFBF"/>
            </w:tcBorders>
            <w:shd w:val="clear" w:color="auto" w:fill="auto"/>
            <w:noWrap/>
            <w:vAlign w:val="center"/>
            <w:hideMark/>
          </w:tcPr>
          <w:p w14:paraId="0042FA6B"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 xml:space="preserve">Clinical waste treatment facility </w:t>
            </w:r>
          </w:p>
        </w:tc>
        <w:tc>
          <w:tcPr>
            <w:tcW w:w="850" w:type="dxa"/>
            <w:tcBorders>
              <w:top w:val="nil"/>
              <w:left w:val="nil"/>
              <w:bottom w:val="single" w:sz="4" w:space="0" w:color="BFBFBF"/>
              <w:right w:val="single" w:sz="4" w:space="0" w:color="BFBFBF"/>
            </w:tcBorders>
            <w:shd w:val="clear" w:color="auto" w:fill="auto"/>
            <w:noWrap/>
            <w:hideMark/>
          </w:tcPr>
          <w:p w14:paraId="248D7FE3"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23</w:t>
            </w:r>
          </w:p>
        </w:tc>
        <w:tc>
          <w:tcPr>
            <w:tcW w:w="931" w:type="dxa"/>
            <w:tcBorders>
              <w:top w:val="nil"/>
              <w:left w:val="nil"/>
              <w:bottom w:val="single" w:sz="4" w:space="0" w:color="BFBFBF"/>
              <w:right w:val="single" w:sz="4" w:space="0" w:color="BFBFBF"/>
            </w:tcBorders>
            <w:shd w:val="clear" w:color="auto" w:fill="auto"/>
            <w:noWrap/>
            <w:hideMark/>
          </w:tcPr>
          <w:p w14:paraId="636FF6F7"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25</w:t>
            </w:r>
          </w:p>
        </w:tc>
        <w:tc>
          <w:tcPr>
            <w:tcW w:w="975" w:type="dxa"/>
            <w:tcBorders>
              <w:top w:val="nil"/>
              <w:left w:val="nil"/>
              <w:bottom w:val="single" w:sz="4" w:space="0" w:color="BFBFBF"/>
              <w:right w:val="single" w:sz="4" w:space="0" w:color="BFBFBF"/>
            </w:tcBorders>
            <w:shd w:val="clear" w:color="auto" w:fill="auto"/>
            <w:noWrap/>
            <w:hideMark/>
          </w:tcPr>
          <w:p w14:paraId="59623F3D"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0</w:t>
            </w:r>
          </w:p>
        </w:tc>
        <w:tc>
          <w:tcPr>
            <w:tcW w:w="1320" w:type="dxa"/>
            <w:tcBorders>
              <w:top w:val="nil"/>
              <w:left w:val="nil"/>
              <w:bottom w:val="single" w:sz="4" w:space="0" w:color="BFBFBF"/>
              <w:right w:val="single" w:sz="4" w:space="0" w:color="BFBFBF"/>
            </w:tcBorders>
            <w:shd w:val="clear" w:color="auto" w:fill="auto"/>
            <w:noWrap/>
            <w:hideMark/>
          </w:tcPr>
          <w:p w14:paraId="2920FB60"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High</w:t>
            </w:r>
          </w:p>
        </w:tc>
        <w:tc>
          <w:tcPr>
            <w:tcW w:w="723" w:type="dxa"/>
            <w:tcBorders>
              <w:top w:val="nil"/>
              <w:left w:val="nil"/>
              <w:bottom w:val="single" w:sz="4" w:space="0" w:color="BFBFBF"/>
              <w:right w:val="single" w:sz="4" w:space="0" w:color="BFBFBF"/>
            </w:tcBorders>
            <w:shd w:val="clear" w:color="000000" w:fill="FFFFFF"/>
            <w:noWrap/>
            <w:hideMark/>
          </w:tcPr>
          <w:p w14:paraId="71586125" w14:textId="5DCBC0BF"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202</w:t>
            </w:r>
            <w:r w:rsidR="00AE49A9">
              <w:rPr>
                <w:rFonts w:eastAsia="Times New Roman" w:cs="Calibri"/>
                <w:color w:val="000000"/>
                <w:sz w:val="20"/>
                <w:szCs w:val="18"/>
                <w:lang w:eastAsia="en-AU"/>
              </w:rPr>
              <w:t>6</w:t>
            </w:r>
          </w:p>
        </w:tc>
        <w:tc>
          <w:tcPr>
            <w:tcW w:w="723" w:type="dxa"/>
            <w:tcBorders>
              <w:top w:val="nil"/>
              <w:left w:val="nil"/>
              <w:bottom w:val="single" w:sz="4" w:space="0" w:color="BFBFBF"/>
              <w:right w:val="single" w:sz="4" w:space="0" w:color="BFBFBF"/>
            </w:tcBorders>
            <w:shd w:val="clear" w:color="000000" w:fill="FFFFFF"/>
            <w:noWrap/>
            <w:hideMark/>
          </w:tcPr>
          <w:p w14:paraId="6693CF63" w14:textId="6CAE4E21"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202</w:t>
            </w:r>
            <w:r w:rsidR="00AE49A9">
              <w:rPr>
                <w:rFonts w:eastAsia="Times New Roman" w:cs="Calibri"/>
                <w:color w:val="000000"/>
                <w:sz w:val="20"/>
                <w:szCs w:val="18"/>
                <w:lang w:eastAsia="en-AU"/>
              </w:rPr>
              <w:t>3</w:t>
            </w:r>
          </w:p>
        </w:tc>
        <w:tc>
          <w:tcPr>
            <w:tcW w:w="722" w:type="dxa"/>
            <w:tcBorders>
              <w:top w:val="nil"/>
              <w:left w:val="nil"/>
              <w:bottom w:val="single" w:sz="4" w:space="0" w:color="BFBFBF"/>
              <w:right w:val="single" w:sz="4" w:space="0" w:color="BFBFBF"/>
            </w:tcBorders>
            <w:shd w:val="clear" w:color="000000" w:fill="FFFFFF"/>
            <w:noWrap/>
            <w:hideMark/>
          </w:tcPr>
          <w:p w14:paraId="4F87E80C"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&gt;2037</w:t>
            </w:r>
          </w:p>
        </w:tc>
      </w:tr>
      <w:tr w:rsidR="00490741" w:rsidRPr="00100F0A" w14:paraId="122CB212" w14:textId="77777777" w:rsidTr="00AE49A9">
        <w:trPr>
          <w:trHeight w:val="300"/>
        </w:trPr>
        <w:tc>
          <w:tcPr>
            <w:tcW w:w="3403" w:type="dxa"/>
            <w:tcBorders>
              <w:top w:val="nil"/>
              <w:left w:val="single" w:sz="4" w:space="0" w:color="BFBFBF"/>
              <w:bottom w:val="single" w:sz="4" w:space="0" w:color="BFBFBF"/>
              <w:right w:val="single" w:sz="4" w:space="0" w:color="BFBFBF"/>
            </w:tcBorders>
            <w:shd w:val="clear" w:color="auto" w:fill="D9D9D9" w:themeFill="background1" w:themeFillShade="D9"/>
            <w:noWrap/>
            <w:vAlign w:val="center"/>
            <w:hideMark/>
          </w:tcPr>
          <w:p w14:paraId="7EEAAAF5"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Bioremediation facility</w:t>
            </w:r>
          </w:p>
        </w:tc>
        <w:tc>
          <w:tcPr>
            <w:tcW w:w="850" w:type="dxa"/>
            <w:tcBorders>
              <w:top w:val="nil"/>
              <w:left w:val="nil"/>
              <w:bottom w:val="single" w:sz="4" w:space="0" w:color="BFBFBF"/>
              <w:right w:val="single" w:sz="4" w:space="0" w:color="BFBFBF"/>
            </w:tcBorders>
            <w:shd w:val="clear" w:color="auto" w:fill="D9D9D9" w:themeFill="background1" w:themeFillShade="D9"/>
            <w:noWrap/>
            <w:hideMark/>
          </w:tcPr>
          <w:p w14:paraId="0BAD87D2"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192</w:t>
            </w:r>
          </w:p>
        </w:tc>
        <w:tc>
          <w:tcPr>
            <w:tcW w:w="931" w:type="dxa"/>
            <w:tcBorders>
              <w:top w:val="nil"/>
              <w:left w:val="nil"/>
              <w:bottom w:val="single" w:sz="4" w:space="0" w:color="BFBFBF"/>
              <w:right w:val="single" w:sz="4" w:space="0" w:color="BFBFBF"/>
            </w:tcBorders>
            <w:shd w:val="clear" w:color="auto" w:fill="D9D9D9" w:themeFill="background1" w:themeFillShade="D9"/>
            <w:noWrap/>
            <w:hideMark/>
          </w:tcPr>
          <w:p w14:paraId="1B403EDC"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0</w:t>
            </w:r>
          </w:p>
        </w:tc>
        <w:tc>
          <w:tcPr>
            <w:tcW w:w="975" w:type="dxa"/>
            <w:tcBorders>
              <w:top w:val="nil"/>
              <w:left w:val="nil"/>
              <w:bottom w:val="single" w:sz="4" w:space="0" w:color="BFBFBF"/>
              <w:right w:val="single" w:sz="4" w:space="0" w:color="BFBFBF"/>
            </w:tcBorders>
            <w:shd w:val="clear" w:color="auto" w:fill="D9D9D9" w:themeFill="background1" w:themeFillShade="D9"/>
            <w:noWrap/>
            <w:hideMark/>
          </w:tcPr>
          <w:p w14:paraId="0AB840E9"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0</w:t>
            </w:r>
          </w:p>
        </w:tc>
        <w:tc>
          <w:tcPr>
            <w:tcW w:w="1320" w:type="dxa"/>
            <w:tcBorders>
              <w:top w:val="nil"/>
              <w:left w:val="nil"/>
              <w:bottom w:val="single" w:sz="4" w:space="0" w:color="BFBFBF"/>
              <w:right w:val="single" w:sz="4" w:space="0" w:color="BFBFBF"/>
            </w:tcBorders>
            <w:shd w:val="clear" w:color="auto" w:fill="D9D9D9" w:themeFill="background1" w:themeFillShade="D9"/>
            <w:noWrap/>
            <w:hideMark/>
          </w:tcPr>
          <w:p w14:paraId="599EECF4"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Very high</w:t>
            </w:r>
          </w:p>
        </w:tc>
        <w:tc>
          <w:tcPr>
            <w:tcW w:w="723"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hideMark/>
          </w:tcPr>
          <w:p w14:paraId="40F54354" w14:textId="77777777" w:rsidR="00490741" w:rsidRPr="00100F0A" w:rsidRDefault="00490741" w:rsidP="00490741">
            <w:pPr>
              <w:jc w:val="center"/>
              <w:rPr>
                <w:rFonts w:eastAsia="Times New Roman" w:cs="Calibri"/>
                <w:color w:val="808080"/>
                <w:sz w:val="20"/>
                <w:szCs w:val="18"/>
                <w:lang w:eastAsia="en-AU"/>
              </w:rPr>
            </w:pPr>
            <w:r w:rsidRPr="00100F0A">
              <w:rPr>
                <w:rFonts w:eastAsia="Times New Roman" w:cs="Calibri"/>
                <w:color w:val="808080"/>
                <w:sz w:val="20"/>
                <w:szCs w:val="18"/>
                <w:lang w:eastAsia="en-AU"/>
              </w:rPr>
              <w:t>no inf.</w:t>
            </w:r>
          </w:p>
        </w:tc>
        <w:tc>
          <w:tcPr>
            <w:tcW w:w="723"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hideMark/>
          </w:tcPr>
          <w:p w14:paraId="1C24BC91" w14:textId="77777777" w:rsidR="00490741" w:rsidRPr="00100F0A" w:rsidRDefault="00490741" w:rsidP="00490741">
            <w:pPr>
              <w:jc w:val="center"/>
              <w:rPr>
                <w:rFonts w:eastAsia="Times New Roman" w:cs="Calibri"/>
                <w:color w:val="808080"/>
                <w:sz w:val="20"/>
                <w:szCs w:val="18"/>
                <w:lang w:eastAsia="en-AU"/>
              </w:rPr>
            </w:pPr>
            <w:r w:rsidRPr="00100F0A">
              <w:rPr>
                <w:rFonts w:eastAsia="Times New Roman" w:cs="Calibri"/>
                <w:color w:val="808080"/>
                <w:sz w:val="20"/>
                <w:szCs w:val="18"/>
                <w:lang w:eastAsia="en-AU"/>
              </w:rPr>
              <w:t>no inf.</w:t>
            </w:r>
          </w:p>
        </w:tc>
        <w:tc>
          <w:tcPr>
            <w:tcW w:w="722"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hideMark/>
          </w:tcPr>
          <w:p w14:paraId="4862D25A" w14:textId="77777777" w:rsidR="00490741" w:rsidRPr="00100F0A" w:rsidRDefault="00490741" w:rsidP="00490741">
            <w:pPr>
              <w:jc w:val="center"/>
              <w:rPr>
                <w:rFonts w:eastAsia="Times New Roman" w:cs="Calibri"/>
                <w:color w:val="808080"/>
                <w:sz w:val="20"/>
                <w:szCs w:val="18"/>
                <w:lang w:eastAsia="en-AU"/>
              </w:rPr>
            </w:pPr>
            <w:r w:rsidRPr="00100F0A">
              <w:rPr>
                <w:rFonts w:eastAsia="Times New Roman" w:cs="Calibri"/>
                <w:color w:val="808080"/>
                <w:sz w:val="20"/>
                <w:szCs w:val="18"/>
                <w:lang w:eastAsia="en-AU"/>
              </w:rPr>
              <w:t>no inf.</w:t>
            </w:r>
          </w:p>
        </w:tc>
      </w:tr>
      <w:tr w:rsidR="00490741" w:rsidRPr="00100F0A" w14:paraId="21C5F6E5" w14:textId="77777777" w:rsidTr="00AE49A9">
        <w:trPr>
          <w:trHeight w:val="300"/>
        </w:trPr>
        <w:tc>
          <w:tcPr>
            <w:tcW w:w="3403" w:type="dxa"/>
            <w:tcBorders>
              <w:top w:val="nil"/>
              <w:left w:val="single" w:sz="4" w:space="0" w:color="BFBFBF"/>
              <w:bottom w:val="single" w:sz="4" w:space="0" w:color="BFBFBF"/>
              <w:right w:val="single" w:sz="4" w:space="0" w:color="BFBFBF"/>
            </w:tcBorders>
            <w:shd w:val="clear" w:color="auto" w:fill="auto"/>
            <w:noWrap/>
            <w:vAlign w:val="center"/>
            <w:hideMark/>
          </w:tcPr>
          <w:p w14:paraId="57B81B2E" w14:textId="3AB8DD22"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 xml:space="preserve">OWT facility  </w:t>
            </w:r>
          </w:p>
        </w:tc>
        <w:tc>
          <w:tcPr>
            <w:tcW w:w="850" w:type="dxa"/>
            <w:tcBorders>
              <w:top w:val="nil"/>
              <w:left w:val="nil"/>
              <w:bottom w:val="single" w:sz="4" w:space="0" w:color="BFBFBF"/>
              <w:right w:val="single" w:sz="4" w:space="0" w:color="BFBFBF"/>
            </w:tcBorders>
            <w:shd w:val="clear" w:color="auto" w:fill="auto"/>
            <w:noWrap/>
            <w:hideMark/>
          </w:tcPr>
          <w:p w14:paraId="4CF787DB"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187</w:t>
            </w:r>
          </w:p>
        </w:tc>
        <w:tc>
          <w:tcPr>
            <w:tcW w:w="931" w:type="dxa"/>
            <w:tcBorders>
              <w:top w:val="nil"/>
              <w:left w:val="nil"/>
              <w:bottom w:val="single" w:sz="4" w:space="0" w:color="BFBFBF"/>
              <w:right w:val="single" w:sz="4" w:space="0" w:color="BFBFBF"/>
            </w:tcBorders>
            <w:shd w:val="clear" w:color="auto" w:fill="auto"/>
            <w:noWrap/>
            <w:hideMark/>
          </w:tcPr>
          <w:p w14:paraId="4F23B5B9"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199</w:t>
            </w:r>
          </w:p>
        </w:tc>
        <w:tc>
          <w:tcPr>
            <w:tcW w:w="975" w:type="dxa"/>
            <w:tcBorders>
              <w:top w:val="nil"/>
              <w:left w:val="nil"/>
              <w:bottom w:val="single" w:sz="4" w:space="0" w:color="BFBFBF"/>
              <w:right w:val="single" w:sz="4" w:space="0" w:color="BFBFBF"/>
            </w:tcBorders>
            <w:shd w:val="clear" w:color="auto" w:fill="auto"/>
            <w:noWrap/>
            <w:hideMark/>
          </w:tcPr>
          <w:p w14:paraId="27FF59E4"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0</w:t>
            </w:r>
          </w:p>
        </w:tc>
        <w:tc>
          <w:tcPr>
            <w:tcW w:w="1320" w:type="dxa"/>
            <w:tcBorders>
              <w:top w:val="nil"/>
              <w:left w:val="nil"/>
              <w:bottom w:val="single" w:sz="4" w:space="0" w:color="BFBFBF"/>
              <w:right w:val="single" w:sz="4" w:space="0" w:color="BFBFBF"/>
            </w:tcBorders>
            <w:shd w:val="clear" w:color="auto" w:fill="auto"/>
            <w:noWrap/>
            <w:hideMark/>
          </w:tcPr>
          <w:p w14:paraId="0A2857F3"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Very high</w:t>
            </w:r>
          </w:p>
        </w:tc>
        <w:tc>
          <w:tcPr>
            <w:tcW w:w="723" w:type="dxa"/>
            <w:tcBorders>
              <w:top w:val="nil"/>
              <w:left w:val="nil"/>
              <w:bottom w:val="single" w:sz="4" w:space="0" w:color="BFBFBF"/>
              <w:right w:val="single" w:sz="4" w:space="0" w:color="BFBFBF"/>
            </w:tcBorders>
            <w:shd w:val="clear" w:color="000000" w:fill="FFFFFF"/>
            <w:noWrap/>
            <w:hideMark/>
          </w:tcPr>
          <w:p w14:paraId="48C2A9C4"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2025</w:t>
            </w:r>
          </w:p>
        </w:tc>
        <w:tc>
          <w:tcPr>
            <w:tcW w:w="723" w:type="dxa"/>
            <w:tcBorders>
              <w:top w:val="nil"/>
              <w:left w:val="nil"/>
              <w:bottom w:val="single" w:sz="4" w:space="0" w:color="BFBFBF"/>
              <w:right w:val="single" w:sz="4" w:space="0" w:color="BFBFBF"/>
            </w:tcBorders>
            <w:shd w:val="clear" w:color="000000" w:fill="FFFFFF"/>
            <w:noWrap/>
            <w:hideMark/>
          </w:tcPr>
          <w:p w14:paraId="6EF7AFA6"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2019</w:t>
            </w:r>
          </w:p>
        </w:tc>
        <w:tc>
          <w:tcPr>
            <w:tcW w:w="722" w:type="dxa"/>
            <w:tcBorders>
              <w:top w:val="nil"/>
              <w:left w:val="nil"/>
              <w:bottom w:val="single" w:sz="4" w:space="0" w:color="BFBFBF"/>
              <w:right w:val="single" w:sz="4" w:space="0" w:color="BFBFBF"/>
            </w:tcBorders>
            <w:shd w:val="clear" w:color="000000" w:fill="FFFFFF"/>
            <w:noWrap/>
            <w:hideMark/>
          </w:tcPr>
          <w:p w14:paraId="2F1A5F47"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&gt;2037</w:t>
            </w:r>
          </w:p>
        </w:tc>
      </w:tr>
      <w:tr w:rsidR="00490741" w:rsidRPr="00100F0A" w14:paraId="1904FDFA" w14:textId="77777777" w:rsidTr="00AE49A9">
        <w:trPr>
          <w:trHeight w:val="300"/>
        </w:trPr>
        <w:tc>
          <w:tcPr>
            <w:tcW w:w="3403" w:type="dxa"/>
            <w:tcBorders>
              <w:top w:val="nil"/>
              <w:left w:val="single" w:sz="4" w:space="0" w:color="BFBFBF"/>
              <w:bottom w:val="single" w:sz="4" w:space="0" w:color="BFBFBF"/>
              <w:right w:val="single" w:sz="4" w:space="0" w:color="BFBFBF"/>
            </w:tcBorders>
            <w:shd w:val="clear" w:color="auto" w:fill="auto"/>
            <w:noWrap/>
            <w:vAlign w:val="center"/>
            <w:hideMark/>
          </w:tcPr>
          <w:p w14:paraId="429D6956"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Soils treatment facility</w:t>
            </w:r>
          </w:p>
        </w:tc>
        <w:tc>
          <w:tcPr>
            <w:tcW w:w="850" w:type="dxa"/>
            <w:tcBorders>
              <w:top w:val="nil"/>
              <w:left w:val="nil"/>
              <w:bottom w:val="single" w:sz="4" w:space="0" w:color="BFBFBF"/>
              <w:right w:val="single" w:sz="4" w:space="0" w:color="BFBFBF"/>
            </w:tcBorders>
            <w:shd w:val="clear" w:color="auto" w:fill="auto"/>
            <w:noWrap/>
            <w:hideMark/>
          </w:tcPr>
          <w:p w14:paraId="2BDEE049"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131</w:t>
            </w:r>
          </w:p>
        </w:tc>
        <w:tc>
          <w:tcPr>
            <w:tcW w:w="931" w:type="dxa"/>
            <w:tcBorders>
              <w:top w:val="nil"/>
              <w:left w:val="nil"/>
              <w:bottom w:val="single" w:sz="4" w:space="0" w:color="BFBFBF"/>
              <w:right w:val="single" w:sz="4" w:space="0" w:color="BFBFBF"/>
            </w:tcBorders>
            <w:shd w:val="clear" w:color="auto" w:fill="auto"/>
            <w:noWrap/>
            <w:hideMark/>
          </w:tcPr>
          <w:p w14:paraId="204F1468" w14:textId="75F833A8"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17</w:t>
            </w:r>
            <w:r w:rsidR="00AE49A9">
              <w:rPr>
                <w:rFonts w:eastAsia="Times New Roman" w:cs="Calibri"/>
                <w:color w:val="000000"/>
                <w:sz w:val="20"/>
                <w:szCs w:val="18"/>
                <w:lang w:eastAsia="en-AU"/>
              </w:rPr>
              <w:t>8</w:t>
            </w:r>
          </w:p>
        </w:tc>
        <w:tc>
          <w:tcPr>
            <w:tcW w:w="975" w:type="dxa"/>
            <w:tcBorders>
              <w:top w:val="nil"/>
              <w:left w:val="nil"/>
              <w:bottom w:val="single" w:sz="4" w:space="0" w:color="BFBFBF"/>
              <w:right w:val="single" w:sz="4" w:space="0" w:color="BFBFBF"/>
            </w:tcBorders>
            <w:shd w:val="clear" w:color="auto" w:fill="auto"/>
            <w:noWrap/>
            <w:hideMark/>
          </w:tcPr>
          <w:p w14:paraId="14CEA2FD"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296</w:t>
            </w:r>
          </w:p>
        </w:tc>
        <w:tc>
          <w:tcPr>
            <w:tcW w:w="1320" w:type="dxa"/>
            <w:tcBorders>
              <w:top w:val="nil"/>
              <w:left w:val="nil"/>
              <w:bottom w:val="single" w:sz="4" w:space="0" w:color="BFBFBF"/>
              <w:right w:val="single" w:sz="4" w:space="0" w:color="BFBFBF"/>
            </w:tcBorders>
            <w:shd w:val="clear" w:color="auto" w:fill="auto"/>
            <w:noWrap/>
            <w:hideMark/>
          </w:tcPr>
          <w:p w14:paraId="564F8925"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Moderate</w:t>
            </w:r>
          </w:p>
        </w:tc>
        <w:tc>
          <w:tcPr>
            <w:tcW w:w="723" w:type="dxa"/>
            <w:tcBorders>
              <w:top w:val="nil"/>
              <w:left w:val="nil"/>
              <w:bottom w:val="single" w:sz="4" w:space="0" w:color="BFBFBF"/>
              <w:right w:val="single" w:sz="4" w:space="0" w:color="BFBFBF"/>
            </w:tcBorders>
            <w:shd w:val="clear" w:color="000000" w:fill="FFFFFF"/>
            <w:noWrap/>
            <w:hideMark/>
          </w:tcPr>
          <w:p w14:paraId="444D23FD"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&gt;2037</w:t>
            </w:r>
          </w:p>
        </w:tc>
        <w:tc>
          <w:tcPr>
            <w:tcW w:w="723" w:type="dxa"/>
            <w:tcBorders>
              <w:top w:val="nil"/>
              <w:left w:val="nil"/>
              <w:bottom w:val="single" w:sz="4" w:space="0" w:color="BFBFBF"/>
              <w:right w:val="single" w:sz="4" w:space="0" w:color="BFBFBF"/>
            </w:tcBorders>
            <w:shd w:val="clear" w:color="000000" w:fill="FFFFFF"/>
            <w:noWrap/>
            <w:hideMark/>
          </w:tcPr>
          <w:p w14:paraId="5E6A68B1"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2018</w:t>
            </w:r>
          </w:p>
        </w:tc>
        <w:tc>
          <w:tcPr>
            <w:tcW w:w="722" w:type="dxa"/>
            <w:tcBorders>
              <w:top w:val="nil"/>
              <w:left w:val="nil"/>
              <w:bottom w:val="single" w:sz="4" w:space="0" w:color="BFBFBF"/>
              <w:right w:val="single" w:sz="4" w:space="0" w:color="BFBFBF"/>
            </w:tcBorders>
            <w:shd w:val="clear" w:color="000000" w:fill="FFFFFF"/>
            <w:noWrap/>
            <w:hideMark/>
          </w:tcPr>
          <w:p w14:paraId="333F2897"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&gt;2037</w:t>
            </w:r>
          </w:p>
        </w:tc>
      </w:tr>
      <w:tr w:rsidR="00490741" w:rsidRPr="00100F0A" w14:paraId="54A432AF" w14:textId="77777777" w:rsidTr="00AE49A9">
        <w:trPr>
          <w:trHeight w:val="300"/>
        </w:trPr>
        <w:tc>
          <w:tcPr>
            <w:tcW w:w="3403" w:type="dxa"/>
            <w:tcBorders>
              <w:top w:val="nil"/>
              <w:left w:val="single" w:sz="4" w:space="0" w:color="BFBFBF"/>
              <w:bottom w:val="single" w:sz="4" w:space="0" w:color="BFBFBF"/>
              <w:right w:val="single" w:sz="4" w:space="0" w:color="BFBFBF"/>
            </w:tcBorders>
            <w:shd w:val="clear" w:color="000000" w:fill="C5D9F1"/>
            <w:noWrap/>
            <w:vAlign w:val="bottom"/>
            <w:hideMark/>
          </w:tcPr>
          <w:p w14:paraId="6F90207B" w14:textId="77777777" w:rsidR="00490741" w:rsidRPr="00100F0A" w:rsidRDefault="00490741" w:rsidP="00490741">
            <w:pPr>
              <w:jc w:val="right"/>
              <w:rPr>
                <w:rFonts w:eastAsia="Times New Roman" w:cs="Calibri"/>
                <w:b/>
                <w:bCs/>
                <w:color w:val="000000"/>
                <w:sz w:val="20"/>
                <w:szCs w:val="18"/>
                <w:lang w:eastAsia="en-AU"/>
              </w:rPr>
            </w:pPr>
            <w:r w:rsidRPr="00100F0A">
              <w:rPr>
                <w:rFonts w:eastAsia="Times New Roman" w:cs="Calibri"/>
                <w:b/>
                <w:bCs/>
                <w:color w:val="000000"/>
                <w:sz w:val="20"/>
                <w:szCs w:val="18"/>
                <w:lang w:eastAsia="en-AU"/>
              </w:rPr>
              <w:t>Disposal</w:t>
            </w:r>
          </w:p>
        </w:tc>
        <w:tc>
          <w:tcPr>
            <w:tcW w:w="850" w:type="dxa"/>
            <w:tcBorders>
              <w:top w:val="nil"/>
              <w:left w:val="nil"/>
              <w:bottom w:val="single" w:sz="4" w:space="0" w:color="BFBFBF"/>
              <w:right w:val="single" w:sz="4" w:space="0" w:color="BFBFBF"/>
            </w:tcBorders>
            <w:shd w:val="clear" w:color="000000" w:fill="C5D9F1"/>
            <w:noWrap/>
            <w:hideMark/>
          </w:tcPr>
          <w:p w14:paraId="073B0586" w14:textId="77777777" w:rsidR="00490741" w:rsidRPr="00100F0A" w:rsidRDefault="00490741" w:rsidP="00490741">
            <w:pPr>
              <w:rPr>
                <w:rFonts w:eastAsia="Times New Roman" w:cs="Calibri"/>
                <w:color w:val="000000"/>
                <w:sz w:val="20"/>
                <w:szCs w:val="18"/>
                <w:lang w:eastAsia="en-AU"/>
              </w:rPr>
            </w:pPr>
            <w:r w:rsidRPr="00100F0A">
              <w:rPr>
                <w:rFonts w:eastAsia="Times New Roman" w:cs="Calibri"/>
                <w:color w:val="000000"/>
                <w:sz w:val="20"/>
                <w:szCs w:val="18"/>
                <w:lang w:eastAsia="en-AU"/>
              </w:rPr>
              <w:t> </w:t>
            </w:r>
          </w:p>
        </w:tc>
        <w:tc>
          <w:tcPr>
            <w:tcW w:w="931" w:type="dxa"/>
            <w:tcBorders>
              <w:top w:val="nil"/>
              <w:left w:val="nil"/>
              <w:bottom w:val="single" w:sz="4" w:space="0" w:color="BFBFBF"/>
              <w:right w:val="single" w:sz="4" w:space="0" w:color="BFBFBF"/>
            </w:tcBorders>
            <w:shd w:val="clear" w:color="000000" w:fill="C5D9F1"/>
            <w:noWrap/>
            <w:hideMark/>
          </w:tcPr>
          <w:p w14:paraId="7E4F9C73" w14:textId="77777777" w:rsidR="00490741" w:rsidRPr="00100F0A" w:rsidRDefault="00490741" w:rsidP="00490741">
            <w:pPr>
              <w:rPr>
                <w:rFonts w:eastAsia="Times New Roman" w:cs="Calibri"/>
                <w:color w:val="000000"/>
                <w:sz w:val="20"/>
                <w:szCs w:val="18"/>
                <w:lang w:eastAsia="en-AU"/>
              </w:rPr>
            </w:pPr>
            <w:r w:rsidRPr="00100F0A">
              <w:rPr>
                <w:rFonts w:eastAsia="Times New Roman" w:cs="Calibri"/>
                <w:color w:val="000000"/>
                <w:sz w:val="20"/>
                <w:szCs w:val="18"/>
                <w:lang w:eastAsia="en-AU"/>
              </w:rPr>
              <w:t> </w:t>
            </w:r>
          </w:p>
        </w:tc>
        <w:tc>
          <w:tcPr>
            <w:tcW w:w="975" w:type="dxa"/>
            <w:tcBorders>
              <w:top w:val="nil"/>
              <w:left w:val="nil"/>
              <w:bottom w:val="single" w:sz="4" w:space="0" w:color="BFBFBF"/>
              <w:right w:val="single" w:sz="4" w:space="0" w:color="BFBFBF"/>
            </w:tcBorders>
            <w:shd w:val="clear" w:color="000000" w:fill="C5D9F1"/>
            <w:noWrap/>
            <w:hideMark/>
          </w:tcPr>
          <w:p w14:paraId="4F31DF83" w14:textId="77777777" w:rsidR="00490741" w:rsidRPr="00100F0A" w:rsidRDefault="00490741" w:rsidP="00490741">
            <w:pPr>
              <w:rPr>
                <w:rFonts w:eastAsia="Times New Roman" w:cs="Calibri"/>
                <w:color w:val="000000"/>
                <w:sz w:val="20"/>
                <w:szCs w:val="18"/>
                <w:lang w:eastAsia="en-AU"/>
              </w:rPr>
            </w:pPr>
            <w:r w:rsidRPr="00100F0A">
              <w:rPr>
                <w:rFonts w:eastAsia="Times New Roman" w:cs="Calibri"/>
                <w:color w:val="000000"/>
                <w:sz w:val="20"/>
                <w:szCs w:val="18"/>
                <w:lang w:eastAsia="en-AU"/>
              </w:rPr>
              <w:t> </w:t>
            </w:r>
          </w:p>
        </w:tc>
        <w:tc>
          <w:tcPr>
            <w:tcW w:w="1320" w:type="dxa"/>
            <w:tcBorders>
              <w:top w:val="nil"/>
              <w:left w:val="nil"/>
              <w:bottom w:val="single" w:sz="4" w:space="0" w:color="BFBFBF"/>
              <w:right w:val="single" w:sz="4" w:space="0" w:color="BFBFBF"/>
            </w:tcBorders>
            <w:shd w:val="clear" w:color="000000" w:fill="C5D9F1"/>
            <w:noWrap/>
            <w:hideMark/>
          </w:tcPr>
          <w:p w14:paraId="4758889E" w14:textId="77777777" w:rsidR="00490741" w:rsidRPr="00100F0A" w:rsidRDefault="00490741" w:rsidP="00490741">
            <w:pPr>
              <w:rPr>
                <w:rFonts w:eastAsia="Times New Roman" w:cs="Calibri"/>
                <w:color w:val="000000"/>
                <w:sz w:val="20"/>
                <w:szCs w:val="18"/>
                <w:lang w:eastAsia="en-AU"/>
              </w:rPr>
            </w:pPr>
            <w:r w:rsidRPr="00100F0A">
              <w:rPr>
                <w:rFonts w:eastAsia="Times New Roman" w:cs="Calibri"/>
                <w:color w:val="000000"/>
                <w:sz w:val="20"/>
                <w:szCs w:val="18"/>
                <w:lang w:eastAsia="en-AU"/>
              </w:rPr>
              <w:t> </w:t>
            </w:r>
          </w:p>
        </w:tc>
        <w:tc>
          <w:tcPr>
            <w:tcW w:w="723" w:type="dxa"/>
            <w:tcBorders>
              <w:top w:val="nil"/>
              <w:left w:val="nil"/>
              <w:bottom w:val="single" w:sz="4" w:space="0" w:color="BFBFBF"/>
              <w:right w:val="single" w:sz="4" w:space="0" w:color="BFBFBF"/>
            </w:tcBorders>
            <w:shd w:val="clear" w:color="000000" w:fill="C5D9F1"/>
            <w:noWrap/>
            <w:hideMark/>
          </w:tcPr>
          <w:p w14:paraId="2A7E020C" w14:textId="77777777" w:rsidR="00490741" w:rsidRPr="00100F0A" w:rsidRDefault="00490741" w:rsidP="00490741">
            <w:pPr>
              <w:rPr>
                <w:rFonts w:eastAsia="Times New Roman" w:cs="Calibri"/>
                <w:color w:val="000000"/>
                <w:sz w:val="20"/>
                <w:szCs w:val="18"/>
                <w:lang w:eastAsia="en-AU"/>
              </w:rPr>
            </w:pPr>
            <w:r w:rsidRPr="00100F0A">
              <w:rPr>
                <w:rFonts w:eastAsia="Times New Roman" w:cs="Calibri"/>
                <w:color w:val="000000"/>
                <w:sz w:val="20"/>
                <w:szCs w:val="18"/>
                <w:lang w:eastAsia="en-AU"/>
              </w:rPr>
              <w:t> </w:t>
            </w:r>
          </w:p>
        </w:tc>
        <w:tc>
          <w:tcPr>
            <w:tcW w:w="723" w:type="dxa"/>
            <w:tcBorders>
              <w:top w:val="nil"/>
              <w:left w:val="nil"/>
              <w:bottom w:val="single" w:sz="4" w:space="0" w:color="BFBFBF"/>
              <w:right w:val="single" w:sz="4" w:space="0" w:color="BFBFBF"/>
            </w:tcBorders>
            <w:shd w:val="clear" w:color="000000" w:fill="C5D9F1"/>
            <w:noWrap/>
            <w:hideMark/>
          </w:tcPr>
          <w:p w14:paraId="3F21485F" w14:textId="77777777" w:rsidR="00490741" w:rsidRPr="00100F0A" w:rsidRDefault="00490741" w:rsidP="00490741">
            <w:pPr>
              <w:rPr>
                <w:rFonts w:eastAsia="Times New Roman" w:cs="Calibri"/>
                <w:color w:val="000000"/>
                <w:sz w:val="20"/>
                <w:szCs w:val="18"/>
                <w:lang w:eastAsia="en-AU"/>
              </w:rPr>
            </w:pPr>
            <w:r w:rsidRPr="00100F0A">
              <w:rPr>
                <w:rFonts w:eastAsia="Times New Roman" w:cs="Calibri"/>
                <w:color w:val="000000"/>
                <w:sz w:val="20"/>
                <w:szCs w:val="18"/>
                <w:lang w:eastAsia="en-AU"/>
              </w:rPr>
              <w:t> </w:t>
            </w:r>
          </w:p>
        </w:tc>
        <w:tc>
          <w:tcPr>
            <w:tcW w:w="722" w:type="dxa"/>
            <w:tcBorders>
              <w:top w:val="nil"/>
              <w:left w:val="nil"/>
              <w:bottom w:val="single" w:sz="4" w:space="0" w:color="BFBFBF"/>
              <w:right w:val="single" w:sz="4" w:space="0" w:color="BFBFBF"/>
            </w:tcBorders>
            <w:shd w:val="clear" w:color="000000" w:fill="C5D9F1"/>
            <w:noWrap/>
            <w:hideMark/>
          </w:tcPr>
          <w:p w14:paraId="7AE23F52" w14:textId="77777777" w:rsidR="00490741" w:rsidRPr="00100F0A" w:rsidRDefault="00490741" w:rsidP="00490741">
            <w:pPr>
              <w:rPr>
                <w:rFonts w:eastAsia="Times New Roman" w:cs="Calibri"/>
                <w:color w:val="000000"/>
                <w:sz w:val="20"/>
                <w:szCs w:val="18"/>
                <w:lang w:eastAsia="en-AU"/>
              </w:rPr>
            </w:pPr>
            <w:r w:rsidRPr="00100F0A">
              <w:rPr>
                <w:rFonts w:eastAsia="Times New Roman" w:cs="Calibri"/>
                <w:color w:val="000000"/>
                <w:sz w:val="20"/>
                <w:szCs w:val="18"/>
                <w:lang w:eastAsia="en-AU"/>
              </w:rPr>
              <w:t> </w:t>
            </w:r>
          </w:p>
        </w:tc>
      </w:tr>
      <w:tr w:rsidR="00490741" w:rsidRPr="00100F0A" w14:paraId="7609967F" w14:textId="77777777" w:rsidTr="00AE49A9">
        <w:trPr>
          <w:trHeight w:val="300"/>
        </w:trPr>
        <w:tc>
          <w:tcPr>
            <w:tcW w:w="3403" w:type="dxa"/>
            <w:tcBorders>
              <w:top w:val="nil"/>
              <w:left w:val="single" w:sz="4" w:space="0" w:color="BFBFBF"/>
              <w:bottom w:val="single" w:sz="4" w:space="0" w:color="BFBFBF"/>
              <w:right w:val="single" w:sz="4" w:space="0" w:color="BFBFBF"/>
            </w:tcBorders>
            <w:shd w:val="clear" w:color="auto" w:fill="auto"/>
            <w:noWrap/>
            <w:vAlign w:val="center"/>
            <w:hideMark/>
          </w:tcPr>
          <w:p w14:paraId="3A395431"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 xml:space="preserve">Hazardous waste landfill facility </w:t>
            </w:r>
          </w:p>
        </w:tc>
        <w:tc>
          <w:tcPr>
            <w:tcW w:w="850" w:type="dxa"/>
            <w:tcBorders>
              <w:top w:val="nil"/>
              <w:left w:val="nil"/>
              <w:bottom w:val="single" w:sz="4" w:space="0" w:color="BFBFBF"/>
              <w:right w:val="single" w:sz="4" w:space="0" w:color="BFBFBF"/>
            </w:tcBorders>
            <w:shd w:val="clear" w:color="auto" w:fill="auto"/>
            <w:noWrap/>
            <w:hideMark/>
          </w:tcPr>
          <w:p w14:paraId="445FB5DD"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235</w:t>
            </w:r>
          </w:p>
        </w:tc>
        <w:tc>
          <w:tcPr>
            <w:tcW w:w="931" w:type="dxa"/>
            <w:tcBorders>
              <w:top w:val="nil"/>
              <w:left w:val="nil"/>
              <w:bottom w:val="single" w:sz="4" w:space="0" w:color="BFBFBF"/>
              <w:right w:val="single" w:sz="4" w:space="0" w:color="BFBFBF"/>
            </w:tcBorders>
            <w:shd w:val="clear" w:color="auto" w:fill="auto"/>
            <w:noWrap/>
            <w:hideMark/>
          </w:tcPr>
          <w:p w14:paraId="26D0C5DD"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201</w:t>
            </w:r>
          </w:p>
        </w:tc>
        <w:tc>
          <w:tcPr>
            <w:tcW w:w="975" w:type="dxa"/>
            <w:tcBorders>
              <w:top w:val="nil"/>
              <w:left w:val="nil"/>
              <w:bottom w:val="single" w:sz="4" w:space="0" w:color="BFBFBF"/>
              <w:right w:val="single" w:sz="4" w:space="0" w:color="BFBFBF"/>
            </w:tcBorders>
            <w:shd w:val="clear" w:color="auto" w:fill="auto"/>
            <w:noWrap/>
            <w:hideMark/>
          </w:tcPr>
          <w:p w14:paraId="32437C50"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0</w:t>
            </w:r>
          </w:p>
        </w:tc>
        <w:tc>
          <w:tcPr>
            <w:tcW w:w="1320" w:type="dxa"/>
            <w:tcBorders>
              <w:top w:val="nil"/>
              <w:left w:val="nil"/>
              <w:bottom w:val="single" w:sz="4" w:space="0" w:color="BFBFBF"/>
              <w:right w:val="single" w:sz="4" w:space="0" w:color="BFBFBF"/>
            </w:tcBorders>
            <w:shd w:val="clear" w:color="auto" w:fill="auto"/>
            <w:noWrap/>
            <w:hideMark/>
          </w:tcPr>
          <w:p w14:paraId="6204D869"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High</w:t>
            </w:r>
          </w:p>
        </w:tc>
        <w:tc>
          <w:tcPr>
            <w:tcW w:w="723" w:type="dxa"/>
            <w:tcBorders>
              <w:top w:val="nil"/>
              <w:left w:val="nil"/>
              <w:bottom w:val="single" w:sz="4" w:space="0" w:color="BFBFBF"/>
              <w:right w:val="single" w:sz="4" w:space="0" w:color="BFBFBF"/>
            </w:tcBorders>
            <w:shd w:val="clear" w:color="000000" w:fill="FFFFFF"/>
            <w:noWrap/>
            <w:hideMark/>
          </w:tcPr>
          <w:p w14:paraId="6EEF1BB1"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2018</w:t>
            </w:r>
          </w:p>
        </w:tc>
        <w:tc>
          <w:tcPr>
            <w:tcW w:w="723" w:type="dxa"/>
            <w:tcBorders>
              <w:top w:val="nil"/>
              <w:left w:val="nil"/>
              <w:bottom w:val="single" w:sz="4" w:space="0" w:color="BFBFBF"/>
              <w:right w:val="single" w:sz="4" w:space="0" w:color="BFBFBF"/>
            </w:tcBorders>
            <w:shd w:val="clear" w:color="000000" w:fill="FFFFFF"/>
            <w:noWrap/>
            <w:hideMark/>
          </w:tcPr>
          <w:p w14:paraId="6606568D"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2018</w:t>
            </w:r>
          </w:p>
        </w:tc>
        <w:tc>
          <w:tcPr>
            <w:tcW w:w="722" w:type="dxa"/>
            <w:tcBorders>
              <w:top w:val="nil"/>
              <w:left w:val="nil"/>
              <w:bottom w:val="single" w:sz="4" w:space="0" w:color="BFBFBF"/>
              <w:right w:val="single" w:sz="4" w:space="0" w:color="BFBFBF"/>
            </w:tcBorders>
            <w:shd w:val="clear" w:color="000000" w:fill="FFFFFF"/>
            <w:noWrap/>
            <w:hideMark/>
          </w:tcPr>
          <w:p w14:paraId="1C3345CD"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2018</w:t>
            </w:r>
          </w:p>
        </w:tc>
      </w:tr>
      <w:tr w:rsidR="00AE49A9" w:rsidRPr="00100F0A" w14:paraId="317E6A1C" w14:textId="77777777" w:rsidTr="00AE49A9">
        <w:trPr>
          <w:trHeight w:val="300"/>
        </w:trPr>
        <w:tc>
          <w:tcPr>
            <w:tcW w:w="3403" w:type="dxa"/>
            <w:tcBorders>
              <w:top w:val="nil"/>
              <w:left w:val="single" w:sz="4" w:space="0" w:color="BFBFBF"/>
              <w:bottom w:val="single" w:sz="4" w:space="0" w:color="BFBFBF"/>
              <w:right w:val="single" w:sz="4" w:space="0" w:color="BFBFBF"/>
            </w:tcBorders>
            <w:shd w:val="clear" w:color="auto" w:fill="D9D9D9" w:themeFill="background1" w:themeFillShade="D9"/>
            <w:noWrap/>
            <w:vAlign w:val="center"/>
            <w:hideMark/>
          </w:tcPr>
          <w:p w14:paraId="68DF7BD9" w14:textId="77777777" w:rsidR="00AE49A9" w:rsidRPr="00100F0A" w:rsidRDefault="00AE49A9"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Landfill facility (NEPM codes N, T)</w:t>
            </w:r>
          </w:p>
        </w:tc>
        <w:tc>
          <w:tcPr>
            <w:tcW w:w="850" w:type="dxa"/>
            <w:tcBorders>
              <w:top w:val="nil"/>
              <w:left w:val="nil"/>
              <w:bottom w:val="single" w:sz="4" w:space="0" w:color="BFBFBF"/>
              <w:right w:val="single" w:sz="4" w:space="0" w:color="BFBFBF"/>
            </w:tcBorders>
            <w:shd w:val="clear" w:color="auto" w:fill="D9D9D9" w:themeFill="background1" w:themeFillShade="D9"/>
            <w:noWrap/>
            <w:hideMark/>
          </w:tcPr>
          <w:p w14:paraId="609F1B75" w14:textId="77777777" w:rsidR="00AE49A9" w:rsidRPr="00100F0A" w:rsidRDefault="00AE49A9"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2,875</w:t>
            </w:r>
          </w:p>
        </w:tc>
        <w:tc>
          <w:tcPr>
            <w:tcW w:w="1906" w:type="dxa"/>
            <w:gridSpan w:val="2"/>
            <w:tcBorders>
              <w:top w:val="nil"/>
              <w:left w:val="nil"/>
              <w:bottom w:val="single" w:sz="4" w:space="0" w:color="BFBFBF"/>
              <w:right w:val="single" w:sz="4" w:space="0" w:color="BFBFBF"/>
            </w:tcBorders>
            <w:shd w:val="clear" w:color="auto" w:fill="D9D9D9" w:themeFill="background1" w:themeFillShade="D9"/>
            <w:noWrap/>
          </w:tcPr>
          <w:p w14:paraId="600D278D" w14:textId="4DE2B4FB" w:rsidR="00AE49A9" w:rsidRPr="00100F0A" w:rsidRDefault="00AE49A9" w:rsidP="00490741">
            <w:pPr>
              <w:jc w:val="right"/>
              <w:rPr>
                <w:rFonts w:eastAsia="Times New Roman" w:cs="Calibri"/>
                <w:color w:val="000000"/>
                <w:sz w:val="20"/>
                <w:szCs w:val="18"/>
                <w:lang w:eastAsia="en-AU"/>
              </w:rPr>
            </w:pPr>
          </w:p>
          <w:p w14:paraId="71BE60CD" w14:textId="0D45F241" w:rsidR="00AE49A9" w:rsidRPr="00100F0A" w:rsidRDefault="00AE49A9" w:rsidP="00490741">
            <w:pPr>
              <w:jc w:val="right"/>
              <w:rPr>
                <w:rFonts w:eastAsia="Times New Roman" w:cs="Calibri"/>
                <w:color w:val="000000"/>
                <w:sz w:val="20"/>
                <w:szCs w:val="18"/>
                <w:lang w:eastAsia="en-AU"/>
              </w:rPr>
            </w:pPr>
          </w:p>
        </w:tc>
        <w:tc>
          <w:tcPr>
            <w:tcW w:w="1320" w:type="dxa"/>
            <w:tcBorders>
              <w:top w:val="nil"/>
              <w:left w:val="nil"/>
              <w:bottom w:val="single" w:sz="4" w:space="0" w:color="BFBFBF"/>
              <w:right w:val="single" w:sz="4" w:space="0" w:color="BFBFBF"/>
            </w:tcBorders>
            <w:shd w:val="clear" w:color="auto" w:fill="D9D9D9" w:themeFill="background1" w:themeFillShade="D9"/>
            <w:noWrap/>
            <w:hideMark/>
          </w:tcPr>
          <w:p w14:paraId="2F948545" w14:textId="77777777" w:rsidR="00AE49A9" w:rsidRPr="00100F0A" w:rsidRDefault="00AE49A9"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n/a</w:t>
            </w:r>
          </w:p>
        </w:tc>
        <w:tc>
          <w:tcPr>
            <w:tcW w:w="723"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hideMark/>
          </w:tcPr>
          <w:p w14:paraId="6FC97803" w14:textId="77777777" w:rsidR="00AE49A9" w:rsidRPr="00100F0A" w:rsidRDefault="00AE49A9" w:rsidP="00490741">
            <w:pPr>
              <w:jc w:val="center"/>
              <w:rPr>
                <w:rFonts w:eastAsia="Times New Roman" w:cs="Calibri"/>
                <w:color w:val="808080"/>
                <w:sz w:val="20"/>
                <w:szCs w:val="18"/>
                <w:lang w:eastAsia="en-AU"/>
              </w:rPr>
            </w:pPr>
            <w:r w:rsidRPr="00100F0A">
              <w:rPr>
                <w:rFonts w:eastAsia="Times New Roman" w:cs="Calibri"/>
                <w:color w:val="808080"/>
                <w:sz w:val="20"/>
                <w:szCs w:val="18"/>
                <w:lang w:eastAsia="en-AU"/>
              </w:rPr>
              <w:t>no inf.</w:t>
            </w:r>
          </w:p>
        </w:tc>
        <w:tc>
          <w:tcPr>
            <w:tcW w:w="723"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hideMark/>
          </w:tcPr>
          <w:p w14:paraId="1F0E0407" w14:textId="77777777" w:rsidR="00AE49A9" w:rsidRPr="00100F0A" w:rsidRDefault="00AE49A9" w:rsidP="00490741">
            <w:pPr>
              <w:jc w:val="center"/>
              <w:rPr>
                <w:rFonts w:eastAsia="Times New Roman" w:cs="Calibri"/>
                <w:color w:val="808080"/>
                <w:sz w:val="20"/>
                <w:szCs w:val="18"/>
                <w:lang w:eastAsia="en-AU"/>
              </w:rPr>
            </w:pPr>
            <w:r w:rsidRPr="00100F0A">
              <w:rPr>
                <w:rFonts w:eastAsia="Times New Roman" w:cs="Calibri"/>
                <w:color w:val="808080"/>
                <w:sz w:val="20"/>
                <w:szCs w:val="18"/>
                <w:lang w:eastAsia="en-AU"/>
              </w:rPr>
              <w:t>no inf.</w:t>
            </w:r>
          </w:p>
        </w:tc>
        <w:tc>
          <w:tcPr>
            <w:tcW w:w="722"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hideMark/>
          </w:tcPr>
          <w:p w14:paraId="77BD3A9C" w14:textId="77777777" w:rsidR="00AE49A9" w:rsidRPr="00100F0A" w:rsidRDefault="00AE49A9" w:rsidP="00490741">
            <w:pPr>
              <w:jc w:val="center"/>
              <w:rPr>
                <w:rFonts w:eastAsia="Times New Roman" w:cs="Calibri"/>
                <w:color w:val="808080"/>
                <w:sz w:val="20"/>
                <w:szCs w:val="18"/>
                <w:lang w:eastAsia="en-AU"/>
              </w:rPr>
            </w:pPr>
            <w:r w:rsidRPr="00100F0A">
              <w:rPr>
                <w:rFonts w:eastAsia="Times New Roman" w:cs="Calibri"/>
                <w:color w:val="808080"/>
                <w:sz w:val="20"/>
                <w:szCs w:val="18"/>
                <w:lang w:eastAsia="en-AU"/>
              </w:rPr>
              <w:t>no inf.</w:t>
            </w:r>
          </w:p>
        </w:tc>
      </w:tr>
      <w:tr w:rsidR="00B01AA4" w:rsidRPr="00100F0A" w14:paraId="0E8397CF" w14:textId="77777777" w:rsidTr="00F06095">
        <w:trPr>
          <w:trHeight w:val="300"/>
        </w:trPr>
        <w:tc>
          <w:tcPr>
            <w:tcW w:w="3403" w:type="dxa"/>
            <w:tcBorders>
              <w:top w:val="nil"/>
              <w:left w:val="single" w:sz="4" w:space="0" w:color="BFBFBF"/>
              <w:bottom w:val="single" w:sz="4" w:space="0" w:color="BFBFBF"/>
              <w:right w:val="single" w:sz="4" w:space="0" w:color="BFBFBF"/>
            </w:tcBorders>
            <w:shd w:val="clear" w:color="auto" w:fill="auto"/>
            <w:noWrap/>
            <w:vAlign w:val="center"/>
            <w:hideMark/>
          </w:tcPr>
          <w:p w14:paraId="59B97C54" w14:textId="77777777" w:rsidR="00B01AA4" w:rsidRPr="00100F0A" w:rsidRDefault="00B01AA4"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 xml:space="preserve">Persistent organic pollutants thermal destruction facility </w:t>
            </w:r>
          </w:p>
        </w:tc>
        <w:tc>
          <w:tcPr>
            <w:tcW w:w="850" w:type="dxa"/>
            <w:tcBorders>
              <w:top w:val="nil"/>
              <w:left w:val="nil"/>
              <w:bottom w:val="single" w:sz="4" w:space="0" w:color="BFBFBF"/>
              <w:right w:val="single" w:sz="4" w:space="0" w:color="BFBFBF"/>
            </w:tcBorders>
            <w:shd w:val="clear" w:color="auto" w:fill="auto"/>
            <w:noWrap/>
            <w:hideMark/>
          </w:tcPr>
          <w:p w14:paraId="3BE37948" w14:textId="77777777" w:rsidR="00B01AA4" w:rsidRPr="00100F0A" w:rsidRDefault="00B01AA4"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5</w:t>
            </w:r>
          </w:p>
        </w:tc>
        <w:tc>
          <w:tcPr>
            <w:tcW w:w="1906" w:type="dxa"/>
            <w:gridSpan w:val="2"/>
            <w:tcBorders>
              <w:top w:val="nil"/>
              <w:left w:val="nil"/>
              <w:bottom w:val="single" w:sz="4" w:space="0" w:color="BFBFBF"/>
              <w:right w:val="single" w:sz="4" w:space="0" w:color="BFBFBF"/>
            </w:tcBorders>
            <w:shd w:val="clear" w:color="auto" w:fill="FF0000"/>
            <w:noWrap/>
            <w:vAlign w:val="center"/>
          </w:tcPr>
          <w:p w14:paraId="33DE69CF" w14:textId="21F38B17" w:rsidR="00B01AA4" w:rsidRPr="00100F0A" w:rsidRDefault="00B01AA4" w:rsidP="009D734D">
            <w:pPr>
              <w:jc w:val="center"/>
              <w:rPr>
                <w:rFonts w:eastAsia="Times New Roman" w:cs="Calibri"/>
                <w:color w:val="000000"/>
                <w:sz w:val="20"/>
                <w:szCs w:val="18"/>
                <w:lang w:eastAsia="en-AU"/>
              </w:rPr>
            </w:pPr>
            <w:r>
              <w:rPr>
                <w:rFonts w:eastAsia="Times New Roman" w:cs="Calibri"/>
                <w:color w:val="000000"/>
                <w:sz w:val="20"/>
                <w:szCs w:val="18"/>
                <w:lang w:eastAsia="en-AU"/>
              </w:rPr>
              <w:t>CIC</w:t>
            </w:r>
          </w:p>
        </w:tc>
        <w:tc>
          <w:tcPr>
            <w:tcW w:w="1320" w:type="dxa"/>
            <w:tcBorders>
              <w:top w:val="nil"/>
              <w:left w:val="nil"/>
              <w:bottom w:val="single" w:sz="4" w:space="0" w:color="BFBFBF"/>
              <w:right w:val="single" w:sz="4" w:space="0" w:color="BFBFBF"/>
            </w:tcBorders>
            <w:shd w:val="clear" w:color="auto" w:fill="auto"/>
            <w:noWrap/>
            <w:hideMark/>
          </w:tcPr>
          <w:p w14:paraId="768DE910" w14:textId="77777777" w:rsidR="00B01AA4" w:rsidRPr="00100F0A" w:rsidRDefault="00B01AA4"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Very high</w:t>
            </w:r>
          </w:p>
        </w:tc>
        <w:tc>
          <w:tcPr>
            <w:tcW w:w="723" w:type="dxa"/>
            <w:tcBorders>
              <w:top w:val="nil"/>
              <w:left w:val="nil"/>
              <w:bottom w:val="single" w:sz="4" w:space="0" w:color="BFBFBF"/>
              <w:right w:val="single" w:sz="4" w:space="0" w:color="BFBFBF"/>
            </w:tcBorders>
            <w:shd w:val="clear" w:color="000000" w:fill="FFFFFF"/>
            <w:noWrap/>
            <w:hideMark/>
          </w:tcPr>
          <w:p w14:paraId="3E42170F" w14:textId="77777777" w:rsidR="00B01AA4" w:rsidRPr="00100F0A" w:rsidRDefault="00B01AA4" w:rsidP="00B01AA4">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2020</w:t>
            </w:r>
          </w:p>
        </w:tc>
        <w:tc>
          <w:tcPr>
            <w:tcW w:w="723" w:type="dxa"/>
            <w:tcBorders>
              <w:top w:val="nil"/>
              <w:left w:val="nil"/>
              <w:bottom w:val="single" w:sz="4" w:space="0" w:color="BFBFBF"/>
              <w:right w:val="single" w:sz="4" w:space="0" w:color="BFBFBF"/>
            </w:tcBorders>
            <w:shd w:val="clear" w:color="000000" w:fill="FFFFFF"/>
          </w:tcPr>
          <w:p w14:paraId="3411DEE4" w14:textId="32E60B09" w:rsidR="00B01AA4" w:rsidRPr="00100F0A" w:rsidRDefault="00B01AA4" w:rsidP="00B01AA4">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2020</w:t>
            </w:r>
          </w:p>
        </w:tc>
        <w:tc>
          <w:tcPr>
            <w:tcW w:w="722" w:type="dxa"/>
            <w:tcBorders>
              <w:top w:val="nil"/>
              <w:left w:val="nil"/>
              <w:bottom w:val="single" w:sz="4" w:space="0" w:color="BFBFBF"/>
              <w:right w:val="single" w:sz="4" w:space="0" w:color="BFBFBF"/>
            </w:tcBorders>
            <w:shd w:val="clear" w:color="000000" w:fill="FFFFFF"/>
          </w:tcPr>
          <w:p w14:paraId="430E168B" w14:textId="1D251E8E" w:rsidR="00B01AA4" w:rsidRPr="00100F0A" w:rsidRDefault="00B01AA4" w:rsidP="00B01AA4">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2020</w:t>
            </w:r>
          </w:p>
        </w:tc>
      </w:tr>
      <w:tr w:rsidR="00490741" w:rsidRPr="00100F0A" w14:paraId="4DF41A4C" w14:textId="77777777" w:rsidTr="00AE49A9">
        <w:trPr>
          <w:trHeight w:val="300"/>
        </w:trPr>
        <w:tc>
          <w:tcPr>
            <w:tcW w:w="3403" w:type="dxa"/>
            <w:tcBorders>
              <w:top w:val="nil"/>
              <w:left w:val="single" w:sz="4" w:space="0" w:color="BFBFBF"/>
              <w:bottom w:val="single" w:sz="4" w:space="0" w:color="BFBFBF"/>
              <w:right w:val="single" w:sz="4" w:space="0" w:color="BFBFBF"/>
            </w:tcBorders>
            <w:shd w:val="clear" w:color="auto" w:fill="auto"/>
            <w:noWrap/>
            <w:vAlign w:val="center"/>
            <w:hideMark/>
          </w:tcPr>
          <w:p w14:paraId="69639459"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Clinical waste facility thermal destruction</w:t>
            </w:r>
          </w:p>
        </w:tc>
        <w:tc>
          <w:tcPr>
            <w:tcW w:w="850" w:type="dxa"/>
            <w:tcBorders>
              <w:top w:val="nil"/>
              <w:left w:val="nil"/>
              <w:bottom w:val="single" w:sz="4" w:space="0" w:color="BFBFBF"/>
              <w:right w:val="single" w:sz="4" w:space="0" w:color="BFBFBF"/>
            </w:tcBorders>
            <w:shd w:val="clear" w:color="auto" w:fill="auto"/>
            <w:noWrap/>
            <w:hideMark/>
          </w:tcPr>
          <w:p w14:paraId="2C3F045B"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21</w:t>
            </w:r>
          </w:p>
        </w:tc>
        <w:tc>
          <w:tcPr>
            <w:tcW w:w="931" w:type="dxa"/>
            <w:tcBorders>
              <w:top w:val="nil"/>
              <w:left w:val="nil"/>
              <w:bottom w:val="single" w:sz="4" w:space="0" w:color="BFBFBF"/>
              <w:right w:val="single" w:sz="4" w:space="0" w:color="BFBFBF"/>
            </w:tcBorders>
            <w:shd w:val="clear" w:color="auto" w:fill="auto"/>
            <w:noWrap/>
            <w:hideMark/>
          </w:tcPr>
          <w:p w14:paraId="0896F1BA"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33</w:t>
            </w:r>
          </w:p>
        </w:tc>
        <w:tc>
          <w:tcPr>
            <w:tcW w:w="975" w:type="dxa"/>
            <w:tcBorders>
              <w:top w:val="nil"/>
              <w:left w:val="nil"/>
              <w:bottom w:val="single" w:sz="4" w:space="0" w:color="BFBFBF"/>
              <w:right w:val="single" w:sz="4" w:space="0" w:color="BFBFBF"/>
            </w:tcBorders>
            <w:shd w:val="clear" w:color="auto" w:fill="auto"/>
            <w:noWrap/>
            <w:hideMark/>
          </w:tcPr>
          <w:p w14:paraId="21C417CE"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6</w:t>
            </w:r>
          </w:p>
        </w:tc>
        <w:tc>
          <w:tcPr>
            <w:tcW w:w="1320" w:type="dxa"/>
            <w:tcBorders>
              <w:top w:val="nil"/>
              <w:left w:val="nil"/>
              <w:bottom w:val="single" w:sz="4" w:space="0" w:color="BFBFBF"/>
              <w:right w:val="single" w:sz="4" w:space="0" w:color="BFBFBF"/>
            </w:tcBorders>
            <w:shd w:val="clear" w:color="auto" w:fill="auto"/>
            <w:noWrap/>
            <w:hideMark/>
          </w:tcPr>
          <w:p w14:paraId="7AD20C41"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Low</w:t>
            </w:r>
          </w:p>
        </w:tc>
        <w:tc>
          <w:tcPr>
            <w:tcW w:w="723" w:type="dxa"/>
            <w:tcBorders>
              <w:top w:val="nil"/>
              <w:left w:val="nil"/>
              <w:bottom w:val="single" w:sz="4" w:space="0" w:color="BFBFBF"/>
              <w:right w:val="single" w:sz="4" w:space="0" w:color="BFBFBF"/>
            </w:tcBorders>
            <w:shd w:val="clear" w:color="000000" w:fill="FFFFFF"/>
            <w:noWrap/>
            <w:hideMark/>
          </w:tcPr>
          <w:p w14:paraId="672D1252"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&gt;2037</w:t>
            </w:r>
          </w:p>
        </w:tc>
        <w:tc>
          <w:tcPr>
            <w:tcW w:w="723" w:type="dxa"/>
            <w:tcBorders>
              <w:top w:val="nil"/>
              <w:left w:val="nil"/>
              <w:bottom w:val="single" w:sz="4" w:space="0" w:color="BFBFBF"/>
              <w:right w:val="single" w:sz="4" w:space="0" w:color="BFBFBF"/>
            </w:tcBorders>
            <w:shd w:val="clear" w:color="000000" w:fill="FFFFFF"/>
            <w:noWrap/>
            <w:hideMark/>
          </w:tcPr>
          <w:p w14:paraId="4724C59B"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&gt;2037</w:t>
            </w:r>
          </w:p>
        </w:tc>
        <w:tc>
          <w:tcPr>
            <w:tcW w:w="722" w:type="dxa"/>
            <w:tcBorders>
              <w:top w:val="nil"/>
              <w:left w:val="nil"/>
              <w:bottom w:val="single" w:sz="4" w:space="0" w:color="BFBFBF"/>
              <w:right w:val="single" w:sz="4" w:space="0" w:color="BFBFBF"/>
            </w:tcBorders>
            <w:shd w:val="clear" w:color="000000" w:fill="FFFFFF"/>
            <w:noWrap/>
            <w:hideMark/>
          </w:tcPr>
          <w:p w14:paraId="68BDA1C6"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&gt;2037</w:t>
            </w:r>
          </w:p>
        </w:tc>
      </w:tr>
      <w:tr w:rsidR="00490741" w:rsidRPr="00100F0A" w14:paraId="1901BDE9" w14:textId="77777777" w:rsidTr="00AE49A9">
        <w:trPr>
          <w:trHeight w:val="300"/>
        </w:trPr>
        <w:tc>
          <w:tcPr>
            <w:tcW w:w="3403" w:type="dxa"/>
            <w:tcBorders>
              <w:top w:val="nil"/>
              <w:left w:val="single" w:sz="4" w:space="0" w:color="BFBFBF"/>
              <w:bottom w:val="single" w:sz="4" w:space="0" w:color="BFBFBF"/>
              <w:right w:val="single" w:sz="4" w:space="0" w:color="BFBFBF"/>
            </w:tcBorders>
            <w:shd w:val="clear" w:color="000000" w:fill="C5D9F1"/>
            <w:noWrap/>
            <w:vAlign w:val="bottom"/>
            <w:hideMark/>
          </w:tcPr>
          <w:p w14:paraId="28A1A8A2" w14:textId="77777777" w:rsidR="00490741" w:rsidRPr="00100F0A" w:rsidRDefault="00490741" w:rsidP="00490741">
            <w:pPr>
              <w:jc w:val="right"/>
              <w:rPr>
                <w:rFonts w:eastAsia="Times New Roman" w:cs="Calibri"/>
                <w:b/>
                <w:bCs/>
                <w:color w:val="000000"/>
                <w:sz w:val="20"/>
                <w:szCs w:val="18"/>
                <w:lang w:eastAsia="en-AU"/>
              </w:rPr>
            </w:pPr>
            <w:r w:rsidRPr="00100F0A">
              <w:rPr>
                <w:rFonts w:eastAsia="Times New Roman" w:cs="Calibri"/>
                <w:b/>
                <w:bCs/>
                <w:color w:val="000000"/>
                <w:sz w:val="20"/>
                <w:szCs w:val="18"/>
                <w:lang w:eastAsia="en-AU"/>
              </w:rPr>
              <w:t>Short-term storage or transfer</w:t>
            </w:r>
          </w:p>
        </w:tc>
        <w:tc>
          <w:tcPr>
            <w:tcW w:w="850" w:type="dxa"/>
            <w:tcBorders>
              <w:top w:val="nil"/>
              <w:left w:val="nil"/>
              <w:bottom w:val="single" w:sz="4" w:space="0" w:color="BFBFBF"/>
              <w:right w:val="single" w:sz="4" w:space="0" w:color="BFBFBF"/>
            </w:tcBorders>
            <w:shd w:val="clear" w:color="000000" w:fill="C5D9F1"/>
            <w:noWrap/>
            <w:hideMark/>
          </w:tcPr>
          <w:p w14:paraId="5CCF0C37" w14:textId="77777777" w:rsidR="00490741" w:rsidRPr="00100F0A" w:rsidRDefault="00490741" w:rsidP="00490741">
            <w:pPr>
              <w:rPr>
                <w:rFonts w:eastAsia="Times New Roman" w:cs="Calibri"/>
                <w:color w:val="000000"/>
                <w:sz w:val="20"/>
                <w:szCs w:val="18"/>
                <w:lang w:eastAsia="en-AU"/>
              </w:rPr>
            </w:pPr>
            <w:r w:rsidRPr="00100F0A">
              <w:rPr>
                <w:rFonts w:eastAsia="Times New Roman" w:cs="Calibri"/>
                <w:color w:val="000000"/>
                <w:sz w:val="20"/>
                <w:szCs w:val="18"/>
                <w:lang w:eastAsia="en-AU"/>
              </w:rPr>
              <w:t> </w:t>
            </w:r>
          </w:p>
        </w:tc>
        <w:tc>
          <w:tcPr>
            <w:tcW w:w="931" w:type="dxa"/>
            <w:tcBorders>
              <w:top w:val="nil"/>
              <w:left w:val="nil"/>
              <w:bottom w:val="single" w:sz="4" w:space="0" w:color="BFBFBF"/>
              <w:right w:val="single" w:sz="4" w:space="0" w:color="BFBFBF"/>
            </w:tcBorders>
            <w:shd w:val="clear" w:color="000000" w:fill="C5D9F1"/>
            <w:noWrap/>
            <w:hideMark/>
          </w:tcPr>
          <w:p w14:paraId="0E14911F" w14:textId="77777777" w:rsidR="00490741" w:rsidRPr="00100F0A" w:rsidRDefault="00490741" w:rsidP="00490741">
            <w:pPr>
              <w:rPr>
                <w:rFonts w:eastAsia="Times New Roman" w:cs="Calibri"/>
                <w:color w:val="000000"/>
                <w:sz w:val="20"/>
                <w:szCs w:val="18"/>
                <w:lang w:eastAsia="en-AU"/>
              </w:rPr>
            </w:pPr>
            <w:r w:rsidRPr="00100F0A">
              <w:rPr>
                <w:rFonts w:eastAsia="Times New Roman" w:cs="Calibri"/>
                <w:color w:val="000000"/>
                <w:sz w:val="20"/>
                <w:szCs w:val="18"/>
                <w:lang w:eastAsia="en-AU"/>
              </w:rPr>
              <w:t> </w:t>
            </w:r>
          </w:p>
        </w:tc>
        <w:tc>
          <w:tcPr>
            <w:tcW w:w="975" w:type="dxa"/>
            <w:tcBorders>
              <w:top w:val="nil"/>
              <w:left w:val="nil"/>
              <w:bottom w:val="single" w:sz="4" w:space="0" w:color="BFBFBF"/>
              <w:right w:val="single" w:sz="4" w:space="0" w:color="BFBFBF"/>
            </w:tcBorders>
            <w:shd w:val="clear" w:color="000000" w:fill="C5D9F1"/>
            <w:noWrap/>
            <w:hideMark/>
          </w:tcPr>
          <w:p w14:paraId="460FFE65" w14:textId="77777777" w:rsidR="00490741" w:rsidRPr="00100F0A" w:rsidRDefault="00490741" w:rsidP="00490741">
            <w:pPr>
              <w:rPr>
                <w:rFonts w:eastAsia="Times New Roman" w:cs="Calibri"/>
                <w:color w:val="000000"/>
                <w:sz w:val="20"/>
                <w:szCs w:val="18"/>
                <w:lang w:eastAsia="en-AU"/>
              </w:rPr>
            </w:pPr>
            <w:r w:rsidRPr="00100F0A">
              <w:rPr>
                <w:rFonts w:eastAsia="Times New Roman" w:cs="Calibri"/>
                <w:color w:val="000000"/>
                <w:sz w:val="20"/>
                <w:szCs w:val="18"/>
                <w:lang w:eastAsia="en-AU"/>
              </w:rPr>
              <w:t> </w:t>
            </w:r>
          </w:p>
        </w:tc>
        <w:tc>
          <w:tcPr>
            <w:tcW w:w="1320" w:type="dxa"/>
            <w:tcBorders>
              <w:top w:val="nil"/>
              <w:left w:val="nil"/>
              <w:bottom w:val="single" w:sz="4" w:space="0" w:color="BFBFBF"/>
              <w:right w:val="single" w:sz="4" w:space="0" w:color="BFBFBF"/>
            </w:tcBorders>
            <w:shd w:val="clear" w:color="000000" w:fill="C5D9F1"/>
            <w:noWrap/>
            <w:hideMark/>
          </w:tcPr>
          <w:p w14:paraId="6E9F4201" w14:textId="77777777" w:rsidR="00490741" w:rsidRPr="00100F0A" w:rsidRDefault="00490741" w:rsidP="00490741">
            <w:pPr>
              <w:rPr>
                <w:rFonts w:eastAsia="Times New Roman" w:cs="Calibri"/>
                <w:color w:val="000000"/>
                <w:sz w:val="20"/>
                <w:szCs w:val="18"/>
                <w:lang w:eastAsia="en-AU"/>
              </w:rPr>
            </w:pPr>
            <w:r w:rsidRPr="00100F0A">
              <w:rPr>
                <w:rFonts w:eastAsia="Times New Roman" w:cs="Calibri"/>
                <w:color w:val="000000"/>
                <w:sz w:val="20"/>
                <w:szCs w:val="18"/>
                <w:lang w:eastAsia="en-AU"/>
              </w:rPr>
              <w:t> </w:t>
            </w:r>
          </w:p>
        </w:tc>
        <w:tc>
          <w:tcPr>
            <w:tcW w:w="723" w:type="dxa"/>
            <w:tcBorders>
              <w:top w:val="nil"/>
              <w:left w:val="nil"/>
              <w:bottom w:val="single" w:sz="4" w:space="0" w:color="BFBFBF"/>
              <w:right w:val="single" w:sz="4" w:space="0" w:color="BFBFBF"/>
            </w:tcBorders>
            <w:shd w:val="clear" w:color="000000" w:fill="C5D9F1"/>
            <w:noWrap/>
            <w:hideMark/>
          </w:tcPr>
          <w:p w14:paraId="6EB40DFB" w14:textId="77777777" w:rsidR="00490741" w:rsidRPr="00100F0A" w:rsidRDefault="00490741" w:rsidP="00490741">
            <w:pPr>
              <w:rPr>
                <w:rFonts w:eastAsia="Times New Roman" w:cs="Calibri"/>
                <w:color w:val="000000"/>
                <w:sz w:val="20"/>
                <w:szCs w:val="18"/>
                <w:lang w:eastAsia="en-AU"/>
              </w:rPr>
            </w:pPr>
            <w:r w:rsidRPr="00100F0A">
              <w:rPr>
                <w:rFonts w:eastAsia="Times New Roman" w:cs="Calibri"/>
                <w:color w:val="000000"/>
                <w:sz w:val="20"/>
                <w:szCs w:val="18"/>
                <w:lang w:eastAsia="en-AU"/>
              </w:rPr>
              <w:t> </w:t>
            </w:r>
          </w:p>
        </w:tc>
        <w:tc>
          <w:tcPr>
            <w:tcW w:w="723" w:type="dxa"/>
            <w:tcBorders>
              <w:top w:val="nil"/>
              <w:left w:val="nil"/>
              <w:bottom w:val="single" w:sz="4" w:space="0" w:color="BFBFBF"/>
              <w:right w:val="single" w:sz="4" w:space="0" w:color="BFBFBF"/>
            </w:tcBorders>
            <w:shd w:val="clear" w:color="000000" w:fill="C5D9F1"/>
            <w:noWrap/>
            <w:hideMark/>
          </w:tcPr>
          <w:p w14:paraId="0C894C80" w14:textId="77777777" w:rsidR="00490741" w:rsidRPr="00100F0A" w:rsidRDefault="00490741" w:rsidP="00490741">
            <w:pPr>
              <w:rPr>
                <w:rFonts w:eastAsia="Times New Roman" w:cs="Calibri"/>
                <w:color w:val="000000"/>
                <w:sz w:val="20"/>
                <w:szCs w:val="18"/>
                <w:lang w:eastAsia="en-AU"/>
              </w:rPr>
            </w:pPr>
            <w:r w:rsidRPr="00100F0A">
              <w:rPr>
                <w:rFonts w:eastAsia="Times New Roman" w:cs="Calibri"/>
                <w:color w:val="000000"/>
                <w:sz w:val="20"/>
                <w:szCs w:val="18"/>
                <w:lang w:eastAsia="en-AU"/>
              </w:rPr>
              <w:t> </w:t>
            </w:r>
          </w:p>
        </w:tc>
        <w:tc>
          <w:tcPr>
            <w:tcW w:w="722" w:type="dxa"/>
            <w:tcBorders>
              <w:top w:val="nil"/>
              <w:left w:val="nil"/>
              <w:bottom w:val="single" w:sz="4" w:space="0" w:color="BFBFBF"/>
              <w:right w:val="single" w:sz="4" w:space="0" w:color="BFBFBF"/>
            </w:tcBorders>
            <w:shd w:val="clear" w:color="000000" w:fill="C5D9F1"/>
            <w:noWrap/>
            <w:hideMark/>
          </w:tcPr>
          <w:p w14:paraId="0A4876C9" w14:textId="77777777" w:rsidR="00490741" w:rsidRPr="00100F0A" w:rsidRDefault="00490741" w:rsidP="00490741">
            <w:pPr>
              <w:rPr>
                <w:rFonts w:eastAsia="Times New Roman" w:cs="Calibri"/>
                <w:color w:val="000000"/>
                <w:sz w:val="20"/>
                <w:szCs w:val="18"/>
                <w:lang w:eastAsia="en-AU"/>
              </w:rPr>
            </w:pPr>
            <w:r w:rsidRPr="00100F0A">
              <w:rPr>
                <w:rFonts w:eastAsia="Times New Roman" w:cs="Calibri"/>
                <w:color w:val="000000"/>
                <w:sz w:val="20"/>
                <w:szCs w:val="18"/>
                <w:lang w:eastAsia="en-AU"/>
              </w:rPr>
              <w:t> </w:t>
            </w:r>
          </w:p>
        </w:tc>
      </w:tr>
      <w:tr w:rsidR="00490741" w:rsidRPr="00100F0A" w14:paraId="7B8826B1" w14:textId="77777777" w:rsidTr="00AE49A9">
        <w:trPr>
          <w:trHeight w:val="300"/>
        </w:trPr>
        <w:tc>
          <w:tcPr>
            <w:tcW w:w="3403" w:type="dxa"/>
            <w:tcBorders>
              <w:top w:val="nil"/>
              <w:left w:val="single" w:sz="4" w:space="0" w:color="BFBFBF"/>
              <w:bottom w:val="single" w:sz="4" w:space="0" w:color="BFBFBF"/>
              <w:right w:val="single" w:sz="4" w:space="0" w:color="BFBFBF"/>
            </w:tcBorders>
            <w:shd w:val="clear" w:color="auto" w:fill="D9D9D9" w:themeFill="background1" w:themeFillShade="D9"/>
            <w:noWrap/>
            <w:vAlign w:val="center"/>
            <w:hideMark/>
          </w:tcPr>
          <w:p w14:paraId="72DF52A8"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Transfer facility</w:t>
            </w:r>
          </w:p>
        </w:tc>
        <w:tc>
          <w:tcPr>
            <w:tcW w:w="850" w:type="dxa"/>
            <w:tcBorders>
              <w:top w:val="nil"/>
              <w:left w:val="nil"/>
              <w:bottom w:val="single" w:sz="4" w:space="0" w:color="BFBFBF"/>
              <w:right w:val="single" w:sz="4" w:space="0" w:color="BFBFBF"/>
            </w:tcBorders>
            <w:shd w:val="clear" w:color="auto" w:fill="D9D9D9" w:themeFill="background1" w:themeFillShade="D9"/>
            <w:noWrap/>
            <w:hideMark/>
          </w:tcPr>
          <w:p w14:paraId="7C72EE04"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551</w:t>
            </w:r>
          </w:p>
        </w:tc>
        <w:tc>
          <w:tcPr>
            <w:tcW w:w="931" w:type="dxa"/>
            <w:tcBorders>
              <w:top w:val="nil"/>
              <w:left w:val="nil"/>
              <w:bottom w:val="single" w:sz="4" w:space="0" w:color="BFBFBF"/>
              <w:right w:val="single" w:sz="4" w:space="0" w:color="BFBFBF"/>
            </w:tcBorders>
            <w:shd w:val="clear" w:color="auto" w:fill="D9D9D9" w:themeFill="background1" w:themeFillShade="D9"/>
            <w:noWrap/>
            <w:hideMark/>
          </w:tcPr>
          <w:p w14:paraId="6021FA60"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145</w:t>
            </w:r>
          </w:p>
        </w:tc>
        <w:tc>
          <w:tcPr>
            <w:tcW w:w="975" w:type="dxa"/>
            <w:tcBorders>
              <w:top w:val="nil"/>
              <w:left w:val="nil"/>
              <w:bottom w:val="single" w:sz="4" w:space="0" w:color="BFBFBF"/>
              <w:right w:val="single" w:sz="4" w:space="0" w:color="BFBFBF"/>
            </w:tcBorders>
            <w:shd w:val="clear" w:color="auto" w:fill="D9D9D9" w:themeFill="background1" w:themeFillShade="D9"/>
            <w:noWrap/>
            <w:hideMark/>
          </w:tcPr>
          <w:p w14:paraId="128F1682"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0</w:t>
            </w:r>
          </w:p>
        </w:tc>
        <w:tc>
          <w:tcPr>
            <w:tcW w:w="1320" w:type="dxa"/>
            <w:tcBorders>
              <w:top w:val="nil"/>
              <w:left w:val="nil"/>
              <w:bottom w:val="single" w:sz="4" w:space="0" w:color="BFBFBF"/>
              <w:right w:val="single" w:sz="4" w:space="0" w:color="BFBFBF"/>
            </w:tcBorders>
            <w:shd w:val="clear" w:color="auto" w:fill="D9D9D9" w:themeFill="background1" w:themeFillShade="D9"/>
            <w:noWrap/>
            <w:hideMark/>
          </w:tcPr>
          <w:p w14:paraId="165F46B5" w14:textId="35B36C90" w:rsidR="00490741" w:rsidRPr="00100F0A" w:rsidRDefault="00437F5F" w:rsidP="00490741">
            <w:pPr>
              <w:jc w:val="center"/>
              <w:rPr>
                <w:rFonts w:eastAsia="Times New Roman" w:cs="Calibri"/>
                <w:color w:val="000000"/>
                <w:sz w:val="20"/>
                <w:szCs w:val="18"/>
                <w:lang w:eastAsia="en-AU"/>
              </w:rPr>
            </w:pPr>
            <w:r>
              <w:rPr>
                <w:rFonts w:eastAsia="Times New Roman" w:cs="Calibri"/>
                <w:color w:val="000000"/>
                <w:sz w:val="20"/>
                <w:szCs w:val="18"/>
                <w:lang w:eastAsia="en-AU"/>
              </w:rPr>
              <w:t>Very high</w:t>
            </w:r>
          </w:p>
        </w:tc>
        <w:tc>
          <w:tcPr>
            <w:tcW w:w="723" w:type="dxa"/>
            <w:tcBorders>
              <w:top w:val="nil"/>
              <w:left w:val="nil"/>
              <w:bottom w:val="single" w:sz="4" w:space="0" w:color="BFBFBF"/>
              <w:right w:val="single" w:sz="4" w:space="0" w:color="BFBFBF"/>
            </w:tcBorders>
            <w:shd w:val="clear" w:color="auto" w:fill="D9D9D9" w:themeFill="background1" w:themeFillShade="D9"/>
            <w:noWrap/>
            <w:hideMark/>
          </w:tcPr>
          <w:p w14:paraId="60283A2F"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2018</w:t>
            </w:r>
          </w:p>
        </w:tc>
        <w:tc>
          <w:tcPr>
            <w:tcW w:w="723" w:type="dxa"/>
            <w:tcBorders>
              <w:top w:val="nil"/>
              <w:left w:val="nil"/>
              <w:bottom w:val="single" w:sz="4" w:space="0" w:color="BFBFBF"/>
              <w:right w:val="single" w:sz="4" w:space="0" w:color="BFBFBF"/>
            </w:tcBorders>
            <w:shd w:val="clear" w:color="auto" w:fill="D9D9D9" w:themeFill="background1" w:themeFillShade="D9"/>
            <w:noWrap/>
            <w:hideMark/>
          </w:tcPr>
          <w:p w14:paraId="024D1244"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2018</w:t>
            </w:r>
          </w:p>
        </w:tc>
        <w:tc>
          <w:tcPr>
            <w:tcW w:w="722" w:type="dxa"/>
            <w:tcBorders>
              <w:top w:val="nil"/>
              <w:left w:val="nil"/>
              <w:bottom w:val="single" w:sz="4" w:space="0" w:color="BFBFBF"/>
              <w:right w:val="single" w:sz="4" w:space="0" w:color="BFBFBF"/>
            </w:tcBorders>
            <w:shd w:val="clear" w:color="auto" w:fill="D9D9D9" w:themeFill="background1" w:themeFillShade="D9"/>
            <w:noWrap/>
            <w:hideMark/>
          </w:tcPr>
          <w:p w14:paraId="61C27179"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2018</w:t>
            </w:r>
          </w:p>
        </w:tc>
      </w:tr>
      <w:tr w:rsidR="00490741" w:rsidRPr="00100F0A" w14:paraId="458305E8" w14:textId="77777777" w:rsidTr="00AE49A9">
        <w:trPr>
          <w:trHeight w:val="300"/>
        </w:trPr>
        <w:tc>
          <w:tcPr>
            <w:tcW w:w="3403" w:type="dxa"/>
            <w:tcBorders>
              <w:top w:val="nil"/>
              <w:left w:val="single" w:sz="4" w:space="0" w:color="BFBFBF"/>
              <w:bottom w:val="single" w:sz="4" w:space="0" w:color="BFBFBF"/>
              <w:right w:val="single" w:sz="4" w:space="0" w:color="BFBFBF"/>
            </w:tcBorders>
            <w:shd w:val="clear" w:color="000000" w:fill="C5D9F1"/>
            <w:noWrap/>
            <w:vAlign w:val="bottom"/>
            <w:hideMark/>
          </w:tcPr>
          <w:p w14:paraId="31414F2F" w14:textId="77777777" w:rsidR="00490741" w:rsidRPr="00100F0A" w:rsidRDefault="00490741" w:rsidP="00490741">
            <w:pPr>
              <w:jc w:val="right"/>
              <w:rPr>
                <w:rFonts w:eastAsia="Times New Roman" w:cs="Calibri"/>
                <w:b/>
                <w:bCs/>
                <w:color w:val="000000"/>
                <w:sz w:val="20"/>
                <w:szCs w:val="18"/>
                <w:lang w:eastAsia="en-AU"/>
              </w:rPr>
            </w:pPr>
            <w:r w:rsidRPr="00100F0A">
              <w:rPr>
                <w:rFonts w:eastAsia="Times New Roman" w:cs="Calibri"/>
                <w:b/>
                <w:bCs/>
                <w:color w:val="000000"/>
                <w:sz w:val="20"/>
                <w:szCs w:val="18"/>
                <w:lang w:eastAsia="en-AU"/>
              </w:rPr>
              <w:t>Long-term storage</w:t>
            </w:r>
          </w:p>
        </w:tc>
        <w:tc>
          <w:tcPr>
            <w:tcW w:w="850" w:type="dxa"/>
            <w:tcBorders>
              <w:top w:val="nil"/>
              <w:left w:val="nil"/>
              <w:bottom w:val="single" w:sz="4" w:space="0" w:color="BFBFBF"/>
              <w:right w:val="single" w:sz="4" w:space="0" w:color="BFBFBF"/>
            </w:tcBorders>
            <w:shd w:val="clear" w:color="000000" w:fill="C5D9F1"/>
            <w:noWrap/>
            <w:hideMark/>
          </w:tcPr>
          <w:p w14:paraId="318793B8" w14:textId="77777777" w:rsidR="00490741" w:rsidRPr="00100F0A" w:rsidRDefault="00490741" w:rsidP="00490741">
            <w:pPr>
              <w:rPr>
                <w:rFonts w:eastAsia="Times New Roman" w:cs="Calibri"/>
                <w:color w:val="000000"/>
                <w:sz w:val="20"/>
                <w:szCs w:val="18"/>
                <w:lang w:eastAsia="en-AU"/>
              </w:rPr>
            </w:pPr>
            <w:r w:rsidRPr="00100F0A">
              <w:rPr>
                <w:rFonts w:eastAsia="Times New Roman" w:cs="Calibri"/>
                <w:color w:val="000000"/>
                <w:sz w:val="20"/>
                <w:szCs w:val="18"/>
                <w:lang w:eastAsia="en-AU"/>
              </w:rPr>
              <w:t> </w:t>
            </w:r>
          </w:p>
        </w:tc>
        <w:tc>
          <w:tcPr>
            <w:tcW w:w="931" w:type="dxa"/>
            <w:tcBorders>
              <w:top w:val="nil"/>
              <w:left w:val="nil"/>
              <w:bottom w:val="single" w:sz="4" w:space="0" w:color="BFBFBF"/>
              <w:right w:val="single" w:sz="4" w:space="0" w:color="BFBFBF"/>
            </w:tcBorders>
            <w:shd w:val="clear" w:color="000000" w:fill="C5D9F1"/>
            <w:noWrap/>
            <w:hideMark/>
          </w:tcPr>
          <w:p w14:paraId="393AC4EC" w14:textId="77777777" w:rsidR="00490741" w:rsidRPr="00100F0A" w:rsidRDefault="00490741" w:rsidP="00490741">
            <w:pPr>
              <w:rPr>
                <w:rFonts w:eastAsia="Times New Roman" w:cs="Calibri"/>
                <w:color w:val="000000"/>
                <w:sz w:val="20"/>
                <w:szCs w:val="18"/>
                <w:lang w:eastAsia="en-AU"/>
              </w:rPr>
            </w:pPr>
            <w:r w:rsidRPr="00100F0A">
              <w:rPr>
                <w:rFonts w:eastAsia="Times New Roman" w:cs="Calibri"/>
                <w:color w:val="000000"/>
                <w:sz w:val="20"/>
                <w:szCs w:val="18"/>
                <w:lang w:eastAsia="en-AU"/>
              </w:rPr>
              <w:t> </w:t>
            </w:r>
          </w:p>
        </w:tc>
        <w:tc>
          <w:tcPr>
            <w:tcW w:w="975" w:type="dxa"/>
            <w:tcBorders>
              <w:top w:val="nil"/>
              <w:left w:val="nil"/>
              <w:bottom w:val="single" w:sz="4" w:space="0" w:color="BFBFBF"/>
              <w:right w:val="single" w:sz="4" w:space="0" w:color="BFBFBF"/>
            </w:tcBorders>
            <w:shd w:val="clear" w:color="000000" w:fill="C5D9F1"/>
            <w:noWrap/>
            <w:hideMark/>
          </w:tcPr>
          <w:p w14:paraId="1EA16BBA" w14:textId="77777777" w:rsidR="00490741" w:rsidRPr="00100F0A" w:rsidRDefault="00490741" w:rsidP="00490741">
            <w:pPr>
              <w:rPr>
                <w:rFonts w:eastAsia="Times New Roman" w:cs="Calibri"/>
                <w:color w:val="000000"/>
                <w:sz w:val="20"/>
                <w:szCs w:val="18"/>
                <w:lang w:eastAsia="en-AU"/>
              </w:rPr>
            </w:pPr>
            <w:r w:rsidRPr="00100F0A">
              <w:rPr>
                <w:rFonts w:eastAsia="Times New Roman" w:cs="Calibri"/>
                <w:color w:val="000000"/>
                <w:sz w:val="20"/>
                <w:szCs w:val="18"/>
                <w:lang w:eastAsia="en-AU"/>
              </w:rPr>
              <w:t> </w:t>
            </w:r>
          </w:p>
        </w:tc>
        <w:tc>
          <w:tcPr>
            <w:tcW w:w="1320" w:type="dxa"/>
            <w:tcBorders>
              <w:top w:val="nil"/>
              <w:left w:val="nil"/>
              <w:bottom w:val="single" w:sz="4" w:space="0" w:color="BFBFBF"/>
              <w:right w:val="single" w:sz="4" w:space="0" w:color="BFBFBF"/>
            </w:tcBorders>
            <w:shd w:val="clear" w:color="000000" w:fill="C5D9F1"/>
            <w:noWrap/>
            <w:hideMark/>
          </w:tcPr>
          <w:p w14:paraId="31AE77D1" w14:textId="77777777" w:rsidR="00490741" w:rsidRPr="00100F0A" w:rsidRDefault="00490741" w:rsidP="00490741">
            <w:pPr>
              <w:rPr>
                <w:rFonts w:eastAsia="Times New Roman" w:cs="Calibri"/>
                <w:color w:val="000000"/>
                <w:sz w:val="20"/>
                <w:szCs w:val="18"/>
                <w:lang w:eastAsia="en-AU"/>
              </w:rPr>
            </w:pPr>
            <w:r w:rsidRPr="00100F0A">
              <w:rPr>
                <w:rFonts w:eastAsia="Times New Roman" w:cs="Calibri"/>
                <w:color w:val="000000"/>
                <w:sz w:val="20"/>
                <w:szCs w:val="18"/>
                <w:lang w:eastAsia="en-AU"/>
              </w:rPr>
              <w:t> </w:t>
            </w:r>
          </w:p>
        </w:tc>
        <w:tc>
          <w:tcPr>
            <w:tcW w:w="723" w:type="dxa"/>
            <w:tcBorders>
              <w:top w:val="nil"/>
              <w:left w:val="nil"/>
              <w:bottom w:val="single" w:sz="4" w:space="0" w:color="BFBFBF"/>
              <w:right w:val="single" w:sz="4" w:space="0" w:color="BFBFBF"/>
            </w:tcBorders>
            <w:shd w:val="clear" w:color="000000" w:fill="C5D9F1"/>
            <w:noWrap/>
            <w:hideMark/>
          </w:tcPr>
          <w:p w14:paraId="0D375E14" w14:textId="77777777" w:rsidR="00490741" w:rsidRPr="00100F0A" w:rsidRDefault="00490741" w:rsidP="00490741">
            <w:pPr>
              <w:rPr>
                <w:rFonts w:eastAsia="Times New Roman" w:cs="Calibri"/>
                <w:color w:val="000000"/>
                <w:sz w:val="20"/>
                <w:szCs w:val="18"/>
                <w:lang w:eastAsia="en-AU"/>
              </w:rPr>
            </w:pPr>
            <w:r w:rsidRPr="00100F0A">
              <w:rPr>
                <w:rFonts w:eastAsia="Times New Roman" w:cs="Calibri"/>
                <w:color w:val="000000"/>
                <w:sz w:val="20"/>
                <w:szCs w:val="18"/>
                <w:lang w:eastAsia="en-AU"/>
              </w:rPr>
              <w:t> </w:t>
            </w:r>
          </w:p>
        </w:tc>
        <w:tc>
          <w:tcPr>
            <w:tcW w:w="723" w:type="dxa"/>
            <w:tcBorders>
              <w:top w:val="nil"/>
              <w:left w:val="nil"/>
              <w:bottom w:val="single" w:sz="4" w:space="0" w:color="BFBFBF"/>
              <w:right w:val="single" w:sz="4" w:space="0" w:color="BFBFBF"/>
            </w:tcBorders>
            <w:shd w:val="clear" w:color="000000" w:fill="C5D9F1"/>
            <w:noWrap/>
            <w:hideMark/>
          </w:tcPr>
          <w:p w14:paraId="2020CDE1" w14:textId="77777777" w:rsidR="00490741" w:rsidRPr="00100F0A" w:rsidRDefault="00490741" w:rsidP="00490741">
            <w:pPr>
              <w:rPr>
                <w:rFonts w:eastAsia="Times New Roman" w:cs="Calibri"/>
                <w:color w:val="000000"/>
                <w:sz w:val="20"/>
                <w:szCs w:val="18"/>
                <w:lang w:eastAsia="en-AU"/>
              </w:rPr>
            </w:pPr>
            <w:r w:rsidRPr="00100F0A">
              <w:rPr>
                <w:rFonts w:eastAsia="Times New Roman" w:cs="Calibri"/>
                <w:color w:val="000000"/>
                <w:sz w:val="20"/>
                <w:szCs w:val="18"/>
                <w:lang w:eastAsia="en-AU"/>
              </w:rPr>
              <w:t> </w:t>
            </w:r>
          </w:p>
        </w:tc>
        <w:tc>
          <w:tcPr>
            <w:tcW w:w="722" w:type="dxa"/>
            <w:tcBorders>
              <w:top w:val="nil"/>
              <w:left w:val="nil"/>
              <w:bottom w:val="single" w:sz="4" w:space="0" w:color="BFBFBF"/>
              <w:right w:val="single" w:sz="4" w:space="0" w:color="BFBFBF"/>
            </w:tcBorders>
            <w:shd w:val="clear" w:color="000000" w:fill="C5D9F1"/>
            <w:noWrap/>
            <w:hideMark/>
          </w:tcPr>
          <w:p w14:paraId="2586F573" w14:textId="77777777" w:rsidR="00490741" w:rsidRPr="00100F0A" w:rsidRDefault="00490741" w:rsidP="00490741">
            <w:pPr>
              <w:rPr>
                <w:rFonts w:eastAsia="Times New Roman" w:cs="Calibri"/>
                <w:color w:val="000000"/>
                <w:sz w:val="20"/>
                <w:szCs w:val="18"/>
                <w:lang w:eastAsia="en-AU"/>
              </w:rPr>
            </w:pPr>
            <w:r w:rsidRPr="00100F0A">
              <w:rPr>
                <w:rFonts w:eastAsia="Times New Roman" w:cs="Calibri"/>
                <w:color w:val="000000"/>
                <w:sz w:val="20"/>
                <w:szCs w:val="18"/>
                <w:lang w:eastAsia="en-AU"/>
              </w:rPr>
              <w:t> </w:t>
            </w:r>
          </w:p>
        </w:tc>
      </w:tr>
      <w:tr w:rsidR="00AE49A9" w:rsidRPr="00100F0A" w14:paraId="556111CF" w14:textId="77777777" w:rsidTr="00ED2FB5">
        <w:trPr>
          <w:trHeight w:val="300"/>
        </w:trPr>
        <w:tc>
          <w:tcPr>
            <w:tcW w:w="3403" w:type="dxa"/>
            <w:tcBorders>
              <w:top w:val="nil"/>
              <w:left w:val="single" w:sz="4" w:space="0" w:color="BFBFBF"/>
              <w:bottom w:val="single" w:sz="4" w:space="0" w:color="BFBFBF"/>
              <w:right w:val="single" w:sz="4" w:space="0" w:color="BFBFBF"/>
            </w:tcBorders>
            <w:shd w:val="clear" w:color="auto" w:fill="D9D9D9" w:themeFill="background1" w:themeFillShade="D9"/>
            <w:noWrap/>
            <w:vAlign w:val="center"/>
            <w:hideMark/>
          </w:tcPr>
          <w:p w14:paraId="4E8679E9" w14:textId="77777777" w:rsidR="00AE49A9" w:rsidRPr="00100F0A" w:rsidRDefault="00AE49A9"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Long-term on-site storage</w:t>
            </w:r>
          </w:p>
        </w:tc>
        <w:tc>
          <w:tcPr>
            <w:tcW w:w="850" w:type="dxa"/>
            <w:tcBorders>
              <w:top w:val="nil"/>
              <w:left w:val="nil"/>
              <w:bottom w:val="single" w:sz="4" w:space="0" w:color="BFBFBF"/>
              <w:right w:val="single" w:sz="4" w:space="0" w:color="BFBFBF"/>
            </w:tcBorders>
            <w:shd w:val="clear" w:color="auto" w:fill="D9D9D9" w:themeFill="background1" w:themeFillShade="D9"/>
            <w:noWrap/>
            <w:hideMark/>
          </w:tcPr>
          <w:p w14:paraId="17FFB750" w14:textId="77777777" w:rsidR="00AE49A9" w:rsidRPr="00100F0A" w:rsidRDefault="00AE49A9"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0</w:t>
            </w:r>
          </w:p>
        </w:tc>
        <w:tc>
          <w:tcPr>
            <w:tcW w:w="1906" w:type="dxa"/>
            <w:gridSpan w:val="2"/>
            <w:tcBorders>
              <w:top w:val="nil"/>
              <w:left w:val="nil"/>
              <w:bottom w:val="single" w:sz="4" w:space="0" w:color="BFBFBF"/>
              <w:right w:val="single" w:sz="4" w:space="0" w:color="BFBFBF"/>
            </w:tcBorders>
            <w:shd w:val="clear" w:color="auto" w:fill="D9D9D9" w:themeFill="background1" w:themeFillShade="D9"/>
            <w:noWrap/>
          </w:tcPr>
          <w:p w14:paraId="0E9D0693" w14:textId="4F6B5EC3" w:rsidR="00AE49A9" w:rsidRPr="00100F0A" w:rsidRDefault="00AE49A9" w:rsidP="00490741">
            <w:pPr>
              <w:jc w:val="right"/>
              <w:rPr>
                <w:rFonts w:eastAsia="Times New Roman" w:cs="Calibri"/>
                <w:color w:val="000000"/>
                <w:sz w:val="20"/>
                <w:szCs w:val="18"/>
                <w:lang w:eastAsia="en-AU"/>
              </w:rPr>
            </w:pPr>
          </w:p>
          <w:p w14:paraId="4B17BC67" w14:textId="651F2CB0" w:rsidR="00AE49A9" w:rsidRPr="00100F0A" w:rsidRDefault="00AE49A9" w:rsidP="00490741">
            <w:pPr>
              <w:jc w:val="right"/>
              <w:rPr>
                <w:rFonts w:eastAsia="Times New Roman" w:cs="Calibri"/>
                <w:color w:val="000000"/>
                <w:sz w:val="20"/>
                <w:szCs w:val="18"/>
                <w:lang w:eastAsia="en-AU"/>
              </w:rPr>
            </w:pPr>
          </w:p>
        </w:tc>
        <w:tc>
          <w:tcPr>
            <w:tcW w:w="1320" w:type="dxa"/>
            <w:tcBorders>
              <w:top w:val="nil"/>
              <w:left w:val="nil"/>
              <w:bottom w:val="single" w:sz="4" w:space="0" w:color="BFBFBF"/>
              <w:right w:val="single" w:sz="4" w:space="0" w:color="BFBFBF"/>
            </w:tcBorders>
            <w:shd w:val="clear" w:color="auto" w:fill="D9D9D9" w:themeFill="background1" w:themeFillShade="D9"/>
            <w:noWrap/>
            <w:hideMark/>
          </w:tcPr>
          <w:p w14:paraId="68A3A524" w14:textId="77777777" w:rsidR="00AE49A9" w:rsidRPr="00100F0A" w:rsidRDefault="00AE49A9"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n/a</w:t>
            </w:r>
          </w:p>
        </w:tc>
        <w:tc>
          <w:tcPr>
            <w:tcW w:w="723"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hideMark/>
          </w:tcPr>
          <w:p w14:paraId="69033B3B" w14:textId="77777777" w:rsidR="00AE49A9" w:rsidRPr="00100F0A" w:rsidRDefault="00AE49A9" w:rsidP="00490741">
            <w:pPr>
              <w:jc w:val="center"/>
              <w:rPr>
                <w:rFonts w:eastAsia="Times New Roman" w:cs="Calibri"/>
                <w:color w:val="808080"/>
                <w:sz w:val="20"/>
                <w:szCs w:val="18"/>
                <w:lang w:eastAsia="en-AU"/>
              </w:rPr>
            </w:pPr>
            <w:r w:rsidRPr="00100F0A">
              <w:rPr>
                <w:rFonts w:eastAsia="Times New Roman" w:cs="Calibri"/>
                <w:color w:val="808080"/>
                <w:sz w:val="20"/>
                <w:szCs w:val="18"/>
                <w:lang w:eastAsia="en-AU"/>
              </w:rPr>
              <w:t>no inf.</w:t>
            </w:r>
          </w:p>
        </w:tc>
        <w:tc>
          <w:tcPr>
            <w:tcW w:w="723"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hideMark/>
          </w:tcPr>
          <w:p w14:paraId="3C042884" w14:textId="77777777" w:rsidR="00AE49A9" w:rsidRPr="00100F0A" w:rsidRDefault="00AE49A9" w:rsidP="00490741">
            <w:pPr>
              <w:jc w:val="center"/>
              <w:rPr>
                <w:rFonts w:eastAsia="Times New Roman" w:cs="Calibri"/>
                <w:color w:val="808080"/>
                <w:sz w:val="20"/>
                <w:szCs w:val="18"/>
                <w:lang w:eastAsia="en-AU"/>
              </w:rPr>
            </w:pPr>
            <w:r w:rsidRPr="00100F0A">
              <w:rPr>
                <w:rFonts w:eastAsia="Times New Roman" w:cs="Calibri"/>
                <w:color w:val="808080"/>
                <w:sz w:val="20"/>
                <w:szCs w:val="18"/>
                <w:lang w:eastAsia="en-AU"/>
              </w:rPr>
              <w:t>no inf.</w:t>
            </w:r>
          </w:p>
        </w:tc>
        <w:tc>
          <w:tcPr>
            <w:tcW w:w="722"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hideMark/>
          </w:tcPr>
          <w:p w14:paraId="069320E1" w14:textId="77777777" w:rsidR="00AE49A9" w:rsidRPr="00100F0A" w:rsidRDefault="00AE49A9" w:rsidP="00490741">
            <w:pPr>
              <w:jc w:val="center"/>
              <w:rPr>
                <w:rFonts w:eastAsia="Times New Roman" w:cs="Calibri"/>
                <w:color w:val="808080"/>
                <w:sz w:val="20"/>
                <w:szCs w:val="18"/>
                <w:lang w:eastAsia="en-AU"/>
              </w:rPr>
            </w:pPr>
            <w:r w:rsidRPr="00100F0A">
              <w:rPr>
                <w:rFonts w:eastAsia="Times New Roman" w:cs="Calibri"/>
                <w:color w:val="808080"/>
                <w:sz w:val="20"/>
                <w:szCs w:val="18"/>
                <w:lang w:eastAsia="en-AU"/>
              </w:rPr>
              <w:t>no inf.</w:t>
            </w:r>
          </w:p>
        </w:tc>
      </w:tr>
      <w:tr w:rsidR="00490741" w:rsidRPr="00100F0A" w14:paraId="7454C05D" w14:textId="77777777" w:rsidTr="009D734D">
        <w:trPr>
          <w:trHeight w:val="300"/>
        </w:trPr>
        <w:tc>
          <w:tcPr>
            <w:tcW w:w="3403" w:type="dxa"/>
            <w:tcBorders>
              <w:top w:val="nil"/>
              <w:left w:val="single" w:sz="4" w:space="0" w:color="BFBFBF"/>
              <w:bottom w:val="single" w:sz="4" w:space="0" w:color="BFBFBF"/>
              <w:right w:val="single" w:sz="4" w:space="0" w:color="BFBFBF"/>
            </w:tcBorders>
            <w:shd w:val="clear" w:color="auto" w:fill="auto"/>
            <w:noWrap/>
            <w:vAlign w:val="center"/>
            <w:hideMark/>
          </w:tcPr>
          <w:p w14:paraId="07F50346"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Long-term isolation facility</w:t>
            </w:r>
          </w:p>
        </w:tc>
        <w:tc>
          <w:tcPr>
            <w:tcW w:w="850" w:type="dxa"/>
            <w:tcBorders>
              <w:top w:val="nil"/>
              <w:left w:val="nil"/>
              <w:bottom w:val="single" w:sz="4" w:space="0" w:color="BFBFBF"/>
              <w:right w:val="single" w:sz="4" w:space="0" w:color="BFBFBF"/>
            </w:tcBorders>
            <w:shd w:val="clear" w:color="auto" w:fill="auto"/>
            <w:noWrap/>
            <w:hideMark/>
          </w:tcPr>
          <w:p w14:paraId="5D8B5C6F"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0</w:t>
            </w:r>
          </w:p>
        </w:tc>
        <w:tc>
          <w:tcPr>
            <w:tcW w:w="931" w:type="dxa"/>
            <w:tcBorders>
              <w:top w:val="nil"/>
              <w:left w:val="nil"/>
              <w:bottom w:val="single" w:sz="4" w:space="0" w:color="BFBFBF"/>
              <w:right w:val="single" w:sz="4" w:space="0" w:color="BFBFBF"/>
            </w:tcBorders>
            <w:shd w:val="clear" w:color="auto" w:fill="auto"/>
            <w:noWrap/>
            <w:hideMark/>
          </w:tcPr>
          <w:p w14:paraId="4665FD85" w14:textId="77777777" w:rsidR="00490741" w:rsidRPr="00100F0A" w:rsidRDefault="00490741" w:rsidP="00490741">
            <w:pPr>
              <w:jc w:val="right"/>
              <w:rPr>
                <w:rFonts w:eastAsia="Times New Roman" w:cs="Calibri"/>
                <w:color w:val="000000"/>
                <w:sz w:val="20"/>
                <w:szCs w:val="18"/>
                <w:lang w:eastAsia="en-AU"/>
              </w:rPr>
            </w:pPr>
            <w:r w:rsidRPr="00100F0A">
              <w:rPr>
                <w:rFonts w:eastAsia="Times New Roman" w:cs="Calibri"/>
                <w:color w:val="000000"/>
                <w:sz w:val="20"/>
                <w:szCs w:val="18"/>
                <w:lang w:eastAsia="en-AU"/>
              </w:rPr>
              <w:t>0</w:t>
            </w:r>
          </w:p>
        </w:tc>
        <w:tc>
          <w:tcPr>
            <w:tcW w:w="975" w:type="dxa"/>
            <w:tcBorders>
              <w:top w:val="nil"/>
              <w:left w:val="nil"/>
              <w:bottom w:val="single" w:sz="4" w:space="0" w:color="BFBFBF"/>
              <w:right w:val="single" w:sz="4" w:space="0" w:color="BFBFBF"/>
            </w:tcBorders>
            <w:shd w:val="clear" w:color="auto" w:fill="FF0000"/>
            <w:noWrap/>
            <w:vAlign w:val="center"/>
            <w:hideMark/>
          </w:tcPr>
          <w:p w14:paraId="51BBA012" w14:textId="172BBB03" w:rsidR="00490741" w:rsidRPr="00100F0A" w:rsidRDefault="003249F2" w:rsidP="009D734D">
            <w:pPr>
              <w:jc w:val="center"/>
              <w:rPr>
                <w:rFonts w:eastAsia="Times New Roman" w:cs="Calibri"/>
                <w:color w:val="000000"/>
                <w:sz w:val="20"/>
                <w:szCs w:val="18"/>
                <w:lang w:eastAsia="en-AU"/>
              </w:rPr>
            </w:pPr>
            <w:r>
              <w:rPr>
                <w:rFonts w:eastAsia="Times New Roman" w:cs="Calibri"/>
                <w:color w:val="000000"/>
                <w:sz w:val="20"/>
                <w:szCs w:val="18"/>
                <w:lang w:eastAsia="en-AU"/>
              </w:rPr>
              <w:t>CIC</w:t>
            </w:r>
          </w:p>
        </w:tc>
        <w:tc>
          <w:tcPr>
            <w:tcW w:w="1320" w:type="dxa"/>
            <w:tcBorders>
              <w:top w:val="nil"/>
              <w:left w:val="nil"/>
              <w:bottom w:val="single" w:sz="4" w:space="0" w:color="BFBFBF"/>
              <w:right w:val="single" w:sz="4" w:space="0" w:color="BFBFBF"/>
            </w:tcBorders>
            <w:shd w:val="clear" w:color="auto" w:fill="auto"/>
            <w:noWrap/>
            <w:hideMark/>
          </w:tcPr>
          <w:p w14:paraId="25F8BAB1" w14:textId="77777777" w:rsidR="00490741" w:rsidRPr="00100F0A" w:rsidRDefault="00490741" w:rsidP="00490741">
            <w:pPr>
              <w:jc w:val="center"/>
              <w:rPr>
                <w:rFonts w:eastAsia="Times New Roman" w:cs="Calibri"/>
                <w:color w:val="000000"/>
                <w:sz w:val="20"/>
                <w:szCs w:val="18"/>
                <w:lang w:eastAsia="en-AU"/>
              </w:rPr>
            </w:pPr>
            <w:r w:rsidRPr="00100F0A">
              <w:rPr>
                <w:rFonts w:eastAsia="Times New Roman" w:cs="Calibri"/>
                <w:color w:val="000000"/>
                <w:sz w:val="20"/>
                <w:szCs w:val="18"/>
                <w:lang w:eastAsia="en-AU"/>
              </w:rPr>
              <w:t>n/a</w:t>
            </w:r>
          </w:p>
        </w:tc>
        <w:tc>
          <w:tcPr>
            <w:tcW w:w="723"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521EDE35" w14:textId="77777777" w:rsidR="00490741" w:rsidRPr="00100F0A" w:rsidRDefault="00490741" w:rsidP="00490741">
            <w:pPr>
              <w:jc w:val="center"/>
              <w:rPr>
                <w:rFonts w:eastAsia="Times New Roman" w:cs="Calibri"/>
                <w:color w:val="808080"/>
                <w:sz w:val="20"/>
                <w:szCs w:val="18"/>
                <w:lang w:eastAsia="en-AU"/>
              </w:rPr>
            </w:pPr>
            <w:r w:rsidRPr="00100F0A">
              <w:rPr>
                <w:rFonts w:eastAsia="Times New Roman" w:cs="Calibri"/>
                <w:color w:val="808080"/>
                <w:sz w:val="20"/>
                <w:szCs w:val="18"/>
                <w:lang w:eastAsia="en-AU"/>
              </w:rPr>
              <w:t>no inf.</w:t>
            </w:r>
          </w:p>
        </w:tc>
        <w:tc>
          <w:tcPr>
            <w:tcW w:w="723"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053F8328" w14:textId="77777777" w:rsidR="00490741" w:rsidRPr="00100F0A" w:rsidRDefault="00490741" w:rsidP="00490741">
            <w:pPr>
              <w:jc w:val="center"/>
              <w:rPr>
                <w:rFonts w:eastAsia="Times New Roman" w:cs="Calibri"/>
                <w:color w:val="808080"/>
                <w:sz w:val="20"/>
                <w:szCs w:val="18"/>
                <w:lang w:eastAsia="en-AU"/>
              </w:rPr>
            </w:pPr>
            <w:r w:rsidRPr="00100F0A">
              <w:rPr>
                <w:rFonts w:eastAsia="Times New Roman" w:cs="Calibri"/>
                <w:color w:val="808080"/>
                <w:sz w:val="20"/>
                <w:szCs w:val="18"/>
                <w:lang w:eastAsia="en-AU"/>
              </w:rPr>
              <w:t>no inf.</w:t>
            </w:r>
          </w:p>
        </w:tc>
        <w:tc>
          <w:tcPr>
            <w:tcW w:w="722"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70973838" w14:textId="77777777" w:rsidR="00490741" w:rsidRPr="00100F0A" w:rsidRDefault="00490741" w:rsidP="00490741">
            <w:pPr>
              <w:jc w:val="center"/>
              <w:rPr>
                <w:rFonts w:eastAsia="Times New Roman" w:cs="Calibri"/>
                <w:color w:val="808080"/>
                <w:sz w:val="20"/>
                <w:szCs w:val="18"/>
                <w:lang w:eastAsia="en-AU"/>
              </w:rPr>
            </w:pPr>
            <w:r w:rsidRPr="00100F0A">
              <w:rPr>
                <w:rFonts w:eastAsia="Times New Roman" w:cs="Calibri"/>
                <w:color w:val="808080"/>
                <w:sz w:val="20"/>
                <w:szCs w:val="18"/>
                <w:lang w:eastAsia="en-AU"/>
              </w:rPr>
              <w:t>no inf.</w:t>
            </w:r>
          </w:p>
        </w:tc>
      </w:tr>
    </w:tbl>
    <w:p w14:paraId="77F4615F" w14:textId="03C926A3" w:rsidR="00347ED1" w:rsidRDefault="00347ED1" w:rsidP="00437F5F">
      <w:pPr>
        <w:pStyle w:val="Notes"/>
        <w:ind w:left="0" w:firstLine="0"/>
      </w:pPr>
      <w:r w:rsidRPr="00100F0A">
        <w:t>Notes:</w:t>
      </w:r>
      <w:r w:rsidRPr="00895CD4">
        <w:rPr>
          <w:shd w:val="clear" w:color="auto" w:fill="FFFFFF" w:themeFill="background1"/>
        </w:rPr>
        <w:t xml:space="preserve"> </w:t>
      </w:r>
      <w:r w:rsidR="00564608" w:rsidRPr="00895CD4">
        <w:rPr>
          <w:shd w:val="clear" w:color="auto" w:fill="D9D9D9" w:themeFill="background1" w:themeFillShade="D9"/>
        </w:rPr>
        <w:t>S</w:t>
      </w:r>
      <w:r w:rsidRPr="00AC2649">
        <w:rPr>
          <w:shd w:val="clear" w:color="auto" w:fill="D9D9D9" w:themeFill="background1" w:themeFillShade="D9"/>
        </w:rPr>
        <w:t>haded</w:t>
      </w:r>
      <w:r w:rsidRPr="00100F0A">
        <w:rPr>
          <w:shd w:val="clear" w:color="auto" w:fill="D9D9D9" w:themeFill="background1" w:themeFillShade="D9"/>
        </w:rPr>
        <w:t xml:space="preserve"> grey</w:t>
      </w:r>
      <w:r w:rsidRPr="00100F0A">
        <w:t xml:space="preserve"> infrastructure groups have coverage limitations</w:t>
      </w:r>
      <w:r w:rsidR="00323506">
        <w:t xml:space="preserve"> or are excluded.</w:t>
      </w:r>
      <w:r w:rsidRPr="00100F0A">
        <w:t xml:space="preserve"> </w:t>
      </w:r>
    </w:p>
    <w:p w14:paraId="505FFB08" w14:textId="0D2E4171" w:rsidR="00437F5F" w:rsidRDefault="00437F5F" w:rsidP="00490741">
      <w:pPr>
        <w:pStyle w:val="Notes"/>
      </w:pPr>
    </w:p>
    <w:p w14:paraId="4291563B" w14:textId="20063FC3" w:rsidR="00437F5F" w:rsidRDefault="00437F5F" w:rsidP="00490741">
      <w:pPr>
        <w:pStyle w:val="Notes"/>
      </w:pPr>
    </w:p>
    <w:p w14:paraId="2AC8D35D" w14:textId="7561611C" w:rsidR="00AE49A9" w:rsidRDefault="00AE49A9" w:rsidP="00490741">
      <w:pPr>
        <w:pStyle w:val="Notes"/>
      </w:pPr>
    </w:p>
    <w:p w14:paraId="33D77692" w14:textId="6BEC7B34" w:rsidR="00AE49A9" w:rsidRDefault="00AE49A9" w:rsidP="00490741">
      <w:pPr>
        <w:pStyle w:val="Notes"/>
      </w:pPr>
    </w:p>
    <w:p w14:paraId="6A3F749F" w14:textId="1F69E5FC" w:rsidR="00AE49A9" w:rsidRDefault="00AE49A9" w:rsidP="00490741">
      <w:pPr>
        <w:pStyle w:val="Notes"/>
      </w:pPr>
    </w:p>
    <w:p w14:paraId="3CA8AF71" w14:textId="2E5F530D" w:rsidR="00AE49A9" w:rsidRDefault="00AE49A9" w:rsidP="00490741">
      <w:pPr>
        <w:pStyle w:val="Notes"/>
      </w:pPr>
    </w:p>
    <w:p w14:paraId="1A01DAC3" w14:textId="77777777" w:rsidR="00AE49A9" w:rsidRPr="00100F0A" w:rsidRDefault="00AE49A9" w:rsidP="00490741">
      <w:pPr>
        <w:pStyle w:val="Notes"/>
      </w:pPr>
    </w:p>
    <w:p w14:paraId="599600C1" w14:textId="3765ADF8" w:rsidR="00412434" w:rsidRDefault="00412434" w:rsidP="00895CD4">
      <w:pPr>
        <w:pStyle w:val="Heading2nonumber"/>
      </w:pPr>
      <w:bookmarkStart w:id="8" w:name="_Toc13225523"/>
      <w:r w:rsidRPr="00100F0A">
        <w:t>Conclusions and recommendations</w:t>
      </w:r>
      <w:bookmarkEnd w:id="8"/>
      <w:r w:rsidRPr="00100F0A">
        <w:t xml:space="preserve"> </w:t>
      </w:r>
    </w:p>
    <w:p w14:paraId="6D18C03F" w14:textId="77777777" w:rsidR="00F64C8A" w:rsidRDefault="00F64C8A" w:rsidP="00895CD4">
      <w:pPr>
        <w:pStyle w:val="Heading3-nonumber"/>
      </w:pPr>
      <w:r>
        <w:t>Hazardous waste arisings and management and current issues</w:t>
      </w:r>
    </w:p>
    <w:p w14:paraId="69942B18" w14:textId="77777777" w:rsidR="00F64C8A" w:rsidRPr="00100F0A" w:rsidRDefault="00F64C8A" w:rsidP="00F64C8A">
      <w:pPr>
        <w:pStyle w:val="BodyText"/>
      </w:pPr>
      <w:r>
        <w:t>In 2016-17, 6.1 Mt of hazardous waste arose in Australia. A</w:t>
      </w:r>
      <w:r w:rsidRPr="00100F0A">
        <w:t xml:space="preserve">round 2.3 </w:t>
      </w:r>
      <w:r>
        <w:t>Mt</w:t>
      </w:r>
      <w:r w:rsidRPr="00100F0A">
        <w:t xml:space="preserve"> of </w:t>
      </w:r>
      <w:r>
        <w:t xml:space="preserve">these </w:t>
      </w:r>
      <w:r w:rsidRPr="00100F0A">
        <w:t>waste</w:t>
      </w:r>
      <w:r>
        <w:t>s</w:t>
      </w:r>
      <w:r w:rsidRPr="00100F0A">
        <w:t xml:space="preserve"> were managed by the 18</w:t>
      </w:r>
      <w:r>
        <w:t>5</w:t>
      </w:r>
      <w:r w:rsidRPr="00100F0A">
        <w:t xml:space="preserve"> operational sites, which have an installed capacity to manage 3.</w:t>
      </w:r>
      <w:r>
        <w:t>1</w:t>
      </w:r>
      <w:r w:rsidRPr="00100F0A">
        <w:t xml:space="preserve"> </w:t>
      </w:r>
      <w:r>
        <w:t>Mt</w:t>
      </w:r>
      <w:r w:rsidRPr="00100F0A">
        <w:t xml:space="preserve"> of hazardous waste. </w:t>
      </w:r>
      <w:r>
        <w:t>The remaining 3.8 Mt of hazardous waste arisings were managed by other infrastructure such as composting facilities and landfills typically licenced to receive only asbestos and low-level contaminated soils.</w:t>
      </w:r>
    </w:p>
    <w:p w14:paraId="74461B72" w14:textId="77777777" w:rsidR="00F64C8A" w:rsidRPr="00100F0A" w:rsidRDefault="00F64C8A" w:rsidP="00F64C8A">
      <w:pPr>
        <w:rPr>
          <w:color w:val="080808"/>
        </w:rPr>
      </w:pPr>
    </w:p>
    <w:p w14:paraId="4097DB8D" w14:textId="77777777" w:rsidR="00F64C8A" w:rsidRPr="00100F0A" w:rsidRDefault="00F64C8A" w:rsidP="00F64C8A">
      <w:pPr>
        <w:pStyle w:val="BodyText"/>
      </w:pPr>
      <w:r>
        <w:t xml:space="preserve">Hazardous waste arisings are projected to increase to between 5.5 and 15.4 </w:t>
      </w:r>
      <w:r w:rsidRPr="00100F0A">
        <w:t xml:space="preserve">Mt </w:t>
      </w:r>
      <w:r>
        <w:t xml:space="preserve">by </w:t>
      </w:r>
      <w:r w:rsidRPr="00100F0A">
        <w:t>2036-37</w:t>
      </w:r>
      <w:r>
        <w:t xml:space="preserve"> with the ‘best’ estimate of arisings of 8.9 Mt. I</w:t>
      </w:r>
      <w:r w:rsidRPr="00100F0A">
        <w:t>n the high scenario hazardous waste quantities are projected to grow due to:</w:t>
      </w:r>
    </w:p>
    <w:p w14:paraId="1CCE82DF" w14:textId="77777777" w:rsidR="00F64C8A" w:rsidRPr="00100F0A" w:rsidRDefault="00F64C8A" w:rsidP="00F64C8A">
      <w:pPr>
        <w:pStyle w:val="Bullet1"/>
      </w:pPr>
      <w:r w:rsidRPr="00100F0A">
        <w:t>an initial jump in quantities as contaminated soils and asbestos step from 2016-17 levels to the highest end of their range</w:t>
      </w:r>
    </w:p>
    <w:p w14:paraId="397F65E6" w14:textId="77777777" w:rsidR="00F64C8A" w:rsidRDefault="00F64C8A" w:rsidP="00F64C8A">
      <w:pPr>
        <w:pStyle w:val="Bullet1"/>
      </w:pPr>
      <w:r w:rsidRPr="00100F0A">
        <w:t>releases from storage</w:t>
      </w:r>
      <w:r>
        <w:t>/stockpiling</w:t>
      </w:r>
      <w:r w:rsidRPr="00100F0A">
        <w:t xml:space="preserve"> </w:t>
      </w:r>
    </w:p>
    <w:p w14:paraId="67750DEE" w14:textId="77777777" w:rsidR="00F64C8A" w:rsidRPr="00100F0A" w:rsidRDefault="00F64C8A" w:rsidP="00F64C8A">
      <w:pPr>
        <w:pStyle w:val="Bullet1"/>
      </w:pPr>
      <w:r>
        <w:t>the assumption that in 2023 non-toxic salts from the CSG industry are no longer stored onsite</w:t>
      </w:r>
    </w:p>
    <w:p w14:paraId="10A45A73" w14:textId="77777777" w:rsidR="00F64C8A" w:rsidRDefault="00F64C8A" w:rsidP="00F64C8A">
      <w:pPr>
        <w:pStyle w:val="Bullet1"/>
      </w:pPr>
      <w:r w:rsidRPr="00100F0A">
        <w:t>projected large-scale growth PFAS contaminated soil and PFOS contaminated biosolids, from 2020</w:t>
      </w:r>
      <w:r>
        <w:t>.</w:t>
      </w:r>
      <w:r w:rsidRPr="00100F0A">
        <w:t xml:space="preserve"> </w:t>
      </w:r>
    </w:p>
    <w:p w14:paraId="0C2EB257" w14:textId="77777777" w:rsidR="00F64C8A" w:rsidRDefault="00F64C8A" w:rsidP="00F64C8A">
      <w:pPr>
        <w:rPr>
          <w:color w:val="080808"/>
        </w:rPr>
      </w:pPr>
    </w:p>
    <w:p w14:paraId="767C6ECC" w14:textId="77777777" w:rsidR="00F64C8A" w:rsidRPr="00100F0A" w:rsidRDefault="00F64C8A" w:rsidP="00F64C8A">
      <w:pPr>
        <w:rPr>
          <w:color w:val="080808"/>
        </w:rPr>
      </w:pPr>
      <w:r w:rsidRPr="00100F0A">
        <w:rPr>
          <w:color w:val="080808"/>
        </w:rPr>
        <w:t xml:space="preserve">Over the next few years an increase of around </w:t>
      </w:r>
      <w:r>
        <w:rPr>
          <w:color w:val="080808"/>
        </w:rPr>
        <w:t>1 Mt</w:t>
      </w:r>
      <w:r w:rsidRPr="00100F0A">
        <w:rPr>
          <w:color w:val="080808"/>
        </w:rPr>
        <w:t xml:space="preserve"> of capacity is expected to be added to Australia’s capacity across the infrastructure groups of:</w:t>
      </w:r>
    </w:p>
    <w:p w14:paraId="1EB374FC" w14:textId="77777777" w:rsidR="00F64C8A" w:rsidRPr="00100F0A" w:rsidRDefault="00F64C8A" w:rsidP="00F64C8A">
      <w:pPr>
        <w:pStyle w:val="Bullet1"/>
      </w:pPr>
      <w:r w:rsidRPr="00100F0A">
        <w:t xml:space="preserve">e-waste, lead, mercury, EOLT and </w:t>
      </w:r>
      <w:r>
        <w:t>SPL</w:t>
      </w:r>
      <w:r w:rsidRPr="00100F0A">
        <w:t xml:space="preserve"> recycling facilities</w:t>
      </w:r>
    </w:p>
    <w:p w14:paraId="659B982C" w14:textId="77777777" w:rsidR="00F64C8A" w:rsidRPr="00100F0A" w:rsidRDefault="00F64C8A" w:rsidP="00F64C8A">
      <w:pPr>
        <w:pStyle w:val="Bullet1"/>
      </w:pPr>
      <w:r w:rsidRPr="00100F0A">
        <w:t>CPT and soil treatment facilities</w:t>
      </w:r>
    </w:p>
    <w:p w14:paraId="1D29CBC5" w14:textId="77777777" w:rsidR="00F64C8A" w:rsidRPr="00100F0A" w:rsidRDefault="00F64C8A" w:rsidP="00F64C8A">
      <w:pPr>
        <w:pStyle w:val="Bullet1"/>
      </w:pPr>
      <w:r>
        <w:t>POP</w:t>
      </w:r>
      <w:r w:rsidRPr="00100F0A">
        <w:t xml:space="preserve"> and clinical waste thermal destruction facilities</w:t>
      </w:r>
    </w:p>
    <w:p w14:paraId="677AFABD" w14:textId="77777777" w:rsidR="00F64C8A" w:rsidRDefault="00F64C8A" w:rsidP="00F64C8A">
      <w:pPr>
        <w:pStyle w:val="Bullet1"/>
      </w:pPr>
      <w:r>
        <w:t>l</w:t>
      </w:r>
      <w:r w:rsidRPr="00100F0A">
        <w:t>ong-term isolation facilities.</w:t>
      </w:r>
    </w:p>
    <w:p w14:paraId="73F20B02" w14:textId="77777777" w:rsidR="00F64C8A" w:rsidRPr="00100F0A" w:rsidRDefault="00F64C8A" w:rsidP="00F64C8A">
      <w:pPr>
        <w:pStyle w:val="BodyText"/>
      </w:pPr>
    </w:p>
    <w:p w14:paraId="279D5094" w14:textId="77777777" w:rsidR="00F64C8A" w:rsidRPr="00100F0A" w:rsidRDefault="00F64C8A" w:rsidP="00F64C8A">
      <w:pPr>
        <w:pStyle w:val="BodyText"/>
      </w:pPr>
      <w:r w:rsidRPr="000402A4">
        <w:t xml:space="preserve">Regarding </w:t>
      </w:r>
      <w:r w:rsidRPr="00A307F3">
        <w:t>hazardous waste infrastructure sites</w:t>
      </w:r>
      <w:r w:rsidRPr="000402A4">
        <w:t xml:space="preserve"> in Australia</w:t>
      </w:r>
      <w:r>
        <w:t>: NSW</w:t>
      </w:r>
      <w:r w:rsidRPr="000402A4">
        <w:t xml:space="preserve"> and </w:t>
      </w:r>
      <w:r>
        <w:t>Vic</w:t>
      </w:r>
      <w:r w:rsidRPr="000402A4">
        <w:t xml:space="preserve"> dominate in the</w:t>
      </w:r>
      <w:r w:rsidRPr="00100F0A">
        <w:t xml:space="preserve"> provision</w:t>
      </w:r>
      <w:r>
        <w:t xml:space="preserve"> of</w:t>
      </w:r>
      <w:r w:rsidRPr="00100F0A">
        <w:t xml:space="preserve"> infrastructure sites </w:t>
      </w:r>
      <w:r>
        <w:t>each</w:t>
      </w:r>
      <w:r w:rsidRPr="00100F0A">
        <w:t xml:space="preserve"> with approximately 30% of the sites. Qld and WA follow both with around 15% of the sites. SA has 8% of the sites, followed by NT, ACT, and Tas which all have less than 5% of Australia’s hazardous waste infrastructure sites.</w:t>
      </w:r>
    </w:p>
    <w:p w14:paraId="5928F330" w14:textId="77777777" w:rsidR="00F64C8A" w:rsidRDefault="00F64C8A" w:rsidP="00F64C8A">
      <w:pPr>
        <w:pStyle w:val="BodyText"/>
      </w:pPr>
    </w:p>
    <w:p w14:paraId="130665D6" w14:textId="77777777" w:rsidR="00F64C8A" w:rsidRPr="00100F0A" w:rsidRDefault="00F64C8A" w:rsidP="00F64C8A">
      <w:pPr>
        <w:pStyle w:val="BodyText"/>
      </w:pPr>
      <w:r w:rsidRPr="000402A4">
        <w:t xml:space="preserve">Regarding </w:t>
      </w:r>
      <w:r w:rsidRPr="00A307F3">
        <w:t>management of 2016</w:t>
      </w:r>
      <w:r>
        <w:t>-</w:t>
      </w:r>
      <w:r w:rsidRPr="00A307F3">
        <w:t>17 arisings</w:t>
      </w:r>
      <w:r>
        <w:t xml:space="preserve">: </w:t>
      </w:r>
      <w:r w:rsidRPr="000402A4">
        <w:t>NSW managed 34% of the waste arisings. Qld,</w:t>
      </w:r>
      <w:r w:rsidRPr="00100F0A">
        <w:t xml:space="preserve"> Vic and WA follow with each managing around 20% of arisings. SA managed around 7% of arisings and NT, ACT and Tas all managed less than 2% of 2016</w:t>
      </w:r>
      <w:r>
        <w:t>-</w:t>
      </w:r>
      <w:r w:rsidRPr="00100F0A">
        <w:t>17 arisings.</w:t>
      </w:r>
    </w:p>
    <w:p w14:paraId="777D7DB5" w14:textId="77777777" w:rsidR="00F64C8A" w:rsidRDefault="00F64C8A" w:rsidP="00F64C8A">
      <w:pPr>
        <w:pStyle w:val="BodyText"/>
      </w:pPr>
    </w:p>
    <w:p w14:paraId="244C8716" w14:textId="77777777" w:rsidR="00F64C8A" w:rsidRPr="00100F0A" w:rsidRDefault="00F64C8A" w:rsidP="00F64C8A">
      <w:pPr>
        <w:pStyle w:val="BodyText"/>
      </w:pPr>
      <w:r w:rsidRPr="000402A4">
        <w:t xml:space="preserve">Regarding </w:t>
      </w:r>
      <w:r w:rsidRPr="00A307F3">
        <w:t>installed hazardous waste infrastructure capacity</w:t>
      </w:r>
      <w:r>
        <w:t xml:space="preserve">: </w:t>
      </w:r>
      <w:r w:rsidRPr="000402A4">
        <w:t>NSW has 32% of the waste</w:t>
      </w:r>
      <w:r w:rsidRPr="00100F0A">
        <w:t xml:space="preserve"> arisings. Qld, Vic and WA follow</w:t>
      </w:r>
      <w:r>
        <w:t xml:space="preserve">, </w:t>
      </w:r>
      <w:r w:rsidRPr="00100F0A">
        <w:t>each having around 20% of installed capacity. SA has 6% of installed capacity and NT, ACT and Tas all have less than 1% of total installed capacity.</w:t>
      </w:r>
    </w:p>
    <w:p w14:paraId="26E71410" w14:textId="77777777" w:rsidR="00F64C8A" w:rsidRPr="00100F0A" w:rsidRDefault="00F64C8A" w:rsidP="00F64C8A"/>
    <w:p w14:paraId="09F95EB7" w14:textId="77777777" w:rsidR="00F64C8A" w:rsidRDefault="00F64C8A" w:rsidP="00F64C8A">
      <w:pPr>
        <w:pStyle w:val="BodyText"/>
      </w:pPr>
      <w:r>
        <w:t>I</w:t>
      </w:r>
      <w:r w:rsidRPr="00100F0A">
        <w:t xml:space="preserve">ndustry </w:t>
      </w:r>
      <w:r>
        <w:t xml:space="preserve">raised many important issues </w:t>
      </w:r>
      <w:r w:rsidRPr="00100F0A">
        <w:t>during consultation</w:t>
      </w:r>
      <w:r>
        <w:t xml:space="preserve"> which are listed below:</w:t>
      </w:r>
    </w:p>
    <w:p w14:paraId="3EB34F19" w14:textId="77777777" w:rsidR="00F64C8A" w:rsidRPr="00100F0A" w:rsidRDefault="00F64C8A" w:rsidP="00F64C8A">
      <w:pPr>
        <w:pStyle w:val="Bullet1"/>
      </w:pPr>
      <w:r w:rsidRPr="00100F0A">
        <w:t>Falling demand for hazardous waste infrastructure</w:t>
      </w:r>
      <w:r>
        <w:t xml:space="preserve"> risks a non-viable core infrastructure supply</w:t>
      </w:r>
    </w:p>
    <w:p w14:paraId="7FEE49E5" w14:textId="77777777" w:rsidR="00F64C8A" w:rsidRPr="00100F0A" w:rsidRDefault="00F64C8A" w:rsidP="00F64C8A">
      <w:pPr>
        <w:pStyle w:val="Bullet1"/>
      </w:pPr>
      <w:r w:rsidRPr="00100F0A">
        <w:t xml:space="preserve">Stockpiles of </w:t>
      </w:r>
      <w:r>
        <w:t>SPL</w:t>
      </w:r>
      <w:r w:rsidRPr="00100F0A">
        <w:t xml:space="preserve">, mercury waste and </w:t>
      </w:r>
      <w:r>
        <w:t xml:space="preserve">EOLT are a significant issue and risk </w:t>
      </w:r>
    </w:p>
    <w:p w14:paraId="7395D1E5" w14:textId="77777777" w:rsidR="00F64C8A" w:rsidRPr="00100F0A" w:rsidRDefault="00F64C8A" w:rsidP="00F64C8A">
      <w:pPr>
        <w:pStyle w:val="Bullet1"/>
      </w:pPr>
      <w:r w:rsidRPr="00100F0A">
        <w:t xml:space="preserve">Inconsistent landfill levies driving interstate disposal of hazardous wastes </w:t>
      </w:r>
    </w:p>
    <w:p w14:paraId="55A23A32" w14:textId="77777777" w:rsidR="00F64C8A" w:rsidRPr="00100F0A" w:rsidRDefault="00F64C8A" w:rsidP="00F64C8A">
      <w:pPr>
        <w:pStyle w:val="Bullet1"/>
      </w:pPr>
      <w:r w:rsidRPr="00100F0A">
        <w:t xml:space="preserve">Inconsistent landfill levies undermining investment in recovery or treatment of hazardous wastes </w:t>
      </w:r>
    </w:p>
    <w:p w14:paraId="4B9F81AE" w14:textId="77777777" w:rsidR="00F64C8A" w:rsidRPr="00100F0A" w:rsidRDefault="00F64C8A" w:rsidP="00F64C8A">
      <w:pPr>
        <w:pStyle w:val="Bullet1"/>
      </w:pPr>
      <w:r w:rsidRPr="00100F0A">
        <w:t>Inconsistent landfilling pre-treatment requirements create unfair advantage</w:t>
      </w:r>
      <w:r>
        <w:t xml:space="preserve"> between jurisdictions</w:t>
      </w:r>
    </w:p>
    <w:p w14:paraId="413ED12B" w14:textId="77777777" w:rsidR="00F64C8A" w:rsidRPr="00100F0A" w:rsidRDefault="00F64C8A" w:rsidP="00F64C8A">
      <w:pPr>
        <w:pStyle w:val="Bullet1"/>
      </w:pPr>
      <w:r w:rsidRPr="00100F0A">
        <w:t xml:space="preserve">Regulatory settings </w:t>
      </w:r>
      <w:r>
        <w:t xml:space="preserve">generally </w:t>
      </w:r>
      <w:r w:rsidRPr="00100F0A">
        <w:t xml:space="preserve">need to support </w:t>
      </w:r>
      <w:r>
        <w:t xml:space="preserve">large </w:t>
      </w:r>
      <w:r w:rsidRPr="00100F0A">
        <w:t>infrastructure investment</w:t>
      </w:r>
      <w:r>
        <w:t xml:space="preserve"> that is required</w:t>
      </w:r>
    </w:p>
    <w:p w14:paraId="21EB3A1C" w14:textId="77777777" w:rsidR="00F64C8A" w:rsidRPr="00100F0A" w:rsidRDefault="00F64C8A" w:rsidP="00F64C8A">
      <w:pPr>
        <w:pStyle w:val="Bullet1"/>
      </w:pPr>
      <w:r w:rsidRPr="00100F0A">
        <w:t xml:space="preserve">Additional </w:t>
      </w:r>
      <w:r>
        <w:t>CSG</w:t>
      </w:r>
      <w:r w:rsidRPr="00100F0A">
        <w:t xml:space="preserve"> waste infrastructure needed</w:t>
      </w:r>
    </w:p>
    <w:p w14:paraId="582115B1" w14:textId="77777777" w:rsidR="00F64C8A" w:rsidRPr="00100F0A" w:rsidRDefault="00F64C8A" w:rsidP="00F64C8A">
      <w:pPr>
        <w:pStyle w:val="Bullet1"/>
      </w:pPr>
      <w:r w:rsidRPr="00100F0A">
        <w:t>Asbestos disposal cost</w:t>
      </w:r>
      <w:r>
        <w:t>s are high</w:t>
      </w:r>
      <w:r w:rsidRPr="00100F0A">
        <w:t xml:space="preserve"> and access</w:t>
      </w:r>
      <w:r>
        <w:t xml:space="preserve"> to disposal points is getting harder</w:t>
      </w:r>
    </w:p>
    <w:p w14:paraId="084A191F" w14:textId="77777777" w:rsidR="00F64C8A" w:rsidRDefault="00F64C8A" w:rsidP="00F64C8A">
      <w:pPr>
        <w:pStyle w:val="Bullet1"/>
      </w:pPr>
      <w:r w:rsidRPr="00100F0A">
        <w:t xml:space="preserve">Significant </w:t>
      </w:r>
      <w:r>
        <w:t>POP</w:t>
      </w:r>
      <w:r w:rsidRPr="00100F0A">
        <w:t xml:space="preserve"> destruction infrastructure coming online</w:t>
      </w:r>
      <w:r>
        <w:t xml:space="preserve"> in 2018 and beyond in response to PFAS waste arisings and risks</w:t>
      </w:r>
    </w:p>
    <w:p w14:paraId="1DB26A5E" w14:textId="77777777" w:rsidR="00F64C8A" w:rsidRPr="00100F0A" w:rsidRDefault="00F64C8A" w:rsidP="00F64C8A">
      <w:pPr>
        <w:pStyle w:val="Bullet1"/>
      </w:pPr>
      <w:r w:rsidRPr="00100F0A">
        <w:t>PFAS contaminated waters: contaminant threshold requirements need</w:t>
      </w:r>
    </w:p>
    <w:p w14:paraId="60A76326" w14:textId="77777777" w:rsidR="00F64C8A" w:rsidRPr="00100F0A" w:rsidRDefault="00F64C8A" w:rsidP="00F64C8A">
      <w:pPr>
        <w:pStyle w:val="Bullet1"/>
      </w:pPr>
      <w:r w:rsidRPr="00100F0A">
        <w:t>PFAS contaminated waters: filtration media destruction requirements are inconsistent</w:t>
      </w:r>
    </w:p>
    <w:p w14:paraId="1093A231" w14:textId="77777777" w:rsidR="00F64C8A" w:rsidRDefault="00F64C8A" w:rsidP="00F64C8A">
      <w:pPr>
        <w:pStyle w:val="Bullet1"/>
      </w:pPr>
      <w:r>
        <w:t>WA</w:t>
      </w:r>
      <w:r w:rsidRPr="00100F0A">
        <w:t>: distance and low tonnages of hazardous waste is a major challenge</w:t>
      </w:r>
      <w:r>
        <w:t>.</w:t>
      </w:r>
    </w:p>
    <w:p w14:paraId="4D011565" w14:textId="77777777" w:rsidR="00F64C8A" w:rsidRPr="00100F0A" w:rsidRDefault="00F64C8A" w:rsidP="00895CD4">
      <w:pPr>
        <w:pStyle w:val="Heading3-nonumber"/>
      </w:pPr>
      <w:r w:rsidRPr="00100F0A">
        <w:t>Hazardous waste packaging recycling facilities</w:t>
      </w:r>
    </w:p>
    <w:p w14:paraId="3D9E9630" w14:textId="77777777" w:rsidR="00F64C8A" w:rsidRPr="00100F0A" w:rsidRDefault="00F64C8A" w:rsidP="00F64C8A">
      <w:pPr>
        <w:rPr>
          <w:color w:val="080808"/>
        </w:rPr>
      </w:pPr>
      <w:r w:rsidRPr="00100F0A">
        <w:rPr>
          <w:color w:val="000000"/>
          <w:szCs w:val="20"/>
        </w:rPr>
        <w:t xml:space="preserve">The national assessment indicates </w:t>
      </w:r>
      <w:r w:rsidRPr="00100F0A">
        <w:rPr>
          <w:color w:val="080808"/>
        </w:rPr>
        <w:t xml:space="preserve">that under the best and low scenarios over the next 20 years the installed capacity of Australia's current hazardous waste packaging recycling infrastructure will be able to recycle waste arisings. Under the high scenario, the current installed capacity would be exceeded in 2033. The infrastructure need vs capacity assessment for this group has high uncertainty due to a low response rate during 2018 consultation and </w:t>
      </w:r>
      <w:r>
        <w:rPr>
          <w:color w:val="080808"/>
        </w:rPr>
        <w:t>the highly diffuse nature of this</w:t>
      </w:r>
      <w:r w:rsidRPr="00100F0A">
        <w:rPr>
          <w:color w:val="080808"/>
        </w:rPr>
        <w:t xml:space="preserve"> infrastructure group. </w:t>
      </w:r>
    </w:p>
    <w:p w14:paraId="07F488C1" w14:textId="77777777" w:rsidR="00F64C8A" w:rsidRPr="00100F0A" w:rsidRDefault="00F64C8A" w:rsidP="00F64C8A">
      <w:pPr>
        <w:rPr>
          <w:color w:val="080808"/>
        </w:rPr>
      </w:pPr>
    </w:p>
    <w:p w14:paraId="4B2F1B5F" w14:textId="77777777" w:rsidR="00F64C8A" w:rsidRPr="00100F0A" w:rsidRDefault="00F64C8A" w:rsidP="00F64C8A">
      <w:pPr>
        <w:rPr>
          <w:color w:val="080808"/>
        </w:rPr>
      </w:pPr>
      <w:r w:rsidRPr="00100F0A">
        <w:rPr>
          <w:color w:val="080808"/>
        </w:rPr>
        <w:t xml:space="preserve">Contaminated hazardous waste packaging may seem like a minor issue in the hazardous waste context. This is a problematic waste stream that often has highly concentrated hazardous product residuals. The contaminated containers are voluminous, cannot be cost-effectively transported and are not able to be processed </w:t>
      </w:r>
      <w:r>
        <w:rPr>
          <w:color w:val="080808"/>
        </w:rPr>
        <w:t>by</w:t>
      </w:r>
      <w:r w:rsidRPr="00100F0A">
        <w:rPr>
          <w:color w:val="080808"/>
        </w:rPr>
        <w:t xml:space="preserve"> non-hazardous waste packaging infrastructure. </w:t>
      </w:r>
    </w:p>
    <w:p w14:paraId="6939DB62" w14:textId="77777777" w:rsidR="00F64C8A" w:rsidRPr="00100F0A" w:rsidRDefault="00F64C8A" w:rsidP="00F64C8A">
      <w:pPr>
        <w:rPr>
          <w:color w:val="080808"/>
        </w:rPr>
      </w:pPr>
    </w:p>
    <w:p w14:paraId="6BA23091" w14:textId="77777777" w:rsidR="00F64C8A" w:rsidRPr="00100F0A" w:rsidRDefault="00F64C8A" w:rsidP="00F64C8A">
      <w:pPr>
        <w:rPr>
          <w:color w:val="080808"/>
        </w:rPr>
      </w:pPr>
      <w:r w:rsidRPr="00100F0A">
        <w:rPr>
          <w:color w:val="080808"/>
        </w:rPr>
        <w:t xml:space="preserve">Some survey respondents commented on a broader need for improved recovery options for small hazardous waste packaging and small packages of waste hazardous goods. Planned infrastructure flagged in the 2015 assessment has not proceeded and this waste stream will likely continue to be problematic </w:t>
      </w:r>
      <w:r>
        <w:rPr>
          <w:color w:val="080808"/>
        </w:rPr>
        <w:t xml:space="preserve">and </w:t>
      </w:r>
      <w:r w:rsidRPr="00100F0A">
        <w:rPr>
          <w:color w:val="080808"/>
        </w:rPr>
        <w:t xml:space="preserve">require dedicated infrastructure. </w:t>
      </w:r>
    </w:p>
    <w:p w14:paraId="482E0F14" w14:textId="77777777" w:rsidR="00F64C8A" w:rsidRPr="00100F0A" w:rsidRDefault="00F64C8A" w:rsidP="00F64C8A">
      <w:pPr>
        <w:rPr>
          <w:color w:val="080808"/>
        </w:rPr>
      </w:pPr>
    </w:p>
    <w:p w14:paraId="2A055B64" w14:textId="0AA3CC7C" w:rsidR="00F64C8A" w:rsidRPr="00100F0A" w:rsidRDefault="00F64C8A" w:rsidP="00F64C8A">
      <w:pPr>
        <w:rPr>
          <w:color w:val="080808"/>
        </w:rPr>
      </w:pPr>
      <w:r w:rsidRPr="00100F0A">
        <w:rPr>
          <w:b/>
          <w:color w:val="080808"/>
        </w:rPr>
        <w:t xml:space="preserve">Recommendation </w:t>
      </w:r>
      <w:r>
        <w:rPr>
          <w:b/>
          <w:color w:val="080808"/>
        </w:rPr>
        <w:t>1</w:t>
      </w:r>
      <w:r w:rsidRPr="00100F0A">
        <w:rPr>
          <w:b/>
          <w:color w:val="080808"/>
        </w:rPr>
        <w:t xml:space="preserve">: </w:t>
      </w:r>
      <w:r w:rsidRPr="00100F0A">
        <w:rPr>
          <w:color w:val="080808"/>
        </w:rPr>
        <w:t xml:space="preserve">Qld, NT and Tas </w:t>
      </w:r>
      <w:r w:rsidR="003E7966">
        <w:rPr>
          <w:color w:val="080808"/>
        </w:rPr>
        <w:t>governments</w:t>
      </w:r>
      <w:r w:rsidRPr="00100F0A">
        <w:rPr>
          <w:color w:val="080808"/>
        </w:rPr>
        <w:t xml:space="preserve"> </w:t>
      </w:r>
      <w:r>
        <w:rPr>
          <w:color w:val="080808"/>
        </w:rPr>
        <w:t xml:space="preserve">should </w:t>
      </w:r>
      <w:r w:rsidRPr="00100F0A">
        <w:rPr>
          <w:color w:val="080808"/>
        </w:rPr>
        <w:t>consider completing feasibility studies to determine the viability of establishing additional hazardous waste packaging capacity in their jurisdiction.</w:t>
      </w:r>
    </w:p>
    <w:p w14:paraId="2A8FDF19" w14:textId="77777777" w:rsidR="00F64C8A" w:rsidRPr="00100F0A" w:rsidRDefault="00F64C8A" w:rsidP="00895CD4">
      <w:pPr>
        <w:pStyle w:val="Heading3-nonumber"/>
      </w:pPr>
      <w:r w:rsidRPr="00100F0A">
        <w:t>E-waste major physical/chemical &amp; disassembly facilities</w:t>
      </w:r>
    </w:p>
    <w:p w14:paraId="6C6E9EC4" w14:textId="77777777" w:rsidR="00F64C8A" w:rsidRPr="00100F0A" w:rsidRDefault="00F64C8A" w:rsidP="00F64C8A">
      <w:pPr>
        <w:rPr>
          <w:color w:val="080808"/>
        </w:rPr>
      </w:pPr>
      <w:r w:rsidRPr="00100F0A">
        <w:rPr>
          <w:color w:val="000000"/>
          <w:szCs w:val="20"/>
        </w:rPr>
        <w:t xml:space="preserve">The national assessment indicates that </w:t>
      </w:r>
      <w:r w:rsidRPr="00100F0A">
        <w:rPr>
          <w:color w:val="080808"/>
        </w:rPr>
        <w:t>under the best and low scenarios over the next 20 years the current installed capacity of Australia's e-waste (major physical/chemical and manual disassembly processing) infrastructure will be able to recycle waste arisings. If e-waste arisings grow very strongly (high scenario)</w:t>
      </w:r>
      <w:r>
        <w:rPr>
          <w:color w:val="080808"/>
        </w:rPr>
        <w:t>,</w:t>
      </w:r>
      <w:r w:rsidRPr="00100F0A">
        <w:rPr>
          <w:color w:val="080808"/>
        </w:rPr>
        <w:t xml:space="preserve"> capacity could become constrained by 2035. However, expected increases in capacity of 12 kt/yr should provide sufficient national capacity to cater for higher growth. </w:t>
      </w:r>
    </w:p>
    <w:p w14:paraId="6ACDB97D" w14:textId="77777777" w:rsidR="00F64C8A" w:rsidRPr="00100F0A" w:rsidRDefault="00F64C8A" w:rsidP="00F64C8A">
      <w:pPr>
        <w:rPr>
          <w:color w:val="080808"/>
        </w:rPr>
      </w:pPr>
    </w:p>
    <w:p w14:paraId="7151ED03" w14:textId="77777777" w:rsidR="00F64C8A" w:rsidRPr="00100F0A" w:rsidRDefault="00F64C8A" w:rsidP="00F64C8A">
      <w:pPr>
        <w:rPr>
          <w:color w:val="080808"/>
        </w:rPr>
      </w:pPr>
      <w:r w:rsidRPr="00100F0A">
        <w:rPr>
          <w:color w:val="080808"/>
        </w:rPr>
        <w:t>The needs vs capacity assessment for this group has high uncertainty due to the waste arisings reported in tracking system data (4 kt in 2016-17) being much lower than the reported tonnages received (58 kt in 2016-17). This large difference is due to the fact that most e-waste is not transported and tracked as a hazardous waste. Considering the reporting receipts of 58 kt in 2016-17 and the current installed capacity of 106 kt/yr it is still likely that there is sufficient capacity over the projection period.</w:t>
      </w:r>
    </w:p>
    <w:p w14:paraId="6EFE8EFD" w14:textId="77777777" w:rsidR="00F64C8A" w:rsidRPr="00100F0A" w:rsidRDefault="00F64C8A" w:rsidP="00F64C8A">
      <w:pPr>
        <w:rPr>
          <w:color w:val="080808"/>
        </w:rPr>
      </w:pPr>
    </w:p>
    <w:p w14:paraId="36C06657" w14:textId="77777777" w:rsidR="00F64C8A" w:rsidRPr="00100F0A" w:rsidRDefault="00F64C8A" w:rsidP="00F64C8A">
      <w:pPr>
        <w:rPr>
          <w:color w:val="080808"/>
        </w:rPr>
      </w:pPr>
      <w:r w:rsidRPr="00100F0A">
        <w:rPr>
          <w:color w:val="080808"/>
        </w:rPr>
        <w:t xml:space="preserve">Installed capacity is concentrated in NSW, with significant capacity also in Vic and SA and some capacity in Qld and ACT. A shortfall in current capacity </w:t>
      </w:r>
      <w:r>
        <w:rPr>
          <w:color w:val="080808"/>
        </w:rPr>
        <w:t>is</w:t>
      </w:r>
      <w:r w:rsidRPr="00100F0A">
        <w:rPr>
          <w:color w:val="080808"/>
        </w:rPr>
        <w:t xml:space="preserve"> apparent in NT, Tas and WA. E-waste in these jurisdictions is likely sent interstate or is sent to landfill.</w:t>
      </w:r>
    </w:p>
    <w:p w14:paraId="0E22D6C6" w14:textId="77777777" w:rsidR="00F64C8A" w:rsidRPr="00100F0A" w:rsidRDefault="00F64C8A" w:rsidP="00F64C8A">
      <w:pPr>
        <w:rPr>
          <w:color w:val="080808"/>
        </w:rPr>
      </w:pPr>
    </w:p>
    <w:p w14:paraId="69962220" w14:textId="77777777" w:rsidR="00F64C8A" w:rsidRPr="00100F0A" w:rsidRDefault="00F64C8A" w:rsidP="00F64C8A">
      <w:pPr>
        <w:rPr>
          <w:color w:val="080808"/>
        </w:rPr>
      </w:pPr>
      <w:r w:rsidRPr="00100F0A">
        <w:rPr>
          <w:color w:val="080808"/>
        </w:rPr>
        <w:t xml:space="preserve">For e-waste it is important to consider that the assessment assumes no change in the management methods of e-waste. Changes to product stewardship agreements or landfill bans on e-waste could significantly change current e-waste management and increase </w:t>
      </w:r>
      <w:r>
        <w:rPr>
          <w:color w:val="080808"/>
        </w:rPr>
        <w:t xml:space="preserve">the </w:t>
      </w:r>
      <w:r w:rsidRPr="00100F0A">
        <w:rPr>
          <w:color w:val="080808"/>
        </w:rPr>
        <w:t>recycling capacity required.</w:t>
      </w:r>
    </w:p>
    <w:p w14:paraId="3FA8084E" w14:textId="77777777" w:rsidR="00F64C8A" w:rsidRPr="00100F0A" w:rsidRDefault="00F64C8A" w:rsidP="00F64C8A">
      <w:pPr>
        <w:rPr>
          <w:color w:val="080808"/>
        </w:rPr>
      </w:pPr>
    </w:p>
    <w:p w14:paraId="2C537AA5" w14:textId="153767EF" w:rsidR="00F64C8A" w:rsidRDefault="00F64C8A" w:rsidP="00F64C8A">
      <w:pPr>
        <w:rPr>
          <w:color w:val="080808"/>
        </w:rPr>
      </w:pPr>
      <w:r w:rsidRPr="00100F0A">
        <w:rPr>
          <w:b/>
          <w:color w:val="080808"/>
        </w:rPr>
        <w:t xml:space="preserve">Recommendation </w:t>
      </w:r>
      <w:r>
        <w:rPr>
          <w:b/>
          <w:color w:val="080808"/>
        </w:rPr>
        <w:t>2</w:t>
      </w:r>
      <w:r w:rsidRPr="00100F0A">
        <w:rPr>
          <w:b/>
          <w:color w:val="080808"/>
        </w:rPr>
        <w:t xml:space="preserve">: </w:t>
      </w:r>
      <w:r w:rsidRPr="00100F0A">
        <w:rPr>
          <w:color w:val="080808"/>
        </w:rPr>
        <w:t xml:space="preserve">NT, Tas and WA </w:t>
      </w:r>
      <w:r w:rsidR="003E7966">
        <w:rPr>
          <w:color w:val="080808"/>
        </w:rPr>
        <w:t>governments</w:t>
      </w:r>
      <w:r w:rsidRPr="00100F0A">
        <w:rPr>
          <w:color w:val="080808"/>
        </w:rPr>
        <w:t xml:space="preserve"> </w:t>
      </w:r>
      <w:r>
        <w:rPr>
          <w:color w:val="080808"/>
        </w:rPr>
        <w:t xml:space="preserve">should </w:t>
      </w:r>
      <w:r w:rsidRPr="00100F0A">
        <w:rPr>
          <w:color w:val="080808"/>
        </w:rPr>
        <w:t>consider completing feasibility studies to determine the viability of establishing e-waste recycling capacity in their jurisdiction.</w:t>
      </w:r>
    </w:p>
    <w:p w14:paraId="1994CB69" w14:textId="77777777" w:rsidR="00F64C8A" w:rsidRPr="00100F0A" w:rsidRDefault="00F64C8A" w:rsidP="00895CD4">
      <w:pPr>
        <w:pStyle w:val="Heading3-nonumber"/>
      </w:pPr>
      <w:r>
        <w:t>Lithium ion</w:t>
      </w:r>
      <w:r w:rsidRPr="00100F0A">
        <w:t xml:space="preserve"> batteries infrastructure</w:t>
      </w:r>
    </w:p>
    <w:p w14:paraId="7C4C28D9" w14:textId="77777777" w:rsidR="00F64C8A" w:rsidRPr="00100F0A" w:rsidRDefault="00F64C8A" w:rsidP="00F64C8A">
      <w:pPr>
        <w:pStyle w:val="BodyText"/>
      </w:pPr>
      <w:r w:rsidRPr="00100F0A">
        <w:t xml:space="preserve">The potential arisings of </w:t>
      </w:r>
      <w:r>
        <w:t>lithium ion</w:t>
      </w:r>
      <w:r w:rsidRPr="00100F0A">
        <w:t xml:space="preserve"> batteries, which are not currently regulated as hazardous waste</w:t>
      </w:r>
      <w:r>
        <w:rPr>
          <w:rStyle w:val="FootnoteReference"/>
        </w:rPr>
        <w:footnoteReference w:id="4"/>
      </w:r>
      <w:r w:rsidRPr="00100F0A">
        <w:t xml:space="preserve">, are assessed </w:t>
      </w:r>
      <w:r>
        <w:t>in</w:t>
      </w:r>
      <w:r w:rsidRPr="00100F0A">
        <w:t xml:space="preserve"> this report due</w:t>
      </w:r>
      <w:r>
        <w:t xml:space="preserve"> to</w:t>
      </w:r>
      <w:r w:rsidRPr="00100F0A">
        <w:t xml:space="preserve"> their potential to have a significant impact on hazardous and non-hazardous waste infrastructure. Waste </w:t>
      </w:r>
      <w:r>
        <w:t>lithium ion</w:t>
      </w:r>
      <w:r w:rsidRPr="00100F0A">
        <w:t xml:space="preserve"> batteries are projected to grow at an average rate of 19% per year (under best estimate scenario), and if not appropriately managed, represent a safety hazard due to risks of causing explosions and or fire (ABRI 2014). </w:t>
      </w:r>
    </w:p>
    <w:p w14:paraId="10C80565" w14:textId="77777777" w:rsidR="00F64C8A" w:rsidRPr="00100F0A" w:rsidRDefault="00F64C8A" w:rsidP="00F64C8A">
      <w:pPr>
        <w:pStyle w:val="BodyText"/>
      </w:pPr>
    </w:p>
    <w:p w14:paraId="6483B135" w14:textId="77777777" w:rsidR="00F64C8A" w:rsidRPr="00100F0A" w:rsidRDefault="00F64C8A" w:rsidP="00F64C8A">
      <w:pPr>
        <w:pStyle w:val="BodyText"/>
      </w:pPr>
      <w:r w:rsidRPr="00100F0A">
        <w:t>Whil</w:t>
      </w:r>
      <w:r>
        <w:t>e</w:t>
      </w:r>
      <w:r w:rsidRPr="00100F0A">
        <w:t xml:space="preserve"> this assessment does not indicate a shortfall in the overall e-waste processing capacity in Australia, at the time of writing only one e-waste facility </w:t>
      </w:r>
      <w:r>
        <w:t>recycles lithium ion batteries</w:t>
      </w:r>
      <w:r w:rsidRPr="00100F0A">
        <w:t xml:space="preserve"> in Australia (Envirostream Victoria). Most </w:t>
      </w:r>
      <w:r>
        <w:t>lithium ion</w:t>
      </w:r>
      <w:r w:rsidRPr="00100F0A">
        <w:t xml:space="preserve"> batteries recovered are still likely to be exported overseas for recycling. In addition, Australia has no specific </w:t>
      </w:r>
      <w:r>
        <w:t>lithium ion</w:t>
      </w:r>
      <w:r w:rsidRPr="00100F0A">
        <w:t xml:space="preserve"> battery collection/transfer infrastructure (</w:t>
      </w:r>
      <w:r>
        <w:t>lithium ion</w:t>
      </w:r>
      <w:r w:rsidRPr="00100F0A">
        <w:t xml:space="preserve"> batteries that are recovered are collected with other battery types). The collection of potentially flammable </w:t>
      </w:r>
      <w:r>
        <w:t>lithium ion</w:t>
      </w:r>
      <w:r w:rsidRPr="00100F0A">
        <w:t xml:space="preserve"> batteries without appropriate infrastructure could create a fire hazard within the collection infrastructure for other batteries.</w:t>
      </w:r>
    </w:p>
    <w:p w14:paraId="2B321CF7" w14:textId="77777777" w:rsidR="00F64C8A" w:rsidRPr="00100F0A" w:rsidRDefault="00F64C8A" w:rsidP="00F64C8A">
      <w:pPr>
        <w:pStyle w:val="BodyText"/>
      </w:pPr>
    </w:p>
    <w:p w14:paraId="3C8DF9FC" w14:textId="13BBB43E" w:rsidR="00F64C8A" w:rsidRPr="00100F0A" w:rsidRDefault="00F64C8A" w:rsidP="00F64C8A">
      <w:pPr>
        <w:rPr>
          <w:color w:val="080808"/>
        </w:rPr>
      </w:pPr>
      <w:r w:rsidRPr="00100F0A">
        <w:rPr>
          <w:b/>
        </w:rPr>
        <w:t xml:space="preserve">Recommendation </w:t>
      </w:r>
      <w:r>
        <w:rPr>
          <w:b/>
        </w:rPr>
        <w:t>3</w:t>
      </w:r>
      <w:r w:rsidRPr="00100F0A">
        <w:rPr>
          <w:b/>
        </w:rPr>
        <w:t xml:space="preserve">: </w:t>
      </w:r>
      <w:r w:rsidRPr="00100F0A">
        <w:t xml:space="preserve">The potential hazards posed by </w:t>
      </w:r>
      <w:r>
        <w:t>lithium ion</w:t>
      </w:r>
      <w:r w:rsidRPr="00100F0A">
        <w:t xml:space="preserve"> batteries, and the best means of managing these hazards, needs further assessment. </w:t>
      </w:r>
      <w:r w:rsidR="003E7966">
        <w:t xml:space="preserve">Subsequently, </w:t>
      </w:r>
      <w:r>
        <w:t xml:space="preserve">an </w:t>
      </w:r>
      <w:r w:rsidRPr="00100F0A">
        <w:t>assessment</w:t>
      </w:r>
      <w:r>
        <w:t xml:space="preserve"> should be completed</w:t>
      </w:r>
      <w:r w:rsidRPr="00100F0A">
        <w:t xml:space="preserve"> of the collection and processing infrastructure needs for </w:t>
      </w:r>
      <w:r>
        <w:t>lithium ion</w:t>
      </w:r>
      <w:r w:rsidRPr="00100F0A">
        <w:t xml:space="preserve"> batteries in Australia.</w:t>
      </w:r>
      <w:r w:rsidRPr="00100F0A">
        <w:rPr>
          <w:color w:val="080808"/>
        </w:rPr>
        <w:t xml:space="preserve"> This recommendation was made in 2015 and </w:t>
      </w:r>
      <w:r>
        <w:rPr>
          <w:color w:val="080808"/>
        </w:rPr>
        <w:t xml:space="preserve">is supported by a CSIRO (2018) </w:t>
      </w:r>
      <w:r w:rsidR="003E7966">
        <w:rPr>
          <w:color w:val="080808"/>
        </w:rPr>
        <w:t>study</w:t>
      </w:r>
      <w:r w:rsidRPr="00100F0A">
        <w:rPr>
          <w:color w:val="080808"/>
        </w:rPr>
        <w:t xml:space="preserve">.  </w:t>
      </w:r>
    </w:p>
    <w:p w14:paraId="2DBC129D" w14:textId="77777777" w:rsidR="00F64C8A" w:rsidRPr="00100F0A" w:rsidRDefault="00F64C8A" w:rsidP="00895CD4">
      <w:pPr>
        <w:pStyle w:val="Heading3-nonumber"/>
      </w:pPr>
      <w:r w:rsidRPr="00100F0A">
        <w:t>Oil re-refining facilities</w:t>
      </w:r>
    </w:p>
    <w:p w14:paraId="2322D140" w14:textId="77777777" w:rsidR="00F64C8A" w:rsidRPr="00100F0A" w:rsidRDefault="00F64C8A" w:rsidP="00F64C8A">
      <w:pPr>
        <w:rPr>
          <w:color w:val="000000"/>
          <w:szCs w:val="20"/>
        </w:rPr>
      </w:pPr>
      <w:r w:rsidRPr="00100F0A">
        <w:rPr>
          <w:color w:val="000000"/>
          <w:szCs w:val="20"/>
        </w:rPr>
        <w:t xml:space="preserve">The national assessment indicates that, under the low and best scenarios, over the next 20 years the installed capacity of Australia's current oil re-refining infrastructure will be able to recycle waste arisings. Under the high scenario, the current installed capacity would be exceeded in 2034. </w:t>
      </w:r>
    </w:p>
    <w:p w14:paraId="09C25148" w14:textId="77777777" w:rsidR="00F64C8A" w:rsidRPr="00100F0A" w:rsidRDefault="00F64C8A" w:rsidP="00F64C8A">
      <w:pPr>
        <w:rPr>
          <w:color w:val="000000"/>
          <w:szCs w:val="20"/>
        </w:rPr>
      </w:pPr>
    </w:p>
    <w:p w14:paraId="7EB4E023" w14:textId="77777777" w:rsidR="00F64C8A" w:rsidRPr="00100F0A" w:rsidRDefault="00F64C8A" w:rsidP="00F64C8A">
      <w:pPr>
        <w:rPr>
          <w:color w:val="000000"/>
          <w:szCs w:val="20"/>
        </w:rPr>
      </w:pPr>
      <w:r w:rsidRPr="00100F0A">
        <w:rPr>
          <w:color w:val="000000"/>
          <w:szCs w:val="20"/>
        </w:rPr>
        <w:t>The infrastructure need vs capacity assessment for this group has moderate uncertainty due to a moderate response rate during consultation and the potential under</w:t>
      </w:r>
      <w:r>
        <w:rPr>
          <w:color w:val="000000"/>
          <w:szCs w:val="20"/>
        </w:rPr>
        <w:t>-</w:t>
      </w:r>
      <w:r w:rsidRPr="00100F0A">
        <w:rPr>
          <w:color w:val="000000"/>
          <w:szCs w:val="20"/>
        </w:rPr>
        <w:t>reporting of waste oil in NSW and Vic data resulting in an under</w:t>
      </w:r>
      <w:r>
        <w:rPr>
          <w:color w:val="000000"/>
          <w:szCs w:val="20"/>
        </w:rPr>
        <w:t>-</w:t>
      </w:r>
      <w:r w:rsidRPr="00100F0A">
        <w:rPr>
          <w:color w:val="000000"/>
          <w:szCs w:val="20"/>
        </w:rPr>
        <w:t>estimate of 2016-17 arisings. In addition, some waste oils recycling may actually be sent for energy recovery</w:t>
      </w:r>
      <w:r>
        <w:rPr>
          <w:color w:val="000000"/>
          <w:szCs w:val="20"/>
        </w:rPr>
        <w:t>,</w:t>
      </w:r>
      <w:r w:rsidRPr="00100F0A">
        <w:rPr>
          <w:color w:val="000000"/>
          <w:szCs w:val="20"/>
        </w:rPr>
        <w:t xml:space="preserve"> which would result in an over</w:t>
      </w:r>
      <w:r>
        <w:rPr>
          <w:color w:val="000000"/>
          <w:szCs w:val="20"/>
        </w:rPr>
        <w:t>-</w:t>
      </w:r>
      <w:r w:rsidRPr="00100F0A">
        <w:rPr>
          <w:color w:val="000000"/>
          <w:szCs w:val="20"/>
        </w:rPr>
        <w:t>estimate of waste oil re-refining demand.</w:t>
      </w:r>
    </w:p>
    <w:p w14:paraId="7C07ACA0" w14:textId="77777777" w:rsidR="00F64C8A" w:rsidRPr="00100F0A" w:rsidRDefault="00F64C8A" w:rsidP="00F64C8A">
      <w:pPr>
        <w:rPr>
          <w:color w:val="000000"/>
          <w:szCs w:val="20"/>
        </w:rPr>
      </w:pPr>
    </w:p>
    <w:p w14:paraId="4D767787" w14:textId="77777777" w:rsidR="00F64C8A" w:rsidRPr="00100F0A" w:rsidRDefault="00F64C8A" w:rsidP="00F64C8A">
      <w:pPr>
        <w:rPr>
          <w:color w:val="000000"/>
          <w:szCs w:val="20"/>
        </w:rPr>
      </w:pPr>
      <w:r w:rsidRPr="00100F0A">
        <w:rPr>
          <w:color w:val="000000"/>
          <w:szCs w:val="20"/>
        </w:rPr>
        <w:t>The 2018 assessment for this infrastructure group is a significant improvement on the 2015 assessment due to separati</w:t>
      </w:r>
      <w:r>
        <w:rPr>
          <w:color w:val="000000"/>
          <w:szCs w:val="20"/>
        </w:rPr>
        <w:t>o</w:t>
      </w:r>
      <w:r w:rsidRPr="00100F0A">
        <w:rPr>
          <w:color w:val="000000"/>
          <w:szCs w:val="20"/>
        </w:rPr>
        <w:t>n</w:t>
      </w:r>
      <w:r>
        <w:rPr>
          <w:color w:val="000000"/>
          <w:szCs w:val="20"/>
        </w:rPr>
        <w:t xml:space="preserve"> of</w:t>
      </w:r>
      <w:r w:rsidRPr="00100F0A">
        <w:rPr>
          <w:color w:val="000000"/>
          <w:szCs w:val="20"/>
        </w:rPr>
        <w:t xml:space="preserve"> the projections of the NEPM J waste codes of J100 and J160 from J120 Waste oil/water, hydrocarbons/water mixtures or emulsions. The J120 waste arising</w:t>
      </w:r>
      <w:r>
        <w:rPr>
          <w:color w:val="000000"/>
          <w:szCs w:val="20"/>
        </w:rPr>
        <w:t>s</w:t>
      </w:r>
      <w:r w:rsidRPr="00100F0A">
        <w:rPr>
          <w:color w:val="000000"/>
          <w:szCs w:val="20"/>
        </w:rPr>
        <w:t xml:space="preserve"> are now mapped to the new infrastructure group of OWT facilities. This has increased the accuracy of the assessment and resulted in a change of expected exceedance of installed capacity in 2023, in the 2015 assessment, to &gt;2037 in this assessment.</w:t>
      </w:r>
    </w:p>
    <w:p w14:paraId="54D44431" w14:textId="77777777" w:rsidR="00F64C8A" w:rsidRPr="00100F0A" w:rsidRDefault="00F64C8A" w:rsidP="00F64C8A">
      <w:pPr>
        <w:rPr>
          <w:color w:val="000000"/>
          <w:szCs w:val="20"/>
        </w:rPr>
      </w:pPr>
    </w:p>
    <w:p w14:paraId="6E48F6F2" w14:textId="77777777" w:rsidR="00F64C8A" w:rsidRPr="00100F0A" w:rsidRDefault="00F64C8A" w:rsidP="00F64C8A">
      <w:pPr>
        <w:rPr>
          <w:color w:val="080808"/>
        </w:rPr>
      </w:pPr>
      <w:r w:rsidRPr="00100F0A">
        <w:rPr>
          <w:color w:val="080808"/>
        </w:rPr>
        <w:t>Installed capacity is concentrated</w:t>
      </w:r>
      <w:r>
        <w:rPr>
          <w:color w:val="080808"/>
        </w:rPr>
        <w:t xml:space="preserve"> (in the following order)</w:t>
      </w:r>
      <w:r w:rsidRPr="00100F0A">
        <w:rPr>
          <w:color w:val="080808"/>
        </w:rPr>
        <w:t xml:space="preserve"> in WA, Qld</w:t>
      </w:r>
      <w:r>
        <w:rPr>
          <w:color w:val="080808"/>
        </w:rPr>
        <w:t xml:space="preserve"> and</w:t>
      </w:r>
      <w:r w:rsidRPr="00100F0A">
        <w:rPr>
          <w:color w:val="080808"/>
        </w:rPr>
        <w:t xml:space="preserve"> NSW</w:t>
      </w:r>
      <w:r>
        <w:rPr>
          <w:color w:val="080808"/>
        </w:rPr>
        <w:t>,</w:t>
      </w:r>
      <w:r w:rsidRPr="00100F0A">
        <w:rPr>
          <w:color w:val="080808"/>
        </w:rPr>
        <w:t xml:space="preserve"> with some capacity also in SA and Vic. </w:t>
      </w:r>
      <w:r>
        <w:rPr>
          <w:color w:val="080808"/>
        </w:rPr>
        <w:t xml:space="preserve">No oil re-refining capacity was identified in ACT, </w:t>
      </w:r>
      <w:r w:rsidRPr="00100F0A">
        <w:rPr>
          <w:color w:val="080808"/>
        </w:rPr>
        <w:t>NT</w:t>
      </w:r>
      <w:r>
        <w:rPr>
          <w:color w:val="080808"/>
        </w:rPr>
        <w:t xml:space="preserve"> and</w:t>
      </w:r>
      <w:r w:rsidRPr="00100F0A">
        <w:rPr>
          <w:color w:val="080808"/>
        </w:rPr>
        <w:t xml:space="preserve"> Tas. Oil waste in these jurisdictions is likely sent interstate.</w:t>
      </w:r>
    </w:p>
    <w:p w14:paraId="00369861" w14:textId="77777777" w:rsidR="00F64C8A" w:rsidRPr="00100F0A" w:rsidRDefault="00F64C8A" w:rsidP="00F64C8A">
      <w:pPr>
        <w:rPr>
          <w:color w:val="080808"/>
        </w:rPr>
      </w:pPr>
    </w:p>
    <w:p w14:paraId="49807B75" w14:textId="77777777" w:rsidR="00F64C8A" w:rsidRPr="00100F0A" w:rsidRDefault="00F64C8A" w:rsidP="00F64C8A">
      <w:pPr>
        <w:rPr>
          <w:color w:val="080808"/>
        </w:rPr>
      </w:pPr>
      <w:r w:rsidRPr="00100F0A">
        <w:rPr>
          <w:color w:val="080808"/>
        </w:rPr>
        <w:t xml:space="preserve">Jurisdictional analysis indicates that </w:t>
      </w:r>
      <w:r>
        <w:rPr>
          <w:color w:val="080808"/>
        </w:rPr>
        <w:t xml:space="preserve">ACT, NSW, NT, </w:t>
      </w:r>
      <w:r w:rsidRPr="00100F0A">
        <w:rPr>
          <w:color w:val="080808"/>
        </w:rPr>
        <w:t>Qld,</w:t>
      </w:r>
      <w:r>
        <w:rPr>
          <w:color w:val="080808"/>
        </w:rPr>
        <w:t xml:space="preserve"> </w:t>
      </w:r>
      <w:r w:rsidRPr="00100F0A">
        <w:rPr>
          <w:color w:val="080808"/>
        </w:rPr>
        <w:t>Tas all either lack oil re-refining capacity or do not have capacity in the jurisdiction.</w:t>
      </w:r>
      <w:r>
        <w:rPr>
          <w:rStyle w:val="FootnoteReference"/>
          <w:color w:val="080808"/>
        </w:rPr>
        <w:footnoteReference w:id="5"/>
      </w:r>
      <w:r w:rsidRPr="00100F0A">
        <w:rPr>
          <w:color w:val="080808"/>
        </w:rPr>
        <w:t xml:space="preserve"> Capacity in </w:t>
      </w:r>
      <w:r>
        <w:rPr>
          <w:color w:val="080808"/>
        </w:rPr>
        <w:t>S</w:t>
      </w:r>
      <w:r w:rsidRPr="00100F0A">
        <w:rPr>
          <w:color w:val="080808"/>
        </w:rPr>
        <w:t xml:space="preserve">A and </w:t>
      </w:r>
      <w:r>
        <w:rPr>
          <w:color w:val="080808"/>
        </w:rPr>
        <w:t>W</w:t>
      </w:r>
      <w:r w:rsidRPr="00100F0A">
        <w:rPr>
          <w:color w:val="080808"/>
        </w:rPr>
        <w:t>A appear to be sufficient.</w:t>
      </w:r>
    </w:p>
    <w:p w14:paraId="610D1683" w14:textId="77777777" w:rsidR="00F64C8A" w:rsidRPr="00100F0A" w:rsidRDefault="00F64C8A" w:rsidP="00F64C8A">
      <w:pPr>
        <w:tabs>
          <w:tab w:val="left" w:pos="1752"/>
        </w:tabs>
        <w:rPr>
          <w:color w:val="080808"/>
        </w:rPr>
      </w:pPr>
    </w:p>
    <w:p w14:paraId="4E25941A" w14:textId="1964FCEE" w:rsidR="00F64C8A" w:rsidRPr="00100F0A" w:rsidRDefault="00F64C8A" w:rsidP="00F64C8A">
      <w:pPr>
        <w:rPr>
          <w:color w:val="080808"/>
        </w:rPr>
      </w:pPr>
      <w:r w:rsidRPr="00100F0A">
        <w:rPr>
          <w:b/>
          <w:color w:val="080808"/>
        </w:rPr>
        <w:t xml:space="preserve">Recommendation </w:t>
      </w:r>
      <w:r>
        <w:rPr>
          <w:b/>
          <w:color w:val="080808"/>
        </w:rPr>
        <w:t>4</w:t>
      </w:r>
      <w:r w:rsidRPr="00100F0A">
        <w:rPr>
          <w:b/>
          <w:color w:val="080808"/>
        </w:rPr>
        <w:t xml:space="preserve">: </w:t>
      </w:r>
      <w:r w:rsidRPr="00100F0A">
        <w:rPr>
          <w:color w:val="080808"/>
        </w:rPr>
        <w:t>NSW, NT,</w:t>
      </w:r>
      <w:r>
        <w:rPr>
          <w:color w:val="080808"/>
        </w:rPr>
        <w:t xml:space="preserve"> Qld</w:t>
      </w:r>
      <w:r w:rsidRPr="00100F0A">
        <w:rPr>
          <w:color w:val="080808"/>
        </w:rPr>
        <w:t xml:space="preserve"> and Tas </w:t>
      </w:r>
      <w:r w:rsidR="003E7966">
        <w:rPr>
          <w:color w:val="080808"/>
        </w:rPr>
        <w:t>governments</w:t>
      </w:r>
      <w:r w:rsidRPr="00100F0A">
        <w:rPr>
          <w:color w:val="080808"/>
        </w:rPr>
        <w:t xml:space="preserve"> </w:t>
      </w:r>
      <w:r>
        <w:rPr>
          <w:color w:val="080808"/>
        </w:rPr>
        <w:t xml:space="preserve">should </w:t>
      </w:r>
      <w:r w:rsidRPr="00100F0A">
        <w:rPr>
          <w:color w:val="080808"/>
        </w:rPr>
        <w:t>consider completing feasibility studies to determine the viability of establishing additional oil waste capacity in their jurisdiction.</w:t>
      </w:r>
    </w:p>
    <w:p w14:paraId="12AF9499" w14:textId="77777777" w:rsidR="00F64C8A" w:rsidRPr="00100F0A" w:rsidRDefault="00F64C8A" w:rsidP="00895CD4">
      <w:pPr>
        <w:pStyle w:val="Heading3-nonumber"/>
      </w:pPr>
      <w:r w:rsidRPr="00100F0A">
        <w:t xml:space="preserve">Lead recycling facilities </w:t>
      </w:r>
    </w:p>
    <w:p w14:paraId="74E45B50" w14:textId="37DA6FBB" w:rsidR="00F64C8A" w:rsidRPr="00100F0A" w:rsidRDefault="00F64C8A" w:rsidP="00F64C8A">
      <w:pPr>
        <w:rPr>
          <w:color w:val="000000"/>
          <w:szCs w:val="20"/>
        </w:rPr>
      </w:pPr>
      <w:r>
        <w:rPr>
          <w:color w:val="000000"/>
          <w:szCs w:val="20"/>
        </w:rPr>
        <w:t xml:space="preserve">In the best estimate scenario, lead waste arisings are projected to </w:t>
      </w:r>
      <w:r w:rsidRPr="00100F0A">
        <w:rPr>
          <w:color w:val="000000"/>
          <w:szCs w:val="20"/>
        </w:rPr>
        <w:t xml:space="preserve">increase at </w:t>
      </w:r>
      <w:r>
        <w:rPr>
          <w:color w:val="000000"/>
          <w:szCs w:val="20"/>
        </w:rPr>
        <w:t>a rate equivalent to</w:t>
      </w:r>
      <w:r w:rsidRPr="00100F0A">
        <w:rPr>
          <w:color w:val="000000"/>
          <w:szCs w:val="20"/>
        </w:rPr>
        <w:t xml:space="preserve"> </w:t>
      </w:r>
      <w:r w:rsidR="00C34F48" w:rsidRPr="00100F0A">
        <w:rPr>
          <w:color w:val="000000"/>
          <w:szCs w:val="20"/>
        </w:rPr>
        <w:t>20</w:t>
      </w:r>
      <w:r w:rsidR="00C34F48">
        <w:rPr>
          <w:color w:val="000000"/>
          <w:szCs w:val="20"/>
        </w:rPr>
        <w:t>-year</w:t>
      </w:r>
      <w:r w:rsidRPr="00100F0A">
        <w:rPr>
          <w:color w:val="000000"/>
          <w:szCs w:val="20"/>
        </w:rPr>
        <w:t xml:space="preserve"> average population growth rate (1.4%) </w:t>
      </w:r>
      <w:r>
        <w:rPr>
          <w:color w:val="000000"/>
          <w:szCs w:val="20"/>
        </w:rPr>
        <w:t>in</w:t>
      </w:r>
      <w:r w:rsidRPr="00100F0A">
        <w:rPr>
          <w:color w:val="000000"/>
          <w:szCs w:val="20"/>
        </w:rPr>
        <w:t xml:space="preserve"> all jurisdictions except Tas</w:t>
      </w:r>
      <w:r>
        <w:rPr>
          <w:color w:val="000000"/>
          <w:szCs w:val="20"/>
        </w:rPr>
        <w:t xml:space="preserve"> (where lead waste is projected to follow trends in global zinc prices). On this basis</w:t>
      </w:r>
      <w:r w:rsidRPr="00100F0A">
        <w:rPr>
          <w:color w:val="000000"/>
          <w:szCs w:val="20"/>
        </w:rPr>
        <w:t xml:space="preserve">, the installed lead recycling infrastructure capacity could be met by 2023. </w:t>
      </w:r>
    </w:p>
    <w:p w14:paraId="779012EE" w14:textId="77777777" w:rsidR="00F64C8A" w:rsidRPr="00100F0A" w:rsidRDefault="00F64C8A" w:rsidP="00F64C8A">
      <w:pPr>
        <w:rPr>
          <w:color w:val="000000"/>
          <w:szCs w:val="20"/>
        </w:rPr>
      </w:pPr>
    </w:p>
    <w:p w14:paraId="6D3332DD" w14:textId="77777777" w:rsidR="00F64C8A" w:rsidRPr="00100F0A" w:rsidRDefault="00F64C8A" w:rsidP="00F64C8A">
      <w:pPr>
        <w:rPr>
          <w:color w:val="000000"/>
          <w:szCs w:val="20"/>
        </w:rPr>
      </w:pPr>
      <w:r w:rsidRPr="00100F0A">
        <w:rPr>
          <w:color w:val="000000"/>
          <w:szCs w:val="20"/>
        </w:rPr>
        <w:t>Under the low scenario projection, of flat trend for 10 y</w:t>
      </w:r>
      <w:r>
        <w:rPr>
          <w:color w:val="000000"/>
          <w:szCs w:val="20"/>
        </w:rPr>
        <w:t>ea</w:t>
      </w:r>
      <w:r w:rsidRPr="00100F0A">
        <w:rPr>
          <w:color w:val="000000"/>
          <w:szCs w:val="20"/>
        </w:rPr>
        <w:t>rs and decline for the next 10 y</w:t>
      </w:r>
      <w:r>
        <w:rPr>
          <w:color w:val="000000"/>
          <w:szCs w:val="20"/>
        </w:rPr>
        <w:t>ea</w:t>
      </w:r>
      <w:r w:rsidRPr="00100F0A">
        <w:rPr>
          <w:color w:val="000000"/>
          <w:szCs w:val="20"/>
        </w:rPr>
        <w:t>rs due to replacement of battery technology, installed capacity is not expected to be exceeded over the next 20 years.</w:t>
      </w:r>
    </w:p>
    <w:p w14:paraId="6033329B" w14:textId="77777777" w:rsidR="00F64C8A" w:rsidRPr="00100F0A" w:rsidRDefault="00F64C8A" w:rsidP="00F64C8A">
      <w:pPr>
        <w:rPr>
          <w:color w:val="000000"/>
          <w:szCs w:val="20"/>
        </w:rPr>
      </w:pPr>
    </w:p>
    <w:p w14:paraId="27295AEC" w14:textId="79528AD9" w:rsidR="00F64C8A" w:rsidRPr="00100F0A" w:rsidRDefault="00F64C8A" w:rsidP="00F64C8A">
      <w:pPr>
        <w:rPr>
          <w:color w:val="000000"/>
          <w:szCs w:val="20"/>
        </w:rPr>
      </w:pPr>
      <w:r w:rsidRPr="00100F0A">
        <w:rPr>
          <w:color w:val="000000"/>
          <w:szCs w:val="20"/>
        </w:rPr>
        <w:t xml:space="preserve">Under the high estimate projection, of arisings increasing at the </w:t>
      </w:r>
      <w:r w:rsidR="00C34F48" w:rsidRPr="00100F0A">
        <w:rPr>
          <w:color w:val="000000"/>
          <w:szCs w:val="20"/>
        </w:rPr>
        <w:t>20</w:t>
      </w:r>
      <w:r w:rsidR="00C34F48">
        <w:rPr>
          <w:color w:val="000000"/>
          <w:szCs w:val="20"/>
        </w:rPr>
        <w:t>-year</w:t>
      </w:r>
      <w:r w:rsidRPr="00100F0A">
        <w:rPr>
          <w:color w:val="000000"/>
          <w:szCs w:val="20"/>
        </w:rPr>
        <w:t xml:space="preserve"> average rate of economic growth (2.8%) for all jurisdictions except Tas, capacity would be exceeded in 2018. The high scenario also includes a 20 kt</w:t>
      </w:r>
      <w:r>
        <w:rPr>
          <w:color w:val="000000"/>
          <w:szCs w:val="20"/>
        </w:rPr>
        <w:t>/yr</w:t>
      </w:r>
      <w:r w:rsidRPr="00100F0A">
        <w:rPr>
          <w:color w:val="000000"/>
          <w:szCs w:val="20"/>
        </w:rPr>
        <w:t xml:space="preserve"> release of jarosite waste from a stockpile at Nyrstar Hobart to Nyrstar in Port Pirie</w:t>
      </w:r>
      <w:r w:rsidRPr="00100F0A">
        <w:rPr>
          <w:rStyle w:val="FootnoteReference"/>
          <w:color w:val="000000"/>
          <w:szCs w:val="20"/>
        </w:rPr>
        <w:footnoteReference w:id="6"/>
      </w:r>
      <w:r w:rsidRPr="00100F0A">
        <w:rPr>
          <w:color w:val="000000"/>
          <w:szCs w:val="20"/>
        </w:rPr>
        <w:t>. The Nyrstar Port Pirie site is included in the e-waste infrastructure group due to the site</w:t>
      </w:r>
      <w:r>
        <w:rPr>
          <w:color w:val="000000"/>
          <w:szCs w:val="20"/>
        </w:rPr>
        <w:t>’</w:t>
      </w:r>
      <w:r w:rsidRPr="00100F0A">
        <w:rPr>
          <w:color w:val="000000"/>
          <w:szCs w:val="20"/>
        </w:rPr>
        <w:t xml:space="preserve">s defined capacity to process e-wastes such as CRT TVs and the site's unconstrained capacity to take lead waste from the Hobart </w:t>
      </w:r>
      <w:r>
        <w:rPr>
          <w:color w:val="000000"/>
          <w:szCs w:val="20"/>
        </w:rPr>
        <w:t>z</w:t>
      </w:r>
      <w:r w:rsidRPr="00100F0A">
        <w:rPr>
          <w:color w:val="000000"/>
          <w:szCs w:val="20"/>
        </w:rPr>
        <w:t xml:space="preserve">inc </w:t>
      </w:r>
      <w:r>
        <w:rPr>
          <w:color w:val="000000"/>
          <w:szCs w:val="20"/>
        </w:rPr>
        <w:t>s</w:t>
      </w:r>
      <w:r w:rsidRPr="00100F0A">
        <w:rPr>
          <w:color w:val="000000"/>
          <w:szCs w:val="20"/>
        </w:rPr>
        <w:t>melter. Nyrstar Port Pirie</w:t>
      </w:r>
      <w:r>
        <w:rPr>
          <w:color w:val="000000"/>
          <w:szCs w:val="20"/>
        </w:rPr>
        <w:t>’s</w:t>
      </w:r>
      <w:r w:rsidRPr="00100F0A">
        <w:rPr>
          <w:color w:val="000000"/>
          <w:szCs w:val="20"/>
        </w:rPr>
        <w:t xml:space="preserve"> lead recycling capacity is not included in the 124 kt/yr installed capacity estimate. There is also an additional 71 kt/yr of lead acid battery smelting capacity under construction that would add significant additional capacity along the </w:t>
      </w:r>
      <w:r>
        <w:rPr>
          <w:color w:val="000000"/>
          <w:szCs w:val="20"/>
        </w:rPr>
        <w:t>e</w:t>
      </w:r>
      <w:r w:rsidRPr="00100F0A">
        <w:rPr>
          <w:color w:val="000000"/>
          <w:szCs w:val="20"/>
        </w:rPr>
        <w:t xml:space="preserve">ast coast. </w:t>
      </w:r>
      <w:r>
        <w:rPr>
          <w:color w:val="000000"/>
          <w:szCs w:val="20"/>
        </w:rPr>
        <w:t>As</w:t>
      </w:r>
      <w:r w:rsidRPr="00100F0A">
        <w:rPr>
          <w:color w:val="000000"/>
          <w:szCs w:val="20"/>
        </w:rPr>
        <w:t xml:space="preserve"> Nyrstar Port Pirie </w:t>
      </w:r>
      <w:r>
        <w:rPr>
          <w:color w:val="000000"/>
          <w:szCs w:val="20"/>
        </w:rPr>
        <w:t xml:space="preserve">can </w:t>
      </w:r>
      <w:r w:rsidRPr="00100F0A">
        <w:rPr>
          <w:color w:val="000000"/>
          <w:szCs w:val="20"/>
        </w:rPr>
        <w:t>manage all of the lead</w:t>
      </w:r>
      <w:r>
        <w:rPr>
          <w:color w:val="000000"/>
          <w:szCs w:val="20"/>
        </w:rPr>
        <w:t>-</w:t>
      </w:r>
      <w:r w:rsidRPr="00100F0A">
        <w:rPr>
          <w:color w:val="000000"/>
          <w:szCs w:val="20"/>
        </w:rPr>
        <w:t xml:space="preserve">rich waste from the Nyrstar </w:t>
      </w:r>
      <w:r>
        <w:rPr>
          <w:color w:val="000000"/>
          <w:szCs w:val="20"/>
        </w:rPr>
        <w:t xml:space="preserve">Hobart </w:t>
      </w:r>
      <w:r w:rsidRPr="00100F0A">
        <w:rPr>
          <w:color w:val="000000"/>
          <w:szCs w:val="20"/>
        </w:rPr>
        <w:t>zinc smelter and the significant additional lead acid battery processing capacity coming on</w:t>
      </w:r>
      <w:r>
        <w:rPr>
          <w:color w:val="000000"/>
          <w:szCs w:val="20"/>
        </w:rPr>
        <w:t>-</w:t>
      </w:r>
      <w:r w:rsidRPr="00100F0A">
        <w:rPr>
          <w:color w:val="000000"/>
          <w:szCs w:val="20"/>
        </w:rPr>
        <w:t xml:space="preserve">line, there is likely to be sufficient lead recycling capacity under all scenarios. </w:t>
      </w:r>
    </w:p>
    <w:p w14:paraId="7891D7D0" w14:textId="77777777" w:rsidR="00F64C8A" w:rsidRPr="00100F0A" w:rsidRDefault="00F64C8A" w:rsidP="00F64C8A">
      <w:pPr>
        <w:rPr>
          <w:color w:val="000000"/>
          <w:szCs w:val="20"/>
        </w:rPr>
      </w:pPr>
    </w:p>
    <w:p w14:paraId="0E113CBA" w14:textId="77777777" w:rsidR="00F64C8A" w:rsidRDefault="00F64C8A" w:rsidP="00F64C8A">
      <w:pPr>
        <w:rPr>
          <w:color w:val="000000"/>
          <w:szCs w:val="20"/>
        </w:rPr>
      </w:pPr>
      <w:r w:rsidRPr="00100F0A">
        <w:rPr>
          <w:color w:val="000000"/>
          <w:szCs w:val="20"/>
        </w:rPr>
        <w:t>The lead recycling assessment has moderate level of uncertainty due to</w:t>
      </w:r>
      <w:r>
        <w:rPr>
          <w:color w:val="000000"/>
          <w:szCs w:val="20"/>
        </w:rPr>
        <w:t xml:space="preserve"> the:</w:t>
      </w:r>
    </w:p>
    <w:p w14:paraId="46537048" w14:textId="77777777" w:rsidR="00F64C8A" w:rsidRDefault="00F64C8A" w:rsidP="00F64C8A">
      <w:pPr>
        <w:pStyle w:val="Bullet1"/>
      </w:pPr>
      <w:r w:rsidRPr="00100F0A">
        <w:t>lack of industry response for the 2018 assessment</w:t>
      </w:r>
    </w:p>
    <w:p w14:paraId="0A07434A" w14:textId="77777777" w:rsidR="00F64C8A" w:rsidRPr="00100F0A" w:rsidRDefault="00F64C8A" w:rsidP="00F64C8A">
      <w:pPr>
        <w:pStyle w:val="Bullet1"/>
      </w:pPr>
      <w:r>
        <w:t xml:space="preserve">lack of </w:t>
      </w:r>
      <w:r w:rsidRPr="00100F0A">
        <w:t>a clearly defined upper limit on Nyrstar Port Pirie's ability to manage all of the lead waste from Nyrstar operations</w:t>
      </w:r>
      <w:r>
        <w:t>,</w:t>
      </w:r>
      <w:r w:rsidRPr="00100F0A">
        <w:t xml:space="preserve"> in addition to lead waste from other sectors.</w:t>
      </w:r>
    </w:p>
    <w:p w14:paraId="53AD2C26" w14:textId="77777777" w:rsidR="00F64C8A" w:rsidRPr="00100F0A" w:rsidRDefault="00F64C8A" w:rsidP="00F64C8A">
      <w:pPr>
        <w:rPr>
          <w:color w:val="000000"/>
          <w:szCs w:val="20"/>
        </w:rPr>
      </w:pPr>
    </w:p>
    <w:p w14:paraId="35838579" w14:textId="77777777" w:rsidR="00F64C8A" w:rsidRPr="00100F0A" w:rsidRDefault="00F64C8A" w:rsidP="00F64C8A">
      <w:pPr>
        <w:rPr>
          <w:color w:val="080808"/>
        </w:rPr>
      </w:pPr>
      <w:r w:rsidRPr="00100F0A">
        <w:rPr>
          <w:color w:val="080808"/>
        </w:rPr>
        <w:t>Recycling capacity for lead acid batteries is almost all located in NSW, with some capacity now in Qld</w:t>
      </w:r>
      <w:r>
        <w:rPr>
          <w:color w:val="080808"/>
        </w:rPr>
        <w:t xml:space="preserve"> s</w:t>
      </w:r>
      <w:r w:rsidRPr="00100F0A">
        <w:rPr>
          <w:color w:val="080808"/>
        </w:rPr>
        <w:t>o lead acid batteries are transported from other jurisdictions to NSW or Qld or exported overseas under an export permit. The transport costs from WA in particular may result in significant battery stockpiling in WA.</w:t>
      </w:r>
    </w:p>
    <w:p w14:paraId="11A43A5E" w14:textId="77777777" w:rsidR="00F64C8A" w:rsidRPr="00100F0A" w:rsidRDefault="00F64C8A" w:rsidP="00F64C8A">
      <w:pPr>
        <w:rPr>
          <w:color w:val="080808"/>
        </w:rPr>
      </w:pPr>
    </w:p>
    <w:p w14:paraId="645FDF98" w14:textId="77777777" w:rsidR="00F64C8A" w:rsidRPr="00100F0A" w:rsidRDefault="00F64C8A" w:rsidP="00F64C8A">
      <w:pPr>
        <w:rPr>
          <w:color w:val="080808"/>
        </w:rPr>
      </w:pPr>
      <w:r w:rsidRPr="00100F0A">
        <w:rPr>
          <w:b/>
          <w:color w:val="080808"/>
        </w:rPr>
        <w:t xml:space="preserve">Recommendation </w:t>
      </w:r>
      <w:r>
        <w:rPr>
          <w:b/>
          <w:color w:val="080808"/>
        </w:rPr>
        <w:t>5</w:t>
      </w:r>
      <w:r w:rsidRPr="00100F0A">
        <w:rPr>
          <w:b/>
          <w:color w:val="080808"/>
        </w:rPr>
        <w:t xml:space="preserve">: </w:t>
      </w:r>
      <w:r w:rsidRPr="00100F0A">
        <w:rPr>
          <w:color w:val="080808"/>
        </w:rPr>
        <w:t xml:space="preserve">WA government </w:t>
      </w:r>
      <w:r>
        <w:rPr>
          <w:color w:val="080808"/>
        </w:rPr>
        <w:t xml:space="preserve">should </w:t>
      </w:r>
      <w:r w:rsidRPr="00100F0A">
        <w:rPr>
          <w:color w:val="080808"/>
        </w:rPr>
        <w:t>consider completing</w:t>
      </w:r>
      <w:r>
        <w:rPr>
          <w:color w:val="080808"/>
        </w:rPr>
        <w:t xml:space="preserve"> a</w:t>
      </w:r>
      <w:r w:rsidRPr="00100F0A">
        <w:rPr>
          <w:color w:val="080808"/>
        </w:rPr>
        <w:t xml:space="preserve"> feasibility stud</w:t>
      </w:r>
      <w:r>
        <w:rPr>
          <w:color w:val="080808"/>
        </w:rPr>
        <w:t>y</w:t>
      </w:r>
      <w:r w:rsidRPr="00100F0A">
        <w:rPr>
          <w:color w:val="080808"/>
        </w:rPr>
        <w:t xml:space="preserve"> to determine the viability of establishing lead waste recycling capacity in their jurisdiction.</w:t>
      </w:r>
    </w:p>
    <w:p w14:paraId="4D11B3F1" w14:textId="77777777" w:rsidR="00F64C8A" w:rsidRPr="00100F0A" w:rsidRDefault="00F64C8A" w:rsidP="00895CD4">
      <w:pPr>
        <w:pStyle w:val="Heading3-nonumber"/>
      </w:pPr>
      <w:r w:rsidRPr="00100F0A">
        <w:t>Mercury recycling facilities</w:t>
      </w:r>
    </w:p>
    <w:p w14:paraId="3B3109B4" w14:textId="645686E8" w:rsidR="00F64C8A" w:rsidRPr="00100F0A" w:rsidRDefault="00F64C8A" w:rsidP="00F64C8A">
      <w:pPr>
        <w:pStyle w:val="BodyText"/>
      </w:pPr>
      <w:r w:rsidRPr="00100F0A">
        <w:t xml:space="preserve">At a national level, the assessment indicates that over the next 20 years the currently installed capacity of Australia's current mercury waste recycling infrastructure will be able to recycle waste arisings. </w:t>
      </w:r>
    </w:p>
    <w:p w14:paraId="77720F23" w14:textId="77777777" w:rsidR="00C64D09" w:rsidRPr="00100F0A" w:rsidRDefault="00C64D09" w:rsidP="00F64C8A">
      <w:pPr>
        <w:pStyle w:val="BodyText"/>
      </w:pPr>
    </w:p>
    <w:p w14:paraId="474092E1" w14:textId="3FD6FF05" w:rsidR="00F64C8A" w:rsidRPr="00100F0A" w:rsidRDefault="00F64C8A" w:rsidP="00F64C8A">
      <w:pPr>
        <w:pStyle w:val="BodyText"/>
      </w:pPr>
      <w:r w:rsidRPr="00100F0A">
        <w:t>Industry reported around 10 times more receipts than was reported in the waste tracking systems, reflecting that some of the mercury waste (such as unprocessed light fittings) do</w:t>
      </w:r>
      <w:r>
        <w:t>es</w:t>
      </w:r>
      <w:r w:rsidRPr="00100F0A">
        <w:t xml:space="preserve"> not require tracking. </w:t>
      </w:r>
      <w:r w:rsidR="000B3432" w:rsidRPr="000B3432">
        <w:rPr>
          <w:rFonts w:eastAsia="Times New Roman"/>
          <w:shd w:val="clear" w:color="auto" w:fill="FF0000"/>
        </w:rPr>
        <w:t xml:space="preserve"> </w:t>
      </w:r>
      <w:r w:rsidR="000B3432">
        <w:rPr>
          <w:rFonts w:eastAsia="Times New Roman"/>
          <w:shd w:val="clear" w:color="auto" w:fill="FF0000"/>
        </w:rPr>
        <w:t>Text withheld to maintain commercial confidentiality</w:t>
      </w:r>
    </w:p>
    <w:p w14:paraId="649DC970" w14:textId="77777777" w:rsidR="000B3432" w:rsidRPr="00100F0A" w:rsidRDefault="000B3432" w:rsidP="00F64C8A">
      <w:pPr>
        <w:rPr>
          <w:color w:val="000000"/>
          <w:szCs w:val="20"/>
        </w:rPr>
      </w:pPr>
    </w:p>
    <w:p w14:paraId="710D430E" w14:textId="77777777" w:rsidR="00F64C8A" w:rsidRPr="00100F0A" w:rsidRDefault="00F64C8A" w:rsidP="00F64C8A">
      <w:pPr>
        <w:pStyle w:val="BodyText"/>
      </w:pPr>
      <w:r w:rsidRPr="00100F0A">
        <w:t>The mercury recycling assessment has a low level of uncertainty, with excellent industry input and a clearly defined infrastructure group targeting mercury recycling as the</w:t>
      </w:r>
      <w:r>
        <w:t>ir</w:t>
      </w:r>
      <w:r w:rsidRPr="00100F0A">
        <w:t xml:space="preserve"> core business.</w:t>
      </w:r>
    </w:p>
    <w:p w14:paraId="24D25E75" w14:textId="77777777" w:rsidR="00F64C8A" w:rsidRPr="00100F0A" w:rsidRDefault="00F64C8A" w:rsidP="00895CD4">
      <w:pPr>
        <w:pStyle w:val="Heading3-nonumber"/>
      </w:pPr>
      <w:r w:rsidRPr="00100F0A">
        <w:t xml:space="preserve">Solvents/paints/organic chemicals recycling facilities </w:t>
      </w:r>
    </w:p>
    <w:p w14:paraId="357E7769" w14:textId="77777777" w:rsidR="00F64C8A" w:rsidRPr="00100F0A" w:rsidRDefault="00F64C8A" w:rsidP="00F64C8A">
      <w:pPr>
        <w:pStyle w:val="BodyText"/>
      </w:pPr>
      <w:r w:rsidRPr="00100F0A">
        <w:t>At a national level, the assessment indicates that the current capacity of solvents/paints/organic chemicals recycling is being exceeded. This is unlikely to be accurate due to the high level of uncertainty in the capacity assessment for this group. A number of factors need to be considered:</w:t>
      </w:r>
    </w:p>
    <w:p w14:paraId="4FB7C6DE" w14:textId="77777777" w:rsidR="00F64C8A" w:rsidRPr="0084535A" w:rsidRDefault="00F64C8A" w:rsidP="00F64C8A">
      <w:pPr>
        <w:pStyle w:val="ListNumber"/>
        <w:numPr>
          <w:ilvl w:val="0"/>
          <w:numId w:val="58"/>
        </w:numPr>
      </w:pPr>
      <w:r>
        <w:t>i</w:t>
      </w:r>
      <w:r w:rsidRPr="0080240F">
        <w:t>t is likely that some materials sent to energy recovery are recorded as recycled (resulting in over estimate of arisings to recycling and underestimate to energy recovery)</w:t>
      </w:r>
    </w:p>
    <w:p w14:paraId="585516AD" w14:textId="77777777" w:rsidR="00F64C8A" w:rsidRPr="0084535A" w:rsidRDefault="00F64C8A" w:rsidP="00F64C8A">
      <w:pPr>
        <w:pStyle w:val="ListNumber"/>
      </w:pPr>
      <w:r>
        <w:t>s</w:t>
      </w:r>
      <w:r w:rsidRPr="0084535A">
        <w:t>ome solvent/paint recycling capacity is likely to be within the CPT infrastructure group</w:t>
      </w:r>
    </w:p>
    <w:p w14:paraId="5353D77E" w14:textId="77777777" w:rsidR="00F64C8A" w:rsidRPr="0084535A" w:rsidRDefault="00F64C8A" w:rsidP="00F64C8A">
      <w:pPr>
        <w:pStyle w:val="ListNumber"/>
      </w:pPr>
      <w:r w:rsidRPr="0084535A">
        <w:t xml:space="preserve"> </w:t>
      </w:r>
      <w:r>
        <w:t>s</w:t>
      </w:r>
      <w:r w:rsidRPr="0084535A">
        <w:t xml:space="preserve">ome smaller operators that recycle solvents/paint may not have not been captured in the infrastructure database. </w:t>
      </w:r>
    </w:p>
    <w:p w14:paraId="527EE526" w14:textId="77777777" w:rsidR="00F64C8A" w:rsidRPr="00100F0A" w:rsidRDefault="00F64C8A" w:rsidP="00F64C8A">
      <w:pPr>
        <w:rPr>
          <w:color w:val="000000"/>
          <w:szCs w:val="20"/>
        </w:rPr>
      </w:pPr>
    </w:p>
    <w:p w14:paraId="6929BD9E" w14:textId="77777777" w:rsidR="00F64C8A" w:rsidRPr="00100F0A" w:rsidRDefault="00F64C8A" w:rsidP="00F64C8A">
      <w:pPr>
        <w:rPr>
          <w:color w:val="080808"/>
        </w:rPr>
      </w:pPr>
      <w:r w:rsidRPr="00100F0A">
        <w:rPr>
          <w:color w:val="000000"/>
          <w:szCs w:val="20"/>
        </w:rPr>
        <w:t xml:space="preserve">Based on industry consultation and this assessment, a national shortage of this infrastructure over the next 20 years is considered unlikely. </w:t>
      </w:r>
      <w:r w:rsidRPr="00100F0A">
        <w:rPr>
          <w:color w:val="080808"/>
        </w:rPr>
        <w:t xml:space="preserve">Solvent/paints recycling infrastructure was identified only on the </w:t>
      </w:r>
      <w:r>
        <w:rPr>
          <w:color w:val="080808"/>
        </w:rPr>
        <w:t>e</w:t>
      </w:r>
      <w:r w:rsidRPr="00100F0A">
        <w:rPr>
          <w:color w:val="080808"/>
        </w:rPr>
        <w:t>ast coast (NSW, Qld</w:t>
      </w:r>
      <w:r>
        <w:rPr>
          <w:color w:val="080808"/>
        </w:rPr>
        <w:t>, Vic</w:t>
      </w:r>
      <w:r w:rsidRPr="00100F0A">
        <w:rPr>
          <w:color w:val="080808"/>
        </w:rPr>
        <w:t xml:space="preserve">). ACT, </w:t>
      </w:r>
      <w:r>
        <w:rPr>
          <w:color w:val="080808"/>
        </w:rPr>
        <w:t xml:space="preserve">NT, </w:t>
      </w:r>
      <w:r w:rsidRPr="00100F0A">
        <w:rPr>
          <w:color w:val="080808"/>
        </w:rPr>
        <w:t>SA</w:t>
      </w:r>
      <w:r>
        <w:rPr>
          <w:color w:val="080808"/>
        </w:rPr>
        <w:t xml:space="preserve">, Tas and </w:t>
      </w:r>
      <w:r w:rsidRPr="00100F0A">
        <w:rPr>
          <w:color w:val="080808"/>
        </w:rPr>
        <w:t>WA had no sites identified. In these jurisdictions, solvents/paint waste is sent interstate, managed within other infrastructure groups or taken to sites not identified in the capacity database.</w:t>
      </w:r>
    </w:p>
    <w:p w14:paraId="015C35F0" w14:textId="77777777" w:rsidR="00F64C8A" w:rsidRPr="00100F0A" w:rsidRDefault="00F64C8A" w:rsidP="00895CD4">
      <w:pPr>
        <w:pStyle w:val="Heading3-nonumber"/>
      </w:pPr>
      <w:r w:rsidRPr="00100F0A">
        <w:t xml:space="preserve">Organics recycling (NEPM K code wastes) facilities </w:t>
      </w:r>
    </w:p>
    <w:p w14:paraId="498DDC01" w14:textId="77777777" w:rsidR="00F64C8A" w:rsidRPr="00100F0A" w:rsidRDefault="00F64C8A" w:rsidP="00F64C8A">
      <w:pPr>
        <w:pStyle w:val="BodyText"/>
      </w:pPr>
      <w:r w:rsidRPr="00100F0A">
        <w:t xml:space="preserve">At a national level, projections indicate that under all scenarios the current capacity of organics recycling infrastructure (for NEPM K code organics) is being exceeded. This is inaccurate and is linked to the very high uncertainty of the assessment of needs vs capacity. </w:t>
      </w:r>
    </w:p>
    <w:p w14:paraId="623DE575" w14:textId="77777777" w:rsidR="00F64C8A" w:rsidRPr="00100F0A" w:rsidRDefault="00F64C8A" w:rsidP="00F64C8A">
      <w:pPr>
        <w:pStyle w:val="BodyText"/>
      </w:pPr>
    </w:p>
    <w:p w14:paraId="7B98AFAA" w14:textId="77777777" w:rsidR="00F64C8A" w:rsidRPr="00100F0A" w:rsidRDefault="00F64C8A" w:rsidP="00F64C8A">
      <w:pPr>
        <w:pStyle w:val="BodyText"/>
      </w:pPr>
      <w:r w:rsidRPr="00100F0A">
        <w:t xml:space="preserve">The majority of the 600 kt arisings in 2016-17 of NEPM K code waste </w:t>
      </w:r>
      <w:r>
        <w:t>is</w:t>
      </w:r>
      <w:r w:rsidRPr="00100F0A">
        <w:t xml:space="preserve"> sent to composting sites that are not included in the infrastructure capacity assessment. To complete a quantitative analysis of projected arisings of NEPM K code organics against infrastructure capacity, extensive data would be required on non-hazardous waste infrastructure that accepts only a relatively small amount of low-level hazardous waste as part of much larger non-hazardous waste volume</w:t>
      </w:r>
      <w:r>
        <w:t>s</w:t>
      </w:r>
      <w:r w:rsidRPr="00100F0A">
        <w:t xml:space="preserve">. In addition, some smaller operators that specialise in hazardous organic waste may not be within the infrastructure database due to the diffuse nature of this infrastructure group. </w:t>
      </w:r>
    </w:p>
    <w:p w14:paraId="2B97F7C2" w14:textId="77777777" w:rsidR="00F64C8A" w:rsidRPr="00100F0A" w:rsidRDefault="00F64C8A" w:rsidP="00F64C8A">
      <w:pPr>
        <w:rPr>
          <w:color w:val="080808"/>
          <w:szCs w:val="20"/>
        </w:rPr>
      </w:pPr>
    </w:p>
    <w:p w14:paraId="00088FA4" w14:textId="77777777" w:rsidR="00F64C8A" w:rsidRPr="00100F0A" w:rsidRDefault="00F64C8A" w:rsidP="00F64C8A">
      <w:pPr>
        <w:rPr>
          <w:color w:val="080808"/>
          <w:szCs w:val="20"/>
        </w:rPr>
      </w:pPr>
      <w:r w:rsidRPr="00100F0A">
        <w:rPr>
          <w:color w:val="080808"/>
          <w:szCs w:val="20"/>
        </w:rPr>
        <w:t xml:space="preserve">Based on industry consultation and our assessment of organics recycling infrastructure (for NEPM code N) we do not believe a national shortage of this infrastructure group </w:t>
      </w:r>
      <w:r>
        <w:rPr>
          <w:color w:val="080808"/>
          <w:szCs w:val="20"/>
        </w:rPr>
        <w:t xml:space="preserve">is likely </w:t>
      </w:r>
      <w:r w:rsidRPr="00100F0A">
        <w:rPr>
          <w:color w:val="080808"/>
          <w:szCs w:val="20"/>
        </w:rPr>
        <w:t xml:space="preserve">over the next 20 years. This assessment is supported by the industry consultation results presented in Table 45. It is estimated that the sites within the scope of this infrastructure group received 99 kt of waste in 2016-17 (not 600 kt) and have an installed capacity to manage 106 kt/yr. </w:t>
      </w:r>
    </w:p>
    <w:p w14:paraId="637B48F6" w14:textId="77777777" w:rsidR="00F64C8A" w:rsidRPr="00100F0A" w:rsidRDefault="00F64C8A" w:rsidP="00895CD4">
      <w:pPr>
        <w:pStyle w:val="Heading3-nonumber"/>
      </w:pPr>
      <w:r w:rsidRPr="00100F0A">
        <w:t>End-of-life-tyre recycling facilities</w:t>
      </w:r>
    </w:p>
    <w:p w14:paraId="0BAB0307" w14:textId="77777777" w:rsidR="00F64C8A" w:rsidRPr="00100F0A" w:rsidRDefault="00F64C8A" w:rsidP="00F64C8A">
      <w:pPr>
        <w:rPr>
          <w:color w:val="080808"/>
        </w:rPr>
      </w:pPr>
      <w:r w:rsidRPr="00100F0A">
        <w:rPr>
          <w:color w:val="080808"/>
        </w:rPr>
        <w:t>The national assessment of need vs capacity indicates that over the next 20 years the currently installed capacity of Australia's EOLT recycling infrastructure (100 kt/yr) will be able to recycle waste arisings (44 kt/yr in 2016-17). However, the EOLT recycling industry reported around 90 kt of EOLT received which is more than double the 44 kt waste arisings recycled in 2016-17. The difference is related to EOLT recyclers receiving EOLT and exporting them with minimal processing to international energy recovery or reuse markets (the 44 kt relates to full on</w:t>
      </w:r>
      <w:r>
        <w:rPr>
          <w:color w:val="080808"/>
        </w:rPr>
        <w:t>-</w:t>
      </w:r>
      <w:r w:rsidRPr="00100F0A">
        <w:rPr>
          <w:color w:val="080808"/>
        </w:rPr>
        <w:t xml:space="preserve">shore processing). </w:t>
      </w:r>
    </w:p>
    <w:p w14:paraId="3A9FD5BF" w14:textId="77777777" w:rsidR="00F64C8A" w:rsidRPr="00100F0A" w:rsidRDefault="00F64C8A" w:rsidP="00F64C8A">
      <w:pPr>
        <w:rPr>
          <w:color w:val="080808"/>
        </w:rPr>
      </w:pPr>
    </w:p>
    <w:p w14:paraId="20D7CEB0" w14:textId="77777777" w:rsidR="00F64C8A" w:rsidRDefault="00F64C8A" w:rsidP="00F64C8A">
      <w:pPr>
        <w:rPr>
          <w:color w:val="080808"/>
        </w:rPr>
      </w:pPr>
      <w:r w:rsidRPr="00100F0A">
        <w:rPr>
          <w:color w:val="080808"/>
        </w:rPr>
        <w:t>Whilst there is good capacity in Australia to collect and partly process tyres for export, there is a lack of well-developed on-shore markets for tyre</w:t>
      </w:r>
      <w:r>
        <w:rPr>
          <w:color w:val="080808"/>
        </w:rPr>
        <w:t>-</w:t>
      </w:r>
      <w:r w:rsidRPr="00100F0A">
        <w:rPr>
          <w:color w:val="080808"/>
        </w:rPr>
        <w:t xml:space="preserve">derived products. Around 60% of </w:t>
      </w:r>
      <w:r>
        <w:rPr>
          <w:color w:val="080808"/>
        </w:rPr>
        <w:t xml:space="preserve">Australian </w:t>
      </w:r>
      <w:r w:rsidRPr="00100F0A">
        <w:rPr>
          <w:color w:val="080808"/>
        </w:rPr>
        <w:t>EOLT</w:t>
      </w:r>
      <w:r>
        <w:rPr>
          <w:color w:val="080808"/>
        </w:rPr>
        <w:t>s</w:t>
      </w:r>
      <w:r w:rsidRPr="00100F0A">
        <w:rPr>
          <w:color w:val="080808"/>
        </w:rPr>
        <w:t xml:space="preserve"> are sent to landfill, stockpiled or go to unknown fates. For Australia to increase the recovery of these lost </w:t>
      </w:r>
      <w:r>
        <w:rPr>
          <w:color w:val="080808"/>
        </w:rPr>
        <w:t>EOLTs</w:t>
      </w:r>
      <w:r w:rsidRPr="00100F0A">
        <w:rPr>
          <w:color w:val="080808"/>
        </w:rPr>
        <w:t xml:space="preserve"> there will need to be strong developments in processing technology in Australia. However, these investments cannot occur without </w:t>
      </w:r>
      <w:r>
        <w:rPr>
          <w:color w:val="080808"/>
        </w:rPr>
        <w:t>further development of</w:t>
      </w:r>
      <w:r w:rsidRPr="00100F0A">
        <w:rPr>
          <w:color w:val="080808"/>
        </w:rPr>
        <w:t xml:space="preserve"> offtake markets for the tyre</w:t>
      </w:r>
      <w:r>
        <w:rPr>
          <w:color w:val="080808"/>
        </w:rPr>
        <w:t>-</w:t>
      </w:r>
      <w:r w:rsidRPr="00100F0A">
        <w:rPr>
          <w:color w:val="080808"/>
        </w:rPr>
        <w:t>derived products</w:t>
      </w:r>
      <w:r>
        <w:rPr>
          <w:color w:val="080808"/>
        </w:rPr>
        <w:t xml:space="preserve"> </w:t>
      </w:r>
      <w:r w:rsidRPr="00100F0A">
        <w:rPr>
          <w:color w:val="080808"/>
        </w:rPr>
        <w:t xml:space="preserve">and enforcement to ensure tyres are not sent to landfill, stockpiled, dumped or exported to low value management options. </w:t>
      </w:r>
    </w:p>
    <w:p w14:paraId="122108A9" w14:textId="77777777" w:rsidR="00F64C8A" w:rsidRDefault="00F64C8A" w:rsidP="00F64C8A">
      <w:pPr>
        <w:rPr>
          <w:color w:val="080808"/>
        </w:rPr>
      </w:pPr>
    </w:p>
    <w:p w14:paraId="18560341" w14:textId="12F1E242" w:rsidR="00F64C8A" w:rsidRDefault="00F64C8A" w:rsidP="00F64C8A">
      <w:pPr>
        <w:rPr>
          <w:color w:val="080808"/>
        </w:rPr>
      </w:pPr>
      <w:r>
        <w:rPr>
          <w:color w:val="080808"/>
        </w:rPr>
        <w:t>EOLTs are the only Australian controlled waste that is exported in significant tonnages to other countries. I</w:t>
      </w:r>
      <w:r w:rsidRPr="00D97FEC">
        <w:rPr>
          <w:color w:val="080808"/>
        </w:rPr>
        <w:t xml:space="preserve">ndia is the largest export market for Australian EOLTs. </w:t>
      </w:r>
      <w:r>
        <w:rPr>
          <w:color w:val="080808"/>
        </w:rPr>
        <w:t>I</w:t>
      </w:r>
      <w:r w:rsidRPr="00D97FEC">
        <w:rPr>
          <w:color w:val="080808"/>
        </w:rPr>
        <w:t xml:space="preserve">ndia may restrict EOLT imports in an effort to get local EOLT collected and recycled. This would follow recent trends such as </w:t>
      </w:r>
      <w:hyperlink r:id="rId27" w:history="1">
        <w:r w:rsidRPr="00D97FEC">
          <w:rPr>
            <w:rStyle w:val="Hyperlink"/>
          </w:rPr>
          <w:t>India banning plastic imports</w:t>
        </w:r>
      </w:hyperlink>
      <w:r w:rsidRPr="00D97FEC">
        <w:rPr>
          <w:color w:val="080808"/>
        </w:rPr>
        <w:t>.</w:t>
      </w:r>
      <w:r>
        <w:rPr>
          <w:color w:val="080808"/>
        </w:rPr>
        <w:t xml:space="preserve"> Should India or other countries receiving large tonnages of EOLTs from Australia (e.g. Malaysia) restrict or ban this flow of EOLTs, it is likely that Australia’s EOLTs processing capacity would be insufficient.</w:t>
      </w:r>
    </w:p>
    <w:p w14:paraId="20D93F3A" w14:textId="77777777" w:rsidR="00F64C8A" w:rsidRPr="00100F0A" w:rsidRDefault="00F64C8A" w:rsidP="00895CD4">
      <w:pPr>
        <w:pStyle w:val="Heading3-nonumber"/>
      </w:pPr>
      <w:r>
        <w:t>SPL</w:t>
      </w:r>
      <w:r w:rsidRPr="00100F0A">
        <w:t xml:space="preserve"> recycling facilities</w:t>
      </w:r>
    </w:p>
    <w:p w14:paraId="495B551C" w14:textId="77777777" w:rsidR="00F64C8A" w:rsidRPr="00100F0A" w:rsidRDefault="00F64C8A" w:rsidP="00F64C8A">
      <w:pPr>
        <w:pStyle w:val="BodyText"/>
      </w:pPr>
      <w:r w:rsidRPr="00100F0A">
        <w:t xml:space="preserve">An estimated 46 kt of </w:t>
      </w:r>
      <w:r>
        <w:t>spent pot liner (</w:t>
      </w:r>
      <w:r w:rsidRPr="00100F0A">
        <w:t>SPL</w:t>
      </w:r>
      <w:r>
        <w:t>)</w:t>
      </w:r>
      <w:r w:rsidRPr="00100F0A">
        <w:t xml:space="preserve"> arose in 2016-17 which suggests that the aluminium industry is processing all of the current SPL being generated and some of a significant stockpile of SPL. REC </w:t>
      </w:r>
      <w:r>
        <w:t>(</w:t>
      </w:r>
      <w:r w:rsidRPr="00100F0A">
        <w:t>2016</w:t>
      </w:r>
      <w:r>
        <w:t>)</w:t>
      </w:r>
      <w:r w:rsidRPr="00100F0A">
        <w:t xml:space="preserve"> estimate</w:t>
      </w:r>
      <w:r>
        <w:t>d</w:t>
      </w:r>
      <w:r w:rsidRPr="00100F0A">
        <w:t xml:space="preserve"> Australia's annual SPL generation at around 30 kt/yr (based on </w:t>
      </w:r>
      <w:r>
        <w:t>a</w:t>
      </w:r>
      <w:r w:rsidRPr="00100F0A">
        <w:t xml:space="preserve">luminium production rates).  REC </w:t>
      </w:r>
      <w:r>
        <w:t>(</w:t>
      </w:r>
      <w:r w:rsidRPr="00100F0A">
        <w:t>2016</w:t>
      </w:r>
      <w:r>
        <w:t>)</w:t>
      </w:r>
      <w:r w:rsidRPr="00100F0A">
        <w:t xml:space="preserve"> estimated the stockpile of SPL to be around 700,000 tonnes, of which around 390,000 tonnes are</w:t>
      </w:r>
      <w:r>
        <w:t xml:space="preserve"> in</w:t>
      </w:r>
      <w:r w:rsidRPr="00100F0A">
        <w:t xml:space="preserve"> on</w:t>
      </w:r>
      <w:r>
        <w:t>-</w:t>
      </w:r>
      <w:r w:rsidRPr="00100F0A">
        <w:t>site</w:t>
      </w:r>
      <w:r>
        <w:t xml:space="preserve"> landfills</w:t>
      </w:r>
      <w:r w:rsidRPr="00100F0A">
        <w:t xml:space="preserve"> at aluminium smelters around Australia.</w:t>
      </w:r>
    </w:p>
    <w:p w14:paraId="4FDCE01F" w14:textId="77777777" w:rsidR="00F64C8A" w:rsidRPr="00100F0A" w:rsidRDefault="00F64C8A" w:rsidP="00F64C8A">
      <w:pPr>
        <w:pStyle w:val="BodyText"/>
      </w:pPr>
    </w:p>
    <w:p w14:paraId="678EF401" w14:textId="1077DFC7" w:rsidR="00F64C8A" w:rsidRPr="00100F0A" w:rsidRDefault="00F64C8A" w:rsidP="00F64C8A">
      <w:pPr>
        <w:pStyle w:val="BodyText"/>
      </w:pPr>
      <w:r w:rsidRPr="00100F0A">
        <w:t xml:space="preserve">Under the best and low scenarios, the currently installed capacity is </w:t>
      </w:r>
      <w:r>
        <w:t>likely to be adequate</w:t>
      </w:r>
      <w:r w:rsidRPr="00100F0A">
        <w:t>. Under the high scenario</w:t>
      </w:r>
      <w:r>
        <w:t>,</w:t>
      </w:r>
      <w:r w:rsidRPr="00100F0A">
        <w:t xml:space="preserve"> capacity would be exceeded, as not quite all of the stockpile would be processed in 10 years. This is consistent with the REC </w:t>
      </w:r>
      <w:r>
        <w:t>(</w:t>
      </w:r>
      <w:r w:rsidRPr="00100F0A">
        <w:t>2016</w:t>
      </w:r>
      <w:r>
        <w:t>)</w:t>
      </w:r>
      <w:r w:rsidRPr="00100F0A">
        <w:t xml:space="preserve"> finding that capacity</w:t>
      </w:r>
      <w:r>
        <w:t xml:space="preserve"> is available</w:t>
      </w:r>
      <w:r w:rsidRPr="00100F0A">
        <w:t xml:space="preserve"> to treat</w:t>
      </w:r>
      <w:r>
        <w:t xml:space="preserve"> Australian</w:t>
      </w:r>
      <w:r w:rsidRPr="00100F0A">
        <w:t xml:space="preserve"> SPL stockpiles over around a </w:t>
      </w:r>
      <w:r w:rsidR="00C34F48" w:rsidRPr="00100F0A">
        <w:t>10</w:t>
      </w:r>
      <w:r w:rsidR="00C34F48">
        <w:t>-year</w:t>
      </w:r>
      <w:r w:rsidRPr="00100F0A">
        <w:t xml:space="preserve"> period, whilst treating current arisings. REC </w:t>
      </w:r>
      <w:r>
        <w:t>(</w:t>
      </w:r>
      <w:r w:rsidRPr="00100F0A">
        <w:t>2016</w:t>
      </w:r>
      <w:r>
        <w:t>)</w:t>
      </w:r>
      <w:r w:rsidRPr="00100F0A">
        <w:t xml:space="preserve"> also notes that the treatment of SPL that has been landfilled has not yet been demonstrated and may require additional or different infrastructure installation. </w:t>
      </w:r>
    </w:p>
    <w:p w14:paraId="7233B608" w14:textId="77777777" w:rsidR="00F64C8A" w:rsidRPr="00100F0A" w:rsidRDefault="00F64C8A" w:rsidP="00F64C8A">
      <w:pPr>
        <w:pStyle w:val="BodyText"/>
      </w:pPr>
    </w:p>
    <w:p w14:paraId="44DB51C8" w14:textId="77777777" w:rsidR="00F64C8A" w:rsidRPr="00100F0A" w:rsidRDefault="00F64C8A" w:rsidP="00F64C8A">
      <w:pPr>
        <w:pStyle w:val="BodyText"/>
      </w:pPr>
      <w:r w:rsidRPr="00100F0A">
        <w:t>The uncertainty of the SPL assessment is low, due mainly to the recent and detailed study (REC 2016) of SPL processing capacity, generation and stockpiles in Australia providing the necessary data.</w:t>
      </w:r>
    </w:p>
    <w:p w14:paraId="2CDD4FAE" w14:textId="77777777" w:rsidR="00F64C8A" w:rsidRPr="00100F0A" w:rsidRDefault="00F64C8A" w:rsidP="00F64C8A">
      <w:pPr>
        <w:pStyle w:val="BodyText"/>
      </w:pPr>
    </w:p>
    <w:p w14:paraId="4146A0E0" w14:textId="2D75FBE2" w:rsidR="00F64C8A" w:rsidRDefault="00F64C8A" w:rsidP="00F64C8A">
      <w:pPr>
        <w:rPr>
          <w:color w:val="080808"/>
        </w:rPr>
      </w:pPr>
      <w:r w:rsidRPr="00100F0A">
        <w:rPr>
          <w:b/>
          <w:color w:val="080808"/>
        </w:rPr>
        <w:t xml:space="preserve">Recommendation </w:t>
      </w:r>
      <w:r>
        <w:rPr>
          <w:b/>
          <w:color w:val="080808"/>
        </w:rPr>
        <w:t>6</w:t>
      </w:r>
      <w:r w:rsidRPr="00100F0A">
        <w:rPr>
          <w:b/>
          <w:color w:val="080808"/>
        </w:rPr>
        <w:t xml:space="preserve">: </w:t>
      </w:r>
      <w:r w:rsidRPr="00100F0A">
        <w:rPr>
          <w:color w:val="080808"/>
        </w:rPr>
        <w:t xml:space="preserve">Qld, NSW, Vic and Tas </w:t>
      </w:r>
      <w:r w:rsidR="003E7966">
        <w:rPr>
          <w:color w:val="080808"/>
        </w:rPr>
        <w:t>governments</w:t>
      </w:r>
      <w:r w:rsidRPr="00100F0A">
        <w:rPr>
          <w:color w:val="080808"/>
        </w:rPr>
        <w:t xml:space="preserve"> and DoEE </w:t>
      </w:r>
      <w:r>
        <w:rPr>
          <w:color w:val="080808"/>
        </w:rPr>
        <w:t xml:space="preserve">should </w:t>
      </w:r>
      <w:r w:rsidRPr="00100F0A">
        <w:rPr>
          <w:color w:val="080808"/>
        </w:rPr>
        <w:t xml:space="preserve">continue to actively engage with </w:t>
      </w:r>
      <w:r>
        <w:rPr>
          <w:color w:val="080808"/>
        </w:rPr>
        <w:t>a</w:t>
      </w:r>
      <w:r w:rsidRPr="00100F0A">
        <w:rPr>
          <w:color w:val="080808"/>
        </w:rPr>
        <w:t xml:space="preserve">luminium smelting companies regarding current SPL stockpiles to ensure that stockpiles continue to be drawn down each year until </w:t>
      </w:r>
      <w:r w:rsidR="003E7966">
        <w:rPr>
          <w:color w:val="080808"/>
        </w:rPr>
        <w:t>they</w:t>
      </w:r>
      <w:r w:rsidRPr="00100F0A">
        <w:rPr>
          <w:color w:val="080808"/>
        </w:rPr>
        <w:t xml:space="preserve"> are removed. </w:t>
      </w:r>
    </w:p>
    <w:p w14:paraId="5E6B755E" w14:textId="77777777" w:rsidR="00F64C8A" w:rsidRPr="00100F0A" w:rsidRDefault="00F64C8A" w:rsidP="00895CD4">
      <w:pPr>
        <w:pStyle w:val="Heading3-nonumber"/>
      </w:pPr>
      <w:r w:rsidRPr="00100F0A">
        <w:t>Hazardous waste energy recovery facilities</w:t>
      </w:r>
    </w:p>
    <w:p w14:paraId="5B828D29" w14:textId="36022B0D" w:rsidR="00F64C8A" w:rsidRPr="00100F0A" w:rsidRDefault="00F64C8A" w:rsidP="00F64C8A">
      <w:pPr>
        <w:rPr>
          <w:color w:val="000000"/>
          <w:szCs w:val="20"/>
        </w:rPr>
      </w:pPr>
      <w:r w:rsidRPr="00100F0A">
        <w:rPr>
          <w:color w:val="000000"/>
          <w:szCs w:val="20"/>
        </w:rPr>
        <w:t>At a national level, the assessment indicates that capacity has increased significantly since the 2015 assessment, due to the inclusion of cement kilns within the project scope and the allocation of these energy recovery tonnages to this group. The estimated arisings for this infrastructure group (2</w:t>
      </w:r>
      <w:r>
        <w:rPr>
          <w:color w:val="000000"/>
          <w:szCs w:val="20"/>
        </w:rPr>
        <w:t xml:space="preserve"> </w:t>
      </w:r>
      <w:r w:rsidRPr="00100F0A">
        <w:rPr>
          <w:color w:val="000000"/>
          <w:szCs w:val="20"/>
        </w:rPr>
        <w:t xml:space="preserve">kt) are incorrect. Industry reported </w:t>
      </w:r>
      <w:r w:rsidR="0035765A" w:rsidRPr="009D734D">
        <w:rPr>
          <w:color w:val="000000"/>
          <w:szCs w:val="20"/>
          <w:shd w:val="clear" w:color="auto" w:fill="FF0000"/>
        </w:rPr>
        <w:t>CIC</w:t>
      </w:r>
      <w:r w:rsidR="0035765A" w:rsidRPr="009D734D">
        <w:rPr>
          <w:color w:val="000000"/>
          <w:szCs w:val="20"/>
          <w:shd w:val="clear" w:color="auto" w:fill="FFFFFF" w:themeFill="background1"/>
        </w:rPr>
        <w:t xml:space="preserve"> </w:t>
      </w:r>
      <w:r w:rsidRPr="00100F0A">
        <w:rPr>
          <w:color w:val="000000"/>
          <w:szCs w:val="20"/>
        </w:rPr>
        <w:t>of waste currently received. The reasons for this are:</w:t>
      </w:r>
    </w:p>
    <w:p w14:paraId="3A6E3AF5" w14:textId="77777777" w:rsidR="00F64C8A" w:rsidRPr="00100F0A" w:rsidRDefault="00F64C8A" w:rsidP="00F64C8A">
      <w:pPr>
        <w:pStyle w:val="ListNumber"/>
        <w:numPr>
          <w:ilvl w:val="0"/>
          <w:numId w:val="57"/>
        </w:numPr>
      </w:pPr>
      <w:r w:rsidRPr="00100F0A">
        <w:t xml:space="preserve">Some of the 26 kt of solvents/paints recycling tonnages may actually be sent to energy recovery infrastructure. Currently, the jurisdictional waste tracking systems do not support the separate reporting of tonnages sent to recycling vs energy recovery, which limits the ability to assess energy recovery infrastructure need. </w:t>
      </w:r>
    </w:p>
    <w:p w14:paraId="31D89369" w14:textId="77777777" w:rsidR="00F64C8A" w:rsidRPr="00100F0A" w:rsidRDefault="00F64C8A" w:rsidP="00F64C8A">
      <w:pPr>
        <w:pStyle w:val="ListNumber"/>
      </w:pPr>
      <w:r w:rsidRPr="00100F0A">
        <w:t xml:space="preserve">Some of the waste that </w:t>
      </w:r>
      <w:r>
        <w:t>is</w:t>
      </w:r>
      <w:r w:rsidRPr="00100F0A">
        <w:t xml:space="preserve"> sent for energy recovery do</w:t>
      </w:r>
      <w:r>
        <w:t>es</w:t>
      </w:r>
      <w:r w:rsidRPr="00100F0A">
        <w:t xml:space="preserve"> not require tracking in some jurisdictions, for example waste oil in NSW and EOLT in NSW, SA and Vic.</w:t>
      </w:r>
    </w:p>
    <w:p w14:paraId="5C9BE4C8" w14:textId="77777777" w:rsidR="00F64C8A" w:rsidRPr="00100F0A" w:rsidRDefault="00F64C8A" w:rsidP="00F64C8A">
      <w:pPr>
        <w:rPr>
          <w:color w:val="000000"/>
          <w:szCs w:val="20"/>
        </w:rPr>
      </w:pPr>
    </w:p>
    <w:p w14:paraId="63A4AAFD" w14:textId="0C3A577C" w:rsidR="00F64C8A" w:rsidRPr="00100F0A" w:rsidRDefault="00F64C8A" w:rsidP="00F64C8A">
      <w:pPr>
        <w:rPr>
          <w:color w:val="000000"/>
          <w:szCs w:val="20"/>
        </w:rPr>
      </w:pPr>
      <w:r w:rsidRPr="00100F0A">
        <w:rPr>
          <w:color w:val="000000"/>
          <w:szCs w:val="20"/>
        </w:rPr>
        <w:t xml:space="preserve">Currently Australia's energy recovery from hazardous waste relies upon cement kilns as the offtake market. Whilst current installed capacity exceeds the </w:t>
      </w:r>
      <w:r w:rsidR="0035765A" w:rsidRPr="004909AC">
        <w:rPr>
          <w:color w:val="000000"/>
          <w:szCs w:val="20"/>
          <w:shd w:val="clear" w:color="auto" w:fill="FF0000"/>
        </w:rPr>
        <w:t>CIC</w:t>
      </w:r>
      <w:r w:rsidR="0035765A" w:rsidRPr="00100F0A" w:rsidDel="0035765A">
        <w:rPr>
          <w:color w:val="000000"/>
          <w:szCs w:val="20"/>
        </w:rPr>
        <w:t xml:space="preserve"> </w:t>
      </w:r>
      <w:r w:rsidRPr="00100F0A">
        <w:rPr>
          <w:color w:val="000000"/>
          <w:szCs w:val="20"/>
        </w:rPr>
        <w:t>estimated as received, this does not allow for significant increases without either amendment to cement kiln licences (if technical</w:t>
      </w:r>
      <w:r>
        <w:rPr>
          <w:color w:val="000000"/>
          <w:szCs w:val="20"/>
        </w:rPr>
        <w:t>ly</w:t>
      </w:r>
      <w:r w:rsidRPr="00100F0A">
        <w:rPr>
          <w:color w:val="000000"/>
          <w:szCs w:val="20"/>
        </w:rPr>
        <w:t xml:space="preserve"> feasible) or the development of additional energy recovery infrastructure apart from cement kilns. </w:t>
      </w:r>
    </w:p>
    <w:p w14:paraId="3F40A00D" w14:textId="77777777" w:rsidR="00F64C8A" w:rsidRPr="00100F0A" w:rsidRDefault="00F64C8A" w:rsidP="00895CD4">
      <w:pPr>
        <w:pStyle w:val="Heading3-nonumber"/>
      </w:pPr>
      <w:r w:rsidRPr="00100F0A">
        <w:t xml:space="preserve">Chemical and physical treatment (CPT) plant facilities </w:t>
      </w:r>
    </w:p>
    <w:p w14:paraId="2D48DB08" w14:textId="77777777" w:rsidR="00F64C8A" w:rsidRDefault="00F64C8A" w:rsidP="00F64C8A">
      <w:pPr>
        <w:pStyle w:val="BodyText"/>
      </w:pPr>
      <w:r w:rsidRPr="00100F0A">
        <w:rPr>
          <w:color w:val="080808"/>
          <w:lang w:eastAsia="en-AU"/>
        </w:rPr>
        <w:t>CPT plants are the archetypal hazardous waste facility, treating a range of waste types using a range of processes. Many of these operations are currently suffering from falling demand as manufacturing activity declines.</w:t>
      </w:r>
      <w:r w:rsidRPr="00100F0A">
        <w:t xml:space="preserve"> Across the country, industry reported falling amounts of hazardous manufacturing waste sent for treatment. In some instances, sharp declines were reported. This issue was reported in 2015 and remains current for th</w:t>
      </w:r>
      <w:r>
        <w:t>is</w:t>
      </w:r>
      <w:r w:rsidRPr="00100F0A">
        <w:t xml:space="preserve"> 2018 assessment. Our analysis, based on waste tracking data, estimated tonnages of waste sent to CPT of 700 kt in 2015 to just 400 kt in 2018, a fall of around 43% over three years.  </w:t>
      </w:r>
    </w:p>
    <w:p w14:paraId="5F07803F" w14:textId="77777777" w:rsidR="00F64C8A" w:rsidRPr="00100F0A" w:rsidRDefault="00F64C8A" w:rsidP="00F64C8A">
      <w:pPr>
        <w:pStyle w:val="BodyText"/>
      </w:pPr>
    </w:p>
    <w:p w14:paraId="3DCFCF86" w14:textId="77777777" w:rsidR="00F64C8A" w:rsidRPr="00100F0A" w:rsidRDefault="00F64C8A" w:rsidP="00F64C8A">
      <w:pPr>
        <w:pStyle w:val="BodyText"/>
      </w:pPr>
      <w:r w:rsidRPr="00100F0A">
        <w:t>This project is focused on identifying where Australia’s hazardous waste industry may become constrained over the next 20 years. CPT operators flagged that undersupply of waste could cause infrastructure shortages due to closure of key infrastructure that may no longer be viable as demand falls for processing of key high-volume waste.</w:t>
      </w:r>
    </w:p>
    <w:p w14:paraId="68590AF7" w14:textId="77777777" w:rsidR="00F64C8A" w:rsidRPr="00100F0A" w:rsidRDefault="00F64C8A" w:rsidP="00F64C8A">
      <w:pPr>
        <w:pStyle w:val="BodyText"/>
      </w:pPr>
    </w:p>
    <w:p w14:paraId="3B0683EA" w14:textId="621D02A1" w:rsidR="00F64C8A" w:rsidRPr="00100F0A" w:rsidRDefault="00F64C8A" w:rsidP="00F64C8A">
      <w:pPr>
        <w:rPr>
          <w:color w:val="000000"/>
          <w:szCs w:val="20"/>
        </w:rPr>
      </w:pPr>
      <w:r w:rsidRPr="00100F0A">
        <w:t xml:space="preserve">However, the overall tonnages of hazardous waste are projected to increase from around 6 </w:t>
      </w:r>
      <w:r>
        <w:t>Mt</w:t>
      </w:r>
      <w:r w:rsidRPr="00100F0A">
        <w:t xml:space="preserve"> currently to almost 10 </w:t>
      </w:r>
      <w:r>
        <w:t>Mt</w:t>
      </w:r>
      <w:r w:rsidRPr="00100F0A">
        <w:t xml:space="preserve"> in 2038</w:t>
      </w:r>
      <w:r>
        <w:t>, s</w:t>
      </w:r>
      <w:r w:rsidRPr="00100F0A">
        <w:t>o whil</w:t>
      </w:r>
      <w:r>
        <w:t>e</w:t>
      </w:r>
      <w:r w:rsidRPr="00100F0A">
        <w:t xml:space="preserve"> tonnages of some waste</w:t>
      </w:r>
      <w:r>
        <w:t xml:space="preserve"> </w:t>
      </w:r>
      <w:r w:rsidR="00C34F48">
        <w:t>are</w:t>
      </w:r>
      <w:r w:rsidRPr="00100F0A">
        <w:t xml:space="preserve"> declining and projected to continue doing so, other hazardous waste ty</w:t>
      </w:r>
      <w:r>
        <w:t>p</w:t>
      </w:r>
      <w:r w:rsidRPr="00100F0A">
        <w:t>es are projected to increase significantly. The challenge for industry and government is to plan for and implement infrastructure changes that can manage the rapidly changing composition and generating sectors/ locations of hazardous waste.</w:t>
      </w:r>
    </w:p>
    <w:p w14:paraId="03FF8E37" w14:textId="77777777" w:rsidR="00F64C8A" w:rsidRPr="00100F0A" w:rsidRDefault="00F64C8A" w:rsidP="00F64C8A">
      <w:pPr>
        <w:rPr>
          <w:color w:val="000000"/>
          <w:szCs w:val="20"/>
        </w:rPr>
      </w:pPr>
    </w:p>
    <w:p w14:paraId="7DFF7E29" w14:textId="77777777" w:rsidR="00F64C8A" w:rsidRPr="00100F0A" w:rsidRDefault="00F64C8A" w:rsidP="00F64C8A">
      <w:pPr>
        <w:rPr>
          <w:color w:val="000000"/>
          <w:szCs w:val="20"/>
        </w:rPr>
      </w:pPr>
      <w:r w:rsidRPr="00100F0A">
        <w:rPr>
          <w:color w:val="000000"/>
          <w:szCs w:val="20"/>
        </w:rPr>
        <w:t>At a national level, based on the best, high and low projections of arisings, CPT infrastructure is estimated to be able to meet national demand over the next 20 years. For all three scenarios, the projections are based on varying degrees of decline in some waste groups, such as B Acids and E Reactive chemicals, and growth in other waste groups, such as D300 Non-toxic salts and C Alkalis that are projected to increase driven by oil and gas</w:t>
      </w:r>
      <w:r>
        <w:rPr>
          <w:color w:val="000000"/>
          <w:szCs w:val="20"/>
        </w:rPr>
        <w:t>, particularly coal seam gas (CSG),</w:t>
      </w:r>
      <w:r w:rsidRPr="00100F0A">
        <w:rPr>
          <w:color w:val="000000"/>
          <w:szCs w:val="20"/>
        </w:rPr>
        <w:t xml:space="preserve"> industry developments. </w:t>
      </w:r>
    </w:p>
    <w:p w14:paraId="4D97F536" w14:textId="77777777" w:rsidR="00F64C8A" w:rsidRPr="00100F0A" w:rsidRDefault="00F64C8A" w:rsidP="00F64C8A">
      <w:pPr>
        <w:rPr>
          <w:color w:val="000000"/>
          <w:szCs w:val="20"/>
        </w:rPr>
      </w:pPr>
    </w:p>
    <w:p w14:paraId="59A6FE72" w14:textId="77777777" w:rsidR="00F64C8A" w:rsidRPr="00100F0A" w:rsidRDefault="00F64C8A" w:rsidP="00F64C8A">
      <w:pPr>
        <w:rPr>
          <w:color w:val="080808"/>
        </w:rPr>
      </w:pPr>
      <w:r w:rsidRPr="00100F0A">
        <w:rPr>
          <w:color w:val="080808"/>
          <w:lang w:eastAsia="en-AU"/>
        </w:rPr>
        <w:t>CPT current installed capacity is projected to be sufficient under all scenarios for NSW, Qld, SA</w:t>
      </w:r>
      <w:r>
        <w:rPr>
          <w:color w:val="080808"/>
          <w:lang w:eastAsia="en-AU"/>
        </w:rPr>
        <w:t>, Vic</w:t>
      </w:r>
      <w:r w:rsidRPr="00100F0A">
        <w:rPr>
          <w:color w:val="080808"/>
          <w:lang w:eastAsia="en-AU"/>
        </w:rPr>
        <w:t xml:space="preserve"> and WA. </w:t>
      </w:r>
      <w:r w:rsidRPr="00100F0A">
        <w:rPr>
          <w:color w:val="080808"/>
        </w:rPr>
        <w:t xml:space="preserve">ACT, NT and Tas have no local CPT capacity. Tas in particular appears to have a shortage of CPT capacity with no CPT capacity identified and estimated arisings of 16 kt. </w:t>
      </w:r>
    </w:p>
    <w:p w14:paraId="767C2F7B" w14:textId="77777777" w:rsidR="00F64C8A" w:rsidRPr="00100F0A" w:rsidRDefault="00F64C8A" w:rsidP="00F64C8A">
      <w:pPr>
        <w:rPr>
          <w:color w:val="080808"/>
        </w:rPr>
      </w:pPr>
    </w:p>
    <w:p w14:paraId="15367A3F" w14:textId="4C320993" w:rsidR="00F64C8A" w:rsidRPr="00100F0A" w:rsidRDefault="00F64C8A" w:rsidP="00F64C8A">
      <w:pPr>
        <w:rPr>
          <w:color w:val="080808"/>
        </w:rPr>
      </w:pPr>
      <w:r w:rsidRPr="00100F0A">
        <w:rPr>
          <w:b/>
          <w:color w:val="080808"/>
        </w:rPr>
        <w:t xml:space="preserve">Recommendation </w:t>
      </w:r>
      <w:r>
        <w:rPr>
          <w:b/>
          <w:color w:val="080808"/>
        </w:rPr>
        <w:t>7</w:t>
      </w:r>
      <w:r w:rsidRPr="00100F0A">
        <w:rPr>
          <w:b/>
          <w:color w:val="080808"/>
        </w:rPr>
        <w:t xml:space="preserve">: </w:t>
      </w:r>
      <w:r w:rsidRPr="00100F0A">
        <w:rPr>
          <w:color w:val="080808"/>
        </w:rPr>
        <w:t>Do</w:t>
      </w:r>
      <w:r>
        <w:rPr>
          <w:color w:val="080808"/>
        </w:rPr>
        <w:t>E</w:t>
      </w:r>
      <w:r w:rsidRPr="00100F0A">
        <w:rPr>
          <w:color w:val="080808"/>
        </w:rPr>
        <w:t xml:space="preserve">E and/or NSW and Qld EPAs </w:t>
      </w:r>
      <w:r w:rsidR="003E7966">
        <w:rPr>
          <w:color w:val="080808"/>
        </w:rPr>
        <w:t xml:space="preserve">should consult with the CSG industry </w:t>
      </w:r>
      <w:r w:rsidRPr="00100F0A">
        <w:rPr>
          <w:color w:val="080808"/>
        </w:rPr>
        <w:t>to develop a strategic plan for managing its waste, in particular waste in remote areas. This recommendation was made in 2015 and remains current.</w:t>
      </w:r>
    </w:p>
    <w:p w14:paraId="65FC8067" w14:textId="77777777" w:rsidR="00F64C8A" w:rsidRPr="00100F0A" w:rsidRDefault="00F64C8A" w:rsidP="00F64C8A">
      <w:pPr>
        <w:rPr>
          <w:b/>
          <w:color w:val="080808"/>
        </w:rPr>
      </w:pPr>
    </w:p>
    <w:p w14:paraId="22D6CE21" w14:textId="77777777" w:rsidR="00F64C8A" w:rsidRPr="00100F0A" w:rsidRDefault="00F64C8A" w:rsidP="00F64C8A">
      <w:pPr>
        <w:rPr>
          <w:color w:val="080808"/>
        </w:rPr>
      </w:pPr>
      <w:r w:rsidRPr="00100F0A">
        <w:rPr>
          <w:b/>
          <w:color w:val="080808"/>
        </w:rPr>
        <w:t xml:space="preserve">Recommendation </w:t>
      </w:r>
      <w:r>
        <w:rPr>
          <w:b/>
          <w:color w:val="080808"/>
        </w:rPr>
        <w:t>8</w:t>
      </w:r>
      <w:r w:rsidRPr="00100F0A">
        <w:rPr>
          <w:b/>
          <w:color w:val="080808"/>
        </w:rPr>
        <w:t xml:space="preserve">: </w:t>
      </w:r>
      <w:r w:rsidRPr="00100F0A">
        <w:rPr>
          <w:color w:val="080808"/>
        </w:rPr>
        <w:t>Do</w:t>
      </w:r>
      <w:r>
        <w:rPr>
          <w:color w:val="080808"/>
        </w:rPr>
        <w:t>E</w:t>
      </w:r>
      <w:r w:rsidRPr="00100F0A">
        <w:rPr>
          <w:color w:val="080808"/>
        </w:rPr>
        <w:t xml:space="preserve">E and/or Tas EPA should further investigate the supply of </w:t>
      </w:r>
      <w:r>
        <w:rPr>
          <w:color w:val="080808"/>
        </w:rPr>
        <w:t>CPT</w:t>
      </w:r>
      <w:r w:rsidRPr="00100F0A">
        <w:rPr>
          <w:color w:val="080808"/>
        </w:rPr>
        <w:t xml:space="preserve"> capacity for hazardous waste in Tas. This recommendation was made in 2015 and remains current.</w:t>
      </w:r>
    </w:p>
    <w:p w14:paraId="25AE923F" w14:textId="77777777" w:rsidR="00F64C8A" w:rsidRPr="00100F0A" w:rsidRDefault="00F64C8A" w:rsidP="00895CD4">
      <w:pPr>
        <w:pStyle w:val="Heading3-nonumber"/>
      </w:pPr>
      <w:r w:rsidRPr="00100F0A">
        <w:t xml:space="preserve">Clinical waste treatment facilities </w:t>
      </w:r>
    </w:p>
    <w:p w14:paraId="352D2E97" w14:textId="6130F654" w:rsidR="00F64C8A" w:rsidRPr="00100F0A" w:rsidRDefault="00F64C8A" w:rsidP="00F64C8A">
      <w:pPr>
        <w:rPr>
          <w:color w:val="080808"/>
        </w:rPr>
      </w:pPr>
      <w:r>
        <w:rPr>
          <w:color w:val="080808"/>
        </w:rPr>
        <w:t>In</w:t>
      </w:r>
      <w:r w:rsidRPr="00100F0A">
        <w:rPr>
          <w:color w:val="080808"/>
        </w:rPr>
        <w:t xml:space="preserve"> the best estimate, </w:t>
      </w:r>
      <w:r>
        <w:rPr>
          <w:color w:val="080808"/>
        </w:rPr>
        <w:t xml:space="preserve">clinical waste quantities will grow at the projected </w:t>
      </w:r>
      <w:r w:rsidR="00C34F48" w:rsidRPr="00100F0A">
        <w:rPr>
          <w:color w:val="080808"/>
        </w:rPr>
        <w:t>20</w:t>
      </w:r>
      <w:r w:rsidR="00C34F48">
        <w:rPr>
          <w:color w:val="080808"/>
        </w:rPr>
        <w:t>-year</w:t>
      </w:r>
      <w:r w:rsidRPr="00100F0A">
        <w:rPr>
          <w:color w:val="080808"/>
        </w:rPr>
        <w:t xml:space="preserve"> average annual</w:t>
      </w:r>
      <w:r>
        <w:rPr>
          <w:color w:val="080808"/>
        </w:rPr>
        <w:t xml:space="preserve"> growth rate of</w:t>
      </w:r>
      <w:r w:rsidRPr="00100F0A">
        <w:rPr>
          <w:color w:val="080808"/>
        </w:rPr>
        <w:t xml:space="preserve"> population growth (1.4% </w:t>
      </w:r>
      <w:r>
        <w:rPr>
          <w:color w:val="080808"/>
        </w:rPr>
        <w:t>pa</w:t>
      </w:r>
      <w:r w:rsidRPr="00100F0A">
        <w:rPr>
          <w:color w:val="080808"/>
        </w:rPr>
        <w:t>)</w:t>
      </w:r>
      <w:r>
        <w:rPr>
          <w:color w:val="080808"/>
        </w:rPr>
        <w:t xml:space="preserve">. At this rate, </w:t>
      </w:r>
      <w:r w:rsidRPr="00100F0A">
        <w:rPr>
          <w:color w:val="080808"/>
        </w:rPr>
        <w:t>the installed capacity of clinical waste treatment could be exceeded by 2024. Based on the high projection,</w:t>
      </w:r>
      <w:r>
        <w:rPr>
          <w:color w:val="080808"/>
        </w:rPr>
        <w:t xml:space="preserve"> with growth of 2.0 to 2.1% growth based on</w:t>
      </w:r>
      <w:r w:rsidRPr="00100F0A">
        <w:rPr>
          <w:color w:val="080808"/>
        </w:rPr>
        <w:t xml:space="preserve"> Thornton </w:t>
      </w:r>
      <w:r>
        <w:rPr>
          <w:color w:val="080808"/>
        </w:rPr>
        <w:t>(</w:t>
      </w:r>
      <w:r w:rsidRPr="00100F0A">
        <w:rPr>
          <w:color w:val="080808"/>
        </w:rPr>
        <w:t>2014</w:t>
      </w:r>
      <w:r>
        <w:rPr>
          <w:color w:val="080808"/>
        </w:rPr>
        <w:t>)</w:t>
      </w:r>
      <w:r w:rsidRPr="00100F0A">
        <w:rPr>
          <w:color w:val="080808"/>
        </w:rPr>
        <w:t xml:space="preserve">, national capacity could be exceeded in 2022. Under the low scenario where the waste arisings trend is flat, capacity is projected to meet demand over the next 20 years. </w:t>
      </w:r>
    </w:p>
    <w:p w14:paraId="21611712" w14:textId="77777777" w:rsidR="00F64C8A" w:rsidRPr="00100F0A" w:rsidRDefault="00F64C8A" w:rsidP="00F64C8A">
      <w:pPr>
        <w:rPr>
          <w:color w:val="080808"/>
        </w:rPr>
      </w:pPr>
    </w:p>
    <w:p w14:paraId="24BEDA91" w14:textId="77777777" w:rsidR="00F64C8A" w:rsidRPr="00100F0A" w:rsidRDefault="00F64C8A" w:rsidP="00F64C8A">
      <w:pPr>
        <w:rPr>
          <w:color w:val="080808"/>
        </w:rPr>
      </w:pPr>
      <w:r w:rsidRPr="00100F0A">
        <w:rPr>
          <w:color w:val="080808"/>
        </w:rPr>
        <w:t>The infrastructure needs vs capacity assessment for this group has high uncertainty due to a poor response rate from industry. Despite this uncertainty, the assessment indicate</w:t>
      </w:r>
      <w:r>
        <w:rPr>
          <w:color w:val="080808"/>
        </w:rPr>
        <w:t>s</w:t>
      </w:r>
      <w:r w:rsidRPr="00100F0A">
        <w:rPr>
          <w:color w:val="080808"/>
        </w:rPr>
        <w:t xml:space="preserve"> that Australia's clinical waste treatment capacity </w:t>
      </w:r>
      <w:r>
        <w:rPr>
          <w:color w:val="080808"/>
        </w:rPr>
        <w:t>will</w:t>
      </w:r>
      <w:r w:rsidRPr="00100F0A">
        <w:rPr>
          <w:color w:val="080808"/>
        </w:rPr>
        <w:t xml:space="preserve"> soon become constrained and investment in additional infrastructure may be required.</w:t>
      </w:r>
    </w:p>
    <w:p w14:paraId="48D3BC06" w14:textId="77777777" w:rsidR="00F64C8A" w:rsidRPr="00100F0A" w:rsidRDefault="00F64C8A" w:rsidP="00F64C8A">
      <w:pPr>
        <w:rPr>
          <w:color w:val="080808"/>
        </w:rPr>
      </w:pPr>
      <w:r w:rsidRPr="00100F0A">
        <w:rPr>
          <w:color w:val="080808"/>
        </w:rPr>
        <w:tab/>
      </w:r>
    </w:p>
    <w:p w14:paraId="7DE119BA" w14:textId="77777777" w:rsidR="00F64C8A" w:rsidRPr="00100F0A" w:rsidRDefault="00F64C8A" w:rsidP="00F64C8A">
      <w:pPr>
        <w:rPr>
          <w:color w:val="080808"/>
        </w:rPr>
      </w:pPr>
      <w:r w:rsidRPr="00100F0A">
        <w:rPr>
          <w:color w:val="080808"/>
        </w:rPr>
        <w:t>NT</w:t>
      </w:r>
      <w:r>
        <w:rPr>
          <w:color w:val="080808"/>
        </w:rPr>
        <w:t xml:space="preserve">, SA, Tas </w:t>
      </w:r>
      <w:r w:rsidRPr="00100F0A">
        <w:rPr>
          <w:color w:val="080808"/>
        </w:rPr>
        <w:t xml:space="preserve">and WA all appear to have sufficient clinical waste treatment capacity. ACT, NSW, Qld, and </w:t>
      </w:r>
      <w:r>
        <w:rPr>
          <w:color w:val="080808"/>
        </w:rPr>
        <w:t>Vic</w:t>
      </w:r>
      <w:r w:rsidRPr="00100F0A">
        <w:rPr>
          <w:color w:val="080808"/>
        </w:rPr>
        <w:t xml:space="preserve"> all appear to have insufficient local supply of clinical waste treatment capacity and are likely to be exporting significant quantities interstate. Based on the national assessment</w:t>
      </w:r>
      <w:r>
        <w:rPr>
          <w:color w:val="080808"/>
        </w:rPr>
        <w:t>,</w:t>
      </w:r>
      <w:r w:rsidRPr="00100F0A">
        <w:rPr>
          <w:color w:val="080808"/>
        </w:rPr>
        <w:t xml:space="preserve"> interstate capacity will soon become constrained.</w:t>
      </w:r>
    </w:p>
    <w:p w14:paraId="3FA4F5D2" w14:textId="77777777" w:rsidR="00F64C8A" w:rsidRPr="00100F0A" w:rsidRDefault="00F64C8A" w:rsidP="00F64C8A">
      <w:pPr>
        <w:rPr>
          <w:color w:val="080808"/>
        </w:rPr>
      </w:pPr>
    </w:p>
    <w:p w14:paraId="36775FDE" w14:textId="7B97D978" w:rsidR="00F64C8A" w:rsidRDefault="00F64C8A" w:rsidP="00F64C8A">
      <w:pPr>
        <w:rPr>
          <w:color w:val="080808"/>
        </w:rPr>
      </w:pPr>
      <w:r w:rsidRPr="00100F0A">
        <w:rPr>
          <w:b/>
          <w:color w:val="080808"/>
        </w:rPr>
        <w:t xml:space="preserve">Recommendation </w:t>
      </w:r>
      <w:r>
        <w:rPr>
          <w:b/>
          <w:color w:val="080808"/>
        </w:rPr>
        <w:t>9</w:t>
      </w:r>
      <w:r w:rsidRPr="00100F0A">
        <w:rPr>
          <w:b/>
          <w:color w:val="080808"/>
        </w:rPr>
        <w:t xml:space="preserve">: </w:t>
      </w:r>
      <w:r w:rsidRPr="00100F0A">
        <w:rPr>
          <w:color w:val="080808"/>
        </w:rPr>
        <w:t xml:space="preserve">ACT, NSW, Qld, and </w:t>
      </w:r>
      <w:r>
        <w:rPr>
          <w:color w:val="080808"/>
        </w:rPr>
        <w:t xml:space="preserve">Vic </w:t>
      </w:r>
      <w:r w:rsidR="003E7966">
        <w:rPr>
          <w:color w:val="080808"/>
        </w:rPr>
        <w:t>governments</w:t>
      </w:r>
      <w:r w:rsidRPr="00100F0A">
        <w:rPr>
          <w:color w:val="080808"/>
        </w:rPr>
        <w:t xml:space="preserve"> </w:t>
      </w:r>
      <w:r>
        <w:rPr>
          <w:color w:val="080808"/>
        </w:rPr>
        <w:t xml:space="preserve">should </w:t>
      </w:r>
      <w:r w:rsidRPr="00100F0A">
        <w:rPr>
          <w:color w:val="080808"/>
        </w:rPr>
        <w:t>consider completing feasibility studies to determine the viability of establishing clinical waste recycling capacity in their jurisdiction.</w:t>
      </w:r>
    </w:p>
    <w:p w14:paraId="17458033" w14:textId="77777777" w:rsidR="00F64C8A" w:rsidRPr="00100F0A" w:rsidRDefault="00F64C8A" w:rsidP="00895CD4">
      <w:pPr>
        <w:pStyle w:val="Heading3-nonumber"/>
      </w:pPr>
      <w:r w:rsidRPr="00100F0A">
        <w:t>Bioremediation facilities</w:t>
      </w:r>
    </w:p>
    <w:p w14:paraId="6053E5B7" w14:textId="77777777" w:rsidR="00F64C8A" w:rsidRPr="00100F0A" w:rsidRDefault="00F64C8A" w:rsidP="00F64C8A">
      <w:pPr>
        <w:pStyle w:val="BodyText"/>
      </w:pPr>
      <w:r>
        <w:t>There is limited coverage of the capacity of t</w:t>
      </w:r>
      <w:r w:rsidRPr="00100F0A">
        <w:t xml:space="preserve">his infrastructure group. Composting facilities are excluded from the database. This group is intended to refer to facilities that treat hazardous waste though biodegradation. Many commercial composting facilities are licenced to receive low level hazardous waste which </w:t>
      </w:r>
      <w:r>
        <w:t>is</w:t>
      </w:r>
      <w:r w:rsidRPr="00100F0A">
        <w:t xml:space="preserve"> effectively bioremediated in the composting process and these facilities are not within the project scope. </w:t>
      </w:r>
    </w:p>
    <w:p w14:paraId="0DA0785F" w14:textId="77777777" w:rsidR="00F64C8A" w:rsidRPr="00100F0A" w:rsidRDefault="00F64C8A" w:rsidP="00F64C8A">
      <w:pPr>
        <w:pStyle w:val="BodyText"/>
      </w:pPr>
    </w:p>
    <w:p w14:paraId="603694A6" w14:textId="77777777" w:rsidR="00F64C8A" w:rsidRPr="00100F0A" w:rsidRDefault="00F64C8A" w:rsidP="00F64C8A">
      <w:pPr>
        <w:pStyle w:val="BodyText"/>
      </w:pPr>
      <w:r w:rsidRPr="00100F0A">
        <w:t>Some 200 kt of hazardous waste were reported in tracking data as bioremediated. Most, if not all, of this material would be processed by commercial composting facilities licenced to take a range of low hazard organic waste such as grease trap. These composting facilities are not included in this database. Whilst it is worth maintaining transparency on the amount of hazardous waste being reported as bioremediated by the composting industry, it is beyond the project scope to assess the capacity of bioremediation capacity in Australia.</w:t>
      </w:r>
    </w:p>
    <w:p w14:paraId="28F190BA" w14:textId="77777777" w:rsidR="00F64C8A" w:rsidRPr="00100F0A" w:rsidRDefault="00F64C8A" w:rsidP="00F64C8A">
      <w:pPr>
        <w:pStyle w:val="BodyText"/>
      </w:pPr>
    </w:p>
    <w:p w14:paraId="564A030A" w14:textId="77777777" w:rsidR="00F64C8A" w:rsidRDefault="00F64C8A" w:rsidP="00F64C8A">
      <w:pPr>
        <w:rPr>
          <w:color w:val="080808"/>
        </w:rPr>
      </w:pPr>
      <w:r w:rsidRPr="00100F0A">
        <w:rPr>
          <w:b/>
          <w:color w:val="080808"/>
        </w:rPr>
        <w:t>Recommendation 1</w:t>
      </w:r>
      <w:r>
        <w:rPr>
          <w:b/>
          <w:color w:val="080808"/>
        </w:rPr>
        <w:t>0</w:t>
      </w:r>
      <w:r w:rsidRPr="00100F0A">
        <w:rPr>
          <w:b/>
          <w:color w:val="080808"/>
        </w:rPr>
        <w:t xml:space="preserve">: </w:t>
      </w:r>
      <w:r w:rsidRPr="00100F0A">
        <w:rPr>
          <w:color w:val="080808"/>
        </w:rPr>
        <w:t xml:space="preserve">State regulators that are operating waste tracking systems complete ongoing auditing of waste treated through bioremediation to ensure that only appropriate hazardous waste </w:t>
      </w:r>
      <w:r>
        <w:rPr>
          <w:color w:val="080808"/>
        </w:rPr>
        <w:t>is</w:t>
      </w:r>
      <w:r w:rsidRPr="00100F0A">
        <w:rPr>
          <w:color w:val="080808"/>
        </w:rPr>
        <w:t xml:space="preserve"> sent to composting operations. This may already be occurring. </w:t>
      </w:r>
    </w:p>
    <w:p w14:paraId="23399051" w14:textId="77777777" w:rsidR="00F64C8A" w:rsidRPr="00100F0A" w:rsidRDefault="00F64C8A" w:rsidP="00895CD4">
      <w:pPr>
        <w:pStyle w:val="Heading3-nonumber"/>
      </w:pPr>
      <w:r w:rsidRPr="00100F0A">
        <w:t xml:space="preserve">Oily water treatment </w:t>
      </w:r>
      <w:r>
        <w:t xml:space="preserve">(OWT) </w:t>
      </w:r>
      <w:r w:rsidRPr="00100F0A">
        <w:t xml:space="preserve">facilities </w:t>
      </w:r>
    </w:p>
    <w:p w14:paraId="7262361C" w14:textId="1C6205CD" w:rsidR="00F64C8A" w:rsidRPr="00100F0A" w:rsidRDefault="00F64C8A" w:rsidP="00F64C8A">
      <w:pPr>
        <w:pStyle w:val="BodyText"/>
      </w:pPr>
      <w:r w:rsidRPr="00100F0A">
        <w:t xml:space="preserve">This is a new infrastructure group for the 2018 assessment. Under the best estimate projection capacity would be exceeded in 2025, or as soon as 2019 under the high scenario estimate. Under the low projection, estimated capacity is not expected to be exceeded over the </w:t>
      </w:r>
      <w:r w:rsidR="00C34F48" w:rsidRPr="00100F0A">
        <w:t>20</w:t>
      </w:r>
      <w:r w:rsidR="00C34F48">
        <w:t>-year</w:t>
      </w:r>
      <w:r w:rsidRPr="00100F0A">
        <w:t xml:space="preserve"> projection period.  The reported 2016-17 arisings of 187 kt are more than the estimated receipts of around 150 kt which may be due to a lack of response from industry and the need to use averages for around a third of sites</w:t>
      </w:r>
      <w:r>
        <w:t>,</w:t>
      </w:r>
      <w:r w:rsidRPr="00100F0A">
        <w:t xml:space="preserve"> or it could be due to the database not including all sites from this diffuse infrastructure group.</w:t>
      </w:r>
    </w:p>
    <w:p w14:paraId="3CC2C356" w14:textId="77777777" w:rsidR="00F64C8A" w:rsidRPr="00100F0A" w:rsidRDefault="00F64C8A" w:rsidP="00F64C8A">
      <w:pPr>
        <w:pStyle w:val="BodyText"/>
      </w:pPr>
    </w:p>
    <w:p w14:paraId="16CC9B21" w14:textId="77777777" w:rsidR="00F64C8A" w:rsidRPr="00100F0A" w:rsidRDefault="00F64C8A" w:rsidP="00F64C8A">
      <w:pPr>
        <w:pStyle w:val="BodyText"/>
      </w:pPr>
      <w:r w:rsidRPr="00100F0A">
        <w:t xml:space="preserve">The uncertainty of the needs vs capacity assessment is very high due </w:t>
      </w:r>
      <w:r>
        <w:t xml:space="preserve">to </w:t>
      </w:r>
      <w:r w:rsidRPr="00100F0A">
        <w:t xml:space="preserve">the capacity assessment relying on average installed capacity for around a third of the sites and the high risk that small OWT plants are not included in the database. </w:t>
      </w:r>
    </w:p>
    <w:p w14:paraId="4267EF25" w14:textId="77777777" w:rsidR="00F64C8A" w:rsidRPr="00100F0A" w:rsidRDefault="00F64C8A" w:rsidP="00F64C8A">
      <w:pPr>
        <w:pStyle w:val="BodyText"/>
      </w:pPr>
    </w:p>
    <w:p w14:paraId="284E3416" w14:textId="77777777" w:rsidR="00F64C8A" w:rsidRPr="00100F0A" w:rsidRDefault="00F64C8A" w:rsidP="00F64C8A">
      <w:pPr>
        <w:pStyle w:val="BodyText"/>
      </w:pPr>
      <w:r w:rsidRPr="00100F0A">
        <w:t xml:space="preserve">Noting the above, the assessment indicates that capacity for OWT in Australia could become constrained over the next </w:t>
      </w:r>
      <w:r>
        <w:t>10</w:t>
      </w:r>
      <w:r w:rsidRPr="00100F0A">
        <w:t xml:space="preserve"> years and some additional capacity may be required. </w:t>
      </w:r>
    </w:p>
    <w:p w14:paraId="5B30FB12" w14:textId="77777777" w:rsidR="00F64C8A" w:rsidRPr="00100F0A" w:rsidRDefault="00F64C8A" w:rsidP="00F64C8A">
      <w:pPr>
        <w:pStyle w:val="BodyText"/>
      </w:pPr>
    </w:p>
    <w:p w14:paraId="011CBB88" w14:textId="582D549A" w:rsidR="00F64C8A" w:rsidRDefault="00F64C8A" w:rsidP="00F64C8A">
      <w:pPr>
        <w:pStyle w:val="BodyText"/>
      </w:pPr>
      <w:r w:rsidRPr="00100F0A">
        <w:t>The jurisdictional assessment indicates that all jurisdictions, apart from Qld, Tas and Vic, lack OWT capacity. However, OWT facilities are typically relatively simple operations that could be established quickly and in response to market demand</w:t>
      </w:r>
      <w:r>
        <w:t>,</w:t>
      </w:r>
      <w:r w:rsidRPr="00100F0A">
        <w:t xml:space="preserve"> and is an infrastructure group that should not require government involvement.</w:t>
      </w:r>
    </w:p>
    <w:p w14:paraId="5E1373E1" w14:textId="2B517A12" w:rsidR="00F64C8A" w:rsidRDefault="00F64C8A" w:rsidP="00F64C8A">
      <w:pPr>
        <w:pStyle w:val="BodyText"/>
      </w:pPr>
    </w:p>
    <w:p w14:paraId="6FC4DDA0" w14:textId="6E774233" w:rsidR="00F64C8A" w:rsidRDefault="00F64C8A" w:rsidP="00F64C8A">
      <w:pPr>
        <w:pStyle w:val="BodyText"/>
      </w:pPr>
    </w:p>
    <w:p w14:paraId="465309A7" w14:textId="77777777" w:rsidR="00F64C8A" w:rsidRPr="00100F0A" w:rsidRDefault="00F64C8A" w:rsidP="00895CD4">
      <w:pPr>
        <w:pStyle w:val="Heading3-nonumber"/>
      </w:pPr>
      <w:r w:rsidRPr="00100F0A">
        <w:t xml:space="preserve">Contaminated soils treatment facilities </w:t>
      </w:r>
    </w:p>
    <w:p w14:paraId="7AA61CD0" w14:textId="77777777" w:rsidR="00F64C8A" w:rsidRPr="00100F0A" w:rsidRDefault="00F64C8A" w:rsidP="00F64C8A">
      <w:pPr>
        <w:rPr>
          <w:color w:val="000000"/>
          <w:szCs w:val="20"/>
        </w:rPr>
      </w:pPr>
      <w:r w:rsidRPr="00100F0A">
        <w:rPr>
          <w:color w:val="000000"/>
          <w:szCs w:val="20"/>
        </w:rPr>
        <w:t xml:space="preserve">At a national level, under the best estimate projection, arisings would not exceed installed capacity over the next 20 years, </w:t>
      </w:r>
      <w:r>
        <w:rPr>
          <w:color w:val="000000"/>
          <w:szCs w:val="20"/>
        </w:rPr>
        <w:t xml:space="preserve">but would do so </w:t>
      </w:r>
      <w:r w:rsidRPr="00100F0A">
        <w:rPr>
          <w:color w:val="000000"/>
          <w:szCs w:val="20"/>
        </w:rPr>
        <w:t>under the high scenario. Under the low scenario</w:t>
      </w:r>
      <w:r>
        <w:rPr>
          <w:color w:val="000000"/>
          <w:szCs w:val="20"/>
        </w:rPr>
        <w:t>,</w:t>
      </w:r>
      <w:r w:rsidRPr="00100F0A">
        <w:rPr>
          <w:color w:val="000000"/>
          <w:szCs w:val="20"/>
        </w:rPr>
        <w:t xml:space="preserve"> capacity would not be exceeded over the projection period. </w:t>
      </w:r>
    </w:p>
    <w:p w14:paraId="51AC585D" w14:textId="77777777" w:rsidR="00F64C8A" w:rsidRPr="00100F0A" w:rsidRDefault="00F64C8A" w:rsidP="00F64C8A">
      <w:pPr>
        <w:rPr>
          <w:color w:val="000000"/>
          <w:szCs w:val="20"/>
        </w:rPr>
      </w:pPr>
    </w:p>
    <w:p w14:paraId="5BC6CAEA" w14:textId="77777777" w:rsidR="00F64C8A" w:rsidRPr="00100F0A" w:rsidRDefault="00F64C8A" w:rsidP="00F64C8A">
      <w:pPr>
        <w:rPr>
          <w:color w:val="000000"/>
          <w:szCs w:val="20"/>
        </w:rPr>
      </w:pPr>
      <w:r w:rsidRPr="00100F0A">
        <w:rPr>
          <w:color w:val="000000"/>
          <w:szCs w:val="20"/>
        </w:rPr>
        <w:t xml:space="preserve">Significant additional soil treatment capacity is under construction/commissioning in Vic that will add around 300 kt of additional installed capacity </w:t>
      </w:r>
      <w:r>
        <w:rPr>
          <w:color w:val="000000"/>
          <w:szCs w:val="20"/>
        </w:rPr>
        <w:t>and</w:t>
      </w:r>
      <w:r w:rsidRPr="00100F0A">
        <w:rPr>
          <w:color w:val="000000"/>
          <w:szCs w:val="20"/>
        </w:rPr>
        <w:t xml:space="preserve"> provide sufficient capacity for the long-term for Vic. The significant Vic treatment capacity may also be utilised to treat soil from interstate, with appropriate approvals in place. </w:t>
      </w:r>
    </w:p>
    <w:p w14:paraId="746358C2" w14:textId="77777777" w:rsidR="00F64C8A" w:rsidRPr="00100F0A" w:rsidRDefault="00F64C8A" w:rsidP="00F64C8A">
      <w:pPr>
        <w:rPr>
          <w:color w:val="000000"/>
          <w:szCs w:val="20"/>
        </w:rPr>
      </w:pPr>
    </w:p>
    <w:p w14:paraId="2250FDF1" w14:textId="77777777" w:rsidR="00F64C8A" w:rsidRPr="00100F0A" w:rsidRDefault="00F64C8A" w:rsidP="00F64C8A">
      <w:pPr>
        <w:rPr>
          <w:color w:val="000000"/>
          <w:szCs w:val="20"/>
        </w:rPr>
      </w:pPr>
      <w:r w:rsidRPr="00100F0A">
        <w:rPr>
          <w:color w:val="000000"/>
          <w:szCs w:val="20"/>
        </w:rPr>
        <w:t>The uncertainty of the needs vs capacity assessment is moderate due</w:t>
      </w:r>
      <w:r>
        <w:rPr>
          <w:color w:val="000000"/>
          <w:szCs w:val="20"/>
        </w:rPr>
        <w:t xml:space="preserve"> to</w:t>
      </w:r>
      <w:r w:rsidRPr="00100F0A">
        <w:rPr>
          <w:color w:val="000000"/>
          <w:szCs w:val="20"/>
        </w:rPr>
        <w:t xml:space="preserve"> the highly fluctuating generation rates of contaminated soil and the difficulty that contaminated soil facilities face in securing the contaminated soil for treatment. Industry report onsite management, contamination </w:t>
      </w:r>
      <w:r>
        <w:rPr>
          <w:color w:val="000000"/>
          <w:szCs w:val="20"/>
        </w:rPr>
        <w:t>dilution</w:t>
      </w:r>
      <w:r w:rsidRPr="00100F0A">
        <w:rPr>
          <w:color w:val="000000"/>
          <w:szCs w:val="20"/>
        </w:rPr>
        <w:t xml:space="preserve"> with clean soil and landfill disposal as serious threats to their investments, which reduces the certainty in infrastructure capacity investment. Importantly, these estimates assume no change to the current fate patterns of contaminated soil, which, based on the national average, is estimated to be 87%</w:t>
      </w:r>
      <w:r>
        <w:rPr>
          <w:color w:val="000000"/>
          <w:szCs w:val="20"/>
        </w:rPr>
        <w:t xml:space="preserve"> to</w:t>
      </w:r>
      <w:r w:rsidRPr="00100F0A">
        <w:rPr>
          <w:color w:val="000000"/>
          <w:szCs w:val="20"/>
        </w:rPr>
        <w:t xml:space="preserve"> landfill. If the treatment proportions are higher in other jurisdictions, the above assessment of no national capacity constraints would be affected.  </w:t>
      </w:r>
    </w:p>
    <w:p w14:paraId="182ADCF2" w14:textId="77777777" w:rsidR="00F64C8A" w:rsidRPr="00100F0A" w:rsidRDefault="00F64C8A" w:rsidP="00F64C8A">
      <w:pPr>
        <w:rPr>
          <w:color w:val="000000"/>
          <w:szCs w:val="20"/>
        </w:rPr>
      </w:pPr>
    </w:p>
    <w:p w14:paraId="3F6AF3F3" w14:textId="77777777" w:rsidR="00F64C8A" w:rsidRDefault="00F64C8A" w:rsidP="00F64C8A">
      <w:pPr>
        <w:rPr>
          <w:color w:val="000000"/>
          <w:szCs w:val="20"/>
        </w:rPr>
      </w:pPr>
      <w:r w:rsidRPr="00100F0A">
        <w:rPr>
          <w:color w:val="000000"/>
          <w:szCs w:val="20"/>
        </w:rPr>
        <w:t xml:space="preserve">Noting the above, the assessment indicates that there may be a need for additional soil treatment capacity in Australia if contaminated soil generation rates are high, except for Vic which has significant capacity coming online. </w:t>
      </w:r>
    </w:p>
    <w:p w14:paraId="051D886C" w14:textId="77777777" w:rsidR="00F64C8A" w:rsidRPr="00100F0A" w:rsidRDefault="00F64C8A" w:rsidP="00F64C8A">
      <w:pPr>
        <w:rPr>
          <w:color w:val="000000"/>
          <w:szCs w:val="20"/>
        </w:rPr>
      </w:pPr>
    </w:p>
    <w:p w14:paraId="5907543A" w14:textId="77777777" w:rsidR="00F64C8A" w:rsidRPr="00100F0A" w:rsidRDefault="00F64C8A" w:rsidP="00F64C8A">
      <w:pPr>
        <w:rPr>
          <w:color w:val="080808"/>
        </w:rPr>
      </w:pPr>
      <w:r w:rsidRPr="00100F0A">
        <w:rPr>
          <w:color w:val="080808"/>
        </w:rPr>
        <w:t>Installed capacity is concentrated in Vic, with some capacity also in NSW</w:t>
      </w:r>
      <w:r>
        <w:rPr>
          <w:color w:val="080808"/>
        </w:rPr>
        <w:t>, Tas</w:t>
      </w:r>
      <w:r w:rsidRPr="00100F0A">
        <w:rPr>
          <w:color w:val="080808"/>
        </w:rPr>
        <w:t xml:space="preserve"> and WA. A shortfall in current capacity is apparent in </w:t>
      </w:r>
      <w:r>
        <w:rPr>
          <w:color w:val="080808"/>
        </w:rPr>
        <w:t xml:space="preserve">NT, </w:t>
      </w:r>
      <w:r w:rsidRPr="00100F0A">
        <w:rPr>
          <w:color w:val="080808"/>
        </w:rPr>
        <w:t>Qld,</w:t>
      </w:r>
      <w:r>
        <w:rPr>
          <w:color w:val="080808"/>
        </w:rPr>
        <w:t xml:space="preserve"> and</w:t>
      </w:r>
      <w:r w:rsidRPr="00100F0A">
        <w:rPr>
          <w:color w:val="080808"/>
        </w:rPr>
        <w:t xml:space="preserve"> SA. Contaminated soil in these jurisdictions is likely disposed to landfill.</w:t>
      </w:r>
    </w:p>
    <w:p w14:paraId="0937095E" w14:textId="77777777" w:rsidR="00F64C8A" w:rsidRPr="00100F0A" w:rsidRDefault="00F64C8A" w:rsidP="00F64C8A">
      <w:pPr>
        <w:rPr>
          <w:color w:val="000000"/>
          <w:szCs w:val="20"/>
        </w:rPr>
      </w:pPr>
    </w:p>
    <w:p w14:paraId="1F6F1BE4" w14:textId="1A621C57" w:rsidR="00F64C8A" w:rsidRPr="00100F0A" w:rsidRDefault="00F64C8A" w:rsidP="00F64C8A">
      <w:pPr>
        <w:rPr>
          <w:color w:val="080808"/>
        </w:rPr>
      </w:pPr>
      <w:r w:rsidRPr="00100F0A">
        <w:rPr>
          <w:b/>
          <w:color w:val="080808"/>
        </w:rPr>
        <w:t>Recommendation 1</w:t>
      </w:r>
      <w:r>
        <w:rPr>
          <w:b/>
          <w:color w:val="080808"/>
        </w:rPr>
        <w:t>1</w:t>
      </w:r>
      <w:r w:rsidRPr="00100F0A">
        <w:rPr>
          <w:b/>
          <w:color w:val="080808"/>
        </w:rPr>
        <w:t xml:space="preserve">: </w:t>
      </w:r>
      <w:r>
        <w:rPr>
          <w:color w:val="080808"/>
        </w:rPr>
        <w:t xml:space="preserve">NT, </w:t>
      </w:r>
      <w:r w:rsidRPr="00100F0A">
        <w:rPr>
          <w:color w:val="080808"/>
        </w:rPr>
        <w:t xml:space="preserve">Qld, </w:t>
      </w:r>
      <w:r>
        <w:rPr>
          <w:color w:val="080808"/>
        </w:rPr>
        <w:t xml:space="preserve">and </w:t>
      </w:r>
      <w:r w:rsidRPr="00100F0A">
        <w:rPr>
          <w:color w:val="080808"/>
        </w:rPr>
        <w:t xml:space="preserve">SA </w:t>
      </w:r>
      <w:r w:rsidR="003E7966">
        <w:rPr>
          <w:color w:val="080808"/>
        </w:rPr>
        <w:t>governments</w:t>
      </w:r>
      <w:r>
        <w:rPr>
          <w:color w:val="080808"/>
        </w:rPr>
        <w:t xml:space="preserve"> should</w:t>
      </w:r>
      <w:r w:rsidRPr="00100F0A">
        <w:rPr>
          <w:color w:val="080808"/>
        </w:rPr>
        <w:t xml:space="preserve"> consider completing feasibility studies to determine the viability of establishing contaminated soil treatment capacity in their jurisdiction.</w:t>
      </w:r>
    </w:p>
    <w:p w14:paraId="048DAAE9" w14:textId="77777777" w:rsidR="00F64C8A" w:rsidRPr="00100F0A" w:rsidRDefault="00F64C8A" w:rsidP="00895CD4">
      <w:pPr>
        <w:pStyle w:val="Heading3-nonumber"/>
      </w:pPr>
      <w:r w:rsidRPr="00100F0A">
        <w:t xml:space="preserve">Hazardous waste landfill facilities </w:t>
      </w:r>
    </w:p>
    <w:p w14:paraId="49E25F25" w14:textId="77777777" w:rsidR="00F64C8A" w:rsidRPr="00100F0A" w:rsidRDefault="00F64C8A" w:rsidP="00F64C8A">
      <w:pPr>
        <w:rPr>
          <w:color w:val="080808"/>
          <w:lang w:eastAsia="en-AU"/>
        </w:rPr>
      </w:pPr>
      <w:r w:rsidRPr="00100F0A">
        <w:rPr>
          <w:color w:val="080808"/>
          <w:lang w:eastAsia="en-AU"/>
        </w:rPr>
        <w:t>At a national level, for all three scenarios</w:t>
      </w:r>
      <w:r>
        <w:rPr>
          <w:color w:val="080808"/>
          <w:lang w:eastAsia="en-AU"/>
        </w:rPr>
        <w:t>,</w:t>
      </w:r>
      <w:r w:rsidRPr="00100F0A">
        <w:rPr>
          <w:color w:val="080808"/>
          <w:lang w:eastAsia="en-AU"/>
        </w:rPr>
        <w:t xml:space="preserve"> the current 2016-17 arisings exceed the current installed annual capacity. The modelling assessment for this infrastructure group is incorrect. The response rate from site operators was only 50%, meaning infrastructure group averages were used, and generally the responses provided data only on waste currently received with little information on the installed capacity (</w:t>
      </w:r>
      <w:r>
        <w:rPr>
          <w:color w:val="080808"/>
          <w:lang w:eastAsia="en-AU"/>
        </w:rPr>
        <w:t>i.e. how much waste the landfill can receive annually</w:t>
      </w:r>
      <w:r w:rsidRPr="00100F0A">
        <w:rPr>
          <w:color w:val="080808"/>
          <w:lang w:eastAsia="en-AU"/>
        </w:rPr>
        <w:t>). This is understandable as, unlike other infrastructure types, landfills are usually able to cater to varying capacity demands (within reason) and a site’s installed annual capacity can be difficult to define.</w:t>
      </w:r>
    </w:p>
    <w:p w14:paraId="0C68F89E" w14:textId="77777777" w:rsidR="00F64C8A" w:rsidRPr="00100F0A" w:rsidRDefault="00F64C8A" w:rsidP="00F64C8A">
      <w:pPr>
        <w:rPr>
          <w:color w:val="080808"/>
          <w:lang w:eastAsia="en-AU"/>
        </w:rPr>
      </w:pPr>
    </w:p>
    <w:p w14:paraId="321687A3" w14:textId="77777777" w:rsidR="00F64C8A" w:rsidRDefault="00F64C8A" w:rsidP="00F64C8A">
      <w:pPr>
        <w:rPr>
          <w:color w:val="080808"/>
          <w:lang w:eastAsia="en-AU"/>
        </w:rPr>
      </w:pPr>
      <w:r w:rsidRPr="00100F0A">
        <w:rPr>
          <w:color w:val="080808"/>
          <w:lang w:eastAsia="en-AU"/>
        </w:rPr>
        <w:t xml:space="preserve">Perhaps more important than the above analysis are industry comments regarding the expected life (i.e. amount of airspace remaining and the number of years of operation before this capacity is consumed) of the </w:t>
      </w:r>
      <w:r>
        <w:rPr>
          <w:color w:val="080808"/>
          <w:lang w:eastAsia="en-AU"/>
        </w:rPr>
        <w:t>seven</w:t>
      </w:r>
      <w:r w:rsidRPr="00100F0A">
        <w:rPr>
          <w:color w:val="080808"/>
          <w:lang w:eastAsia="en-AU"/>
        </w:rPr>
        <w:t xml:space="preserve"> landfill sites included in this infrastructure group.</w:t>
      </w:r>
      <w:r>
        <w:rPr>
          <w:rStyle w:val="FootnoteReference"/>
          <w:color w:val="080808"/>
          <w:lang w:eastAsia="en-AU"/>
        </w:rPr>
        <w:footnoteReference w:id="7"/>
      </w:r>
      <w:r w:rsidRPr="00100F0A">
        <w:rPr>
          <w:color w:val="080808"/>
          <w:lang w:eastAsia="en-AU"/>
        </w:rPr>
        <w:t xml:space="preserve"> Landfill operators were asked how much waste could be received at the site before the site’s airspace was consumed. Where the operator responded, they all responded with an estimate of the expected year of closure or simply stated that the site had more than 20 years capacity remaining. </w:t>
      </w:r>
    </w:p>
    <w:p w14:paraId="255E4192" w14:textId="77777777" w:rsidR="00F64C8A" w:rsidRDefault="00F64C8A" w:rsidP="00F64C8A">
      <w:pPr>
        <w:rPr>
          <w:color w:val="080808"/>
          <w:lang w:eastAsia="en-AU"/>
        </w:rPr>
      </w:pPr>
    </w:p>
    <w:p w14:paraId="2C065136" w14:textId="2FD5763D" w:rsidR="00F64C8A" w:rsidRPr="00100F0A" w:rsidRDefault="0035765A" w:rsidP="00F64C8A">
      <w:pPr>
        <w:rPr>
          <w:color w:val="080808"/>
          <w:lang w:eastAsia="en-AU"/>
        </w:rPr>
      </w:pPr>
      <w:r>
        <w:rPr>
          <w:rFonts w:eastAsia="Times New Roman"/>
          <w:shd w:val="clear" w:color="auto" w:fill="FF0000"/>
        </w:rPr>
        <w:t>Text withheld to maintain commercial confidentiality</w:t>
      </w:r>
      <w:r w:rsidR="00F64C8A" w:rsidRPr="00887A1F">
        <w:rPr>
          <w:color w:val="080808"/>
          <w:lang w:eastAsia="en-AU"/>
        </w:rPr>
        <w:t>.</w:t>
      </w:r>
      <w:r w:rsidR="00F64C8A" w:rsidRPr="00100F0A">
        <w:rPr>
          <w:color w:val="080808"/>
          <w:lang w:eastAsia="en-AU"/>
        </w:rPr>
        <w:t xml:space="preserve"> No other sites surveyed in this category responded with a definitive response of planned closure within the new 20 years. Apart from Suez Elizabeth Drive, responses were generally vague on the expected closure year and it is recommended that more detailed investigation of the likely closure date of the landfills in this category be completed. Given the small number of sites and the extreme difficulty some jurisdictions have experienced in establishing new hazardous waste landfills, it is important to better understand the risk profile of each site in terms of its likelihood of closure due to: a lack of airspace, regulatory non-compliance, community concern and sudden airspace consumption due to extreme weather events such as cyclone or fire. </w:t>
      </w:r>
    </w:p>
    <w:p w14:paraId="09664FEC" w14:textId="77777777" w:rsidR="00F64C8A" w:rsidRPr="00100F0A" w:rsidRDefault="00F64C8A" w:rsidP="00F64C8A">
      <w:pPr>
        <w:rPr>
          <w:color w:val="080808"/>
          <w:lang w:eastAsia="en-AU"/>
        </w:rPr>
      </w:pPr>
    </w:p>
    <w:p w14:paraId="3514D944" w14:textId="1D035FEB" w:rsidR="00F64C8A" w:rsidRDefault="00F64C8A" w:rsidP="00F64C8A">
      <w:pPr>
        <w:rPr>
          <w:rFonts w:eastAsia="Times New Roman"/>
          <w:shd w:val="clear" w:color="auto" w:fill="FF0000"/>
        </w:rPr>
      </w:pPr>
      <w:r w:rsidRPr="00100F0A">
        <w:rPr>
          <w:b/>
          <w:color w:val="080808"/>
          <w:lang w:eastAsia="en-AU"/>
        </w:rPr>
        <w:t>Recommendation 1</w:t>
      </w:r>
      <w:r>
        <w:rPr>
          <w:b/>
          <w:color w:val="080808"/>
          <w:lang w:eastAsia="en-AU"/>
        </w:rPr>
        <w:t>2</w:t>
      </w:r>
      <w:r w:rsidRPr="00100F0A">
        <w:rPr>
          <w:b/>
          <w:color w:val="080808"/>
          <w:lang w:eastAsia="en-AU"/>
        </w:rPr>
        <w:t xml:space="preserve">: </w:t>
      </w:r>
      <w:r w:rsidRPr="00100F0A">
        <w:rPr>
          <w:color w:val="080808"/>
          <w:lang w:eastAsia="en-AU"/>
        </w:rPr>
        <w:t xml:space="preserve">DoEE </w:t>
      </w:r>
      <w:r>
        <w:rPr>
          <w:color w:val="080808"/>
          <w:lang w:eastAsia="en-AU"/>
        </w:rPr>
        <w:t xml:space="preserve">should </w:t>
      </w:r>
      <w:r w:rsidRPr="00100F0A">
        <w:rPr>
          <w:color w:val="080808"/>
          <w:lang w:eastAsia="en-AU"/>
        </w:rPr>
        <w:t xml:space="preserve">work with the jurisdictions to complete a detailed assessment of the likely closure year of the identified hazardous waste landfill facility infrastructure including a risk assessment of site capacity being impacted by issues such as extreme weather events. </w:t>
      </w:r>
      <w:r w:rsidR="0035765A">
        <w:rPr>
          <w:rFonts w:eastAsia="Times New Roman"/>
          <w:shd w:val="clear" w:color="auto" w:fill="FF0000"/>
        </w:rPr>
        <w:t>Text withheld to maintain commercial confidentiality</w:t>
      </w:r>
    </w:p>
    <w:p w14:paraId="1F4104CE" w14:textId="1C620364" w:rsidR="0035765A" w:rsidRDefault="0035765A" w:rsidP="00F64C8A">
      <w:pPr>
        <w:rPr>
          <w:rFonts w:eastAsia="Times New Roman"/>
          <w:shd w:val="clear" w:color="auto" w:fill="FF0000"/>
        </w:rPr>
      </w:pPr>
    </w:p>
    <w:p w14:paraId="7BDFD8F2" w14:textId="77777777" w:rsidR="00F64C8A" w:rsidRPr="00100F0A" w:rsidRDefault="00F64C8A" w:rsidP="00895CD4">
      <w:pPr>
        <w:pStyle w:val="Heading3-nonumber"/>
      </w:pPr>
      <w:r w:rsidRPr="00100F0A">
        <w:t>Landfill facilities (NEPM code N, T)</w:t>
      </w:r>
    </w:p>
    <w:p w14:paraId="5592B48C" w14:textId="77777777" w:rsidR="00F64C8A" w:rsidRPr="00100F0A" w:rsidRDefault="00F64C8A" w:rsidP="00F64C8A">
      <w:pPr>
        <w:rPr>
          <w:color w:val="080808"/>
          <w:szCs w:val="20"/>
        </w:rPr>
      </w:pPr>
      <w:r w:rsidRPr="00100F0A">
        <w:rPr>
          <w:color w:val="080808"/>
          <w:szCs w:val="20"/>
        </w:rPr>
        <w:t xml:space="preserve">This infrastructure group is not in the scope of hazardous waste database. As discussed in Section 3.2, a significant number of landfills are licensed to take hazardous waste NEPM codes N and T only (asbestos, EOLT, low level contaminated soil) and these facilities are not included in the infrastructure database. This is reflected in the almost </w:t>
      </w:r>
      <w:r>
        <w:rPr>
          <w:color w:val="080808"/>
          <w:szCs w:val="20"/>
        </w:rPr>
        <w:t>3 Mt</w:t>
      </w:r>
      <w:r w:rsidRPr="00100F0A">
        <w:rPr>
          <w:color w:val="080808"/>
          <w:szCs w:val="20"/>
        </w:rPr>
        <w:t xml:space="preserve"> of hazardous and controlled waste estimated to be sent to this infrastructure group, by far the largest portion of hazardous waste (almost half of the estimated 6 </w:t>
      </w:r>
      <w:r>
        <w:rPr>
          <w:color w:val="080808"/>
          <w:szCs w:val="20"/>
        </w:rPr>
        <w:t>Mt</w:t>
      </w:r>
      <w:r w:rsidRPr="00100F0A">
        <w:rPr>
          <w:color w:val="080808"/>
          <w:szCs w:val="20"/>
        </w:rPr>
        <w:t xml:space="preserve"> of arisings). Based on industry consultation and our assessment of landfill infrastructure for NEPM codes N and T only, we do not believe there is likely to be a national shortage of this infrastructure group over the next 20 years.</w:t>
      </w:r>
    </w:p>
    <w:p w14:paraId="782549C7" w14:textId="77777777" w:rsidR="00F64C8A" w:rsidRPr="00100F0A" w:rsidRDefault="00F64C8A" w:rsidP="00895CD4">
      <w:pPr>
        <w:pStyle w:val="Heading3-nonumber"/>
      </w:pPr>
      <w:r w:rsidRPr="00100F0A">
        <w:t xml:space="preserve">Landfills for asbestos disposal </w:t>
      </w:r>
    </w:p>
    <w:p w14:paraId="498C5F36" w14:textId="77777777" w:rsidR="00F64C8A" w:rsidRDefault="00F64C8A" w:rsidP="00F64C8A">
      <w:pPr>
        <w:rPr>
          <w:rFonts w:eastAsiaTheme="majorEastAsia" w:cstheme="majorBidi"/>
          <w:b/>
          <w:color w:val="4D4DB8"/>
          <w:sz w:val="24"/>
          <w:szCs w:val="26"/>
        </w:rPr>
      </w:pPr>
      <w:r w:rsidRPr="00100F0A">
        <w:rPr>
          <w:color w:val="080808"/>
        </w:rPr>
        <w:t>Unlike most waste, it is commonly accepted that the most appropriate fate for asbestos waste is landfill, where it can be safely removed from the environment for the long term. Across Australia, state and local governments are working towards a gradual rationalisation in the number of landfills in order to minimise the environmental and human health risks that landfills can create. As small regional landfills close, they are often replaced with transfer stations that consolidate waste and enable higher rates of resource recovery, reduce long term liabilities and risks, and transport bulk waste loads to a regional landfill.  However, few transfer stations in Australia accept asbestos. This creates a potentially serious problem of lack of local access to disposal options for waste asbestos. Consultation suggests this is a current issue and it is likely to worsen.</w:t>
      </w:r>
      <w:r>
        <w:rPr>
          <w:color w:val="080808"/>
        </w:rPr>
        <w:t xml:space="preserve"> </w:t>
      </w:r>
    </w:p>
    <w:p w14:paraId="292D87A4" w14:textId="77777777" w:rsidR="00F64C8A" w:rsidRPr="00100F0A" w:rsidRDefault="00F64C8A" w:rsidP="00895CD4">
      <w:pPr>
        <w:pStyle w:val="Heading3-nonumber"/>
      </w:pPr>
      <w:r w:rsidRPr="00100F0A">
        <w:t xml:space="preserve">POP thermal destruction facilities </w:t>
      </w:r>
    </w:p>
    <w:p w14:paraId="52B95D11" w14:textId="77777777" w:rsidR="00F64C8A" w:rsidRPr="00100F0A" w:rsidRDefault="00F64C8A" w:rsidP="00F64C8A">
      <w:pPr>
        <w:pStyle w:val="BodyText"/>
      </w:pPr>
      <w:r w:rsidRPr="00100F0A">
        <w:t xml:space="preserve">At a national level, under all scenarios the current and expected future POP capacity would be greatly exceeded in 2020 when, under the best estimate scenario, arisings are projected to increase to over 400 kt and increase to 450 kt by 2037. The major increases in arisings in 2020 are </w:t>
      </w:r>
      <w:r>
        <w:t>mostly</w:t>
      </w:r>
      <w:r w:rsidRPr="00100F0A">
        <w:t xml:space="preserve"> PFAS contaminated waste (soils, AFFF, biosolids) in 2020 and </w:t>
      </w:r>
      <w:r>
        <w:t>greater quantities of</w:t>
      </w:r>
      <w:r w:rsidRPr="00100F0A">
        <w:t xml:space="preserve"> POP-BDEs and HBCD waste starting in 2023. Whilst this identifies a major gap in Australia's dedicated POP thermal destruction capacity, the capacity assessment uncertainty for this group is very high. </w:t>
      </w:r>
      <w:r w:rsidRPr="008D144B">
        <w:t>POP destruction capacity</w:t>
      </w:r>
      <w:r>
        <w:t xml:space="preserve"> could turn out to be adequate due to</w:t>
      </w:r>
      <w:r w:rsidRPr="00100F0A">
        <w:t xml:space="preserve">: </w:t>
      </w:r>
    </w:p>
    <w:p w14:paraId="2C3441C0" w14:textId="258368E7" w:rsidR="00F64C8A" w:rsidRPr="00100F0A" w:rsidRDefault="00F64C8A" w:rsidP="00F64C8A">
      <w:pPr>
        <w:pStyle w:val="ListNumber"/>
        <w:numPr>
          <w:ilvl w:val="0"/>
          <w:numId w:val="56"/>
        </w:numPr>
      </w:pPr>
      <w:r w:rsidRPr="00100F0A">
        <w:t xml:space="preserve">POP </w:t>
      </w:r>
      <w:r>
        <w:t>thermal destruction</w:t>
      </w:r>
      <w:r w:rsidRPr="00100F0A">
        <w:t xml:space="preserve"> capacity within soils treatment facilities. By 2020, as noted above, Australia should have soil treatment facilities, that are able to receive POP, with a total installed capacity of over 300 kt. The capacity of these facilities to receive POP is not yet clear and for this assessment a conservative estimate is made of less than </w:t>
      </w:r>
      <w:r w:rsidR="00B01AA4" w:rsidRPr="009D734D">
        <w:rPr>
          <w:shd w:val="clear" w:color="auto" w:fill="FF0000"/>
        </w:rPr>
        <w:t>CIC</w:t>
      </w:r>
      <w:r w:rsidR="00B01AA4">
        <w:t xml:space="preserve"> </w:t>
      </w:r>
      <w:r w:rsidRPr="00100F0A">
        <w:t>of POP waste capacity within these facilities. It is possible that PFAS contaminated waste (soil and biosolids in particular) may</w:t>
      </w:r>
      <w:r>
        <w:t xml:space="preserve"> </w:t>
      </w:r>
      <w:r w:rsidRPr="00100F0A">
        <w:t>be treated by these facilities in much larger tonnages sufficient to manage the projected arisings.</w:t>
      </w:r>
    </w:p>
    <w:p w14:paraId="6BCB1DCB" w14:textId="3D5C380A" w:rsidR="00F64C8A" w:rsidRPr="00100F0A" w:rsidRDefault="00F64C8A" w:rsidP="00F64C8A">
      <w:pPr>
        <w:pStyle w:val="ListNumber"/>
      </w:pPr>
      <w:r w:rsidRPr="00100F0A">
        <w:t xml:space="preserve">POP </w:t>
      </w:r>
      <w:r>
        <w:t>thermal destruction</w:t>
      </w:r>
      <w:r w:rsidRPr="00100F0A">
        <w:t xml:space="preserve"> capacity within cement kilns. Cement kilns in Australia are currently destroying some POP including PFOS. The capacity of Australia's cement kilns to destroy POP is estimated to be </w:t>
      </w:r>
      <w:r w:rsidR="00B01AA4" w:rsidRPr="009D734D">
        <w:rPr>
          <w:shd w:val="clear" w:color="auto" w:fill="FF0000"/>
        </w:rPr>
        <w:t>CIC</w:t>
      </w:r>
      <w:r w:rsidRPr="00100F0A">
        <w:t xml:space="preserve">. The capacity of cement kilns to destroy additional POP tonnages </w:t>
      </w:r>
      <w:r>
        <w:t>i</w:t>
      </w:r>
      <w:r w:rsidRPr="00100F0A">
        <w:t xml:space="preserve">s unknown and there may be additional capacity if the appropriate testing and license approvals were successfully completed. </w:t>
      </w:r>
    </w:p>
    <w:p w14:paraId="6A42D3AE" w14:textId="77777777" w:rsidR="00F64C8A" w:rsidRPr="00100F0A" w:rsidRDefault="00F64C8A" w:rsidP="00F64C8A">
      <w:pPr>
        <w:pStyle w:val="ListNumber"/>
      </w:pPr>
      <w:r w:rsidRPr="00100F0A">
        <w:t xml:space="preserve">POP </w:t>
      </w:r>
      <w:r>
        <w:t>thermal destruction</w:t>
      </w:r>
      <w:r w:rsidRPr="00100F0A">
        <w:t xml:space="preserve"> capacity within </w:t>
      </w:r>
      <w:r>
        <w:t>c</w:t>
      </w:r>
      <w:r w:rsidRPr="00100F0A">
        <w:t xml:space="preserve">linical waste </w:t>
      </w:r>
      <w:r>
        <w:t>thermal destruction (</w:t>
      </w:r>
      <w:r w:rsidRPr="00100F0A">
        <w:t>TD</w:t>
      </w:r>
      <w:r>
        <w:t>)</w:t>
      </w:r>
      <w:r w:rsidRPr="00100F0A">
        <w:t xml:space="preserve"> facilities. Daniels (Toxfree) Laverton facility is licenced </w:t>
      </w:r>
      <w:r>
        <w:t>to process</w:t>
      </w:r>
      <w:r w:rsidRPr="00100F0A">
        <w:t xml:space="preserve"> highly contaminated PCB waste. Daniels (Toxfree) did not state the potential tonnages of POP that could be destroyed at the facility.  </w:t>
      </w:r>
    </w:p>
    <w:p w14:paraId="20BF9972" w14:textId="77777777" w:rsidR="00F64C8A" w:rsidRPr="00100F0A" w:rsidRDefault="00F64C8A" w:rsidP="00F64C8A">
      <w:pPr>
        <w:pStyle w:val="ListNumber"/>
        <w:numPr>
          <w:ilvl w:val="0"/>
          <w:numId w:val="0"/>
        </w:numPr>
      </w:pPr>
    </w:p>
    <w:p w14:paraId="716E7F15" w14:textId="27FED084" w:rsidR="00F64C8A" w:rsidRPr="00100F0A" w:rsidRDefault="00F64C8A" w:rsidP="00F64C8A">
      <w:pPr>
        <w:pStyle w:val="BodyText"/>
      </w:pPr>
      <w:r w:rsidRPr="00100F0A">
        <w:t>It may be the case that the current and planned suite of infrastructure that is able to destroy POP</w:t>
      </w:r>
      <w:r w:rsidR="00B01AA4">
        <w:t>s</w:t>
      </w:r>
      <w:r w:rsidRPr="00100F0A">
        <w:t xml:space="preserve"> can manage the projected tonnages of POP waste</w:t>
      </w:r>
      <w:r>
        <w:t>. This</w:t>
      </w:r>
      <w:r w:rsidRPr="00100F0A">
        <w:t xml:space="preserve"> will depend on the ability of the soil treatment, cement kilns and clinical waste destruction facilities</w:t>
      </w:r>
      <w:r>
        <w:t>’</w:t>
      </w:r>
      <w:r w:rsidRPr="00100F0A">
        <w:t xml:space="preserve"> ability to demonstrate the destruction of POP at the currently licensed limits. Future increases in POP waste may be able to be managed in the current infrastructure subject </w:t>
      </w:r>
      <w:r>
        <w:t xml:space="preserve">to </w:t>
      </w:r>
      <w:r w:rsidRPr="00100F0A">
        <w:t>demonstration of POP destruction and the approval of large increases in licensed capacities for POP waste.</w:t>
      </w:r>
    </w:p>
    <w:p w14:paraId="370E2C36" w14:textId="77777777" w:rsidR="00F64C8A" w:rsidRPr="00100F0A" w:rsidRDefault="00F64C8A" w:rsidP="00F64C8A">
      <w:pPr>
        <w:pStyle w:val="BodyText"/>
      </w:pPr>
      <w:r w:rsidRPr="00100F0A">
        <w:t xml:space="preserve"> </w:t>
      </w:r>
    </w:p>
    <w:p w14:paraId="35C2D687" w14:textId="77777777" w:rsidR="00F64C8A" w:rsidRDefault="00F64C8A" w:rsidP="00F64C8A">
      <w:pPr>
        <w:pStyle w:val="BodyText"/>
      </w:pPr>
      <w:r w:rsidRPr="00100F0A">
        <w:rPr>
          <w:b/>
        </w:rPr>
        <w:t>Recommendation 1</w:t>
      </w:r>
      <w:r>
        <w:rPr>
          <w:b/>
        </w:rPr>
        <w:t>3</w:t>
      </w:r>
      <w:r w:rsidRPr="00100F0A">
        <w:rPr>
          <w:b/>
        </w:rPr>
        <w:t>:</w:t>
      </w:r>
      <w:r w:rsidRPr="00100F0A">
        <w:t xml:space="preserve"> DoEE </w:t>
      </w:r>
      <w:r>
        <w:t xml:space="preserve">should </w:t>
      </w:r>
      <w:r w:rsidRPr="00100F0A">
        <w:t xml:space="preserve">work with jurisdictions and industry to agree an approach to determine the upper limit for tonnages/concentrations that can be received at the high temperature thermal soil treatment facilities, cement kilns and clinical waste thermal destruction units that will ensure thermal destruction of the PFAS, </w:t>
      </w:r>
      <w:r>
        <w:t>POP-</w:t>
      </w:r>
      <w:r w:rsidRPr="00100F0A">
        <w:t>BDE, HBCD</w:t>
      </w:r>
      <w:r>
        <w:t xml:space="preserve"> and</w:t>
      </w:r>
      <w:r w:rsidRPr="00100F0A">
        <w:t xml:space="preserve"> HCB wastes. This information is required to better understand how much additional dedicated POP thermal destruction capacity (from technologies such as plasma arc) may be required in future.</w:t>
      </w:r>
    </w:p>
    <w:p w14:paraId="47C97947" w14:textId="77777777" w:rsidR="00F64C8A" w:rsidRPr="00100F0A" w:rsidRDefault="00F64C8A" w:rsidP="00895CD4">
      <w:pPr>
        <w:pStyle w:val="Heading3-nonumber"/>
      </w:pPr>
      <w:r>
        <w:t xml:space="preserve">Thermal destruction of </w:t>
      </w:r>
      <w:r w:rsidRPr="00100F0A">
        <w:t>PFAS</w:t>
      </w:r>
      <w:r>
        <w:t xml:space="preserve"> in </w:t>
      </w:r>
      <w:r w:rsidRPr="00100F0A">
        <w:t>contaminated water</w:t>
      </w:r>
    </w:p>
    <w:p w14:paraId="173E7A6D" w14:textId="77777777" w:rsidR="00F64C8A" w:rsidRPr="00100F0A" w:rsidRDefault="00F64C8A" w:rsidP="00F64C8A">
      <w:pPr>
        <w:pStyle w:val="BodyText"/>
      </w:pPr>
      <w:r w:rsidRPr="00100F0A">
        <w:t xml:space="preserve">Industry commented that </w:t>
      </w:r>
      <w:r>
        <w:t xml:space="preserve">it </w:t>
      </w:r>
      <w:r w:rsidRPr="00100F0A">
        <w:t>urgently need</w:t>
      </w:r>
      <w:r>
        <w:t>s</w:t>
      </w:r>
      <w:r w:rsidRPr="00100F0A">
        <w:t xml:space="preserve"> further direction from regulators regarding the process requirements and contaminant thresholds for PFAS</w:t>
      </w:r>
      <w:r>
        <w:t>-</w:t>
      </w:r>
      <w:r w:rsidRPr="00100F0A">
        <w:t xml:space="preserve">impacted water clean-up. There is inconsistency between the jurisdictions and reliance on existing guidelines that do not specify PFAS limits. </w:t>
      </w:r>
    </w:p>
    <w:p w14:paraId="52EB7513" w14:textId="77777777" w:rsidR="00F64C8A" w:rsidRPr="00100F0A" w:rsidRDefault="00F64C8A" w:rsidP="00F64C8A">
      <w:pPr>
        <w:pStyle w:val="BodyText"/>
      </w:pPr>
    </w:p>
    <w:p w14:paraId="2DF72CB3" w14:textId="77777777" w:rsidR="00F64C8A" w:rsidRPr="00100F0A" w:rsidRDefault="00F64C8A" w:rsidP="00F64C8A">
      <w:pPr>
        <w:pStyle w:val="BodyText"/>
      </w:pPr>
      <w:r w:rsidRPr="00100F0A">
        <w:rPr>
          <w:b/>
        </w:rPr>
        <w:t>Recommendation 1</w:t>
      </w:r>
      <w:r>
        <w:rPr>
          <w:b/>
        </w:rPr>
        <w:t>4</w:t>
      </w:r>
      <w:r w:rsidRPr="00100F0A">
        <w:rPr>
          <w:b/>
        </w:rPr>
        <w:t xml:space="preserve">: </w:t>
      </w:r>
      <w:r>
        <w:t>T</w:t>
      </w:r>
      <w:r w:rsidRPr="00100F0A">
        <w:t>he process requirements and contaminant thresholds that need to be met for PFAS</w:t>
      </w:r>
      <w:r>
        <w:t>-</w:t>
      </w:r>
      <w:r w:rsidRPr="00100F0A">
        <w:t>impacted water clean-up should be defined. DoEE may be best placed to le</w:t>
      </w:r>
      <w:r>
        <w:t>a</w:t>
      </w:r>
      <w:r w:rsidRPr="00100F0A">
        <w:t>d the development of a recommended process and threshold that the jurisdictions could choose to adopt. This work may already be underway.</w:t>
      </w:r>
    </w:p>
    <w:p w14:paraId="7E7A9DD9" w14:textId="77777777" w:rsidR="00F64C8A" w:rsidRDefault="00F64C8A" w:rsidP="00F64C8A">
      <w:pPr>
        <w:pStyle w:val="BodyText"/>
      </w:pPr>
    </w:p>
    <w:p w14:paraId="41069155" w14:textId="77777777" w:rsidR="00F64C8A" w:rsidRPr="00100F0A" w:rsidRDefault="00F64C8A" w:rsidP="00F64C8A">
      <w:pPr>
        <w:pStyle w:val="BodyText"/>
      </w:pPr>
      <w:r w:rsidRPr="00100F0A">
        <w:t>PFAS</w:t>
      </w:r>
      <w:r>
        <w:t>-</w:t>
      </w:r>
      <w:r w:rsidRPr="00100F0A">
        <w:t>contaminated groundwater is being cleaned</w:t>
      </w:r>
      <w:r>
        <w:t xml:space="preserve"> </w:t>
      </w:r>
      <w:r w:rsidRPr="00100F0A">
        <w:t>up using activated carbon filtration processes to remove PFAS. Once the filtration media’s capacity to adsorb PFAS is exhausted, the contaminated material needs to be renewed. Industry commented that in Qld this material is able to be sent to landfill whereas in other jurisdictions the PFAS</w:t>
      </w:r>
      <w:r>
        <w:t>-</w:t>
      </w:r>
      <w:r w:rsidRPr="00100F0A">
        <w:t>contaminated material must be thermal</w:t>
      </w:r>
      <w:r>
        <w:t>ly</w:t>
      </w:r>
      <w:r w:rsidRPr="00100F0A">
        <w:t xml:space="preserve"> treated to destroy PFAS.  If PFAS</w:t>
      </w:r>
      <w:r>
        <w:t>-</w:t>
      </w:r>
      <w:r w:rsidRPr="00100F0A">
        <w:t>contaminated filtration media is being sen</w:t>
      </w:r>
      <w:r>
        <w:t>t</w:t>
      </w:r>
      <w:r w:rsidRPr="00100F0A">
        <w:t xml:space="preserve"> to landfill, rather than being thermal</w:t>
      </w:r>
      <w:r>
        <w:t>ly</w:t>
      </w:r>
      <w:r w:rsidRPr="00100F0A">
        <w:t xml:space="preserve"> destroyed, it would seem to defeat the efforts in removing PFAS from the groundwater in the first place (i.e. in landfill PFAS will presumably make its way back to </w:t>
      </w:r>
      <w:r>
        <w:t>the environment</w:t>
      </w:r>
      <w:r w:rsidRPr="00100F0A">
        <w:t xml:space="preserve">). </w:t>
      </w:r>
    </w:p>
    <w:p w14:paraId="34023B54" w14:textId="77777777" w:rsidR="00F64C8A" w:rsidRPr="00100F0A" w:rsidRDefault="00F64C8A" w:rsidP="00F64C8A">
      <w:pPr>
        <w:pStyle w:val="BodyText"/>
      </w:pPr>
    </w:p>
    <w:p w14:paraId="54AACA00" w14:textId="77777777" w:rsidR="00F64C8A" w:rsidRDefault="00F64C8A" w:rsidP="00F64C8A">
      <w:pPr>
        <w:pStyle w:val="BodyText"/>
      </w:pPr>
      <w:r w:rsidRPr="00100F0A">
        <w:rPr>
          <w:b/>
        </w:rPr>
        <w:t>Recommendation 1</w:t>
      </w:r>
      <w:r>
        <w:rPr>
          <w:b/>
        </w:rPr>
        <w:t>5</w:t>
      </w:r>
      <w:r w:rsidRPr="00100F0A">
        <w:rPr>
          <w:b/>
        </w:rPr>
        <w:t xml:space="preserve">: </w:t>
      </w:r>
      <w:r>
        <w:t>T</w:t>
      </w:r>
      <w:r w:rsidRPr="00100F0A">
        <w:t>he management requirements of PFAS</w:t>
      </w:r>
      <w:r>
        <w:t>-</w:t>
      </w:r>
      <w:r w:rsidRPr="00100F0A">
        <w:t xml:space="preserve">contaminated </w:t>
      </w:r>
      <w:r>
        <w:t>filter media</w:t>
      </w:r>
      <w:r w:rsidRPr="00100F0A">
        <w:t xml:space="preserve"> should be reviewed to ensure a nationally consistent approach.</w:t>
      </w:r>
    </w:p>
    <w:p w14:paraId="1E65377D" w14:textId="2AE79618" w:rsidR="00F64C8A" w:rsidRPr="00100F0A" w:rsidRDefault="00F64C8A" w:rsidP="00895CD4">
      <w:pPr>
        <w:pStyle w:val="Heading3-nonumber"/>
      </w:pPr>
      <w:r w:rsidRPr="00100F0A">
        <w:t>Clinical waste thermal destruction facilities</w:t>
      </w:r>
    </w:p>
    <w:p w14:paraId="2C0E6697" w14:textId="77777777" w:rsidR="00F64C8A" w:rsidRPr="00100F0A" w:rsidRDefault="00F64C8A" w:rsidP="00F64C8A">
      <w:pPr>
        <w:rPr>
          <w:color w:val="080808"/>
        </w:rPr>
      </w:pPr>
      <w:r w:rsidRPr="00100F0A">
        <w:rPr>
          <w:color w:val="080808"/>
        </w:rPr>
        <w:t xml:space="preserve">At a national level, based on the best, high and low projections of arisings, clinical waste thermal destruction infrastructure is estimated to meet national demand over the next 20 years. </w:t>
      </w:r>
    </w:p>
    <w:p w14:paraId="3F8280D4" w14:textId="77777777" w:rsidR="00F64C8A" w:rsidRPr="00100F0A" w:rsidRDefault="00F64C8A" w:rsidP="00F64C8A">
      <w:pPr>
        <w:rPr>
          <w:color w:val="080808"/>
        </w:rPr>
      </w:pPr>
    </w:p>
    <w:p w14:paraId="0C9513EB" w14:textId="77777777" w:rsidR="00F64C8A" w:rsidRPr="00100F0A" w:rsidRDefault="00F64C8A" w:rsidP="00F64C8A">
      <w:pPr>
        <w:rPr>
          <w:color w:val="080808"/>
        </w:rPr>
      </w:pPr>
      <w:r w:rsidRPr="00100F0A">
        <w:rPr>
          <w:color w:val="080808"/>
        </w:rPr>
        <w:t>The estimated 2016-17 arisings of 21 kt aligns with the 20 kt of waste received as reported by industry. With a currently capacity of 33 kt</w:t>
      </w:r>
      <w:r>
        <w:rPr>
          <w:color w:val="080808"/>
        </w:rPr>
        <w:t>/yr</w:t>
      </w:r>
      <w:r w:rsidRPr="00100F0A">
        <w:rPr>
          <w:color w:val="080808"/>
        </w:rPr>
        <w:t xml:space="preserve"> and an expected increase of 3 kt, there appears to be sufficient clinical waste thermal destruction capacity in Australia. </w:t>
      </w:r>
    </w:p>
    <w:p w14:paraId="4E29DC1D" w14:textId="77777777" w:rsidR="00F64C8A" w:rsidRPr="00100F0A" w:rsidRDefault="00F64C8A" w:rsidP="00F64C8A">
      <w:pPr>
        <w:rPr>
          <w:color w:val="080808"/>
        </w:rPr>
      </w:pPr>
    </w:p>
    <w:p w14:paraId="36EE11C9" w14:textId="77777777" w:rsidR="00F64C8A" w:rsidRPr="00100F0A" w:rsidRDefault="00F64C8A" w:rsidP="00F64C8A">
      <w:pPr>
        <w:rPr>
          <w:color w:val="080808"/>
        </w:rPr>
      </w:pPr>
      <w:r w:rsidRPr="00100F0A">
        <w:rPr>
          <w:color w:val="080808"/>
        </w:rPr>
        <w:t>The spare capacity of this infrastructure group has the potential to be impacted by the demand for POP thermal destruction where the site currently</w:t>
      </w:r>
      <w:r>
        <w:rPr>
          <w:color w:val="080808"/>
        </w:rPr>
        <w:t xml:space="preserve"> has</w:t>
      </w:r>
      <w:r w:rsidRPr="00100F0A">
        <w:rPr>
          <w:color w:val="080808"/>
        </w:rPr>
        <w:t xml:space="preserve"> or gains a licence for POP destruction. </w:t>
      </w:r>
    </w:p>
    <w:p w14:paraId="662D3046" w14:textId="77777777" w:rsidR="00F64C8A" w:rsidRPr="00100F0A" w:rsidRDefault="00F64C8A" w:rsidP="00F64C8A">
      <w:pPr>
        <w:rPr>
          <w:color w:val="080808"/>
        </w:rPr>
      </w:pPr>
      <w:r w:rsidRPr="00100F0A">
        <w:rPr>
          <w:color w:val="080808"/>
        </w:rPr>
        <w:t xml:space="preserve"> </w:t>
      </w:r>
    </w:p>
    <w:p w14:paraId="6EA1C89D" w14:textId="77777777" w:rsidR="00F64C8A" w:rsidRPr="00100F0A" w:rsidRDefault="00F64C8A" w:rsidP="00F64C8A">
      <w:pPr>
        <w:rPr>
          <w:color w:val="080808"/>
        </w:rPr>
      </w:pPr>
      <w:r w:rsidRPr="00100F0A">
        <w:rPr>
          <w:color w:val="080808"/>
        </w:rPr>
        <w:t xml:space="preserve">There is also reasonable national coverage with facilities in all jurisdictions apart from </w:t>
      </w:r>
      <w:r>
        <w:rPr>
          <w:color w:val="080808"/>
        </w:rPr>
        <w:t xml:space="preserve">ACT, </w:t>
      </w:r>
      <w:r w:rsidRPr="00100F0A">
        <w:rPr>
          <w:color w:val="080808"/>
        </w:rPr>
        <w:t>NT and Tas. The NT is serviced by a clinical waste treatment facility (autoclave). Tas has no clinical waste facilities (treatment or thermal destruction) in the 2018 database, which indicates a gap in capacity in Tas.</w:t>
      </w:r>
    </w:p>
    <w:p w14:paraId="4F9A3169" w14:textId="77777777" w:rsidR="00F64C8A" w:rsidRPr="00100F0A" w:rsidRDefault="00F64C8A" w:rsidP="00F64C8A">
      <w:pPr>
        <w:rPr>
          <w:b/>
          <w:color w:val="080808"/>
        </w:rPr>
      </w:pPr>
    </w:p>
    <w:p w14:paraId="69666514" w14:textId="77777777" w:rsidR="00F64C8A" w:rsidRPr="00100F0A" w:rsidRDefault="00F64C8A" w:rsidP="00F64C8A">
      <w:pPr>
        <w:rPr>
          <w:color w:val="080808"/>
        </w:rPr>
      </w:pPr>
      <w:r w:rsidRPr="00100F0A">
        <w:rPr>
          <w:b/>
          <w:color w:val="080808"/>
        </w:rPr>
        <w:t>Recommendation 1</w:t>
      </w:r>
      <w:r>
        <w:rPr>
          <w:b/>
          <w:color w:val="080808"/>
        </w:rPr>
        <w:t>6</w:t>
      </w:r>
      <w:r w:rsidRPr="00100F0A">
        <w:rPr>
          <w:b/>
          <w:color w:val="080808"/>
        </w:rPr>
        <w:t xml:space="preserve">: </w:t>
      </w:r>
      <w:r w:rsidRPr="00100F0A">
        <w:rPr>
          <w:color w:val="080808"/>
        </w:rPr>
        <w:t>Do</w:t>
      </w:r>
      <w:r>
        <w:rPr>
          <w:color w:val="080808"/>
        </w:rPr>
        <w:t>E</w:t>
      </w:r>
      <w:r w:rsidRPr="00100F0A">
        <w:rPr>
          <w:color w:val="080808"/>
        </w:rPr>
        <w:t>E and/or Tas EPA should further investigate the need for clinical waste treatment or thermal destruction facilities in Tas.</w:t>
      </w:r>
      <w:r>
        <w:rPr>
          <w:color w:val="080808"/>
        </w:rPr>
        <w:t xml:space="preserve"> </w:t>
      </w:r>
    </w:p>
    <w:p w14:paraId="1840AB9A" w14:textId="77777777" w:rsidR="00F64C8A" w:rsidRPr="00100F0A" w:rsidRDefault="00F64C8A" w:rsidP="00895CD4">
      <w:pPr>
        <w:pStyle w:val="Heading3-nonumber"/>
      </w:pPr>
      <w:r w:rsidRPr="00100F0A">
        <w:t>Transfer station or temporary storage facilities</w:t>
      </w:r>
    </w:p>
    <w:p w14:paraId="0403E5AD" w14:textId="77777777" w:rsidR="00F64C8A" w:rsidRPr="00100F0A" w:rsidRDefault="00F64C8A" w:rsidP="00F64C8A">
      <w:pPr>
        <w:pStyle w:val="BodyText"/>
      </w:pPr>
      <w:r w:rsidRPr="00100F0A">
        <w:t>Projections indicate that under all scenarios the current national transfer/temporary storage capacity of hazardous waste infrastructure is exceeded. These projections are not accurate due mainly to the capacity database having limited coverage of this group. Whilst some transfer facilities are included in this dataset</w:t>
      </w:r>
      <w:r>
        <w:t>,</w:t>
      </w:r>
      <w:r w:rsidRPr="00100F0A">
        <w:t xml:space="preserve"> it is recognised that there are other facilities which deal with hazardous waste that are not included in the dataset, such as smaller storage facilities and transfer stations.</w:t>
      </w:r>
    </w:p>
    <w:p w14:paraId="248ED034" w14:textId="77777777" w:rsidR="00F64C8A" w:rsidRPr="00100F0A" w:rsidRDefault="00F64C8A" w:rsidP="00F64C8A">
      <w:pPr>
        <w:pStyle w:val="BodyText"/>
      </w:pPr>
    </w:p>
    <w:p w14:paraId="15D610C4" w14:textId="77777777" w:rsidR="00F64C8A" w:rsidRPr="00100F0A" w:rsidRDefault="00F64C8A" w:rsidP="00F64C8A">
      <w:pPr>
        <w:pStyle w:val="BodyText"/>
      </w:pPr>
      <w:r>
        <w:t>T</w:t>
      </w:r>
      <w:r w:rsidRPr="00100F0A">
        <w:t>ransfer capacity estimates are</w:t>
      </w:r>
      <w:r>
        <w:t xml:space="preserve"> also</w:t>
      </w:r>
      <w:r w:rsidRPr="00100F0A">
        <w:t xml:space="preserve"> incomplete due to limited infrastructure coverage and some capacity being provided within other infrastructure groups. The capacity of transfer infrastructure is also not fixed (i.e. capacity can be scaled up and down by simply increas</w:t>
      </w:r>
      <w:r>
        <w:t>ing</w:t>
      </w:r>
      <w:r w:rsidRPr="00100F0A">
        <w:t xml:space="preserve"> the rate of load transfers).</w:t>
      </w:r>
    </w:p>
    <w:p w14:paraId="504DF9AE" w14:textId="77777777" w:rsidR="00F64C8A" w:rsidRPr="00100F0A" w:rsidRDefault="00F64C8A" w:rsidP="00F64C8A">
      <w:pPr>
        <w:pStyle w:val="BodyText"/>
      </w:pPr>
    </w:p>
    <w:p w14:paraId="5A70772E" w14:textId="77777777" w:rsidR="00F64C8A" w:rsidRPr="00100F0A" w:rsidRDefault="00F64C8A" w:rsidP="00F64C8A">
      <w:pPr>
        <w:pStyle w:val="BodyText"/>
      </w:pPr>
      <w:r>
        <w:t>The project team</w:t>
      </w:r>
      <w:r w:rsidRPr="00100F0A">
        <w:t xml:space="preserve"> surveyed industry asking </w:t>
      </w:r>
      <w:r>
        <w:t>respondents</w:t>
      </w:r>
      <w:r w:rsidRPr="00100F0A">
        <w:t xml:space="preserve"> to flag any major transport constraints. Very long transport distances particularly in WA were raised several times as a major barrier to treating/recovering hazardous waste. WA has </w:t>
      </w:r>
      <w:r>
        <w:t>four</w:t>
      </w:r>
      <w:r w:rsidRPr="00100F0A">
        <w:t xml:space="preserve"> of the 19 transfer station facilities in the 2018 database. For such a large state this appears low. If not already being undertaken, further investigation of strategic locations for transfer station facilities in WA is recommended. Consultation with industry on establishing joint venture transfer stations to consolidate waste from a range of waste companies and generators should be explored for WA and potentially Qld (to reduce costs of </w:t>
      </w:r>
      <w:r>
        <w:t>transporting coal-seam gas</w:t>
      </w:r>
      <w:r w:rsidRPr="00100F0A">
        <w:t xml:space="preserve"> waste). </w:t>
      </w:r>
    </w:p>
    <w:p w14:paraId="2798F9ED" w14:textId="77777777" w:rsidR="00F64C8A" w:rsidRPr="00100F0A" w:rsidRDefault="00F64C8A" w:rsidP="00F64C8A">
      <w:pPr>
        <w:pStyle w:val="BodyText"/>
      </w:pPr>
    </w:p>
    <w:p w14:paraId="32B8C740" w14:textId="12524D14" w:rsidR="00F64C8A" w:rsidRPr="00100F0A" w:rsidRDefault="00F64C8A" w:rsidP="00F64C8A">
      <w:pPr>
        <w:pStyle w:val="BodyText"/>
      </w:pPr>
      <w:r w:rsidRPr="00100F0A">
        <w:rPr>
          <w:b/>
          <w:color w:val="080808"/>
        </w:rPr>
        <w:t xml:space="preserve">Recommendation 17: </w:t>
      </w:r>
      <w:r w:rsidR="00D30CF1">
        <w:t xml:space="preserve">DoEE and/or WA </w:t>
      </w:r>
      <w:r w:rsidRPr="00100F0A">
        <w:t xml:space="preserve">and Qld </w:t>
      </w:r>
      <w:r w:rsidR="003E7966">
        <w:t>governments</w:t>
      </w:r>
      <w:r w:rsidRPr="00100F0A">
        <w:t xml:space="preserve"> should complete a detailed assessment and consultation with industry regarding the need for and (where required) best location(s) for additional hazardous waste transfer station/temporary storage infrastructure. This recommendation was made in 2015 and remains current.</w:t>
      </w:r>
    </w:p>
    <w:p w14:paraId="75C0A708" w14:textId="77777777" w:rsidR="00F64C8A" w:rsidRPr="00100F0A" w:rsidRDefault="00F64C8A" w:rsidP="00895CD4">
      <w:pPr>
        <w:pStyle w:val="Heading3-nonumber"/>
      </w:pPr>
      <w:r w:rsidRPr="00100F0A">
        <w:t>Long-term isolation facilities</w:t>
      </w:r>
    </w:p>
    <w:p w14:paraId="7AD4D45D" w14:textId="1BBE3B75" w:rsidR="00F64C8A" w:rsidRDefault="00F64C8A" w:rsidP="00F64C8A">
      <w:pPr>
        <w:pStyle w:val="BodyText"/>
      </w:pPr>
      <w:r w:rsidRPr="00100F0A">
        <w:t xml:space="preserve">Two long-term isolation facilities are currently under development and aim to be operational in around </w:t>
      </w:r>
      <w:r>
        <w:t>five</w:t>
      </w:r>
      <w:r w:rsidRPr="00100F0A">
        <w:t xml:space="preserve"> years’ time. Assuming that both become operational, they would provide capacity for up to </w:t>
      </w:r>
      <w:r w:rsidR="00577ABA" w:rsidRPr="009D734D">
        <w:rPr>
          <w:shd w:val="clear" w:color="auto" w:fill="FF0000"/>
        </w:rPr>
        <w:t>CIC</w:t>
      </w:r>
      <w:r w:rsidR="00577ABA">
        <w:t xml:space="preserve"> </w:t>
      </w:r>
      <w:r w:rsidRPr="00100F0A">
        <w:t xml:space="preserve">for highly intractable waste that </w:t>
      </w:r>
      <w:r>
        <w:t>lacks</w:t>
      </w:r>
      <w:r w:rsidRPr="00100F0A">
        <w:t xml:space="preserve"> viable treatment or destruction options. This would provide good mitigation for the risks associated with having only </w:t>
      </w:r>
      <w:r>
        <w:t>six</w:t>
      </w:r>
      <w:r w:rsidRPr="00100F0A">
        <w:t xml:space="preserve"> </w:t>
      </w:r>
      <w:r>
        <w:t xml:space="preserve">(operational) </w:t>
      </w:r>
      <w:r w:rsidRPr="00100F0A">
        <w:t xml:space="preserve">hazardous waste landfills in Australia, with the main NSW site due to close in </w:t>
      </w:r>
      <w:r w:rsidR="00577ABA" w:rsidRPr="009D734D">
        <w:rPr>
          <w:shd w:val="clear" w:color="auto" w:fill="FF0000"/>
        </w:rPr>
        <w:t>CIC</w:t>
      </w:r>
      <w:r w:rsidRPr="00100F0A">
        <w:t>.</w:t>
      </w:r>
    </w:p>
    <w:p w14:paraId="7618C227" w14:textId="77777777" w:rsidR="00577ABA" w:rsidRDefault="00577ABA" w:rsidP="00F64C8A">
      <w:pPr>
        <w:pStyle w:val="BodyText"/>
      </w:pPr>
    </w:p>
    <w:p w14:paraId="51E3FABB" w14:textId="77777777" w:rsidR="00F64C8A" w:rsidRDefault="00F64C8A" w:rsidP="00F64C8A">
      <w:pPr>
        <w:pStyle w:val="BodyText"/>
      </w:pPr>
      <w:r w:rsidRPr="00895CD4">
        <w:t>CSG reverse osmosis brine wastes and long-term isolation capacity</w:t>
      </w:r>
      <w:r w:rsidRPr="00F64C8A">
        <w:t>:</w:t>
      </w:r>
      <w:r>
        <w:t xml:space="preserve"> under the high projection scenario, it is assumed that, after five years new arisings of CSG reverse osmosis brine wastes will be required to be managed offsite and would be sent to long-term isolation facilities (rather than being stored onsite). Historical stockpiles are assumed to remain onsite. </w:t>
      </w:r>
    </w:p>
    <w:p w14:paraId="3216B705" w14:textId="77777777" w:rsidR="00F64C8A" w:rsidRDefault="00F64C8A" w:rsidP="00F64C8A">
      <w:pPr>
        <w:pStyle w:val="BodyText"/>
      </w:pPr>
    </w:p>
    <w:p w14:paraId="2C78018D" w14:textId="6BFBC580" w:rsidR="00F64C8A" w:rsidRDefault="00F64C8A" w:rsidP="00F64C8A">
      <w:pPr>
        <w:pStyle w:val="BodyText"/>
      </w:pPr>
      <w:r>
        <w:t xml:space="preserve">This results in a very large increase, 2.5 Mt/yr, in 2023 increasing to 3.2 Mt/yr by 2037 that is projected to need long-term isolation facility capacity. This presents a shortfall of </w:t>
      </w:r>
      <w:r w:rsidR="00577ABA" w:rsidRPr="009D734D">
        <w:rPr>
          <w:shd w:val="clear" w:color="auto" w:fill="FF0000"/>
        </w:rPr>
        <w:t>CIC</w:t>
      </w:r>
      <w:r>
        <w:t xml:space="preserve"> Mt of capacity in 2023, even when the currently planned facilities are built and operating at capacity. </w:t>
      </w:r>
    </w:p>
    <w:p w14:paraId="12E043AF" w14:textId="77777777" w:rsidR="00F64C8A" w:rsidRDefault="00F64C8A" w:rsidP="00F64C8A">
      <w:pPr>
        <w:pStyle w:val="BodyText"/>
      </w:pPr>
    </w:p>
    <w:p w14:paraId="409152A9" w14:textId="4B9D9733" w:rsidR="00F64C8A" w:rsidRDefault="00F64C8A" w:rsidP="00F64C8A">
      <w:pPr>
        <w:pStyle w:val="BodyText"/>
      </w:pPr>
      <w:r w:rsidRPr="00F7413A">
        <w:rPr>
          <w:b/>
        </w:rPr>
        <w:t>Recommendation</w:t>
      </w:r>
      <w:r>
        <w:rPr>
          <w:b/>
        </w:rPr>
        <w:t xml:space="preserve"> 18</w:t>
      </w:r>
      <w:r>
        <w:t xml:space="preserve">: </w:t>
      </w:r>
      <w:r w:rsidR="00CF3752">
        <w:t xml:space="preserve">DoEE should work with state and territory governments </w:t>
      </w:r>
      <w:r>
        <w:t xml:space="preserve">to assess the appropriate management of CSG RO brine wastes and determine </w:t>
      </w:r>
      <w:r w:rsidR="00CF3752">
        <w:t>the likelihood that offsite disposal requirements will be needed in future</w:t>
      </w:r>
      <w:r>
        <w:t>.</w:t>
      </w:r>
    </w:p>
    <w:p w14:paraId="221CFF2E" w14:textId="77777777" w:rsidR="00F64C8A" w:rsidRPr="00100F0A" w:rsidRDefault="00F64C8A" w:rsidP="00895CD4">
      <w:pPr>
        <w:pStyle w:val="Heading3-nonumber"/>
      </w:pPr>
      <w:r w:rsidRPr="00100F0A">
        <w:t>Uncertainty in assessing need vs capacity</w:t>
      </w:r>
    </w:p>
    <w:p w14:paraId="4D763CC2" w14:textId="77777777" w:rsidR="00F64C8A" w:rsidRPr="00100F0A" w:rsidRDefault="00F64C8A" w:rsidP="00F64C8A">
      <w:pPr>
        <w:rPr>
          <w:color w:val="080808"/>
        </w:rPr>
      </w:pPr>
      <w:r w:rsidRPr="00100F0A">
        <w:rPr>
          <w:color w:val="080808"/>
        </w:rPr>
        <w:t xml:space="preserve">Future scenarios are inherently uncertain. The arisings of hazardous waste are influenced by industrial markets, development activities, social licences, government regulations and technological innovations that are all unpredictable. The infrastructure servicing this waste is </w:t>
      </w:r>
      <w:r>
        <w:rPr>
          <w:color w:val="080808"/>
        </w:rPr>
        <w:t xml:space="preserve">changeable and </w:t>
      </w:r>
      <w:r w:rsidRPr="00100F0A">
        <w:rPr>
          <w:color w:val="080808"/>
        </w:rPr>
        <w:t>difficult to characterise</w:t>
      </w:r>
      <w:r>
        <w:rPr>
          <w:color w:val="080808"/>
        </w:rPr>
        <w:t>,</w:t>
      </w:r>
      <w:r w:rsidRPr="00100F0A">
        <w:rPr>
          <w:color w:val="080808"/>
        </w:rPr>
        <w:t xml:space="preserve"> and information on its activities is limited and hard to obtain. The language of the jurisdictional data (e.g. NEPM codes) differs from that of the industry, creating problems and uncertainties in matching the two. As a result of these uncertainties, the key conclusions of this analysis should be taken as indicative. </w:t>
      </w:r>
    </w:p>
    <w:p w14:paraId="4C05CF65" w14:textId="77777777" w:rsidR="00F64C8A" w:rsidRPr="00100F0A" w:rsidRDefault="00F64C8A" w:rsidP="00F64C8A">
      <w:pPr>
        <w:rPr>
          <w:color w:val="080808"/>
        </w:rPr>
      </w:pPr>
    </w:p>
    <w:p w14:paraId="15F22545" w14:textId="77777777" w:rsidR="00F64C8A" w:rsidRPr="00100F0A" w:rsidRDefault="00F64C8A" w:rsidP="00F64C8A">
      <w:pPr>
        <w:rPr>
          <w:color w:val="080808"/>
        </w:rPr>
      </w:pPr>
      <w:r w:rsidRPr="00100F0A">
        <w:rPr>
          <w:color w:val="080808"/>
        </w:rPr>
        <w:t xml:space="preserve">Since the 2015 assessment, significant work has been undertaken by DoEE and the jurisdictions to better understand, document and </w:t>
      </w:r>
      <w:r>
        <w:rPr>
          <w:color w:val="080808"/>
        </w:rPr>
        <w:t>rationalise</w:t>
      </w:r>
      <w:r w:rsidRPr="00100F0A">
        <w:rPr>
          <w:color w:val="080808"/>
        </w:rPr>
        <w:t xml:space="preserve"> hazardous waste tracking systems and the recording of hazardous waste arisings and management method</w:t>
      </w:r>
      <w:r>
        <w:rPr>
          <w:color w:val="080808"/>
        </w:rPr>
        <w:t>s</w:t>
      </w:r>
      <w:r w:rsidRPr="00100F0A">
        <w:rPr>
          <w:color w:val="080808"/>
        </w:rPr>
        <w:t xml:space="preserve">. However, there are still challenges in compiling the data required to complete this assessment. For example, it is still not possible to determine from the tracking system data the tonnages of hazardous waste sent to energy recovery </w:t>
      </w:r>
      <w:r>
        <w:rPr>
          <w:color w:val="080808"/>
        </w:rPr>
        <w:t>(it is hidden in</w:t>
      </w:r>
      <w:r w:rsidRPr="00100F0A">
        <w:rPr>
          <w:color w:val="080808"/>
        </w:rPr>
        <w:t xml:space="preserve"> the recycling tonnages</w:t>
      </w:r>
      <w:r>
        <w:rPr>
          <w:color w:val="080808"/>
        </w:rPr>
        <w:t>)</w:t>
      </w:r>
      <w:r w:rsidRPr="00100F0A">
        <w:rPr>
          <w:color w:val="080808"/>
        </w:rPr>
        <w:t xml:space="preserve">. </w:t>
      </w:r>
    </w:p>
    <w:p w14:paraId="058C77CD" w14:textId="77777777" w:rsidR="00F64C8A" w:rsidRPr="00100F0A" w:rsidRDefault="00F64C8A" w:rsidP="00F64C8A">
      <w:pPr>
        <w:rPr>
          <w:color w:val="080808"/>
        </w:rPr>
      </w:pPr>
      <w:r w:rsidRPr="00100F0A">
        <w:rPr>
          <w:color w:val="080808"/>
        </w:rPr>
        <w:t xml:space="preserve"> </w:t>
      </w:r>
    </w:p>
    <w:p w14:paraId="78DC9BA2" w14:textId="77777777" w:rsidR="00F64C8A" w:rsidRPr="00100F0A" w:rsidRDefault="00F64C8A" w:rsidP="00F64C8A">
      <w:pPr>
        <w:rPr>
          <w:color w:val="080808"/>
        </w:rPr>
      </w:pPr>
      <w:r w:rsidRPr="00100F0A">
        <w:rPr>
          <w:b/>
          <w:color w:val="080808"/>
        </w:rPr>
        <w:t>Recommendation 1</w:t>
      </w:r>
      <w:r>
        <w:rPr>
          <w:b/>
          <w:color w:val="080808"/>
        </w:rPr>
        <w:t>9</w:t>
      </w:r>
      <w:r w:rsidRPr="00100F0A">
        <w:rPr>
          <w:b/>
          <w:color w:val="080808"/>
        </w:rPr>
        <w:t xml:space="preserve">: </w:t>
      </w:r>
      <w:r w:rsidRPr="00100F0A">
        <w:rPr>
          <w:color w:val="080808"/>
        </w:rPr>
        <w:t xml:space="preserve">DoEE and the jurisdictions </w:t>
      </w:r>
      <w:r>
        <w:rPr>
          <w:color w:val="080808"/>
        </w:rPr>
        <w:t xml:space="preserve">should </w:t>
      </w:r>
      <w:r w:rsidRPr="00100F0A">
        <w:rPr>
          <w:color w:val="080808"/>
        </w:rPr>
        <w:t>continue to improve the consistency and completeness of tracking system data and work towards systems that enable reporting of energy recovery separately from recycling.</w:t>
      </w:r>
    </w:p>
    <w:p w14:paraId="0C622BB5" w14:textId="559E6F4E" w:rsidR="00715A1B" w:rsidRDefault="00715A1B" w:rsidP="002D3048">
      <w:pPr>
        <w:pStyle w:val="BodyText"/>
      </w:pPr>
    </w:p>
    <w:p w14:paraId="3A20D3A9" w14:textId="77777777" w:rsidR="00C157EA" w:rsidRPr="00100F0A" w:rsidRDefault="00C157EA" w:rsidP="002D3048">
      <w:pPr>
        <w:pStyle w:val="BodyText"/>
      </w:pPr>
    </w:p>
    <w:p w14:paraId="2D336D49" w14:textId="77777777" w:rsidR="00715A1B" w:rsidRPr="00100F0A" w:rsidRDefault="00715A1B" w:rsidP="002D3048">
      <w:pPr>
        <w:pStyle w:val="BodyText"/>
      </w:pPr>
    </w:p>
    <w:p w14:paraId="28F45BA5" w14:textId="77777777" w:rsidR="00715A1B" w:rsidRPr="00100F0A" w:rsidRDefault="00715A1B" w:rsidP="002D3048">
      <w:pPr>
        <w:pStyle w:val="BodyText"/>
        <w:sectPr w:rsidR="00715A1B" w:rsidRPr="00100F0A" w:rsidSect="003879F7">
          <w:headerReference w:type="default" r:id="rId28"/>
          <w:footerReference w:type="default" r:id="rId29"/>
          <w:pgSz w:w="11906" w:h="16838" w:code="9"/>
          <w:pgMar w:top="1440" w:right="1077" w:bottom="1440" w:left="1797" w:header="709" w:footer="454" w:gutter="0"/>
          <w:pgNumType w:fmt="lowerRoman"/>
          <w:cols w:space="708"/>
          <w:docGrid w:linePitch="360"/>
        </w:sectPr>
      </w:pPr>
    </w:p>
    <w:p w14:paraId="7A60E15E" w14:textId="7AEA6943" w:rsidR="002A7D62" w:rsidRPr="00100F0A" w:rsidRDefault="002514A0" w:rsidP="002A3A54">
      <w:pPr>
        <w:pStyle w:val="Heading1"/>
      </w:pPr>
      <w:bookmarkStart w:id="9" w:name="_Toc482109892"/>
      <w:bookmarkStart w:id="10" w:name="_Toc485135575"/>
      <w:bookmarkStart w:id="11" w:name="_Ref531131354"/>
      <w:bookmarkStart w:id="12" w:name="_Toc13225524"/>
      <w:r w:rsidRPr="00100F0A">
        <w:t>Introduction</w:t>
      </w:r>
      <w:bookmarkEnd w:id="9"/>
      <w:bookmarkEnd w:id="10"/>
      <w:bookmarkEnd w:id="11"/>
      <w:bookmarkEnd w:id="12"/>
    </w:p>
    <w:p w14:paraId="37F673B9" w14:textId="336717BA" w:rsidR="00601CB2" w:rsidRPr="00100F0A" w:rsidRDefault="00601CB2" w:rsidP="00AD35BF">
      <w:pPr>
        <w:pStyle w:val="Heading2"/>
      </w:pPr>
      <w:bookmarkStart w:id="13" w:name="_Toc425849149"/>
      <w:bookmarkStart w:id="14" w:name="_Toc13225525"/>
      <w:r w:rsidRPr="00100F0A">
        <w:t>Project origins and scope</w:t>
      </w:r>
      <w:bookmarkEnd w:id="13"/>
      <w:bookmarkEnd w:id="14"/>
    </w:p>
    <w:p w14:paraId="04C243DF" w14:textId="5C259F64" w:rsidR="00601CB2" w:rsidRPr="00100F0A" w:rsidRDefault="00601CB2" w:rsidP="00601CB2">
      <w:pPr>
        <w:rPr>
          <w:rFonts w:cs="Arial"/>
        </w:rPr>
      </w:pPr>
      <w:r w:rsidRPr="00100F0A">
        <w:rPr>
          <w:rFonts w:cs="Arial"/>
        </w:rPr>
        <w:t>The Australian Government Department of the Environment</w:t>
      </w:r>
      <w:r w:rsidR="00CC4550" w:rsidRPr="00100F0A">
        <w:rPr>
          <w:rFonts w:cs="Arial"/>
        </w:rPr>
        <w:t xml:space="preserve"> and Energy</w:t>
      </w:r>
      <w:r w:rsidRPr="00100F0A">
        <w:rPr>
          <w:rFonts w:cs="Arial"/>
        </w:rPr>
        <w:t xml:space="preserve"> (DoE</w:t>
      </w:r>
      <w:r w:rsidR="00CC4550" w:rsidRPr="00100F0A">
        <w:rPr>
          <w:rFonts w:cs="Arial"/>
        </w:rPr>
        <w:t>E</w:t>
      </w:r>
      <w:r w:rsidRPr="00100F0A">
        <w:rPr>
          <w:rFonts w:cs="Arial"/>
        </w:rPr>
        <w:t xml:space="preserve">) is responsible for administering the </w:t>
      </w:r>
      <w:r w:rsidRPr="00100F0A">
        <w:rPr>
          <w:rFonts w:cs="Arial"/>
          <w:i/>
        </w:rPr>
        <w:t>Hazardous Waste (Regulation of Exports and Imports) Act 1989</w:t>
      </w:r>
      <w:r w:rsidRPr="00100F0A">
        <w:rPr>
          <w:rFonts w:cs="Arial"/>
        </w:rPr>
        <w:t xml:space="preserve"> (the Act), which implements Australia’s international agreements on managing hazardous waste including the </w:t>
      </w:r>
      <w:r w:rsidRPr="00100F0A">
        <w:rPr>
          <w:rFonts w:cs="Arial"/>
          <w:i/>
        </w:rPr>
        <w:t>Basel Convention on the Control of Transboundary Movements of Hazardous Wastes and their Disposal</w:t>
      </w:r>
      <w:r w:rsidRPr="00100F0A">
        <w:rPr>
          <w:rFonts w:cs="Arial"/>
        </w:rPr>
        <w:t xml:space="preserve"> (the Basel Convention). </w:t>
      </w:r>
    </w:p>
    <w:p w14:paraId="2BB27650" w14:textId="77777777" w:rsidR="00601CB2" w:rsidRPr="00100F0A" w:rsidRDefault="00601CB2" w:rsidP="00601CB2">
      <w:pPr>
        <w:rPr>
          <w:rFonts w:cs="Arial"/>
        </w:rPr>
      </w:pPr>
    </w:p>
    <w:p w14:paraId="7871ACA8" w14:textId="5023CE2C" w:rsidR="00601CB2" w:rsidRPr="00100F0A" w:rsidRDefault="00CC4550" w:rsidP="00601CB2">
      <w:pPr>
        <w:rPr>
          <w:rFonts w:cs="Arial"/>
        </w:rPr>
      </w:pPr>
      <w:r w:rsidRPr="00100F0A">
        <w:rPr>
          <w:rFonts w:cs="Arial"/>
        </w:rPr>
        <w:t>DoEE</w:t>
      </w:r>
      <w:r w:rsidR="00601CB2" w:rsidRPr="00100F0A">
        <w:rPr>
          <w:rFonts w:cs="Arial"/>
        </w:rPr>
        <w:t xml:space="preserve"> is also the lead agency responsible for the implementation of the </w:t>
      </w:r>
      <w:r w:rsidR="00E578E0" w:rsidRPr="00100F0A">
        <w:rPr>
          <w:rFonts w:cs="Arial"/>
        </w:rPr>
        <w:t xml:space="preserve">current </w:t>
      </w:r>
      <w:r w:rsidR="00601CB2" w:rsidRPr="00100F0A">
        <w:rPr>
          <w:rFonts w:cs="Arial"/>
          <w:i/>
        </w:rPr>
        <w:t>National Waste Policy: Less Waste, More Resources</w:t>
      </w:r>
      <w:r w:rsidR="00601CB2" w:rsidRPr="00100F0A">
        <w:rPr>
          <w:rFonts w:cs="Arial"/>
        </w:rPr>
        <w:t>. The policy contains a commitment to assess Australia’s current and future hazardous waste infrastructure capacity and needs. This is intended to provide guidance to regulators and industry on where additional investment may be needed.</w:t>
      </w:r>
    </w:p>
    <w:p w14:paraId="3BF9A1D1" w14:textId="77777777" w:rsidR="00601CB2" w:rsidRPr="00100F0A" w:rsidRDefault="00601CB2" w:rsidP="00601CB2">
      <w:pPr>
        <w:rPr>
          <w:rFonts w:cs="Arial"/>
        </w:rPr>
      </w:pPr>
    </w:p>
    <w:p w14:paraId="4DA214C6" w14:textId="5E46517C" w:rsidR="00567CF9" w:rsidRPr="00100F0A" w:rsidRDefault="00567CF9" w:rsidP="00567CF9">
      <w:r w:rsidRPr="00100F0A">
        <w:rPr>
          <w:rFonts w:cs="Arial"/>
        </w:rPr>
        <w:t>In 201</w:t>
      </w:r>
      <w:r>
        <w:rPr>
          <w:rFonts w:cs="Arial"/>
        </w:rPr>
        <w:t>4</w:t>
      </w:r>
      <w:r w:rsidRPr="00100F0A">
        <w:rPr>
          <w:rFonts w:cs="Arial"/>
        </w:rPr>
        <w:t>, DoEE commissioned the first such assessment</w:t>
      </w:r>
      <w:r>
        <w:rPr>
          <w:rFonts w:cs="Arial"/>
        </w:rPr>
        <w:t xml:space="preserve">. The results, published in 2015, were </w:t>
      </w:r>
      <w:r w:rsidRPr="00100F0A">
        <w:t>well received by industry and government stakeholders and seen as valuable for</w:t>
      </w:r>
      <w:r>
        <w:t xml:space="preserve"> planning</w:t>
      </w:r>
      <w:r w:rsidRPr="00100F0A">
        <w:t xml:space="preserve"> Australia’s current and future hazardous waste infrastructure needs.</w:t>
      </w:r>
    </w:p>
    <w:p w14:paraId="5E03C306" w14:textId="77777777" w:rsidR="00567CF9" w:rsidRPr="00100F0A" w:rsidRDefault="00567CF9" w:rsidP="00567CF9">
      <w:pPr>
        <w:pStyle w:val="BodyText"/>
      </w:pPr>
    </w:p>
    <w:p w14:paraId="515DA7E0" w14:textId="77777777" w:rsidR="00567CF9" w:rsidRDefault="00567CF9" w:rsidP="00567CF9">
      <w:pPr>
        <w:pStyle w:val="BodyText"/>
      </w:pPr>
      <w:r w:rsidRPr="00100F0A">
        <w:t xml:space="preserve">In 2017, DoEE commissioned </w:t>
      </w:r>
      <w:r w:rsidRPr="00100F0A">
        <w:rPr>
          <w:rFonts w:cs="Arial"/>
        </w:rPr>
        <w:t>Blue Environment (lead consultant)</w:t>
      </w:r>
      <w:r>
        <w:rPr>
          <w:rFonts w:cs="Arial"/>
        </w:rPr>
        <w:t>,</w:t>
      </w:r>
      <w:r w:rsidRPr="00100F0A">
        <w:rPr>
          <w:rFonts w:cs="Arial"/>
        </w:rPr>
        <w:t xml:space="preserve"> Ascend Waste and Environment and Randell Environmental Consulting</w:t>
      </w:r>
      <w:r w:rsidRPr="00100F0A">
        <w:t xml:space="preserve"> </w:t>
      </w:r>
      <w:r>
        <w:t>(</w:t>
      </w:r>
      <w:r w:rsidRPr="00100F0A">
        <w:t>the same consortium</w:t>
      </w:r>
      <w:r>
        <w:t xml:space="preserve"> that undertook the 2015 assessment)</w:t>
      </w:r>
      <w:r w:rsidRPr="00100F0A">
        <w:t xml:space="preserve"> to review and update of the 201</w:t>
      </w:r>
      <w:r>
        <w:t>5</w:t>
      </w:r>
      <w:r w:rsidRPr="00100F0A">
        <w:t xml:space="preserve"> assessment. This </w:t>
      </w:r>
      <w:r>
        <w:t>revised</w:t>
      </w:r>
      <w:r w:rsidRPr="00100F0A">
        <w:t xml:space="preserve"> assessment </w:t>
      </w:r>
      <w:r>
        <w:t>is reported here.</w:t>
      </w:r>
    </w:p>
    <w:p w14:paraId="10FE2F65" w14:textId="77777777" w:rsidR="00567CF9" w:rsidRDefault="00567CF9" w:rsidP="00567CF9">
      <w:pPr>
        <w:pStyle w:val="BodyText"/>
      </w:pPr>
    </w:p>
    <w:p w14:paraId="026CE234" w14:textId="77777777" w:rsidR="00567CF9" w:rsidRDefault="00567CF9" w:rsidP="00567CF9">
      <w:pPr>
        <w:pStyle w:val="BodyText"/>
      </w:pPr>
      <w:r>
        <w:t>The revised assessment has the same three parts as the 2015 assessment:</w:t>
      </w:r>
    </w:p>
    <w:p w14:paraId="262E9452" w14:textId="77777777" w:rsidR="00567CF9" w:rsidRPr="00100F0A" w:rsidRDefault="00567CF9" w:rsidP="00567CF9">
      <w:pPr>
        <w:pStyle w:val="ListNumber"/>
        <w:numPr>
          <w:ilvl w:val="0"/>
          <w:numId w:val="48"/>
        </w:numPr>
      </w:pPr>
      <w:r w:rsidRPr="00100F0A">
        <w:t>prepare projections of hazardous waste arisings and fates</w:t>
      </w:r>
      <w:r>
        <w:rPr>
          <w:rStyle w:val="FootnoteReference"/>
        </w:rPr>
        <w:footnoteReference w:id="8"/>
      </w:r>
      <w:r w:rsidRPr="00100F0A">
        <w:t xml:space="preserve"> over the coming 20 years</w:t>
      </w:r>
    </w:p>
    <w:p w14:paraId="63FCE6CE" w14:textId="77777777" w:rsidR="00567CF9" w:rsidRPr="00100F0A" w:rsidRDefault="00567CF9" w:rsidP="00567CF9">
      <w:pPr>
        <w:pStyle w:val="ListNumber"/>
        <w:numPr>
          <w:ilvl w:val="0"/>
          <w:numId w:val="48"/>
        </w:numPr>
      </w:pPr>
      <w:r w:rsidRPr="00100F0A">
        <w:t>consult with industry to estimate Australia’s current hazardous waste infrastructure capacity, its distribution and expected future</w:t>
      </w:r>
    </w:p>
    <w:p w14:paraId="782F5595" w14:textId="01C4990A" w:rsidR="00567CF9" w:rsidRPr="00100F0A" w:rsidRDefault="00567CF9" w:rsidP="00567CF9">
      <w:pPr>
        <w:pStyle w:val="ListNumber"/>
        <w:numPr>
          <w:ilvl w:val="0"/>
          <w:numId w:val="48"/>
        </w:numPr>
      </w:pPr>
      <w:r w:rsidRPr="00100F0A">
        <w:t>identify the extent to which current infrastructure meets future needs, considering the nature and locations of particular infrastructure.</w:t>
      </w:r>
    </w:p>
    <w:p w14:paraId="4AF332C9" w14:textId="77777777" w:rsidR="00567CF9" w:rsidRDefault="00567CF9" w:rsidP="00567CF9">
      <w:pPr>
        <w:pStyle w:val="BodyText"/>
      </w:pPr>
    </w:p>
    <w:p w14:paraId="6EF01405" w14:textId="77777777" w:rsidR="00567CF9" w:rsidRPr="00100F0A" w:rsidRDefault="00567CF9" w:rsidP="00567CF9">
      <w:pPr>
        <w:pStyle w:val="BodyText"/>
      </w:pPr>
      <w:r>
        <w:t>The revised assessment also contains</w:t>
      </w:r>
      <w:r w:rsidRPr="00100F0A">
        <w:t xml:space="preserve"> important expansions of the scope of</w:t>
      </w:r>
      <w:r>
        <w:t xml:space="preserve"> the</w:t>
      </w:r>
      <w:r w:rsidRPr="00100F0A">
        <w:t xml:space="preserve"> infrastructure assessment, including </w:t>
      </w:r>
      <w:r>
        <w:t>an analysis</w:t>
      </w:r>
      <w:r w:rsidRPr="00100F0A">
        <w:t xml:space="preserve"> of cement kiln infrastructure capacity to receive hazardous wastes. </w:t>
      </w:r>
    </w:p>
    <w:p w14:paraId="5B8EA598" w14:textId="77777777" w:rsidR="00601CB2" w:rsidRPr="00100F0A" w:rsidRDefault="00601CB2" w:rsidP="00601CB2">
      <w:pPr>
        <w:pStyle w:val="BodyText"/>
        <w:tabs>
          <w:tab w:val="left" w:pos="1935"/>
        </w:tabs>
      </w:pPr>
    </w:p>
    <w:p w14:paraId="0A73A039" w14:textId="3C93FD91" w:rsidR="00601CB2" w:rsidRPr="00100F0A" w:rsidRDefault="00601CB2" w:rsidP="00AD35BF">
      <w:pPr>
        <w:pStyle w:val="Heading2"/>
      </w:pPr>
      <w:bookmarkStart w:id="15" w:name="_Ref408404160"/>
      <w:bookmarkStart w:id="16" w:name="_Toc425849150"/>
      <w:bookmarkStart w:id="17" w:name="_Toc13225526"/>
      <w:r w:rsidRPr="00100F0A">
        <w:t>Project context and key definitions</w:t>
      </w:r>
      <w:bookmarkEnd w:id="15"/>
      <w:bookmarkEnd w:id="16"/>
      <w:bookmarkEnd w:id="17"/>
    </w:p>
    <w:p w14:paraId="10D662AF" w14:textId="30AA03F8" w:rsidR="00601CB2" w:rsidRDefault="00601CB2" w:rsidP="00AD35BF">
      <w:pPr>
        <w:pStyle w:val="Heading3"/>
      </w:pPr>
      <w:bookmarkStart w:id="18" w:name="_Ref532298464"/>
      <w:r w:rsidRPr="00100F0A">
        <w:t>Hazardous waste</w:t>
      </w:r>
      <w:bookmarkEnd w:id="18"/>
    </w:p>
    <w:p w14:paraId="0BA8C6E6" w14:textId="77777777" w:rsidR="006838E9" w:rsidRPr="003A3C43" w:rsidRDefault="006838E9" w:rsidP="006838E9">
      <w:pPr>
        <w:pStyle w:val="BodyText"/>
        <w:tabs>
          <w:tab w:val="left" w:pos="1935"/>
        </w:tabs>
        <w:spacing w:after="60"/>
      </w:pPr>
      <w:r>
        <w:t>Waste that,</w:t>
      </w:r>
      <w:r w:rsidRPr="003A3C43">
        <w:t xml:space="preserve"> by its characteristics</w:t>
      </w:r>
      <w:r>
        <w:t>,</w:t>
      </w:r>
      <w:r w:rsidRPr="003A3C43">
        <w:t xml:space="preserve"> poses a threat or risk to public health, safety or to the environment</w:t>
      </w:r>
      <w:r w:rsidRPr="003A3C43">
        <w:rPr>
          <w:rStyle w:val="FootnoteReference"/>
        </w:rPr>
        <w:footnoteReference w:id="9"/>
      </w:r>
      <w:r w:rsidRPr="003A3C43">
        <w:t>. In national reporting this term is taken to correspond with:</w:t>
      </w:r>
    </w:p>
    <w:p w14:paraId="64E30B18" w14:textId="77777777" w:rsidR="006838E9" w:rsidRPr="003A3C43" w:rsidRDefault="006838E9" w:rsidP="006838E9">
      <w:pPr>
        <w:pStyle w:val="Bullet1"/>
        <w:spacing w:before="80"/>
        <w:ind w:left="454" w:hanging="454"/>
        <w:rPr>
          <w:rStyle w:val="Emphasis"/>
          <w:i w:val="0"/>
          <w:iCs w:val="0"/>
        </w:rPr>
      </w:pPr>
      <w:r w:rsidRPr="003A3C43">
        <w:t xml:space="preserve">wastes that cannot be imported or exported from Australia without a permit under the </w:t>
      </w:r>
      <w:r w:rsidRPr="003A3C43">
        <w:rPr>
          <w:rStyle w:val="Emphasis"/>
        </w:rPr>
        <w:t>Hazardous Waste (Regulation of Exports and Imports) Act 1989</w:t>
      </w:r>
    </w:p>
    <w:p w14:paraId="752D71A1" w14:textId="77777777" w:rsidR="006838E9" w:rsidRPr="003A3C43" w:rsidRDefault="006838E9" w:rsidP="006838E9">
      <w:pPr>
        <w:pStyle w:val="Bullet1"/>
        <w:tabs>
          <w:tab w:val="left" w:pos="1935"/>
        </w:tabs>
        <w:spacing w:before="80" w:after="60"/>
        <w:ind w:left="454" w:hanging="454"/>
      </w:pPr>
      <w:r w:rsidRPr="003A3C43">
        <w:t>wastes that any jurisdiction regulates as requiring particularly high levels of management and control, namely: regulated waste (Queensland); trackable waste (New South Wales); prescribed waste (Victoria); listed waste (South Australia and NT); or controlled waste (ACT, Tasmania and Western Australia)</w:t>
      </w:r>
    </w:p>
    <w:p w14:paraId="6B6D2C7D" w14:textId="77777777" w:rsidR="006838E9" w:rsidRPr="003A3C43" w:rsidRDefault="006838E9" w:rsidP="006838E9">
      <w:pPr>
        <w:pStyle w:val="Bullet1"/>
        <w:tabs>
          <w:tab w:val="left" w:pos="1935"/>
        </w:tabs>
        <w:spacing w:before="80" w:after="60"/>
        <w:ind w:left="454" w:hanging="454"/>
      </w:pPr>
      <w:r w:rsidRPr="003A3C43">
        <w:t>additional wastes nominated as hazardous by the Australian Government</w:t>
      </w:r>
      <w:r w:rsidRPr="003A3C43">
        <w:rPr>
          <w:rStyle w:val="FootnoteReference"/>
        </w:rPr>
        <w:footnoteReference w:id="10"/>
      </w:r>
      <w:r w:rsidRPr="003A3C43">
        <w:t>.</w:t>
      </w:r>
    </w:p>
    <w:p w14:paraId="5650B31E" w14:textId="77777777" w:rsidR="006838E9" w:rsidRPr="003A3C43" w:rsidRDefault="006838E9" w:rsidP="006838E9">
      <w:pPr>
        <w:pStyle w:val="BodyText"/>
      </w:pPr>
    </w:p>
    <w:p w14:paraId="70F45B8A" w14:textId="77777777" w:rsidR="006838E9" w:rsidRPr="003A3C43" w:rsidRDefault="006838E9" w:rsidP="006838E9">
      <w:pPr>
        <w:pStyle w:val="BodyText"/>
      </w:pPr>
      <w:r>
        <w:t xml:space="preserve">In addition, waste that has </w:t>
      </w:r>
      <w:r w:rsidRPr="003A3C43">
        <w:t xml:space="preserve">hazardous characteristics and </w:t>
      </w:r>
      <w:r>
        <w:t>has been</w:t>
      </w:r>
      <w:r w:rsidRPr="003A3C43">
        <w:t xml:space="preserve"> stored on </w:t>
      </w:r>
      <w:r>
        <w:t>a</w:t>
      </w:r>
      <w:r w:rsidRPr="003A3C43">
        <w:t xml:space="preserve"> site for more than one year </w:t>
      </w:r>
      <w:r>
        <w:t xml:space="preserve">should be </w:t>
      </w:r>
      <w:r w:rsidRPr="003A3C43">
        <w:t xml:space="preserve">considered </w:t>
      </w:r>
      <w:r w:rsidRPr="00472FFF">
        <w:t>hazardous waste</w:t>
      </w:r>
      <w:r w:rsidRPr="003A3C43">
        <w:t>.</w:t>
      </w:r>
    </w:p>
    <w:p w14:paraId="6968AE92" w14:textId="77777777" w:rsidR="006838E9" w:rsidRPr="003A3C43" w:rsidRDefault="006838E9" w:rsidP="006838E9">
      <w:pPr>
        <w:pStyle w:val="BodyText"/>
      </w:pPr>
    </w:p>
    <w:p w14:paraId="308F7C85" w14:textId="21811033" w:rsidR="006838E9" w:rsidRPr="00371019" w:rsidRDefault="006838E9" w:rsidP="00FD3200">
      <w:pPr>
        <w:pStyle w:val="BodyText"/>
      </w:pPr>
      <w:r w:rsidRPr="003C162F">
        <w:t>NSW (along with the ACT</w:t>
      </w:r>
      <w:r w:rsidRPr="003C162F">
        <w:rPr>
          <w:rStyle w:val="FootnoteReference"/>
        </w:rPr>
        <w:footnoteReference w:id="11"/>
      </w:r>
      <w:r w:rsidRPr="003C162F">
        <w:t>, due to their adoption of NSW classification procedures) uses the term ‘ha</w:t>
      </w:r>
      <w:r w:rsidRPr="00537F94">
        <w:t>zardous waste’ in a specific regulatory sense. The N</w:t>
      </w:r>
      <w:r w:rsidRPr="009917B8">
        <w:t xml:space="preserve">SW </w:t>
      </w:r>
      <w:r w:rsidRPr="00BD7F0A">
        <w:rPr>
          <w:i/>
        </w:rPr>
        <w:t>Protection of the Environment Operations (Waste) Regula</w:t>
      </w:r>
      <w:r w:rsidRPr="00BF7776">
        <w:rPr>
          <w:i/>
        </w:rPr>
        <w:t>tion 2005</w:t>
      </w:r>
      <w:r w:rsidRPr="00BF7776">
        <w:t xml:space="preserve"> and associated guidance defines ‘hazardous waste’ as one of six classes of waste – and it typically cannot be disposed at landfill without hazard reduction treatment such as immobilisation. ‘Hazardous waste’ in this strict NSW (ACT) regulatory interpretation is equivalent only to those </w:t>
      </w:r>
      <w:r w:rsidRPr="00BF7776">
        <w:rPr>
          <w:i/>
        </w:rPr>
        <w:t>hazardous wastes</w:t>
      </w:r>
      <w:r w:rsidRPr="00BF7776">
        <w:t xml:space="preserve"> (in national reporting terminology) that would be categorised at the higher hazard end of the range.</w:t>
      </w:r>
    </w:p>
    <w:p w14:paraId="65FD57A2" w14:textId="77777777" w:rsidR="00601CB2" w:rsidRPr="00100F0A" w:rsidRDefault="00601CB2" w:rsidP="00AD35BF">
      <w:pPr>
        <w:pStyle w:val="Heading3"/>
      </w:pPr>
      <w:r w:rsidRPr="00100F0A">
        <w:t>Regulating and tracking hazardous waste in Australia</w:t>
      </w:r>
    </w:p>
    <w:p w14:paraId="4317C68E" w14:textId="12605010" w:rsidR="00601CB2" w:rsidRPr="00100F0A" w:rsidRDefault="00601CB2" w:rsidP="00601CB2">
      <w:pPr>
        <w:pStyle w:val="BodyText"/>
        <w:tabs>
          <w:tab w:val="left" w:pos="1935"/>
        </w:tabs>
      </w:pPr>
      <w:r w:rsidRPr="00100F0A">
        <w:t>Whereas the Australian Government has responsibilities in relation to hazardous waste under the Act and the National Waste Policy, regulation of hazardous waste management is the responsibility of the states and territories. In order to ensure appropriate management of th</w:t>
      </w:r>
      <w:r w:rsidR="00CE33F4">
        <w:t>i</w:t>
      </w:r>
      <w:r w:rsidRPr="00100F0A">
        <w:t xml:space="preserve">s waste, the five largest jurisdictions (NSW, Qld, SA, Vic and WA) operate systems for ‘cradle to grave’ tracking of the movement of each consignment of hazardous waste from point of generation to treatment or disposal. Tracking certificates include the type and quantity of waste, the dates, and the producer, transporter and details of the receiving facility. A copy is sent to the </w:t>
      </w:r>
      <w:r w:rsidR="0094399D">
        <w:t>relevant environmental authority</w:t>
      </w:r>
      <w:r w:rsidRPr="00100F0A">
        <w:t xml:space="preserve">. The jurisdictions agreed to allow the use of the large data sets generated by their tracking systems in this study, under confidentiality agreements. </w:t>
      </w:r>
    </w:p>
    <w:p w14:paraId="02291439" w14:textId="77777777" w:rsidR="00601CB2" w:rsidRPr="00100F0A" w:rsidRDefault="00601CB2" w:rsidP="00601CB2">
      <w:pPr>
        <w:pStyle w:val="BodyText"/>
        <w:tabs>
          <w:tab w:val="left" w:pos="1935"/>
        </w:tabs>
      </w:pPr>
    </w:p>
    <w:p w14:paraId="7CF991FD" w14:textId="61ED26F0" w:rsidR="00601CB2" w:rsidRPr="00100F0A" w:rsidRDefault="00601CB2" w:rsidP="00601CB2">
      <w:pPr>
        <w:pStyle w:val="BodyText"/>
        <w:tabs>
          <w:tab w:val="left" w:pos="1935"/>
        </w:tabs>
      </w:pPr>
      <w:r w:rsidRPr="00100F0A">
        <w:t xml:space="preserve">There is some variation in the waste that </w:t>
      </w:r>
      <w:r w:rsidR="00C65B7D">
        <w:t>is</w:t>
      </w:r>
      <w:r w:rsidRPr="00100F0A">
        <w:t xml:space="preserve"> regulated and tracked as hazardous waste between the jurisdictions. Refer to Appendix </w:t>
      </w:r>
      <w:r w:rsidR="00E6248F" w:rsidRPr="00100F0A">
        <w:t xml:space="preserve">A </w:t>
      </w:r>
      <w:r w:rsidRPr="00100F0A">
        <w:t xml:space="preserve">for analysis of waste that </w:t>
      </w:r>
      <w:r w:rsidR="00C65B7D">
        <w:t>is</w:t>
      </w:r>
      <w:r w:rsidRPr="00100F0A">
        <w:t xml:space="preserve"> tracked/not tracked in NSW, Qld, SA, Vic and WA tracking systems.</w:t>
      </w:r>
    </w:p>
    <w:p w14:paraId="1AF2D4B6" w14:textId="1212A78A" w:rsidR="00601CB2" w:rsidRPr="00100F0A" w:rsidRDefault="00601CB2" w:rsidP="00AD35BF">
      <w:pPr>
        <w:pStyle w:val="Heading3"/>
      </w:pPr>
      <w:r w:rsidRPr="00100F0A">
        <w:t>The meaning of waste arising</w:t>
      </w:r>
      <w:r w:rsidR="00C65B7D">
        <w:t>s</w:t>
      </w:r>
    </w:p>
    <w:p w14:paraId="70D71199" w14:textId="74542B22" w:rsidR="00601CB2" w:rsidRPr="00100F0A" w:rsidRDefault="00601CB2" w:rsidP="00601CB2">
      <w:pPr>
        <w:pStyle w:val="BodyText"/>
      </w:pPr>
      <w:r w:rsidRPr="00100F0A">
        <w:t>In this project, hazardous waste is said to arise when it is delivered to processing, storage, treatment or disposal infrastructure. This is distinct from ‘waste generation’, a term commonly used in waste reporting, in that if waste is transported to more than one site it may ‘arise’ more than once. The projections developed in this report are of waste arising, which is consistent with data from the jurisdictional tracking systems. It should be noted that until a waste is moved off</w:t>
      </w:r>
      <w:r w:rsidR="00C65B7D">
        <w:t>-</w:t>
      </w:r>
      <w:r w:rsidRPr="00100F0A">
        <w:t xml:space="preserve">site, it does not arise. Waste that is created on a site and remains stored there has not arisen. </w:t>
      </w:r>
    </w:p>
    <w:p w14:paraId="57B35219" w14:textId="2BF4B88C" w:rsidR="00601CB2" w:rsidRPr="00100F0A" w:rsidRDefault="00601CB2" w:rsidP="00AD35BF">
      <w:pPr>
        <w:pStyle w:val="Heading3"/>
      </w:pPr>
      <w:r w:rsidRPr="00100F0A">
        <w:t>The potential for new hazardous wastes</w:t>
      </w:r>
    </w:p>
    <w:p w14:paraId="15617595" w14:textId="310BD0E9" w:rsidR="00601CB2" w:rsidRPr="00100F0A" w:rsidRDefault="00601CB2" w:rsidP="00601CB2">
      <w:pPr>
        <w:pStyle w:val="BodyText"/>
        <w:rPr>
          <w:rFonts w:cs="Arial"/>
        </w:rPr>
      </w:pPr>
      <w:r w:rsidRPr="00100F0A">
        <w:t xml:space="preserve">An important aspect of the context for this project is the potential for new hazardous waste streams to arise. </w:t>
      </w:r>
      <w:r w:rsidRPr="00100F0A">
        <w:rPr>
          <w:rFonts w:cs="Arial"/>
        </w:rPr>
        <w:t xml:space="preserve">Australia is a party to the Stockholm Convention on </w:t>
      </w:r>
      <w:r w:rsidR="00C65B7D">
        <w:rPr>
          <w:rFonts w:cs="Arial"/>
        </w:rPr>
        <w:t>p</w:t>
      </w:r>
      <w:r w:rsidRPr="00100F0A">
        <w:rPr>
          <w:rFonts w:cs="Arial"/>
        </w:rPr>
        <w:t xml:space="preserve">ersistent </w:t>
      </w:r>
      <w:r w:rsidR="00C65B7D">
        <w:rPr>
          <w:rFonts w:cs="Arial"/>
        </w:rPr>
        <w:t>o</w:t>
      </w:r>
      <w:r w:rsidRPr="00100F0A">
        <w:rPr>
          <w:rFonts w:cs="Arial"/>
        </w:rPr>
        <w:t xml:space="preserve">rganic </w:t>
      </w:r>
      <w:r w:rsidR="00C65B7D">
        <w:rPr>
          <w:rFonts w:cs="Arial"/>
        </w:rPr>
        <w:t>p</w:t>
      </w:r>
      <w:r w:rsidRPr="00100F0A">
        <w:rPr>
          <w:rFonts w:cs="Arial"/>
        </w:rPr>
        <w:t xml:space="preserve">ollutants (POP), which </w:t>
      </w:r>
      <w:r w:rsidRPr="00100F0A">
        <w:rPr>
          <w:rFonts w:cs="Arial"/>
          <w:color w:val="0D0D0D" w:themeColor="text1" w:themeTint="F2"/>
        </w:rPr>
        <w:t xml:space="preserve">aims to protect human health and the environment from the effects of </w:t>
      </w:r>
      <w:r w:rsidRPr="00100F0A">
        <w:rPr>
          <w:rFonts w:cs="Arial"/>
        </w:rPr>
        <w:t>these chemicals. Australia is in the process of deciding whether to ratify the chemicals added since 2009. Should it decide to do so, significant quantities of additional waste, such as POP</w:t>
      </w:r>
      <w:r w:rsidR="00C65B7D">
        <w:rPr>
          <w:rFonts w:cs="Arial"/>
        </w:rPr>
        <w:t>-</w:t>
      </w:r>
      <w:r w:rsidRPr="00100F0A">
        <w:rPr>
          <w:rFonts w:cs="Arial"/>
        </w:rPr>
        <w:t xml:space="preserve">contaminated biosolids, might need to be managed as hazardous, some of which are not currently managed in this way. This could have major implications for the demand for hazardous waste infrastructure. The new Stockholm hazardous wastes that this project provides analysis of include: </w:t>
      </w:r>
    </w:p>
    <w:p w14:paraId="56E88934" w14:textId="2D5A4CEB" w:rsidR="00601CB2" w:rsidRPr="00100F0A" w:rsidRDefault="00601CB2" w:rsidP="00601CB2">
      <w:pPr>
        <w:pStyle w:val="Bullet1"/>
        <w:spacing w:before="80"/>
        <w:ind w:left="454" w:hanging="454"/>
      </w:pPr>
      <w:r w:rsidRPr="00100F0A">
        <w:t>polybrominated diphenyl ethers (</w:t>
      </w:r>
      <w:r w:rsidR="00C65B7D">
        <w:t>POP-BDE</w:t>
      </w:r>
      <w:r w:rsidRPr="00100F0A">
        <w:t xml:space="preserve">) </w:t>
      </w:r>
    </w:p>
    <w:p w14:paraId="31E472F2" w14:textId="77777777" w:rsidR="00601CB2" w:rsidRPr="00100F0A" w:rsidRDefault="00601CB2" w:rsidP="00601CB2">
      <w:pPr>
        <w:pStyle w:val="Bullet1"/>
        <w:spacing w:before="80"/>
        <w:ind w:left="454" w:hanging="454"/>
      </w:pPr>
      <w:r w:rsidRPr="00100F0A">
        <w:t>hexabromocyclododecane (HBCD)</w:t>
      </w:r>
    </w:p>
    <w:p w14:paraId="29948040" w14:textId="26A205CE" w:rsidR="00601CB2" w:rsidRPr="00100F0A" w:rsidRDefault="00FB7056" w:rsidP="002B2606">
      <w:pPr>
        <w:pStyle w:val="Bullet1"/>
        <w:spacing w:before="80"/>
        <w:ind w:left="454" w:hanging="454"/>
      </w:pPr>
      <w:r w:rsidRPr="00100F0A">
        <w:t xml:space="preserve">per- and poly-fluoroalkyl substances, including PFOS </w:t>
      </w:r>
    </w:p>
    <w:p w14:paraId="30C57A04" w14:textId="77777777" w:rsidR="00FB7056" w:rsidRPr="00100F0A" w:rsidRDefault="00FB7056" w:rsidP="00FB7056">
      <w:pPr>
        <w:pStyle w:val="Bullet1"/>
        <w:numPr>
          <w:ilvl w:val="0"/>
          <w:numId w:val="0"/>
        </w:numPr>
        <w:spacing w:before="80"/>
        <w:ind w:left="454"/>
      </w:pPr>
    </w:p>
    <w:p w14:paraId="6CB3509E" w14:textId="1D5A3A4C" w:rsidR="00601CB2" w:rsidRPr="00100F0A" w:rsidRDefault="00601CB2" w:rsidP="00601CB2">
      <w:pPr>
        <w:pStyle w:val="BodyText"/>
      </w:pPr>
      <w:r w:rsidRPr="00100F0A">
        <w:t xml:space="preserve">Apart from new Stockholm wastes this project also analysed potential arisings of </w:t>
      </w:r>
      <w:r w:rsidR="0018460F">
        <w:t>lithium ion</w:t>
      </w:r>
      <w:r w:rsidRPr="00100F0A">
        <w:t xml:space="preserve"> batteries which are not currently regulated as hazardous waste</w:t>
      </w:r>
      <w:r w:rsidR="002F582A">
        <w:rPr>
          <w:rStyle w:val="FootnoteReference"/>
        </w:rPr>
        <w:footnoteReference w:id="12"/>
      </w:r>
      <w:r w:rsidRPr="00100F0A">
        <w:t xml:space="preserve">. Although </w:t>
      </w:r>
      <w:r w:rsidR="0018460F">
        <w:t>lithium ion</w:t>
      </w:r>
      <w:r w:rsidRPr="00100F0A">
        <w:t xml:space="preserve"> batteries are not regulated as hazardous waste, they are assessed in this report because of their potential to have a significant impact on hazardous waste infrastructure. </w:t>
      </w:r>
      <w:r w:rsidR="0018460F">
        <w:t>Lithium ion</w:t>
      </w:r>
      <w:r w:rsidRPr="00100F0A">
        <w:t xml:space="preserve"> battery use has been increasing strongly and, if not appropriately managed, represent</w:t>
      </w:r>
      <w:r w:rsidR="00C65B7D">
        <w:t>s</w:t>
      </w:r>
      <w:r w:rsidRPr="00100F0A">
        <w:t xml:space="preserve"> a safety hazard due to risks of causing explosions or fire (ABRI 2014).</w:t>
      </w:r>
    </w:p>
    <w:p w14:paraId="4F55A449" w14:textId="77777777" w:rsidR="00601CB2" w:rsidRPr="00100F0A" w:rsidRDefault="00601CB2" w:rsidP="00AD35BF">
      <w:pPr>
        <w:pStyle w:val="Heading3"/>
      </w:pPr>
      <w:r w:rsidRPr="00100F0A">
        <w:t>The NEPM and its waste classification systems</w:t>
      </w:r>
    </w:p>
    <w:p w14:paraId="238C742A" w14:textId="3D9D5668" w:rsidR="00601CB2" w:rsidRPr="00100F0A" w:rsidRDefault="00601CB2" w:rsidP="00601CB2">
      <w:pPr>
        <w:pStyle w:val="BodyText"/>
      </w:pPr>
      <w:r w:rsidRPr="00100F0A">
        <w:t xml:space="preserve">Hazardous waste produced in a particular jurisdiction may move to another for storage, treatment or disposal. The </w:t>
      </w:r>
      <w:r w:rsidRPr="00100F0A">
        <w:rPr>
          <w:rFonts w:asciiTheme="minorHAnsi" w:hAnsiTheme="minorHAnsi" w:cs="Arial"/>
          <w:i/>
          <w:szCs w:val="20"/>
        </w:rPr>
        <w:t>National Environment Protection (Movement of Controlled Waste between States and Territories) Measure 1998</w:t>
      </w:r>
      <w:r w:rsidRPr="00100F0A">
        <w:rPr>
          <w:rFonts w:asciiTheme="minorHAnsi" w:hAnsiTheme="minorHAnsi" w:cs="Arial"/>
          <w:szCs w:val="20"/>
        </w:rPr>
        <w:t xml:space="preserve"> (NEPM) was established to </w:t>
      </w:r>
      <w:r w:rsidRPr="00100F0A">
        <w:t xml:space="preserve">ensure that hazardous waste transported between jurisdictions </w:t>
      </w:r>
      <w:r w:rsidR="00C65B7D">
        <w:t>is</w:t>
      </w:r>
      <w:r w:rsidRPr="00100F0A">
        <w:t xml:space="preserve"> properly identified, transported and otherwise handled. </w:t>
      </w:r>
      <w:r w:rsidRPr="00100F0A">
        <w:rPr>
          <w:rFonts w:asciiTheme="minorHAnsi" w:hAnsiTheme="minorHAnsi" w:cs="Arial"/>
          <w:szCs w:val="20"/>
        </w:rPr>
        <w:t>Among other things, the NEPM established a coding system to be used for th</w:t>
      </w:r>
      <w:r w:rsidR="00C65B7D">
        <w:rPr>
          <w:rFonts w:asciiTheme="minorHAnsi" w:hAnsiTheme="minorHAnsi" w:cs="Arial"/>
          <w:szCs w:val="20"/>
        </w:rPr>
        <w:t>i</w:t>
      </w:r>
      <w:r w:rsidRPr="00100F0A">
        <w:rPr>
          <w:rFonts w:asciiTheme="minorHAnsi" w:hAnsiTheme="minorHAnsi" w:cs="Arial"/>
          <w:szCs w:val="20"/>
        </w:rPr>
        <w:t>s waste. Many of the jurisdictions’ own waste classification systems have been subsequently updated to fully or mostly mirror the NEPM list. The NEPM classification system has two levels:</w:t>
      </w:r>
    </w:p>
    <w:p w14:paraId="5E513B75" w14:textId="77777777" w:rsidR="00601CB2" w:rsidRPr="00100F0A" w:rsidRDefault="00601CB2" w:rsidP="004F482B">
      <w:pPr>
        <w:pStyle w:val="Bullet1"/>
      </w:pPr>
      <w:r w:rsidRPr="00100F0A">
        <w:t>the ‘NEPM 75’ list contained in Schedule A, List 1 of the NEPM</w:t>
      </w:r>
    </w:p>
    <w:p w14:paraId="6D62ED4A" w14:textId="77777777" w:rsidR="00601CB2" w:rsidRPr="00100F0A" w:rsidRDefault="00601CB2" w:rsidP="004F482B">
      <w:pPr>
        <w:pStyle w:val="Bullet1"/>
      </w:pPr>
      <w:r w:rsidRPr="00100F0A">
        <w:t>the ‘NEPM 15’ list, which aggregates the NEPM 75 and is used for reporting purposes.</w:t>
      </w:r>
    </w:p>
    <w:p w14:paraId="07361E68" w14:textId="77777777" w:rsidR="00601CB2" w:rsidRPr="00100F0A" w:rsidRDefault="00601CB2" w:rsidP="00601CB2">
      <w:pPr>
        <w:pStyle w:val="BodyText"/>
      </w:pPr>
    </w:p>
    <w:p w14:paraId="42392C43" w14:textId="289185D6" w:rsidR="00601CB2" w:rsidRPr="00100F0A" w:rsidRDefault="00601CB2" w:rsidP="00601CB2">
      <w:pPr>
        <w:pStyle w:val="BodyText"/>
      </w:pPr>
      <w:r w:rsidRPr="00100F0A">
        <w:t xml:space="preserve">The NEPM 15 and 75 lists provide the foundation for the waste groups used in this project (see Section </w:t>
      </w:r>
      <w:r w:rsidRPr="00100F0A">
        <w:fldChar w:fldCharType="begin"/>
      </w:r>
      <w:r w:rsidRPr="00100F0A">
        <w:instrText xml:space="preserve"> REF _Ref419200595 \r \h </w:instrText>
      </w:r>
      <w:r w:rsidRPr="00100F0A">
        <w:fldChar w:fldCharType="separate"/>
      </w:r>
      <w:r w:rsidR="00EB634D">
        <w:t>2.2</w:t>
      </w:r>
      <w:r w:rsidRPr="00100F0A">
        <w:fldChar w:fldCharType="end"/>
      </w:r>
      <w:r w:rsidRPr="00100F0A">
        <w:t>).</w:t>
      </w:r>
    </w:p>
    <w:p w14:paraId="55B02FC7" w14:textId="6063D9A6" w:rsidR="00601CB2" w:rsidRPr="00100F0A" w:rsidRDefault="00601CB2" w:rsidP="00AD35BF">
      <w:pPr>
        <w:pStyle w:val="Heading3"/>
      </w:pPr>
      <w:bookmarkStart w:id="19" w:name="_Toc406412163"/>
      <w:bookmarkStart w:id="20" w:name="_Toc408308717"/>
      <w:r w:rsidRPr="00100F0A">
        <w:t>Grouping of waste and infrastructure applied in this project</w:t>
      </w:r>
    </w:p>
    <w:p w14:paraId="6325CAD2" w14:textId="71A18FAA" w:rsidR="00601CB2" w:rsidRPr="00100F0A" w:rsidRDefault="00601CB2" w:rsidP="00601CB2">
      <w:pPr>
        <w:pStyle w:val="BodyText"/>
      </w:pPr>
      <w:r w:rsidRPr="00100F0A">
        <w:t xml:space="preserve">To assess infrastructure need and capacity, grouping of both waste and infrastructure types was needed. Pre-existing classification systems provided a basis for this, but did not fully cover the project needs. </w:t>
      </w:r>
    </w:p>
    <w:p w14:paraId="3BE2B8D9" w14:textId="77777777" w:rsidR="00601CB2" w:rsidRPr="00100F0A" w:rsidRDefault="00601CB2" w:rsidP="00601CB2">
      <w:pPr>
        <w:pStyle w:val="BodyText"/>
      </w:pPr>
    </w:p>
    <w:p w14:paraId="03DA3F84" w14:textId="723C1661" w:rsidR="00601CB2" w:rsidRPr="00100F0A" w:rsidRDefault="00601CB2" w:rsidP="00601CB2">
      <w:pPr>
        <w:pStyle w:val="BodyText"/>
      </w:pPr>
      <w:r w:rsidRPr="00100F0A">
        <w:t xml:space="preserve">The project team defined </w:t>
      </w:r>
      <w:r w:rsidR="00AA1A96" w:rsidRPr="00100F0A">
        <w:t>33</w:t>
      </w:r>
      <w:r w:rsidRPr="00100F0A">
        <w:t xml:space="preserve"> ‘waste groups’ that are mostly consistent with the ‘NEPM 15’ list, but with some categories disaggregated where a component waste was of particular interest to </w:t>
      </w:r>
      <w:r w:rsidR="00CC4550" w:rsidRPr="00100F0A">
        <w:t>DoEE</w:t>
      </w:r>
      <w:r w:rsidRPr="00100F0A">
        <w:t xml:space="preserve">. In developing the waste groups for analysis in the project, </w:t>
      </w:r>
      <w:r w:rsidR="00CC4550" w:rsidRPr="00100F0A">
        <w:t>DoEE</w:t>
      </w:r>
      <w:r w:rsidRPr="00100F0A">
        <w:t xml:space="preserve"> provided direction on the waste that w</w:t>
      </w:r>
      <w:r w:rsidR="00535CD8">
        <w:t>as</w:t>
      </w:r>
      <w:r w:rsidRPr="00100F0A">
        <w:t xml:space="preserve"> of particular interest</w:t>
      </w:r>
      <w:r w:rsidR="00535CD8">
        <w:t>,</w:t>
      </w:r>
      <w:r w:rsidRPr="00100F0A">
        <w:t xml:space="preserve"> typically due to large or highly uncertain arisings or particular management requirements. The wastes of particular interest and the waste groups containing them </w:t>
      </w:r>
      <w:r w:rsidR="009537C4">
        <w:t>are</w:t>
      </w:r>
      <w:r w:rsidRPr="00100F0A">
        <w:t xml:space="preserve"> summarised in </w:t>
      </w:r>
      <w:r w:rsidRPr="00100F0A">
        <w:fldChar w:fldCharType="begin"/>
      </w:r>
      <w:r w:rsidRPr="00100F0A">
        <w:instrText xml:space="preserve"> REF _Ref408325490 \h </w:instrText>
      </w:r>
      <w:r w:rsidRPr="00100F0A">
        <w:fldChar w:fldCharType="separate"/>
      </w:r>
      <w:r w:rsidR="00EB634D" w:rsidRPr="00100F0A">
        <w:t xml:space="preserve">Table </w:t>
      </w:r>
      <w:r w:rsidR="00EB634D">
        <w:rPr>
          <w:noProof/>
        </w:rPr>
        <w:t>1</w:t>
      </w:r>
      <w:r w:rsidRPr="00100F0A">
        <w:fldChar w:fldCharType="end"/>
      </w:r>
      <w:r w:rsidRPr="00100F0A">
        <w:t>.</w:t>
      </w:r>
    </w:p>
    <w:p w14:paraId="66C366E5" w14:textId="77777777" w:rsidR="00601CB2" w:rsidRPr="00100F0A" w:rsidRDefault="00601CB2" w:rsidP="00601CB2">
      <w:pPr>
        <w:pStyle w:val="BodyText"/>
      </w:pPr>
    </w:p>
    <w:p w14:paraId="714F4504" w14:textId="41F58AA7" w:rsidR="00601CB2" w:rsidRDefault="00601CB2" w:rsidP="00601CB2">
      <w:pPr>
        <w:pStyle w:val="BodyText"/>
      </w:pPr>
      <w:r w:rsidRPr="00100F0A">
        <w:t xml:space="preserve">Similarly, infrastructure was allocated into one of </w:t>
      </w:r>
      <w:r w:rsidR="00AA1A96" w:rsidRPr="00100F0A">
        <w:t>23</w:t>
      </w:r>
      <w:r w:rsidRPr="00100F0A">
        <w:t xml:space="preserve"> ‘infrastructure groups’ based on the main wastes received and the primary function</w:t>
      </w:r>
      <w:r w:rsidRPr="00100F0A">
        <w:rPr>
          <w:vertAlign w:val="superscript"/>
        </w:rPr>
        <w:footnoteReference w:id="13"/>
      </w:r>
      <w:r w:rsidRPr="00100F0A">
        <w:t>. Infrastructure group examples include ‘</w:t>
      </w:r>
      <w:r w:rsidR="00535CD8">
        <w:t>o</w:t>
      </w:r>
      <w:r w:rsidRPr="00100F0A">
        <w:t>il re-refining’, ‘POP thermal destruction’, ‘</w:t>
      </w:r>
      <w:r w:rsidR="00535CD8">
        <w:t>c</w:t>
      </w:r>
      <w:r w:rsidRPr="00100F0A">
        <w:t>linical waste treatment’ and ‘</w:t>
      </w:r>
      <w:r w:rsidR="00535CD8">
        <w:t>c</w:t>
      </w:r>
      <w:r w:rsidRPr="00100F0A">
        <w:t xml:space="preserve">linical waste thermal destruction’. See </w:t>
      </w:r>
      <w:r w:rsidRPr="00100F0A">
        <w:fldChar w:fldCharType="begin"/>
      </w:r>
      <w:r w:rsidRPr="00100F0A">
        <w:instrText xml:space="preserve"> REF _Ref419189745 \h  \* MERGEFORMAT </w:instrText>
      </w:r>
      <w:r w:rsidRPr="00100F0A">
        <w:fldChar w:fldCharType="separate"/>
      </w:r>
      <w:r w:rsidR="00EB634D" w:rsidRPr="00EB634D">
        <w:rPr>
          <w:rFonts w:asciiTheme="minorHAnsi" w:hAnsiTheme="minorHAnsi" w:cs="Calibri"/>
          <w:noProof/>
        </w:rPr>
        <w:t>Table 43</w:t>
      </w:r>
      <w:r w:rsidRPr="00100F0A">
        <w:fldChar w:fldCharType="end"/>
      </w:r>
      <w:r w:rsidRPr="00100F0A">
        <w:t xml:space="preserve"> for a description of the infrastructure groups.</w:t>
      </w:r>
    </w:p>
    <w:p w14:paraId="6333FB22" w14:textId="6B0C90DC" w:rsidR="00BF7776" w:rsidRDefault="00BF7776" w:rsidP="00601CB2">
      <w:pPr>
        <w:pStyle w:val="BodyText"/>
      </w:pPr>
    </w:p>
    <w:p w14:paraId="5C1E4653" w14:textId="2CEA96CA" w:rsidR="00BF7776" w:rsidRDefault="00BF7776" w:rsidP="00601CB2">
      <w:pPr>
        <w:pStyle w:val="BodyText"/>
      </w:pPr>
    </w:p>
    <w:p w14:paraId="3EA798F4" w14:textId="77777777" w:rsidR="00BF7776" w:rsidRPr="00100F0A" w:rsidRDefault="00BF7776" w:rsidP="00601CB2">
      <w:pPr>
        <w:pStyle w:val="BodyText"/>
      </w:pPr>
    </w:p>
    <w:bookmarkEnd w:id="19"/>
    <w:bookmarkEnd w:id="20"/>
    <w:p w14:paraId="6B1D6ACF" w14:textId="77777777" w:rsidR="00601CB2" w:rsidRPr="00100F0A" w:rsidRDefault="00601CB2" w:rsidP="00AD35BF">
      <w:pPr>
        <w:pStyle w:val="Heading3"/>
      </w:pPr>
      <w:r w:rsidRPr="00100F0A">
        <w:t xml:space="preserve">Limitations and uncertainty </w:t>
      </w:r>
    </w:p>
    <w:p w14:paraId="629778F0" w14:textId="21F4B595" w:rsidR="00601CB2" w:rsidRPr="00100F0A" w:rsidRDefault="00601CB2" w:rsidP="00601CB2">
      <w:pPr>
        <w:pStyle w:val="BodyText"/>
      </w:pPr>
      <w:r w:rsidRPr="00100F0A">
        <w:t xml:space="preserve">This assessment of projected hazardous waste infrastructure need vs capacity is affected by the </w:t>
      </w:r>
      <w:r w:rsidR="00772EED">
        <w:t>limitations and levels of uncertainty in relation to</w:t>
      </w:r>
      <w:r w:rsidRPr="00100F0A">
        <w:t>:</w:t>
      </w:r>
    </w:p>
    <w:p w14:paraId="68078533" w14:textId="43E6CD07" w:rsidR="00601CB2" w:rsidRPr="00100F0A" w:rsidRDefault="00601CB2" w:rsidP="00895CD4">
      <w:pPr>
        <w:pStyle w:val="ListNumber3"/>
        <w:numPr>
          <w:ilvl w:val="0"/>
          <w:numId w:val="59"/>
        </w:numPr>
        <w:spacing w:before="80"/>
        <w:contextualSpacing w:val="0"/>
      </w:pPr>
      <w:r w:rsidRPr="00100F0A">
        <w:t>the projected arisings of hazardous waste</w:t>
      </w:r>
    </w:p>
    <w:p w14:paraId="038DD298" w14:textId="37F07908" w:rsidR="00601CB2" w:rsidRPr="00100F0A" w:rsidRDefault="00772EED" w:rsidP="00895CD4">
      <w:pPr>
        <w:pStyle w:val="ListNumber3"/>
        <w:numPr>
          <w:ilvl w:val="0"/>
          <w:numId w:val="59"/>
        </w:numPr>
        <w:spacing w:before="80"/>
        <w:contextualSpacing w:val="0"/>
      </w:pPr>
      <w:r>
        <w:t>the apportioning of projected waste across the different type of infrastructure</w:t>
      </w:r>
      <w:r w:rsidR="00601CB2" w:rsidRPr="00100F0A">
        <w:t xml:space="preserve"> </w:t>
      </w:r>
    </w:p>
    <w:p w14:paraId="72D4B542" w14:textId="404F64AD" w:rsidR="00601CB2" w:rsidRDefault="00601CB2">
      <w:pPr>
        <w:pStyle w:val="ListNumber3"/>
        <w:numPr>
          <w:ilvl w:val="0"/>
          <w:numId w:val="59"/>
        </w:numPr>
        <w:spacing w:before="80"/>
        <w:contextualSpacing w:val="0"/>
      </w:pPr>
      <w:r w:rsidRPr="00100F0A">
        <w:t xml:space="preserve">the assessment of the current hazardous waste infrastructure capacity. </w:t>
      </w:r>
    </w:p>
    <w:p w14:paraId="40D616F1" w14:textId="77777777" w:rsidR="00437A1F" w:rsidRPr="00100F0A" w:rsidRDefault="00437A1F" w:rsidP="00895CD4">
      <w:pPr>
        <w:pStyle w:val="ListNumber3"/>
        <w:numPr>
          <w:ilvl w:val="0"/>
          <w:numId w:val="0"/>
        </w:numPr>
        <w:spacing w:before="80"/>
        <w:ind w:left="360"/>
        <w:contextualSpacing w:val="0"/>
      </w:pPr>
    </w:p>
    <w:p w14:paraId="123F3128" w14:textId="1FB3D10B" w:rsidR="00601CB2" w:rsidRPr="00100F0A" w:rsidRDefault="00601CB2" w:rsidP="00601CB2">
      <w:pPr>
        <w:pStyle w:val="BodyText"/>
        <w:shd w:val="clear" w:color="auto" w:fill="FFFFFF" w:themeFill="background1"/>
      </w:pPr>
      <w:r w:rsidRPr="00100F0A">
        <w:t xml:space="preserve">The limitations and uncertainty of the assessment of projected need vs capacity included in this report need to be carefully considered. See Section </w:t>
      </w:r>
      <w:r w:rsidRPr="00100F0A">
        <w:fldChar w:fldCharType="begin"/>
      </w:r>
      <w:r w:rsidRPr="00100F0A">
        <w:instrText xml:space="preserve"> REF _Ref419402884 \r \h  \* MERGEFORMAT </w:instrText>
      </w:r>
      <w:r w:rsidRPr="00100F0A">
        <w:fldChar w:fldCharType="separate"/>
      </w:r>
      <w:r w:rsidR="00EB634D">
        <w:t>4.2</w:t>
      </w:r>
      <w:r w:rsidRPr="00100F0A">
        <w:fldChar w:fldCharType="end"/>
      </w:r>
      <w:r w:rsidRPr="00100F0A">
        <w:t xml:space="preserve"> for detailed analysis of uncertainty.</w:t>
      </w:r>
    </w:p>
    <w:p w14:paraId="44FF3401" w14:textId="77777777" w:rsidR="00601CB2" w:rsidRPr="00100F0A" w:rsidRDefault="00601CB2" w:rsidP="00AD35BF">
      <w:pPr>
        <w:pStyle w:val="Heading3"/>
      </w:pPr>
      <w:r w:rsidRPr="00100F0A">
        <w:t>Confidentiality</w:t>
      </w:r>
    </w:p>
    <w:p w14:paraId="0D7AEF12" w14:textId="77777777" w:rsidR="00601CB2" w:rsidRPr="00100F0A" w:rsidRDefault="00601CB2" w:rsidP="00601CB2">
      <w:pPr>
        <w:pStyle w:val="BodyText"/>
      </w:pPr>
      <w:r w:rsidRPr="00100F0A">
        <w:t>The tracking system data used in this project for developing waste projections is submitted to the jurisdictions under legal commitments to protect commercial confidentiality. The jurisdictions, in turn, agreed to provide tracking system data for this project under agreements that required the project team to maintain commercial confidences. Tracking system data was analysed to examine tonnages of waste arisings by waste code, year, jurisdiction, source and fate. The risk is that some of this information could be used by companies to work out the scale of rival’s operations.</w:t>
      </w:r>
    </w:p>
    <w:p w14:paraId="40323DCF" w14:textId="77777777" w:rsidR="00601CB2" w:rsidRPr="00100F0A" w:rsidRDefault="00601CB2" w:rsidP="00601CB2">
      <w:pPr>
        <w:pStyle w:val="BodyText"/>
      </w:pPr>
    </w:p>
    <w:p w14:paraId="627A17D9" w14:textId="6EB02D99" w:rsidR="00601CB2" w:rsidRPr="00100F0A" w:rsidRDefault="00601CB2" w:rsidP="00601CB2">
      <w:pPr>
        <w:pStyle w:val="BodyText"/>
      </w:pPr>
      <w:r w:rsidRPr="00100F0A">
        <w:t>The project team examined jurisdictional data by waste code to assess the extent to which waste w</w:t>
      </w:r>
      <w:r w:rsidR="006B199F">
        <w:t>as</w:t>
      </w:r>
      <w:r w:rsidRPr="00100F0A">
        <w:t xml:space="preserve"> produced by small numbers of companies. We also reviewed the information that was already publicly available, particularly annual Basel report data. We determined that data for only one waste group – </w:t>
      </w:r>
      <w:r w:rsidRPr="00100F0A">
        <w:rPr>
          <w:rFonts w:cs="Times New Roman"/>
          <w:color w:val="000000"/>
          <w:szCs w:val="20"/>
          <w:lang w:eastAsia="en-AU"/>
        </w:rPr>
        <w:t xml:space="preserve">tannery &amp; wool scouring waste – presented a confidentiality risk. Tonnage data for this group is not presented. The names of companies named on transport certificates are also avoided except where the information presented is widely known. </w:t>
      </w:r>
    </w:p>
    <w:p w14:paraId="00F1BE05" w14:textId="77777777" w:rsidR="00601CB2" w:rsidRPr="00100F0A" w:rsidRDefault="00601CB2" w:rsidP="00601CB2">
      <w:pPr>
        <w:pStyle w:val="BodyText"/>
      </w:pPr>
    </w:p>
    <w:p w14:paraId="551385A8" w14:textId="614C883E" w:rsidR="00601CB2" w:rsidRDefault="00601CB2" w:rsidP="00601CB2">
      <w:pPr>
        <w:pStyle w:val="BodyText"/>
      </w:pPr>
      <w:r w:rsidRPr="00100F0A">
        <w:t xml:space="preserve">The information and data gathered during consultation with industry (to estimate infrastructure capacity) also contains confidential information. No company specific information from the consultation is presented in this report. Where a small number of industry providers service a part of the hazardous waste market, the capacity information has been flagged and </w:t>
      </w:r>
      <w:r w:rsidR="00650069">
        <w:rPr>
          <w:rFonts w:eastAsia="Times New Roman"/>
        </w:rPr>
        <w:t xml:space="preserve">replaced with </w:t>
      </w:r>
      <w:r w:rsidR="00C67621">
        <w:rPr>
          <w:rFonts w:eastAsia="Times New Roman"/>
        </w:rPr>
        <w:t xml:space="preserve">the </w:t>
      </w:r>
      <w:r w:rsidR="0081509E">
        <w:rPr>
          <w:rFonts w:eastAsia="Times New Roman"/>
        </w:rPr>
        <w:t>‘</w:t>
      </w:r>
      <w:r w:rsidR="0081509E" w:rsidRPr="009D734D">
        <w:rPr>
          <w:rFonts w:eastAsia="Times New Roman"/>
          <w:shd w:val="clear" w:color="auto" w:fill="FF0000"/>
        </w:rPr>
        <w:t>Text</w:t>
      </w:r>
      <w:r w:rsidR="00650069" w:rsidRPr="009D734D">
        <w:rPr>
          <w:rFonts w:eastAsia="Times New Roman"/>
          <w:highlight w:val="red"/>
          <w:shd w:val="clear" w:color="auto" w:fill="FF0000"/>
        </w:rPr>
        <w:t xml:space="preserve"> </w:t>
      </w:r>
      <w:r w:rsidR="00650069" w:rsidRPr="009D734D">
        <w:rPr>
          <w:rFonts w:eastAsia="Times New Roman"/>
          <w:highlight w:val="red"/>
        </w:rPr>
        <w:t>withheld to maintain commercial confidentiality</w:t>
      </w:r>
      <w:r w:rsidR="00650069" w:rsidRPr="009D734D">
        <w:rPr>
          <w:rFonts w:eastAsia="Times New Roman"/>
          <w:shd w:val="clear" w:color="auto" w:fill="FFFFFF" w:themeFill="background1"/>
        </w:rPr>
        <w:t>’</w:t>
      </w:r>
      <w:r w:rsidR="00650069">
        <w:rPr>
          <w:rFonts w:eastAsia="Times New Roman"/>
        </w:rPr>
        <w:t xml:space="preserve"> or simply </w:t>
      </w:r>
      <w:r w:rsidR="00650069" w:rsidRPr="009D734D">
        <w:rPr>
          <w:rFonts w:eastAsia="Times New Roman"/>
          <w:highlight w:val="red"/>
        </w:rPr>
        <w:t>CIC</w:t>
      </w:r>
      <w:r w:rsidR="00650069">
        <w:rPr>
          <w:rFonts w:eastAsia="Times New Roman"/>
        </w:rPr>
        <w:t>.</w:t>
      </w:r>
    </w:p>
    <w:p w14:paraId="5D06C35D" w14:textId="77777777" w:rsidR="006C0A57" w:rsidRPr="00100F0A" w:rsidRDefault="006C0A57" w:rsidP="00601CB2">
      <w:pPr>
        <w:pStyle w:val="BodyText"/>
      </w:pPr>
    </w:p>
    <w:p w14:paraId="68FB4E94" w14:textId="60D214C0" w:rsidR="00601CB2" w:rsidRPr="00100F0A" w:rsidRDefault="00601CB2" w:rsidP="00AD35BF">
      <w:pPr>
        <w:pStyle w:val="Heading2"/>
      </w:pPr>
      <w:bookmarkStart w:id="21" w:name="_Toc420680753"/>
      <w:bookmarkStart w:id="22" w:name="_Toc420879245"/>
      <w:bookmarkStart w:id="23" w:name="_Toc420959471"/>
      <w:bookmarkStart w:id="24" w:name="_Toc421034126"/>
      <w:bookmarkStart w:id="25" w:name="_Toc421042273"/>
      <w:bookmarkStart w:id="26" w:name="_Toc421043473"/>
      <w:bookmarkStart w:id="27" w:name="_Toc421048456"/>
      <w:bookmarkStart w:id="28" w:name="_Toc421054572"/>
      <w:bookmarkStart w:id="29" w:name="_Toc421086270"/>
      <w:bookmarkStart w:id="30" w:name="_Toc421126645"/>
      <w:bookmarkStart w:id="31" w:name="_Toc408308715"/>
      <w:bookmarkStart w:id="32" w:name="_Toc425849151"/>
      <w:bookmarkStart w:id="33" w:name="_Toc13225527"/>
      <w:bookmarkEnd w:id="21"/>
      <w:bookmarkEnd w:id="22"/>
      <w:bookmarkEnd w:id="23"/>
      <w:bookmarkEnd w:id="24"/>
      <w:bookmarkEnd w:id="25"/>
      <w:bookmarkEnd w:id="26"/>
      <w:bookmarkEnd w:id="27"/>
      <w:bookmarkEnd w:id="28"/>
      <w:bookmarkEnd w:id="29"/>
      <w:bookmarkEnd w:id="30"/>
      <w:r w:rsidRPr="00100F0A">
        <w:t>The structure of this document</w:t>
      </w:r>
      <w:bookmarkEnd w:id="31"/>
      <w:bookmarkEnd w:id="32"/>
      <w:bookmarkEnd w:id="33"/>
    </w:p>
    <w:p w14:paraId="0C027330" w14:textId="7B016591" w:rsidR="00601CB2" w:rsidRPr="00100F0A" w:rsidRDefault="00601CB2" w:rsidP="00601CB2">
      <w:pPr>
        <w:pStyle w:val="BodyText"/>
      </w:pPr>
      <w:r w:rsidRPr="00100F0A">
        <w:t>Following this introduction, the report has four sections as follows:</w:t>
      </w:r>
    </w:p>
    <w:p w14:paraId="5509AFBC" w14:textId="4FA48A36" w:rsidR="00601CB2" w:rsidRPr="00100F0A" w:rsidRDefault="00601CB2" w:rsidP="00601CB2">
      <w:pPr>
        <w:pStyle w:val="Bullet1"/>
        <w:spacing w:before="80"/>
        <w:ind w:left="454" w:hanging="454"/>
      </w:pPr>
      <w:r w:rsidRPr="00100F0A">
        <w:t>Section two describes the method and result of the projections of waste arisings</w:t>
      </w:r>
      <w:r w:rsidR="00764049" w:rsidRPr="00100F0A">
        <w:t xml:space="preserve"> and management</w:t>
      </w:r>
    </w:p>
    <w:p w14:paraId="6FA79B15" w14:textId="3038FDA7" w:rsidR="00601CB2" w:rsidRPr="00100F0A" w:rsidRDefault="00601CB2" w:rsidP="00601CB2">
      <w:pPr>
        <w:pStyle w:val="Bullet1"/>
        <w:spacing w:before="80"/>
        <w:ind w:left="454" w:hanging="454"/>
      </w:pPr>
      <w:r w:rsidRPr="00100F0A">
        <w:t xml:space="preserve">Section three describes the consultation and estimation processes that led to the estimates of </w:t>
      </w:r>
      <w:r w:rsidR="00764049" w:rsidRPr="00100F0A">
        <w:t xml:space="preserve">installed and expected </w:t>
      </w:r>
      <w:r w:rsidR="00CE19C4">
        <w:t xml:space="preserve">capacity </w:t>
      </w:r>
      <w:r w:rsidR="00764049" w:rsidRPr="00100F0A">
        <w:t xml:space="preserve">change </w:t>
      </w:r>
      <w:r w:rsidRPr="00100F0A">
        <w:t xml:space="preserve">infrastructure </w:t>
      </w:r>
      <w:r w:rsidR="00764049" w:rsidRPr="00100F0A">
        <w:t>data</w:t>
      </w:r>
      <w:r w:rsidRPr="00100F0A">
        <w:t>, and displays th</w:t>
      </w:r>
      <w:r w:rsidR="00764049" w:rsidRPr="00100F0A">
        <w:t>ese</w:t>
      </w:r>
      <w:r w:rsidRPr="00100F0A">
        <w:t xml:space="preserve"> estimated capacit</w:t>
      </w:r>
      <w:r w:rsidR="00764049" w:rsidRPr="00100F0A">
        <w:t>ies</w:t>
      </w:r>
      <w:r w:rsidRPr="00100F0A">
        <w:t xml:space="preserve"> </w:t>
      </w:r>
    </w:p>
    <w:p w14:paraId="3BB44209" w14:textId="77777777" w:rsidR="00CE19C4" w:rsidRDefault="00601CB2" w:rsidP="00601CB2">
      <w:pPr>
        <w:pStyle w:val="Bullet1"/>
        <w:spacing w:before="80"/>
        <w:ind w:left="454" w:hanging="454"/>
      </w:pPr>
      <w:r w:rsidRPr="00100F0A">
        <w:t xml:space="preserve">Section four compares the findings of the previous two sections. </w:t>
      </w:r>
    </w:p>
    <w:p w14:paraId="0BF56207" w14:textId="21327665" w:rsidR="00601CB2" w:rsidRDefault="00601CB2" w:rsidP="00601CB2">
      <w:pPr>
        <w:pStyle w:val="Bullet1"/>
        <w:spacing w:before="80"/>
        <w:ind w:left="454" w:hanging="454"/>
      </w:pPr>
      <w:r w:rsidRPr="00100F0A">
        <w:t>Section five draws conclusions from these findings.</w:t>
      </w:r>
    </w:p>
    <w:p w14:paraId="27F4D776" w14:textId="77777777" w:rsidR="006C0A57" w:rsidRPr="00100F0A" w:rsidRDefault="006C0A57" w:rsidP="006C0A57">
      <w:pPr>
        <w:pStyle w:val="BodyText"/>
      </w:pPr>
    </w:p>
    <w:p w14:paraId="232739FA" w14:textId="18AE9973" w:rsidR="00601CB2" w:rsidRPr="00100F0A" w:rsidRDefault="00601CB2" w:rsidP="00AD35BF">
      <w:pPr>
        <w:pStyle w:val="Heading2"/>
      </w:pPr>
      <w:bookmarkStart w:id="34" w:name="_Toc420680755"/>
      <w:bookmarkStart w:id="35" w:name="_Toc420879247"/>
      <w:bookmarkStart w:id="36" w:name="_Toc420959473"/>
      <w:bookmarkStart w:id="37" w:name="_Toc421034128"/>
      <w:bookmarkStart w:id="38" w:name="_Toc421042275"/>
      <w:bookmarkStart w:id="39" w:name="_Toc421043475"/>
      <w:bookmarkStart w:id="40" w:name="_Toc421048458"/>
      <w:bookmarkStart w:id="41" w:name="_Toc421054574"/>
      <w:bookmarkStart w:id="42" w:name="_Toc421086272"/>
      <w:bookmarkStart w:id="43" w:name="_Toc421126647"/>
      <w:bookmarkStart w:id="44" w:name="_Toc425849152"/>
      <w:bookmarkStart w:id="45" w:name="_Toc13225528"/>
      <w:bookmarkEnd w:id="34"/>
      <w:bookmarkEnd w:id="35"/>
      <w:bookmarkEnd w:id="36"/>
      <w:bookmarkEnd w:id="37"/>
      <w:bookmarkEnd w:id="38"/>
      <w:bookmarkEnd w:id="39"/>
      <w:bookmarkEnd w:id="40"/>
      <w:bookmarkEnd w:id="41"/>
      <w:bookmarkEnd w:id="42"/>
      <w:bookmarkEnd w:id="43"/>
      <w:r w:rsidRPr="00100F0A">
        <w:t>Other project outputs</w:t>
      </w:r>
      <w:bookmarkEnd w:id="44"/>
      <w:bookmarkEnd w:id="45"/>
    </w:p>
    <w:p w14:paraId="32E7F0AE" w14:textId="6DF1D9BD" w:rsidR="00601CB2" w:rsidRPr="00100F0A" w:rsidRDefault="00601CB2" w:rsidP="00601CB2">
      <w:pPr>
        <w:pStyle w:val="BodyText"/>
      </w:pPr>
      <w:r w:rsidRPr="00100F0A">
        <w:t xml:space="preserve">This report was submitted to </w:t>
      </w:r>
      <w:r w:rsidR="00CC4550" w:rsidRPr="00100F0A">
        <w:t>DoEE</w:t>
      </w:r>
      <w:r w:rsidRPr="00100F0A">
        <w:t xml:space="preserve"> together with t</w:t>
      </w:r>
      <w:r w:rsidR="00764049" w:rsidRPr="00100F0A">
        <w:t>wo</w:t>
      </w:r>
      <w:r w:rsidRPr="00100F0A">
        <w:t xml:space="preserve"> Microsoft Excel files:</w:t>
      </w:r>
    </w:p>
    <w:p w14:paraId="4ED48409" w14:textId="1567BBA6" w:rsidR="0035127A" w:rsidRPr="00100F0A" w:rsidRDefault="0035127A" w:rsidP="0035127A">
      <w:pPr>
        <w:pStyle w:val="Bullet1"/>
        <w:spacing w:before="80"/>
        <w:ind w:left="454" w:hanging="454"/>
      </w:pPr>
      <w:r w:rsidRPr="00100F0A">
        <w:t xml:space="preserve">The </w:t>
      </w:r>
      <w:r w:rsidRPr="00100F0A">
        <w:rPr>
          <w:i/>
        </w:rPr>
        <w:t>Hazwaste infrastructure database 2018</w:t>
      </w:r>
      <w:r w:rsidRPr="00100F0A">
        <w:t xml:space="preserve"> which details Australia’s hazardous waste infrastructure capability and capacity data by site. The database has been </w:t>
      </w:r>
      <w:r w:rsidR="00501CC8" w:rsidRPr="00100F0A">
        <w:t xml:space="preserve">built via an </w:t>
      </w:r>
      <w:r w:rsidRPr="00100F0A">
        <w:t xml:space="preserve">extensive industry consultation </w:t>
      </w:r>
      <w:r w:rsidR="00BF3230" w:rsidRPr="00100F0A">
        <w:t xml:space="preserve">program </w:t>
      </w:r>
      <w:r w:rsidR="00501CC8" w:rsidRPr="00100F0A">
        <w:t xml:space="preserve">completed </w:t>
      </w:r>
      <w:r w:rsidR="00BF3230" w:rsidRPr="00100F0A">
        <w:t xml:space="preserve">during the development of the 2015 and 2018 assessments. </w:t>
      </w:r>
    </w:p>
    <w:p w14:paraId="07091A48" w14:textId="5C16682E" w:rsidR="00601CB2" w:rsidRPr="00100F0A" w:rsidRDefault="009C6034" w:rsidP="00C516C0">
      <w:pPr>
        <w:pStyle w:val="Bullet1"/>
      </w:pPr>
      <w:r w:rsidRPr="00100F0A">
        <w:t>The</w:t>
      </w:r>
      <w:r w:rsidR="00C516C0" w:rsidRPr="00100F0A">
        <w:t xml:space="preserve"> </w:t>
      </w:r>
      <w:r w:rsidRPr="00100F0A">
        <w:rPr>
          <w:i/>
        </w:rPr>
        <w:t>Hazardous waste needs vs capacity model</w:t>
      </w:r>
      <w:r w:rsidRPr="00100F0A">
        <w:t xml:space="preserve"> </w:t>
      </w:r>
      <w:r w:rsidR="0035127A" w:rsidRPr="00100F0A">
        <w:t xml:space="preserve">which projects </w:t>
      </w:r>
      <w:r w:rsidR="00C516C0" w:rsidRPr="00100F0A">
        <w:t xml:space="preserve">Australia’s </w:t>
      </w:r>
      <w:r w:rsidR="0035127A" w:rsidRPr="00100F0A">
        <w:t>future quantities of hazardous waste and compares these with the currently available management infrastructure</w:t>
      </w:r>
      <w:r w:rsidR="00C516C0" w:rsidRPr="00100F0A">
        <w:t xml:space="preserve"> in Australia</w:t>
      </w:r>
      <w:r w:rsidR="0035127A" w:rsidRPr="00100F0A">
        <w:t xml:space="preserve"> in order to identify infrastructure development needs. The projections cover the period 2018 to 2037 under best estimate, high estimate and low estimate scenarios.</w:t>
      </w:r>
      <w:r w:rsidR="00764049" w:rsidRPr="00100F0A">
        <w:t xml:space="preserve"> This model also includes data on the historical arisings (trends) of hazardous waste arisings</w:t>
      </w:r>
      <w:r w:rsidR="00CE19C4">
        <w:t xml:space="preserve"> (</w:t>
      </w:r>
      <w:r w:rsidR="00764049" w:rsidRPr="00100F0A">
        <w:t>see the Proj. methods tab</w:t>
      </w:r>
      <w:r w:rsidR="00CE19C4">
        <w:t>)</w:t>
      </w:r>
      <w:r w:rsidR="00764049" w:rsidRPr="00100F0A">
        <w:t>.</w:t>
      </w:r>
    </w:p>
    <w:p w14:paraId="2BBC5D5B" w14:textId="77777777" w:rsidR="00601CB2" w:rsidRPr="00100F0A" w:rsidRDefault="00601CB2" w:rsidP="00601CB2">
      <w:pPr>
        <w:pStyle w:val="BodyText"/>
      </w:pPr>
    </w:p>
    <w:p w14:paraId="4E4DACD4" w14:textId="414C8CC4" w:rsidR="00601CB2" w:rsidRPr="00100F0A" w:rsidRDefault="00601CB2" w:rsidP="00772EED">
      <w:pPr>
        <w:pStyle w:val="BodyText"/>
      </w:pPr>
      <w:r w:rsidRPr="00100F0A">
        <w:t>The key outputs of th</w:t>
      </w:r>
      <w:r w:rsidR="00CE19C4">
        <w:t>e</w:t>
      </w:r>
      <w:r w:rsidRPr="00100F0A">
        <w:t>se analyses are presented as tables and figures in this report.</w:t>
      </w:r>
      <w:r w:rsidRPr="00100F0A">
        <w:br w:type="page"/>
      </w:r>
    </w:p>
    <w:p w14:paraId="03F975C3" w14:textId="3A604558" w:rsidR="005172DB" w:rsidRPr="00100F0A" w:rsidRDefault="002514A0" w:rsidP="002514A0">
      <w:pPr>
        <w:pStyle w:val="Heading1"/>
      </w:pPr>
      <w:bookmarkStart w:id="46" w:name="_Ref530644856"/>
      <w:bookmarkStart w:id="47" w:name="_Toc13225529"/>
      <w:r w:rsidRPr="00100F0A">
        <w:t>Projections of hazardous waste infrastructure needs</w:t>
      </w:r>
      <w:bookmarkEnd w:id="46"/>
      <w:bookmarkEnd w:id="47"/>
    </w:p>
    <w:p w14:paraId="3FBAB56B" w14:textId="66636403" w:rsidR="00DA7ED9" w:rsidRDefault="00DA7ED9" w:rsidP="00DA7ED9">
      <w:pPr>
        <w:rPr>
          <w:color w:val="080808"/>
        </w:rPr>
      </w:pPr>
      <w:r w:rsidRPr="00100F0A">
        <w:rPr>
          <w:color w:val="080808"/>
        </w:rPr>
        <w:t xml:space="preserve">The project team developed projections of future arisings of hazardous waste that infrastructure will need to service. This section describes the methods for generating the projections and displays the results. It also presents information on the how waste </w:t>
      </w:r>
      <w:r w:rsidR="00C14F18">
        <w:rPr>
          <w:color w:val="080808"/>
        </w:rPr>
        <w:t>is</w:t>
      </w:r>
      <w:r w:rsidRPr="00100F0A">
        <w:rPr>
          <w:color w:val="080808"/>
        </w:rPr>
        <w:t xml:space="preserve"> currently managed.</w:t>
      </w:r>
    </w:p>
    <w:p w14:paraId="0E00A62D" w14:textId="77777777" w:rsidR="006C0A57" w:rsidRPr="00100F0A" w:rsidRDefault="006C0A57" w:rsidP="00DA7ED9">
      <w:pPr>
        <w:rPr>
          <w:color w:val="080808"/>
        </w:rPr>
      </w:pPr>
    </w:p>
    <w:p w14:paraId="78CEA1D5" w14:textId="3C178BAD" w:rsidR="00DA7ED9" w:rsidRPr="00100F0A" w:rsidRDefault="00DA7ED9" w:rsidP="00DA7ED9">
      <w:pPr>
        <w:pStyle w:val="Heading2"/>
        <w:ind w:left="851" w:hanging="851"/>
      </w:pPr>
      <w:bookmarkStart w:id="48" w:name="_Toc425849154"/>
      <w:bookmarkStart w:id="49" w:name="_Toc519527689"/>
      <w:bookmarkStart w:id="50" w:name="_Toc13225530"/>
      <w:bookmarkStart w:id="51" w:name="_Toc406412164"/>
      <w:bookmarkStart w:id="52" w:name="_Toc408308718"/>
      <w:r w:rsidRPr="00100F0A">
        <w:t>Overview of the approach to the projections</w:t>
      </w:r>
      <w:bookmarkEnd w:id="48"/>
      <w:bookmarkEnd w:id="49"/>
      <w:bookmarkEnd w:id="50"/>
      <w:r w:rsidRPr="00100F0A">
        <w:t xml:space="preserve"> </w:t>
      </w:r>
      <w:bookmarkEnd w:id="51"/>
      <w:bookmarkEnd w:id="52"/>
    </w:p>
    <w:p w14:paraId="2A237206" w14:textId="64F4A4C2" w:rsidR="00DA7ED9" w:rsidRPr="00100F0A" w:rsidRDefault="00DA7ED9" w:rsidP="00DA7ED9">
      <w:pPr>
        <w:pStyle w:val="BodyText"/>
      </w:pPr>
      <w:r w:rsidRPr="00100F0A">
        <w:t xml:space="preserve">Wastes were classified for the purpose of the projections into ‘waste groups’ that closely correspond with the NEPM. A starting quantity of tonnes was established from which to project future quantities, typically based on 2016-17 data. An understanding of how these quantities may change over the required </w:t>
      </w:r>
      <w:r w:rsidR="00C34F48" w:rsidRPr="00100F0A">
        <w:t>20</w:t>
      </w:r>
      <w:r w:rsidR="00C34F48">
        <w:t>-year</w:t>
      </w:r>
      <w:r w:rsidRPr="00100F0A">
        <w:t xml:space="preserve"> projection period was then developed, following the hierarchy of potential approaches illustrated in </w:t>
      </w:r>
      <w:r w:rsidRPr="00100F0A">
        <w:fldChar w:fldCharType="begin"/>
      </w:r>
      <w:r w:rsidRPr="00100F0A">
        <w:instrText xml:space="preserve"> REF _Ref406075576 \h  \* MERGEFORMAT </w:instrText>
      </w:r>
      <w:r w:rsidRPr="00100F0A">
        <w:fldChar w:fldCharType="separate"/>
      </w:r>
      <w:r w:rsidR="00EB634D" w:rsidRPr="00100F0A">
        <w:t xml:space="preserve">Figure </w:t>
      </w:r>
      <w:r w:rsidR="00EB634D">
        <w:rPr>
          <w:noProof/>
        </w:rPr>
        <w:t>1</w:t>
      </w:r>
      <w:r w:rsidRPr="00100F0A">
        <w:fldChar w:fldCharType="end"/>
      </w:r>
      <w:r w:rsidRPr="00100F0A">
        <w:t xml:space="preserve">. </w:t>
      </w:r>
    </w:p>
    <w:p w14:paraId="2CDA1D95" w14:textId="5944EA8B" w:rsidR="00DA7ED9" w:rsidRPr="00100F0A" w:rsidRDefault="00DA7ED9" w:rsidP="00DA7ED9">
      <w:pPr>
        <w:pStyle w:val="Caption"/>
      </w:pPr>
      <w:bookmarkStart w:id="53" w:name="_Ref406075576"/>
      <w:bookmarkStart w:id="54" w:name="_Toc299783014"/>
      <w:bookmarkStart w:id="55" w:name="_Toc299790542"/>
      <w:bookmarkStart w:id="56" w:name="_Toc299955572"/>
      <w:bookmarkStart w:id="57" w:name="_Toc308623163"/>
      <w:bookmarkStart w:id="58" w:name="_Toc308623315"/>
      <w:bookmarkStart w:id="59" w:name="_Toc406412185"/>
      <w:bookmarkStart w:id="60" w:name="_Ref408577826"/>
      <w:bookmarkStart w:id="61" w:name="_Toc425849219"/>
      <w:bookmarkStart w:id="62" w:name="_Toc519528009"/>
      <w:bookmarkStart w:id="63" w:name="_Toc13225574"/>
      <w:r w:rsidRPr="00100F0A">
        <w:t xml:space="preserve">Figure </w:t>
      </w:r>
      <w:r w:rsidR="00273744" w:rsidRPr="00100F0A">
        <w:rPr>
          <w:noProof/>
        </w:rPr>
        <w:fldChar w:fldCharType="begin"/>
      </w:r>
      <w:r w:rsidR="00273744" w:rsidRPr="00100F0A">
        <w:rPr>
          <w:noProof/>
        </w:rPr>
        <w:instrText xml:space="preserve"> SEQ Figure \* ARABIC </w:instrText>
      </w:r>
      <w:r w:rsidR="00273744" w:rsidRPr="00100F0A">
        <w:rPr>
          <w:noProof/>
        </w:rPr>
        <w:fldChar w:fldCharType="separate"/>
      </w:r>
      <w:r w:rsidR="00EB634D">
        <w:rPr>
          <w:noProof/>
        </w:rPr>
        <w:t>1</w:t>
      </w:r>
      <w:r w:rsidR="00273744" w:rsidRPr="00100F0A">
        <w:rPr>
          <w:noProof/>
        </w:rPr>
        <w:fldChar w:fldCharType="end"/>
      </w:r>
      <w:bookmarkEnd w:id="53"/>
      <w:bookmarkEnd w:id="54"/>
      <w:bookmarkEnd w:id="55"/>
      <w:bookmarkEnd w:id="56"/>
      <w:r w:rsidR="00C14F18">
        <w:rPr>
          <w:noProof/>
        </w:rPr>
        <w:t>:</w:t>
      </w:r>
      <w:r w:rsidRPr="00100F0A">
        <w:tab/>
      </w:r>
      <w:bookmarkEnd w:id="57"/>
      <w:bookmarkEnd w:id="58"/>
      <w:r w:rsidRPr="00100F0A">
        <w:t>Hierarchy for selecting the primary projection method for waste arising</w:t>
      </w:r>
      <w:bookmarkEnd w:id="59"/>
      <w:bookmarkEnd w:id="60"/>
      <w:bookmarkEnd w:id="61"/>
      <w:bookmarkEnd w:id="62"/>
      <w:bookmarkEnd w:id="63"/>
    </w:p>
    <w:p w14:paraId="46ADA8F5" w14:textId="77777777" w:rsidR="00DA7ED9" w:rsidRPr="00100F0A" w:rsidRDefault="00DA7ED9" w:rsidP="00DA7ED9">
      <w:pPr>
        <w:rPr>
          <w:color w:val="080808"/>
        </w:rPr>
      </w:pPr>
      <w:r w:rsidRPr="00100F0A">
        <w:rPr>
          <w:noProof/>
          <w:lang w:eastAsia="en-AU"/>
        </w:rPr>
        <mc:AlternateContent>
          <mc:Choice Requires="wps">
            <w:drawing>
              <wp:anchor distT="0" distB="0" distL="114300" distR="114300" simplePos="0" relativeHeight="251647488" behindDoc="0" locked="0" layoutInCell="1" allowOverlap="1" wp14:anchorId="41F582D3" wp14:editId="41C7E508">
                <wp:simplePos x="0" y="0"/>
                <wp:positionH relativeFrom="column">
                  <wp:posOffset>4002405</wp:posOffset>
                </wp:positionH>
                <wp:positionV relativeFrom="paragraph">
                  <wp:posOffset>9525</wp:posOffset>
                </wp:positionV>
                <wp:extent cx="2114550" cy="2762250"/>
                <wp:effectExtent l="0" t="0" r="0" b="0"/>
                <wp:wrapNone/>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762250"/>
                        </a:xfrm>
                        <a:prstGeom prst="rect">
                          <a:avLst/>
                        </a:prstGeom>
                        <a:solidFill>
                          <a:srgbClr val="FFFFFF"/>
                        </a:solidFill>
                        <a:ln w="9525">
                          <a:noFill/>
                          <a:miter lim="800000"/>
                          <a:headEnd/>
                          <a:tailEnd/>
                        </a:ln>
                      </wps:spPr>
                      <wps:txbx>
                        <w:txbxContent>
                          <w:p w14:paraId="0257B853" w14:textId="77777777" w:rsidR="00F42A40" w:rsidRPr="00643142" w:rsidRDefault="00F42A40" w:rsidP="00DA7ED9">
                            <w:pPr>
                              <w:rPr>
                                <w:rFonts w:cs="Arial"/>
                                <w:i/>
                                <w:color w:val="000099" w:themeColor="text2"/>
                                <w:sz w:val="20"/>
                                <w:szCs w:val="20"/>
                              </w:rPr>
                            </w:pPr>
                            <w:r w:rsidRPr="00643142">
                              <w:rPr>
                                <w:rFonts w:cs="Arial"/>
                                <w:i/>
                                <w:color w:val="000099" w:themeColor="text2"/>
                                <w:sz w:val="20"/>
                                <w:szCs w:val="20"/>
                              </w:rPr>
                              <w:t>Notes:</w:t>
                            </w:r>
                            <w:r w:rsidRPr="00643142">
                              <w:rPr>
                                <w:rFonts w:cs="Arial"/>
                                <w:i/>
                                <w:color w:val="000099" w:themeColor="text2"/>
                                <w:sz w:val="20"/>
                                <w:szCs w:val="20"/>
                              </w:rPr>
                              <w:tab/>
                            </w:r>
                          </w:p>
                          <w:p w14:paraId="7A46FC00" w14:textId="340D3EEE" w:rsidR="00F42A40" w:rsidRPr="00643142" w:rsidRDefault="00F42A40" w:rsidP="00DA7ED9">
                            <w:pPr>
                              <w:pStyle w:val="ListParagraph"/>
                              <w:numPr>
                                <w:ilvl w:val="0"/>
                                <w:numId w:val="15"/>
                              </w:numPr>
                              <w:ind w:left="284" w:hanging="284"/>
                              <w:rPr>
                                <w:rFonts w:cs="Arial"/>
                                <w:i/>
                                <w:color w:val="000099" w:themeColor="text2"/>
                                <w:sz w:val="20"/>
                                <w:szCs w:val="20"/>
                              </w:rPr>
                            </w:pPr>
                            <w:r w:rsidRPr="00643142">
                              <w:rPr>
                                <w:rFonts w:cs="Arial"/>
                                <w:i/>
                                <w:color w:val="000099" w:themeColor="text2"/>
                                <w:sz w:val="20"/>
                                <w:szCs w:val="20"/>
                              </w:rPr>
                              <w:t>A stock</w:t>
                            </w:r>
                            <w:r>
                              <w:rPr>
                                <w:rFonts w:cs="Arial"/>
                                <w:i/>
                                <w:color w:val="000099" w:themeColor="text2"/>
                                <w:sz w:val="20"/>
                                <w:szCs w:val="20"/>
                              </w:rPr>
                              <w:t>s</w:t>
                            </w:r>
                            <w:r w:rsidRPr="00643142">
                              <w:rPr>
                                <w:rFonts w:cs="Arial"/>
                                <w:i/>
                                <w:color w:val="000099" w:themeColor="text2"/>
                                <w:sz w:val="20"/>
                                <w:szCs w:val="20"/>
                              </w:rPr>
                              <w:t xml:space="preserve"> and flow’ model attempts to project material flows such as waste arisings through reference to consumption data and retention lifespans of materials and products in society.</w:t>
                            </w:r>
                          </w:p>
                          <w:p w14:paraId="103E8085" w14:textId="1528CCE8" w:rsidR="00F42A40" w:rsidRPr="00643142" w:rsidRDefault="00F42A40" w:rsidP="00DA7ED9">
                            <w:pPr>
                              <w:pStyle w:val="ListParagraph"/>
                              <w:numPr>
                                <w:ilvl w:val="0"/>
                                <w:numId w:val="15"/>
                              </w:numPr>
                              <w:ind w:left="284" w:hanging="284"/>
                              <w:rPr>
                                <w:rFonts w:cs="Arial"/>
                                <w:i/>
                                <w:color w:val="000099" w:themeColor="text2"/>
                                <w:sz w:val="20"/>
                                <w:szCs w:val="20"/>
                              </w:rPr>
                            </w:pPr>
                            <w:r w:rsidRPr="00643142">
                              <w:rPr>
                                <w:rFonts w:cs="Arial"/>
                                <w:i/>
                                <w:color w:val="000099" w:themeColor="text2"/>
                                <w:sz w:val="20"/>
                                <w:szCs w:val="20"/>
                              </w:rPr>
                              <w:t>Causal analysis involves linking the future arisings of a waste type to factors likely to influence these arisings, for which credible projections already exist.</w:t>
                            </w:r>
                          </w:p>
                          <w:p w14:paraId="48D523BD" w14:textId="7A879F2D" w:rsidR="00F42A40" w:rsidRPr="00643142" w:rsidRDefault="00F42A40" w:rsidP="00DA7ED9">
                            <w:pPr>
                              <w:pStyle w:val="ListParagraph"/>
                              <w:numPr>
                                <w:ilvl w:val="0"/>
                                <w:numId w:val="15"/>
                              </w:numPr>
                              <w:ind w:left="284" w:hanging="284"/>
                              <w:rPr>
                                <w:rFonts w:cs="Arial"/>
                                <w:i/>
                                <w:color w:val="000099" w:themeColor="text2"/>
                                <w:sz w:val="20"/>
                                <w:szCs w:val="20"/>
                              </w:rPr>
                            </w:pPr>
                            <w:r w:rsidRPr="00643142">
                              <w:rPr>
                                <w:rFonts w:cs="Arial"/>
                                <w:i/>
                                <w:color w:val="000099" w:themeColor="text2"/>
                                <w:sz w:val="20"/>
                                <w:szCs w:val="20"/>
                              </w:rPr>
                              <w:t xml:space="preserve">Rational expectations refers to the ability to explain and understand apparent trends so that any assumption of their continuation can be made with confidence. </w:t>
                            </w:r>
                          </w:p>
                          <w:p w14:paraId="33C8F70E" w14:textId="77777777" w:rsidR="00F42A40" w:rsidRPr="00643142" w:rsidRDefault="00F42A40" w:rsidP="00DA7ED9">
                            <w:pPr>
                              <w:rPr>
                                <w:color w:val="000099" w:themeColor="text2"/>
                                <w:sz w:val="20"/>
                                <w:szCs w:val="20"/>
                              </w:rPr>
                            </w:pP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1F582D3" id="_x0000_t202" coordsize="21600,21600" o:spt="202" path="m,l,21600r21600,l21600,xe">
                <v:stroke joinstyle="miter"/>
                <v:path gradientshapeok="t" o:connecttype="rect"/>
              </v:shapetype>
              <v:shape id="Text Box 2" o:spid="_x0000_s1026" type="#_x0000_t202" style="position:absolute;margin-left:315.15pt;margin-top:.75pt;width:166.5pt;height:21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YvGwIAABYEAAAOAAAAZHJzL2Uyb0RvYy54bWysU82OEzEMviPxDlHudNqBdpdRp6ulSxHS&#10;8iPt8gBuJtOJSOKQpJ1Znh4n03YL3BA5RLZjf7Y/O8ubwWh2kD4otDWfTaacSSuwUXZX82+Pm1fX&#10;nIUItgGNVtb8SQZ+s3r5Ytm7SpbYoW6kZwRiQ9W7mncxuqooguikgTBBJy09tugNRFL9rmg89IRu&#10;dFFOp4uiR984j0KGQNa78ZGvMn7bShG/tG2QkemaU20x3z7f23QXqyVUOw+uU+JYBvxDFQaUpaRn&#10;qDuIwPZe/QVllPAYsI0TgabAtlVC5h6om9n0j24eOnAy90LkBHemKfw/WPH58NUz1dDsruacWTA0&#10;pEc5RPYOB1YmfnoXKnJ7cOQYBzKTb+41uHsU3wOzuO7A7uSt99h3Ehqqb5Yii4vQESckkG3/CRtK&#10;A/uIGWhovUnkER2M0GlOT+fZpFIEGcvZ7M18Tk+C3sqrRVmSknJAdQp3PsQPEg1LQs09DT/Dw+E+&#10;xNH15JKyBdSq2Sits+J327X27AC0KJt8jui/uWnL+pq/nZfzjGwxxRM0VEZFWmStTM2vp+mkcKgS&#10;He9tk+UISo8yFa3tkZ9EyUhOHLYDOSbSttg8EVMex4WlD0ZCh/4nZz0ta83Djz14yZn+aInt14uU&#10;kMWskOAvrduTFawgiJpHzkZxHfNPSHVavKVptCrz9FzBsUZavsz08aOk7b7Us9fzd179AgAA//8D&#10;AFBLAwQUAAYACAAAACEAyYMa4N0AAAAJAQAADwAAAGRycy9kb3ducmV2LnhtbEyPy07DMBBF90j8&#10;gzVI7KhN0kQhjVOhSogFYkGheycekqh+hNhNA1/PsKLLq3t15ky1XaxhM05h8E7C/UoAQ9d6PbhO&#10;wsf7010BLETltDLeoYRvDLCtr68qVWp/dm8472PHCOJCqST0MY4l56Ht0aqw8iM66j79ZFWkOHVc&#10;T+pMcGt4IkTOrRocXejViLse2+P+ZCXkyfycrLOf8esgXl53xXLApjBS3t4sjxtgEZf4P4Y/fVKH&#10;mpwaf3I6MEOMVKQ0pSIDRv1DnlJuJKzTPANeV/zyg/oXAAD//wMAUEsBAi0AFAAGAAgAAAAhALaD&#10;OJL+AAAA4QEAABMAAAAAAAAAAAAAAAAAAAAAAFtDb250ZW50X1R5cGVzXS54bWxQSwECLQAUAAYA&#10;CAAAACEAOP0h/9YAAACUAQAACwAAAAAAAAAAAAAAAAAvAQAAX3JlbHMvLnJlbHNQSwECLQAUAAYA&#10;CAAAACEApr0WLxsCAAAWBAAADgAAAAAAAAAAAAAAAAAuAgAAZHJzL2Uyb0RvYy54bWxQSwECLQAU&#10;AAYACAAAACEAyYMa4N0AAAAJAQAADwAAAAAAAAAAAAAAAAB1BAAAZHJzL2Rvd25yZXYueG1sUEsF&#10;BgAAAAAEAAQA8wAAAH8FAAAAAA==&#10;" stroked="f">
                <v:textbox inset="1mm,0,1mm,0">
                  <w:txbxContent>
                    <w:p w14:paraId="0257B853" w14:textId="77777777" w:rsidR="00F42A40" w:rsidRPr="00643142" w:rsidRDefault="00F42A40" w:rsidP="00DA7ED9">
                      <w:pPr>
                        <w:rPr>
                          <w:rFonts w:cs="Arial"/>
                          <w:i/>
                          <w:color w:val="000099" w:themeColor="text2"/>
                          <w:sz w:val="20"/>
                          <w:szCs w:val="20"/>
                        </w:rPr>
                      </w:pPr>
                      <w:r w:rsidRPr="00643142">
                        <w:rPr>
                          <w:rFonts w:cs="Arial"/>
                          <w:i/>
                          <w:color w:val="000099" w:themeColor="text2"/>
                          <w:sz w:val="20"/>
                          <w:szCs w:val="20"/>
                        </w:rPr>
                        <w:t>Notes:</w:t>
                      </w:r>
                      <w:r w:rsidRPr="00643142">
                        <w:rPr>
                          <w:rFonts w:cs="Arial"/>
                          <w:i/>
                          <w:color w:val="000099" w:themeColor="text2"/>
                          <w:sz w:val="20"/>
                          <w:szCs w:val="20"/>
                        </w:rPr>
                        <w:tab/>
                      </w:r>
                    </w:p>
                    <w:p w14:paraId="7A46FC00" w14:textId="340D3EEE" w:rsidR="00F42A40" w:rsidRPr="00643142" w:rsidRDefault="00F42A40" w:rsidP="00DA7ED9">
                      <w:pPr>
                        <w:pStyle w:val="ListParagraph"/>
                        <w:numPr>
                          <w:ilvl w:val="0"/>
                          <w:numId w:val="15"/>
                        </w:numPr>
                        <w:ind w:left="284" w:hanging="284"/>
                        <w:rPr>
                          <w:rFonts w:cs="Arial"/>
                          <w:i/>
                          <w:color w:val="000099" w:themeColor="text2"/>
                          <w:sz w:val="20"/>
                          <w:szCs w:val="20"/>
                        </w:rPr>
                      </w:pPr>
                      <w:r w:rsidRPr="00643142">
                        <w:rPr>
                          <w:rFonts w:cs="Arial"/>
                          <w:i/>
                          <w:color w:val="000099" w:themeColor="text2"/>
                          <w:sz w:val="20"/>
                          <w:szCs w:val="20"/>
                        </w:rPr>
                        <w:t>A stock</w:t>
                      </w:r>
                      <w:r>
                        <w:rPr>
                          <w:rFonts w:cs="Arial"/>
                          <w:i/>
                          <w:color w:val="000099" w:themeColor="text2"/>
                          <w:sz w:val="20"/>
                          <w:szCs w:val="20"/>
                        </w:rPr>
                        <w:t>s</w:t>
                      </w:r>
                      <w:r w:rsidRPr="00643142">
                        <w:rPr>
                          <w:rFonts w:cs="Arial"/>
                          <w:i/>
                          <w:color w:val="000099" w:themeColor="text2"/>
                          <w:sz w:val="20"/>
                          <w:szCs w:val="20"/>
                        </w:rPr>
                        <w:t xml:space="preserve"> and flow’ model attempts to project material flows such as waste arisings through reference to consumption data and retention lifespans of materials and products in society.</w:t>
                      </w:r>
                    </w:p>
                    <w:p w14:paraId="103E8085" w14:textId="1528CCE8" w:rsidR="00F42A40" w:rsidRPr="00643142" w:rsidRDefault="00F42A40" w:rsidP="00DA7ED9">
                      <w:pPr>
                        <w:pStyle w:val="ListParagraph"/>
                        <w:numPr>
                          <w:ilvl w:val="0"/>
                          <w:numId w:val="15"/>
                        </w:numPr>
                        <w:ind w:left="284" w:hanging="284"/>
                        <w:rPr>
                          <w:rFonts w:cs="Arial"/>
                          <w:i/>
                          <w:color w:val="000099" w:themeColor="text2"/>
                          <w:sz w:val="20"/>
                          <w:szCs w:val="20"/>
                        </w:rPr>
                      </w:pPr>
                      <w:r w:rsidRPr="00643142">
                        <w:rPr>
                          <w:rFonts w:cs="Arial"/>
                          <w:i/>
                          <w:color w:val="000099" w:themeColor="text2"/>
                          <w:sz w:val="20"/>
                          <w:szCs w:val="20"/>
                        </w:rPr>
                        <w:t>Causal analysis involves linking the future arisings of a waste type to factors likely to influence these arisings, for which credible projections already exist.</w:t>
                      </w:r>
                    </w:p>
                    <w:p w14:paraId="48D523BD" w14:textId="7A879F2D" w:rsidR="00F42A40" w:rsidRPr="00643142" w:rsidRDefault="00F42A40" w:rsidP="00DA7ED9">
                      <w:pPr>
                        <w:pStyle w:val="ListParagraph"/>
                        <w:numPr>
                          <w:ilvl w:val="0"/>
                          <w:numId w:val="15"/>
                        </w:numPr>
                        <w:ind w:left="284" w:hanging="284"/>
                        <w:rPr>
                          <w:rFonts w:cs="Arial"/>
                          <w:i/>
                          <w:color w:val="000099" w:themeColor="text2"/>
                          <w:sz w:val="20"/>
                          <w:szCs w:val="20"/>
                        </w:rPr>
                      </w:pPr>
                      <w:r w:rsidRPr="00643142">
                        <w:rPr>
                          <w:rFonts w:cs="Arial"/>
                          <w:i/>
                          <w:color w:val="000099" w:themeColor="text2"/>
                          <w:sz w:val="20"/>
                          <w:szCs w:val="20"/>
                        </w:rPr>
                        <w:t xml:space="preserve">Rational expectations refers to the ability to explain and understand apparent trends so that any assumption of their continuation can be made with confidence. </w:t>
                      </w:r>
                    </w:p>
                    <w:p w14:paraId="33C8F70E" w14:textId="77777777" w:rsidR="00F42A40" w:rsidRPr="00643142" w:rsidRDefault="00F42A40" w:rsidP="00DA7ED9">
                      <w:pPr>
                        <w:rPr>
                          <w:color w:val="000099" w:themeColor="text2"/>
                          <w:sz w:val="20"/>
                          <w:szCs w:val="20"/>
                        </w:rPr>
                      </w:pPr>
                    </w:p>
                  </w:txbxContent>
                </v:textbox>
              </v:shape>
            </w:pict>
          </mc:Fallback>
        </mc:AlternateContent>
      </w:r>
      <w:r w:rsidRPr="00100F0A">
        <w:rPr>
          <w:noProof/>
          <w:color w:val="080808"/>
          <w:lang w:eastAsia="en-AU"/>
        </w:rPr>
        <w:drawing>
          <wp:inline distT="0" distB="0" distL="0" distR="0" wp14:anchorId="1E6C8B15" wp14:editId="2CAA2A6A">
            <wp:extent cx="4000500" cy="2625715"/>
            <wp:effectExtent l="0" t="0" r="0" b="3810"/>
            <wp:docPr id="14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0" cstate="print"/>
                    <a:srcRect l="5759" t="8083" r="6418" b="2508"/>
                    <a:stretch/>
                  </pic:blipFill>
                  <pic:spPr>
                    <a:xfrm>
                      <a:off x="0" y="0"/>
                      <a:ext cx="4007434" cy="2630266"/>
                    </a:xfrm>
                    <a:prstGeom prst="rect">
                      <a:avLst/>
                    </a:prstGeom>
                  </pic:spPr>
                </pic:pic>
              </a:graphicData>
            </a:graphic>
          </wp:inline>
        </w:drawing>
      </w:r>
    </w:p>
    <w:p w14:paraId="0F3791F4" w14:textId="77777777" w:rsidR="00DA7ED9" w:rsidRPr="00100F0A" w:rsidRDefault="00DA7ED9" w:rsidP="00DA7ED9">
      <w:pPr>
        <w:rPr>
          <w:color w:val="080808"/>
        </w:rPr>
      </w:pPr>
    </w:p>
    <w:p w14:paraId="61E6F409" w14:textId="1B9CB4EA" w:rsidR="00DA7ED9" w:rsidRPr="00100F0A" w:rsidRDefault="00DA7ED9" w:rsidP="00DA7ED9">
      <w:pPr>
        <w:pStyle w:val="Heading2"/>
        <w:ind w:left="851" w:hanging="851"/>
      </w:pPr>
      <w:bookmarkStart w:id="64" w:name="_Ref419200595"/>
      <w:bookmarkStart w:id="65" w:name="_Toc425849155"/>
      <w:bookmarkStart w:id="66" w:name="_Toc519527690"/>
      <w:bookmarkStart w:id="67" w:name="_Toc13225531"/>
      <w:r w:rsidRPr="00100F0A">
        <w:t>Waste groups</w:t>
      </w:r>
      <w:bookmarkEnd w:id="64"/>
      <w:bookmarkEnd w:id="65"/>
      <w:bookmarkEnd w:id="66"/>
      <w:bookmarkEnd w:id="67"/>
    </w:p>
    <w:p w14:paraId="742CF886" w14:textId="6FF1B02E" w:rsidR="00DA7ED9" w:rsidRPr="00100F0A" w:rsidRDefault="00DA7ED9" w:rsidP="00DA7ED9">
      <w:pPr>
        <w:rPr>
          <w:color w:val="080808"/>
        </w:rPr>
      </w:pPr>
      <w:r w:rsidRPr="00100F0A">
        <w:rPr>
          <w:color w:val="080808"/>
        </w:rPr>
        <w:t xml:space="preserve">Thirty-three waste groups were defined for use in the projections, an increase of four compared with the previous 2015 version of this report. The waste groups followed the NEPM 15 list (see Section </w:t>
      </w:r>
      <w:r w:rsidRPr="00100F0A">
        <w:rPr>
          <w:color w:val="080808"/>
        </w:rPr>
        <w:fldChar w:fldCharType="begin"/>
      </w:r>
      <w:r w:rsidRPr="00100F0A">
        <w:rPr>
          <w:color w:val="080808"/>
        </w:rPr>
        <w:instrText xml:space="preserve"> REF _Ref408404160 \r \h </w:instrText>
      </w:r>
      <w:r w:rsidRPr="00100F0A">
        <w:rPr>
          <w:color w:val="080808"/>
        </w:rPr>
      </w:r>
      <w:r w:rsidRPr="00100F0A">
        <w:rPr>
          <w:color w:val="080808"/>
        </w:rPr>
        <w:fldChar w:fldCharType="separate"/>
      </w:r>
      <w:r w:rsidR="00EB634D">
        <w:rPr>
          <w:color w:val="080808"/>
        </w:rPr>
        <w:t>1.2</w:t>
      </w:r>
      <w:r w:rsidRPr="00100F0A">
        <w:rPr>
          <w:color w:val="080808"/>
        </w:rPr>
        <w:fldChar w:fldCharType="end"/>
      </w:r>
      <w:r w:rsidRPr="00100F0A">
        <w:rPr>
          <w:color w:val="080808"/>
        </w:rPr>
        <w:t>) with some disaggregation where a component waste is of particular interest. Wastes were typically of particular interest where:</w:t>
      </w:r>
    </w:p>
    <w:p w14:paraId="7C472529" w14:textId="13EC27B8" w:rsidR="00DA7ED9" w:rsidRPr="00100F0A" w:rsidRDefault="00DA7ED9" w:rsidP="00DA7ED9">
      <w:pPr>
        <w:pStyle w:val="Bullet1"/>
        <w:spacing w:before="80"/>
        <w:ind w:left="454" w:hanging="454"/>
      </w:pPr>
      <w:r w:rsidRPr="00100F0A">
        <w:t>the future quantities and available infrastructure are highly uncertain (e.g. the new Stockholm wastes POP-BDE, HBCD, HCB, PFOS contaminated materials, PFAS contaminated soil and AFFF concentrates)</w:t>
      </w:r>
    </w:p>
    <w:p w14:paraId="7552097A" w14:textId="37BCD97B" w:rsidR="00FB7654" w:rsidRPr="00100F0A" w:rsidRDefault="00FB7654" w:rsidP="00DA7ED9">
      <w:pPr>
        <w:pStyle w:val="Bullet1"/>
        <w:spacing w:before="80"/>
        <w:ind w:left="454" w:hanging="454"/>
      </w:pPr>
      <w:r w:rsidRPr="00100F0A">
        <w:t>the waste has been stockpiled significantly in the past which could be due to a lack of infrastructure options, processing costs or other barriers</w:t>
      </w:r>
    </w:p>
    <w:p w14:paraId="50699918" w14:textId="0A6B88A3" w:rsidR="00DA7ED9" w:rsidRPr="00100F0A" w:rsidRDefault="00DA7ED9" w:rsidP="00DA7ED9">
      <w:pPr>
        <w:pStyle w:val="Bullet1"/>
        <w:spacing w:before="80"/>
        <w:ind w:left="454" w:hanging="454"/>
      </w:pPr>
      <w:r w:rsidRPr="00100F0A">
        <w:t>there are very specific concerns</w:t>
      </w:r>
      <w:r w:rsidR="00971D78" w:rsidRPr="00100F0A">
        <w:t xml:space="preserve"> relating to health or the environment</w:t>
      </w:r>
      <w:r w:rsidRPr="00100F0A">
        <w:t xml:space="preserve"> (e.g. lead, mercury, asbestos)</w:t>
      </w:r>
    </w:p>
    <w:p w14:paraId="7E2309A7" w14:textId="77777777" w:rsidR="00DA7ED9" w:rsidRPr="00100F0A" w:rsidRDefault="00DA7ED9" w:rsidP="00DA7ED9">
      <w:pPr>
        <w:pStyle w:val="Bullet1"/>
        <w:spacing w:before="80"/>
        <w:ind w:left="454" w:hanging="454"/>
      </w:pPr>
      <w:r w:rsidRPr="00100F0A">
        <w:t>the waste is associated with a source industry with unusually strong growth projections (e.g. non-toxic salts, which are produced in large volumes by the coal seam gas industry)</w:t>
      </w:r>
    </w:p>
    <w:p w14:paraId="21364701" w14:textId="62744FD8" w:rsidR="00DA7ED9" w:rsidRPr="00100F0A" w:rsidRDefault="00DA7ED9" w:rsidP="00DA7ED9">
      <w:pPr>
        <w:pStyle w:val="Bullet1"/>
        <w:spacing w:before="80"/>
        <w:ind w:left="454" w:hanging="454"/>
      </w:pPr>
      <w:r w:rsidRPr="00100F0A">
        <w:t xml:space="preserve">the waste is produced in particularly large quantities (e.g. grease trap waste, contaminated soil). </w:t>
      </w:r>
    </w:p>
    <w:p w14:paraId="3A4EA43E" w14:textId="77777777" w:rsidR="00DA7ED9" w:rsidRPr="00100F0A" w:rsidRDefault="00DA7ED9" w:rsidP="00DA7ED9">
      <w:pPr>
        <w:rPr>
          <w:color w:val="080808"/>
        </w:rPr>
      </w:pPr>
    </w:p>
    <w:p w14:paraId="75FF9ECF" w14:textId="3CFD357F" w:rsidR="00DA7ED9" w:rsidRPr="00100F0A" w:rsidRDefault="00DA7ED9" w:rsidP="00DA7ED9">
      <w:pPr>
        <w:tabs>
          <w:tab w:val="left" w:pos="3466"/>
        </w:tabs>
        <w:rPr>
          <w:color w:val="080808"/>
        </w:rPr>
      </w:pPr>
      <w:r w:rsidRPr="00100F0A">
        <w:rPr>
          <w:color w:val="080808"/>
        </w:rPr>
        <w:t xml:space="preserve">The </w:t>
      </w:r>
      <w:r w:rsidR="009537C4">
        <w:rPr>
          <w:color w:val="080808"/>
        </w:rPr>
        <w:t xml:space="preserve">thirty-three </w:t>
      </w:r>
      <w:r w:rsidRPr="00100F0A">
        <w:rPr>
          <w:color w:val="080808"/>
        </w:rPr>
        <w:t xml:space="preserve">waste groups used in the projections are set out in </w:t>
      </w:r>
      <w:r w:rsidRPr="00100F0A">
        <w:fldChar w:fldCharType="begin"/>
      </w:r>
      <w:r w:rsidRPr="00100F0A">
        <w:instrText xml:space="preserve"> REF _Ref408325490 \h  \* MERGEFORMAT </w:instrText>
      </w:r>
      <w:r w:rsidRPr="00100F0A">
        <w:fldChar w:fldCharType="separate"/>
      </w:r>
      <w:r w:rsidR="00EB634D" w:rsidRPr="00EB634D">
        <w:rPr>
          <w:color w:val="080808"/>
        </w:rPr>
        <w:t>Table 1</w:t>
      </w:r>
      <w:r w:rsidRPr="00100F0A">
        <w:fldChar w:fldCharType="end"/>
      </w:r>
      <w:r w:rsidRPr="00100F0A">
        <w:t xml:space="preserve">. </w:t>
      </w:r>
      <w:r w:rsidRPr="00100F0A">
        <w:rPr>
          <w:color w:val="080808"/>
        </w:rPr>
        <w:t xml:space="preserve">Appendix </w:t>
      </w:r>
      <w:r w:rsidR="00052973" w:rsidRPr="00100F0A">
        <w:rPr>
          <w:color w:val="080808"/>
        </w:rPr>
        <w:t>B d</w:t>
      </w:r>
      <w:r w:rsidRPr="00100F0A">
        <w:rPr>
          <w:color w:val="080808"/>
        </w:rPr>
        <w:t xml:space="preserve">etails how each of the relevant NEPM 75 codes fall under the waste groups. </w:t>
      </w:r>
    </w:p>
    <w:p w14:paraId="6A7C658E" w14:textId="4B160171" w:rsidR="00DA7ED9" w:rsidRDefault="00DA7ED9" w:rsidP="00DA7ED9">
      <w:pPr>
        <w:pStyle w:val="Caption"/>
      </w:pPr>
      <w:bookmarkStart w:id="68" w:name="_Ref408325490"/>
      <w:bookmarkStart w:id="69" w:name="_Ref408325480"/>
      <w:bookmarkStart w:id="70" w:name="_Toc425849286"/>
      <w:bookmarkStart w:id="71" w:name="_Toc519528051"/>
      <w:bookmarkStart w:id="72" w:name="_Toc13225620"/>
      <w:r w:rsidRPr="00100F0A">
        <w:t xml:space="preserve">Table </w:t>
      </w:r>
      <w:r w:rsidRPr="00100F0A">
        <w:rPr>
          <w:noProof/>
        </w:rPr>
        <w:fldChar w:fldCharType="begin"/>
      </w:r>
      <w:r w:rsidRPr="00100F0A">
        <w:rPr>
          <w:noProof/>
        </w:rPr>
        <w:instrText xml:space="preserve"> SEQ Table \* ARABIC </w:instrText>
      </w:r>
      <w:r w:rsidRPr="00100F0A">
        <w:rPr>
          <w:noProof/>
        </w:rPr>
        <w:fldChar w:fldCharType="separate"/>
      </w:r>
      <w:r w:rsidR="00EB634D">
        <w:rPr>
          <w:noProof/>
        </w:rPr>
        <w:t>1</w:t>
      </w:r>
      <w:r w:rsidRPr="00100F0A">
        <w:rPr>
          <w:noProof/>
        </w:rPr>
        <w:fldChar w:fldCharType="end"/>
      </w:r>
      <w:bookmarkEnd w:id="68"/>
      <w:r w:rsidR="00C14F18">
        <w:rPr>
          <w:noProof/>
        </w:rPr>
        <w:t>:</w:t>
      </w:r>
      <w:r w:rsidRPr="00100F0A">
        <w:tab/>
        <w:t>Waste groups</w:t>
      </w:r>
      <w:bookmarkEnd w:id="69"/>
      <w:r w:rsidRPr="00100F0A">
        <w:t xml:space="preserve"> and components of particular interest</w:t>
      </w:r>
      <w:bookmarkEnd w:id="70"/>
      <w:bookmarkEnd w:id="71"/>
      <w:bookmarkEnd w:id="72"/>
    </w:p>
    <w:tbl>
      <w:tblPr>
        <w:tblStyle w:val="BE-table"/>
        <w:tblW w:w="9067" w:type="dxa"/>
        <w:tblLook w:val="04A0" w:firstRow="1" w:lastRow="0" w:firstColumn="1" w:lastColumn="0" w:noHBand="0" w:noVBand="1"/>
      </w:tblPr>
      <w:tblGrid>
        <w:gridCol w:w="503"/>
        <w:gridCol w:w="2162"/>
        <w:gridCol w:w="1125"/>
        <w:gridCol w:w="5277"/>
      </w:tblGrid>
      <w:tr w:rsidR="0094399D" w:rsidRPr="00100F0A" w14:paraId="33616BE9" w14:textId="77777777" w:rsidTr="00895C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F6864A5" w14:textId="77777777" w:rsidR="0094399D" w:rsidRPr="00100F0A" w:rsidRDefault="0094399D" w:rsidP="0028600C">
            <w:pPr>
              <w:spacing w:beforeLines="50" w:before="120" w:afterLines="50" w:after="120"/>
              <w:rPr>
                <w:color w:val="080808"/>
              </w:rPr>
            </w:pPr>
          </w:p>
        </w:tc>
        <w:tc>
          <w:tcPr>
            <w:tcW w:w="0" w:type="dxa"/>
          </w:tcPr>
          <w:p w14:paraId="52E9EB3A" w14:textId="77777777" w:rsidR="0094399D" w:rsidRPr="00100F0A" w:rsidRDefault="0094399D" w:rsidP="0028600C">
            <w:pPr>
              <w:spacing w:beforeLines="50" w:before="120" w:afterLines="50" w:after="120"/>
              <w:cnfStyle w:val="100000000000" w:firstRow="1" w:lastRow="0" w:firstColumn="0" w:lastColumn="0" w:oddVBand="0" w:evenVBand="0" w:oddHBand="0" w:evenHBand="0" w:firstRowFirstColumn="0" w:firstRowLastColumn="0" w:lastRowFirstColumn="0" w:lastRowLastColumn="0"/>
              <w:rPr>
                <w:color w:val="080808"/>
              </w:rPr>
            </w:pPr>
            <w:r w:rsidRPr="00100F0A">
              <w:t>Waste group</w:t>
            </w:r>
          </w:p>
        </w:tc>
        <w:tc>
          <w:tcPr>
            <w:tcW w:w="0" w:type="dxa"/>
          </w:tcPr>
          <w:p w14:paraId="72F1EF60" w14:textId="77777777" w:rsidR="0094399D" w:rsidRPr="00100F0A" w:rsidRDefault="0094399D" w:rsidP="0028600C">
            <w:pPr>
              <w:spacing w:beforeLines="50" w:before="120" w:afterLines="50" w:after="120"/>
              <w:jc w:val="center"/>
              <w:cnfStyle w:val="100000000000" w:firstRow="1" w:lastRow="0" w:firstColumn="0" w:lastColumn="0" w:oddVBand="0" w:evenVBand="0" w:oddHBand="0" w:evenHBand="0" w:firstRowFirstColumn="0" w:firstRowLastColumn="0" w:lastRowFirstColumn="0" w:lastRowLastColumn="0"/>
              <w:rPr>
                <w:color w:val="080808"/>
              </w:rPr>
            </w:pPr>
            <w:r w:rsidRPr="00100F0A">
              <w:t>Closest NEPM category</w:t>
            </w:r>
          </w:p>
        </w:tc>
        <w:tc>
          <w:tcPr>
            <w:tcW w:w="4394" w:type="dxa"/>
          </w:tcPr>
          <w:p w14:paraId="467937E0" w14:textId="77777777" w:rsidR="0094399D" w:rsidRPr="00100F0A" w:rsidRDefault="0094399D" w:rsidP="0028600C">
            <w:pPr>
              <w:spacing w:beforeLines="50" w:before="120" w:afterLines="50" w:after="120"/>
              <w:cnfStyle w:val="100000000000" w:firstRow="1" w:lastRow="0" w:firstColumn="0" w:lastColumn="0" w:oddVBand="0" w:evenVBand="0" w:oddHBand="0" w:evenHBand="0" w:firstRowFirstColumn="0" w:firstRowLastColumn="0" w:lastRowFirstColumn="0" w:lastRowLastColumn="0"/>
              <w:rPr>
                <w:color w:val="080808"/>
              </w:rPr>
            </w:pPr>
            <w:r w:rsidRPr="00100F0A">
              <w:t xml:space="preserve">The aspect(s) of particular interest </w:t>
            </w:r>
          </w:p>
        </w:tc>
      </w:tr>
      <w:tr w:rsidR="0094399D" w:rsidRPr="00100F0A" w14:paraId="6455D6CF"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3B7593D3" w14:textId="77777777" w:rsidR="0094399D" w:rsidRPr="00100F0A" w:rsidRDefault="0094399D" w:rsidP="0028600C">
            <w:pPr>
              <w:rPr>
                <w:color w:val="080808"/>
              </w:rPr>
            </w:pPr>
            <w:r w:rsidRPr="00100F0A">
              <w:rPr>
                <w:rFonts w:asciiTheme="minorHAnsi" w:hAnsiTheme="minorHAnsi" w:cstheme="minorHAnsi"/>
                <w:color w:val="000000"/>
              </w:rPr>
              <w:t>1</w:t>
            </w:r>
          </w:p>
        </w:tc>
        <w:tc>
          <w:tcPr>
            <w:tcW w:w="0" w:type="dxa"/>
            <w:vAlign w:val="center"/>
          </w:tcPr>
          <w:p w14:paraId="28B4D8C0"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Plating &amp; heat treatment</w:t>
            </w:r>
          </w:p>
        </w:tc>
        <w:tc>
          <w:tcPr>
            <w:tcW w:w="0" w:type="dxa"/>
            <w:vAlign w:val="center"/>
          </w:tcPr>
          <w:p w14:paraId="3CEC0216"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A</w:t>
            </w:r>
          </w:p>
        </w:tc>
        <w:tc>
          <w:tcPr>
            <w:tcW w:w="4394" w:type="dxa"/>
            <w:vAlign w:val="center"/>
          </w:tcPr>
          <w:p w14:paraId="4518D2A5"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p>
        </w:tc>
      </w:tr>
      <w:tr w:rsidR="0094399D" w:rsidRPr="00100F0A" w14:paraId="0882D8DE"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4C1EBF5B" w14:textId="77777777" w:rsidR="0094399D" w:rsidRPr="00100F0A" w:rsidRDefault="0094399D" w:rsidP="0028600C">
            <w:pPr>
              <w:rPr>
                <w:color w:val="080808"/>
              </w:rPr>
            </w:pPr>
            <w:r w:rsidRPr="00100F0A">
              <w:rPr>
                <w:rFonts w:asciiTheme="minorHAnsi" w:hAnsiTheme="minorHAnsi" w:cstheme="minorHAnsi"/>
                <w:color w:val="000000"/>
              </w:rPr>
              <w:t>2</w:t>
            </w:r>
          </w:p>
        </w:tc>
        <w:tc>
          <w:tcPr>
            <w:tcW w:w="0" w:type="dxa"/>
            <w:vAlign w:val="center"/>
          </w:tcPr>
          <w:p w14:paraId="529FDF13"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Acids</w:t>
            </w:r>
          </w:p>
        </w:tc>
        <w:tc>
          <w:tcPr>
            <w:tcW w:w="0" w:type="dxa"/>
            <w:vAlign w:val="center"/>
          </w:tcPr>
          <w:p w14:paraId="5A3DADA6"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B</w:t>
            </w:r>
          </w:p>
        </w:tc>
        <w:tc>
          <w:tcPr>
            <w:tcW w:w="4394" w:type="dxa"/>
            <w:vAlign w:val="center"/>
          </w:tcPr>
          <w:p w14:paraId="0B3B99AB"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p>
        </w:tc>
      </w:tr>
      <w:tr w:rsidR="0094399D" w:rsidRPr="00100F0A" w14:paraId="6E78C45E"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1EC6626A" w14:textId="77777777" w:rsidR="0094399D" w:rsidRPr="00100F0A" w:rsidRDefault="0094399D" w:rsidP="0028600C">
            <w:pPr>
              <w:rPr>
                <w:color w:val="080808"/>
              </w:rPr>
            </w:pPr>
            <w:r w:rsidRPr="00100F0A">
              <w:rPr>
                <w:rFonts w:asciiTheme="minorHAnsi" w:hAnsiTheme="minorHAnsi" w:cstheme="minorHAnsi"/>
                <w:color w:val="000000"/>
              </w:rPr>
              <w:t>3</w:t>
            </w:r>
          </w:p>
        </w:tc>
        <w:tc>
          <w:tcPr>
            <w:tcW w:w="0" w:type="dxa"/>
            <w:vAlign w:val="center"/>
          </w:tcPr>
          <w:p w14:paraId="3BBA44F7"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Alkalis</w:t>
            </w:r>
          </w:p>
        </w:tc>
        <w:tc>
          <w:tcPr>
            <w:tcW w:w="0" w:type="dxa"/>
            <w:vAlign w:val="center"/>
          </w:tcPr>
          <w:p w14:paraId="73F48401"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C</w:t>
            </w:r>
          </w:p>
        </w:tc>
        <w:tc>
          <w:tcPr>
            <w:tcW w:w="4394" w:type="dxa"/>
            <w:vAlign w:val="center"/>
          </w:tcPr>
          <w:p w14:paraId="0679171F"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p>
        </w:tc>
      </w:tr>
      <w:tr w:rsidR="0094399D" w:rsidRPr="00100F0A" w14:paraId="373D2C35"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2A124EA0" w14:textId="77777777" w:rsidR="0094399D" w:rsidRPr="00100F0A" w:rsidRDefault="0094399D" w:rsidP="0028600C">
            <w:pPr>
              <w:rPr>
                <w:color w:val="080808"/>
              </w:rPr>
            </w:pPr>
            <w:r w:rsidRPr="00100F0A">
              <w:rPr>
                <w:rFonts w:asciiTheme="minorHAnsi" w:hAnsiTheme="minorHAnsi" w:cstheme="minorHAnsi"/>
                <w:color w:val="000000"/>
              </w:rPr>
              <w:t>4</w:t>
            </w:r>
          </w:p>
        </w:tc>
        <w:tc>
          <w:tcPr>
            <w:tcW w:w="0" w:type="dxa"/>
            <w:vAlign w:val="center"/>
          </w:tcPr>
          <w:p w14:paraId="1B5F0900"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Inorganic fluorine (</w:t>
            </w:r>
            <w:r>
              <w:rPr>
                <w:rFonts w:asciiTheme="minorHAnsi" w:hAnsiTheme="minorHAnsi" w:cstheme="minorHAnsi"/>
                <w:color w:val="000000"/>
              </w:rPr>
              <w:t>SPL</w:t>
            </w:r>
            <w:r w:rsidRPr="00100F0A">
              <w:rPr>
                <w:rFonts w:asciiTheme="minorHAnsi" w:hAnsiTheme="minorHAnsi" w:cstheme="minorHAnsi"/>
                <w:color w:val="000000"/>
              </w:rPr>
              <w:t xml:space="preserve">) </w:t>
            </w:r>
            <w:r w:rsidRPr="00100F0A">
              <w:rPr>
                <w:rFonts w:asciiTheme="minorHAnsi" w:hAnsiTheme="minorHAnsi" w:cstheme="minorHAnsi"/>
                <w:color w:val="000000"/>
                <w:vertAlign w:val="superscript"/>
              </w:rPr>
              <w:t>1</w:t>
            </w:r>
          </w:p>
        </w:tc>
        <w:tc>
          <w:tcPr>
            <w:tcW w:w="0" w:type="dxa"/>
            <w:vAlign w:val="center"/>
          </w:tcPr>
          <w:p w14:paraId="27E8F34F"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D110</w:t>
            </w:r>
          </w:p>
        </w:tc>
        <w:tc>
          <w:tcPr>
            <w:tcW w:w="4394" w:type="dxa"/>
            <w:vAlign w:val="center"/>
          </w:tcPr>
          <w:p w14:paraId="2ECADAEB"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Significant stockpiles in Australia</w:t>
            </w:r>
          </w:p>
        </w:tc>
      </w:tr>
      <w:tr w:rsidR="0094399D" w:rsidRPr="00100F0A" w14:paraId="108099B9"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40D5C7FE" w14:textId="77777777" w:rsidR="0094399D" w:rsidRPr="00100F0A" w:rsidRDefault="0094399D" w:rsidP="0028600C">
            <w:pPr>
              <w:rPr>
                <w:color w:val="080808"/>
              </w:rPr>
            </w:pPr>
            <w:r w:rsidRPr="00100F0A">
              <w:rPr>
                <w:rFonts w:asciiTheme="minorHAnsi" w:hAnsiTheme="minorHAnsi" w:cstheme="minorHAnsi"/>
                <w:color w:val="000000"/>
              </w:rPr>
              <w:t>5</w:t>
            </w:r>
          </w:p>
        </w:tc>
        <w:tc>
          <w:tcPr>
            <w:tcW w:w="0" w:type="dxa"/>
            <w:vAlign w:val="center"/>
          </w:tcPr>
          <w:p w14:paraId="646633D6"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Mercury &amp; compounds</w:t>
            </w:r>
          </w:p>
        </w:tc>
        <w:tc>
          <w:tcPr>
            <w:tcW w:w="0" w:type="dxa"/>
            <w:vAlign w:val="center"/>
          </w:tcPr>
          <w:p w14:paraId="3FDF8D68"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D120</w:t>
            </w:r>
          </w:p>
        </w:tc>
        <w:tc>
          <w:tcPr>
            <w:tcW w:w="4394" w:type="dxa"/>
            <w:vAlign w:val="center"/>
          </w:tcPr>
          <w:p w14:paraId="7E40A180"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Mercury waste</w:t>
            </w:r>
          </w:p>
        </w:tc>
      </w:tr>
      <w:tr w:rsidR="0094399D" w:rsidRPr="00100F0A" w14:paraId="31AD3878"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3096092D" w14:textId="77777777" w:rsidR="0094399D" w:rsidRPr="00100F0A" w:rsidRDefault="0094399D" w:rsidP="0028600C">
            <w:pPr>
              <w:rPr>
                <w:color w:val="080808"/>
              </w:rPr>
            </w:pPr>
            <w:r w:rsidRPr="00100F0A">
              <w:rPr>
                <w:rFonts w:asciiTheme="minorHAnsi" w:hAnsiTheme="minorHAnsi" w:cstheme="minorHAnsi"/>
                <w:color w:val="000000"/>
              </w:rPr>
              <w:t>6</w:t>
            </w:r>
          </w:p>
        </w:tc>
        <w:tc>
          <w:tcPr>
            <w:tcW w:w="0" w:type="dxa"/>
            <w:vAlign w:val="center"/>
          </w:tcPr>
          <w:p w14:paraId="06EADB51"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Lead &amp; compounds</w:t>
            </w:r>
          </w:p>
        </w:tc>
        <w:tc>
          <w:tcPr>
            <w:tcW w:w="0" w:type="dxa"/>
            <w:vAlign w:val="center"/>
          </w:tcPr>
          <w:p w14:paraId="7AEC6F57"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D220</w:t>
            </w:r>
          </w:p>
        </w:tc>
        <w:tc>
          <w:tcPr>
            <w:tcW w:w="4394" w:type="dxa"/>
            <w:vAlign w:val="center"/>
          </w:tcPr>
          <w:p w14:paraId="5B78504B"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Lead waste and waste lead acid batteries</w:t>
            </w:r>
          </w:p>
        </w:tc>
      </w:tr>
      <w:tr w:rsidR="0094399D" w:rsidRPr="00100F0A" w14:paraId="46FDEEAA"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5D5C2AA9" w14:textId="77777777" w:rsidR="0094399D" w:rsidRPr="00100F0A" w:rsidRDefault="0094399D" w:rsidP="0028600C">
            <w:pPr>
              <w:rPr>
                <w:color w:val="080808"/>
              </w:rPr>
            </w:pPr>
            <w:r w:rsidRPr="00100F0A">
              <w:rPr>
                <w:rFonts w:asciiTheme="minorHAnsi" w:hAnsiTheme="minorHAnsi" w:cstheme="minorHAnsi"/>
                <w:color w:val="000000"/>
              </w:rPr>
              <w:t>7</w:t>
            </w:r>
          </w:p>
        </w:tc>
        <w:tc>
          <w:tcPr>
            <w:tcW w:w="0" w:type="dxa"/>
            <w:vAlign w:val="center"/>
          </w:tcPr>
          <w:p w14:paraId="33DD71C8"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 xml:space="preserve">Zinc compounds </w:t>
            </w:r>
            <w:r w:rsidRPr="00100F0A">
              <w:rPr>
                <w:rFonts w:asciiTheme="minorHAnsi" w:hAnsiTheme="minorHAnsi" w:cstheme="minorHAnsi"/>
                <w:color w:val="000000"/>
                <w:vertAlign w:val="superscript"/>
              </w:rPr>
              <w:t>1</w:t>
            </w:r>
          </w:p>
        </w:tc>
        <w:tc>
          <w:tcPr>
            <w:tcW w:w="0" w:type="dxa"/>
            <w:vAlign w:val="center"/>
          </w:tcPr>
          <w:p w14:paraId="5162DE12"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D230</w:t>
            </w:r>
          </w:p>
        </w:tc>
        <w:tc>
          <w:tcPr>
            <w:tcW w:w="4394" w:type="dxa"/>
            <w:vAlign w:val="center"/>
          </w:tcPr>
          <w:p w14:paraId="58EE3F44"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 xml:space="preserve">Large tonnages produced. </w:t>
            </w:r>
            <w:r>
              <w:rPr>
                <w:color w:val="080808"/>
              </w:rPr>
              <w:t>A</w:t>
            </w:r>
            <w:r w:rsidRPr="00100F0A">
              <w:rPr>
                <w:color w:val="080808"/>
              </w:rPr>
              <w:t>lmost entirely a lead</w:t>
            </w:r>
            <w:r>
              <w:rPr>
                <w:color w:val="080808"/>
              </w:rPr>
              <w:t>-</w:t>
            </w:r>
            <w:r w:rsidRPr="00100F0A">
              <w:rPr>
                <w:color w:val="080808"/>
              </w:rPr>
              <w:t xml:space="preserve">rich zinc waste that is generated by Nyrstar in Hobart and transported to Nyrstar in Port Pirie.  </w:t>
            </w:r>
          </w:p>
        </w:tc>
      </w:tr>
      <w:tr w:rsidR="0094399D" w:rsidRPr="00100F0A" w14:paraId="0E5DBE29"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16B9DD3B" w14:textId="77777777" w:rsidR="0094399D" w:rsidRPr="00100F0A" w:rsidRDefault="0094399D" w:rsidP="0028600C">
            <w:pPr>
              <w:rPr>
                <w:color w:val="080808"/>
              </w:rPr>
            </w:pPr>
            <w:r w:rsidRPr="00100F0A">
              <w:rPr>
                <w:rFonts w:asciiTheme="minorHAnsi" w:hAnsiTheme="minorHAnsi" w:cstheme="minorHAnsi"/>
                <w:color w:val="000000"/>
              </w:rPr>
              <w:t>8</w:t>
            </w:r>
          </w:p>
        </w:tc>
        <w:tc>
          <w:tcPr>
            <w:tcW w:w="0" w:type="dxa"/>
            <w:vAlign w:val="center"/>
          </w:tcPr>
          <w:p w14:paraId="7368E25E"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Non-toxic salts</w:t>
            </w:r>
          </w:p>
        </w:tc>
        <w:tc>
          <w:tcPr>
            <w:tcW w:w="0" w:type="dxa"/>
            <w:vAlign w:val="center"/>
          </w:tcPr>
          <w:p w14:paraId="19C12A5C"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D300</w:t>
            </w:r>
          </w:p>
        </w:tc>
        <w:tc>
          <w:tcPr>
            <w:tcW w:w="4394" w:type="dxa"/>
            <w:vAlign w:val="center"/>
          </w:tcPr>
          <w:p w14:paraId="2282C8CA"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Coal seam gas waste</w:t>
            </w:r>
          </w:p>
        </w:tc>
      </w:tr>
      <w:tr w:rsidR="0094399D" w:rsidRPr="00100F0A" w14:paraId="31E680F7"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3D54D707" w14:textId="77777777" w:rsidR="0094399D" w:rsidRPr="00100F0A" w:rsidRDefault="0094399D" w:rsidP="0028600C">
            <w:pPr>
              <w:rPr>
                <w:color w:val="080808"/>
              </w:rPr>
            </w:pPr>
            <w:r w:rsidRPr="00100F0A">
              <w:rPr>
                <w:rFonts w:asciiTheme="minorHAnsi" w:hAnsiTheme="minorHAnsi" w:cstheme="minorHAnsi"/>
                <w:color w:val="000000"/>
              </w:rPr>
              <w:t>9</w:t>
            </w:r>
          </w:p>
        </w:tc>
        <w:tc>
          <w:tcPr>
            <w:tcW w:w="0" w:type="dxa"/>
            <w:vAlign w:val="center"/>
          </w:tcPr>
          <w:p w14:paraId="7ACA00DB"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Other inorganic chemicals</w:t>
            </w:r>
          </w:p>
        </w:tc>
        <w:tc>
          <w:tcPr>
            <w:tcW w:w="0" w:type="dxa"/>
            <w:vAlign w:val="center"/>
          </w:tcPr>
          <w:p w14:paraId="328FBF2E"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Other D</w:t>
            </w:r>
          </w:p>
        </w:tc>
        <w:tc>
          <w:tcPr>
            <w:tcW w:w="4394" w:type="dxa"/>
            <w:vAlign w:val="center"/>
          </w:tcPr>
          <w:p w14:paraId="4FA617A9"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Pr>
                <w:rFonts w:asciiTheme="minorHAnsi" w:hAnsiTheme="minorHAnsi" w:cstheme="minorHAnsi"/>
                <w:color w:val="000000"/>
              </w:rPr>
              <w:t>SPL</w:t>
            </w:r>
            <w:r w:rsidRPr="00100F0A">
              <w:rPr>
                <w:rFonts w:asciiTheme="minorHAnsi" w:hAnsiTheme="minorHAnsi" w:cstheme="minorHAnsi"/>
                <w:color w:val="000000"/>
              </w:rPr>
              <w:t xml:space="preserve"> waste from aluminium industry</w:t>
            </w:r>
          </w:p>
        </w:tc>
      </w:tr>
      <w:tr w:rsidR="0094399D" w:rsidRPr="00100F0A" w14:paraId="41DCCAA1"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72EE6403" w14:textId="77777777" w:rsidR="0094399D" w:rsidRPr="00100F0A" w:rsidRDefault="0094399D" w:rsidP="0028600C">
            <w:pPr>
              <w:rPr>
                <w:color w:val="080808"/>
              </w:rPr>
            </w:pPr>
            <w:r w:rsidRPr="00100F0A">
              <w:rPr>
                <w:rFonts w:asciiTheme="minorHAnsi" w:hAnsiTheme="minorHAnsi" w:cstheme="minorHAnsi"/>
                <w:color w:val="000000"/>
              </w:rPr>
              <w:t>10</w:t>
            </w:r>
          </w:p>
        </w:tc>
        <w:tc>
          <w:tcPr>
            <w:tcW w:w="0" w:type="dxa"/>
            <w:vAlign w:val="center"/>
          </w:tcPr>
          <w:p w14:paraId="3E7FB097"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Reactive chemicals</w:t>
            </w:r>
          </w:p>
        </w:tc>
        <w:tc>
          <w:tcPr>
            <w:tcW w:w="0" w:type="dxa"/>
            <w:vAlign w:val="center"/>
          </w:tcPr>
          <w:p w14:paraId="43A6611B"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E</w:t>
            </w:r>
          </w:p>
        </w:tc>
        <w:tc>
          <w:tcPr>
            <w:tcW w:w="4394" w:type="dxa"/>
            <w:vAlign w:val="center"/>
          </w:tcPr>
          <w:p w14:paraId="60E810E3"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p>
        </w:tc>
      </w:tr>
      <w:tr w:rsidR="0094399D" w:rsidRPr="00100F0A" w14:paraId="14AD65DA"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4E56471F" w14:textId="77777777" w:rsidR="0094399D" w:rsidRPr="00100F0A" w:rsidRDefault="0094399D" w:rsidP="0028600C">
            <w:pPr>
              <w:rPr>
                <w:color w:val="080808"/>
              </w:rPr>
            </w:pPr>
            <w:r w:rsidRPr="00100F0A">
              <w:rPr>
                <w:rFonts w:asciiTheme="minorHAnsi" w:hAnsiTheme="minorHAnsi" w:cstheme="minorHAnsi"/>
                <w:color w:val="000000"/>
              </w:rPr>
              <w:t>11</w:t>
            </w:r>
          </w:p>
        </w:tc>
        <w:tc>
          <w:tcPr>
            <w:tcW w:w="0" w:type="dxa"/>
            <w:vAlign w:val="center"/>
          </w:tcPr>
          <w:p w14:paraId="5EF358C9"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Paints, resins, inks, organic sludges</w:t>
            </w:r>
          </w:p>
        </w:tc>
        <w:tc>
          <w:tcPr>
            <w:tcW w:w="0" w:type="dxa"/>
            <w:vAlign w:val="center"/>
          </w:tcPr>
          <w:p w14:paraId="38A1FFC5"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F</w:t>
            </w:r>
          </w:p>
        </w:tc>
        <w:tc>
          <w:tcPr>
            <w:tcW w:w="4394" w:type="dxa"/>
            <w:vAlign w:val="center"/>
          </w:tcPr>
          <w:p w14:paraId="39DDFFDC"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p>
        </w:tc>
      </w:tr>
      <w:tr w:rsidR="0094399D" w:rsidRPr="00100F0A" w14:paraId="7BBC3F26"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5B29283F" w14:textId="77777777" w:rsidR="0094399D" w:rsidRPr="00100F0A" w:rsidRDefault="0094399D" w:rsidP="0028600C">
            <w:pPr>
              <w:rPr>
                <w:color w:val="080808"/>
              </w:rPr>
            </w:pPr>
            <w:r w:rsidRPr="00100F0A">
              <w:rPr>
                <w:rFonts w:asciiTheme="minorHAnsi" w:hAnsiTheme="minorHAnsi" w:cstheme="minorHAnsi"/>
                <w:color w:val="000000"/>
              </w:rPr>
              <w:t>12</w:t>
            </w:r>
          </w:p>
        </w:tc>
        <w:tc>
          <w:tcPr>
            <w:tcW w:w="0" w:type="dxa"/>
            <w:vAlign w:val="center"/>
          </w:tcPr>
          <w:p w14:paraId="54F9E0BD"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Organic solvents</w:t>
            </w:r>
          </w:p>
        </w:tc>
        <w:tc>
          <w:tcPr>
            <w:tcW w:w="0" w:type="dxa"/>
            <w:vAlign w:val="center"/>
          </w:tcPr>
          <w:p w14:paraId="112F8310"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G</w:t>
            </w:r>
          </w:p>
        </w:tc>
        <w:tc>
          <w:tcPr>
            <w:tcW w:w="4394" w:type="dxa"/>
            <w:vAlign w:val="center"/>
          </w:tcPr>
          <w:p w14:paraId="66C3AC77"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p>
        </w:tc>
      </w:tr>
      <w:tr w:rsidR="0094399D" w:rsidRPr="00100F0A" w14:paraId="325A21E4"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7FCF808C" w14:textId="77777777" w:rsidR="0094399D" w:rsidRPr="00100F0A" w:rsidRDefault="0094399D" w:rsidP="0028600C">
            <w:pPr>
              <w:rPr>
                <w:color w:val="080808"/>
              </w:rPr>
            </w:pPr>
            <w:r w:rsidRPr="00100F0A">
              <w:rPr>
                <w:rFonts w:asciiTheme="minorHAnsi" w:hAnsiTheme="minorHAnsi" w:cstheme="minorHAnsi"/>
                <w:color w:val="000000"/>
              </w:rPr>
              <w:t>13</w:t>
            </w:r>
          </w:p>
        </w:tc>
        <w:tc>
          <w:tcPr>
            <w:tcW w:w="0" w:type="dxa"/>
            <w:vAlign w:val="center"/>
          </w:tcPr>
          <w:p w14:paraId="568382DA"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Pesticides</w:t>
            </w:r>
          </w:p>
        </w:tc>
        <w:tc>
          <w:tcPr>
            <w:tcW w:w="0" w:type="dxa"/>
            <w:vAlign w:val="center"/>
          </w:tcPr>
          <w:p w14:paraId="0E3FD91D"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H</w:t>
            </w:r>
          </w:p>
        </w:tc>
        <w:tc>
          <w:tcPr>
            <w:tcW w:w="4394" w:type="dxa"/>
            <w:vAlign w:val="center"/>
          </w:tcPr>
          <w:p w14:paraId="4278E0F0"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p>
        </w:tc>
      </w:tr>
      <w:tr w:rsidR="0094399D" w:rsidRPr="00100F0A" w14:paraId="2FEDB176"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46D30557" w14:textId="77777777" w:rsidR="0094399D" w:rsidRPr="00100F0A" w:rsidRDefault="0094399D" w:rsidP="0028600C">
            <w:pPr>
              <w:rPr>
                <w:color w:val="080808"/>
              </w:rPr>
            </w:pPr>
            <w:r w:rsidRPr="00100F0A">
              <w:rPr>
                <w:rFonts w:asciiTheme="minorHAnsi" w:hAnsiTheme="minorHAnsi" w:cstheme="minorHAnsi"/>
                <w:color w:val="000000"/>
              </w:rPr>
              <w:t>14</w:t>
            </w:r>
          </w:p>
        </w:tc>
        <w:tc>
          <w:tcPr>
            <w:tcW w:w="0" w:type="dxa"/>
            <w:vAlign w:val="center"/>
          </w:tcPr>
          <w:p w14:paraId="2880A875"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Oils</w:t>
            </w:r>
          </w:p>
        </w:tc>
        <w:tc>
          <w:tcPr>
            <w:tcW w:w="0" w:type="dxa"/>
            <w:vAlign w:val="center"/>
          </w:tcPr>
          <w:p w14:paraId="6ACB5FC7"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J100 &amp; 160</w:t>
            </w:r>
          </w:p>
        </w:tc>
        <w:tc>
          <w:tcPr>
            <w:tcW w:w="4394" w:type="dxa"/>
            <w:vAlign w:val="center"/>
          </w:tcPr>
          <w:p w14:paraId="172635E1"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sidRPr="00100F0A">
              <w:t>Waste is produced in particularly large quantities</w:t>
            </w:r>
          </w:p>
        </w:tc>
      </w:tr>
      <w:tr w:rsidR="0094399D" w:rsidRPr="00100F0A" w14:paraId="17351360"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4CBDC299" w14:textId="77777777" w:rsidR="0094399D" w:rsidRPr="00100F0A" w:rsidRDefault="0094399D" w:rsidP="0028600C">
            <w:pPr>
              <w:rPr>
                <w:color w:val="080808"/>
              </w:rPr>
            </w:pPr>
            <w:r w:rsidRPr="00100F0A">
              <w:rPr>
                <w:rFonts w:asciiTheme="minorHAnsi" w:hAnsiTheme="minorHAnsi" w:cstheme="minorHAnsi"/>
                <w:color w:val="000000"/>
              </w:rPr>
              <w:t>15</w:t>
            </w:r>
          </w:p>
        </w:tc>
        <w:tc>
          <w:tcPr>
            <w:tcW w:w="0" w:type="dxa"/>
            <w:vAlign w:val="center"/>
          </w:tcPr>
          <w:p w14:paraId="26DF5368"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 xml:space="preserve">Waste oil/water mixtures </w:t>
            </w:r>
            <w:r w:rsidRPr="00100F0A">
              <w:rPr>
                <w:rFonts w:asciiTheme="minorHAnsi" w:hAnsiTheme="minorHAnsi" w:cstheme="minorHAnsi"/>
                <w:color w:val="000000"/>
                <w:vertAlign w:val="superscript"/>
              </w:rPr>
              <w:t>1</w:t>
            </w:r>
          </w:p>
        </w:tc>
        <w:tc>
          <w:tcPr>
            <w:tcW w:w="0" w:type="dxa"/>
            <w:vAlign w:val="center"/>
          </w:tcPr>
          <w:p w14:paraId="608F7EDE"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J120</w:t>
            </w:r>
          </w:p>
        </w:tc>
        <w:tc>
          <w:tcPr>
            <w:tcW w:w="4394" w:type="dxa"/>
            <w:vAlign w:val="center"/>
          </w:tcPr>
          <w:p w14:paraId="7C02EC6D"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sidRPr="00100F0A">
              <w:t>Waste is produced in particularly large quantities</w:t>
            </w:r>
          </w:p>
        </w:tc>
      </w:tr>
      <w:tr w:rsidR="0094399D" w:rsidRPr="00100F0A" w14:paraId="694978D3"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6A35146D" w14:textId="77777777" w:rsidR="0094399D" w:rsidRPr="00100F0A" w:rsidRDefault="0094399D" w:rsidP="0028600C">
            <w:pPr>
              <w:rPr>
                <w:color w:val="080808"/>
              </w:rPr>
            </w:pPr>
            <w:r w:rsidRPr="00100F0A">
              <w:rPr>
                <w:rFonts w:asciiTheme="minorHAnsi" w:hAnsiTheme="minorHAnsi" w:cstheme="minorHAnsi"/>
                <w:color w:val="000000"/>
              </w:rPr>
              <w:t>16</w:t>
            </w:r>
          </w:p>
        </w:tc>
        <w:tc>
          <w:tcPr>
            <w:tcW w:w="0" w:type="dxa"/>
            <w:vAlign w:val="center"/>
          </w:tcPr>
          <w:p w14:paraId="115D8F8A"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Grease trap waste</w:t>
            </w:r>
          </w:p>
        </w:tc>
        <w:tc>
          <w:tcPr>
            <w:tcW w:w="0" w:type="dxa"/>
            <w:vAlign w:val="center"/>
          </w:tcPr>
          <w:p w14:paraId="4D5850DD"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K110</w:t>
            </w:r>
          </w:p>
        </w:tc>
        <w:tc>
          <w:tcPr>
            <w:tcW w:w="4394" w:type="dxa"/>
            <w:vAlign w:val="center"/>
          </w:tcPr>
          <w:p w14:paraId="5022FCCF"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Large tonnage low hazard organic waste</w:t>
            </w:r>
          </w:p>
        </w:tc>
      </w:tr>
      <w:tr w:rsidR="0094399D" w:rsidRPr="00100F0A" w14:paraId="153B7C0D"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42AD1882" w14:textId="77777777" w:rsidR="0094399D" w:rsidRPr="00100F0A" w:rsidRDefault="0094399D" w:rsidP="0028600C">
            <w:pPr>
              <w:rPr>
                <w:color w:val="080808"/>
              </w:rPr>
            </w:pPr>
            <w:r w:rsidRPr="00100F0A">
              <w:rPr>
                <w:rFonts w:asciiTheme="minorHAnsi" w:hAnsiTheme="minorHAnsi" w:cstheme="minorHAnsi"/>
                <w:color w:val="000000"/>
              </w:rPr>
              <w:t>17</w:t>
            </w:r>
          </w:p>
        </w:tc>
        <w:tc>
          <w:tcPr>
            <w:tcW w:w="0" w:type="dxa"/>
            <w:vAlign w:val="center"/>
          </w:tcPr>
          <w:p w14:paraId="0592159C"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 xml:space="preserve">Other putrescible/organic waste </w:t>
            </w:r>
            <w:r w:rsidRPr="00100F0A">
              <w:rPr>
                <w:rFonts w:asciiTheme="minorHAnsi" w:hAnsiTheme="minorHAnsi" w:cstheme="minorHAnsi"/>
                <w:color w:val="000000"/>
                <w:vertAlign w:val="superscript"/>
              </w:rPr>
              <w:t>2</w:t>
            </w:r>
          </w:p>
        </w:tc>
        <w:tc>
          <w:tcPr>
            <w:tcW w:w="0" w:type="dxa"/>
            <w:vAlign w:val="center"/>
          </w:tcPr>
          <w:p w14:paraId="5053C81B"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Other K</w:t>
            </w:r>
          </w:p>
        </w:tc>
        <w:tc>
          <w:tcPr>
            <w:tcW w:w="4394" w:type="dxa"/>
            <w:vAlign w:val="center"/>
          </w:tcPr>
          <w:p w14:paraId="393083C2"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p>
        </w:tc>
      </w:tr>
      <w:tr w:rsidR="0094399D" w:rsidRPr="00100F0A" w14:paraId="1D32A912"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2612B8A5" w14:textId="77777777" w:rsidR="0094399D" w:rsidRPr="00100F0A" w:rsidRDefault="0094399D" w:rsidP="0028600C">
            <w:pPr>
              <w:rPr>
                <w:color w:val="080808"/>
              </w:rPr>
            </w:pPr>
            <w:r w:rsidRPr="00100F0A">
              <w:rPr>
                <w:rFonts w:asciiTheme="minorHAnsi" w:hAnsiTheme="minorHAnsi" w:cstheme="minorHAnsi"/>
                <w:color w:val="000000"/>
              </w:rPr>
              <w:t>18</w:t>
            </w:r>
          </w:p>
        </w:tc>
        <w:tc>
          <w:tcPr>
            <w:tcW w:w="0" w:type="dxa"/>
            <w:vAlign w:val="center"/>
          </w:tcPr>
          <w:p w14:paraId="37425514"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 xml:space="preserve">PCB </w:t>
            </w:r>
            <w:r w:rsidRPr="00100F0A">
              <w:rPr>
                <w:rFonts w:asciiTheme="minorHAnsi" w:hAnsiTheme="minorHAnsi" w:cstheme="minorHAnsi"/>
                <w:color w:val="000000"/>
                <w:vertAlign w:val="superscript"/>
              </w:rPr>
              <w:t>1</w:t>
            </w:r>
          </w:p>
        </w:tc>
        <w:tc>
          <w:tcPr>
            <w:tcW w:w="0" w:type="dxa"/>
            <w:vAlign w:val="center"/>
          </w:tcPr>
          <w:p w14:paraId="06C6B085"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M100</w:t>
            </w:r>
          </w:p>
        </w:tc>
        <w:tc>
          <w:tcPr>
            <w:tcW w:w="4394" w:type="dxa"/>
            <w:vAlign w:val="center"/>
          </w:tcPr>
          <w:p w14:paraId="0F6E800A"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p>
        </w:tc>
      </w:tr>
      <w:tr w:rsidR="0094399D" w:rsidRPr="00100F0A" w14:paraId="14555077"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3B8CDC2D" w14:textId="77777777" w:rsidR="0094399D" w:rsidRPr="00100F0A" w:rsidRDefault="0094399D" w:rsidP="0028600C">
            <w:pPr>
              <w:rPr>
                <w:color w:val="080808"/>
              </w:rPr>
            </w:pPr>
            <w:r w:rsidRPr="00100F0A">
              <w:rPr>
                <w:rFonts w:asciiTheme="minorHAnsi" w:hAnsiTheme="minorHAnsi" w:cstheme="minorHAnsi"/>
                <w:color w:val="000000"/>
              </w:rPr>
              <w:t>19</w:t>
            </w:r>
          </w:p>
        </w:tc>
        <w:tc>
          <w:tcPr>
            <w:tcW w:w="0" w:type="dxa"/>
            <w:vAlign w:val="center"/>
          </w:tcPr>
          <w:p w14:paraId="25E76C83"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 xml:space="preserve">POP-BDEs and HBCD </w:t>
            </w:r>
            <w:r w:rsidRPr="00100F0A">
              <w:rPr>
                <w:rFonts w:asciiTheme="minorHAnsi" w:hAnsiTheme="minorHAnsi" w:cstheme="minorHAnsi"/>
                <w:color w:val="000000"/>
                <w:vertAlign w:val="superscript"/>
              </w:rPr>
              <w:t>2</w:t>
            </w:r>
          </w:p>
        </w:tc>
        <w:tc>
          <w:tcPr>
            <w:tcW w:w="0" w:type="dxa"/>
            <w:vAlign w:val="center"/>
          </w:tcPr>
          <w:p w14:paraId="3A3A9FFA"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M160a &amp; b</w:t>
            </w:r>
          </w:p>
        </w:tc>
        <w:tc>
          <w:tcPr>
            <w:tcW w:w="4394" w:type="dxa"/>
            <w:vAlign w:val="center"/>
          </w:tcPr>
          <w:p w14:paraId="7618111C"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Polybrominated diphenyl ether (PBDE) and h</w:t>
            </w:r>
            <w:r w:rsidRPr="00100F0A">
              <w:rPr>
                <w:rFonts w:asciiTheme="minorHAnsi" w:hAnsiTheme="minorHAnsi" w:cstheme="minorHAnsi"/>
              </w:rPr>
              <w:t>exabromocyclododecane</w:t>
            </w:r>
            <w:r w:rsidRPr="00100F0A">
              <w:rPr>
                <w:rFonts w:asciiTheme="minorHAnsi" w:hAnsiTheme="minorHAnsi" w:cstheme="minorHAnsi"/>
                <w:color w:val="000000"/>
              </w:rPr>
              <w:t xml:space="preserve"> (HBCD), including biosolids contaminated with these substances</w:t>
            </w:r>
          </w:p>
        </w:tc>
      </w:tr>
      <w:tr w:rsidR="0094399D" w:rsidRPr="00100F0A" w14:paraId="4E31BE7F"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27FCB149" w14:textId="77777777" w:rsidR="0094399D" w:rsidRPr="00100F0A" w:rsidRDefault="0094399D" w:rsidP="0028600C">
            <w:pPr>
              <w:rPr>
                <w:color w:val="080808"/>
              </w:rPr>
            </w:pPr>
            <w:r w:rsidRPr="00100F0A">
              <w:rPr>
                <w:rFonts w:asciiTheme="minorHAnsi" w:hAnsiTheme="minorHAnsi" w:cstheme="minorHAnsi"/>
                <w:color w:val="000000"/>
              </w:rPr>
              <w:t>20</w:t>
            </w:r>
          </w:p>
        </w:tc>
        <w:tc>
          <w:tcPr>
            <w:tcW w:w="0" w:type="dxa"/>
            <w:vAlign w:val="center"/>
          </w:tcPr>
          <w:p w14:paraId="2429FF02"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HCB</w:t>
            </w:r>
          </w:p>
        </w:tc>
        <w:tc>
          <w:tcPr>
            <w:tcW w:w="0" w:type="dxa"/>
            <w:vAlign w:val="center"/>
          </w:tcPr>
          <w:p w14:paraId="7A28C01F"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M160c</w:t>
            </w:r>
          </w:p>
        </w:tc>
        <w:tc>
          <w:tcPr>
            <w:tcW w:w="4394" w:type="dxa"/>
            <w:vAlign w:val="center"/>
          </w:tcPr>
          <w:p w14:paraId="085F61A5"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 xml:space="preserve">Orica stockpile of hexachlorobenzene </w:t>
            </w:r>
          </w:p>
        </w:tc>
      </w:tr>
      <w:tr w:rsidR="0094399D" w:rsidRPr="00100F0A" w14:paraId="054558FE"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6565F9E2" w14:textId="77777777" w:rsidR="0094399D" w:rsidRPr="00100F0A" w:rsidRDefault="0094399D" w:rsidP="0028600C">
            <w:pPr>
              <w:rPr>
                <w:color w:val="080808"/>
              </w:rPr>
            </w:pPr>
            <w:r w:rsidRPr="00100F0A">
              <w:rPr>
                <w:rFonts w:asciiTheme="minorHAnsi" w:hAnsiTheme="minorHAnsi" w:cstheme="minorHAnsi"/>
                <w:color w:val="000000"/>
              </w:rPr>
              <w:t>21</w:t>
            </w:r>
          </w:p>
        </w:tc>
        <w:tc>
          <w:tcPr>
            <w:tcW w:w="0" w:type="dxa"/>
            <w:vAlign w:val="center"/>
          </w:tcPr>
          <w:p w14:paraId="14303496"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sidRPr="00100F0A">
              <w:rPr>
                <w:rFonts w:cs="Calibri"/>
                <w:color w:val="000000"/>
              </w:rPr>
              <w:t>PFOS contaminated biosolids</w:t>
            </w:r>
          </w:p>
        </w:tc>
        <w:tc>
          <w:tcPr>
            <w:tcW w:w="0" w:type="dxa"/>
            <w:vAlign w:val="center"/>
          </w:tcPr>
          <w:p w14:paraId="185E1E09"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M270a</w:t>
            </w:r>
          </w:p>
        </w:tc>
        <w:tc>
          <w:tcPr>
            <w:tcW w:w="4394" w:type="dxa"/>
            <w:vAlign w:val="center"/>
          </w:tcPr>
          <w:p w14:paraId="6DB2F3F1"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 xml:space="preserve">Biosolids contaminated with perfluorooctane sulfonate, future </w:t>
            </w:r>
            <w:r w:rsidRPr="00100F0A">
              <w:t>quantities and available infrastructure are highly uncertain</w:t>
            </w:r>
          </w:p>
        </w:tc>
      </w:tr>
      <w:tr w:rsidR="0094399D" w:rsidRPr="00100F0A" w14:paraId="57509E1B"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5073C63D" w14:textId="77777777" w:rsidR="0094399D" w:rsidRPr="00100F0A" w:rsidRDefault="0094399D" w:rsidP="0028600C">
            <w:pPr>
              <w:rPr>
                <w:rFonts w:asciiTheme="minorHAnsi" w:hAnsiTheme="minorHAnsi" w:cstheme="minorHAnsi"/>
                <w:color w:val="000000"/>
              </w:rPr>
            </w:pPr>
            <w:r w:rsidRPr="00100F0A">
              <w:rPr>
                <w:rFonts w:asciiTheme="minorHAnsi" w:hAnsiTheme="minorHAnsi" w:cstheme="minorHAnsi"/>
                <w:color w:val="000000"/>
              </w:rPr>
              <w:t>22</w:t>
            </w:r>
          </w:p>
        </w:tc>
        <w:tc>
          <w:tcPr>
            <w:tcW w:w="0" w:type="dxa"/>
            <w:vAlign w:val="center"/>
          </w:tcPr>
          <w:p w14:paraId="0488F452"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rFonts w:cs="Calibri"/>
                <w:color w:val="000000"/>
                <w:vertAlign w:val="superscript"/>
              </w:rPr>
            </w:pPr>
            <w:r w:rsidRPr="00100F0A">
              <w:rPr>
                <w:rFonts w:cs="Calibri"/>
                <w:color w:val="000000"/>
              </w:rPr>
              <w:t xml:space="preserve">PFAS contaminated soils </w:t>
            </w:r>
            <w:r w:rsidRPr="00100F0A">
              <w:rPr>
                <w:rFonts w:cs="Calibri"/>
                <w:color w:val="000000"/>
                <w:vertAlign w:val="superscript"/>
              </w:rPr>
              <w:t>1</w:t>
            </w:r>
          </w:p>
        </w:tc>
        <w:tc>
          <w:tcPr>
            <w:tcW w:w="0" w:type="dxa"/>
            <w:vAlign w:val="center"/>
          </w:tcPr>
          <w:p w14:paraId="15119F52"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M270b</w:t>
            </w:r>
          </w:p>
        </w:tc>
        <w:tc>
          <w:tcPr>
            <w:tcW w:w="4394" w:type="dxa"/>
            <w:vAlign w:val="center"/>
          </w:tcPr>
          <w:p w14:paraId="6019C2BC"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Soils containing per- and poly-fluoroalkyl substances from use of firefighting foams</w:t>
            </w:r>
          </w:p>
        </w:tc>
      </w:tr>
      <w:tr w:rsidR="0094399D" w:rsidRPr="00100F0A" w14:paraId="6B8ED3FB"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4ACE5CA8" w14:textId="77777777" w:rsidR="0094399D" w:rsidRPr="00100F0A" w:rsidRDefault="0094399D" w:rsidP="0028600C">
            <w:pPr>
              <w:rPr>
                <w:rFonts w:asciiTheme="minorHAnsi" w:hAnsiTheme="minorHAnsi" w:cstheme="minorHAnsi"/>
                <w:color w:val="000000"/>
              </w:rPr>
            </w:pPr>
            <w:r w:rsidRPr="00100F0A">
              <w:rPr>
                <w:rFonts w:asciiTheme="minorHAnsi" w:hAnsiTheme="minorHAnsi" w:cstheme="minorHAnsi"/>
                <w:color w:val="000000"/>
              </w:rPr>
              <w:t>23</w:t>
            </w:r>
          </w:p>
        </w:tc>
        <w:tc>
          <w:tcPr>
            <w:tcW w:w="0" w:type="dxa"/>
            <w:vAlign w:val="center"/>
          </w:tcPr>
          <w:p w14:paraId="69C5739E"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rFonts w:cs="Calibri"/>
                <w:color w:val="000000"/>
                <w:vertAlign w:val="superscript"/>
              </w:rPr>
            </w:pPr>
            <w:r w:rsidRPr="00100F0A">
              <w:rPr>
                <w:rFonts w:cs="Calibri"/>
                <w:color w:val="000000"/>
              </w:rPr>
              <w:t xml:space="preserve">AFFF concentrates </w:t>
            </w:r>
            <w:r w:rsidRPr="00100F0A">
              <w:rPr>
                <w:rFonts w:cs="Calibri"/>
                <w:color w:val="000000"/>
                <w:vertAlign w:val="superscript"/>
              </w:rPr>
              <w:t>1</w:t>
            </w:r>
          </w:p>
        </w:tc>
        <w:tc>
          <w:tcPr>
            <w:tcW w:w="0" w:type="dxa"/>
            <w:vAlign w:val="center"/>
          </w:tcPr>
          <w:p w14:paraId="56F16564"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M270c</w:t>
            </w:r>
          </w:p>
        </w:tc>
        <w:tc>
          <w:tcPr>
            <w:tcW w:w="4394" w:type="dxa"/>
            <w:vAlign w:val="center"/>
          </w:tcPr>
          <w:p w14:paraId="05CB83E0"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Aqueous film forming foams (used for fire-fighting) containing PFAS</w:t>
            </w:r>
          </w:p>
        </w:tc>
      </w:tr>
      <w:tr w:rsidR="0094399D" w:rsidRPr="00100F0A" w14:paraId="739874D9"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61673972" w14:textId="77777777" w:rsidR="0094399D" w:rsidRPr="00100F0A" w:rsidRDefault="0094399D" w:rsidP="0028600C">
            <w:pPr>
              <w:rPr>
                <w:rFonts w:asciiTheme="minorHAnsi" w:hAnsiTheme="minorHAnsi" w:cstheme="minorHAnsi"/>
                <w:color w:val="000000"/>
              </w:rPr>
            </w:pPr>
            <w:r w:rsidRPr="00100F0A">
              <w:rPr>
                <w:rFonts w:asciiTheme="minorHAnsi" w:hAnsiTheme="minorHAnsi" w:cstheme="minorHAnsi"/>
                <w:color w:val="000000"/>
              </w:rPr>
              <w:t>24</w:t>
            </w:r>
          </w:p>
        </w:tc>
        <w:tc>
          <w:tcPr>
            <w:tcW w:w="0" w:type="dxa"/>
            <w:vAlign w:val="center"/>
          </w:tcPr>
          <w:p w14:paraId="5013AE98"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rFonts w:cs="Calibri"/>
                <w:color w:val="000000"/>
              </w:rPr>
            </w:pPr>
            <w:r w:rsidRPr="00100F0A">
              <w:rPr>
                <w:rFonts w:asciiTheme="minorHAnsi" w:hAnsiTheme="minorHAnsi" w:cstheme="minorHAnsi"/>
                <w:color w:val="000000"/>
              </w:rPr>
              <w:t>Other organic chemicals</w:t>
            </w:r>
          </w:p>
        </w:tc>
        <w:tc>
          <w:tcPr>
            <w:tcW w:w="0" w:type="dxa"/>
            <w:vAlign w:val="center"/>
          </w:tcPr>
          <w:p w14:paraId="1E1DD171"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Other M</w:t>
            </w:r>
          </w:p>
        </w:tc>
        <w:tc>
          <w:tcPr>
            <w:tcW w:w="4394" w:type="dxa"/>
            <w:vAlign w:val="center"/>
          </w:tcPr>
          <w:p w14:paraId="78F895D1"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r>
      <w:tr w:rsidR="0094399D" w:rsidRPr="00100F0A" w14:paraId="0936C859"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3AC7A7D6" w14:textId="77777777" w:rsidR="0094399D" w:rsidRPr="00100F0A" w:rsidRDefault="0094399D" w:rsidP="0028600C">
            <w:pPr>
              <w:rPr>
                <w:rFonts w:asciiTheme="minorHAnsi" w:hAnsiTheme="minorHAnsi" w:cstheme="minorHAnsi"/>
                <w:color w:val="000000"/>
              </w:rPr>
            </w:pPr>
            <w:r w:rsidRPr="00100F0A">
              <w:rPr>
                <w:rFonts w:asciiTheme="minorHAnsi" w:hAnsiTheme="minorHAnsi" w:cstheme="minorHAnsi"/>
                <w:color w:val="000000"/>
              </w:rPr>
              <w:t>25</w:t>
            </w:r>
          </w:p>
        </w:tc>
        <w:tc>
          <w:tcPr>
            <w:tcW w:w="0" w:type="dxa"/>
            <w:vAlign w:val="center"/>
          </w:tcPr>
          <w:p w14:paraId="187E9217"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rFonts w:cs="Calibri"/>
                <w:color w:val="000000"/>
              </w:rPr>
            </w:pPr>
            <w:r w:rsidRPr="00100F0A">
              <w:rPr>
                <w:rFonts w:asciiTheme="minorHAnsi" w:hAnsiTheme="minorHAnsi" w:cstheme="minorHAnsi"/>
                <w:color w:val="000000"/>
              </w:rPr>
              <w:t>Contaminated soils</w:t>
            </w:r>
          </w:p>
        </w:tc>
        <w:tc>
          <w:tcPr>
            <w:tcW w:w="0" w:type="dxa"/>
            <w:vAlign w:val="center"/>
          </w:tcPr>
          <w:p w14:paraId="4AB72B8F"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N120</w:t>
            </w:r>
          </w:p>
        </w:tc>
        <w:tc>
          <w:tcPr>
            <w:tcW w:w="4394" w:type="dxa"/>
            <w:vAlign w:val="center"/>
          </w:tcPr>
          <w:p w14:paraId="700EF76B"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Contaminated soils</w:t>
            </w:r>
          </w:p>
        </w:tc>
      </w:tr>
      <w:tr w:rsidR="0094399D" w:rsidRPr="00100F0A" w14:paraId="53BC5443"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15B0B735" w14:textId="77777777" w:rsidR="0094399D" w:rsidRPr="00100F0A" w:rsidRDefault="0094399D" w:rsidP="0028600C">
            <w:pPr>
              <w:rPr>
                <w:rFonts w:asciiTheme="minorHAnsi" w:hAnsiTheme="minorHAnsi" w:cstheme="minorHAnsi"/>
                <w:color w:val="000000"/>
              </w:rPr>
            </w:pPr>
            <w:r w:rsidRPr="00100F0A">
              <w:rPr>
                <w:rFonts w:asciiTheme="minorHAnsi" w:hAnsiTheme="minorHAnsi" w:cstheme="minorHAnsi"/>
                <w:color w:val="000000"/>
              </w:rPr>
              <w:t>26</w:t>
            </w:r>
          </w:p>
        </w:tc>
        <w:tc>
          <w:tcPr>
            <w:tcW w:w="0" w:type="dxa"/>
            <w:vAlign w:val="center"/>
          </w:tcPr>
          <w:p w14:paraId="37711A8F"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rFonts w:cs="Calibri"/>
                <w:color w:val="000000"/>
              </w:rPr>
            </w:pPr>
            <w:r w:rsidRPr="00100F0A">
              <w:rPr>
                <w:rFonts w:asciiTheme="minorHAnsi" w:hAnsiTheme="minorHAnsi" w:cstheme="minorHAnsi"/>
                <w:color w:val="000000"/>
              </w:rPr>
              <w:t>Other contaminated biosolids</w:t>
            </w:r>
          </w:p>
        </w:tc>
        <w:tc>
          <w:tcPr>
            <w:tcW w:w="0" w:type="dxa"/>
            <w:vAlign w:val="center"/>
          </w:tcPr>
          <w:p w14:paraId="0914C388"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N205a</w:t>
            </w:r>
          </w:p>
        </w:tc>
        <w:tc>
          <w:tcPr>
            <w:tcW w:w="4394" w:type="dxa"/>
            <w:vAlign w:val="center"/>
          </w:tcPr>
          <w:p w14:paraId="7C9DFB3D"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 xml:space="preserve">Biosolids contaminated with inorganics </w:t>
            </w:r>
          </w:p>
        </w:tc>
      </w:tr>
      <w:tr w:rsidR="0094399D" w:rsidRPr="00100F0A" w14:paraId="3E1C3C21"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7AF966FA" w14:textId="77777777" w:rsidR="0094399D" w:rsidRPr="00100F0A" w:rsidRDefault="0094399D" w:rsidP="0028600C">
            <w:pPr>
              <w:rPr>
                <w:rFonts w:asciiTheme="minorHAnsi" w:hAnsiTheme="minorHAnsi" w:cstheme="minorHAnsi"/>
                <w:color w:val="000000"/>
              </w:rPr>
            </w:pPr>
            <w:r w:rsidRPr="00100F0A">
              <w:rPr>
                <w:rFonts w:asciiTheme="minorHAnsi" w:hAnsiTheme="minorHAnsi" w:cstheme="minorHAnsi"/>
                <w:color w:val="000000"/>
              </w:rPr>
              <w:t>27</w:t>
            </w:r>
          </w:p>
        </w:tc>
        <w:tc>
          <w:tcPr>
            <w:tcW w:w="0" w:type="dxa"/>
            <w:vAlign w:val="center"/>
          </w:tcPr>
          <w:p w14:paraId="4CF08074"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rFonts w:cs="Calibri"/>
                <w:color w:val="000000"/>
              </w:rPr>
            </w:pPr>
            <w:r w:rsidRPr="00100F0A">
              <w:rPr>
                <w:rFonts w:asciiTheme="minorHAnsi" w:hAnsiTheme="minorHAnsi" w:cstheme="minorHAnsi"/>
                <w:color w:val="000000"/>
              </w:rPr>
              <w:t>Other industrial treatment residues</w:t>
            </w:r>
          </w:p>
        </w:tc>
        <w:tc>
          <w:tcPr>
            <w:tcW w:w="0" w:type="dxa"/>
            <w:vAlign w:val="center"/>
          </w:tcPr>
          <w:p w14:paraId="417CB0E4"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N205b</w:t>
            </w:r>
          </w:p>
        </w:tc>
        <w:tc>
          <w:tcPr>
            <w:tcW w:w="4394" w:type="dxa"/>
            <w:vAlign w:val="center"/>
          </w:tcPr>
          <w:p w14:paraId="679AF0FE"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r>
      <w:tr w:rsidR="0094399D" w:rsidRPr="00100F0A" w14:paraId="02A3D51F"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5C3BA17E" w14:textId="77777777" w:rsidR="0094399D" w:rsidRPr="00100F0A" w:rsidRDefault="0094399D" w:rsidP="0028600C">
            <w:pPr>
              <w:rPr>
                <w:rFonts w:asciiTheme="minorHAnsi" w:hAnsiTheme="minorHAnsi" w:cstheme="minorHAnsi"/>
                <w:color w:val="000000"/>
              </w:rPr>
            </w:pPr>
            <w:r w:rsidRPr="00100F0A">
              <w:rPr>
                <w:rFonts w:asciiTheme="minorHAnsi" w:hAnsiTheme="minorHAnsi" w:cstheme="minorHAnsi"/>
                <w:color w:val="000000"/>
              </w:rPr>
              <w:t>28</w:t>
            </w:r>
          </w:p>
        </w:tc>
        <w:tc>
          <w:tcPr>
            <w:tcW w:w="0" w:type="dxa"/>
            <w:vAlign w:val="center"/>
          </w:tcPr>
          <w:p w14:paraId="76AF4100"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rFonts w:cs="Calibri"/>
                <w:color w:val="000000"/>
              </w:rPr>
            </w:pPr>
            <w:r w:rsidRPr="00100F0A">
              <w:rPr>
                <w:rFonts w:asciiTheme="minorHAnsi" w:hAnsiTheme="minorHAnsi" w:cstheme="minorHAnsi"/>
                <w:color w:val="000000"/>
              </w:rPr>
              <w:t>Asbestos</w:t>
            </w:r>
          </w:p>
        </w:tc>
        <w:tc>
          <w:tcPr>
            <w:tcW w:w="0" w:type="dxa"/>
            <w:vAlign w:val="center"/>
          </w:tcPr>
          <w:p w14:paraId="3C5DA239"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N220</w:t>
            </w:r>
          </w:p>
        </w:tc>
        <w:tc>
          <w:tcPr>
            <w:tcW w:w="4394" w:type="dxa"/>
            <w:vAlign w:val="center"/>
          </w:tcPr>
          <w:p w14:paraId="6F253D0C"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 xml:space="preserve">Waste asbestos </w:t>
            </w:r>
          </w:p>
        </w:tc>
      </w:tr>
      <w:tr w:rsidR="0094399D" w:rsidRPr="00100F0A" w14:paraId="06178C01"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6233BF21" w14:textId="77777777" w:rsidR="0094399D" w:rsidRPr="00100F0A" w:rsidRDefault="0094399D" w:rsidP="0028600C">
            <w:pPr>
              <w:rPr>
                <w:rFonts w:asciiTheme="minorHAnsi" w:hAnsiTheme="minorHAnsi" w:cstheme="minorHAnsi"/>
                <w:color w:val="000000"/>
              </w:rPr>
            </w:pPr>
            <w:r w:rsidRPr="00100F0A">
              <w:rPr>
                <w:rFonts w:asciiTheme="minorHAnsi" w:hAnsiTheme="minorHAnsi" w:cstheme="minorHAnsi"/>
                <w:color w:val="000000"/>
              </w:rPr>
              <w:t>29</w:t>
            </w:r>
          </w:p>
        </w:tc>
        <w:tc>
          <w:tcPr>
            <w:tcW w:w="0" w:type="dxa"/>
            <w:vAlign w:val="center"/>
          </w:tcPr>
          <w:p w14:paraId="76385005"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rFonts w:cs="Calibri"/>
                <w:color w:val="000000"/>
              </w:rPr>
            </w:pPr>
            <w:r w:rsidRPr="00100F0A">
              <w:rPr>
                <w:rFonts w:asciiTheme="minorHAnsi" w:hAnsiTheme="minorHAnsi" w:cstheme="minorHAnsi"/>
                <w:color w:val="000000"/>
              </w:rPr>
              <w:t>Other soil/sludges</w:t>
            </w:r>
          </w:p>
        </w:tc>
        <w:tc>
          <w:tcPr>
            <w:tcW w:w="0" w:type="dxa"/>
            <w:vAlign w:val="center"/>
          </w:tcPr>
          <w:p w14:paraId="6962CA66"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Other N</w:t>
            </w:r>
          </w:p>
        </w:tc>
        <w:tc>
          <w:tcPr>
            <w:tcW w:w="4394" w:type="dxa"/>
            <w:vAlign w:val="center"/>
          </w:tcPr>
          <w:p w14:paraId="0DFB8B31"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r>
      <w:tr w:rsidR="0094399D" w:rsidRPr="00100F0A" w14:paraId="4F27FF87"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5062B47D" w14:textId="77777777" w:rsidR="0094399D" w:rsidRPr="00100F0A" w:rsidRDefault="0094399D" w:rsidP="0028600C">
            <w:pPr>
              <w:rPr>
                <w:rFonts w:asciiTheme="minorHAnsi" w:hAnsiTheme="minorHAnsi" w:cstheme="minorHAnsi"/>
                <w:color w:val="000000"/>
              </w:rPr>
            </w:pPr>
            <w:r w:rsidRPr="00100F0A">
              <w:rPr>
                <w:rFonts w:asciiTheme="minorHAnsi" w:hAnsiTheme="minorHAnsi" w:cstheme="minorHAnsi"/>
                <w:color w:val="000000"/>
              </w:rPr>
              <w:t>30</w:t>
            </w:r>
          </w:p>
        </w:tc>
        <w:tc>
          <w:tcPr>
            <w:tcW w:w="0" w:type="dxa"/>
            <w:vAlign w:val="center"/>
          </w:tcPr>
          <w:p w14:paraId="75B30D1A"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rFonts w:cs="Calibri"/>
                <w:color w:val="000000"/>
              </w:rPr>
            </w:pPr>
            <w:r w:rsidRPr="00100F0A">
              <w:rPr>
                <w:rFonts w:asciiTheme="minorHAnsi" w:hAnsiTheme="minorHAnsi" w:cstheme="minorHAnsi"/>
                <w:color w:val="000000"/>
              </w:rPr>
              <w:t>Clinical &amp; pharmaceutical</w:t>
            </w:r>
          </w:p>
        </w:tc>
        <w:tc>
          <w:tcPr>
            <w:tcW w:w="0" w:type="dxa"/>
            <w:vAlign w:val="center"/>
          </w:tcPr>
          <w:p w14:paraId="710A9BA6"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R</w:t>
            </w:r>
          </w:p>
        </w:tc>
        <w:tc>
          <w:tcPr>
            <w:tcW w:w="4394" w:type="dxa"/>
            <w:vAlign w:val="center"/>
          </w:tcPr>
          <w:p w14:paraId="3F021D3A"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r>
      <w:tr w:rsidR="0094399D" w:rsidRPr="00100F0A" w14:paraId="58CC6929"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4C82C67E" w14:textId="77777777" w:rsidR="0094399D" w:rsidRPr="00100F0A" w:rsidRDefault="0094399D" w:rsidP="0028600C">
            <w:pPr>
              <w:rPr>
                <w:rFonts w:asciiTheme="minorHAnsi" w:hAnsiTheme="minorHAnsi" w:cstheme="minorHAnsi"/>
                <w:color w:val="000000"/>
              </w:rPr>
            </w:pPr>
            <w:r w:rsidRPr="00100F0A">
              <w:rPr>
                <w:rFonts w:asciiTheme="minorHAnsi" w:hAnsiTheme="minorHAnsi" w:cstheme="minorHAnsi"/>
                <w:color w:val="000000"/>
              </w:rPr>
              <w:t>31</w:t>
            </w:r>
          </w:p>
        </w:tc>
        <w:tc>
          <w:tcPr>
            <w:tcW w:w="0" w:type="dxa"/>
            <w:vAlign w:val="center"/>
          </w:tcPr>
          <w:p w14:paraId="5005B18E"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rFonts w:cs="Calibri"/>
                <w:color w:val="000000"/>
              </w:rPr>
            </w:pPr>
            <w:r w:rsidRPr="00100F0A">
              <w:rPr>
                <w:rFonts w:asciiTheme="minorHAnsi" w:hAnsiTheme="minorHAnsi" w:cstheme="minorHAnsi"/>
                <w:color w:val="000000"/>
              </w:rPr>
              <w:t>Tyres</w:t>
            </w:r>
          </w:p>
        </w:tc>
        <w:tc>
          <w:tcPr>
            <w:tcW w:w="0" w:type="dxa"/>
            <w:vAlign w:val="center"/>
          </w:tcPr>
          <w:p w14:paraId="05797001"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T140</w:t>
            </w:r>
          </w:p>
        </w:tc>
        <w:tc>
          <w:tcPr>
            <w:tcW w:w="4394" w:type="dxa"/>
            <w:vAlign w:val="center"/>
          </w:tcPr>
          <w:p w14:paraId="1ECA7A8E"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End-of-life tyres</w:t>
            </w:r>
          </w:p>
        </w:tc>
      </w:tr>
      <w:tr w:rsidR="0094399D" w:rsidRPr="00100F0A" w14:paraId="19C30EBC"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34EB1FFD" w14:textId="77777777" w:rsidR="0094399D" w:rsidRPr="00100F0A" w:rsidRDefault="0094399D" w:rsidP="0028600C">
            <w:pPr>
              <w:rPr>
                <w:rFonts w:asciiTheme="minorHAnsi" w:hAnsiTheme="minorHAnsi" w:cstheme="minorHAnsi"/>
                <w:color w:val="000000"/>
              </w:rPr>
            </w:pPr>
            <w:r w:rsidRPr="00100F0A">
              <w:rPr>
                <w:rFonts w:asciiTheme="minorHAnsi" w:hAnsiTheme="minorHAnsi" w:cstheme="minorHAnsi"/>
                <w:color w:val="000000"/>
              </w:rPr>
              <w:t>32</w:t>
            </w:r>
          </w:p>
        </w:tc>
        <w:tc>
          <w:tcPr>
            <w:tcW w:w="0" w:type="dxa"/>
            <w:vAlign w:val="center"/>
          </w:tcPr>
          <w:p w14:paraId="3B36FB70"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rFonts w:cs="Calibri"/>
                <w:color w:val="000000"/>
              </w:rPr>
            </w:pPr>
            <w:r w:rsidRPr="00100F0A">
              <w:rPr>
                <w:rFonts w:asciiTheme="minorHAnsi" w:hAnsiTheme="minorHAnsi" w:cstheme="minorHAnsi"/>
                <w:color w:val="000000"/>
              </w:rPr>
              <w:t>Other miscellaneous</w:t>
            </w:r>
          </w:p>
        </w:tc>
        <w:tc>
          <w:tcPr>
            <w:tcW w:w="0" w:type="dxa"/>
            <w:vAlign w:val="center"/>
          </w:tcPr>
          <w:p w14:paraId="4758B8F3"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Other T</w:t>
            </w:r>
          </w:p>
        </w:tc>
        <w:tc>
          <w:tcPr>
            <w:tcW w:w="4394" w:type="dxa"/>
            <w:vAlign w:val="center"/>
          </w:tcPr>
          <w:p w14:paraId="31BC2423"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r>
      <w:tr w:rsidR="0094399D" w:rsidRPr="00100F0A" w14:paraId="4192E198" w14:textId="77777777" w:rsidTr="00895CD4">
        <w:tc>
          <w:tcPr>
            <w:cnfStyle w:val="001000000000" w:firstRow="0" w:lastRow="0" w:firstColumn="1" w:lastColumn="0" w:oddVBand="0" w:evenVBand="0" w:oddHBand="0" w:evenHBand="0" w:firstRowFirstColumn="0" w:firstRowLastColumn="0" w:lastRowFirstColumn="0" w:lastRowLastColumn="0"/>
            <w:tcW w:w="0" w:type="dxa"/>
          </w:tcPr>
          <w:p w14:paraId="6B1908BA" w14:textId="77777777" w:rsidR="0094399D" w:rsidRPr="00100F0A" w:rsidRDefault="0094399D" w:rsidP="0028600C">
            <w:pPr>
              <w:rPr>
                <w:rFonts w:asciiTheme="minorHAnsi" w:hAnsiTheme="minorHAnsi" w:cstheme="minorHAnsi"/>
                <w:color w:val="000000"/>
              </w:rPr>
            </w:pPr>
            <w:r w:rsidRPr="00100F0A">
              <w:rPr>
                <w:rFonts w:asciiTheme="minorHAnsi" w:hAnsiTheme="minorHAnsi" w:cstheme="minorHAnsi"/>
                <w:color w:val="000000"/>
              </w:rPr>
              <w:t>33</w:t>
            </w:r>
          </w:p>
        </w:tc>
        <w:tc>
          <w:tcPr>
            <w:tcW w:w="0" w:type="dxa"/>
            <w:vAlign w:val="center"/>
          </w:tcPr>
          <w:p w14:paraId="3A70BDE2"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asciiTheme="minorHAnsi" w:hAnsiTheme="minorHAnsi" w:cstheme="minorHAnsi"/>
                <w:color w:val="000000"/>
              </w:rPr>
              <w:t>Lithium ion</w:t>
            </w:r>
            <w:r w:rsidRPr="00100F0A">
              <w:rPr>
                <w:rFonts w:asciiTheme="minorHAnsi" w:hAnsiTheme="minorHAnsi" w:cstheme="minorHAnsi"/>
                <w:color w:val="000000"/>
              </w:rPr>
              <w:t xml:space="preserve"> batteries</w:t>
            </w:r>
          </w:p>
        </w:tc>
        <w:tc>
          <w:tcPr>
            <w:tcW w:w="0" w:type="dxa"/>
            <w:vAlign w:val="center"/>
          </w:tcPr>
          <w:p w14:paraId="123159C0" w14:textId="77777777" w:rsidR="0094399D" w:rsidRPr="00100F0A" w:rsidRDefault="0094399D" w:rsidP="0028600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w:t>
            </w:r>
          </w:p>
        </w:tc>
        <w:tc>
          <w:tcPr>
            <w:tcW w:w="4394" w:type="dxa"/>
            <w:vAlign w:val="center"/>
          </w:tcPr>
          <w:p w14:paraId="0A4CDBA4" w14:textId="77777777" w:rsidR="0094399D" w:rsidRPr="00100F0A" w:rsidRDefault="0094399D" w:rsidP="0028600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 xml:space="preserve">Waste </w:t>
            </w:r>
            <w:r>
              <w:rPr>
                <w:rFonts w:asciiTheme="minorHAnsi" w:hAnsiTheme="minorHAnsi" w:cstheme="minorHAnsi"/>
                <w:color w:val="000000"/>
              </w:rPr>
              <w:t>lithium ion</w:t>
            </w:r>
            <w:r w:rsidRPr="00100F0A">
              <w:rPr>
                <w:rFonts w:asciiTheme="minorHAnsi" w:hAnsiTheme="minorHAnsi" w:cstheme="minorHAnsi"/>
                <w:color w:val="000000"/>
              </w:rPr>
              <w:t xml:space="preserve"> batteries</w:t>
            </w:r>
          </w:p>
        </w:tc>
      </w:tr>
    </w:tbl>
    <w:p w14:paraId="328A6AF4" w14:textId="77777777" w:rsidR="00DA7ED9" w:rsidRPr="00100F0A" w:rsidRDefault="00DA7ED9" w:rsidP="00DA7ED9">
      <w:pPr>
        <w:pStyle w:val="Notes"/>
      </w:pPr>
      <w:r w:rsidRPr="00100F0A">
        <w:t>Notes on changes in the waste groups compared with the previous 2015 version of this report:</w:t>
      </w:r>
    </w:p>
    <w:p w14:paraId="0335EC42" w14:textId="77777777" w:rsidR="00DA7ED9" w:rsidRPr="00100F0A" w:rsidRDefault="00DA7ED9" w:rsidP="00512118">
      <w:pPr>
        <w:pStyle w:val="Notes"/>
        <w:numPr>
          <w:ilvl w:val="0"/>
          <w:numId w:val="35"/>
        </w:numPr>
      </w:pPr>
      <w:r w:rsidRPr="00100F0A">
        <w:t>Previously formed part of a broader waste group.</w:t>
      </w:r>
    </w:p>
    <w:p w14:paraId="36B3CAC7" w14:textId="4B8A59DB" w:rsidR="00DA7ED9" w:rsidRPr="00100F0A" w:rsidRDefault="00DA7ED9" w:rsidP="002B2606">
      <w:pPr>
        <w:pStyle w:val="Notes"/>
        <w:numPr>
          <w:ilvl w:val="0"/>
          <w:numId w:val="35"/>
        </w:numPr>
        <w:rPr>
          <w:color w:val="080808"/>
        </w:rPr>
      </w:pPr>
      <w:r w:rsidRPr="00100F0A">
        <w:t>Combines wastes that previously formed a distinct waste group.</w:t>
      </w:r>
    </w:p>
    <w:p w14:paraId="15A60EB6" w14:textId="77777777" w:rsidR="0058237E" w:rsidRPr="00100F0A" w:rsidRDefault="0058237E" w:rsidP="0058237E">
      <w:pPr>
        <w:pStyle w:val="Notes"/>
        <w:ind w:left="360" w:firstLine="0"/>
        <w:rPr>
          <w:color w:val="080808"/>
        </w:rPr>
      </w:pPr>
    </w:p>
    <w:p w14:paraId="2A771866" w14:textId="77777777" w:rsidR="00DA7ED9" w:rsidRPr="00100F0A" w:rsidRDefault="00DA7ED9" w:rsidP="00DA7ED9">
      <w:pPr>
        <w:rPr>
          <w:color w:val="080808"/>
        </w:rPr>
      </w:pPr>
      <w:r w:rsidRPr="00100F0A">
        <w:rPr>
          <w:color w:val="080808"/>
        </w:rPr>
        <w:t>Three waste groups were added that did not have an obvious allocation under the NEPM 15 groups:</w:t>
      </w:r>
    </w:p>
    <w:p w14:paraId="35EFCE4F" w14:textId="77777777" w:rsidR="00DA7ED9" w:rsidRPr="00100F0A" w:rsidRDefault="00DA7ED9" w:rsidP="00DA7ED9">
      <w:pPr>
        <w:pStyle w:val="Bullet1"/>
        <w:spacing w:before="80"/>
        <w:ind w:left="454" w:hanging="454"/>
      </w:pPr>
      <w:r w:rsidRPr="00100F0A">
        <w:t>Food processing wastes were included because they are regulated as hazardous in some states. These were included in Other K</w:t>
      </w:r>
      <w:r w:rsidRPr="00100F0A">
        <w:rPr>
          <w:rFonts w:cs="Times New Roman"/>
          <w:color w:val="000000"/>
          <w:szCs w:val="20"/>
          <w:lang w:eastAsia="en-AU"/>
        </w:rPr>
        <w:t>.</w:t>
      </w:r>
    </w:p>
    <w:p w14:paraId="4BCA6A97" w14:textId="43E4D16B" w:rsidR="00DA7ED9" w:rsidRPr="00100F0A" w:rsidRDefault="00FB5AD1" w:rsidP="00DA7ED9">
      <w:pPr>
        <w:pStyle w:val="Bullet1"/>
        <w:spacing w:before="80"/>
        <w:ind w:left="454" w:hanging="454"/>
      </w:pPr>
      <w:r w:rsidRPr="00100F0A">
        <w:t>Other c</w:t>
      </w:r>
      <w:r w:rsidR="00DA7ED9" w:rsidRPr="00100F0A">
        <w:t>ontaminated biosolids</w:t>
      </w:r>
      <w:r w:rsidR="00E063EA">
        <w:t>: B</w:t>
      </w:r>
      <w:r w:rsidRPr="00100F0A">
        <w:t>iosolids are the</w:t>
      </w:r>
      <w:r w:rsidR="00DA7ED9" w:rsidRPr="00100F0A">
        <w:t xml:space="preserve"> solid residues of sewage treatment</w:t>
      </w:r>
      <w:r w:rsidRPr="00100F0A">
        <w:t>, and</w:t>
      </w:r>
      <w:r w:rsidR="00DA7ED9" w:rsidRPr="00100F0A">
        <w:t xml:space="preserve"> are not regulated as hazardous in jurisdictional tracking systems. However, it is widely accepted that some biosolids are contaminated with heavy metals, particularly those generated in treatment plants servicing industrial areas. Contaminated soils or industrial treatment residues are regulated as hazardous, so contaminated biosolids that are understood to have a similar contaminant profile are also included as a subsection of </w:t>
      </w:r>
      <w:r w:rsidR="00DA7ED9" w:rsidRPr="00100F0A">
        <w:rPr>
          <w:i/>
        </w:rPr>
        <w:t>N205 Industrial treatment residues</w:t>
      </w:r>
      <w:r w:rsidR="00DA7ED9" w:rsidRPr="00100F0A">
        <w:t xml:space="preserve"> (N205a </w:t>
      </w:r>
      <w:r w:rsidRPr="00100F0A">
        <w:t>Other c</w:t>
      </w:r>
      <w:r w:rsidR="00DA7ED9" w:rsidRPr="00100F0A">
        <w:t>ontaminated biosolids).</w:t>
      </w:r>
      <w:r w:rsidRPr="00100F0A">
        <w:t xml:space="preserve"> These are referred to here as ‘other’ to distinguish them from M270a PFOS contaminated biosolids. </w:t>
      </w:r>
      <w:r w:rsidR="00DA7ED9" w:rsidRPr="00100F0A">
        <w:t xml:space="preserve">See Section </w:t>
      </w:r>
      <w:r w:rsidR="00DA7ED9" w:rsidRPr="00100F0A">
        <w:fldChar w:fldCharType="begin"/>
      </w:r>
      <w:r w:rsidR="00DA7ED9" w:rsidRPr="00100F0A">
        <w:instrText xml:space="preserve"> REF _Ref419370324 \r \h </w:instrText>
      </w:r>
      <w:r w:rsidR="00DA7ED9" w:rsidRPr="00100F0A">
        <w:fldChar w:fldCharType="separate"/>
      </w:r>
      <w:r w:rsidR="00EB634D">
        <w:t>2.6</w:t>
      </w:r>
      <w:r w:rsidR="00DA7ED9" w:rsidRPr="00100F0A">
        <w:fldChar w:fldCharType="end"/>
      </w:r>
      <w:r w:rsidR="00DA7ED9" w:rsidRPr="00100F0A">
        <w:t xml:space="preserve"> for further discussion regarding the formation of this waste group.</w:t>
      </w:r>
    </w:p>
    <w:p w14:paraId="2F67FE0B" w14:textId="203AFA14" w:rsidR="00DA7ED9" w:rsidRPr="00100F0A" w:rsidRDefault="00DA7ED9" w:rsidP="00DA7ED9">
      <w:pPr>
        <w:pStyle w:val="Bullet1"/>
        <w:spacing w:before="80"/>
        <w:ind w:left="454" w:hanging="454"/>
      </w:pPr>
      <w:r w:rsidRPr="00100F0A">
        <w:t>Lithium</w:t>
      </w:r>
      <w:r w:rsidR="00E063EA">
        <w:t xml:space="preserve"> </w:t>
      </w:r>
      <w:r w:rsidRPr="00100F0A">
        <w:t>ion batteries are currently not regulated as hazardous waste</w:t>
      </w:r>
      <w:r w:rsidR="002F582A">
        <w:rPr>
          <w:rStyle w:val="FootnoteReference"/>
        </w:rPr>
        <w:footnoteReference w:id="14"/>
      </w:r>
      <w:r w:rsidRPr="00100F0A">
        <w:t>. They are assessed in this report because of their potential to have a significant impact on hazardous waste infrastructure. Lithium</w:t>
      </w:r>
      <w:r w:rsidR="00E063EA">
        <w:t xml:space="preserve"> </w:t>
      </w:r>
      <w:r w:rsidRPr="00100F0A">
        <w:t xml:space="preserve">ion battery use has been increasing strongly. If not appropriately managed, this waste represents a safety hazard due to risks of causing explosions or fire (ABRI 2014, CSIRO </w:t>
      </w:r>
      <w:r w:rsidR="00A4161B" w:rsidRPr="00100F0A">
        <w:t>2018</w:t>
      </w:r>
      <w:r w:rsidRPr="00100F0A">
        <w:t xml:space="preserve">). </w:t>
      </w:r>
    </w:p>
    <w:p w14:paraId="74192C13" w14:textId="7FF8066E" w:rsidR="0058237E" w:rsidRPr="00100F0A" w:rsidRDefault="0058237E" w:rsidP="0058237E">
      <w:pPr>
        <w:pStyle w:val="Bullet1"/>
        <w:numPr>
          <w:ilvl w:val="0"/>
          <w:numId w:val="0"/>
        </w:numPr>
        <w:spacing w:before="80"/>
        <w:ind w:left="454"/>
      </w:pPr>
    </w:p>
    <w:p w14:paraId="30AE3B36" w14:textId="0FE0AF4A" w:rsidR="00DA7ED9" w:rsidRPr="00100F0A" w:rsidRDefault="00DA7ED9" w:rsidP="00A307F3">
      <w:pPr>
        <w:pStyle w:val="Heading2"/>
        <w:keepNext/>
        <w:keepLines/>
        <w:ind w:left="851" w:hanging="851"/>
      </w:pPr>
      <w:bookmarkStart w:id="73" w:name="_Toc9383880"/>
      <w:bookmarkStart w:id="74" w:name="_Toc406412165"/>
      <w:bookmarkStart w:id="75" w:name="_Toc408308719"/>
      <w:bookmarkStart w:id="76" w:name="_Ref408584064"/>
      <w:bookmarkStart w:id="77" w:name="_Ref409351620"/>
      <w:bookmarkStart w:id="78" w:name="_Toc425849156"/>
      <w:bookmarkStart w:id="79" w:name="_Toc519527691"/>
      <w:bookmarkStart w:id="80" w:name="_Toc13225532"/>
      <w:bookmarkEnd w:id="73"/>
      <w:r w:rsidRPr="00100F0A">
        <w:t>Data inputs to the projections</w:t>
      </w:r>
      <w:bookmarkEnd w:id="74"/>
      <w:bookmarkEnd w:id="75"/>
      <w:bookmarkEnd w:id="76"/>
      <w:bookmarkEnd w:id="77"/>
      <w:bookmarkEnd w:id="78"/>
      <w:bookmarkEnd w:id="79"/>
      <w:bookmarkEnd w:id="80"/>
    </w:p>
    <w:p w14:paraId="27224316" w14:textId="77777777" w:rsidR="00DA7ED9" w:rsidRPr="00100F0A" w:rsidRDefault="00DA7ED9" w:rsidP="00A307F3">
      <w:pPr>
        <w:pStyle w:val="Heading3"/>
        <w:keepNext/>
        <w:keepLines/>
      </w:pPr>
      <w:r w:rsidRPr="00100F0A">
        <w:t>Overview of data sources</w:t>
      </w:r>
    </w:p>
    <w:p w14:paraId="68746CDF" w14:textId="0EAB8B7E" w:rsidR="00DA7ED9" w:rsidRPr="00100F0A" w:rsidRDefault="00DA7ED9" w:rsidP="00DA7ED9">
      <w:pPr>
        <w:pStyle w:val="BodyText"/>
      </w:pPr>
      <w:r w:rsidRPr="00100F0A">
        <w:t xml:space="preserve">The data and information sources underpinning the projections are summarised in </w:t>
      </w:r>
      <w:r w:rsidRPr="00100F0A">
        <w:fldChar w:fldCharType="begin"/>
      </w:r>
      <w:r w:rsidRPr="00100F0A">
        <w:instrText xml:space="preserve"> REF _Ref406062144 \h  \* MERGEFORMAT </w:instrText>
      </w:r>
      <w:r w:rsidRPr="00100F0A">
        <w:fldChar w:fldCharType="separate"/>
      </w:r>
      <w:r w:rsidR="00EB634D" w:rsidRPr="00100F0A">
        <w:t xml:space="preserve">Table </w:t>
      </w:r>
      <w:r w:rsidR="00EB634D">
        <w:rPr>
          <w:noProof/>
        </w:rPr>
        <w:t>2</w:t>
      </w:r>
      <w:r w:rsidRPr="00100F0A">
        <w:fldChar w:fldCharType="end"/>
      </w:r>
      <w:r w:rsidRPr="00100F0A">
        <w:t>. A list of the literature and on</w:t>
      </w:r>
      <w:r w:rsidR="00E063EA">
        <w:t>-</w:t>
      </w:r>
      <w:r w:rsidRPr="00100F0A">
        <w:t>line materials examined is included in the bibliography</w:t>
      </w:r>
      <w:r w:rsidR="00ED1FCA" w:rsidRPr="00100F0A">
        <w:t xml:space="preserve">. </w:t>
      </w:r>
      <w:r w:rsidRPr="00100F0A">
        <w:t>The most important data source for this part of the project – state and territory waste data – is displayed in bold italics.</w:t>
      </w:r>
    </w:p>
    <w:p w14:paraId="55818499" w14:textId="3EE01B33" w:rsidR="00DA7ED9" w:rsidRPr="00100F0A" w:rsidRDefault="00DA7ED9" w:rsidP="00DA7ED9">
      <w:pPr>
        <w:pStyle w:val="Caption"/>
      </w:pPr>
      <w:bookmarkStart w:id="81" w:name="_Ref406062144"/>
      <w:bookmarkStart w:id="82" w:name="_Toc406412242"/>
      <w:bookmarkStart w:id="83" w:name="_Toc425849287"/>
      <w:bookmarkStart w:id="84" w:name="_Toc519528052"/>
      <w:bookmarkStart w:id="85" w:name="_Toc13225621"/>
      <w:r w:rsidRPr="00100F0A">
        <w:t xml:space="preserve">Table </w:t>
      </w:r>
      <w:r w:rsidRPr="00100F0A">
        <w:rPr>
          <w:noProof/>
        </w:rPr>
        <w:fldChar w:fldCharType="begin"/>
      </w:r>
      <w:r w:rsidRPr="00100F0A">
        <w:rPr>
          <w:noProof/>
        </w:rPr>
        <w:instrText xml:space="preserve"> SEQ Table \* ARABIC </w:instrText>
      </w:r>
      <w:r w:rsidRPr="00100F0A">
        <w:rPr>
          <w:noProof/>
        </w:rPr>
        <w:fldChar w:fldCharType="separate"/>
      </w:r>
      <w:r w:rsidR="00EB634D">
        <w:rPr>
          <w:noProof/>
        </w:rPr>
        <w:t>2</w:t>
      </w:r>
      <w:r w:rsidRPr="00100F0A">
        <w:rPr>
          <w:noProof/>
        </w:rPr>
        <w:fldChar w:fldCharType="end"/>
      </w:r>
      <w:bookmarkEnd w:id="81"/>
      <w:r w:rsidR="00C14F18">
        <w:rPr>
          <w:noProof/>
        </w:rPr>
        <w:t>:</w:t>
      </w:r>
      <w:r w:rsidRPr="00100F0A">
        <w:tab/>
        <w:t>Information and data underpinning the projections and how it was use</w:t>
      </w:r>
      <w:bookmarkEnd w:id="82"/>
      <w:bookmarkEnd w:id="83"/>
      <w:bookmarkEnd w:id="84"/>
      <w:r w:rsidRPr="00100F0A">
        <w:t>d</w:t>
      </w:r>
      <w:bookmarkEnd w:id="85"/>
    </w:p>
    <w:tbl>
      <w:tblPr>
        <w:tblStyle w:val="BE-table"/>
        <w:tblW w:w="0" w:type="auto"/>
        <w:tblLook w:val="04A0" w:firstRow="1" w:lastRow="0" w:firstColumn="1" w:lastColumn="0" w:noHBand="0" w:noVBand="1"/>
      </w:tblPr>
      <w:tblGrid>
        <w:gridCol w:w="3539"/>
        <w:gridCol w:w="2476"/>
        <w:gridCol w:w="3008"/>
      </w:tblGrid>
      <w:tr w:rsidR="00DA7ED9" w:rsidRPr="00100F0A" w14:paraId="4D904720" w14:textId="77777777" w:rsidTr="00DA7E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4C8B666" w14:textId="77777777" w:rsidR="00DA7ED9" w:rsidRPr="00100F0A" w:rsidRDefault="00DA7ED9" w:rsidP="00DA7ED9">
            <w:pPr>
              <w:spacing w:before="144" w:after="144"/>
            </w:pPr>
            <w:r w:rsidRPr="00100F0A">
              <w:t>Information or data</w:t>
            </w:r>
          </w:p>
        </w:tc>
        <w:tc>
          <w:tcPr>
            <w:tcW w:w="2476" w:type="dxa"/>
            <w:vAlign w:val="center"/>
          </w:tcPr>
          <w:p w14:paraId="030A5893" w14:textId="77777777" w:rsidR="00DA7ED9" w:rsidRPr="00100F0A" w:rsidRDefault="00DA7ED9" w:rsidP="00DA7ED9">
            <w:pPr>
              <w:spacing w:before="144" w:after="144"/>
              <w:cnfStyle w:val="100000000000" w:firstRow="1" w:lastRow="0" w:firstColumn="0" w:lastColumn="0" w:oddVBand="0" w:evenVBand="0" w:oddHBand="0" w:evenHBand="0" w:firstRowFirstColumn="0" w:firstRowLastColumn="0" w:lastRowFirstColumn="0" w:lastRowLastColumn="0"/>
            </w:pPr>
            <w:r w:rsidRPr="00100F0A">
              <w:t>Method for obtaining the info or data</w:t>
            </w:r>
          </w:p>
        </w:tc>
        <w:tc>
          <w:tcPr>
            <w:tcW w:w="3008" w:type="dxa"/>
            <w:vAlign w:val="center"/>
          </w:tcPr>
          <w:p w14:paraId="3EF4B9FF" w14:textId="77777777" w:rsidR="00DA7ED9" w:rsidRPr="00100F0A" w:rsidRDefault="00DA7ED9" w:rsidP="00DA7ED9">
            <w:pPr>
              <w:spacing w:before="144" w:after="144"/>
              <w:cnfStyle w:val="100000000000" w:firstRow="1" w:lastRow="0" w:firstColumn="0" w:lastColumn="0" w:oddVBand="0" w:evenVBand="0" w:oddHBand="0" w:evenHBand="0" w:firstRowFirstColumn="0" w:firstRowLastColumn="0" w:lastRowFirstColumn="0" w:lastRowLastColumn="0"/>
            </w:pPr>
            <w:r w:rsidRPr="00100F0A">
              <w:t>Contribution to the projections</w:t>
            </w:r>
          </w:p>
        </w:tc>
      </w:tr>
      <w:tr w:rsidR="00DA7ED9" w:rsidRPr="00100F0A" w14:paraId="13BE226C" w14:textId="77777777" w:rsidTr="00DA7ED9">
        <w:tc>
          <w:tcPr>
            <w:cnfStyle w:val="001000000000" w:firstRow="0" w:lastRow="0" w:firstColumn="1" w:lastColumn="0" w:oddVBand="0" w:evenVBand="0" w:oddHBand="0" w:evenHBand="0" w:firstRowFirstColumn="0" w:firstRowLastColumn="0" w:lastRowFirstColumn="0" w:lastRowLastColumn="0"/>
            <w:tcW w:w="3539" w:type="dxa"/>
          </w:tcPr>
          <w:p w14:paraId="33057F27" w14:textId="77777777" w:rsidR="00DA7ED9" w:rsidRPr="00100F0A" w:rsidRDefault="00DA7ED9" w:rsidP="00DA7ED9">
            <w:pPr>
              <w:rPr>
                <w:b/>
                <w:i/>
              </w:rPr>
            </w:pPr>
            <w:r w:rsidRPr="00100F0A">
              <w:rPr>
                <w:b/>
                <w:i/>
              </w:rPr>
              <w:t xml:space="preserve">State and territory waste tracking and other data </w:t>
            </w:r>
          </w:p>
          <w:p w14:paraId="74EBBD8D" w14:textId="088EC3CD" w:rsidR="00DA7ED9" w:rsidRPr="00100F0A" w:rsidRDefault="00DA7ED9" w:rsidP="00DA7ED9">
            <w:r w:rsidRPr="00100F0A">
              <w:t>(</w:t>
            </w:r>
            <w:r w:rsidRPr="00100F0A">
              <w:rPr>
                <w:i/>
              </w:rPr>
              <w:t xml:space="preserve">see Section </w:t>
            </w:r>
            <w:r w:rsidRPr="00100F0A">
              <w:rPr>
                <w:i/>
              </w:rPr>
              <w:fldChar w:fldCharType="begin"/>
            </w:r>
            <w:r w:rsidRPr="00100F0A">
              <w:rPr>
                <w:i/>
              </w:rPr>
              <w:instrText xml:space="preserve"> REF _Ref519597026 \r \h </w:instrText>
            </w:r>
            <w:r w:rsidRPr="00100F0A">
              <w:rPr>
                <w:i/>
              </w:rPr>
            </w:r>
            <w:r w:rsidRPr="00100F0A">
              <w:rPr>
                <w:i/>
              </w:rPr>
              <w:fldChar w:fldCharType="separate"/>
            </w:r>
            <w:r w:rsidR="00EB634D">
              <w:rPr>
                <w:i/>
              </w:rPr>
              <w:t>2.3.2</w:t>
            </w:r>
            <w:r w:rsidRPr="00100F0A">
              <w:rPr>
                <w:i/>
              </w:rPr>
              <w:fldChar w:fldCharType="end"/>
            </w:r>
            <w:r w:rsidRPr="00100F0A">
              <w:t>)</w:t>
            </w:r>
          </w:p>
        </w:tc>
        <w:tc>
          <w:tcPr>
            <w:tcW w:w="2476" w:type="dxa"/>
            <w:vAlign w:val="center"/>
          </w:tcPr>
          <w:p w14:paraId="12D3C7E1" w14:textId="77777777" w:rsidR="00DA7ED9" w:rsidRPr="00100F0A" w:rsidRDefault="00DA7ED9" w:rsidP="00DA7ED9">
            <w:pPr>
              <w:cnfStyle w:val="000000000000" w:firstRow="0" w:lastRow="0" w:firstColumn="0" w:lastColumn="0" w:oddVBand="0" w:evenVBand="0" w:oddHBand="0" w:evenHBand="0" w:firstRowFirstColumn="0" w:firstRowLastColumn="0" w:lastRowFirstColumn="0" w:lastRowLastColumn="0"/>
            </w:pPr>
            <w:r w:rsidRPr="00100F0A">
              <w:rPr>
                <w:b/>
                <w:i/>
              </w:rPr>
              <w:t>Provided by the jurisdictions</w:t>
            </w:r>
          </w:p>
        </w:tc>
        <w:tc>
          <w:tcPr>
            <w:tcW w:w="3008" w:type="dxa"/>
            <w:vAlign w:val="center"/>
          </w:tcPr>
          <w:p w14:paraId="61A7CDBD" w14:textId="77777777" w:rsidR="00DA7ED9" w:rsidRPr="00100F0A" w:rsidRDefault="00DA7ED9" w:rsidP="00DA7ED9">
            <w:pPr>
              <w:cnfStyle w:val="000000000000" w:firstRow="0" w:lastRow="0" w:firstColumn="0" w:lastColumn="0" w:oddVBand="0" w:evenVBand="0" w:oddHBand="0" w:evenHBand="0" w:firstRowFirstColumn="0" w:firstRowLastColumn="0" w:lastRowFirstColumn="0" w:lastRowLastColumn="0"/>
              <w:rPr>
                <w:b/>
                <w:i/>
              </w:rPr>
            </w:pPr>
            <w:r w:rsidRPr="00100F0A">
              <w:rPr>
                <w:b/>
                <w:i/>
              </w:rPr>
              <w:t>Establishment of starting points</w:t>
            </w:r>
          </w:p>
          <w:p w14:paraId="7D8CC50A" w14:textId="77777777" w:rsidR="00DA7ED9" w:rsidRPr="00100F0A" w:rsidRDefault="00DA7ED9" w:rsidP="00DA7ED9">
            <w:pPr>
              <w:cnfStyle w:val="000000000000" w:firstRow="0" w:lastRow="0" w:firstColumn="0" w:lastColumn="0" w:oddVBand="0" w:evenVBand="0" w:oddHBand="0" w:evenHBand="0" w:firstRowFirstColumn="0" w:firstRowLastColumn="0" w:lastRowFirstColumn="0" w:lastRowLastColumn="0"/>
              <w:rPr>
                <w:b/>
                <w:i/>
              </w:rPr>
            </w:pPr>
            <w:r w:rsidRPr="00100F0A">
              <w:rPr>
                <w:b/>
                <w:i/>
              </w:rPr>
              <w:t>Understanding of industry sources and management</w:t>
            </w:r>
          </w:p>
          <w:p w14:paraId="1C701ABA" w14:textId="77777777" w:rsidR="00DA7ED9" w:rsidRPr="00100F0A" w:rsidRDefault="00DA7ED9" w:rsidP="00DA7ED9">
            <w:pPr>
              <w:cnfStyle w:val="000000000000" w:firstRow="0" w:lastRow="0" w:firstColumn="0" w:lastColumn="0" w:oddVBand="0" w:evenVBand="0" w:oddHBand="0" w:evenHBand="0" w:firstRowFirstColumn="0" w:firstRowLastColumn="0" w:lastRowFirstColumn="0" w:lastRowLastColumn="0"/>
            </w:pPr>
            <w:r w:rsidRPr="00100F0A">
              <w:rPr>
                <w:b/>
                <w:i/>
              </w:rPr>
              <w:t>Understanding of trends</w:t>
            </w:r>
          </w:p>
        </w:tc>
      </w:tr>
      <w:tr w:rsidR="00DA7ED9" w:rsidRPr="00100F0A" w14:paraId="08E1CBB0" w14:textId="77777777" w:rsidTr="00DA7ED9">
        <w:tc>
          <w:tcPr>
            <w:cnfStyle w:val="001000000000" w:firstRow="0" w:lastRow="0" w:firstColumn="1" w:lastColumn="0" w:oddVBand="0" w:evenVBand="0" w:oddHBand="0" w:evenHBand="0" w:firstRowFirstColumn="0" w:firstRowLastColumn="0" w:lastRowFirstColumn="0" w:lastRowLastColumn="0"/>
            <w:tcW w:w="3539" w:type="dxa"/>
          </w:tcPr>
          <w:p w14:paraId="003B3C57" w14:textId="77777777" w:rsidR="00DA7ED9" w:rsidRPr="00100F0A" w:rsidRDefault="00DA7ED9" w:rsidP="00DA7ED9">
            <w:r w:rsidRPr="00100F0A">
              <w:t>Pre-existing waste projections</w:t>
            </w:r>
          </w:p>
          <w:p w14:paraId="7B86846F" w14:textId="05EA4155" w:rsidR="00DA7ED9" w:rsidRPr="00100F0A" w:rsidRDefault="00DA7ED9" w:rsidP="00DA7ED9">
            <w:r w:rsidRPr="00100F0A">
              <w:t>(</w:t>
            </w:r>
            <w:r w:rsidRPr="00100F0A">
              <w:rPr>
                <w:i/>
              </w:rPr>
              <w:t xml:space="preserve">see Section </w:t>
            </w:r>
            <w:r w:rsidRPr="00100F0A">
              <w:rPr>
                <w:i/>
              </w:rPr>
              <w:fldChar w:fldCharType="begin"/>
            </w:r>
            <w:r w:rsidRPr="00100F0A">
              <w:rPr>
                <w:i/>
              </w:rPr>
              <w:instrText xml:space="preserve"> REF _Ref519596983 \r \h  \* MERGEFORMAT </w:instrText>
            </w:r>
            <w:r w:rsidRPr="00100F0A">
              <w:rPr>
                <w:i/>
              </w:rPr>
            </w:r>
            <w:r w:rsidRPr="00100F0A">
              <w:rPr>
                <w:i/>
              </w:rPr>
              <w:fldChar w:fldCharType="separate"/>
            </w:r>
            <w:r w:rsidR="00EB634D">
              <w:rPr>
                <w:i/>
              </w:rPr>
              <w:t>2.3.3</w:t>
            </w:r>
            <w:r w:rsidRPr="00100F0A">
              <w:rPr>
                <w:i/>
              </w:rPr>
              <w:fldChar w:fldCharType="end"/>
            </w:r>
            <w:r w:rsidRPr="00100F0A">
              <w:t>)</w:t>
            </w:r>
          </w:p>
        </w:tc>
        <w:tc>
          <w:tcPr>
            <w:tcW w:w="2476" w:type="dxa"/>
            <w:vMerge w:val="restart"/>
            <w:vAlign w:val="center"/>
          </w:tcPr>
          <w:p w14:paraId="72938451" w14:textId="77777777" w:rsidR="00DA7ED9" w:rsidRPr="00100F0A" w:rsidRDefault="00DA7ED9" w:rsidP="00DA7ED9">
            <w:pPr>
              <w:cnfStyle w:val="000000000000" w:firstRow="0" w:lastRow="0" w:firstColumn="0" w:lastColumn="0" w:oddVBand="0" w:evenVBand="0" w:oddHBand="0" w:evenHBand="0" w:firstRowFirstColumn="0" w:firstRowLastColumn="0" w:lastRowFirstColumn="0" w:lastRowLastColumn="0"/>
            </w:pPr>
            <w:r w:rsidRPr="00100F0A">
              <w:t>Desktop research and discussions</w:t>
            </w:r>
          </w:p>
        </w:tc>
        <w:tc>
          <w:tcPr>
            <w:tcW w:w="3008" w:type="dxa"/>
            <w:vAlign w:val="center"/>
          </w:tcPr>
          <w:p w14:paraId="20481888" w14:textId="77777777" w:rsidR="00DA7ED9" w:rsidRPr="00100F0A" w:rsidRDefault="00DA7ED9" w:rsidP="00DA7ED9">
            <w:pPr>
              <w:cnfStyle w:val="000000000000" w:firstRow="0" w:lastRow="0" w:firstColumn="0" w:lastColumn="0" w:oddVBand="0" w:evenVBand="0" w:oddHBand="0" w:evenHBand="0" w:firstRowFirstColumn="0" w:firstRowLastColumn="0" w:lastRowFirstColumn="0" w:lastRowLastColumn="0"/>
            </w:pPr>
            <w:r w:rsidRPr="00100F0A">
              <w:t>Considered or directly reused in building the projections</w:t>
            </w:r>
          </w:p>
        </w:tc>
      </w:tr>
      <w:tr w:rsidR="00DA7ED9" w:rsidRPr="00100F0A" w14:paraId="0D4E0B4E" w14:textId="77777777" w:rsidTr="00DA7ED9">
        <w:tc>
          <w:tcPr>
            <w:cnfStyle w:val="001000000000" w:firstRow="0" w:lastRow="0" w:firstColumn="1" w:lastColumn="0" w:oddVBand="0" w:evenVBand="0" w:oddHBand="0" w:evenHBand="0" w:firstRowFirstColumn="0" w:firstRowLastColumn="0" w:lastRowFirstColumn="0" w:lastRowLastColumn="0"/>
            <w:tcW w:w="3539" w:type="dxa"/>
          </w:tcPr>
          <w:p w14:paraId="594FCDD7" w14:textId="77777777" w:rsidR="00DA7ED9" w:rsidRPr="00100F0A" w:rsidRDefault="00DA7ED9" w:rsidP="00DA7ED9">
            <w:r w:rsidRPr="00100F0A">
              <w:t>Planned or recent policies or developments</w:t>
            </w:r>
          </w:p>
        </w:tc>
        <w:tc>
          <w:tcPr>
            <w:tcW w:w="2476" w:type="dxa"/>
            <w:vMerge/>
            <w:vAlign w:val="center"/>
          </w:tcPr>
          <w:p w14:paraId="6598A611" w14:textId="77777777" w:rsidR="00DA7ED9" w:rsidRPr="00100F0A" w:rsidRDefault="00DA7ED9" w:rsidP="00DA7ED9">
            <w:pPr>
              <w:cnfStyle w:val="000000000000" w:firstRow="0" w:lastRow="0" w:firstColumn="0" w:lastColumn="0" w:oddVBand="0" w:evenVBand="0" w:oddHBand="0" w:evenHBand="0" w:firstRowFirstColumn="0" w:firstRowLastColumn="0" w:lastRowFirstColumn="0" w:lastRowLastColumn="0"/>
            </w:pPr>
          </w:p>
        </w:tc>
        <w:tc>
          <w:tcPr>
            <w:tcW w:w="3008" w:type="dxa"/>
            <w:vAlign w:val="center"/>
          </w:tcPr>
          <w:p w14:paraId="2C27C8C5" w14:textId="77777777" w:rsidR="00DA7ED9" w:rsidRPr="00100F0A" w:rsidRDefault="00DA7ED9" w:rsidP="00DA7ED9">
            <w:pPr>
              <w:cnfStyle w:val="000000000000" w:firstRow="0" w:lastRow="0" w:firstColumn="0" w:lastColumn="0" w:oddVBand="0" w:evenVBand="0" w:oddHBand="0" w:evenHBand="0" w:firstRowFirstColumn="0" w:firstRowLastColumn="0" w:lastRowFirstColumn="0" w:lastRowLastColumn="0"/>
            </w:pPr>
            <w:r w:rsidRPr="00100F0A">
              <w:t>Potential impacts on future hazardous waste arisings</w:t>
            </w:r>
          </w:p>
        </w:tc>
      </w:tr>
      <w:tr w:rsidR="00DA7ED9" w:rsidRPr="00100F0A" w14:paraId="1BAEF1CB" w14:textId="77777777" w:rsidTr="00DA7ED9">
        <w:tc>
          <w:tcPr>
            <w:cnfStyle w:val="001000000000" w:firstRow="0" w:lastRow="0" w:firstColumn="1" w:lastColumn="0" w:oddVBand="0" w:evenVBand="0" w:oddHBand="0" w:evenHBand="0" w:firstRowFirstColumn="0" w:firstRowLastColumn="0" w:lastRowFirstColumn="0" w:lastRowLastColumn="0"/>
            <w:tcW w:w="3539" w:type="dxa"/>
          </w:tcPr>
          <w:p w14:paraId="06146BBB" w14:textId="77777777" w:rsidR="00DA7ED9" w:rsidRPr="00100F0A" w:rsidRDefault="00DA7ED9" w:rsidP="00DA7ED9">
            <w:r w:rsidRPr="00100F0A">
              <w:t>Waste industry and regulator views and information</w:t>
            </w:r>
          </w:p>
        </w:tc>
        <w:tc>
          <w:tcPr>
            <w:tcW w:w="2476" w:type="dxa"/>
            <w:vAlign w:val="center"/>
          </w:tcPr>
          <w:p w14:paraId="5875A7D8" w14:textId="77777777" w:rsidR="00DA7ED9" w:rsidRPr="00100F0A" w:rsidRDefault="00DA7ED9" w:rsidP="00DA7ED9">
            <w:pPr>
              <w:cnfStyle w:val="000000000000" w:firstRow="0" w:lastRow="0" w:firstColumn="0" w:lastColumn="0" w:oddVBand="0" w:evenVBand="0" w:oddHBand="0" w:evenHBand="0" w:firstRowFirstColumn="0" w:firstRowLastColumn="0" w:lastRowFirstColumn="0" w:lastRowLastColumn="0"/>
            </w:pPr>
            <w:r w:rsidRPr="00100F0A">
              <w:t>Consultation</w:t>
            </w:r>
          </w:p>
        </w:tc>
        <w:tc>
          <w:tcPr>
            <w:tcW w:w="3008" w:type="dxa"/>
            <w:vAlign w:val="center"/>
          </w:tcPr>
          <w:p w14:paraId="34B4EB2D" w14:textId="77777777" w:rsidR="00DA7ED9" w:rsidRPr="00100F0A" w:rsidRDefault="00DA7ED9" w:rsidP="00DA7ED9">
            <w:pPr>
              <w:cnfStyle w:val="000000000000" w:firstRow="0" w:lastRow="0" w:firstColumn="0" w:lastColumn="0" w:oddVBand="0" w:evenVBand="0" w:oddHBand="0" w:evenHBand="0" w:firstRowFirstColumn="0" w:firstRowLastColumn="0" w:lastRowFirstColumn="0" w:lastRowLastColumn="0"/>
            </w:pPr>
            <w:r w:rsidRPr="00100F0A">
              <w:t>Causal factors and trends</w:t>
            </w:r>
          </w:p>
        </w:tc>
      </w:tr>
      <w:tr w:rsidR="00DA7ED9" w:rsidRPr="00100F0A" w14:paraId="4063DA51" w14:textId="77777777" w:rsidTr="00DA7ED9">
        <w:tc>
          <w:tcPr>
            <w:cnfStyle w:val="001000000000" w:firstRow="0" w:lastRow="0" w:firstColumn="1" w:lastColumn="0" w:oddVBand="0" w:evenVBand="0" w:oddHBand="0" w:evenHBand="0" w:firstRowFirstColumn="0" w:firstRowLastColumn="0" w:lastRowFirstColumn="0" w:lastRowLastColumn="0"/>
            <w:tcW w:w="3539" w:type="dxa"/>
          </w:tcPr>
          <w:p w14:paraId="217EC76C" w14:textId="77777777" w:rsidR="00DA7ED9" w:rsidRPr="00100F0A" w:rsidRDefault="00DA7ED9" w:rsidP="00DA7ED9">
            <w:r w:rsidRPr="00100F0A">
              <w:t>Projected long-term growth in national population &amp; economic activity</w:t>
            </w:r>
          </w:p>
        </w:tc>
        <w:tc>
          <w:tcPr>
            <w:tcW w:w="2476" w:type="dxa"/>
            <w:vMerge w:val="restart"/>
            <w:vAlign w:val="center"/>
          </w:tcPr>
          <w:p w14:paraId="17B54970" w14:textId="77777777" w:rsidR="00DA7ED9" w:rsidRPr="00100F0A" w:rsidRDefault="00DA7ED9" w:rsidP="00DA7ED9">
            <w:pPr>
              <w:cnfStyle w:val="000000000000" w:firstRow="0" w:lastRow="0" w:firstColumn="0" w:lastColumn="0" w:oddVBand="0" w:evenVBand="0" w:oddHBand="0" w:evenHBand="0" w:firstRowFirstColumn="0" w:firstRowLastColumn="0" w:lastRowFirstColumn="0" w:lastRowLastColumn="0"/>
            </w:pPr>
            <w:r w:rsidRPr="00100F0A">
              <w:t>Desktop research</w:t>
            </w:r>
          </w:p>
        </w:tc>
        <w:tc>
          <w:tcPr>
            <w:tcW w:w="3008" w:type="dxa"/>
            <w:vMerge w:val="restart"/>
            <w:vAlign w:val="center"/>
          </w:tcPr>
          <w:p w14:paraId="20CF00F1" w14:textId="77777777" w:rsidR="00DA7ED9" w:rsidRPr="00100F0A" w:rsidRDefault="00DA7ED9" w:rsidP="00DA7ED9">
            <w:pPr>
              <w:cnfStyle w:val="000000000000" w:firstRow="0" w:lastRow="0" w:firstColumn="0" w:lastColumn="0" w:oddVBand="0" w:evenVBand="0" w:oddHBand="0" w:evenHBand="0" w:firstRowFirstColumn="0" w:firstRowLastColumn="0" w:lastRowFirstColumn="0" w:lastRowLastColumn="0"/>
            </w:pPr>
            <w:r w:rsidRPr="00100F0A">
              <w:t xml:space="preserve">Causal factors for waste arisings </w:t>
            </w:r>
          </w:p>
        </w:tc>
      </w:tr>
      <w:tr w:rsidR="00DA7ED9" w:rsidRPr="00100F0A" w14:paraId="329004E3" w14:textId="77777777" w:rsidTr="00DA7ED9">
        <w:tc>
          <w:tcPr>
            <w:cnfStyle w:val="001000000000" w:firstRow="0" w:lastRow="0" w:firstColumn="1" w:lastColumn="0" w:oddVBand="0" w:evenVBand="0" w:oddHBand="0" w:evenHBand="0" w:firstRowFirstColumn="0" w:firstRowLastColumn="0" w:lastRowFirstColumn="0" w:lastRowLastColumn="0"/>
            <w:tcW w:w="3539" w:type="dxa"/>
          </w:tcPr>
          <w:p w14:paraId="51BB3B2D" w14:textId="77777777" w:rsidR="00DA7ED9" w:rsidRPr="00100F0A" w:rsidRDefault="00DA7ED9" w:rsidP="00DA7ED9">
            <w:r w:rsidRPr="00100F0A">
              <w:t xml:space="preserve">Industry activity, trends, analyses and activity or employment projections </w:t>
            </w:r>
          </w:p>
          <w:p w14:paraId="16DA20D1" w14:textId="526BD081" w:rsidR="00DA7ED9" w:rsidRPr="00100F0A" w:rsidRDefault="00DA7ED9" w:rsidP="00DA7ED9">
            <w:r w:rsidRPr="00100F0A">
              <w:t>(</w:t>
            </w:r>
            <w:r w:rsidRPr="00100F0A">
              <w:rPr>
                <w:i/>
              </w:rPr>
              <w:t xml:space="preserve">see Section </w:t>
            </w:r>
            <w:r w:rsidRPr="00100F0A">
              <w:rPr>
                <w:i/>
              </w:rPr>
              <w:fldChar w:fldCharType="begin"/>
            </w:r>
            <w:r w:rsidRPr="00100F0A">
              <w:rPr>
                <w:i/>
              </w:rPr>
              <w:instrText xml:space="preserve"> REF _Ref519613293 \r \h </w:instrText>
            </w:r>
            <w:r w:rsidRPr="00100F0A">
              <w:rPr>
                <w:i/>
              </w:rPr>
            </w:r>
            <w:r w:rsidRPr="00100F0A">
              <w:rPr>
                <w:i/>
              </w:rPr>
              <w:fldChar w:fldCharType="separate"/>
            </w:r>
            <w:r w:rsidR="00EB634D">
              <w:rPr>
                <w:i/>
              </w:rPr>
              <w:t>2.3.4</w:t>
            </w:r>
            <w:r w:rsidRPr="00100F0A">
              <w:rPr>
                <w:i/>
              </w:rPr>
              <w:fldChar w:fldCharType="end"/>
            </w:r>
            <w:r w:rsidRPr="00100F0A">
              <w:t>)</w:t>
            </w:r>
          </w:p>
        </w:tc>
        <w:tc>
          <w:tcPr>
            <w:tcW w:w="2476" w:type="dxa"/>
            <w:vMerge/>
            <w:vAlign w:val="center"/>
          </w:tcPr>
          <w:p w14:paraId="4929A1E1" w14:textId="77777777" w:rsidR="00DA7ED9" w:rsidRPr="00100F0A" w:rsidRDefault="00DA7ED9" w:rsidP="00DA7ED9">
            <w:pPr>
              <w:cnfStyle w:val="000000000000" w:firstRow="0" w:lastRow="0" w:firstColumn="0" w:lastColumn="0" w:oddVBand="0" w:evenVBand="0" w:oddHBand="0" w:evenHBand="0" w:firstRowFirstColumn="0" w:firstRowLastColumn="0" w:lastRowFirstColumn="0" w:lastRowLastColumn="0"/>
            </w:pPr>
          </w:p>
        </w:tc>
        <w:tc>
          <w:tcPr>
            <w:tcW w:w="3008" w:type="dxa"/>
            <w:vMerge/>
            <w:vAlign w:val="center"/>
          </w:tcPr>
          <w:p w14:paraId="5D34182B" w14:textId="77777777" w:rsidR="00DA7ED9" w:rsidRPr="00100F0A" w:rsidRDefault="00DA7ED9" w:rsidP="00DA7ED9">
            <w:pPr>
              <w:cnfStyle w:val="000000000000" w:firstRow="0" w:lastRow="0" w:firstColumn="0" w:lastColumn="0" w:oddVBand="0" w:evenVBand="0" w:oddHBand="0" w:evenHBand="0" w:firstRowFirstColumn="0" w:firstRowLastColumn="0" w:lastRowFirstColumn="0" w:lastRowLastColumn="0"/>
            </w:pPr>
          </w:p>
        </w:tc>
      </w:tr>
      <w:tr w:rsidR="00DA7ED9" w:rsidRPr="00100F0A" w14:paraId="10FB981F" w14:textId="77777777" w:rsidTr="00DA7ED9">
        <w:tc>
          <w:tcPr>
            <w:cnfStyle w:val="001000000000" w:firstRow="0" w:lastRow="0" w:firstColumn="1" w:lastColumn="0" w:oddVBand="0" w:evenVBand="0" w:oddHBand="0" w:evenHBand="0" w:firstRowFirstColumn="0" w:firstRowLastColumn="0" w:lastRowFirstColumn="0" w:lastRowLastColumn="0"/>
            <w:tcW w:w="3539" w:type="dxa"/>
          </w:tcPr>
          <w:p w14:paraId="5A183515" w14:textId="77777777" w:rsidR="00DA7ED9" w:rsidRPr="00100F0A" w:rsidRDefault="00DA7ED9" w:rsidP="00DA7ED9">
            <w:r w:rsidRPr="00100F0A">
              <w:t>Current stores of hazardous waste that may require management</w:t>
            </w:r>
          </w:p>
        </w:tc>
        <w:tc>
          <w:tcPr>
            <w:tcW w:w="2476" w:type="dxa"/>
            <w:vAlign w:val="center"/>
          </w:tcPr>
          <w:p w14:paraId="6DB93E71" w14:textId="7C2E6B53" w:rsidR="00DA7ED9" w:rsidRPr="00100F0A" w:rsidRDefault="00DA7ED9" w:rsidP="00DA7ED9">
            <w:pPr>
              <w:cnfStyle w:val="000000000000" w:firstRow="0" w:lastRow="0" w:firstColumn="0" w:lastColumn="0" w:oddVBand="0" w:evenVBand="0" w:oddHBand="0" w:evenHBand="0" w:firstRowFirstColumn="0" w:firstRowLastColumn="0" w:lastRowFirstColumn="0" w:lastRowLastColumn="0"/>
            </w:pPr>
            <w:r w:rsidRPr="00100F0A">
              <w:t xml:space="preserve">Other </w:t>
            </w:r>
            <w:r w:rsidR="00E063EA">
              <w:t>d</w:t>
            </w:r>
            <w:r w:rsidRPr="00100F0A">
              <w:t>epartmental studies</w:t>
            </w:r>
          </w:p>
        </w:tc>
        <w:tc>
          <w:tcPr>
            <w:tcW w:w="3008" w:type="dxa"/>
            <w:vMerge/>
            <w:vAlign w:val="center"/>
          </w:tcPr>
          <w:p w14:paraId="769D70C1" w14:textId="77777777" w:rsidR="00DA7ED9" w:rsidRPr="00100F0A" w:rsidRDefault="00DA7ED9" w:rsidP="00DA7ED9">
            <w:pPr>
              <w:cnfStyle w:val="000000000000" w:firstRow="0" w:lastRow="0" w:firstColumn="0" w:lastColumn="0" w:oddVBand="0" w:evenVBand="0" w:oddHBand="0" w:evenHBand="0" w:firstRowFirstColumn="0" w:firstRowLastColumn="0" w:lastRowFirstColumn="0" w:lastRowLastColumn="0"/>
            </w:pPr>
          </w:p>
        </w:tc>
      </w:tr>
    </w:tbl>
    <w:p w14:paraId="03D4CB78" w14:textId="77777777" w:rsidR="00DA7ED9" w:rsidRPr="00100F0A" w:rsidRDefault="00DA7ED9" w:rsidP="00DA7ED9">
      <w:pPr>
        <w:pStyle w:val="Heading3"/>
      </w:pPr>
      <w:bookmarkStart w:id="86" w:name="_Ref519597026"/>
      <w:r w:rsidRPr="00100F0A">
        <w:t>State and territory data</w:t>
      </w:r>
      <w:bookmarkEnd w:id="86"/>
    </w:p>
    <w:p w14:paraId="158E6FB9" w14:textId="204D2947" w:rsidR="00DA7ED9" w:rsidRPr="00100F0A" w:rsidRDefault="00DA7ED9" w:rsidP="00DA7ED9">
      <w:pPr>
        <w:pStyle w:val="BodyText"/>
      </w:pPr>
      <w:r w:rsidRPr="00100F0A">
        <w:t xml:space="preserve">Data from jurisdictional tracking systems was foundational in establishing </w:t>
      </w:r>
      <w:r w:rsidR="00971D78" w:rsidRPr="00100F0A">
        <w:t>starting points</w:t>
      </w:r>
      <w:r w:rsidRPr="00100F0A">
        <w:t xml:space="preserve"> for each waste group and in providing an understanding of trends. Waste tracking systems in NSW,</w:t>
      </w:r>
      <w:r w:rsidR="0094399D">
        <w:t xml:space="preserve"> Qld,</w:t>
      </w:r>
      <w:r w:rsidRPr="00100F0A">
        <w:t xml:space="preserve"> SA, Vic and WA require companies generating, transporting and treating or disposing </w:t>
      </w:r>
      <w:r w:rsidR="0075636D">
        <w:t xml:space="preserve">of </w:t>
      </w:r>
      <w:r w:rsidRPr="00100F0A">
        <w:t xml:space="preserve">hazardous waste to provide a record to </w:t>
      </w:r>
      <w:r w:rsidR="0094399D">
        <w:t>EPAs</w:t>
      </w:r>
      <w:r w:rsidRPr="00100F0A">
        <w:t xml:space="preserve"> of each transaction to which they are a party. These systems were established to ensure that hazardous waste is appropriately managed. </w:t>
      </w:r>
    </w:p>
    <w:p w14:paraId="1460B75E" w14:textId="77777777" w:rsidR="00DA7ED9" w:rsidRPr="00100F0A" w:rsidRDefault="00DA7ED9" w:rsidP="00DA7ED9">
      <w:pPr>
        <w:pStyle w:val="BodyText"/>
      </w:pPr>
    </w:p>
    <w:p w14:paraId="5D675C9A" w14:textId="51283DDD" w:rsidR="00DA7ED9" w:rsidRPr="00100F0A" w:rsidRDefault="00DA7ED9" w:rsidP="00DA7ED9">
      <w:pPr>
        <w:pStyle w:val="BodyText"/>
      </w:pPr>
      <w:r w:rsidRPr="00100F0A">
        <w:t xml:space="preserve">‘Data dumps’ from these systems encompassing several million transactions over several years was collected, collated and analysed. Qld data was available until 2015-16 only – this was extrapolated to 2016-17 assuming increases proportional to population growth. Various other adjustments were made where the data was known to be incomplete – these will be documented in the forthcoming report </w:t>
      </w:r>
      <w:r w:rsidRPr="00100F0A">
        <w:rPr>
          <w:i/>
        </w:rPr>
        <w:t>Hazardous Waste in Australia 2019.</w:t>
      </w:r>
      <w:r w:rsidRPr="00100F0A">
        <w:t xml:space="preserve"> In general, tracking system data suffers from various data quality flaws. </w:t>
      </w:r>
      <w:r w:rsidR="00971D78" w:rsidRPr="00100F0A">
        <w:t>D</w:t>
      </w:r>
      <w:r w:rsidRPr="00100F0A">
        <w:t>ata</w:t>
      </w:r>
      <w:r w:rsidR="00971D78" w:rsidRPr="00100F0A">
        <w:t xml:space="preserve"> on source sectors</w:t>
      </w:r>
      <w:r w:rsidRPr="00100F0A">
        <w:t xml:space="preserve">, in particular, </w:t>
      </w:r>
      <w:r w:rsidR="00971D78" w:rsidRPr="00100F0A">
        <w:t xml:space="preserve">is </w:t>
      </w:r>
      <w:r w:rsidRPr="00100F0A">
        <w:t>poorly recorded in jurisdiction</w:t>
      </w:r>
      <w:r w:rsidR="00971D78" w:rsidRPr="00100F0A">
        <w:t>al data sets</w:t>
      </w:r>
      <w:r w:rsidRPr="00100F0A">
        <w:t>.</w:t>
      </w:r>
    </w:p>
    <w:p w14:paraId="61585669" w14:textId="77777777" w:rsidR="00DA7ED9" w:rsidRPr="00100F0A" w:rsidRDefault="00DA7ED9" w:rsidP="00DA7ED9">
      <w:pPr>
        <w:pStyle w:val="BodyText"/>
      </w:pPr>
    </w:p>
    <w:p w14:paraId="14F7EB84" w14:textId="3A396434" w:rsidR="00DA7ED9" w:rsidRPr="00100F0A" w:rsidRDefault="00DA7ED9" w:rsidP="00DA7ED9">
      <w:pPr>
        <w:pStyle w:val="BodyText"/>
      </w:pPr>
      <w:r w:rsidRPr="00100F0A">
        <w:t xml:space="preserve">The tracking system was supplemented by collated data from the other states and territories, primarily from of interstate transport (i.e. NEPM reports, see Section </w:t>
      </w:r>
      <w:r w:rsidRPr="00100F0A">
        <w:fldChar w:fldCharType="begin"/>
      </w:r>
      <w:r w:rsidRPr="00100F0A">
        <w:instrText xml:space="preserve"> REF _Ref408404160 \r \h  \* MERGEFORMAT </w:instrText>
      </w:r>
      <w:r w:rsidRPr="00100F0A">
        <w:fldChar w:fldCharType="separate"/>
      </w:r>
      <w:r w:rsidR="00EB634D">
        <w:t>1.2</w:t>
      </w:r>
      <w:r w:rsidRPr="00100F0A">
        <w:fldChar w:fldCharType="end"/>
      </w:r>
      <w:r w:rsidRPr="00100F0A">
        <w:t xml:space="preserve">). Additional data from landfill reports was provided in some cases where a hazardous waste is not tracked, as shown in the table. </w:t>
      </w:r>
    </w:p>
    <w:p w14:paraId="0612D39D" w14:textId="6934037D" w:rsidR="00DA7ED9" w:rsidRPr="00100F0A" w:rsidRDefault="00DA7ED9" w:rsidP="00DA7ED9">
      <w:pPr>
        <w:pStyle w:val="Caption"/>
        <w:keepNext/>
      </w:pPr>
      <w:bookmarkStart w:id="87" w:name="_Ref519612611"/>
      <w:bookmarkStart w:id="88" w:name="_Toc13225622"/>
      <w:r w:rsidRPr="00100F0A">
        <w:t xml:space="preserve">Table </w:t>
      </w:r>
      <w:r w:rsidRPr="00100F0A">
        <w:rPr>
          <w:noProof/>
        </w:rPr>
        <w:fldChar w:fldCharType="begin"/>
      </w:r>
      <w:r w:rsidRPr="00100F0A">
        <w:rPr>
          <w:noProof/>
        </w:rPr>
        <w:instrText xml:space="preserve"> SEQ Table \* ARABIC </w:instrText>
      </w:r>
      <w:r w:rsidRPr="00100F0A">
        <w:rPr>
          <w:noProof/>
        </w:rPr>
        <w:fldChar w:fldCharType="separate"/>
      </w:r>
      <w:r w:rsidR="00EB634D">
        <w:rPr>
          <w:noProof/>
        </w:rPr>
        <w:t>3</w:t>
      </w:r>
      <w:r w:rsidRPr="00100F0A">
        <w:rPr>
          <w:noProof/>
        </w:rPr>
        <w:fldChar w:fldCharType="end"/>
      </w:r>
      <w:bookmarkEnd w:id="87"/>
      <w:r w:rsidR="00C14F18">
        <w:rPr>
          <w:noProof/>
        </w:rPr>
        <w:t>:</w:t>
      </w:r>
      <w:r w:rsidRPr="00100F0A">
        <w:tab/>
        <w:t>Metadata for the state and territory hazardous waste data received</w:t>
      </w:r>
      <w:bookmarkEnd w:id="88"/>
    </w:p>
    <w:tbl>
      <w:tblPr>
        <w:tblStyle w:val="BE-table"/>
        <w:tblW w:w="9120" w:type="dxa"/>
        <w:tblLayout w:type="fixed"/>
        <w:tblLook w:val="04A0" w:firstRow="1" w:lastRow="0" w:firstColumn="1" w:lastColumn="0" w:noHBand="0" w:noVBand="1"/>
      </w:tblPr>
      <w:tblGrid>
        <w:gridCol w:w="1271"/>
        <w:gridCol w:w="1134"/>
        <w:gridCol w:w="680"/>
        <w:gridCol w:w="680"/>
        <w:gridCol w:w="681"/>
        <w:gridCol w:w="680"/>
        <w:gridCol w:w="681"/>
        <w:gridCol w:w="3313"/>
      </w:tblGrid>
      <w:tr w:rsidR="0011252D" w:rsidRPr="00100F0A" w14:paraId="2225B8C1" w14:textId="77777777" w:rsidTr="00F56453">
        <w:trPr>
          <w:cnfStyle w:val="100000000000" w:firstRow="1" w:lastRow="0" w:firstColumn="0" w:lastColumn="0" w:oddVBand="0" w:evenVBand="0" w:oddHBand="0" w:evenHBand="0" w:firstRowFirstColumn="0" w:firstRowLastColumn="0" w:lastRowFirstColumn="0" w:lastRowLastColumn="0"/>
          <w:trHeight w:val="1813"/>
        </w:trPr>
        <w:tc>
          <w:tcPr>
            <w:cnfStyle w:val="001000000000" w:firstRow="0" w:lastRow="0" w:firstColumn="1" w:lastColumn="0" w:oddVBand="0" w:evenVBand="0" w:oddHBand="0" w:evenHBand="0" w:firstRowFirstColumn="0" w:firstRowLastColumn="0" w:lastRowFirstColumn="0" w:lastRowLastColumn="0"/>
            <w:tcW w:w="1271" w:type="dxa"/>
            <w:vAlign w:val="bottom"/>
          </w:tcPr>
          <w:p w14:paraId="1B4CEB67" w14:textId="77777777" w:rsidR="0011252D" w:rsidRPr="00100F0A" w:rsidRDefault="0011252D" w:rsidP="00DA7ED9">
            <w:pPr>
              <w:pStyle w:val="BodyText"/>
              <w:spacing w:before="144" w:after="144"/>
            </w:pPr>
            <w:r w:rsidRPr="00100F0A">
              <w:t>Jurisdiction</w:t>
            </w:r>
          </w:p>
        </w:tc>
        <w:tc>
          <w:tcPr>
            <w:tcW w:w="1134" w:type="dxa"/>
            <w:vAlign w:val="bottom"/>
          </w:tcPr>
          <w:p w14:paraId="70EF9F30" w14:textId="77777777" w:rsidR="0011252D" w:rsidRPr="00100F0A" w:rsidRDefault="0011252D" w:rsidP="00DA7ED9">
            <w:pPr>
              <w:pStyle w:val="BodyText"/>
              <w:spacing w:before="144" w:after="144"/>
              <w:cnfStyle w:val="100000000000" w:firstRow="1" w:lastRow="0" w:firstColumn="0" w:lastColumn="0" w:oddVBand="0" w:evenVBand="0" w:oddHBand="0" w:evenHBand="0" w:firstRowFirstColumn="0" w:firstRowLastColumn="0" w:lastRowFirstColumn="0" w:lastRowLastColumn="0"/>
            </w:pPr>
            <w:r w:rsidRPr="00100F0A">
              <w:t>Date range</w:t>
            </w:r>
          </w:p>
        </w:tc>
        <w:tc>
          <w:tcPr>
            <w:tcW w:w="680" w:type="dxa"/>
            <w:tcMar>
              <w:top w:w="57" w:type="dxa"/>
              <w:left w:w="0" w:type="dxa"/>
              <w:bottom w:w="57" w:type="dxa"/>
              <w:right w:w="0" w:type="dxa"/>
            </w:tcMar>
            <w:textDirection w:val="btLr"/>
            <w:vAlign w:val="center"/>
          </w:tcPr>
          <w:p w14:paraId="252E5600" w14:textId="77777777" w:rsidR="0011252D" w:rsidRPr="00100F0A" w:rsidRDefault="0011252D" w:rsidP="00DA7ED9">
            <w:pPr>
              <w:pStyle w:val="BodyText"/>
              <w:spacing w:before="144" w:after="144"/>
              <w:cnfStyle w:val="100000000000" w:firstRow="1" w:lastRow="0" w:firstColumn="0" w:lastColumn="0" w:oddVBand="0" w:evenVBand="0" w:oddHBand="0" w:evenHBand="0" w:firstRowFirstColumn="0" w:firstRowLastColumn="0" w:lastRowFirstColumn="0" w:lastRowLastColumn="0"/>
            </w:pPr>
            <w:r w:rsidRPr="00100F0A">
              <w:t>Waste type</w:t>
            </w:r>
          </w:p>
        </w:tc>
        <w:tc>
          <w:tcPr>
            <w:tcW w:w="680" w:type="dxa"/>
            <w:tcMar>
              <w:top w:w="57" w:type="dxa"/>
              <w:left w:w="0" w:type="dxa"/>
              <w:bottom w:w="57" w:type="dxa"/>
              <w:right w:w="0" w:type="dxa"/>
            </w:tcMar>
            <w:textDirection w:val="btLr"/>
            <w:vAlign w:val="center"/>
          </w:tcPr>
          <w:p w14:paraId="7DA60C39" w14:textId="77777777" w:rsidR="0011252D" w:rsidRPr="00100F0A" w:rsidRDefault="0011252D" w:rsidP="00DA7ED9">
            <w:pPr>
              <w:pStyle w:val="BodyText"/>
              <w:spacing w:before="144" w:after="144"/>
              <w:cnfStyle w:val="100000000000" w:firstRow="1" w:lastRow="0" w:firstColumn="0" w:lastColumn="0" w:oddVBand="0" w:evenVBand="0" w:oddHBand="0" w:evenHBand="0" w:firstRowFirstColumn="0" w:firstRowLastColumn="0" w:lastRowFirstColumn="0" w:lastRowLastColumn="0"/>
            </w:pPr>
            <w:r w:rsidRPr="00100F0A">
              <w:t>Quantity</w:t>
            </w:r>
          </w:p>
        </w:tc>
        <w:tc>
          <w:tcPr>
            <w:tcW w:w="681" w:type="dxa"/>
            <w:tcMar>
              <w:top w:w="57" w:type="dxa"/>
              <w:left w:w="0" w:type="dxa"/>
              <w:bottom w:w="57" w:type="dxa"/>
              <w:right w:w="0" w:type="dxa"/>
            </w:tcMar>
            <w:textDirection w:val="btLr"/>
            <w:vAlign w:val="center"/>
          </w:tcPr>
          <w:p w14:paraId="662FD8D2" w14:textId="77777777" w:rsidR="0011252D" w:rsidRPr="00100F0A" w:rsidRDefault="0011252D" w:rsidP="00DA7ED9">
            <w:pPr>
              <w:pStyle w:val="BodyText"/>
              <w:spacing w:before="144" w:after="144"/>
              <w:cnfStyle w:val="100000000000" w:firstRow="1" w:lastRow="0" w:firstColumn="0" w:lastColumn="0" w:oddVBand="0" w:evenVBand="0" w:oddHBand="0" w:evenHBand="0" w:firstRowFirstColumn="0" w:firstRowLastColumn="0" w:lastRowFirstColumn="0" w:lastRowLastColumn="0"/>
            </w:pPr>
            <w:r w:rsidRPr="00100F0A">
              <w:t>Source industry</w:t>
            </w:r>
          </w:p>
        </w:tc>
        <w:tc>
          <w:tcPr>
            <w:tcW w:w="680" w:type="dxa"/>
            <w:tcMar>
              <w:top w:w="57" w:type="dxa"/>
              <w:left w:w="0" w:type="dxa"/>
              <w:bottom w:w="57" w:type="dxa"/>
              <w:right w:w="0" w:type="dxa"/>
            </w:tcMar>
            <w:textDirection w:val="btLr"/>
            <w:vAlign w:val="center"/>
          </w:tcPr>
          <w:p w14:paraId="549DE2B4" w14:textId="77777777" w:rsidR="0011252D" w:rsidRPr="00100F0A" w:rsidRDefault="0011252D" w:rsidP="00DA7ED9">
            <w:pPr>
              <w:pStyle w:val="BodyText"/>
              <w:spacing w:before="144" w:after="144"/>
              <w:cnfStyle w:val="100000000000" w:firstRow="1" w:lastRow="0" w:firstColumn="0" w:lastColumn="0" w:oddVBand="0" w:evenVBand="0" w:oddHBand="0" w:evenHBand="0" w:firstRowFirstColumn="0" w:firstRowLastColumn="0" w:lastRowFirstColumn="0" w:lastRowLastColumn="0"/>
            </w:pPr>
            <w:r w:rsidRPr="00100F0A">
              <w:t>Fate</w:t>
            </w:r>
          </w:p>
        </w:tc>
        <w:tc>
          <w:tcPr>
            <w:tcW w:w="681" w:type="dxa"/>
            <w:tcMar>
              <w:top w:w="57" w:type="dxa"/>
              <w:left w:w="0" w:type="dxa"/>
              <w:bottom w:w="57" w:type="dxa"/>
              <w:right w:w="0" w:type="dxa"/>
            </w:tcMar>
            <w:textDirection w:val="btLr"/>
            <w:vAlign w:val="center"/>
          </w:tcPr>
          <w:p w14:paraId="480EFB3E" w14:textId="77777777" w:rsidR="0011252D" w:rsidRPr="00100F0A" w:rsidRDefault="0011252D" w:rsidP="00DA7ED9">
            <w:pPr>
              <w:pStyle w:val="BodyText"/>
              <w:spacing w:before="144" w:after="144"/>
              <w:cnfStyle w:val="100000000000" w:firstRow="1" w:lastRow="0" w:firstColumn="0" w:lastColumn="0" w:oddVBand="0" w:evenVBand="0" w:oddHBand="0" w:evenHBand="0" w:firstRowFirstColumn="0" w:firstRowLastColumn="0" w:lastRowFirstColumn="0" w:lastRowLastColumn="0"/>
            </w:pPr>
            <w:r w:rsidRPr="00100F0A">
              <w:t>Jurisdiction of generation apparent?</w:t>
            </w:r>
          </w:p>
        </w:tc>
        <w:tc>
          <w:tcPr>
            <w:tcW w:w="3313" w:type="dxa"/>
            <w:vAlign w:val="bottom"/>
          </w:tcPr>
          <w:p w14:paraId="01C949ED" w14:textId="77777777" w:rsidR="0011252D" w:rsidRPr="00100F0A" w:rsidRDefault="0011252D" w:rsidP="00DA7ED9">
            <w:pPr>
              <w:pStyle w:val="BodyText"/>
              <w:spacing w:before="144" w:after="144"/>
              <w:cnfStyle w:val="100000000000" w:firstRow="1" w:lastRow="0" w:firstColumn="0" w:lastColumn="0" w:oddVBand="0" w:evenVBand="0" w:oddHBand="0" w:evenHBand="0" w:firstRowFirstColumn="0" w:firstRowLastColumn="0" w:lastRowFirstColumn="0" w:lastRowLastColumn="0"/>
            </w:pPr>
            <w:r w:rsidRPr="00100F0A">
              <w:t>Comments</w:t>
            </w:r>
          </w:p>
        </w:tc>
      </w:tr>
      <w:tr w:rsidR="0011252D" w:rsidRPr="00100F0A" w14:paraId="2494E49F" w14:textId="77777777" w:rsidTr="00F56453">
        <w:tc>
          <w:tcPr>
            <w:cnfStyle w:val="001000000000" w:firstRow="0" w:lastRow="0" w:firstColumn="1" w:lastColumn="0" w:oddVBand="0" w:evenVBand="0" w:oddHBand="0" w:evenHBand="0" w:firstRowFirstColumn="0" w:firstRowLastColumn="0" w:lastRowFirstColumn="0" w:lastRowLastColumn="0"/>
            <w:tcW w:w="1271" w:type="dxa"/>
          </w:tcPr>
          <w:p w14:paraId="1C2D8BAD" w14:textId="77777777" w:rsidR="0011252D" w:rsidRPr="00100F0A" w:rsidRDefault="0011252D" w:rsidP="0011252D">
            <w:pPr>
              <w:pStyle w:val="BodyText"/>
            </w:pPr>
            <w:r w:rsidRPr="00100F0A">
              <w:t>ACT</w:t>
            </w:r>
          </w:p>
        </w:tc>
        <w:tc>
          <w:tcPr>
            <w:tcW w:w="1134" w:type="dxa"/>
            <w:vAlign w:val="center"/>
          </w:tcPr>
          <w:p w14:paraId="1A5421E0" w14:textId="77777777" w:rsidR="0011252D" w:rsidRPr="00100F0A" w:rsidRDefault="0011252D" w:rsidP="0011252D">
            <w:pPr>
              <w:pStyle w:val="BodyText"/>
              <w:cnfStyle w:val="000000000000" w:firstRow="0" w:lastRow="0" w:firstColumn="0" w:lastColumn="0" w:oddVBand="0" w:evenVBand="0" w:oddHBand="0" w:evenHBand="0" w:firstRowFirstColumn="0" w:firstRowLastColumn="0" w:lastRowFirstColumn="0" w:lastRowLastColumn="0"/>
            </w:pPr>
            <w:r w:rsidRPr="00100F0A">
              <w:t>2017</w:t>
            </w:r>
          </w:p>
        </w:tc>
        <w:tc>
          <w:tcPr>
            <w:tcW w:w="680" w:type="dxa"/>
            <w:vAlign w:val="center"/>
          </w:tcPr>
          <w:p w14:paraId="40487C53" w14:textId="77777777" w:rsidR="0011252D" w:rsidRPr="00100F0A" w:rsidRDefault="0011252D" w:rsidP="0011252D">
            <w:pPr>
              <w:pStyle w:val="BodyText"/>
              <w:jc w:val="center"/>
              <w:cnfStyle w:val="000000000000" w:firstRow="0" w:lastRow="0" w:firstColumn="0" w:lastColumn="0" w:oddVBand="0" w:evenVBand="0" w:oddHBand="0" w:evenHBand="0" w:firstRowFirstColumn="0" w:firstRowLastColumn="0" w:lastRowFirstColumn="0" w:lastRowLastColumn="0"/>
            </w:pPr>
            <w:r w:rsidRPr="00100F0A">
              <w:rPr>
                <w:rFonts w:ascii="Arial Unicode MS" w:eastAsia="Arial Unicode MS" w:hAnsi="Arial Unicode MS" w:cs="Arial Unicode MS"/>
              </w:rPr>
              <w:t>✓</w:t>
            </w:r>
          </w:p>
        </w:tc>
        <w:tc>
          <w:tcPr>
            <w:tcW w:w="680" w:type="dxa"/>
            <w:vAlign w:val="center"/>
          </w:tcPr>
          <w:p w14:paraId="37D6571E" w14:textId="77777777" w:rsidR="0011252D" w:rsidRPr="00100F0A" w:rsidRDefault="0011252D" w:rsidP="0011252D">
            <w:pPr>
              <w:pStyle w:val="BodyText"/>
              <w:jc w:val="center"/>
              <w:cnfStyle w:val="000000000000" w:firstRow="0" w:lastRow="0" w:firstColumn="0" w:lastColumn="0" w:oddVBand="0" w:evenVBand="0" w:oddHBand="0" w:evenHBand="0" w:firstRowFirstColumn="0" w:firstRowLastColumn="0" w:lastRowFirstColumn="0" w:lastRowLastColumn="0"/>
            </w:pPr>
            <w:r w:rsidRPr="00100F0A">
              <w:rPr>
                <w:rFonts w:ascii="Arial Unicode MS" w:eastAsia="Arial Unicode MS" w:hAnsi="Arial Unicode MS" w:cs="Arial Unicode MS"/>
              </w:rPr>
              <w:t>✓</w:t>
            </w:r>
          </w:p>
        </w:tc>
        <w:tc>
          <w:tcPr>
            <w:tcW w:w="681" w:type="dxa"/>
            <w:vAlign w:val="center"/>
          </w:tcPr>
          <w:p w14:paraId="34D8E102" w14:textId="77777777" w:rsidR="0011252D" w:rsidRPr="00100F0A" w:rsidRDefault="0011252D" w:rsidP="0011252D">
            <w:pPr>
              <w:pStyle w:val="BodyText"/>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7F3CCBA9" w14:textId="77777777" w:rsidR="0011252D" w:rsidRPr="00100F0A" w:rsidRDefault="0011252D" w:rsidP="0011252D">
            <w:pPr>
              <w:pStyle w:val="BodyText"/>
              <w:jc w:val="center"/>
              <w:cnfStyle w:val="000000000000" w:firstRow="0" w:lastRow="0" w:firstColumn="0" w:lastColumn="0" w:oddVBand="0" w:evenVBand="0" w:oddHBand="0" w:evenHBand="0" w:firstRowFirstColumn="0" w:firstRowLastColumn="0" w:lastRowFirstColumn="0" w:lastRowLastColumn="0"/>
            </w:pPr>
          </w:p>
        </w:tc>
        <w:tc>
          <w:tcPr>
            <w:tcW w:w="681" w:type="dxa"/>
            <w:vAlign w:val="center"/>
          </w:tcPr>
          <w:p w14:paraId="5A5E0C9A" w14:textId="77777777" w:rsidR="0011252D" w:rsidRPr="00100F0A" w:rsidRDefault="0011252D" w:rsidP="0011252D">
            <w:pPr>
              <w:pStyle w:val="BodyText"/>
              <w:jc w:val="center"/>
              <w:cnfStyle w:val="000000000000" w:firstRow="0" w:lastRow="0" w:firstColumn="0" w:lastColumn="0" w:oddVBand="0" w:evenVBand="0" w:oddHBand="0" w:evenHBand="0" w:firstRowFirstColumn="0" w:firstRowLastColumn="0" w:lastRowFirstColumn="0" w:lastRowLastColumn="0"/>
            </w:pPr>
            <w:r w:rsidRPr="00100F0A">
              <w:rPr>
                <w:rFonts w:ascii="Arial Unicode MS" w:eastAsia="Arial Unicode MS" w:hAnsi="Arial Unicode MS" w:cs="Arial Unicode MS"/>
              </w:rPr>
              <w:t>✓</w:t>
            </w:r>
          </w:p>
        </w:tc>
        <w:tc>
          <w:tcPr>
            <w:tcW w:w="3313" w:type="dxa"/>
            <w:vAlign w:val="center"/>
          </w:tcPr>
          <w:p w14:paraId="651653AC" w14:textId="77777777" w:rsidR="0011252D" w:rsidRPr="00100F0A" w:rsidRDefault="0011252D" w:rsidP="0011252D">
            <w:pPr>
              <w:pStyle w:val="BodyText"/>
              <w:cnfStyle w:val="000000000000" w:firstRow="0" w:lastRow="0" w:firstColumn="0" w:lastColumn="0" w:oddVBand="0" w:evenVBand="0" w:oddHBand="0" w:evenHBand="0" w:firstRowFirstColumn="0" w:firstRowLastColumn="0" w:lastRowFirstColumn="0" w:lastRowLastColumn="0"/>
            </w:pPr>
            <w:r w:rsidRPr="00100F0A">
              <w:t>Data collated by waste type. Asbestos data from landfill reports.</w:t>
            </w:r>
          </w:p>
        </w:tc>
      </w:tr>
      <w:tr w:rsidR="0011252D" w:rsidRPr="00100F0A" w14:paraId="355E4C18" w14:textId="77777777" w:rsidTr="00F56453">
        <w:tc>
          <w:tcPr>
            <w:cnfStyle w:val="001000000000" w:firstRow="0" w:lastRow="0" w:firstColumn="1" w:lastColumn="0" w:oddVBand="0" w:evenVBand="0" w:oddHBand="0" w:evenHBand="0" w:firstRowFirstColumn="0" w:firstRowLastColumn="0" w:lastRowFirstColumn="0" w:lastRowLastColumn="0"/>
            <w:tcW w:w="1271" w:type="dxa"/>
          </w:tcPr>
          <w:p w14:paraId="7F137A41" w14:textId="77777777" w:rsidR="0011252D" w:rsidRPr="00100F0A" w:rsidRDefault="0011252D" w:rsidP="00DA7ED9">
            <w:pPr>
              <w:pStyle w:val="BodyText"/>
            </w:pPr>
            <w:r w:rsidRPr="00100F0A">
              <w:t>NSW</w:t>
            </w:r>
          </w:p>
        </w:tc>
        <w:tc>
          <w:tcPr>
            <w:tcW w:w="1134" w:type="dxa"/>
            <w:vAlign w:val="center"/>
          </w:tcPr>
          <w:p w14:paraId="29460F4B" w14:textId="77777777" w:rsidR="0011252D" w:rsidRPr="00100F0A" w:rsidRDefault="0011252D" w:rsidP="00DA7ED9">
            <w:pPr>
              <w:pStyle w:val="BodyText"/>
              <w:cnfStyle w:val="000000000000" w:firstRow="0" w:lastRow="0" w:firstColumn="0" w:lastColumn="0" w:oddVBand="0" w:evenVBand="0" w:oddHBand="0" w:evenHBand="0" w:firstRowFirstColumn="0" w:firstRowLastColumn="0" w:lastRowFirstColumn="0" w:lastRowLastColumn="0"/>
            </w:pPr>
            <w:r w:rsidRPr="00100F0A">
              <w:t>2010-2017</w:t>
            </w:r>
          </w:p>
        </w:tc>
        <w:tc>
          <w:tcPr>
            <w:tcW w:w="680" w:type="dxa"/>
            <w:vAlign w:val="center"/>
          </w:tcPr>
          <w:p w14:paraId="55865FBC" w14:textId="77777777" w:rsidR="0011252D" w:rsidRPr="00100F0A" w:rsidRDefault="0011252D" w:rsidP="00DA7ED9">
            <w:pPr>
              <w:pStyle w:val="BodyText"/>
              <w:jc w:val="center"/>
              <w:cnfStyle w:val="000000000000" w:firstRow="0" w:lastRow="0" w:firstColumn="0" w:lastColumn="0" w:oddVBand="0" w:evenVBand="0" w:oddHBand="0" w:evenHBand="0" w:firstRowFirstColumn="0" w:firstRowLastColumn="0" w:lastRowFirstColumn="0" w:lastRowLastColumn="0"/>
            </w:pPr>
            <w:r w:rsidRPr="00100F0A">
              <w:rPr>
                <w:rFonts w:ascii="Arial Unicode MS" w:eastAsia="Arial Unicode MS" w:hAnsi="Arial Unicode MS" w:cs="Arial Unicode MS"/>
              </w:rPr>
              <w:t>✓</w:t>
            </w:r>
          </w:p>
        </w:tc>
        <w:tc>
          <w:tcPr>
            <w:tcW w:w="680" w:type="dxa"/>
            <w:vAlign w:val="center"/>
          </w:tcPr>
          <w:p w14:paraId="1F13A16A" w14:textId="77777777" w:rsidR="0011252D" w:rsidRPr="00100F0A" w:rsidRDefault="0011252D" w:rsidP="00DA7ED9">
            <w:pPr>
              <w:pStyle w:val="BodyText"/>
              <w:jc w:val="center"/>
              <w:cnfStyle w:val="000000000000" w:firstRow="0" w:lastRow="0" w:firstColumn="0" w:lastColumn="0" w:oddVBand="0" w:evenVBand="0" w:oddHBand="0" w:evenHBand="0" w:firstRowFirstColumn="0" w:firstRowLastColumn="0" w:lastRowFirstColumn="0" w:lastRowLastColumn="0"/>
            </w:pPr>
            <w:r w:rsidRPr="00100F0A">
              <w:rPr>
                <w:rFonts w:ascii="Arial Unicode MS" w:eastAsia="Arial Unicode MS" w:hAnsi="Arial Unicode MS" w:cs="Arial Unicode MS"/>
              </w:rPr>
              <w:t>✓</w:t>
            </w:r>
          </w:p>
        </w:tc>
        <w:tc>
          <w:tcPr>
            <w:tcW w:w="681" w:type="dxa"/>
            <w:vAlign w:val="center"/>
          </w:tcPr>
          <w:p w14:paraId="4F242B7C" w14:textId="77777777" w:rsidR="0011252D" w:rsidRPr="00100F0A" w:rsidRDefault="0011252D" w:rsidP="00DA7ED9">
            <w:pPr>
              <w:pStyle w:val="BodyText"/>
              <w:jc w:val="center"/>
              <w:cnfStyle w:val="000000000000" w:firstRow="0" w:lastRow="0" w:firstColumn="0" w:lastColumn="0" w:oddVBand="0" w:evenVBand="0" w:oddHBand="0" w:evenHBand="0" w:firstRowFirstColumn="0" w:firstRowLastColumn="0" w:lastRowFirstColumn="0" w:lastRowLastColumn="0"/>
            </w:pPr>
            <w:r w:rsidRPr="00100F0A">
              <w:rPr>
                <w:rFonts w:ascii="Arial Unicode MS" w:eastAsia="Arial Unicode MS" w:hAnsi="Arial Unicode MS" w:cs="Arial Unicode MS"/>
              </w:rPr>
              <w:t>✓</w:t>
            </w:r>
          </w:p>
        </w:tc>
        <w:tc>
          <w:tcPr>
            <w:tcW w:w="680" w:type="dxa"/>
            <w:vAlign w:val="center"/>
          </w:tcPr>
          <w:p w14:paraId="39A514EE" w14:textId="77777777" w:rsidR="0011252D" w:rsidRPr="00100F0A" w:rsidRDefault="0011252D" w:rsidP="00DA7ED9">
            <w:pPr>
              <w:pStyle w:val="BodyText"/>
              <w:jc w:val="center"/>
              <w:cnfStyle w:val="000000000000" w:firstRow="0" w:lastRow="0" w:firstColumn="0" w:lastColumn="0" w:oddVBand="0" w:evenVBand="0" w:oddHBand="0" w:evenHBand="0" w:firstRowFirstColumn="0" w:firstRowLastColumn="0" w:lastRowFirstColumn="0" w:lastRowLastColumn="0"/>
            </w:pPr>
            <w:r w:rsidRPr="00100F0A">
              <w:rPr>
                <w:rFonts w:ascii="Arial Unicode MS" w:eastAsia="Arial Unicode MS" w:hAnsi="Arial Unicode MS" w:cs="Arial Unicode MS"/>
              </w:rPr>
              <w:t>✓</w:t>
            </w:r>
          </w:p>
        </w:tc>
        <w:tc>
          <w:tcPr>
            <w:tcW w:w="681" w:type="dxa"/>
            <w:vAlign w:val="center"/>
          </w:tcPr>
          <w:p w14:paraId="0D20C2FC" w14:textId="77777777" w:rsidR="0011252D" w:rsidRPr="00100F0A" w:rsidRDefault="0011252D" w:rsidP="00DA7ED9">
            <w:pPr>
              <w:pStyle w:val="BodyText"/>
              <w:jc w:val="center"/>
              <w:cnfStyle w:val="000000000000" w:firstRow="0" w:lastRow="0" w:firstColumn="0" w:lastColumn="0" w:oddVBand="0" w:evenVBand="0" w:oddHBand="0" w:evenHBand="0" w:firstRowFirstColumn="0" w:firstRowLastColumn="0" w:lastRowFirstColumn="0" w:lastRowLastColumn="0"/>
            </w:pPr>
            <w:r w:rsidRPr="00100F0A">
              <w:rPr>
                <w:rFonts w:ascii="Arial Unicode MS" w:eastAsia="Arial Unicode MS" w:hAnsi="Arial Unicode MS" w:cs="Arial Unicode MS"/>
              </w:rPr>
              <w:t>✓</w:t>
            </w:r>
          </w:p>
        </w:tc>
        <w:tc>
          <w:tcPr>
            <w:tcW w:w="3313" w:type="dxa"/>
            <w:vAlign w:val="center"/>
          </w:tcPr>
          <w:p w14:paraId="3CE4ECD4" w14:textId="06CBA6B2" w:rsidR="0011252D" w:rsidRPr="00100F0A" w:rsidRDefault="0011252D" w:rsidP="00DA7ED9">
            <w:pPr>
              <w:pStyle w:val="BodyText"/>
              <w:cnfStyle w:val="000000000000" w:firstRow="0" w:lastRow="0" w:firstColumn="0" w:lastColumn="0" w:oddVBand="0" w:evenVBand="0" w:oddHBand="0" w:evenHBand="0" w:firstRowFirstColumn="0" w:firstRowLastColumn="0" w:lastRowFirstColumn="0" w:lastRowLastColumn="0"/>
            </w:pPr>
            <w:r w:rsidRPr="00100F0A">
              <w:rPr>
                <w:rFonts w:eastAsia="Arial Unicode MS" w:cs="Arial Unicode MS"/>
              </w:rPr>
              <w:t>Full data dump. Asbestos</w:t>
            </w:r>
            <w:r w:rsidR="009537C4">
              <w:rPr>
                <w:rFonts w:eastAsia="Arial Unicode MS" w:cs="Arial Unicode MS"/>
              </w:rPr>
              <w:t xml:space="preserve">, waste tyres </w:t>
            </w:r>
            <w:r w:rsidRPr="00100F0A">
              <w:rPr>
                <w:rFonts w:eastAsia="Arial Unicode MS" w:cs="Arial Unicode MS"/>
              </w:rPr>
              <w:t>&amp; contam</w:t>
            </w:r>
            <w:r w:rsidR="00100F0A" w:rsidRPr="00100F0A">
              <w:rPr>
                <w:rFonts w:eastAsia="Arial Unicode MS" w:cs="Arial Unicode MS"/>
              </w:rPr>
              <w:t>inated</w:t>
            </w:r>
            <w:r w:rsidRPr="00100F0A">
              <w:rPr>
                <w:rFonts w:eastAsia="Arial Unicode MS" w:cs="Arial Unicode MS"/>
              </w:rPr>
              <w:t xml:space="preserve"> soil data from WasteLocate.</w:t>
            </w:r>
          </w:p>
        </w:tc>
      </w:tr>
      <w:tr w:rsidR="0011252D" w:rsidRPr="00100F0A" w14:paraId="2518F187" w14:textId="77777777" w:rsidTr="00F56453">
        <w:tc>
          <w:tcPr>
            <w:cnfStyle w:val="001000000000" w:firstRow="0" w:lastRow="0" w:firstColumn="1" w:lastColumn="0" w:oddVBand="0" w:evenVBand="0" w:oddHBand="0" w:evenHBand="0" w:firstRowFirstColumn="0" w:firstRowLastColumn="0" w:lastRowFirstColumn="0" w:lastRowLastColumn="0"/>
            <w:tcW w:w="1271" w:type="dxa"/>
          </w:tcPr>
          <w:p w14:paraId="7D9A0EB4" w14:textId="77777777" w:rsidR="0011252D" w:rsidRPr="00100F0A" w:rsidRDefault="0011252D" w:rsidP="00DA7ED9">
            <w:pPr>
              <w:pStyle w:val="BodyText"/>
            </w:pPr>
            <w:r w:rsidRPr="00100F0A">
              <w:t>NT</w:t>
            </w:r>
          </w:p>
        </w:tc>
        <w:tc>
          <w:tcPr>
            <w:tcW w:w="1134" w:type="dxa"/>
            <w:vAlign w:val="center"/>
          </w:tcPr>
          <w:p w14:paraId="1A33155D" w14:textId="77777777" w:rsidR="0011252D" w:rsidRPr="00100F0A" w:rsidRDefault="0011252D" w:rsidP="00DA7ED9">
            <w:pPr>
              <w:pStyle w:val="BodyText"/>
              <w:cnfStyle w:val="000000000000" w:firstRow="0" w:lastRow="0" w:firstColumn="0" w:lastColumn="0" w:oddVBand="0" w:evenVBand="0" w:oddHBand="0" w:evenHBand="0" w:firstRowFirstColumn="0" w:firstRowLastColumn="0" w:lastRowFirstColumn="0" w:lastRowLastColumn="0"/>
            </w:pPr>
            <w:r w:rsidRPr="00100F0A">
              <w:t>2017</w:t>
            </w:r>
          </w:p>
        </w:tc>
        <w:tc>
          <w:tcPr>
            <w:tcW w:w="680" w:type="dxa"/>
            <w:vAlign w:val="center"/>
          </w:tcPr>
          <w:p w14:paraId="6004DCCC" w14:textId="77777777" w:rsidR="0011252D" w:rsidRPr="00100F0A" w:rsidRDefault="0011252D" w:rsidP="00DA7ED9">
            <w:pPr>
              <w:pStyle w:val="BodyText"/>
              <w:jc w:val="center"/>
              <w:cnfStyle w:val="000000000000" w:firstRow="0" w:lastRow="0" w:firstColumn="0" w:lastColumn="0" w:oddVBand="0" w:evenVBand="0" w:oddHBand="0" w:evenHBand="0" w:firstRowFirstColumn="0" w:firstRowLastColumn="0" w:lastRowFirstColumn="0" w:lastRowLastColumn="0"/>
            </w:pPr>
            <w:r w:rsidRPr="00100F0A">
              <w:rPr>
                <w:rFonts w:ascii="Arial Unicode MS" w:eastAsia="Arial Unicode MS" w:hAnsi="Arial Unicode MS" w:cs="Arial Unicode MS"/>
              </w:rPr>
              <w:t>✓</w:t>
            </w:r>
          </w:p>
        </w:tc>
        <w:tc>
          <w:tcPr>
            <w:tcW w:w="680" w:type="dxa"/>
            <w:vAlign w:val="center"/>
          </w:tcPr>
          <w:p w14:paraId="3597692F" w14:textId="77777777" w:rsidR="0011252D" w:rsidRPr="00100F0A" w:rsidRDefault="0011252D" w:rsidP="00DA7ED9">
            <w:pPr>
              <w:pStyle w:val="BodyText"/>
              <w:jc w:val="center"/>
              <w:cnfStyle w:val="000000000000" w:firstRow="0" w:lastRow="0" w:firstColumn="0" w:lastColumn="0" w:oddVBand="0" w:evenVBand="0" w:oddHBand="0" w:evenHBand="0" w:firstRowFirstColumn="0" w:firstRowLastColumn="0" w:lastRowFirstColumn="0" w:lastRowLastColumn="0"/>
            </w:pPr>
            <w:r w:rsidRPr="00100F0A">
              <w:rPr>
                <w:rFonts w:ascii="Arial Unicode MS" w:eastAsia="Arial Unicode MS" w:hAnsi="Arial Unicode MS" w:cs="Arial Unicode MS"/>
              </w:rPr>
              <w:t>✓</w:t>
            </w:r>
          </w:p>
        </w:tc>
        <w:tc>
          <w:tcPr>
            <w:tcW w:w="681" w:type="dxa"/>
            <w:vAlign w:val="center"/>
          </w:tcPr>
          <w:p w14:paraId="0CAAF935" w14:textId="77777777" w:rsidR="0011252D" w:rsidRPr="00100F0A" w:rsidRDefault="0011252D" w:rsidP="00DA7ED9">
            <w:pPr>
              <w:pStyle w:val="BodyText"/>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16272486" w14:textId="56790B8F" w:rsidR="0011252D" w:rsidRPr="00100F0A" w:rsidRDefault="0011252D" w:rsidP="00DA7ED9">
            <w:pPr>
              <w:pStyle w:val="BodyText"/>
              <w:jc w:val="center"/>
              <w:cnfStyle w:val="000000000000" w:firstRow="0" w:lastRow="0" w:firstColumn="0" w:lastColumn="0" w:oddVBand="0" w:evenVBand="0" w:oddHBand="0" w:evenHBand="0" w:firstRowFirstColumn="0" w:firstRowLastColumn="0" w:lastRowFirstColumn="0" w:lastRowLastColumn="0"/>
            </w:pPr>
          </w:p>
        </w:tc>
        <w:tc>
          <w:tcPr>
            <w:tcW w:w="681" w:type="dxa"/>
            <w:vAlign w:val="center"/>
          </w:tcPr>
          <w:p w14:paraId="76B0D9FB" w14:textId="77777777" w:rsidR="0011252D" w:rsidRPr="00100F0A" w:rsidRDefault="0011252D" w:rsidP="00DA7ED9">
            <w:pPr>
              <w:pStyle w:val="BodyText"/>
              <w:jc w:val="center"/>
              <w:cnfStyle w:val="000000000000" w:firstRow="0" w:lastRow="0" w:firstColumn="0" w:lastColumn="0" w:oddVBand="0" w:evenVBand="0" w:oddHBand="0" w:evenHBand="0" w:firstRowFirstColumn="0" w:firstRowLastColumn="0" w:lastRowFirstColumn="0" w:lastRowLastColumn="0"/>
            </w:pPr>
            <w:r w:rsidRPr="00100F0A">
              <w:rPr>
                <w:rFonts w:ascii="Arial Unicode MS" w:eastAsia="Arial Unicode MS" w:hAnsi="Arial Unicode MS" w:cs="Arial Unicode MS"/>
              </w:rPr>
              <w:t>✓</w:t>
            </w:r>
          </w:p>
        </w:tc>
        <w:tc>
          <w:tcPr>
            <w:tcW w:w="3313" w:type="dxa"/>
            <w:vAlign w:val="center"/>
          </w:tcPr>
          <w:p w14:paraId="79A75FF3" w14:textId="77777777" w:rsidR="0011252D" w:rsidRPr="00100F0A" w:rsidRDefault="0011252D" w:rsidP="00DA7ED9">
            <w:pPr>
              <w:pStyle w:val="BodyText"/>
              <w:cnfStyle w:val="000000000000" w:firstRow="0" w:lastRow="0" w:firstColumn="0" w:lastColumn="0" w:oddVBand="0" w:evenVBand="0" w:oddHBand="0" w:evenHBand="0" w:firstRowFirstColumn="0" w:firstRowLastColumn="0" w:lastRowFirstColumn="0" w:lastRowLastColumn="0"/>
            </w:pPr>
            <w:r w:rsidRPr="00100F0A">
              <w:t>Data collated by waste type</w:t>
            </w:r>
          </w:p>
        </w:tc>
      </w:tr>
      <w:tr w:rsidR="0011252D" w:rsidRPr="00100F0A" w14:paraId="14010619" w14:textId="77777777" w:rsidTr="00F56453">
        <w:tc>
          <w:tcPr>
            <w:cnfStyle w:val="001000000000" w:firstRow="0" w:lastRow="0" w:firstColumn="1" w:lastColumn="0" w:oddVBand="0" w:evenVBand="0" w:oddHBand="0" w:evenHBand="0" w:firstRowFirstColumn="0" w:firstRowLastColumn="0" w:lastRowFirstColumn="0" w:lastRowLastColumn="0"/>
            <w:tcW w:w="1271" w:type="dxa"/>
          </w:tcPr>
          <w:p w14:paraId="48F69272" w14:textId="77777777" w:rsidR="0011252D" w:rsidRPr="00100F0A" w:rsidRDefault="0011252D" w:rsidP="00DA7ED9">
            <w:pPr>
              <w:pStyle w:val="BodyText"/>
            </w:pPr>
            <w:r w:rsidRPr="00100F0A">
              <w:t>Qld</w:t>
            </w:r>
          </w:p>
        </w:tc>
        <w:tc>
          <w:tcPr>
            <w:tcW w:w="1134" w:type="dxa"/>
            <w:vAlign w:val="center"/>
          </w:tcPr>
          <w:p w14:paraId="365D076A" w14:textId="77777777" w:rsidR="0011252D" w:rsidRPr="00100F0A" w:rsidRDefault="0011252D" w:rsidP="00DA7ED9">
            <w:pPr>
              <w:pStyle w:val="BodyText"/>
              <w:cnfStyle w:val="000000000000" w:firstRow="0" w:lastRow="0" w:firstColumn="0" w:lastColumn="0" w:oddVBand="0" w:evenVBand="0" w:oddHBand="0" w:evenHBand="0" w:firstRowFirstColumn="0" w:firstRowLastColumn="0" w:lastRowFirstColumn="0" w:lastRowLastColumn="0"/>
            </w:pPr>
            <w:r w:rsidRPr="00100F0A">
              <w:t>1999-2016</w:t>
            </w:r>
          </w:p>
        </w:tc>
        <w:tc>
          <w:tcPr>
            <w:tcW w:w="680" w:type="dxa"/>
            <w:vAlign w:val="center"/>
          </w:tcPr>
          <w:p w14:paraId="4F546B3E" w14:textId="77777777" w:rsidR="0011252D" w:rsidRPr="00100F0A" w:rsidRDefault="0011252D" w:rsidP="00DA7ED9">
            <w:pPr>
              <w:pStyle w:val="BodyText"/>
              <w:jc w:val="center"/>
              <w:cnfStyle w:val="000000000000" w:firstRow="0" w:lastRow="0" w:firstColumn="0" w:lastColumn="0" w:oddVBand="0" w:evenVBand="0" w:oddHBand="0" w:evenHBand="0" w:firstRowFirstColumn="0" w:firstRowLastColumn="0" w:lastRowFirstColumn="0" w:lastRowLastColumn="0"/>
            </w:pPr>
            <w:r w:rsidRPr="00100F0A">
              <w:rPr>
                <w:rFonts w:ascii="Arial Unicode MS" w:eastAsia="Arial Unicode MS" w:hAnsi="Arial Unicode MS" w:cs="Arial Unicode MS"/>
              </w:rPr>
              <w:t>✓</w:t>
            </w:r>
          </w:p>
        </w:tc>
        <w:tc>
          <w:tcPr>
            <w:tcW w:w="680" w:type="dxa"/>
            <w:vAlign w:val="center"/>
          </w:tcPr>
          <w:p w14:paraId="74A31831" w14:textId="77777777" w:rsidR="0011252D" w:rsidRPr="00100F0A" w:rsidRDefault="0011252D" w:rsidP="00DA7ED9">
            <w:pPr>
              <w:pStyle w:val="BodyText"/>
              <w:jc w:val="center"/>
              <w:cnfStyle w:val="000000000000" w:firstRow="0" w:lastRow="0" w:firstColumn="0" w:lastColumn="0" w:oddVBand="0" w:evenVBand="0" w:oddHBand="0" w:evenHBand="0" w:firstRowFirstColumn="0" w:firstRowLastColumn="0" w:lastRowFirstColumn="0" w:lastRowLastColumn="0"/>
            </w:pPr>
            <w:r w:rsidRPr="00100F0A">
              <w:rPr>
                <w:rFonts w:ascii="Arial Unicode MS" w:eastAsia="Arial Unicode MS" w:hAnsi="Arial Unicode MS" w:cs="Arial Unicode MS"/>
              </w:rPr>
              <w:t>✓</w:t>
            </w:r>
          </w:p>
        </w:tc>
        <w:tc>
          <w:tcPr>
            <w:tcW w:w="681" w:type="dxa"/>
            <w:vAlign w:val="center"/>
          </w:tcPr>
          <w:p w14:paraId="2FE3F481" w14:textId="77777777" w:rsidR="0011252D" w:rsidRPr="00100F0A" w:rsidRDefault="0011252D" w:rsidP="00DA7ED9">
            <w:pPr>
              <w:pStyle w:val="BodyText"/>
              <w:jc w:val="center"/>
              <w:cnfStyle w:val="000000000000" w:firstRow="0" w:lastRow="0" w:firstColumn="0" w:lastColumn="0" w:oddVBand="0" w:evenVBand="0" w:oddHBand="0" w:evenHBand="0" w:firstRowFirstColumn="0" w:firstRowLastColumn="0" w:lastRowFirstColumn="0" w:lastRowLastColumn="0"/>
            </w:pPr>
            <w:r w:rsidRPr="00100F0A">
              <w:rPr>
                <w:rFonts w:ascii="Arial Unicode MS" w:eastAsia="Arial Unicode MS" w:hAnsi="Arial Unicode MS" w:cs="Arial Unicode MS"/>
              </w:rPr>
              <w:t>✓</w:t>
            </w:r>
          </w:p>
        </w:tc>
        <w:tc>
          <w:tcPr>
            <w:tcW w:w="680" w:type="dxa"/>
            <w:vAlign w:val="center"/>
          </w:tcPr>
          <w:p w14:paraId="5727D77F" w14:textId="77777777" w:rsidR="0011252D" w:rsidRPr="00100F0A" w:rsidRDefault="0011252D" w:rsidP="00DA7ED9">
            <w:pPr>
              <w:pStyle w:val="BodyText"/>
              <w:jc w:val="center"/>
              <w:cnfStyle w:val="000000000000" w:firstRow="0" w:lastRow="0" w:firstColumn="0" w:lastColumn="0" w:oddVBand="0" w:evenVBand="0" w:oddHBand="0" w:evenHBand="0" w:firstRowFirstColumn="0" w:firstRowLastColumn="0" w:lastRowFirstColumn="0" w:lastRowLastColumn="0"/>
            </w:pPr>
            <w:r w:rsidRPr="00100F0A">
              <w:rPr>
                <w:rFonts w:ascii="Arial Unicode MS" w:eastAsia="Arial Unicode MS" w:hAnsi="Arial Unicode MS" w:cs="Arial Unicode MS"/>
              </w:rPr>
              <w:t>✓</w:t>
            </w:r>
          </w:p>
        </w:tc>
        <w:tc>
          <w:tcPr>
            <w:tcW w:w="681" w:type="dxa"/>
            <w:vAlign w:val="center"/>
          </w:tcPr>
          <w:p w14:paraId="2E830CC9" w14:textId="77777777" w:rsidR="0011252D" w:rsidRPr="00100F0A" w:rsidRDefault="0011252D" w:rsidP="00DA7ED9">
            <w:pPr>
              <w:pStyle w:val="BodyText"/>
              <w:jc w:val="center"/>
              <w:cnfStyle w:val="000000000000" w:firstRow="0" w:lastRow="0" w:firstColumn="0" w:lastColumn="0" w:oddVBand="0" w:evenVBand="0" w:oddHBand="0" w:evenHBand="0" w:firstRowFirstColumn="0" w:firstRowLastColumn="0" w:lastRowFirstColumn="0" w:lastRowLastColumn="0"/>
            </w:pPr>
            <w:r w:rsidRPr="00100F0A">
              <w:rPr>
                <w:rFonts w:ascii="Arial Unicode MS" w:eastAsia="Arial Unicode MS" w:hAnsi="Arial Unicode MS" w:cs="Arial Unicode MS"/>
              </w:rPr>
              <w:t>✓</w:t>
            </w:r>
          </w:p>
        </w:tc>
        <w:tc>
          <w:tcPr>
            <w:tcW w:w="3313" w:type="dxa"/>
            <w:vAlign w:val="center"/>
          </w:tcPr>
          <w:p w14:paraId="748E5934" w14:textId="4A64F1E6" w:rsidR="0011252D" w:rsidRPr="00100F0A" w:rsidRDefault="0011252D" w:rsidP="00DA7ED9">
            <w:pPr>
              <w:pStyle w:val="BodyText"/>
              <w:cnfStyle w:val="000000000000" w:firstRow="0" w:lastRow="0" w:firstColumn="0" w:lastColumn="0" w:oddVBand="0" w:evenVBand="0" w:oddHBand="0" w:evenHBand="0" w:firstRowFirstColumn="0" w:firstRowLastColumn="0" w:lastRowFirstColumn="0" w:lastRowLastColumn="0"/>
            </w:pPr>
            <w:r w:rsidRPr="00100F0A">
              <w:t>Full data dump. Contaminated soil data from landfill reports.</w:t>
            </w:r>
          </w:p>
        </w:tc>
      </w:tr>
      <w:tr w:rsidR="0011252D" w:rsidRPr="00100F0A" w14:paraId="3E89E40A" w14:textId="77777777" w:rsidTr="00F56453">
        <w:tc>
          <w:tcPr>
            <w:cnfStyle w:val="001000000000" w:firstRow="0" w:lastRow="0" w:firstColumn="1" w:lastColumn="0" w:oddVBand="0" w:evenVBand="0" w:oddHBand="0" w:evenHBand="0" w:firstRowFirstColumn="0" w:firstRowLastColumn="0" w:lastRowFirstColumn="0" w:lastRowLastColumn="0"/>
            <w:tcW w:w="1271" w:type="dxa"/>
          </w:tcPr>
          <w:p w14:paraId="06539745" w14:textId="77777777" w:rsidR="0011252D" w:rsidRPr="00100F0A" w:rsidRDefault="0011252D" w:rsidP="0011252D">
            <w:pPr>
              <w:pStyle w:val="BodyText"/>
            </w:pPr>
            <w:r w:rsidRPr="00100F0A">
              <w:t>SA</w:t>
            </w:r>
          </w:p>
        </w:tc>
        <w:tc>
          <w:tcPr>
            <w:tcW w:w="1134" w:type="dxa"/>
            <w:vAlign w:val="center"/>
          </w:tcPr>
          <w:p w14:paraId="4FDEEFA8" w14:textId="77777777" w:rsidR="0011252D" w:rsidRPr="00100F0A" w:rsidRDefault="0011252D" w:rsidP="0011252D">
            <w:pPr>
              <w:pStyle w:val="BodyText"/>
              <w:cnfStyle w:val="000000000000" w:firstRow="0" w:lastRow="0" w:firstColumn="0" w:lastColumn="0" w:oddVBand="0" w:evenVBand="0" w:oddHBand="0" w:evenHBand="0" w:firstRowFirstColumn="0" w:firstRowLastColumn="0" w:lastRowFirstColumn="0" w:lastRowLastColumn="0"/>
            </w:pPr>
            <w:r w:rsidRPr="00100F0A">
              <w:t>2006-2017</w:t>
            </w:r>
          </w:p>
        </w:tc>
        <w:tc>
          <w:tcPr>
            <w:tcW w:w="680" w:type="dxa"/>
            <w:vAlign w:val="center"/>
          </w:tcPr>
          <w:p w14:paraId="3C253D40" w14:textId="77777777" w:rsidR="0011252D" w:rsidRPr="00100F0A" w:rsidRDefault="0011252D" w:rsidP="0011252D">
            <w:pPr>
              <w:pStyle w:val="BodyText"/>
              <w:jc w:val="center"/>
              <w:cnfStyle w:val="000000000000" w:firstRow="0" w:lastRow="0" w:firstColumn="0" w:lastColumn="0" w:oddVBand="0" w:evenVBand="0" w:oddHBand="0" w:evenHBand="0" w:firstRowFirstColumn="0" w:firstRowLastColumn="0" w:lastRowFirstColumn="0" w:lastRowLastColumn="0"/>
            </w:pPr>
            <w:r w:rsidRPr="00100F0A">
              <w:rPr>
                <w:rFonts w:ascii="Arial Unicode MS" w:eastAsia="Arial Unicode MS" w:hAnsi="Arial Unicode MS" w:cs="Arial Unicode MS"/>
              </w:rPr>
              <w:t>✓</w:t>
            </w:r>
          </w:p>
        </w:tc>
        <w:tc>
          <w:tcPr>
            <w:tcW w:w="680" w:type="dxa"/>
            <w:vAlign w:val="center"/>
          </w:tcPr>
          <w:p w14:paraId="7BAB9AAF" w14:textId="77777777" w:rsidR="0011252D" w:rsidRPr="00100F0A" w:rsidRDefault="0011252D" w:rsidP="0011252D">
            <w:pPr>
              <w:pStyle w:val="BodyText"/>
              <w:jc w:val="center"/>
              <w:cnfStyle w:val="000000000000" w:firstRow="0" w:lastRow="0" w:firstColumn="0" w:lastColumn="0" w:oddVBand="0" w:evenVBand="0" w:oddHBand="0" w:evenHBand="0" w:firstRowFirstColumn="0" w:firstRowLastColumn="0" w:lastRowFirstColumn="0" w:lastRowLastColumn="0"/>
            </w:pPr>
            <w:r w:rsidRPr="00100F0A">
              <w:rPr>
                <w:rFonts w:ascii="Arial Unicode MS" w:eastAsia="Arial Unicode MS" w:hAnsi="Arial Unicode MS" w:cs="Arial Unicode MS"/>
              </w:rPr>
              <w:t>✓</w:t>
            </w:r>
          </w:p>
        </w:tc>
        <w:tc>
          <w:tcPr>
            <w:tcW w:w="681" w:type="dxa"/>
            <w:vAlign w:val="center"/>
          </w:tcPr>
          <w:p w14:paraId="015A34FF" w14:textId="77777777" w:rsidR="0011252D" w:rsidRPr="00100F0A" w:rsidRDefault="0011252D" w:rsidP="0011252D">
            <w:pPr>
              <w:pStyle w:val="BodyText"/>
              <w:jc w:val="center"/>
              <w:cnfStyle w:val="000000000000" w:firstRow="0" w:lastRow="0" w:firstColumn="0" w:lastColumn="0" w:oddVBand="0" w:evenVBand="0" w:oddHBand="0" w:evenHBand="0" w:firstRowFirstColumn="0" w:firstRowLastColumn="0" w:lastRowFirstColumn="0" w:lastRowLastColumn="0"/>
            </w:pPr>
            <w:r w:rsidRPr="00100F0A">
              <w:rPr>
                <w:rFonts w:ascii="Arial Unicode MS" w:eastAsia="Arial Unicode MS" w:hAnsi="Arial Unicode MS" w:cs="Arial Unicode MS"/>
              </w:rPr>
              <w:t>✓</w:t>
            </w:r>
          </w:p>
        </w:tc>
        <w:tc>
          <w:tcPr>
            <w:tcW w:w="680" w:type="dxa"/>
            <w:vAlign w:val="center"/>
          </w:tcPr>
          <w:p w14:paraId="7CAFD334" w14:textId="54E746E7" w:rsidR="0011252D" w:rsidRPr="00100F0A" w:rsidRDefault="0011252D" w:rsidP="0011252D">
            <w:pPr>
              <w:pStyle w:val="BodyText"/>
              <w:jc w:val="center"/>
              <w:cnfStyle w:val="000000000000" w:firstRow="0" w:lastRow="0" w:firstColumn="0" w:lastColumn="0" w:oddVBand="0" w:evenVBand="0" w:oddHBand="0" w:evenHBand="0" w:firstRowFirstColumn="0" w:firstRowLastColumn="0" w:lastRowFirstColumn="0" w:lastRowLastColumn="0"/>
            </w:pPr>
            <w:r w:rsidRPr="00100F0A">
              <w:rPr>
                <w:rFonts w:ascii="Arial Unicode MS" w:eastAsia="Arial Unicode MS" w:hAnsi="Arial Unicode MS" w:cs="Arial Unicode MS"/>
              </w:rPr>
              <w:t>✓</w:t>
            </w:r>
          </w:p>
        </w:tc>
        <w:tc>
          <w:tcPr>
            <w:tcW w:w="681" w:type="dxa"/>
            <w:vAlign w:val="center"/>
          </w:tcPr>
          <w:p w14:paraId="0046776B" w14:textId="77777777" w:rsidR="0011252D" w:rsidRPr="00100F0A" w:rsidRDefault="0011252D" w:rsidP="0011252D">
            <w:pPr>
              <w:pStyle w:val="BodyText"/>
              <w:jc w:val="center"/>
              <w:cnfStyle w:val="000000000000" w:firstRow="0" w:lastRow="0" w:firstColumn="0" w:lastColumn="0" w:oddVBand="0" w:evenVBand="0" w:oddHBand="0" w:evenHBand="0" w:firstRowFirstColumn="0" w:firstRowLastColumn="0" w:lastRowFirstColumn="0" w:lastRowLastColumn="0"/>
            </w:pPr>
            <w:r w:rsidRPr="00100F0A">
              <w:rPr>
                <w:rFonts w:ascii="Arial Unicode MS" w:eastAsia="Arial Unicode MS" w:hAnsi="Arial Unicode MS" w:cs="Arial Unicode MS"/>
              </w:rPr>
              <w:t>✓</w:t>
            </w:r>
          </w:p>
        </w:tc>
        <w:tc>
          <w:tcPr>
            <w:tcW w:w="3313" w:type="dxa"/>
            <w:vAlign w:val="center"/>
          </w:tcPr>
          <w:p w14:paraId="2A5FF6C0" w14:textId="3D67128C" w:rsidR="0011252D" w:rsidRPr="00100F0A" w:rsidRDefault="0011252D" w:rsidP="0011252D">
            <w:pPr>
              <w:pStyle w:val="BodyText"/>
              <w:cnfStyle w:val="000000000000" w:firstRow="0" w:lastRow="0" w:firstColumn="0" w:lastColumn="0" w:oddVBand="0" w:evenVBand="0" w:oddHBand="0" w:evenHBand="0" w:firstRowFirstColumn="0" w:firstRowLastColumn="0" w:lastRowFirstColumn="0" w:lastRowLastColumn="0"/>
            </w:pPr>
            <w:r w:rsidRPr="00100F0A">
              <w:t>Full data dump</w:t>
            </w:r>
          </w:p>
        </w:tc>
      </w:tr>
      <w:tr w:rsidR="0011252D" w:rsidRPr="00100F0A" w14:paraId="35AF4653" w14:textId="77777777" w:rsidTr="00F56453">
        <w:tc>
          <w:tcPr>
            <w:cnfStyle w:val="001000000000" w:firstRow="0" w:lastRow="0" w:firstColumn="1" w:lastColumn="0" w:oddVBand="0" w:evenVBand="0" w:oddHBand="0" w:evenHBand="0" w:firstRowFirstColumn="0" w:firstRowLastColumn="0" w:lastRowFirstColumn="0" w:lastRowLastColumn="0"/>
            <w:tcW w:w="1271" w:type="dxa"/>
          </w:tcPr>
          <w:p w14:paraId="4AFE3603" w14:textId="77777777" w:rsidR="0011252D" w:rsidRPr="00100F0A" w:rsidRDefault="0011252D" w:rsidP="0011252D">
            <w:pPr>
              <w:pStyle w:val="BodyText"/>
            </w:pPr>
            <w:r w:rsidRPr="00100F0A">
              <w:t>Tas</w:t>
            </w:r>
          </w:p>
        </w:tc>
        <w:tc>
          <w:tcPr>
            <w:tcW w:w="1134" w:type="dxa"/>
            <w:vAlign w:val="center"/>
          </w:tcPr>
          <w:p w14:paraId="156AFDE3" w14:textId="77777777" w:rsidR="0011252D" w:rsidRPr="00100F0A" w:rsidRDefault="0011252D" w:rsidP="0011252D">
            <w:pPr>
              <w:pStyle w:val="BodyText"/>
              <w:cnfStyle w:val="000000000000" w:firstRow="0" w:lastRow="0" w:firstColumn="0" w:lastColumn="0" w:oddVBand="0" w:evenVBand="0" w:oddHBand="0" w:evenHBand="0" w:firstRowFirstColumn="0" w:firstRowLastColumn="0" w:lastRowFirstColumn="0" w:lastRowLastColumn="0"/>
            </w:pPr>
            <w:r w:rsidRPr="00100F0A">
              <w:t>2017</w:t>
            </w:r>
          </w:p>
        </w:tc>
        <w:tc>
          <w:tcPr>
            <w:tcW w:w="680" w:type="dxa"/>
            <w:vAlign w:val="center"/>
          </w:tcPr>
          <w:p w14:paraId="7F615E13" w14:textId="77777777" w:rsidR="0011252D" w:rsidRPr="00100F0A" w:rsidRDefault="0011252D" w:rsidP="0011252D">
            <w:pPr>
              <w:pStyle w:val="BodyText"/>
              <w:jc w:val="center"/>
              <w:cnfStyle w:val="000000000000" w:firstRow="0" w:lastRow="0" w:firstColumn="0" w:lastColumn="0" w:oddVBand="0" w:evenVBand="0" w:oddHBand="0" w:evenHBand="0" w:firstRowFirstColumn="0" w:firstRowLastColumn="0" w:lastRowFirstColumn="0" w:lastRowLastColumn="0"/>
            </w:pPr>
            <w:r w:rsidRPr="00100F0A">
              <w:rPr>
                <w:rFonts w:ascii="Arial Unicode MS" w:eastAsia="Arial Unicode MS" w:hAnsi="Arial Unicode MS" w:cs="Arial Unicode MS"/>
              </w:rPr>
              <w:t>✓</w:t>
            </w:r>
          </w:p>
        </w:tc>
        <w:tc>
          <w:tcPr>
            <w:tcW w:w="680" w:type="dxa"/>
            <w:vAlign w:val="center"/>
          </w:tcPr>
          <w:p w14:paraId="5563058C" w14:textId="77777777" w:rsidR="0011252D" w:rsidRPr="00100F0A" w:rsidRDefault="0011252D" w:rsidP="0011252D">
            <w:pPr>
              <w:pStyle w:val="BodyText"/>
              <w:jc w:val="center"/>
              <w:cnfStyle w:val="000000000000" w:firstRow="0" w:lastRow="0" w:firstColumn="0" w:lastColumn="0" w:oddVBand="0" w:evenVBand="0" w:oddHBand="0" w:evenHBand="0" w:firstRowFirstColumn="0" w:firstRowLastColumn="0" w:lastRowFirstColumn="0" w:lastRowLastColumn="0"/>
            </w:pPr>
            <w:r w:rsidRPr="00100F0A">
              <w:rPr>
                <w:rFonts w:ascii="Arial Unicode MS" w:eastAsia="Arial Unicode MS" w:hAnsi="Arial Unicode MS" w:cs="Arial Unicode MS"/>
              </w:rPr>
              <w:t>✓</w:t>
            </w:r>
          </w:p>
        </w:tc>
        <w:tc>
          <w:tcPr>
            <w:tcW w:w="681" w:type="dxa"/>
            <w:vAlign w:val="center"/>
          </w:tcPr>
          <w:p w14:paraId="52D8B56F" w14:textId="77777777" w:rsidR="0011252D" w:rsidRPr="00100F0A" w:rsidRDefault="0011252D" w:rsidP="0011252D">
            <w:pPr>
              <w:pStyle w:val="BodyText"/>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5EB53A8A" w14:textId="77777777" w:rsidR="0011252D" w:rsidRPr="00100F0A" w:rsidRDefault="0011252D" w:rsidP="0011252D">
            <w:pPr>
              <w:pStyle w:val="BodyText"/>
              <w:jc w:val="center"/>
              <w:cnfStyle w:val="000000000000" w:firstRow="0" w:lastRow="0" w:firstColumn="0" w:lastColumn="0" w:oddVBand="0" w:evenVBand="0" w:oddHBand="0" w:evenHBand="0" w:firstRowFirstColumn="0" w:firstRowLastColumn="0" w:lastRowFirstColumn="0" w:lastRowLastColumn="0"/>
            </w:pPr>
          </w:p>
        </w:tc>
        <w:tc>
          <w:tcPr>
            <w:tcW w:w="681" w:type="dxa"/>
            <w:vAlign w:val="center"/>
          </w:tcPr>
          <w:p w14:paraId="6993AA74" w14:textId="77777777" w:rsidR="0011252D" w:rsidRPr="00100F0A" w:rsidRDefault="0011252D" w:rsidP="0011252D">
            <w:pPr>
              <w:pStyle w:val="BodyText"/>
              <w:jc w:val="center"/>
              <w:cnfStyle w:val="000000000000" w:firstRow="0" w:lastRow="0" w:firstColumn="0" w:lastColumn="0" w:oddVBand="0" w:evenVBand="0" w:oddHBand="0" w:evenHBand="0" w:firstRowFirstColumn="0" w:firstRowLastColumn="0" w:lastRowFirstColumn="0" w:lastRowLastColumn="0"/>
            </w:pPr>
            <w:r w:rsidRPr="00100F0A">
              <w:rPr>
                <w:rFonts w:ascii="Arial Unicode MS" w:eastAsia="Arial Unicode MS" w:hAnsi="Arial Unicode MS" w:cs="Arial Unicode MS"/>
              </w:rPr>
              <w:t>✓</w:t>
            </w:r>
          </w:p>
        </w:tc>
        <w:tc>
          <w:tcPr>
            <w:tcW w:w="3313" w:type="dxa"/>
            <w:vAlign w:val="center"/>
          </w:tcPr>
          <w:p w14:paraId="60FF1AAD" w14:textId="77777777" w:rsidR="0011252D" w:rsidRPr="00100F0A" w:rsidRDefault="0011252D" w:rsidP="0011252D">
            <w:pPr>
              <w:pStyle w:val="BodyText"/>
              <w:cnfStyle w:val="000000000000" w:firstRow="0" w:lastRow="0" w:firstColumn="0" w:lastColumn="0" w:oddVBand="0" w:evenVBand="0" w:oddHBand="0" w:evenHBand="0" w:firstRowFirstColumn="0" w:firstRowLastColumn="0" w:lastRowFirstColumn="0" w:lastRowLastColumn="0"/>
            </w:pPr>
            <w:r w:rsidRPr="00100F0A">
              <w:t>Data collated by waste type</w:t>
            </w:r>
          </w:p>
        </w:tc>
      </w:tr>
      <w:tr w:rsidR="0011252D" w:rsidRPr="00100F0A" w14:paraId="04C7B2BB" w14:textId="77777777" w:rsidTr="00F56453">
        <w:tc>
          <w:tcPr>
            <w:cnfStyle w:val="001000000000" w:firstRow="0" w:lastRow="0" w:firstColumn="1" w:lastColumn="0" w:oddVBand="0" w:evenVBand="0" w:oddHBand="0" w:evenHBand="0" w:firstRowFirstColumn="0" w:firstRowLastColumn="0" w:lastRowFirstColumn="0" w:lastRowLastColumn="0"/>
            <w:tcW w:w="1271" w:type="dxa"/>
          </w:tcPr>
          <w:p w14:paraId="2029B213" w14:textId="77777777" w:rsidR="0011252D" w:rsidRPr="00100F0A" w:rsidRDefault="0011252D" w:rsidP="0011252D">
            <w:pPr>
              <w:pStyle w:val="BodyText"/>
            </w:pPr>
            <w:r w:rsidRPr="00100F0A">
              <w:t>Vic</w:t>
            </w:r>
          </w:p>
        </w:tc>
        <w:tc>
          <w:tcPr>
            <w:tcW w:w="1134" w:type="dxa"/>
            <w:vAlign w:val="center"/>
          </w:tcPr>
          <w:p w14:paraId="7AA14729" w14:textId="77777777" w:rsidR="0011252D" w:rsidRPr="00100F0A" w:rsidRDefault="0011252D" w:rsidP="0011252D">
            <w:pPr>
              <w:pStyle w:val="BodyText"/>
              <w:cnfStyle w:val="000000000000" w:firstRow="0" w:lastRow="0" w:firstColumn="0" w:lastColumn="0" w:oddVBand="0" w:evenVBand="0" w:oddHBand="0" w:evenHBand="0" w:firstRowFirstColumn="0" w:firstRowLastColumn="0" w:lastRowFirstColumn="0" w:lastRowLastColumn="0"/>
            </w:pPr>
            <w:r w:rsidRPr="00100F0A">
              <w:t>2004-2017</w:t>
            </w:r>
          </w:p>
        </w:tc>
        <w:tc>
          <w:tcPr>
            <w:tcW w:w="680" w:type="dxa"/>
            <w:vAlign w:val="center"/>
          </w:tcPr>
          <w:p w14:paraId="188983B2" w14:textId="77777777" w:rsidR="0011252D" w:rsidRPr="00100F0A" w:rsidRDefault="0011252D" w:rsidP="0011252D">
            <w:pPr>
              <w:pStyle w:val="BodyText"/>
              <w:jc w:val="center"/>
              <w:cnfStyle w:val="000000000000" w:firstRow="0" w:lastRow="0" w:firstColumn="0" w:lastColumn="0" w:oddVBand="0" w:evenVBand="0" w:oddHBand="0" w:evenHBand="0" w:firstRowFirstColumn="0" w:firstRowLastColumn="0" w:lastRowFirstColumn="0" w:lastRowLastColumn="0"/>
            </w:pPr>
            <w:r w:rsidRPr="00100F0A">
              <w:rPr>
                <w:rFonts w:ascii="Arial Unicode MS" w:eastAsia="Arial Unicode MS" w:hAnsi="Arial Unicode MS" w:cs="Arial Unicode MS"/>
              </w:rPr>
              <w:t>✓</w:t>
            </w:r>
          </w:p>
        </w:tc>
        <w:tc>
          <w:tcPr>
            <w:tcW w:w="680" w:type="dxa"/>
            <w:vAlign w:val="center"/>
          </w:tcPr>
          <w:p w14:paraId="6E8E00A7" w14:textId="77777777" w:rsidR="0011252D" w:rsidRPr="00100F0A" w:rsidRDefault="0011252D" w:rsidP="0011252D">
            <w:pPr>
              <w:pStyle w:val="BodyText"/>
              <w:jc w:val="center"/>
              <w:cnfStyle w:val="000000000000" w:firstRow="0" w:lastRow="0" w:firstColumn="0" w:lastColumn="0" w:oddVBand="0" w:evenVBand="0" w:oddHBand="0" w:evenHBand="0" w:firstRowFirstColumn="0" w:firstRowLastColumn="0" w:lastRowFirstColumn="0" w:lastRowLastColumn="0"/>
            </w:pPr>
            <w:r w:rsidRPr="00100F0A">
              <w:rPr>
                <w:rFonts w:ascii="Arial Unicode MS" w:eastAsia="Arial Unicode MS" w:hAnsi="Arial Unicode MS" w:cs="Arial Unicode MS"/>
              </w:rPr>
              <w:t>✓</w:t>
            </w:r>
          </w:p>
        </w:tc>
        <w:tc>
          <w:tcPr>
            <w:tcW w:w="681" w:type="dxa"/>
            <w:vAlign w:val="center"/>
          </w:tcPr>
          <w:p w14:paraId="58BC0153" w14:textId="74400126" w:rsidR="0011252D" w:rsidRPr="00100F0A" w:rsidRDefault="0011252D" w:rsidP="0011252D">
            <w:pPr>
              <w:pStyle w:val="BodyText"/>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3F8BB454" w14:textId="77777777" w:rsidR="0011252D" w:rsidRPr="00100F0A" w:rsidRDefault="0011252D" w:rsidP="0011252D">
            <w:pPr>
              <w:pStyle w:val="BodyText"/>
              <w:jc w:val="center"/>
              <w:cnfStyle w:val="000000000000" w:firstRow="0" w:lastRow="0" w:firstColumn="0" w:lastColumn="0" w:oddVBand="0" w:evenVBand="0" w:oddHBand="0" w:evenHBand="0" w:firstRowFirstColumn="0" w:firstRowLastColumn="0" w:lastRowFirstColumn="0" w:lastRowLastColumn="0"/>
            </w:pPr>
            <w:r w:rsidRPr="00100F0A">
              <w:rPr>
                <w:rFonts w:ascii="Arial Unicode MS" w:eastAsia="Arial Unicode MS" w:hAnsi="Arial Unicode MS" w:cs="Arial Unicode MS"/>
              </w:rPr>
              <w:t>✓</w:t>
            </w:r>
          </w:p>
        </w:tc>
        <w:tc>
          <w:tcPr>
            <w:tcW w:w="681" w:type="dxa"/>
            <w:vAlign w:val="center"/>
          </w:tcPr>
          <w:p w14:paraId="6D91D8EC" w14:textId="77777777" w:rsidR="0011252D" w:rsidRPr="00100F0A" w:rsidRDefault="0011252D" w:rsidP="0011252D">
            <w:pPr>
              <w:pStyle w:val="BodyText"/>
              <w:jc w:val="center"/>
              <w:cnfStyle w:val="000000000000" w:firstRow="0" w:lastRow="0" w:firstColumn="0" w:lastColumn="0" w:oddVBand="0" w:evenVBand="0" w:oddHBand="0" w:evenHBand="0" w:firstRowFirstColumn="0" w:firstRowLastColumn="0" w:lastRowFirstColumn="0" w:lastRowLastColumn="0"/>
            </w:pPr>
          </w:p>
        </w:tc>
        <w:tc>
          <w:tcPr>
            <w:tcW w:w="3313" w:type="dxa"/>
            <w:vAlign w:val="center"/>
          </w:tcPr>
          <w:p w14:paraId="0F3BD0D8" w14:textId="3890E5A8" w:rsidR="0011252D" w:rsidRPr="00100F0A" w:rsidRDefault="0011252D" w:rsidP="0011252D">
            <w:pPr>
              <w:pStyle w:val="BodyText"/>
              <w:cnfStyle w:val="000000000000" w:firstRow="0" w:lastRow="0" w:firstColumn="0" w:lastColumn="0" w:oddVBand="0" w:evenVBand="0" w:oddHBand="0" w:evenHBand="0" w:firstRowFirstColumn="0" w:firstRowLastColumn="0" w:lastRowFirstColumn="0" w:lastRowLastColumn="0"/>
            </w:pPr>
            <w:r w:rsidRPr="00100F0A">
              <w:rPr>
                <w:rFonts w:eastAsia="Arial Unicode MS" w:cs="Arial Unicode MS"/>
              </w:rPr>
              <w:t>Full data dump</w:t>
            </w:r>
          </w:p>
        </w:tc>
      </w:tr>
      <w:tr w:rsidR="0011252D" w:rsidRPr="00100F0A" w14:paraId="0EEAFB66" w14:textId="77777777" w:rsidTr="00F56453">
        <w:tc>
          <w:tcPr>
            <w:cnfStyle w:val="001000000000" w:firstRow="0" w:lastRow="0" w:firstColumn="1" w:lastColumn="0" w:oddVBand="0" w:evenVBand="0" w:oddHBand="0" w:evenHBand="0" w:firstRowFirstColumn="0" w:firstRowLastColumn="0" w:lastRowFirstColumn="0" w:lastRowLastColumn="0"/>
            <w:tcW w:w="1271" w:type="dxa"/>
          </w:tcPr>
          <w:p w14:paraId="7C20759D" w14:textId="77777777" w:rsidR="0011252D" w:rsidRPr="00100F0A" w:rsidRDefault="0011252D" w:rsidP="0011252D">
            <w:pPr>
              <w:pStyle w:val="BodyText"/>
            </w:pPr>
            <w:r w:rsidRPr="00100F0A">
              <w:t>WA</w:t>
            </w:r>
          </w:p>
        </w:tc>
        <w:tc>
          <w:tcPr>
            <w:tcW w:w="1134" w:type="dxa"/>
            <w:vAlign w:val="center"/>
          </w:tcPr>
          <w:p w14:paraId="044D0565" w14:textId="77777777" w:rsidR="0011252D" w:rsidRPr="00100F0A" w:rsidRDefault="0011252D" w:rsidP="0011252D">
            <w:pPr>
              <w:pStyle w:val="BodyText"/>
              <w:cnfStyle w:val="000000000000" w:firstRow="0" w:lastRow="0" w:firstColumn="0" w:lastColumn="0" w:oddVBand="0" w:evenVBand="0" w:oddHBand="0" w:evenHBand="0" w:firstRowFirstColumn="0" w:firstRowLastColumn="0" w:lastRowFirstColumn="0" w:lastRowLastColumn="0"/>
            </w:pPr>
            <w:r w:rsidRPr="00100F0A">
              <w:t>2006-2017</w:t>
            </w:r>
          </w:p>
        </w:tc>
        <w:tc>
          <w:tcPr>
            <w:tcW w:w="680" w:type="dxa"/>
            <w:vAlign w:val="center"/>
          </w:tcPr>
          <w:p w14:paraId="0D7735CC" w14:textId="77777777" w:rsidR="0011252D" w:rsidRPr="00100F0A" w:rsidRDefault="0011252D" w:rsidP="0011252D">
            <w:pPr>
              <w:pStyle w:val="BodyText"/>
              <w:jc w:val="center"/>
              <w:cnfStyle w:val="000000000000" w:firstRow="0" w:lastRow="0" w:firstColumn="0" w:lastColumn="0" w:oddVBand="0" w:evenVBand="0" w:oddHBand="0" w:evenHBand="0" w:firstRowFirstColumn="0" w:firstRowLastColumn="0" w:lastRowFirstColumn="0" w:lastRowLastColumn="0"/>
            </w:pPr>
            <w:r w:rsidRPr="00100F0A">
              <w:rPr>
                <w:rFonts w:ascii="Arial Unicode MS" w:eastAsia="Arial Unicode MS" w:hAnsi="Arial Unicode MS" w:cs="Arial Unicode MS"/>
              </w:rPr>
              <w:t>✓</w:t>
            </w:r>
          </w:p>
        </w:tc>
        <w:tc>
          <w:tcPr>
            <w:tcW w:w="680" w:type="dxa"/>
            <w:vAlign w:val="center"/>
          </w:tcPr>
          <w:p w14:paraId="31578EFA" w14:textId="77777777" w:rsidR="0011252D" w:rsidRPr="00100F0A" w:rsidRDefault="0011252D" w:rsidP="0011252D">
            <w:pPr>
              <w:pStyle w:val="BodyText"/>
              <w:jc w:val="center"/>
              <w:cnfStyle w:val="000000000000" w:firstRow="0" w:lastRow="0" w:firstColumn="0" w:lastColumn="0" w:oddVBand="0" w:evenVBand="0" w:oddHBand="0" w:evenHBand="0" w:firstRowFirstColumn="0" w:firstRowLastColumn="0" w:lastRowFirstColumn="0" w:lastRowLastColumn="0"/>
            </w:pPr>
            <w:r w:rsidRPr="00100F0A">
              <w:rPr>
                <w:rFonts w:ascii="Arial Unicode MS" w:eastAsia="Arial Unicode MS" w:hAnsi="Arial Unicode MS" w:cs="Arial Unicode MS"/>
              </w:rPr>
              <w:t>✓</w:t>
            </w:r>
          </w:p>
        </w:tc>
        <w:tc>
          <w:tcPr>
            <w:tcW w:w="681" w:type="dxa"/>
            <w:vAlign w:val="center"/>
          </w:tcPr>
          <w:p w14:paraId="0714EBAF" w14:textId="77777777" w:rsidR="0011252D" w:rsidRPr="00100F0A" w:rsidRDefault="0011252D" w:rsidP="0011252D">
            <w:pPr>
              <w:pStyle w:val="BodyText"/>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48A24A67" w14:textId="77777777" w:rsidR="0011252D" w:rsidRPr="00100F0A" w:rsidRDefault="0011252D" w:rsidP="0011252D">
            <w:pPr>
              <w:pStyle w:val="BodyText"/>
              <w:jc w:val="center"/>
              <w:cnfStyle w:val="000000000000" w:firstRow="0" w:lastRow="0" w:firstColumn="0" w:lastColumn="0" w:oddVBand="0" w:evenVBand="0" w:oddHBand="0" w:evenHBand="0" w:firstRowFirstColumn="0" w:firstRowLastColumn="0" w:lastRowFirstColumn="0" w:lastRowLastColumn="0"/>
            </w:pPr>
            <w:r w:rsidRPr="00100F0A">
              <w:rPr>
                <w:rFonts w:ascii="Arial Unicode MS" w:eastAsia="Arial Unicode MS" w:hAnsi="Arial Unicode MS" w:cs="Arial Unicode MS"/>
              </w:rPr>
              <w:t>✓</w:t>
            </w:r>
          </w:p>
        </w:tc>
        <w:tc>
          <w:tcPr>
            <w:tcW w:w="681" w:type="dxa"/>
            <w:vAlign w:val="center"/>
          </w:tcPr>
          <w:p w14:paraId="150D233E" w14:textId="77777777" w:rsidR="0011252D" w:rsidRPr="00100F0A" w:rsidRDefault="0011252D" w:rsidP="0011252D">
            <w:pPr>
              <w:pStyle w:val="BodyText"/>
              <w:jc w:val="center"/>
              <w:cnfStyle w:val="000000000000" w:firstRow="0" w:lastRow="0" w:firstColumn="0" w:lastColumn="0" w:oddVBand="0" w:evenVBand="0" w:oddHBand="0" w:evenHBand="0" w:firstRowFirstColumn="0" w:firstRowLastColumn="0" w:lastRowFirstColumn="0" w:lastRowLastColumn="0"/>
            </w:pPr>
            <w:r w:rsidRPr="00100F0A">
              <w:rPr>
                <w:rFonts w:ascii="Arial Unicode MS" w:eastAsia="Arial Unicode MS" w:hAnsi="Arial Unicode MS" w:cs="Arial Unicode MS"/>
              </w:rPr>
              <w:t>✓</w:t>
            </w:r>
          </w:p>
        </w:tc>
        <w:tc>
          <w:tcPr>
            <w:tcW w:w="3313" w:type="dxa"/>
            <w:vAlign w:val="center"/>
          </w:tcPr>
          <w:p w14:paraId="340DC27D" w14:textId="598F2501" w:rsidR="0011252D" w:rsidRPr="00100F0A" w:rsidRDefault="0011252D" w:rsidP="0011252D">
            <w:pPr>
              <w:pStyle w:val="BodyText"/>
              <w:cnfStyle w:val="000000000000" w:firstRow="0" w:lastRow="0" w:firstColumn="0" w:lastColumn="0" w:oddVBand="0" w:evenVBand="0" w:oddHBand="0" w:evenHBand="0" w:firstRowFirstColumn="0" w:firstRowLastColumn="0" w:lastRowFirstColumn="0" w:lastRowLastColumn="0"/>
            </w:pPr>
            <w:r w:rsidRPr="00100F0A">
              <w:rPr>
                <w:rFonts w:eastAsia="Arial Unicode MS" w:cs="Arial Unicode MS"/>
              </w:rPr>
              <w:t>Full data dump. Asbestos from landfill reports.</w:t>
            </w:r>
          </w:p>
        </w:tc>
      </w:tr>
    </w:tbl>
    <w:p w14:paraId="67BB1E31" w14:textId="77777777" w:rsidR="00DA7ED9" w:rsidRPr="00100F0A" w:rsidRDefault="00DA7ED9" w:rsidP="00DA7ED9">
      <w:pPr>
        <w:pStyle w:val="BodyText"/>
      </w:pPr>
    </w:p>
    <w:p w14:paraId="1082291A" w14:textId="07F47C6A" w:rsidR="00DA7ED9" w:rsidRPr="00100F0A" w:rsidRDefault="00DA7ED9" w:rsidP="00DA7ED9">
      <w:pPr>
        <w:pStyle w:val="BodyText"/>
      </w:pPr>
      <w:r w:rsidRPr="00100F0A">
        <w:t xml:space="preserve">As </w:t>
      </w:r>
      <w:r w:rsidRPr="00100F0A">
        <w:fldChar w:fldCharType="begin"/>
      </w:r>
      <w:r w:rsidRPr="00100F0A">
        <w:instrText xml:space="preserve"> REF _Ref519612611 \h </w:instrText>
      </w:r>
      <w:r w:rsidRPr="00100F0A">
        <w:fldChar w:fldCharType="separate"/>
      </w:r>
      <w:r w:rsidR="00EB634D" w:rsidRPr="00100F0A">
        <w:t xml:space="preserve">Table </w:t>
      </w:r>
      <w:r w:rsidR="00EB634D">
        <w:rPr>
          <w:noProof/>
        </w:rPr>
        <w:t>3</w:t>
      </w:r>
      <w:r w:rsidRPr="00100F0A">
        <w:fldChar w:fldCharType="end"/>
      </w:r>
      <w:r w:rsidRPr="00100F0A">
        <w:t xml:space="preserve"> shows, there was significant variability in the characteristics of the data received. A range of other challenges with the data set affected its quality and the ease of interpretation, as listed below:</w:t>
      </w:r>
    </w:p>
    <w:p w14:paraId="6C6F821D" w14:textId="5C5BFCFD" w:rsidR="00DA7ED9" w:rsidRPr="00100F0A" w:rsidRDefault="00DA7ED9" w:rsidP="00DA7ED9">
      <w:pPr>
        <w:pStyle w:val="Bullet1"/>
        <w:rPr>
          <w:rFonts w:eastAsiaTheme="minorHAnsi" w:cstheme="minorBidi"/>
        </w:rPr>
      </w:pPr>
      <w:r w:rsidRPr="00100F0A">
        <w:t>the methods used by jurisdictions to classify waste types</w:t>
      </w:r>
      <w:r w:rsidR="0011252D" w:rsidRPr="00100F0A">
        <w:t xml:space="preserve"> </w:t>
      </w:r>
      <w:r w:rsidRPr="00100F0A">
        <w:t>vary</w:t>
      </w:r>
    </w:p>
    <w:p w14:paraId="0CDF912B" w14:textId="77777777" w:rsidR="00DA7ED9" w:rsidRPr="00100F0A" w:rsidRDefault="00DA7ED9" w:rsidP="00DA7ED9">
      <w:pPr>
        <w:pStyle w:val="Bullet1"/>
        <w:rPr>
          <w:rFonts w:eastAsiaTheme="minorHAnsi" w:cstheme="minorBidi"/>
        </w:rPr>
      </w:pPr>
      <w:r w:rsidRPr="00100F0A">
        <w:t>some wastes are counted more than once in tracking system data</w:t>
      </w:r>
    </w:p>
    <w:p w14:paraId="77D0D132" w14:textId="77777777" w:rsidR="00DA7ED9" w:rsidRPr="00100F0A" w:rsidRDefault="00DA7ED9" w:rsidP="00DA7ED9">
      <w:pPr>
        <w:pStyle w:val="Bullet1"/>
        <w:rPr>
          <w:rFonts w:eastAsiaTheme="minorHAnsi" w:cstheme="minorBidi"/>
        </w:rPr>
      </w:pPr>
      <w:r w:rsidRPr="00100F0A">
        <w:t>the data includes potential ‘spikes’ due to periodic releases from storage</w:t>
      </w:r>
    </w:p>
    <w:p w14:paraId="20F65C4F" w14:textId="45D644EB" w:rsidR="00DA7ED9" w:rsidRPr="00100F0A" w:rsidRDefault="00DA7ED9" w:rsidP="00DA7ED9">
      <w:pPr>
        <w:pStyle w:val="Bullet1"/>
        <w:rPr>
          <w:rFonts w:eastAsiaTheme="minorHAnsi" w:cstheme="minorBidi"/>
        </w:rPr>
      </w:pPr>
      <w:r w:rsidRPr="00100F0A">
        <w:t>there are definitional challenges such as whether to report on</w:t>
      </w:r>
      <w:r w:rsidR="0075636D">
        <w:t>-</w:t>
      </w:r>
      <w:r w:rsidRPr="00100F0A">
        <w:t>site disposal</w:t>
      </w:r>
    </w:p>
    <w:p w14:paraId="264000F7" w14:textId="77777777" w:rsidR="00DA7ED9" w:rsidRPr="00100F0A" w:rsidRDefault="00DA7ED9" w:rsidP="00DA7ED9">
      <w:pPr>
        <w:pStyle w:val="Bullet1"/>
        <w:rPr>
          <w:rFonts w:eastAsiaTheme="minorHAnsi" w:cstheme="minorBidi"/>
        </w:rPr>
      </w:pPr>
      <w:r w:rsidRPr="00100F0A">
        <w:t>data is received with varying measurement methods (mass, volume, numbers of items)</w:t>
      </w:r>
    </w:p>
    <w:p w14:paraId="0071DB67" w14:textId="56A4B0F0" w:rsidR="00DA7ED9" w:rsidRPr="00100F0A" w:rsidRDefault="00DA7ED9" w:rsidP="00DA7ED9">
      <w:pPr>
        <w:pStyle w:val="Bullet1"/>
        <w:rPr>
          <w:rFonts w:eastAsiaTheme="minorHAnsi" w:cstheme="minorBidi"/>
        </w:rPr>
      </w:pPr>
      <w:r w:rsidRPr="00100F0A">
        <w:t xml:space="preserve">states classify </w:t>
      </w:r>
      <w:r w:rsidR="0011252D" w:rsidRPr="00100F0A">
        <w:t>management types</w:t>
      </w:r>
      <w:r w:rsidRPr="00100F0A">
        <w:t xml:space="preserve"> and source industries differently</w:t>
      </w:r>
    </w:p>
    <w:p w14:paraId="2AFA9F77" w14:textId="532E5D1D" w:rsidR="00DA7ED9" w:rsidRPr="00100F0A" w:rsidRDefault="00DA7ED9" w:rsidP="00DA7ED9">
      <w:pPr>
        <w:pStyle w:val="Bullet1"/>
        <w:rPr>
          <w:rFonts w:eastAsiaTheme="minorHAnsi" w:cstheme="minorBidi"/>
        </w:rPr>
      </w:pPr>
      <w:r w:rsidRPr="00100F0A">
        <w:t xml:space="preserve">there are apparent differences in the way reporters classify similar wastes. </w:t>
      </w:r>
    </w:p>
    <w:p w14:paraId="6BC44FAD" w14:textId="77777777" w:rsidR="00DA7ED9" w:rsidRPr="00100F0A" w:rsidRDefault="00DA7ED9" w:rsidP="00DA7ED9">
      <w:pPr>
        <w:pStyle w:val="BodyText"/>
      </w:pPr>
    </w:p>
    <w:p w14:paraId="65319512" w14:textId="5C28AC57" w:rsidR="00DA7ED9" w:rsidRPr="00100F0A" w:rsidRDefault="00DA7ED9" w:rsidP="00DA7ED9">
      <w:pPr>
        <w:pStyle w:val="BodyText"/>
      </w:pPr>
      <w:r w:rsidRPr="00100F0A">
        <w:t>These challenges have been considered and responded to in previous D</w:t>
      </w:r>
      <w:r w:rsidR="0075636D">
        <w:t>oEE</w:t>
      </w:r>
      <w:r w:rsidRPr="00100F0A">
        <w:t xml:space="preserve"> projects. The </w:t>
      </w:r>
      <w:hyperlink r:id="rId31" w:history="1">
        <w:r w:rsidRPr="00100F0A">
          <w:rPr>
            <w:rStyle w:val="Hyperlink"/>
          </w:rPr>
          <w:t>Australian Hazardous Waste Data and Reporting Standard</w:t>
        </w:r>
      </w:hyperlink>
      <w:r w:rsidRPr="00100F0A">
        <w:t xml:space="preserve"> describes how they have been addressed. </w:t>
      </w:r>
    </w:p>
    <w:p w14:paraId="3A30C774" w14:textId="77777777" w:rsidR="00DA7ED9" w:rsidRPr="00100F0A" w:rsidRDefault="00DA7ED9" w:rsidP="00DA7ED9">
      <w:pPr>
        <w:pStyle w:val="BodyText"/>
      </w:pPr>
    </w:p>
    <w:p w14:paraId="7C6086E7" w14:textId="297D5BF4" w:rsidR="00DA7ED9" w:rsidRDefault="00DA7ED9" w:rsidP="00DA7ED9">
      <w:pPr>
        <w:pStyle w:val="BodyText"/>
      </w:pPr>
      <w:r w:rsidRPr="00100F0A">
        <w:t xml:space="preserve">Despite the challenges, the data provides a far-reaching insight into the trends in hazardous waste data arisings and the sources and </w:t>
      </w:r>
      <w:r w:rsidR="00667E7A" w:rsidRPr="00100F0A">
        <w:t xml:space="preserve">management of </w:t>
      </w:r>
      <w:r w:rsidRPr="00100F0A">
        <w:t xml:space="preserve">the different waste types. </w:t>
      </w:r>
    </w:p>
    <w:p w14:paraId="493D665F" w14:textId="538D3655" w:rsidR="00437A1F" w:rsidRDefault="00437A1F" w:rsidP="00DA7ED9">
      <w:pPr>
        <w:pStyle w:val="BodyText"/>
      </w:pPr>
    </w:p>
    <w:p w14:paraId="6B6A4354" w14:textId="7F3BFA9A" w:rsidR="00437A1F" w:rsidRDefault="00437A1F" w:rsidP="00DA7ED9">
      <w:pPr>
        <w:pStyle w:val="BodyText"/>
      </w:pPr>
    </w:p>
    <w:p w14:paraId="3B09D7C4" w14:textId="77B33FD7" w:rsidR="00437A1F" w:rsidRDefault="00437A1F" w:rsidP="00DA7ED9">
      <w:pPr>
        <w:pStyle w:val="BodyText"/>
      </w:pPr>
    </w:p>
    <w:p w14:paraId="32A52520" w14:textId="13735A7D" w:rsidR="00437A1F" w:rsidRDefault="00437A1F" w:rsidP="00DA7ED9">
      <w:pPr>
        <w:pStyle w:val="BodyText"/>
      </w:pPr>
    </w:p>
    <w:p w14:paraId="4B6338F0" w14:textId="2297C920" w:rsidR="00437A1F" w:rsidRDefault="00437A1F" w:rsidP="00DA7ED9">
      <w:pPr>
        <w:pStyle w:val="BodyText"/>
      </w:pPr>
    </w:p>
    <w:p w14:paraId="340B8A8C" w14:textId="0EAC118D" w:rsidR="00437A1F" w:rsidRDefault="00437A1F" w:rsidP="00DA7ED9">
      <w:pPr>
        <w:pStyle w:val="BodyText"/>
      </w:pPr>
    </w:p>
    <w:p w14:paraId="7A29F7A8" w14:textId="1AEA20EE" w:rsidR="00437A1F" w:rsidRDefault="00437A1F" w:rsidP="00DA7ED9">
      <w:pPr>
        <w:pStyle w:val="BodyText"/>
      </w:pPr>
    </w:p>
    <w:p w14:paraId="1E243CFD" w14:textId="77777777" w:rsidR="00DA7ED9" w:rsidRPr="00100F0A" w:rsidRDefault="00DA7ED9" w:rsidP="00DA7ED9">
      <w:pPr>
        <w:pStyle w:val="Heading3"/>
      </w:pPr>
      <w:bookmarkStart w:id="89" w:name="_Ref519596983"/>
      <w:bookmarkStart w:id="90" w:name="_Ref519597885"/>
      <w:r w:rsidRPr="00100F0A">
        <w:t>Pre-existing waste projections</w:t>
      </w:r>
      <w:bookmarkEnd w:id="89"/>
    </w:p>
    <w:p w14:paraId="6F446D21" w14:textId="13A65B49" w:rsidR="00DA7ED9" w:rsidRPr="00100F0A" w:rsidRDefault="00DA7ED9" w:rsidP="00DA7ED9">
      <w:pPr>
        <w:pStyle w:val="BodyText"/>
      </w:pPr>
      <w:r w:rsidRPr="00100F0A">
        <w:t xml:space="preserve">Four useful pre-existing waste projections were identified. These are summarised in </w:t>
      </w:r>
      <w:r w:rsidRPr="00100F0A">
        <w:fldChar w:fldCharType="begin"/>
      </w:r>
      <w:r w:rsidRPr="00100F0A">
        <w:instrText xml:space="preserve"> REF _Ref406181318 \h  \* MERGEFORMAT </w:instrText>
      </w:r>
      <w:r w:rsidRPr="00100F0A">
        <w:fldChar w:fldCharType="separate"/>
      </w:r>
      <w:r w:rsidR="00EB634D" w:rsidRPr="00100F0A">
        <w:t xml:space="preserve">Table </w:t>
      </w:r>
      <w:r w:rsidR="00EB634D">
        <w:rPr>
          <w:noProof/>
        </w:rPr>
        <w:t>4</w:t>
      </w:r>
      <w:r w:rsidRPr="00100F0A">
        <w:fldChar w:fldCharType="end"/>
      </w:r>
      <w:r w:rsidRPr="00100F0A">
        <w:t>.</w:t>
      </w:r>
    </w:p>
    <w:p w14:paraId="2F1B862C" w14:textId="36CBD0F4" w:rsidR="00DA7ED9" w:rsidRPr="00100F0A" w:rsidRDefault="00DA7ED9" w:rsidP="00DA7ED9">
      <w:pPr>
        <w:pStyle w:val="Caption"/>
      </w:pPr>
      <w:bookmarkStart w:id="91" w:name="_Ref406181318"/>
      <w:bookmarkStart w:id="92" w:name="_Toc406412243"/>
      <w:bookmarkStart w:id="93" w:name="_Toc425849288"/>
      <w:bookmarkStart w:id="94" w:name="_Toc519528053"/>
      <w:bookmarkStart w:id="95" w:name="_Toc13225623"/>
      <w:r w:rsidRPr="00100F0A">
        <w:t xml:space="preserve">Table </w:t>
      </w:r>
      <w:r w:rsidRPr="00100F0A">
        <w:rPr>
          <w:noProof/>
        </w:rPr>
        <w:fldChar w:fldCharType="begin"/>
      </w:r>
      <w:r w:rsidRPr="00100F0A">
        <w:rPr>
          <w:noProof/>
        </w:rPr>
        <w:instrText xml:space="preserve"> SEQ Table \* ARABIC </w:instrText>
      </w:r>
      <w:r w:rsidRPr="00100F0A">
        <w:rPr>
          <w:noProof/>
        </w:rPr>
        <w:fldChar w:fldCharType="separate"/>
      </w:r>
      <w:r w:rsidR="00EB634D">
        <w:rPr>
          <w:noProof/>
        </w:rPr>
        <w:t>4</w:t>
      </w:r>
      <w:r w:rsidRPr="00100F0A">
        <w:rPr>
          <w:noProof/>
        </w:rPr>
        <w:fldChar w:fldCharType="end"/>
      </w:r>
      <w:bookmarkEnd w:id="91"/>
      <w:r w:rsidR="00C14F18">
        <w:rPr>
          <w:noProof/>
        </w:rPr>
        <w:t>:</w:t>
      </w:r>
      <w:r w:rsidRPr="00100F0A">
        <w:tab/>
        <w:t>Pre-existing waste projections used in building our projections</w:t>
      </w:r>
      <w:bookmarkEnd w:id="92"/>
      <w:bookmarkEnd w:id="93"/>
      <w:bookmarkEnd w:id="94"/>
      <w:bookmarkEnd w:id="95"/>
    </w:p>
    <w:tbl>
      <w:tblPr>
        <w:tblStyle w:val="BE-table"/>
        <w:tblW w:w="0" w:type="auto"/>
        <w:tblLook w:val="04A0" w:firstRow="1" w:lastRow="0" w:firstColumn="1" w:lastColumn="0" w:noHBand="0" w:noVBand="1"/>
      </w:tblPr>
      <w:tblGrid>
        <w:gridCol w:w="1555"/>
        <w:gridCol w:w="2693"/>
        <w:gridCol w:w="4775"/>
      </w:tblGrid>
      <w:tr w:rsidR="00DA7ED9" w:rsidRPr="00100F0A" w14:paraId="05594AFC" w14:textId="77777777" w:rsidTr="00DA7E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DF71123" w14:textId="77777777" w:rsidR="00DA7ED9" w:rsidRPr="00100F0A" w:rsidRDefault="00DA7ED9" w:rsidP="00DA7ED9">
            <w:pPr>
              <w:spacing w:before="144" w:after="144"/>
            </w:pPr>
            <w:r w:rsidRPr="00100F0A">
              <w:t>Information source</w:t>
            </w:r>
          </w:p>
        </w:tc>
        <w:tc>
          <w:tcPr>
            <w:tcW w:w="2693" w:type="dxa"/>
          </w:tcPr>
          <w:p w14:paraId="1A594CAD" w14:textId="77777777" w:rsidR="00DA7ED9" w:rsidRPr="00100F0A" w:rsidRDefault="00DA7ED9" w:rsidP="00DA7ED9">
            <w:pPr>
              <w:spacing w:before="144" w:after="144"/>
              <w:cnfStyle w:val="100000000000" w:firstRow="1" w:lastRow="0" w:firstColumn="0" w:lastColumn="0" w:oddVBand="0" w:evenVBand="0" w:oddHBand="0" w:evenHBand="0" w:firstRowFirstColumn="0" w:firstRowLastColumn="0" w:lastRowFirstColumn="0" w:lastRowLastColumn="0"/>
            </w:pPr>
            <w:r w:rsidRPr="00100F0A">
              <w:t>Relevant waste group</w:t>
            </w:r>
            <w:r w:rsidRPr="00100F0A">
              <w:tab/>
            </w:r>
          </w:p>
        </w:tc>
        <w:tc>
          <w:tcPr>
            <w:tcW w:w="4775" w:type="dxa"/>
          </w:tcPr>
          <w:p w14:paraId="6EDF3DF8" w14:textId="77777777" w:rsidR="00DA7ED9" w:rsidRPr="00100F0A" w:rsidRDefault="00DA7ED9" w:rsidP="00DA7ED9">
            <w:pPr>
              <w:spacing w:before="144" w:after="144"/>
              <w:cnfStyle w:val="100000000000" w:firstRow="1" w:lastRow="0" w:firstColumn="0" w:lastColumn="0" w:oddVBand="0" w:evenVBand="0" w:oddHBand="0" w:evenHBand="0" w:firstRowFirstColumn="0" w:firstRowLastColumn="0" w:lastRowFirstColumn="0" w:lastRowLastColumn="0"/>
            </w:pPr>
            <w:r w:rsidRPr="00100F0A">
              <w:t>Use in projections?</w:t>
            </w:r>
          </w:p>
        </w:tc>
      </w:tr>
      <w:tr w:rsidR="00DA7ED9" w:rsidRPr="00100F0A" w14:paraId="3E8781C9" w14:textId="77777777" w:rsidTr="00DA7ED9">
        <w:tc>
          <w:tcPr>
            <w:cnfStyle w:val="001000000000" w:firstRow="0" w:lastRow="0" w:firstColumn="1" w:lastColumn="0" w:oddVBand="0" w:evenVBand="0" w:oddHBand="0" w:evenHBand="0" w:firstRowFirstColumn="0" w:firstRowLastColumn="0" w:lastRowFirstColumn="0" w:lastRowLastColumn="0"/>
            <w:tcW w:w="1555" w:type="dxa"/>
          </w:tcPr>
          <w:p w14:paraId="4D9E4AA3" w14:textId="276143F2" w:rsidR="00DA7ED9" w:rsidRPr="00100F0A" w:rsidRDefault="00DA7ED9" w:rsidP="00DA7ED9">
            <w:r w:rsidRPr="00100F0A">
              <w:t xml:space="preserve">BE (2016) </w:t>
            </w:r>
          </w:p>
        </w:tc>
        <w:tc>
          <w:tcPr>
            <w:tcW w:w="2693" w:type="dxa"/>
          </w:tcPr>
          <w:p w14:paraId="4CA225AF" w14:textId="77777777" w:rsidR="00DA7ED9" w:rsidRPr="00100F0A" w:rsidRDefault="00DA7ED9" w:rsidP="00DA7ED9">
            <w:pPr>
              <w:cnfStyle w:val="000000000000" w:firstRow="0" w:lastRow="0" w:firstColumn="0" w:lastColumn="0" w:oddVBand="0" w:evenVBand="0" w:oddHBand="0" w:evenHBand="0" w:firstRowFirstColumn="0" w:firstRowLastColumn="0" w:lastRowFirstColumn="0" w:lastRowLastColumn="0"/>
            </w:pPr>
            <w:r w:rsidRPr="00100F0A">
              <w:t>E-waste</w:t>
            </w:r>
          </w:p>
        </w:tc>
        <w:tc>
          <w:tcPr>
            <w:tcW w:w="4775" w:type="dxa"/>
          </w:tcPr>
          <w:p w14:paraId="038C7595" w14:textId="77777777" w:rsidR="00DA7ED9" w:rsidRPr="00100F0A" w:rsidRDefault="00DA7ED9" w:rsidP="00DA7ED9">
            <w:pPr>
              <w:cnfStyle w:val="000000000000" w:firstRow="0" w:lastRow="0" w:firstColumn="0" w:lastColumn="0" w:oddVBand="0" w:evenVBand="0" w:oddHBand="0" w:evenHBand="0" w:firstRowFirstColumn="0" w:firstRowLastColumn="0" w:lastRowFirstColumn="0" w:lastRowLastColumn="0"/>
            </w:pPr>
            <w:r w:rsidRPr="00100F0A">
              <w:t>Used as a proxy for POP-BDE waste (M160a), best, high and low estimates</w:t>
            </w:r>
          </w:p>
        </w:tc>
      </w:tr>
      <w:tr w:rsidR="00DA7ED9" w:rsidRPr="00100F0A" w14:paraId="42AA6367" w14:textId="77777777" w:rsidTr="00DA7ED9">
        <w:tc>
          <w:tcPr>
            <w:cnfStyle w:val="001000000000" w:firstRow="0" w:lastRow="0" w:firstColumn="1" w:lastColumn="0" w:oddVBand="0" w:evenVBand="0" w:oddHBand="0" w:evenHBand="0" w:firstRowFirstColumn="0" w:firstRowLastColumn="0" w:lastRowFirstColumn="0" w:lastRowLastColumn="0"/>
            <w:tcW w:w="1555" w:type="dxa"/>
          </w:tcPr>
          <w:p w14:paraId="6F8ADFBF" w14:textId="6E135D9D" w:rsidR="00DA7ED9" w:rsidRPr="00100F0A" w:rsidRDefault="00DA7ED9" w:rsidP="00DA7ED9">
            <w:r w:rsidRPr="00100F0A">
              <w:t>REC (201</w:t>
            </w:r>
            <w:r w:rsidR="00DE7D0E" w:rsidRPr="00100F0A">
              <w:t>7</w:t>
            </w:r>
            <w:r w:rsidRPr="00100F0A">
              <w:t xml:space="preserve">) </w:t>
            </w:r>
          </w:p>
        </w:tc>
        <w:tc>
          <w:tcPr>
            <w:tcW w:w="2693" w:type="dxa"/>
          </w:tcPr>
          <w:p w14:paraId="3DB69986" w14:textId="77777777" w:rsidR="00DA7ED9" w:rsidRPr="00100F0A" w:rsidRDefault="00DA7ED9" w:rsidP="00DA7ED9">
            <w:pPr>
              <w:cnfStyle w:val="000000000000" w:firstRow="0" w:lastRow="0" w:firstColumn="0" w:lastColumn="0" w:oddVBand="0" w:evenVBand="0" w:oddHBand="0" w:evenHBand="0" w:firstRowFirstColumn="0" w:firstRowLastColumn="0" w:lastRowFirstColumn="0" w:lastRowLastColumn="0"/>
            </w:pPr>
            <w:r w:rsidRPr="00100F0A">
              <w:t>Tyres (T140)</w:t>
            </w:r>
          </w:p>
        </w:tc>
        <w:tc>
          <w:tcPr>
            <w:tcW w:w="4775" w:type="dxa"/>
          </w:tcPr>
          <w:p w14:paraId="212C7C54" w14:textId="77777777" w:rsidR="00DA7ED9" w:rsidRPr="00100F0A" w:rsidRDefault="00DA7ED9" w:rsidP="00DA7ED9">
            <w:pPr>
              <w:cnfStyle w:val="000000000000" w:firstRow="0" w:lastRow="0" w:firstColumn="0" w:lastColumn="0" w:oddVBand="0" w:evenVBand="0" w:oddHBand="0" w:evenHBand="0" w:firstRowFirstColumn="0" w:firstRowLastColumn="0" w:lastRowFirstColumn="0" w:lastRowLastColumn="0"/>
            </w:pPr>
            <w:r w:rsidRPr="00100F0A">
              <w:t>Best estimate</w:t>
            </w:r>
          </w:p>
        </w:tc>
      </w:tr>
      <w:tr w:rsidR="00DA7ED9" w:rsidRPr="00100F0A" w14:paraId="47344C1D" w14:textId="77777777" w:rsidTr="00DA7ED9">
        <w:tc>
          <w:tcPr>
            <w:cnfStyle w:val="001000000000" w:firstRow="0" w:lastRow="0" w:firstColumn="1" w:lastColumn="0" w:oddVBand="0" w:evenVBand="0" w:oddHBand="0" w:evenHBand="0" w:firstRowFirstColumn="0" w:firstRowLastColumn="0" w:lastRowFirstColumn="0" w:lastRowLastColumn="0"/>
            <w:tcW w:w="1555" w:type="dxa"/>
          </w:tcPr>
          <w:p w14:paraId="1DB44BCC" w14:textId="6BC5CE9A" w:rsidR="00DA7ED9" w:rsidRPr="00100F0A" w:rsidRDefault="00345804" w:rsidP="00DA7ED9">
            <w:r w:rsidRPr="00100F0A">
              <w:t>REC 2018</w:t>
            </w:r>
            <w:r w:rsidR="00DA7ED9" w:rsidRPr="00100F0A">
              <w:t xml:space="preserve"> </w:t>
            </w:r>
          </w:p>
        </w:tc>
        <w:tc>
          <w:tcPr>
            <w:tcW w:w="2693" w:type="dxa"/>
          </w:tcPr>
          <w:p w14:paraId="28CCA1BC" w14:textId="77777777" w:rsidR="00DA7ED9" w:rsidRPr="00100F0A" w:rsidRDefault="00DA7ED9" w:rsidP="00DA7ED9">
            <w:pPr>
              <w:cnfStyle w:val="000000000000" w:firstRow="0" w:lastRow="0" w:firstColumn="0" w:lastColumn="0" w:oddVBand="0" w:evenVBand="0" w:oddHBand="0" w:evenHBand="0" w:firstRowFirstColumn="0" w:firstRowLastColumn="0" w:lastRowFirstColumn="0" w:lastRowLastColumn="0"/>
            </w:pPr>
            <w:r w:rsidRPr="00100F0A">
              <w:t>Lithium ion batteries</w:t>
            </w:r>
          </w:p>
        </w:tc>
        <w:tc>
          <w:tcPr>
            <w:tcW w:w="4775" w:type="dxa"/>
          </w:tcPr>
          <w:p w14:paraId="4D656DDB" w14:textId="12F4141A" w:rsidR="00DA7ED9" w:rsidRPr="00100F0A" w:rsidRDefault="00DA7ED9" w:rsidP="00DA7ED9">
            <w:pPr>
              <w:cnfStyle w:val="000000000000" w:firstRow="0" w:lastRow="0" w:firstColumn="0" w:lastColumn="0" w:oddVBand="0" w:evenVBand="0" w:oddHBand="0" w:evenHBand="0" w:firstRowFirstColumn="0" w:firstRowLastColumn="0" w:lastRowFirstColumn="0" w:lastRowLastColumn="0"/>
            </w:pPr>
            <w:r w:rsidRPr="00100F0A">
              <w:t xml:space="preserve">Best, high and low estimates </w:t>
            </w:r>
          </w:p>
        </w:tc>
      </w:tr>
      <w:tr w:rsidR="00DA7ED9" w:rsidRPr="00100F0A" w14:paraId="43FBD6FA" w14:textId="77777777" w:rsidTr="00DA7ED9">
        <w:tc>
          <w:tcPr>
            <w:cnfStyle w:val="001000000000" w:firstRow="0" w:lastRow="0" w:firstColumn="1" w:lastColumn="0" w:oddVBand="0" w:evenVBand="0" w:oddHBand="0" w:evenHBand="0" w:firstRowFirstColumn="0" w:firstRowLastColumn="0" w:lastRowFirstColumn="0" w:lastRowLastColumn="0"/>
            <w:tcW w:w="1555" w:type="dxa"/>
          </w:tcPr>
          <w:p w14:paraId="3C58E168" w14:textId="396BDBD4" w:rsidR="00DA7ED9" w:rsidRPr="00100F0A" w:rsidRDefault="00DA7ED9" w:rsidP="00DA7ED9">
            <w:r w:rsidRPr="00100F0A">
              <w:t xml:space="preserve">Thornton (2014) </w:t>
            </w:r>
          </w:p>
        </w:tc>
        <w:tc>
          <w:tcPr>
            <w:tcW w:w="2693" w:type="dxa"/>
          </w:tcPr>
          <w:p w14:paraId="38CC29B3" w14:textId="77777777" w:rsidR="00DA7ED9" w:rsidRPr="00100F0A" w:rsidRDefault="00DA7ED9" w:rsidP="00DA7ED9">
            <w:pPr>
              <w:cnfStyle w:val="000000000000" w:firstRow="0" w:lastRow="0" w:firstColumn="0" w:lastColumn="0" w:oddVBand="0" w:evenVBand="0" w:oddHBand="0" w:evenHBand="0" w:firstRowFirstColumn="0" w:firstRowLastColumn="0" w:lastRowFirstColumn="0" w:lastRowLastColumn="0"/>
            </w:pPr>
            <w:r w:rsidRPr="00100F0A">
              <w:t>Clinical &amp; pharmaceutical (R)</w:t>
            </w:r>
          </w:p>
        </w:tc>
        <w:tc>
          <w:tcPr>
            <w:tcW w:w="4775" w:type="dxa"/>
          </w:tcPr>
          <w:p w14:paraId="0B68867B" w14:textId="77777777" w:rsidR="00DA7ED9" w:rsidRPr="00100F0A" w:rsidRDefault="00DA7ED9" w:rsidP="00DA7ED9">
            <w:pPr>
              <w:cnfStyle w:val="000000000000" w:firstRow="0" w:lastRow="0" w:firstColumn="0" w:lastColumn="0" w:oddVBand="0" w:evenVBand="0" w:oddHBand="0" w:evenHBand="0" w:firstRowFirstColumn="0" w:firstRowLastColumn="0" w:lastRowFirstColumn="0" w:lastRowLastColumn="0"/>
            </w:pPr>
            <w:r w:rsidRPr="00100F0A">
              <w:t>High estimate</w:t>
            </w:r>
          </w:p>
        </w:tc>
      </w:tr>
    </w:tbl>
    <w:p w14:paraId="3E764DD3" w14:textId="77777777" w:rsidR="00DA7ED9" w:rsidRPr="00100F0A" w:rsidRDefault="00DA7ED9" w:rsidP="00DA7ED9">
      <w:pPr>
        <w:pStyle w:val="Heading3"/>
      </w:pPr>
      <w:bookmarkStart w:id="96" w:name="_Ref519613293"/>
      <w:r w:rsidRPr="00100F0A">
        <w:t>Industry activity and employment projections and analyses</w:t>
      </w:r>
      <w:bookmarkEnd w:id="90"/>
      <w:bookmarkEnd w:id="96"/>
    </w:p>
    <w:p w14:paraId="5B946F51" w14:textId="7DAA11C1" w:rsidR="00DA7ED9" w:rsidRPr="00100F0A" w:rsidRDefault="00DA7ED9" w:rsidP="00DA7ED9">
      <w:pPr>
        <w:pStyle w:val="BodyText"/>
      </w:pPr>
      <w:r w:rsidRPr="00100F0A">
        <w:t xml:space="preserve">Information about particular industries was used to inform projections of some wastes that are strongly associated with particular industry types. These are summarised in </w:t>
      </w:r>
      <w:r w:rsidRPr="00100F0A">
        <w:fldChar w:fldCharType="begin"/>
      </w:r>
      <w:r w:rsidRPr="00100F0A">
        <w:instrText xml:space="preserve"> REF _Ref406181018 \h  \* MERGEFORMAT </w:instrText>
      </w:r>
      <w:r w:rsidRPr="00100F0A">
        <w:fldChar w:fldCharType="separate"/>
      </w:r>
      <w:r w:rsidR="00EB634D" w:rsidRPr="00100F0A">
        <w:t xml:space="preserve">Table </w:t>
      </w:r>
      <w:r w:rsidR="00EB634D">
        <w:rPr>
          <w:noProof/>
        </w:rPr>
        <w:t>5</w:t>
      </w:r>
      <w:r w:rsidRPr="00100F0A">
        <w:fldChar w:fldCharType="end"/>
      </w:r>
      <w:r w:rsidRPr="00100F0A">
        <w:t>.</w:t>
      </w:r>
    </w:p>
    <w:p w14:paraId="687F6432" w14:textId="20D3A786" w:rsidR="00DA7ED9" w:rsidRPr="00100F0A" w:rsidRDefault="00DA7ED9" w:rsidP="00DA7ED9">
      <w:pPr>
        <w:pStyle w:val="Caption"/>
      </w:pPr>
      <w:bookmarkStart w:id="97" w:name="_Ref406181018"/>
      <w:bookmarkStart w:id="98" w:name="_Toc406412245"/>
      <w:bookmarkStart w:id="99" w:name="_Toc425849291"/>
      <w:bookmarkStart w:id="100" w:name="_Toc519528056"/>
      <w:bookmarkStart w:id="101" w:name="_Toc13225624"/>
      <w:r w:rsidRPr="00100F0A">
        <w:t xml:space="preserve">Table </w:t>
      </w:r>
      <w:r w:rsidRPr="00100F0A">
        <w:rPr>
          <w:noProof/>
        </w:rPr>
        <w:fldChar w:fldCharType="begin"/>
      </w:r>
      <w:r w:rsidRPr="00100F0A">
        <w:rPr>
          <w:noProof/>
        </w:rPr>
        <w:instrText xml:space="preserve"> SEQ Table \* ARABIC </w:instrText>
      </w:r>
      <w:r w:rsidRPr="00100F0A">
        <w:rPr>
          <w:noProof/>
        </w:rPr>
        <w:fldChar w:fldCharType="separate"/>
      </w:r>
      <w:r w:rsidR="00EB634D">
        <w:rPr>
          <w:noProof/>
        </w:rPr>
        <w:t>5</w:t>
      </w:r>
      <w:r w:rsidRPr="00100F0A">
        <w:rPr>
          <w:noProof/>
        </w:rPr>
        <w:fldChar w:fldCharType="end"/>
      </w:r>
      <w:bookmarkEnd w:id="97"/>
      <w:r w:rsidR="00C14F18">
        <w:rPr>
          <w:noProof/>
        </w:rPr>
        <w:t>:</w:t>
      </w:r>
      <w:r w:rsidRPr="00100F0A">
        <w:tab/>
      </w:r>
      <w:bookmarkStart w:id="102" w:name="_Ref406181003"/>
      <w:r w:rsidRPr="00100F0A">
        <w:t>Industry activity projections and analyses and their use in the projections</w:t>
      </w:r>
      <w:bookmarkEnd w:id="98"/>
      <w:bookmarkEnd w:id="99"/>
      <w:bookmarkEnd w:id="100"/>
      <w:bookmarkEnd w:id="101"/>
      <w:bookmarkEnd w:id="102"/>
    </w:p>
    <w:tbl>
      <w:tblPr>
        <w:tblStyle w:val="BE-table"/>
        <w:tblW w:w="0" w:type="auto"/>
        <w:tblLook w:val="04A0" w:firstRow="1" w:lastRow="0" w:firstColumn="1" w:lastColumn="0" w:noHBand="0" w:noVBand="1"/>
      </w:tblPr>
      <w:tblGrid>
        <w:gridCol w:w="2689"/>
        <w:gridCol w:w="3118"/>
        <w:gridCol w:w="3216"/>
      </w:tblGrid>
      <w:tr w:rsidR="00DA7ED9" w:rsidRPr="00100F0A" w14:paraId="1732DA3D" w14:textId="77777777" w:rsidTr="00DA7E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A33AFF9" w14:textId="77777777" w:rsidR="00DA7ED9" w:rsidRPr="00100F0A" w:rsidRDefault="00DA7ED9" w:rsidP="00DA7ED9">
            <w:pPr>
              <w:pStyle w:val="BodyText"/>
              <w:spacing w:before="144" w:after="144"/>
            </w:pPr>
            <w:r w:rsidRPr="00100F0A">
              <w:rPr>
                <w:b w:val="0"/>
              </w:rPr>
              <w:t>Industry</w:t>
            </w:r>
          </w:p>
        </w:tc>
        <w:tc>
          <w:tcPr>
            <w:tcW w:w="3118" w:type="dxa"/>
          </w:tcPr>
          <w:p w14:paraId="2BF2CD2F" w14:textId="77777777" w:rsidR="00DA7ED9" w:rsidRPr="00100F0A" w:rsidRDefault="00DA7ED9" w:rsidP="00DA7ED9">
            <w:pPr>
              <w:pStyle w:val="BodyText"/>
              <w:spacing w:before="144" w:after="144"/>
              <w:cnfStyle w:val="100000000000" w:firstRow="1" w:lastRow="0" w:firstColumn="0" w:lastColumn="0" w:oddVBand="0" w:evenVBand="0" w:oddHBand="0" w:evenHBand="0" w:firstRowFirstColumn="0" w:firstRowLastColumn="0" w:lastRowFirstColumn="0" w:lastRowLastColumn="0"/>
            </w:pPr>
            <w:r w:rsidRPr="00100F0A">
              <w:rPr>
                <w:b w:val="0"/>
              </w:rPr>
              <w:t>Related wastes</w:t>
            </w:r>
          </w:p>
        </w:tc>
        <w:tc>
          <w:tcPr>
            <w:tcW w:w="3216" w:type="dxa"/>
          </w:tcPr>
          <w:p w14:paraId="1CB642F1" w14:textId="77777777" w:rsidR="00DA7ED9" w:rsidRPr="00100F0A" w:rsidRDefault="00DA7ED9" w:rsidP="00DA7ED9">
            <w:pPr>
              <w:pStyle w:val="BodyText"/>
              <w:spacing w:before="144" w:after="144"/>
              <w:cnfStyle w:val="100000000000" w:firstRow="1" w:lastRow="0" w:firstColumn="0" w:lastColumn="0" w:oddVBand="0" w:evenVBand="0" w:oddHBand="0" w:evenHBand="0" w:firstRowFirstColumn="0" w:firstRowLastColumn="0" w:lastRowFirstColumn="0" w:lastRowLastColumn="0"/>
            </w:pPr>
            <w:r w:rsidRPr="00100F0A">
              <w:rPr>
                <w:b w:val="0"/>
              </w:rPr>
              <w:t>Primary information source(s)</w:t>
            </w:r>
          </w:p>
        </w:tc>
      </w:tr>
      <w:tr w:rsidR="00DA7ED9" w:rsidRPr="00100F0A" w14:paraId="4E66A851" w14:textId="77777777" w:rsidTr="00DA7ED9">
        <w:tc>
          <w:tcPr>
            <w:cnfStyle w:val="001000000000" w:firstRow="0" w:lastRow="0" w:firstColumn="1" w:lastColumn="0" w:oddVBand="0" w:evenVBand="0" w:oddHBand="0" w:evenHBand="0" w:firstRowFirstColumn="0" w:firstRowLastColumn="0" w:lastRowFirstColumn="0" w:lastRowLastColumn="0"/>
            <w:tcW w:w="2689" w:type="dxa"/>
          </w:tcPr>
          <w:p w14:paraId="14EB22F7" w14:textId="77777777" w:rsidR="00DA7ED9" w:rsidRPr="00100F0A" w:rsidRDefault="00DA7ED9" w:rsidP="00DA7ED9">
            <w:pPr>
              <w:pStyle w:val="BodyText"/>
            </w:pPr>
            <w:r w:rsidRPr="00100F0A">
              <w:t>Manufacturing employment</w:t>
            </w:r>
          </w:p>
        </w:tc>
        <w:tc>
          <w:tcPr>
            <w:tcW w:w="3118" w:type="dxa"/>
          </w:tcPr>
          <w:p w14:paraId="1BA9182D" w14:textId="77777777" w:rsidR="00DA7ED9" w:rsidRPr="00100F0A" w:rsidRDefault="00DA7ED9" w:rsidP="00DA7ED9">
            <w:pPr>
              <w:pStyle w:val="BodyText"/>
              <w:cnfStyle w:val="000000000000" w:firstRow="0" w:lastRow="0" w:firstColumn="0" w:lastColumn="0" w:oddVBand="0" w:evenVBand="0" w:oddHBand="0" w:evenHBand="0" w:firstRowFirstColumn="0" w:firstRowLastColumn="0" w:lastRowFirstColumn="0" w:lastRowLastColumn="0"/>
            </w:pPr>
            <w:r w:rsidRPr="00100F0A">
              <w:t>Other inorganic chemicals, reactive chemicals, organic solvents</w:t>
            </w:r>
          </w:p>
        </w:tc>
        <w:tc>
          <w:tcPr>
            <w:tcW w:w="3216" w:type="dxa"/>
          </w:tcPr>
          <w:p w14:paraId="411143E6" w14:textId="77777777" w:rsidR="00DA7ED9" w:rsidRPr="00100F0A" w:rsidRDefault="00DA7ED9" w:rsidP="00DA7ED9">
            <w:pPr>
              <w:pStyle w:val="BodyText"/>
              <w:cnfStyle w:val="000000000000" w:firstRow="0" w:lastRow="0" w:firstColumn="0" w:lastColumn="0" w:oddVBand="0" w:evenVBand="0" w:oddHBand="0" w:evenHBand="0" w:firstRowFirstColumn="0" w:firstRowLastColumn="0" w:lastRowFirstColumn="0" w:lastRowLastColumn="0"/>
            </w:pPr>
            <w:r w:rsidRPr="00100F0A">
              <w:t>Department of Jobs and Small Business employment projections (Departmental website)</w:t>
            </w:r>
          </w:p>
        </w:tc>
      </w:tr>
      <w:tr w:rsidR="00DA7ED9" w:rsidRPr="00100F0A" w14:paraId="206394CA" w14:textId="77777777" w:rsidTr="00DA7ED9">
        <w:tc>
          <w:tcPr>
            <w:cnfStyle w:val="001000000000" w:firstRow="0" w:lastRow="0" w:firstColumn="1" w:lastColumn="0" w:oddVBand="0" w:evenVBand="0" w:oddHBand="0" w:evenHBand="0" w:firstRowFirstColumn="0" w:firstRowLastColumn="0" w:lastRowFirstColumn="0" w:lastRowLastColumn="0"/>
            <w:tcW w:w="2689" w:type="dxa"/>
          </w:tcPr>
          <w:p w14:paraId="53541C7E" w14:textId="77777777" w:rsidR="00DA7ED9" w:rsidRPr="00100F0A" w:rsidRDefault="00DA7ED9" w:rsidP="00DA7ED9">
            <w:pPr>
              <w:pStyle w:val="BodyText"/>
            </w:pPr>
            <w:r w:rsidRPr="00100F0A">
              <w:t>Mining production</w:t>
            </w:r>
          </w:p>
        </w:tc>
        <w:tc>
          <w:tcPr>
            <w:tcW w:w="3118" w:type="dxa"/>
          </w:tcPr>
          <w:p w14:paraId="5CD5EB48" w14:textId="77777777" w:rsidR="00DA7ED9" w:rsidRPr="00100F0A" w:rsidRDefault="00DA7ED9" w:rsidP="00DA7ED9">
            <w:pPr>
              <w:pStyle w:val="BodyText"/>
              <w:cnfStyle w:val="000000000000" w:firstRow="0" w:lastRow="0" w:firstColumn="0" w:lastColumn="0" w:oddVBand="0" w:evenVBand="0" w:oddHBand="0" w:evenHBand="0" w:firstRowFirstColumn="0" w:firstRowLastColumn="0" w:lastRowFirstColumn="0" w:lastRowLastColumn="0"/>
            </w:pPr>
            <w:r w:rsidRPr="00100F0A">
              <w:t>Waste oil/water mixtures</w:t>
            </w:r>
          </w:p>
        </w:tc>
        <w:tc>
          <w:tcPr>
            <w:tcW w:w="3216" w:type="dxa"/>
          </w:tcPr>
          <w:p w14:paraId="15B01D5F" w14:textId="77777777" w:rsidR="00DA7ED9" w:rsidRPr="00100F0A" w:rsidRDefault="00DA7ED9" w:rsidP="00DA7ED9">
            <w:pPr>
              <w:pStyle w:val="BodyText"/>
              <w:cnfStyle w:val="000000000000" w:firstRow="0" w:lastRow="0" w:firstColumn="0" w:lastColumn="0" w:oddVBand="0" w:evenVBand="0" w:oddHBand="0" w:evenHBand="0" w:firstRowFirstColumn="0" w:firstRowLastColumn="0" w:lastRowFirstColumn="0" w:lastRowLastColumn="0"/>
            </w:pPr>
            <w:r w:rsidRPr="00100F0A">
              <w:t>Office of the Chief Economist (2018)</w:t>
            </w:r>
          </w:p>
        </w:tc>
      </w:tr>
      <w:tr w:rsidR="00DA7ED9" w:rsidRPr="00100F0A" w14:paraId="086FFE26" w14:textId="77777777" w:rsidTr="00DA7ED9">
        <w:tc>
          <w:tcPr>
            <w:cnfStyle w:val="001000000000" w:firstRow="0" w:lastRow="0" w:firstColumn="1" w:lastColumn="0" w:oddVBand="0" w:evenVBand="0" w:oddHBand="0" w:evenHBand="0" w:firstRowFirstColumn="0" w:firstRowLastColumn="0" w:lastRowFirstColumn="0" w:lastRowLastColumn="0"/>
            <w:tcW w:w="2689" w:type="dxa"/>
          </w:tcPr>
          <w:p w14:paraId="274FC39B" w14:textId="77777777" w:rsidR="00DA7ED9" w:rsidRPr="00100F0A" w:rsidRDefault="00DA7ED9" w:rsidP="00DA7ED9">
            <w:pPr>
              <w:pStyle w:val="BodyText"/>
            </w:pPr>
            <w:r w:rsidRPr="00100F0A">
              <w:t>Oil and gas production</w:t>
            </w:r>
          </w:p>
        </w:tc>
        <w:tc>
          <w:tcPr>
            <w:tcW w:w="3118" w:type="dxa"/>
          </w:tcPr>
          <w:p w14:paraId="3A0FC9F4" w14:textId="77777777" w:rsidR="00DA7ED9" w:rsidRPr="00100F0A" w:rsidRDefault="00DA7ED9" w:rsidP="00DA7ED9">
            <w:pPr>
              <w:pStyle w:val="BodyText"/>
              <w:cnfStyle w:val="000000000000" w:firstRow="0" w:lastRow="0" w:firstColumn="0" w:lastColumn="0" w:oddVBand="0" w:evenVBand="0" w:oddHBand="0" w:evenHBand="0" w:firstRowFirstColumn="0" w:firstRowLastColumn="0" w:lastRowFirstColumn="0" w:lastRowLastColumn="0"/>
            </w:pPr>
            <w:r w:rsidRPr="00100F0A">
              <w:t>Mercury</w:t>
            </w:r>
          </w:p>
        </w:tc>
        <w:tc>
          <w:tcPr>
            <w:tcW w:w="3216" w:type="dxa"/>
          </w:tcPr>
          <w:p w14:paraId="0AC37BC5" w14:textId="77777777" w:rsidR="00DA7ED9" w:rsidRPr="00100F0A" w:rsidRDefault="00DA7ED9" w:rsidP="00DA7ED9">
            <w:pPr>
              <w:pStyle w:val="BodyText"/>
              <w:cnfStyle w:val="000000000000" w:firstRow="0" w:lastRow="0" w:firstColumn="0" w:lastColumn="0" w:oddVBand="0" w:evenVBand="0" w:oddHBand="0" w:evenHBand="0" w:firstRowFirstColumn="0" w:firstRowLastColumn="0" w:lastRowFirstColumn="0" w:lastRowLastColumn="0"/>
            </w:pPr>
            <w:r w:rsidRPr="00100F0A">
              <w:t>Office of the Chief Economist (2018)</w:t>
            </w:r>
          </w:p>
        </w:tc>
      </w:tr>
      <w:tr w:rsidR="00DA7ED9" w:rsidRPr="00100F0A" w14:paraId="3C455A9C" w14:textId="77777777" w:rsidTr="00DA7ED9">
        <w:tc>
          <w:tcPr>
            <w:cnfStyle w:val="001000000000" w:firstRow="0" w:lastRow="0" w:firstColumn="1" w:lastColumn="0" w:oddVBand="0" w:evenVBand="0" w:oddHBand="0" w:evenHBand="0" w:firstRowFirstColumn="0" w:firstRowLastColumn="0" w:lastRowFirstColumn="0" w:lastRowLastColumn="0"/>
            <w:tcW w:w="2689" w:type="dxa"/>
          </w:tcPr>
          <w:p w14:paraId="4B75B984" w14:textId="77777777" w:rsidR="00DA7ED9" w:rsidRPr="00100F0A" w:rsidRDefault="00DA7ED9" w:rsidP="00DA7ED9">
            <w:pPr>
              <w:pStyle w:val="BodyText"/>
            </w:pPr>
            <w:r w:rsidRPr="00100F0A">
              <w:t>Meat production</w:t>
            </w:r>
          </w:p>
        </w:tc>
        <w:tc>
          <w:tcPr>
            <w:tcW w:w="3118" w:type="dxa"/>
          </w:tcPr>
          <w:p w14:paraId="7E5AE241" w14:textId="77777777" w:rsidR="00DA7ED9" w:rsidRPr="00100F0A" w:rsidRDefault="00DA7ED9" w:rsidP="00DA7ED9">
            <w:pPr>
              <w:pStyle w:val="BodyText"/>
              <w:cnfStyle w:val="000000000000" w:firstRow="0" w:lastRow="0" w:firstColumn="0" w:lastColumn="0" w:oddVBand="0" w:evenVBand="0" w:oddHBand="0" w:evenHBand="0" w:firstRowFirstColumn="0" w:firstRowLastColumn="0" w:lastRowFirstColumn="0" w:lastRowLastColumn="0"/>
            </w:pPr>
            <w:r w:rsidRPr="00100F0A">
              <w:t>Other organic/putrescible wastes</w:t>
            </w:r>
          </w:p>
        </w:tc>
        <w:tc>
          <w:tcPr>
            <w:tcW w:w="3216" w:type="dxa"/>
          </w:tcPr>
          <w:p w14:paraId="7FA6C7A1" w14:textId="77777777" w:rsidR="00DA7ED9" w:rsidRPr="00100F0A" w:rsidRDefault="00DA7ED9" w:rsidP="00DA7ED9">
            <w:pPr>
              <w:pStyle w:val="BodyText"/>
              <w:cnfStyle w:val="000000000000" w:firstRow="0" w:lastRow="0" w:firstColumn="0" w:lastColumn="0" w:oddVBand="0" w:evenVBand="0" w:oddHBand="0" w:evenHBand="0" w:firstRowFirstColumn="0" w:firstRowLastColumn="0" w:lastRowFirstColumn="0" w:lastRowLastColumn="0"/>
            </w:pPr>
            <w:r w:rsidRPr="00100F0A">
              <w:t>ABARES (2018)</w:t>
            </w:r>
          </w:p>
        </w:tc>
      </w:tr>
      <w:tr w:rsidR="00DA7ED9" w:rsidRPr="00100F0A" w14:paraId="4601F146" w14:textId="77777777" w:rsidTr="00DA7ED9">
        <w:tc>
          <w:tcPr>
            <w:cnfStyle w:val="001000000000" w:firstRow="0" w:lastRow="0" w:firstColumn="1" w:lastColumn="0" w:oddVBand="0" w:evenVBand="0" w:oddHBand="0" w:evenHBand="0" w:firstRowFirstColumn="0" w:firstRowLastColumn="0" w:lastRowFirstColumn="0" w:lastRowLastColumn="0"/>
            <w:tcW w:w="2689" w:type="dxa"/>
          </w:tcPr>
          <w:p w14:paraId="4BB1D489" w14:textId="62AFF49E" w:rsidR="00DA7ED9" w:rsidRPr="00100F0A" w:rsidRDefault="0018460F" w:rsidP="00DA7ED9">
            <w:pPr>
              <w:pStyle w:val="BodyText"/>
            </w:pPr>
            <w:r>
              <w:t>CSG</w:t>
            </w:r>
            <w:r w:rsidR="00DA7ED9" w:rsidRPr="00100F0A">
              <w:t xml:space="preserve"> production</w:t>
            </w:r>
          </w:p>
        </w:tc>
        <w:tc>
          <w:tcPr>
            <w:tcW w:w="3118" w:type="dxa"/>
          </w:tcPr>
          <w:p w14:paraId="003358A6" w14:textId="77777777" w:rsidR="00DA7ED9" w:rsidRPr="00100F0A" w:rsidRDefault="00DA7ED9" w:rsidP="00DA7ED9">
            <w:pPr>
              <w:pStyle w:val="BodyText"/>
              <w:cnfStyle w:val="000000000000" w:firstRow="0" w:lastRow="0" w:firstColumn="0" w:lastColumn="0" w:oddVBand="0" w:evenVBand="0" w:oddHBand="0" w:evenHBand="0" w:firstRowFirstColumn="0" w:firstRowLastColumn="0" w:lastRowFirstColumn="0" w:lastRowLastColumn="0"/>
            </w:pPr>
            <w:r w:rsidRPr="00100F0A">
              <w:t>Alkalis, non-toxic salts</w:t>
            </w:r>
          </w:p>
        </w:tc>
        <w:tc>
          <w:tcPr>
            <w:tcW w:w="3216" w:type="dxa"/>
          </w:tcPr>
          <w:p w14:paraId="4CDC99B7" w14:textId="79F6E75E" w:rsidR="00DA7ED9" w:rsidRPr="00100F0A" w:rsidRDefault="00DA7ED9" w:rsidP="00DA7ED9">
            <w:pPr>
              <w:pStyle w:val="BodyText"/>
              <w:cnfStyle w:val="000000000000" w:firstRow="0" w:lastRow="0" w:firstColumn="0" w:lastColumn="0" w:oddVBand="0" w:evenVBand="0" w:oddHBand="0" w:evenHBand="0" w:firstRowFirstColumn="0" w:firstRowLastColumn="0" w:lastRowFirstColumn="0" w:lastRowLastColumn="0"/>
            </w:pPr>
            <w:r w:rsidRPr="00100F0A">
              <w:t>ACIL Tasman (2012)</w:t>
            </w:r>
            <w:r w:rsidR="00CF3E5B">
              <w:t xml:space="preserve">, </w:t>
            </w:r>
            <w:r w:rsidR="00CF3E5B" w:rsidRPr="00CF3E5B">
              <w:t>Australian Petroleum Production &amp; Exploration Association</w:t>
            </w:r>
            <w:r w:rsidR="00E35A1B">
              <w:t>, pers. comm. 2018</w:t>
            </w:r>
          </w:p>
        </w:tc>
      </w:tr>
      <w:tr w:rsidR="00DA7ED9" w:rsidRPr="00100F0A" w14:paraId="59A900B0" w14:textId="77777777" w:rsidTr="00DA7ED9">
        <w:tc>
          <w:tcPr>
            <w:cnfStyle w:val="001000000000" w:firstRow="0" w:lastRow="0" w:firstColumn="1" w:lastColumn="0" w:oddVBand="0" w:evenVBand="0" w:oddHBand="0" w:evenHBand="0" w:firstRowFirstColumn="0" w:firstRowLastColumn="0" w:lastRowFirstColumn="0" w:lastRowLastColumn="0"/>
            <w:tcW w:w="2689" w:type="dxa"/>
          </w:tcPr>
          <w:p w14:paraId="5391F2F4" w14:textId="77777777" w:rsidR="00DA7ED9" w:rsidRPr="00100F0A" w:rsidRDefault="00DA7ED9" w:rsidP="00DA7ED9">
            <w:pPr>
              <w:pStyle w:val="BodyText"/>
            </w:pPr>
            <w:r w:rsidRPr="00100F0A">
              <w:t>Aluminium smelting</w:t>
            </w:r>
          </w:p>
        </w:tc>
        <w:tc>
          <w:tcPr>
            <w:tcW w:w="3118" w:type="dxa"/>
          </w:tcPr>
          <w:p w14:paraId="21226365" w14:textId="56A9270D" w:rsidR="00DA7ED9" w:rsidRPr="00100F0A" w:rsidRDefault="008637BA" w:rsidP="00DA7ED9">
            <w:pPr>
              <w:pStyle w:val="BodyText"/>
              <w:cnfStyle w:val="000000000000" w:firstRow="0" w:lastRow="0" w:firstColumn="0" w:lastColumn="0" w:oddVBand="0" w:evenVBand="0" w:oddHBand="0" w:evenHBand="0" w:firstRowFirstColumn="0" w:firstRowLastColumn="0" w:lastRowFirstColumn="0" w:lastRowLastColumn="0"/>
            </w:pPr>
            <w:r>
              <w:t>SPL</w:t>
            </w:r>
          </w:p>
        </w:tc>
        <w:tc>
          <w:tcPr>
            <w:tcW w:w="3216" w:type="dxa"/>
          </w:tcPr>
          <w:p w14:paraId="3F4BCA9F" w14:textId="324BF610" w:rsidR="00DA7ED9" w:rsidRPr="00100F0A" w:rsidRDefault="0075636D" w:rsidP="00DA7ED9">
            <w:pPr>
              <w:pStyle w:val="BodyText"/>
              <w:cnfStyle w:val="000000000000" w:firstRow="0" w:lastRow="0" w:firstColumn="0" w:lastColumn="0" w:oddVBand="0" w:evenVBand="0" w:oddHBand="0" w:evenHBand="0" w:firstRowFirstColumn="0" w:firstRowLastColumn="0" w:lastRowFirstColumn="0" w:lastRowLastColumn="0"/>
            </w:pPr>
            <w:r>
              <w:t>Office of the Chief Economist</w:t>
            </w:r>
            <w:r w:rsidR="00686E3F">
              <w:t xml:space="preserve"> (2017)</w:t>
            </w:r>
          </w:p>
        </w:tc>
      </w:tr>
      <w:tr w:rsidR="00DA7ED9" w:rsidRPr="00100F0A" w14:paraId="61D99711" w14:textId="77777777" w:rsidTr="00DA7ED9">
        <w:tc>
          <w:tcPr>
            <w:cnfStyle w:val="001000000000" w:firstRow="0" w:lastRow="0" w:firstColumn="1" w:lastColumn="0" w:oddVBand="0" w:evenVBand="0" w:oddHBand="0" w:evenHBand="0" w:firstRowFirstColumn="0" w:firstRowLastColumn="0" w:lastRowFirstColumn="0" w:lastRowLastColumn="0"/>
            <w:tcW w:w="2689" w:type="dxa"/>
          </w:tcPr>
          <w:p w14:paraId="438C525A" w14:textId="77777777" w:rsidR="00DA7ED9" w:rsidRPr="00100F0A" w:rsidRDefault="00DA7ED9" w:rsidP="00DA7ED9">
            <w:pPr>
              <w:pStyle w:val="BodyText"/>
            </w:pPr>
            <w:r w:rsidRPr="00100F0A">
              <w:t>Nyrstar</w:t>
            </w:r>
          </w:p>
        </w:tc>
        <w:tc>
          <w:tcPr>
            <w:tcW w:w="3118" w:type="dxa"/>
          </w:tcPr>
          <w:p w14:paraId="79402E8B" w14:textId="77777777" w:rsidR="00DA7ED9" w:rsidRPr="00100F0A" w:rsidRDefault="00DA7ED9" w:rsidP="00DA7ED9">
            <w:pPr>
              <w:pStyle w:val="BodyText"/>
              <w:cnfStyle w:val="000000000000" w:firstRow="0" w:lastRow="0" w:firstColumn="0" w:lastColumn="0" w:oddVBand="0" w:evenVBand="0" w:oddHBand="0" w:evenHBand="0" w:firstRowFirstColumn="0" w:firstRowLastColumn="0" w:lastRowFirstColumn="0" w:lastRowLastColumn="0"/>
            </w:pPr>
            <w:r w:rsidRPr="00100F0A">
              <w:t>Zinc</w:t>
            </w:r>
          </w:p>
        </w:tc>
        <w:tc>
          <w:tcPr>
            <w:tcW w:w="3216" w:type="dxa"/>
          </w:tcPr>
          <w:p w14:paraId="2E468142" w14:textId="77777777" w:rsidR="00DA7ED9" w:rsidRPr="00100F0A" w:rsidRDefault="00DA7ED9" w:rsidP="00DA7ED9">
            <w:pPr>
              <w:pStyle w:val="BodyText"/>
              <w:cnfStyle w:val="000000000000" w:firstRow="0" w:lastRow="0" w:firstColumn="0" w:lastColumn="0" w:oddVBand="0" w:evenVBand="0" w:oddHBand="0" w:evenHBand="0" w:firstRowFirstColumn="0" w:firstRowLastColumn="0" w:lastRowFirstColumn="0" w:lastRowLastColumn="0"/>
            </w:pPr>
            <w:r w:rsidRPr="00100F0A">
              <w:t>Nyrstar (2015)</w:t>
            </w:r>
          </w:p>
        </w:tc>
      </w:tr>
      <w:tr w:rsidR="00DA7ED9" w:rsidRPr="00100F0A" w14:paraId="1F7E99C0" w14:textId="77777777" w:rsidTr="00DA7ED9">
        <w:tc>
          <w:tcPr>
            <w:cnfStyle w:val="001000000000" w:firstRow="0" w:lastRow="0" w:firstColumn="1" w:lastColumn="0" w:oddVBand="0" w:evenVBand="0" w:oddHBand="0" w:evenHBand="0" w:firstRowFirstColumn="0" w:firstRowLastColumn="0" w:lastRowFirstColumn="0" w:lastRowLastColumn="0"/>
            <w:tcW w:w="2689" w:type="dxa"/>
          </w:tcPr>
          <w:p w14:paraId="73855C10" w14:textId="77777777" w:rsidR="00DA7ED9" w:rsidRPr="00100F0A" w:rsidRDefault="00DA7ED9" w:rsidP="00DA7ED9">
            <w:pPr>
              <w:pStyle w:val="BodyText"/>
            </w:pPr>
            <w:r w:rsidRPr="00100F0A">
              <w:t>Orica</w:t>
            </w:r>
          </w:p>
        </w:tc>
        <w:tc>
          <w:tcPr>
            <w:tcW w:w="3118" w:type="dxa"/>
          </w:tcPr>
          <w:p w14:paraId="5E29B970" w14:textId="77777777" w:rsidR="00DA7ED9" w:rsidRPr="00100F0A" w:rsidRDefault="00DA7ED9" w:rsidP="00DA7ED9">
            <w:pPr>
              <w:pStyle w:val="BodyText"/>
              <w:cnfStyle w:val="000000000000" w:firstRow="0" w:lastRow="0" w:firstColumn="0" w:lastColumn="0" w:oddVBand="0" w:evenVBand="0" w:oddHBand="0" w:evenHBand="0" w:firstRowFirstColumn="0" w:firstRowLastColumn="0" w:lastRowFirstColumn="0" w:lastRowLastColumn="0"/>
            </w:pPr>
            <w:r w:rsidRPr="00100F0A">
              <w:t>HCB</w:t>
            </w:r>
          </w:p>
        </w:tc>
        <w:tc>
          <w:tcPr>
            <w:tcW w:w="3216" w:type="dxa"/>
          </w:tcPr>
          <w:p w14:paraId="01BBDF9F" w14:textId="77777777" w:rsidR="00DA7ED9" w:rsidRPr="00100F0A" w:rsidRDefault="00DA7ED9" w:rsidP="00DA7ED9">
            <w:pPr>
              <w:pStyle w:val="BodyText"/>
              <w:cnfStyle w:val="000000000000" w:firstRow="0" w:lastRow="0" w:firstColumn="0" w:lastColumn="0" w:oddVBand="0" w:evenVBand="0" w:oddHBand="0" w:evenHBand="0" w:firstRowFirstColumn="0" w:firstRowLastColumn="0" w:lastRowFirstColumn="0" w:lastRowLastColumn="0"/>
            </w:pPr>
            <w:r w:rsidRPr="00100F0A">
              <w:t>Orica (2017)</w:t>
            </w:r>
          </w:p>
        </w:tc>
      </w:tr>
      <w:tr w:rsidR="00DA7ED9" w:rsidRPr="00100F0A" w14:paraId="78E0D776" w14:textId="77777777" w:rsidTr="00DA7ED9">
        <w:tc>
          <w:tcPr>
            <w:cnfStyle w:val="001000000000" w:firstRow="0" w:lastRow="0" w:firstColumn="1" w:lastColumn="0" w:oddVBand="0" w:evenVBand="0" w:oddHBand="0" w:evenHBand="0" w:firstRowFirstColumn="0" w:firstRowLastColumn="0" w:lastRowFirstColumn="0" w:lastRowLastColumn="0"/>
            <w:tcW w:w="2689" w:type="dxa"/>
          </w:tcPr>
          <w:p w14:paraId="56DD1D10" w14:textId="3C2E69C2" w:rsidR="00DA7ED9" w:rsidRPr="00100F0A" w:rsidRDefault="00FB5AD1" w:rsidP="00DA7ED9">
            <w:pPr>
              <w:pStyle w:val="BodyText"/>
            </w:pPr>
            <w:r w:rsidRPr="00100F0A">
              <w:t>Sewage treatment</w:t>
            </w:r>
          </w:p>
        </w:tc>
        <w:tc>
          <w:tcPr>
            <w:tcW w:w="3118" w:type="dxa"/>
          </w:tcPr>
          <w:p w14:paraId="7BB0D623" w14:textId="77777777" w:rsidR="00DA7ED9" w:rsidRPr="00100F0A" w:rsidRDefault="00DA7ED9" w:rsidP="00DA7ED9">
            <w:pPr>
              <w:pStyle w:val="BodyText"/>
              <w:cnfStyle w:val="000000000000" w:firstRow="0" w:lastRow="0" w:firstColumn="0" w:lastColumn="0" w:oddVBand="0" w:evenVBand="0" w:oddHBand="0" w:evenHBand="0" w:firstRowFirstColumn="0" w:firstRowLastColumn="0" w:lastRowFirstColumn="0" w:lastRowLastColumn="0"/>
            </w:pPr>
            <w:r w:rsidRPr="00100F0A">
              <w:t>Biosolids</w:t>
            </w:r>
          </w:p>
        </w:tc>
        <w:tc>
          <w:tcPr>
            <w:tcW w:w="3216" w:type="dxa"/>
          </w:tcPr>
          <w:p w14:paraId="4A13E910" w14:textId="77777777" w:rsidR="00DA7ED9" w:rsidRPr="00100F0A" w:rsidRDefault="00DA7ED9" w:rsidP="00DA7ED9">
            <w:pPr>
              <w:pStyle w:val="BodyText"/>
              <w:cnfStyle w:val="000000000000" w:firstRow="0" w:lastRow="0" w:firstColumn="0" w:lastColumn="0" w:oddVBand="0" w:evenVBand="0" w:oddHBand="0" w:evenHBand="0" w:firstRowFirstColumn="0" w:firstRowLastColumn="0" w:lastRowFirstColumn="0" w:lastRowLastColumn="0"/>
            </w:pPr>
            <w:r w:rsidRPr="00100F0A">
              <w:t>PSD (2017)</w:t>
            </w:r>
          </w:p>
        </w:tc>
      </w:tr>
    </w:tbl>
    <w:p w14:paraId="64B6C319" w14:textId="157D31F6" w:rsidR="00BF7776" w:rsidRDefault="00BF7776" w:rsidP="00BA5C79"/>
    <w:p w14:paraId="52679263" w14:textId="502EF71F" w:rsidR="00DA7ED9" w:rsidRPr="00100F0A" w:rsidRDefault="00DA7ED9" w:rsidP="00DA7ED9">
      <w:pPr>
        <w:pStyle w:val="Heading2"/>
        <w:ind w:left="851" w:hanging="851"/>
      </w:pPr>
      <w:bookmarkStart w:id="103" w:name="_Toc9383882"/>
      <w:bookmarkStart w:id="104" w:name="_Toc425849157"/>
      <w:bookmarkStart w:id="105" w:name="_Toc519527692"/>
      <w:bookmarkStart w:id="106" w:name="_Ref530577967"/>
      <w:bookmarkStart w:id="107" w:name="_Toc13225533"/>
      <w:bookmarkEnd w:id="103"/>
      <w:r w:rsidRPr="00100F0A">
        <w:t xml:space="preserve">Establishing the </w:t>
      </w:r>
      <w:bookmarkEnd w:id="104"/>
      <w:bookmarkEnd w:id="105"/>
      <w:r w:rsidRPr="00100F0A">
        <w:t>starting point</w:t>
      </w:r>
      <w:bookmarkEnd w:id="106"/>
      <w:bookmarkEnd w:id="107"/>
    </w:p>
    <w:p w14:paraId="2A46EEE1" w14:textId="37318CC9" w:rsidR="00DA7ED9" w:rsidRDefault="00DA7ED9" w:rsidP="00DA7ED9">
      <w:pPr>
        <w:pStyle w:val="BodyText"/>
      </w:pPr>
      <w:r w:rsidRPr="00100F0A">
        <w:t xml:space="preserve">A starting point or baseline tonnage figure was established for each waste group in each state and territory based on the most recent data, as shown in </w:t>
      </w:r>
      <w:r w:rsidRPr="00100F0A">
        <w:fldChar w:fldCharType="begin"/>
      </w:r>
      <w:r w:rsidRPr="00100F0A">
        <w:instrText xml:space="preserve"> REF _Ref419126685 \h  \* MERGEFORMAT </w:instrText>
      </w:r>
      <w:r w:rsidRPr="00100F0A">
        <w:fldChar w:fldCharType="separate"/>
      </w:r>
      <w:r w:rsidR="00EB634D" w:rsidRPr="00100F0A">
        <w:t xml:space="preserve">Table </w:t>
      </w:r>
      <w:r w:rsidR="00EB634D">
        <w:rPr>
          <w:noProof/>
        </w:rPr>
        <w:t>6</w:t>
      </w:r>
      <w:r w:rsidRPr="00100F0A">
        <w:fldChar w:fldCharType="end"/>
      </w:r>
      <w:r w:rsidRPr="00100F0A">
        <w:t>. The most common data source was the jurisdictional data, but other sources</w:t>
      </w:r>
      <w:r w:rsidR="0075636D">
        <w:t xml:space="preserve"> were used</w:t>
      </w:r>
      <w:r w:rsidRPr="00100F0A">
        <w:t xml:space="preserve"> in some cases as shown in the footnotes to </w:t>
      </w:r>
      <w:r w:rsidRPr="00100F0A">
        <w:fldChar w:fldCharType="begin"/>
      </w:r>
      <w:r w:rsidRPr="00100F0A">
        <w:instrText xml:space="preserve"> REF _Ref419126685 \h  \* MERGEFORMAT </w:instrText>
      </w:r>
      <w:r w:rsidRPr="00100F0A">
        <w:fldChar w:fldCharType="separate"/>
      </w:r>
      <w:r w:rsidR="00EB634D" w:rsidRPr="00100F0A">
        <w:t xml:space="preserve">Table </w:t>
      </w:r>
      <w:r w:rsidR="00EB634D">
        <w:rPr>
          <w:noProof/>
        </w:rPr>
        <w:t>6</w:t>
      </w:r>
      <w:r w:rsidRPr="00100F0A">
        <w:fldChar w:fldCharType="end"/>
      </w:r>
      <w:r w:rsidRPr="00100F0A">
        <w:t xml:space="preserve">. </w:t>
      </w:r>
    </w:p>
    <w:p w14:paraId="4471C2A9" w14:textId="3BF5A49D" w:rsidR="001130E8" w:rsidRDefault="001130E8" w:rsidP="00DA7ED9">
      <w:pPr>
        <w:pStyle w:val="BodyText"/>
      </w:pPr>
    </w:p>
    <w:p w14:paraId="59B901D6" w14:textId="254B370E" w:rsidR="001130E8" w:rsidRDefault="001130E8" w:rsidP="00DA7ED9">
      <w:pPr>
        <w:pStyle w:val="BodyText"/>
      </w:pPr>
    </w:p>
    <w:p w14:paraId="518BE47C" w14:textId="56918FC1" w:rsidR="001130E8" w:rsidRDefault="001130E8" w:rsidP="00DA7ED9">
      <w:pPr>
        <w:pStyle w:val="BodyText"/>
      </w:pPr>
    </w:p>
    <w:p w14:paraId="2944C791" w14:textId="39408FE8" w:rsidR="001130E8" w:rsidRDefault="001130E8" w:rsidP="00DA7ED9">
      <w:pPr>
        <w:pStyle w:val="BodyText"/>
      </w:pPr>
    </w:p>
    <w:p w14:paraId="7CDD86DA" w14:textId="2C9A3D4C" w:rsidR="001130E8" w:rsidRDefault="001130E8" w:rsidP="00DA7ED9">
      <w:pPr>
        <w:pStyle w:val="BodyText"/>
      </w:pPr>
    </w:p>
    <w:p w14:paraId="33781B87" w14:textId="431607C2" w:rsidR="00DA7ED9" w:rsidRPr="00100F0A" w:rsidRDefault="00DA7ED9" w:rsidP="00DA7ED9">
      <w:pPr>
        <w:pStyle w:val="Caption"/>
      </w:pPr>
      <w:bookmarkStart w:id="108" w:name="_Ref419126685"/>
      <w:bookmarkStart w:id="109" w:name="_Toc425849292"/>
      <w:bookmarkStart w:id="110" w:name="_Toc519528057"/>
      <w:bookmarkStart w:id="111" w:name="_Toc13225625"/>
      <w:r w:rsidRPr="00100F0A">
        <w:t xml:space="preserve">Table </w:t>
      </w:r>
      <w:r w:rsidRPr="00100F0A">
        <w:rPr>
          <w:noProof/>
        </w:rPr>
        <w:fldChar w:fldCharType="begin"/>
      </w:r>
      <w:r w:rsidRPr="00100F0A">
        <w:rPr>
          <w:noProof/>
        </w:rPr>
        <w:instrText xml:space="preserve"> SEQ Table \* ARABIC </w:instrText>
      </w:r>
      <w:r w:rsidRPr="00100F0A">
        <w:rPr>
          <w:noProof/>
        </w:rPr>
        <w:fldChar w:fldCharType="separate"/>
      </w:r>
      <w:r w:rsidR="00EB634D">
        <w:rPr>
          <w:noProof/>
        </w:rPr>
        <w:t>6</w:t>
      </w:r>
      <w:r w:rsidRPr="00100F0A">
        <w:rPr>
          <w:noProof/>
        </w:rPr>
        <w:fldChar w:fldCharType="end"/>
      </w:r>
      <w:bookmarkEnd w:id="108"/>
      <w:r w:rsidR="00C14F18">
        <w:rPr>
          <w:noProof/>
        </w:rPr>
        <w:t>:</w:t>
      </w:r>
      <w:r w:rsidRPr="00100F0A">
        <w:tab/>
      </w:r>
      <w:r w:rsidR="007E1621" w:rsidRPr="00100F0A">
        <w:t>Projection starting points</w:t>
      </w:r>
      <w:r w:rsidRPr="00100F0A">
        <w:t xml:space="preserve"> for each waste group by jurisdiction</w:t>
      </w:r>
      <w:bookmarkEnd w:id="109"/>
      <w:bookmarkEnd w:id="110"/>
      <w:r w:rsidR="006C5F0B" w:rsidRPr="00100F0A">
        <w:t xml:space="preserve"> (see Table 1 for full waste group descriptions)</w:t>
      </w:r>
      <w:bookmarkEnd w:id="111"/>
    </w:p>
    <w:tbl>
      <w:tblPr>
        <w:tblStyle w:val="BE-table"/>
        <w:tblW w:w="0" w:type="auto"/>
        <w:tblLook w:val="04A0" w:firstRow="1" w:lastRow="0" w:firstColumn="1" w:lastColumn="0" w:noHBand="0" w:noVBand="1"/>
      </w:tblPr>
      <w:tblGrid>
        <w:gridCol w:w="2362"/>
        <w:gridCol w:w="674"/>
        <w:gridCol w:w="875"/>
        <w:gridCol w:w="773"/>
        <w:gridCol w:w="875"/>
        <w:gridCol w:w="875"/>
        <w:gridCol w:w="773"/>
        <w:gridCol w:w="875"/>
        <w:gridCol w:w="875"/>
      </w:tblGrid>
      <w:tr w:rsidR="00504869" w:rsidRPr="00100F0A" w14:paraId="648EEF69" w14:textId="77777777" w:rsidTr="005048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21C4DD37" w14:textId="77777777" w:rsidR="00DA7ED9" w:rsidRPr="00100F0A" w:rsidRDefault="00DA7ED9" w:rsidP="00F56453">
            <w:pPr>
              <w:spacing w:beforeLines="0" w:before="0" w:afterLines="0" w:after="0"/>
              <w:rPr>
                <w:rFonts w:asciiTheme="minorHAnsi" w:hAnsiTheme="minorHAnsi" w:cstheme="minorHAnsi"/>
                <w:color w:val="000000"/>
              </w:rPr>
            </w:pPr>
            <w:r w:rsidRPr="00100F0A">
              <w:rPr>
                <w:rFonts w:asciiTheme="minorHAnsi" w:hAnsiTheme="minorHAnsi" w:cstheme="minorHAnsi"/>
                <w:color w:val="000000"/>
              </w:rPr>
              <w:t> </w:t>
            </w:r>
          </w:p>
        </w:tc>
        <w:tc>
          <w:tcPr>
            <w:tcW w:w="0" w:type="auto"/>
            <w:hideMark/>
          </w:tcPr>
          <w:p w14:paraId="18675DCA" w14:textId="77777777" w:rsidR="00DA7ED9" w:rsidRPr="00100F0A" w:rsidRDefault="00DA7ED9" w:rsidP="00F56453">
            <w:pPr>
              <w:spacing w:beforeLines="0" w:before="0" w:afterLines="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100F0A">
              <w:rPr>
                <w:rFonts w:asciiTheme="minorHAnsi" w:hAnsiTheme="minorHAnsi" w:cstheme="minorHAnsi"/>
                <w:b w:val="0"/>
                <w:bCs/>
              </w:rPr>
              <w:t>ACT</w:t>
            </w:r>
          </w:p>
        </w:tc>
        <w:tc>
          <w:tcPr>
            <w:tcW w:w="0" w:type="auto"/>
            <w:hideMark/>
          </w:tcPr>
          <w:p w14:paraId="5085BF33" w14:textId="77777777" w:rsidR="00DA7ED9" w:rsidRPr="00100F0A" w:rsidRDefault="00DA7ED9" w:rsidP="00F56453">
            <w:pPr>
              <w:spacing w:beforeLines="0" w:before="0" w:afterLines="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100F0A">
              <w:rPr>
                <w:rFonts w:asciiTheme="minorHAnsi" w:hAnsiTheme="minorHAnsi" w:cstheme="minorHAnsi"/>
                <w:b w:val="0"/>
                <w:bCs/>
              </w:rPr>
              <w:t>NSW</w:t>
            </w:r>
          </w:p>
        </w:tc>
        <w:tc>
          <w:tcPr>
            <w:tcW w:w="0" w:type="auto"/>
            <w:hideMark/>
          </w:tcPr>
          <w:p w14:paraId="3604DB30" w14:textId="77777777" w:rsidR="00DA7ED9" w:rsidRPr="00100F0A" w:rsidRDefault="00DA7ED9" w:rsidP="00F56453">
            <w:pPr>
              <w:spacing w:beforeLines="0" w:before="0" w:afterLines="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100F0A">
              <w:rPr>
                <w:rFonts w:asciiTheme="minorHAnsi" w:hAnsiTheme="minorHAnsi" w:cstheme="minorHAnsi"/>
                <w:b w:val="0"/>
                <w:bCs/>
              </w:rPr>
              <w:t>NT</w:t>
            </w:r>
          </w:p>
        </w:tc>
        <w:tc>
          <w:tcPr>
            <w:tcW w:w="0" w:type="auto"/>
            <w:hideMark/>
          </w:tcPr>
          <w:p w14:paraId="73597F86" w14:textId="77777777" w:rsidR="00DA7ED9" w:rsidRPr="00100F0A" w:rsidRDefault="00DA7ED9" w:rsidP="00F56453">
            <w:pPr>
              <w:spacing w:beforeLines="0" w:before="0" w:afterLines="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100F0A">
              <w:rPr>
                <w:rFonts w:asciiTheme="minorHAnsi" w:hAnsiTheme="minorHAnsi" w:cstheme="minorHAnsi"/>
                <w:b w:val="0"/>
                <w:bCs/>
              </w:rPr>
              <w:t>Qld</w:t>
            </w:r>
          </w:p>
        </w:tc>
        <w:tc>
          <w:tcPr>
            <w:tcW w:w="0" w:type="auto"/>
            <w:hideMark/>
          </w:tcPr>
          <w:p w14:paraId="4B7E35A2" w14:textId="77777777" w:rsidR="00DA7ED9" w:rsidRPr="00100F0A" w:rsidRDefault="00DA7ED9" w:rsidP="00F56453">
            <w:pPr>
              <w:spacing w:beforeLines="0" w:before="0" w:afterLines="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100F0A">
              <w:rPr>
                <w:rFonts w:asciiTheme="minorHAnsi" w:hAnsiTheme="minorHAnsi" w:cstheme="minorHAnsi"/>
                <w:b w:val="0"/>
                <w:bCs/>
              </w:rPr>
              <w:t>SA</w:t>
            </w:r>
          </w:p>
        </w:tc>
        <w:tc>
          <w:tcPr>
            <w:tcW w:w="0" w:type="auto"/>
            <w:hideMark/>
          </w:tcPr>
          <w:p w14:paraId="43DC6EBA" w14:textId="77777777" w:rsidR="00DA7ED9" w:rsidRPr="00100F0A" w:rsidRDefault="00DA7ED9" w:rsidP="00F56453">
            <w:pPr>
              <w:spacing w:beforeLines="0" w:before="0" w:afterLines="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100F0A">
              <w:rPr>
                <w:rFonts w:asciiTheme="minorHAnsi" w:hAnsiTheme="minorHAnsi" w:cstheme="minorHAnsi"/>
                <w:b w:val="0"/>
                <w:bCs/>
              </w:rPr>
              <w:t>Tas</w:t>
            </w:r>
          </w:p>
        </w:tc>
        <w:tc>
          <w:tcPr>
            <w:tcW w:w="0" w:type="auto"/>
            <w:hideMark/>
          </w:tcPr>
          <w:p w14:paraId="7A90BE77" w14:textId="77777777" w:rsidR="00DA7ED9" w:rsidRPr="00100F0A" w:rsidRDefault="00DA7ED9" w:rsidP="00F56453">
            <w:pPr>
              <w:spacing w:beforeLines="0" w:before="0" w:afterLines="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100F0A">
              <w:rPr>
                <w:rFonts w:asciiTheme="minorHAnsi" w:hAnsiTheme="minorHAnsi" w:cstheme="minorHAnsi"/>
                <w:b w:val="0"/>
                <w:bCs/>
              </w:rPr>
              <w:t>Vic</w:t>
            </w:r>
          </w:p>
        </w:tc>
        <w:tc>
          <w:tcPr>
            <w:tcW w:w="0" w:type="auto"/>
            <w:hideMark/>
          </w:tcPr>
          <w:p w14:paraId="1DE7E6D3" w14:textId="77777777" w:rsidR="00DA7ED9" w:rsidRPr="00100F0A" w:rsidRDefault="00DA7ED9" w:rsidP="00F56453">
            <w:pPr>
              <w:spacing w:beforeLines="0" w:before="0" w:afterLines="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100F0A">
              <w:rPr>
                <w:rFonts w:asciiTheme="minorHAnsi" w:hAnsiTheme="minorHAnsi" w:cstheme="minorHAnsi"/>
                <w:b w:val="0"/>
                <w:bCs/>
              </w:rPr>
              <w:t>WA</w:t>
            </w:r>
          </w:p>
        </w:tc>
      </w:tr>
      <w:tr w:rsidR="00504869" w:rsidRPr="00100F0A" w14:paraId="1909F75F" w14:textId="77777777" w:rsidTr="00504869">
        <w:tc>
          <w:tcPr>
            <w:cnfStyle w:val="001000000000" w:firstRow="0" w:lastRow="0" w:firstColumn="1" w:lastColumn="0" w:oddVBand="0" w:evenVBand="0" w:oddHBand="0" w:evenHBand="0" w:firstRowFirstColumn="0" w:firstRowLastColumn="0" w:lastRowFirstColumn="0" w:lastRowLastColumn="0"/>
            <w:tcW w:w="0" w:type="auto"/>
            <w:noWrap/>
            <w:hideMark/>
          </w:tcPr>
          <w:p w14:paraId="4C25EE44" w14:textId="4192025B" w:rsidR="0020212C" w:rsidRPr="00100F0A" w:rsidRDefault="0020212C" w:rsidP="00F56453">
            <w:pPr>
              <w:spacing w:before="0" w:after="0"/>
              <w:jc w:val="right"/>
              <w:rPr>
                <w:rFonts w:asciiTheme="minorHAnsi" w:hAnsiTheme="minorHAnsi" w:cstheme="minorHAnsi"/>
              </w:rPr>
            </w:pPr>
            <w:r w:rsidRPr="00100F0A">
              <w:rPr>
                <w:rFonts w:asciiTheme="minorHAnsi" w:hAnsiTheme="minorHAnsi" w:cstheme="minorHAnsi"/>
              </w:rPr>
              <w:t>Plating &amp; heat t</w:t>
            </w:r>
            <w:r w:rsidR="00100F0A" w:rsidRPr="00100F0A">
              <w:rPr>
                <w:rFonts w:asciiTheme="minorHAnsi" w:hAnsiTheme="minorHAnsi" w:cstheme="minorHAnsi"/>
              </w:rPr>
              <w:t>reat</w:t>
            </w:r>
            <w:r w:rsidRPr="00100F0A">
              <w:rPr>
                <w:rFonts w:asciiTheme="minorHAnsi" w:hAnsiTheme="minorHAnsi" w:cstheme="minorHAnsi"/>
              </w:rPr>
              <w:t>ment</w:t>
            </w:r>
          </w:p>
        </w:tc>
        <w:tc>
          <w:tcPr>
            <w:tcW w:w="0" w:type="auto"/>
            <w:noWrap/>
          </w:tcPr>
          <w:p w14:paraId="6632735A" w14:textId="2D874F7E"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0</w:t>
            </w:r>
          </w:p>
        </w:tc>
        <w:tc>
          <w:tcPr>
            <w:tcW w:w="0" w:type="auto"/>
            <w:noWrap/>
            <w:hideMark/>
          </w:tcPr>
          <w:p w14:paraId="38803CEE" w14:textId="397E29EF"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18</w:t>
            </w:r>
          </w:p>
        </w:tc>
        <w:tc>
          <w:tcPr>
            <w:tcW w:w="0" w:type="auto"/>
            <w:noWrap/>
            <w:hideMark/>
          </w:tcPr>
          <w:p w14:paraId="2AAE4C41" w14:textId="519ED4B0"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0</w:t>
            </w:r>
          </w:p>
        </w:tc>
        <w:tc>
          <w:tcPr>
            <w:tcW w:w="0" w:type="auto"/>
            <w:noWrap/>
            <w:hideMark/>
          </w:tcPr>
          <w:p w14:paraId="7BB032A0" w14:textId="5E34FC91"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i/>
              </w:rPr>
              <w:t>5,395</w:t>
            </w:r>
          </w:p>
        </w:tc>
        <w:tc>
          <w:tcPr>
            <w:tcW w:w="0" w:type="auto"/>
            <w:noWrap/>
            <w:hideMark/>
          </w:tcPr>
          <w:p w14:paraId="31931C3C" w14:textId="1108C484"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41</w:t>
            </w:r>
          </w:p>
        </w:tc>
        <w:tc>
          <w:tcPr>
            <w:tcW w:w="0" w:type="auto"/>
            <w:noWrap/>
            <w:hideMark/>
          </w:tcPr>
          <w:p w14:paraId="73AF0A3A" w14:textId="2310C71F"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1</w:t>
            </w:r>
          </w:p>
        </w:tc>
        <w:tc>
          <w:tcPr>
            <w:tcW w:w="0" w:type="auto"/>
            <w:noWrap/>
            <w:hideMark/>
          </w:tcPr>
          <w:p w14:paraId="1D284A82" w14:textId="347B4AE6"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rPr>
              <w:t>7</w:t>
            </w:r>
          </w:p>
        </w:tc>
        <w:tc>
          <w:tcPr>
            <w:tcW w:w="0" w:type="auto"/>
            <w:noWrap/>
            <w:hideMark/>
          </w:tcPr>
          <w:p w14:paraId="2DBF2562" w14:textId="7DF60123"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2,558</w:t>
            </w:r>
          </w:p>
        </w:tc>
      </w:tr>
      <w:tr w:rsidR="00504869" w:rsidRPr="00100F0A" w14:paraId="4D530502" w14:textId="77777777" w:rsidTr="00504869">
        <w:tc>
          <w:tcPr>
            <w:cnfStyle w:val="001000000000" w:firstRow="0" w:lastRow="0" w:firstColumn="1" w:lastColumn="0" w:oddVBand="0" w:evenVBand="0" w:oddHBand="0" w:evenHBand="0" w:firstRowFirstColumn="0" w:firstRowLastColumn="0" w:lastRowFirstColumn="0" w:lastRowLastColumn="0"/>
            <w:tcW w:w="0" w:type="auto"/>
            <w:noWrap/>
            <w:hideMark/>
          </w:tcPr>
          <w:p w14:paraId="2E63B807" w14:textId="77777777" w:rsidR="0020212C" w:rsidRPr="00100F0A" w:rsidRDefault="0020212C" w:rsidP="00F56453">
            <w:pPr>
              <w:spacing w:before="0" w:after="0"/>
              <w:jc w:val="right"/>
              <w:rPr>
                <w:rFonts w:asciiTheme="minorHAnsi" w:hAnsiTheme="minorHAnsi" w:cstheme="minorHAnsi"/>
              </w:rPr>
            </w:pPr>
            <w:r w:rsidRPr="00100F0A">
              <w:rPr>
                <w:rFonts w:asciiTheme="minorHAnsi" w:hAnsiTheme="minorHAnsi" w:cstheme="minorHAnsi"/>
              </w:rPr>
              <w:t>Acids</w:t>
            </w:r>
          </w:p>
        </w:tc>
        <w:tc>
          <w:tcPr>
            <w:tcW w:w="0" w:type="auto"/>
            <w:noWrap/>
          </w:tcPr>
          <w:p w14:paraId="4297A714" w14:textId="4178E925"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0</w:t>
            </w:r>
          </w:p>
        </w:tc>
        <w:tc>
          <w:tcPr>
            <w:tcW w:w="0" w:type="auto"/>
            <w:noWrap/>
            <w:hideMark/>
          </w:tcPr>
          <w:p w14:paraId="4EF18F7E" w14:textId="142F80C3"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25,698</w:t>
            </w:r>
          </w:p>
        </w:tc>
        <w:tc>
          <w:tcPr>
            <w:tcW w:w="0" w:type="auto"/>
            <w:noWrap/>
            <w:hideMark/>
          </w:tcPr>
          <w:p w14:paraId="241ABDD3" w14:textId="51F5CBFC"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188</w:t>
            </w:r>
          </w:p>
        </w:tc>
        <w:tc>
          <w:tcPr>
            <w:tcW w:w="0" w:type="auto"/>
            <w:noWrap/>
            <w:hideMark/>
          </w:tcPr>
          <w:p w14:paraId="30F11475" w14:textId="32FD91BD"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i/>
              </w:rPr>
              <w:t>11,674</w:t>
            </w:r>
          </w:p>
        </w:tc>
        <w:tc>
          <w:tcPr>
            <w:tcW w:w="0" w:type="auto"/>
            <w:noWrap/>
            <w:hideMark/>
          </w:tcPr>
          <w:p w14:paraId="2BAA86F3" w14:textId="6028E7D0"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1,833</w:t>
            </w:r>
          </w:p>
        </w:tc>
        <w:tc>
          <w:tcPr>
            <w:tcW w:w="0" w:type="auto"/>
            <w:noWrap/>
            <w:hideMark/>
          </w:tcPr>
          <w:p w14:paraId="4807E5D4" w14:textId="68D3CD5D"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0</w:t>
            </w:r>
          </w:p>
        </w:tc>
        <w:tc>
          <w:tcPr>
            <w:tcW w:w="0" w:type="auto"/>
            <w:noWrap/>
            <w:hideMark/>
          </w:tcPr>
          <w:p w14:paraId="7208CFC7" w14:textId="71BE9B7D"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rPr>
              <w:t>29,041</w:t>
            </w:r>
          </w:p>
        </w:tc>
        <w:tc>
          <w:tcPr>
            <w:tcW w:w="0" w:type="auto"/>
            <w:noWrap/>
            <w:hideMark/>
          </w:tcPr>
          <w:p w14:paraId="5717F65C" w14:textId="6BBCE31C"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2,162</w:t>
            </w:r>
          </w:p>
        </w:tc>
      </w:tr>
      <w:tr w:rsidR="001B1403" w:rsidRPr="00100F0A" w14:paraId="2AB0CAA0" w14:textId="77777777" w:rsidTr="001B1403">
        <w:tc>
          <w:tcPr>
            <w:cnfStyle w:val="001000000000" w:firstRow="0" w:lastRow="0" w:firstColumn="1" w:lastColumn="0" w:oddVBand="0" w:evenVBand="0" w:oddHBand="0" w:evenHBand="0" w:firstRowFirstColumn="0" w:firstRowLastColumn="0" w:lastRowFirstColumn="0" w:lastRowLastColumn="0"/>
            <w:tcW w:w="0" w:type="auto"/>
            <w:noWrap/>
            <w:hideMark/>
          </w:tcPr>
          <w:p w14:paraId="04F3F28D" w14:textId="77777777" w:rsidR="0020212C" w:rsidRPr="00100F0A" w:rsidRDefault="0020212C" w:rsidP="00F56453">
            <w:pPr>
              <w:spacing w:before="0" w:after="0"/>
              <w:jc w:val="right"/>
              <w:rPr>
                <w:rFonts w:asciiTheme="minorHAnsi" w:hAnsiTheme="minorHAnsi" w:cstheme="minorHAnsi"/>
              </w:rPr>
            </w:pPr>
            <w:r w:rsidRPr="00100F0A">
              <w:rPr>
                <w:rFonts w:asciiTheme="minorHAnsi" w:hAnsiTheme="minorHAnsi" w:cstheme="minorHAnsi"/>
              </w:rPr>
              <w:t>Alkalis</w:t>
            </w:r>
          </w:p>
        </w:tc>
        <w:tc>
          <w:tcPr>
            <w:tcW w:w="0" w:type="auto"/>
            <w:noWrap/>
          </w:tcPr>
          <w:p w14:paraId="1DACB004" w14:textId="30D78563"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0</w:t>
            </w:r>
          </w:p>
        </w:tc>
        <w:tc>
          <w:tcPr>
            <w:tcW w:w="0" w:type="auto"/>
            <w:noWrap/>
            <w:hideMark/>
          </w:tcPr>
          <w:p w14:paraId="04E9440D" w14:textId="1CB43646"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cs="Calibri"/>
                <w:b/>
                <w:color w:val="FFFFFF" w:themeColor="background1"/>
                <w:highlight w:val="darkGray"/>
              </w:rPr>
            </w:pPr>
            <w:r w:rsidRPr="00100F0A">
              <w:rPr>
                <w:rFonts w:cs="Calibri"/>
                <w:b/>
                <w:color w:val="FFFFFF" w:themeColor="background1"/>
                <w:highlight w:val="darkGray"/>
              </w:rPr>
              <w:t>5,833</w:t>
            </w:r>
          </w:p>
        </w:tc>
        <w:tc>
          <w:tcPr>
            <w:tcW w:w="0" w:type="auto"/>
            <w:noWrap/>
            <w:hideMark/>
          </w:tcPr>
          <w:p w14:paraId="03E45BDA" w14:textId="4914CC31"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607</w:t>
            </w:r>
          </w:p>
        </w:tc>
        <w:tc>
          <w:tcPr>
            <w:tcW w:w="0" w:type="auto"/>
            <w:shd w:val="clear" w:color="auto" w:fill="A6A6A6" w:themeFill="background1" w:themeFillShade="A6"/>
            <w:noWrap/>
            <w:hideMark/>
          </w:tcPr>
          <w:p w14:paraId="6AA4655A" w14:textId="7E821A8B"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FFFFF" w:themeColor="background1"/>
              </w:rPr>
            </w:pPr>
            <w:r w:rsidRPr="00100F0A">
              <w:rPr>
                <w:rFonts w:cs="Calibri"/>
                <w:color w:val="FFFFFF" w:themeColor="background1"/>
              </w:rPr>
              <w:t>115,665</w:t>
            </w:r>
          </w:p>
        </w:tc>
        <w:tc>
          <w:tcPr>
            <w:tcW w:w="0" w:type="auto"/>
            <w:shd w:val="clear" w:color="auto" w:fill="auto"/>
            <w:noWrap/>
            <w:hideMark/>
          </w:tcPr>
          <w:p w14:paraId="3FD11F83" w14:textId="117C56BE"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17,176</w:t>
            </w:r>
          </w:p>
        </w:tc>
        <w:tc>
          <w:tcPr>
            <w:tcW w:w="0" w:type="auto"/>
            <w:noWrap/>
            <w:hideMark/>
          </w:tcPr>
          <w:p w14:paraId="54B2BB0E" w14:textId="0F93EC32"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24</w:t>
            </w:r>
          </w:p>
        </w:tc>
        <w:tc>
          <w:tcPr>
            <w:tcW w:w="0" w:type="auto"/>
            <w:shd w:val="clear" w:color="auto" w:fill="A6A6A6" w:themeFill="background1" w:themeFillShade="A6"/>
            <w:noWrap/>
            <w:hideMark/>
          </w:tcPr>
          <w:p w14:paraId="67BEF973" w14:textId="5813B451"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FFFFFF" w:themeColor="background1"/>
              </w:rPr>
            </w:pPr>
            <w:r w:rsidRPr="00100F0A">
              <w:rPr>
                <w:rFonts w:cs="Calibri"/>
                <w:color w:val="FFFFFF" w:themeColor="background1"/>
              </w:rPr>
              <w:t>6,297</w:t>
            </w:r>
          </w:p>
        </w:tc>
        <w:tc>
          <w:tcPr>
            <w:tcW w:w="0" w:type="auto"/>
            <w:shd w:val="clear" w:color="auto" w:fill="auto"/>
            <w:noWrap/>
            <w:hideMark/>
          </w:tcPr>
          <w:p w14:paraId="2474AA2A" w14:textId="64C2C42C"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92,430</w:t>
            </w:r>
          </w:p>
        </w:tc>
      </w:tr>
      <w:tr w:rsidR="00504869" w:rsidRPr="00100F0A" w14:paraId="402DEFDE" w14:textId="77777777" w:rsidTr="00504869">
        <w:tc>
          <w:tcPr>
            <w:cnfStyle w:val="001000000000" w:firstRow="0" w:lastRow="0" w:firstColumn="1" w:lastColumn="0" w:oddVBand="0" w:evenVBand="0" w:oddHBand="0" w:evenHBand="0" w:firstRowFirstColumn="0" w:firstRowLastColumn="0" w:lastRowFirstColumn="0" w:lastRowLastColumn="0"/>
            <w:tcW w:w="0" w:type="auto"/>
            <w:noWrap/>
          </w:tcPr>
          <w:p w14:paraId="6D40EAD0" w14:textId="4DE470D9" w:rsidR="0020212C" w:rsidRPr="00100F0A" w:rsidRDefault="0020212C" w:rsidP="00F56453">
            <w:pPr>
              <w:spacing w:before="0" w:after="0"/>
              <w:jc w:val="right"/>
              <w:rPr>
                <w:rFonts w:asciiTheme="minorHAnsi" w:hAnsiTheme="minorHAnsi" w:cstheme="minorHAnsi"/>
              </w:rPr>
            </w:pPr>
            <w:r w:rsidRPr="00100F0A">
              <w:rPr>
                <w:rFonts w:asciiTheme="minorHAnsi" w:hAnsiTheme="minorHAnsi" w:cstheme="minorHAnsi"/>
              </w:rPr>
              <w:t>Inorganic fluorine</w:t>
            </w:r>
          </w:p>
        </w:tc>
        <w:tc>
          <w:tcPr>
            <w:tcW w:w="0" w:type="auto"/>
            <w:noWrap/>
          </w:tcPr>
          <w:p w14:paraId="6E7D1855" w14:textId="5724F4BD"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0</w:t>
            </w:r>
          </w:p>
        </w:tc>
        <w:tc>
          <w:tcPr>
            <w:tcW w:w="0" w:type="auto"/>
            <w:noWrap/>
          </w:tcPr>
          <w:p w14:paraId="501B6EF0" w14:textId="4892D9FF"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100F0A">
              <w:rPr>
                <w:rFonts w:cs="Calibri"/>
                <w:u w:val="single"/>
              </w:rPr>
              <w:t>13,019</w:t>
            </w:r>
          </w:p>
        </w:tc>
        <w:tc>
          <w:tcPr>
            <w:tcW w:w="0" w:type="auto"/>
            <w:noWrap/>
          </w:tcPr>
          <w:p w14:paraId="477BC2FB" w14:textId="3DEA5642"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0</w:t>
            </w:r>
          </w:p>
        </w:tc>
        <w:tc>
          <w:tcPr>
            <w:tcW w:w="0" w:type="auto"/>
            <w:noWrap/>
          </w:tcPr>
          <w:p w14:paraId="71F3F032" w14:textId="604147F8"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i/>
              </w:rPr>
              <w:t>12,832</w:t>
            </w:r>
          </w:p>
        </w:tc>
        <w:tc>
          <w:tcPr>
            <w:tcW w:w="0" w:type="auto"/>
            <w:noWrap/>
          </w:tcPr>
          <w:p w14:paraId="3652A646" w14:textId="6A187D27"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2</w:t>
            </w:r>
          </w:p>
        </w:tc>
        <w:tc>
          <w:tcPr>
            <w:tcW w:w="0" w:type="auto"/>
            <w:noWrap/>
          </w:tcPr>
          <w:p w14:paraId="1BC1ABDD" w14:textId="38D8E2DA"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3,972</w:t>
            </w:r>
          </w:p>
        </w:tc>
        <w:tc>
          <w:tcPr>
            <w:tcW w:w="0" w:type="auto"/>
            <w:noWrap/>
          </w:tcPr>
          <w:p w14:paraId="6FEB0E5B" w14:textId="06F9598D"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rPr>
              <w:t>16,342</w:t>
            </w:r>
          </w:p>
        </w:tc>
        <w:tc>
          <w:tcPr>
            <w:tcW w:w="0" w:type="auto"/>
            <w:noWrap/>
          </w:tcPr>
          <w:p w14:paraId="2792A76E" w14:textId="1EECA7D9"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61</w:t>
            </w:r>
          </w:p>
        </w:tc>
      </w:tr>
      <w:tr w:rsidR="00504869" w:rsidRPr="00100F0A" w14:paraId="302EB0C2" w14:textId="77777777" w:rsidTr="00504869">
        <w:tc>
          <w:tcPr>
            <w:cnfStyle w:val="001000000000" w:firstRow="0" w:lastRow="0" w:firstColumn="1" w:lastColumn="0" w:oddVBand="0" w:evenVBand="0" w:oddHBand="0" w:evenHBand="0" w:firstRowFirstColumn="0" w:firstRowLastColumn="0" w:lastRowFirstColumn="0" w:lastRowLastColumn="0"/>
            <w:tcW w:w="0" w:type="auto"/>
            <w:noWrap/>
            <w:hideMark/>
          </w:tcPr>
          <w:p w14:paraId="5B5A2CE5" w14:textId="0E11503A" w:rsidR="0020212C" w:rsidRPr="00100F0A" w:rsidRDefault="0020212C" w:rsidP="00F56453">
            <w:pPr>
              <w:spacing w:before="0" w:after="0"/>
              <w:jc w:val="right"/>
              <w:rPr>
                <w:rFonts w:asciiTheme="minorHAnsi" w:hAnsiTheme="minorHAnsi" w:cstheme="minorHAnsi"/>
              </w:rPr>
            </w:pPr>
            <w:r w:rsidRPr="00100F0A">
              <w:rPr>
                <w:rFonts w:asciiTheme="minorHAnsi" w:hAnsiTheme="minorHAnsi" w:cstheme="minorHAnsi"/>
              </w:rPr>
              <w:t>Mercury</w:t>
            </w:r>
          </w:p>
        </w:tc>
        <w:tc>
          <w:tcPr>
            <w:tcW w:w="0" w:type="auto"/>
            <w:noWrap/>
          </w:tcPr>
          <w:p w14:paraId="2D79460D" w14:textId="58E3AC38"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2</w:t>
            </w:r>
          </w:p>
        </w:tc>
        <w:tc>
          <w:tcPr>
            <w:tcW w:w="0" w:type="auto"/>
            <w:noWrap/>
            <w:hideMark/>
          </w:tcPr>
          <w:p w14:paraId="20813A0A" w14:textId="5BA780D9"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100F0A">
              <w:rPr>
                <w:rFonts w:cs="Calibri"/>
              </w:rPr>
              <w:t>178</w:t>
            </w:r>
          </w:p>
        </w:tc>
        <w:tc>
          <w:tcPr>
            <w:tcW w:w="0" w:type="auto"/>
            <w:noWrap/>
            <w:hideMark/>
          </w:tcPr>
          <w:p w14:paraId="189C58E4" w14:textId="191B2812"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19</w:t>
            </w:r>
          </w:p>
        </w:tc>
        <w:tc>
          <w:tcPr>
            <w:tcW w:w="0" w:type="auto"/>
            <w:noWrap/>
            <w:hideMark/>
          </w:tcPr>
          <w:p w14:paraId="410AF2B4" w14:textId="2B813E8F"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i/>
              </w:rPr>
              <w:t>170</w:t>
            </w:r>
          </w:p>
        </w:tc>
        <w:tc>
          <w:tcPr>
            <w:tcW w:w="0" w:type="auto"/>
            <w:noWrap/>
            <w:hideMark/>
          </w:tcPr>
          <w:p w14:paraId="5C0DAEFE" w14:textId="619DAA26"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60</w:t>
            </w:r>
          </w:p>
        </w:tc>
        <w:tc>
          <w:tcPr>
            <w:tcW w:w="0" w:type="auto"/>
            <w:noWrap/>
            <w:hideMark/>
          </w:tcPr>
          <w:p w14:paraId="13FF2AAE" w14:textId="1959A663"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0</w:t>
            </w:r>
          </w:p>
        </w:tc>
        <w:tc>
          <w:tcPr>
            <w:tcW w:w="0" w:type="auto"/>
            <w:noWrap/>
            <w:hideMark/>
          </w:tcPr>
          <w:p w14:paraId="3F1517F9" w14:textId="73D88486"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rPr>
              <w:t>99</w:t>
            </w:r>
          </w:p>
        </w:tc>
        <w:tc>
          <w:tcPr>
            <w:tcW w:w="0" w:type="auto"/>
            <w:noWrap/>
            <w:hideMark/>
          </w:tcPr>
          <w:p w14:paraId="27457F3B" w14:textId="4CE9B197"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206</w:t>
            </w:r>
          </w:p>
        </w:tc>
      </w:tr>
      <w:tr w:rsidR="00504869" w:rsidRPr="00100F0A" w14:paraId="5A3A439E" w14:textId="77777777" w:rsidTr="00AA5FD9">
        <w:tc>
          <w:tcPr>
            <w:cnfStyle w:val="001000000000" w:firstRow="0" w:lastRow="0" w:firstColumn="1" w:lastColumn="0" w:oddVBand="0" w:evenVBand="0" w:oddHBand="0" w:evenHBand="0" w:firstRowFirstColumn="0" w:firstRowLastColumn="0" w:lastRowFirstColumn="0" w:lastRowLastColumn="0"/>
            <w:tcW w:w="0" w:type="auto"/>
            <w:noWrap/>
            <w:hideMark/>
          </w:tcPr>
          <w:p w14:paraId="0A3FD068" w14:textId="43828792" w:rsidR="0020212C" w:rsidRPr="00100F0A" w:rsidRDefault="0020212C" w:rsidP="00F56453">
            <w:pPr>
              <w:spacing w:before="0" w:after="0"/>
              <w:jc w:val="right"/>
              <w:rPr>
                <w:rFonts w:asciiTheme="minorHAnsi" w:hAnsiTheme="minorHAnsi" w:cstheme="minorHAnsi"/>
              </w:rPr>
            </w:pPr>
            <w:r w:rsidRPr="00100F0A">
              <w:rPr>
                <w:rFonts w:asciiTheme="minorHAnsi" w:hAnsiTheme="minorHAnsi" w:cstheme="minorHAnsi"/>
              </w:rPr>
              <w:t>Lead</w:t>
            </w:r>
          </w:p>
        </w:tc>
        <w:tc>
          <w:tcPr>
            <w:tcW w:w="0" w:type="auto"/>
            <w:noWrap/>
          </w:tcPr>
          <w:p w14:paraId="4D2AD5A9" w14:textId="4E756678"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0</w:t>
            </w:r>
          </w:p>
        </w:tc>
        <w:tc>
          <w:tcPr>
            <w:tcW w:w="0" w:type="auto"/>
            <w:noWrap/>
            <w:hideMark/>
          </w:tcPr>
          <w:p w14:paraId="7F5390DA" w14:textId="576B14B7"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100F0A">
              <w:rPr>
                <w:rFonts w:cs="Calibri"/>
              </w:rPr>
              <w:t>69,613</w:t>
            </w:r>
          </w:p>
        </w:tc>
        <w:tc>
          <w:tcPr>
            <w:tcW w:w="0" w:type="auto"/>
            <w:noWrap/>
            <w:hideMark/>
          </w:tcPr>
          <w:p w14:paraId="43E900F1" w14:textId="529B6D06"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0</w:t>
            </w:r>
          </w:p>
        </w:tc>
        <w:tc>
          <w:tcPr>
            <w:tcW w:w="0" w:type="auto"/>
            <w:noWrap/>
            <w:hideMark/>
          </w:tcPr>
          <w:p w14:paraId="5CD6003B" w14:textId="619F591B"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i/>
              </w:rPr>
              <w:t>20,239</w:t>
            </w:r>
          </w:p>
        </w:tc>
        <w:tc>
          <w:tcPr>
            <w:tcW w:w="0" w:type="auto"/>
            <w:noWrap/>
            <w:hideMark/>
          </w:tcPr>
          <w:p w14:paraId="18D3B9BE" w14:textId="138E3C15"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100F0A">
              <w:rPr>
                <w:rFonts w:cs="Calibri"/>
              </w:rPr>
              <w:t>55,964</w:t>
            </w:r>
          </w:p>
        </w:tc>
        <w:tc>
          <w:tcPr>
            <w:tcW w:w="0" w:type="auto"/>
            <w:shd w:val="clear" w:color="auto" w:fill="A6A6A6" w:themeFill="background1" w:themeFillShade="A6"/>
            <w:noWrap/>
            <w:hideMark/>
          </w:tcPr>
          <w:p w14:paraId="0D896D7E" w14:textId="7D150852"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00F0A">
              <w:rPr>
                <w:rFonts w:cs="Calibri"/>
                <w:color w:val="FFFFFF" w:themeColor="background1"/>
              </w:rPr>
              <w:t>40,333</w:t>
            </w:r>
          </w:p>
        </w:tc>
        <w:tc>
          <w:tcPr>
            <w:tcW w:w="0" w:type="auto"/>
            <w:noWrap/>
            <w:hideMark/>
          </w:tcPr>
          <w:p w14:paraId="6C3A287A" w14:textId="27D86C49"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rPr>
              <w:t>8,936</w:t>
            </w:r>
          </w:p>
        </w:tc>
        <w:tc>
          <w:tcPr>
            <w:tcW w:w="0" w:type="auto"/>
            <w:noWrap/>
            <w:hideMark/>
          </w:tcPr>
          <w:p w14:paraId="0E2FC8E2" w14:textId="35164BEC"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1,180</w:t>
            </w:r>
          </w:p>
        </w:tc>
      </w:tr>
      <w:tr w:rsidR="00504869" w:rsidRPr="00100F0A" w14:paraId="0E9CFBBA" w14:textId="77777777" w:rsidTr="00504869">
        <w:tc>
          <w:tcPr>
            <w:cnfStyle w:val="001000000000" w:firstRow="0" w:lastRow="0" w:firstColumn="1" w:lastColumn="0" w:oddVBand="0" w:evenVBand="0" w:oddHBand="0" w:evenHBand="0" w:firstRowFirstColumn="0" w:firstRowLastColumn="0" w:lastRowFirstColumn="0" w:lastRowLastColumn="0"/>
            <w:tcW w:w="0" w:type="auto"/>
            <w:noWrap/>
          </w:tcPr>
          <w:p w14:paraId="49A9F743" w14:textId="58346C9C" w:rsidR="0020212C" w:rsidRPr="00100F0A" w:rsidRDefault="0020212C" w:rsidP="00F56453">
            <w:pPr>
              <w:spacing w:before="0" w:after="0"/>
              <w:jc w:val="right"/>
              <w:rPr>
                <w:rFonts w:asciiTheme="minorHAnsi" w:hAnsiTheme="minorHAnsi" w:cstheme="minorHAnsi"/>
              </w:rPr>
            </w:pPr>
            <w:r w:rsidRPr="00100F0A">
              <w:rPr>
                <w:rFonts w:asciiTheme="minorHAnsi" w:hAnsiTheme="minorHAnsi" w:cstheme="minorHAnsi"/>
              </w:rPr>
              <w:t>Zinc</w:t>
            </w:r>
          </w:p>
        </w:tc>
        <w:tc>
          <w:tcPr>
            <w:tcW w:w="0" w:type="auto"/>
            <w:noWrap/>
          </w:tcPr>
          <w:p w14:paraId="187FAADF" w14:textId="08E8E7C8"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0</w:t>
            </w:r>
          </w:p>
        </w:tc>
        <w:tc>
          <w:tcPr>
            <w:tcW w:w="0" w:type="auto"/>
            <w:noWrap/>
          </w:tcPr>
          <w:p w14:paraId="74CAE534" w14:textId="42068FF0"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100F0A">
              <w:rPr>
                <w:rFonts w:cs="Calibri"/>
              </w:rPr>
              <w:t>194</w:t>
            </w:r>
          </w:p>
        </w:tc>
        <w:tc>
          <w:tcPr>
            <w:tcW w:w="0" w:type="auto"/>
            <w:noWrap/>
          </w:tcPr>
          <w:p w14:paraId="26C804F0" w14:textId="2FB25413"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0</w:t>
            </w:r>
          </w:p>
        </w:tc>
        <w:tc>
          <w:tcPr>
            <w:tcW w:w="0" w:type="auto"/>
            <w:noWrap/>
          </w:tcPr>
          <w:p w14:paraId="62722734" w14:textId="392A4E21"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i/>
              </w:rPr>
              <w:t>539</w:t>
            </w:r>
          </w:p>
        </w:tc>
        <w:tc>
          <w:tcPr>
            <w:tcW w:w="0" w:type="auto"/>
            <w:noWrap/>
          </w:tcPr>
          <w:p w14:paraId="5056E2B0" w14:textId="52A3A135"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100F0A">
              <w:rPr>
                <w:rFonts w:cs="Calibri"/>
              </w:rPr>
              <w:t>123,598</w:t>
            </w:r>
          </w:p>
        </w:tc>
        <w:tc>
          <w:tcPr>
            <w:tcW w:w="0" w:type="auto"/>
            <w:noWrap/>
          </w:tcPr>
          <w:p w14:paraId="304349E3" w14:textId="2AED2D33"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0</w:t>
            </w:r>
          </w:p>
        </w:tc>
        <w:tc>
          <w:tcPr>
            <w:tcW w:w="0" w:type="auto"/>
            <w:noWrap/>
          </w:tcPr>
          <w:p w14:paraId="20765C0A" w14:textId="34BEE577"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rPr>
              <w:t>296</w:t>
            </w:r>
          </w:p>
        </w:tc>
        <w:tc>
          <w:tcPr>
            <w:tcW w:w="0" w:type="auto"/>
            <w:noWrap/>
          </w:tcPr>
          <w:p w14:paraId="77B5A58D" w14:textId="336B7BD2"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453</w:t>
            </w:r>
          </w:p>
        </w:tc>
      </w:tr>
      <w:tr w:rsidR="00504869" w:rsidRPr="00100F0A" w14:paraId="23ED06E7" w14:textId="77777777" w:rsidTr="00504869">
        <w:tc>
          <w:tcPr>
            <w:cnfStyle w:val="001000000000" w:firstRow="0" w:lastRow="0" w:firstColumn="1" w:lastColumn="0" w:oddVBand="0" w:evenVBand="0" w:oddHBand="0" w:evenHBand="0" w:firstRowFirstColumn="0" w:firstRowLastColumn="0" w:lastRowFirstColumn="0" w:lastRowLastColumn="0"/>
            <w:tcW w:w="0" w:type="auto"/>
            <w:noWrap/>
            <w:hideMark/>
          </w:tcPr>
          <w:p w14:paraId="0840E31D" w14:textId="77777777" w:rsidR="0020212C" w:rsidRPr="00100F0A" w:rsidRDefault="0020212C" w:rsidP="00F56453">
            <w:pPr>
              <w:spacing w:before="0" w:after="0"/>
              <w:jc w:val="right"/>
              <w:rPr>
                <w:rFonts w:asciiTheme="minorHAnsi" w:hAnsiTheme="minorHAnsi" w:cstheme="minorHAnsi"/>
              </w:rPr>
            </w:pPr>
            <w:r w:rsidRPr="00100F0A">
              <w:rPr>
                <w:rFonts w:asciiTheme="minorHAnsi" w:hAnsiTheme="minorHAnsi" w:cstheme="minorHAnsi"/>
              </w:rPr>
              <w:t>Non-toxic salts</w:t>
            </w:r>
          </w:p>
        </w:tc>
        <w:tc>
          <w:tcPr>
            <w:tcW w:w="0" w:type="auto"/>
            <w:noWrap/>
          </w:tcPr>
          <w:p w14:paraId="3C55736D" w14:textId="1B5D0FB0"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0</w:t>
            </w:r>
          </w:p>
        </w:tc>
        <w:tc>
          <w:tcPr>
            <w:tcW w:w="0" w:type="auto"/>
            <w:noWrap/>
            <w:hideMark/>
          </w:tcPr>
          <w:p w14:paraId="3539F6AA" w14:textId="1CE4B70F"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26,132</w:t>
            </w:r>
          </w:p>
        </w:tc>
        <w:tc>
          <w:tcPr>
            <w:tcW w:w="0" w:type="auto"/>
            <w:noWrap/>
            <w:hideMark/>
          </w:tcPr>
          <w:p w14:paraId="0BB897FA" w14:textId="0A28D605"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300</w:t>
            </w:r>
          </w:p>
        </w:tc>
        <w:tc>
          <w:tcPr>
            <w:tcW w:w="0" w:type="auto"/>
            <w:noWrap/>
            <w:hideMark/>
          </w:tcPr>
          <w:p w14:paraId="43AAF87C" w14:textId="64A6B2C8"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i/>
              </w:rPr>
              <w:t>19,551</w:t>
            </w:r>
          </w:p>
        </w:tc>
        <w:tc>
          <w:tcPr>
            <w:tcW w:w="0" w:type="auto"/>
            <w:noWrap/>
            <w:hideMark/>
          </w:tcPr>
          <w:p w14:paraId="110B7C66" w14:textId="590D9BC2"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556</w:t>
            </w:r>
          </w:p>
        </w:tc>
        <w:tc>
          <w:tcPr>
            <w:tcW w:w="0" w:type="auto"/>
            <w:noWrap/>
            <w:hideMark/>
          </w:tcPr>
          <w:p w14:paraId="00B0163F" w14:textId="58E3BA2C"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2</w:t>
            </w:r>
          </w:p>
        </w:tc>
        <w:tc>
          <w:tcPr>
            <w:tcW w:w="0" w:type="auto"/>
            <w:noWrap/>
            <w:hideMark/>
          </w:tcPr>
          <w:p w14:paraId="7E522368" w14:textId="3766E11C"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rPr>
              <w:t>1,723</w:t>
            </w:r>
          </w:p>
        </w:tc>
        <w:tc>
          <w:tcPr>
            <w:tcW w:w="0" w:type="auto"/>
            <w:noWrap/>
            <w:hideMark/>
          </w:tcPr>
          <w:p w14:paraId="302559A6" w14:textId="09AD21A4"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14,035</w:t>
            </w:r>
          </w:p>
        </w:tc>
      </w:tr>
      <w:tr w:rsidR="00504869" w:rsidRPr="00100F0A" w14:paraId="37266156" w14:textId="77777777" w:rsidTr="00504869">
        <w:tc>
          <w:tcPr>
            <w:cnfStyle w:val="001000000000" w:firstRow="0" w:lastRow="0" w:firstColumn="1" w:lastColumn="0" w:oddVBand="0" w:evenVBand="0" w:oddHBand="0" w:evenHBand="0" w:firstRowFirstColumn="0" w:firstRowLastColumn="0" w:lastRowFirstColumn="0" w:lastRowLastColumn="0"/>
            <w:tcW w:w="0" w:type="auto"/>
            <w:noWrap/>
            <w:hideMark/>
          </w:tcPr>
          <w:p w14:paraId="572E9E57" w14:textId="15B1139D" w:rsidR="0020212C" w:rsidRPr="00100F0A" w:rsidRDefault="0020212C" w:rsidP="00F56453">
            <w:pPr>
              <w:spacing w:before="0" w:after="0"/>
              <w:jc w:val="right"/>
              <w:rPr>
                <w:rFonts w:asciiTheme="minorHAnsi" w:hAnsiTheme="minorHAnsi" w:cstheme="minorHAnsi"/>
              </w:rPr>
            </w:pPr>
            <w:r w:rsidRPr="00100F0A">
              <w:rPr>
                <w:rFonts w:asciiTheme="minorHAnsi" w:hAnsiTheme="minorHAnsi" w:cstheme="minorHAnsi"/>
              </w:rPr>
              <w:t>Other inorg. chemicals</w:t>
            </w:r>
          </w:p>
        </w:tc>
        <w:tc>
          <w:tcPr>
            <w:tcW w:w="0" w:type="auto"/>
            <w:noWrap/>
          </w:tcPr>
          <w:p w14:paraId="327D41F4" w14:textId="27C870B9"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0</w:t>
            </w:r>
          </w:p>
        </w:tc>
        <w:tc>
          <w:tcPr>
            <w:tcW w:w="0" w:type="auto"/>
            <w:noWrap/>
            <w:hideMark/>
          </w:tcPr>
          <w:p w14:paraId="0A57F906" w14:textId="3DB15251"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100F0A">
              <w:rPr>
                <w:rFonts w:cs="Calibri"/>
              </w:rPr>
              <w:t>631</w:t>
            </w:r>
          </w:p>
        </w:tc>
        <w:tc>
          <w:tcPr>
            <w:tcW w:w="0" w:type="auto"/>
            <w:noWrap/>
            <w:hideMark/>
          </w:tcPr>
          <w:p w14:paraId="6BF90450" w14:textId="3868786D"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0</w:t>
            </w:r>
          </w:p>
        </w:tc>
        <w:tc>
          <w:tcPr>
            <w:tcW w:w="0" w:type="auto"/>
            <w:noWrap/>
            <w:hideMark/>
          </w:tcPr>
          <w:p w14:paraId="4B27668D" w14:textId="3C81B629"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i/>
              </w:rPr>
              <w:t>3,631</w:t>
            </w:r>
          </w:p>
        </w:tc>
        <w:tc>
          <w:tcPr>
            <w:tcW w:w="0" w:type="auto"/>
            <w:noWrap/>
            <w:hideMark/>
          </w:tcPr>
          <w:p w14:paraId="419601DE" w14:textId="4F90378D"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183</w:t>
            </w:r>
          </w:p>
        </w:tc>
        <w:tc>
          <w:tcPr>
            <w:tcW w:w="0" w:type="auto"/>
            <w:noWrap/>
            <w:hideMark/>
          </w:tcPr>
          <w:p w14:paraId="32D288E7" w14:textId="04EDC9A8"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159</w:t>
            </w:r>
          </w:p>
        </w:tc>
        <w:tc>
          <w:tcPr>
            <w:tcW w:w="0" w:type="auto"/>
            <w:noWrap/>
            <w:hideMark/>
          </w:tcPr>
          <w:p w14:paraId="51DAC4EF" w14:textId="478630D1"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rPr>
              <w:t>675</w:t>
            </w:r>
          </w:p>
        </w:tc>
        <w:tc>
          <w:tcPr>
            <w:tcW w:w="0" w:type="auto"/>
            <w:noWrap/>
            <w:hideMark/>
          </w:tcPr>
          <w:p w14:paraId="50C1D572" w14:textId="0BA0258B"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386</w:t>
            </w:r>
          </w:p>
        </w:tc>
      </w:tr>
      <w:tr w:rsidR="00504869" w:rsidRPr="00100F0A" w14:paraId="294170E1" w14:textId="77777777" w:rsidTr="00504869">
        <w:tc>
          <w:tcPr>
            <w:cnfStyle w:val="001000000000" w:firstRow="0" w:lastRow="0" w:firstColumn="1" w:lastColumn="0" w:oddVBand="0" w:evenVBand="0" w:oddHBand="0" w:evenHBand="0" w:firstRowFirstColumn="0" w:firstRowLastColumn="0" w:lastRowFirstColumn="0" w:lastRowLastColumn="0"/>
            <w:tcW w:w="0" w:type="auto"/>
            <w:noWrap/>
            <w:hideMark/>
          </w:tcPr>
          <w:p w14:paraId="567101CC" w14:textId="77777777" w:rsidR="0020212C" w:rsidRPr="00100F0A" w:rsidRDefault="0020212C" w:rsidP="00F56453">
            <w:pPr>
              <w:spacing w:before="0" w:after="0"/>
              <w:jc w:val="right"/>
              <w:rPr>
                <w:rFonts w:asciiTheme="minorHAnsi" w:hAnsiTheme="minorHAnsi" w:cstheme="minorHAnsi"/>
              </w:rPr>
            </w:pPr>
            <w:r w:rsidRPr="00100F0A">
              <w:rPr>
                <w:rFonts w:asciiTheme="minorHAnsi" w:hAnsiTheme="minorHAnsi" w:cstheme="minorHAnsi"/>
              </w:rPr>
              <w:t>Reactive chemicals</w:t>
            </w:r>
          </w:p>
        </w:tc>
        <w:tc>
          <w:tcPr>
            <w:tcW w:w="0" w:type="auto"/>
            <w:noWrap/>
          </w:tcPr>
          <w:p w14:paraId="485EDBFB" w14:textId="42B9F70B"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0</w:t>
            </w:r>
          </w:p>
        </w:tc>
        <w:tc>
          <w:tcPr>
            <w:tcW w:w="0" w:type="auto"/>
            <w:noWrap/>
            <w:hideMark/>
          </w:tcPr>
          <w:p w14:paraId="7A2A0319" w14:textId="328775D7"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81</w:t>
            </w:r>
          </w:p>
        </w:tc>
        <w:tc>
          <w:tcPr>
            <w:tcW w:w="0" w:type="auto"/>
            <w:noWrap/>
            <w:hideMark/>
          </w:tcPr>
          <w:p w14:paraId="38C5CAE5" w14:textId="3CD13F8A"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0</w:t>
            </w:r>
          </w:p>
        </w:tc>
        <w:tc>
          <w:tcPr>
            <w:tcW w:w="0" w:type="auto"/>
            <w:noWrap/>
            <w:hideMark/>
          </w:tcPr>
          <w:p w14:paraId="170593ED" w14:textId="51EACA9D"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i/>
              </w:rPr>
              <w:t>53</w:t>
            </w:r>
          </w:p>
        </w:tc>
        <w:tc>
          <w:tcPr>
            <w:tcW w:w="0" w:type="auto"/>
            <w:noWrap/>
            <w:hideMark/>
          </w:tcPr>
          <w:p w14:paraId="4C08B1AE" w14:textId="7EC6EFB8"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15</w:t>
            </w:r>
          </w:p>
        </w:tc>
        <w:tc>
          <w:tcPr>
            <w:tcW w:w="0" w:type="auto"/>
            <w:noWrap/>
            <w:hideMark/>
          </w:tcPr>
          <w:p w14:paraId="04953E1A" w14:textId="79C78311"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7</w:t>
            </w:r>
          </w:p>
        </w:tc>
        <w:tc>
          <w:tcPr>
            <w:tcW w:w="0" w:type="auto"/>
            <w:noWrap/>
            <w:hideMark/>
          </w:tcPr>
          <w:p w14:paraId="6C7C0F69" w14:textId="14DBEEE4"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rPr>
              <w:t>72</w:t>
            </w:r>
          </w:p>
        </w:tc>
        <w:tc>
          <w:tcPr>
            <w:tcW w:w="0" w:type="auto"/>
            <w:noWrap/>
            <w:hideMark/>
          </w:tcPr>
          <w:p w14:paraId="6E68102D" w14:textId="67B49769"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48</w:t>
            </w:r>
          </w:p>
        </w:tc>
      </w:tr>
      <w:tr w:rsidR="00504869" w:rsidRPr="00100F0A" w14:paraId="78955830" w14:textId="77777777" w:rsidTr="00AA5FD9">
        <w:tc>
          <w:tcPr>
            <w:cnfStyle w:val="001000000000" w:firstRow="0" w:lastRow="0" w:firstColumn="1" w:lastColumn="0" w:oddVBand="0" w:evenVBand="0" w:oddHBand="0" w:evenHBand="0" w:firstRowFirstColumn="0" w:firstRowLastColumn="0" w:lastRowFirstColumn="0" w:lastRowLastColumn="0"/>
            <w:tcW w:w="0" w:type="auto"/>
            <w:noWrap/>
            <w:hideMark/>
          </w:tcPr>
          <w:p w14:paraId="4E943C2F" w14:textId="5F7AE866" w:rsidR="0020212C" w:rsidRPr="00100F0A" w:rsidRDefault="0020212C" w:rsidP="00F56453">
            <w:pPr>
              <w:spacing w:before="0" w:after="0"/>
              <w:jc w:val="right"/>
              <w:rPr>
                <w:rFonts w:asciiTheme="minorHAnsi" w:hAnsiTheme="minorHAnsi" w:cstheme="minorHAnsi"/>
              </w:rPr>
            </w:pPr>
            <w:r w:rsidRPr="00100F0A">
              <w:rPr>
                <w:rFonts w:asciiTheme="minorHAnsi" w:hAnsiTheme="minorHAnsi" w:cstheme="minorHAnsi"/>
              </w:rPr>
              <w:t>Paints, resins etc.</w:t>
            </w:r>
          </w:p>
        </w:tc>
        <w:tc>
          <w:tcPr>
            <w:tcW w:w="0" w:type="auto"/>
            <w:noWrap/>
          </w:tcPr>
          <w:p w14:paraId="27D5A5C0" w14:textId="100A8583"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20</w:t>
            </w:r>
          </w:p>
        </w:tc>
        <w:tc>
          <w:tcPr>
            <w:tcW w:w="0" w:type="auto"/>
            <w:noWrap/>
            <w:hideMark/>
          </w:tcPr>
          <w:p w14:paraId="4A4485F3" w14:textId="209644D6"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12,716</w:t>
            </w:r>
          </w:p>
        </w:tc>
        <w:tc>
          <w:tcPr>
            <w:tcW w:w="0" w:type="auto"/>
            <w:noWrap/>
            <w:hideMark/>
          </w:tcPr>
          <w:p w14:paraId="41D394E4" w14:textId="2E1AB9EA"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229</w:t>
            </w:r>
          </w:p>
        </w:tc>
        <w:tc>
          <w:tcPr>
            <w:tcW w:w="0" w:type="auto"/>
            <w:noWrap/>
            <w:hideMark/>
          </w:tcPr>
          <w:p w14:paraId="6D03D1F5" w14:textId="3F251A42"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i/>
              </w:rPr>
              <w:t>15,056</w:t>
            </w:r>
          </w:p>
        </w:tc>
        <w:tc>
          <w:tcPr>
            <w:tcW w:w="0" w:type="auto"/>
            <w:noWrap/>
            <w:hideMark/>
          </w:tcPr>
          <w:p w14:paraId="469A89C2" w14:textId="36150532"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5,645</w:t>
            </w:r>
          </w:p>
        </w:tc>
        <w:tc>
          <w:tcPr>
            <w:tcW w:w="0" w:type="auto"/>
            <w:noWrap/>
            <w:hideMark/>
          </w:tcPr>
          <w:p w14:paraId="31A3A4BB" w14:textId="6689BF1A"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12</w:t>
            </w:r>
          </w:p>
        </w:tc>
        <w:tc>
          <w:tcPr>
            <w:tcW w:w="0" w:type="auto"/>
            <w:noWrap/>
            <w:hideMark/>
          </w:tcPr>
          <w:p w14:paraId="6DF357D2" w14:textId="424EB350"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rPr>
              <w:t>29,290</w:t>
            </w:r>
          </w:p>
        </w:tc>
        <w:tc>
          <w:tcPr>
            <w:tcW w:w="0" w:type="auto"/>
            <w:shd w:val="clear" w:color="auto" w:fill="A6A6A6" w:themeFill="background1" w:themeFillShade="A6"/>
            <w:noWrap/>
            <w:hideMark/>
          </w:tcPr>
          <w:p w14:paraId="2B7D14D7" w14:textId="202E34B9"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00F0A">
              <w:rPr>
                <w:rFonts w:cs="Calibri"/>
                <w:color w:val="FFFFFF" w:themeColor="background1"/>
              </w:rPr>
              <w:t>10,000</w:t>
            </w:r>
          </w:p>
        </w:tc>
      </w:tr>
      <w:tr w:rsidR="00504869" w:rsidRPr="00100F0A" w14:paraId="3703EE9F" w14:textId="77777777" w:rsidTr="00504869">
        <w:tc>
          <w:tcPr>
            <w:cnfStyle w:val="001000000000" w:firstRow="0" w:lastRow="0" w:firstColumn="1" w:lastColumn="0" w:oddVBand="0" w:evenVBand="0" w:oddHBand="0" w:evenHBand="0" w:firstRowFirstColumn="0" w:firstRowLastColumn="0" w:lastRowFirstColumn="0" w:lastRowLastColumn="0"/>
            <w:tcW w:w="0" w:type="auto"/>
            <w:noWrap/>
            <w:hideMark/>
          </w:tcPr>
          <w:p w14:paraId="146532B6" w14:textId="77777777" w:rsidR="0020212C" w:rsidRPr="00100F0A" w:rsidRDefault="0020212C" w:rsidP="00F56453">
            <w:pPr>
              <w:spacing w:before="0" w:after="0"/>
              <w:jc w:val="right"/>
              <w:rPr>
                <w:rFonts w:asciiTheme="minorHAnsi" w:hAnsiTheme="minorHAnsi" w:cstheme="minorHAnsi"/>
              </w:rPr>
            </w:pPr>
            <w:r w:rsidRPr="00100F0A">
              <w:rPr>
                <w:rFonts w:asciiTheme="minorHAnsi" w:hAnsiTheme="minorHAnsi" w:cstheme="minorHAnsi"/>
              </w:rPr>
              <w:t>Organic solvents</w:t>
            </w:r>
          </w:p>
        </w:tc>
        <w:tc>
          <w:tcPr>
            <w:tcW w:w="0" w:type="auto"/>
            <w:noWrap/>
          </w:tcPr>
          <w:p w14:paraId="09571A9B" w14:textId="5897FA97"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22</w:t>
            </w:r>
          </w:p>
        </w:tc>
        <w:tc>
          <w:tcPr>
            <w:tcW w:w="0" w:type="auto"/>
            <w:noWrap/>
            <w:hideMark/>
          </w:tcPr>
          <w:p w14:paraId="6DA45F68" w14:textId="6158EFEE"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3,287</w:t>
            </w:r>
          </w:p>
        </w:tc>
        <w:tc>
          <w:tcPr>
            <w:tcW w:w="0" w:type="auto"/>
            <w:noWrap/>
            <w:hideMark/>
          </w:tcPr>
          <w:p w14:paraId="55ED1456" w14:textId="0A049A7C"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4</w:t>
            </w:r>
          </w:p>
        </w:tc>
        <w:tc>
          <w:tcPr>
            <w:tcW w:w="0" w:type="auto"/>
            <w:noWrap/>
            <w:hideMark/>
          </w:tcPr>
          <w:p w14:paraId="03321551" w14:textId="31575085"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i/>
              </w:rPr>
              <w:t>5,671</w:t>
            </w:r>
          </w:p>
        </w:tc>
        <w:tc>
          <w:tcPr>
            <w:tcW w:w="0" w:type="auto"/>
            <w:noWrap/>
            <w:hideMark/>
          </w:tcPr>
          <w:p w14:paraId="33687162" w14:textId="2CC13C64"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414</w:t>
            </w:r>
          </w:p>
        </w:tc>
        <w:tc>
          <w:tcPr>
            <w:tcW w:w="0" w:type="auto"/>
            <w:noWrap/>
            <w:hideMark/>
          </w:tcPr>
          <w:p w14:paraId="48D295D8" w14:textId="247FBBDD"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34</w:t>
            </w:r>
          </w:p>
        </w:tc>
        <w:tc>
          <w:tcPr>
            <w:tcW w:w="0" w:type="auto"/>
            <w:noWrap/>
            <w:hideMark/>
          </w:tcPr>
          <w:p w14:paraId="51CB56C2" w14:textId="582A4CC3"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rPr>
              <w:t>7,050</w:t>
            </w:r>
          </w:p>
        </w:tc>
        <w:tc>
          <w:tcPr>
            <w:tcW w:w="0" w:type="auto"/>
            <w:noWrap/>
            <w:hideMark/>
          </w:tcPr>
          <w:p w14:paraId="00CC41C6" w14:textId="2996CC90"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9,629</w:t>
            </w:r>
          </w:p>
        </w:tc>
      </w:tr>
      <w:tr w:rsidR="00504869" w:rsidRPr="00100F0A" w14:paraId="4E39E76E" w14:textId="77777777" w:rsidTr="00504869">
        <w:tc>
          <w:tcPr>
            <w:cnfStyle w:val="001000000000" w:firstRow="0" w:lastRow="0" w:firstColumn="1" w:lastColumn="0" w:oddVBand="0" w:evenVBand="0" w:oddHBand="0" w:evenHBand="0" w:firstRowFirstColumn="0" w:firstRowLastColumn="0" w:lastRowFirstColumn="0" w:lastRowLastColumn="0"/>
            <w:tcW w:w="0" w:type="auto"/>
            <w:noWrap/>
            <w:hideMark/>
          </w:tcPr>
          <w:p w14:paraId="2CE60B40" w14:textId="77777777" w:rsidR="0020212C" w:rsidRPr="00100F0A" w:rsidRDefault="0020212C" w:rsidP="00F56453">
            <w:pPr>
              <w:spacing w:before="0" w:after="0"/>
              <w:jc w:val="right"/>
              <w:rPr>
                <w:rFonts w:asciiTheme="minorHAnsi" w:hAnsiTheme="minorHAnsi" w:cstheme="minorHAnsi"/>
              </w:rPr>
            </w:pPr>
            <w:r w:rsidRPr="00100F0A">
              <w:rPr>
                <w:rFonts w:asciiTheme="minorHAnsi" w:hAnsiTheme="minorHAnsi" w:cstheme="minorHAnsi"/>
              </w:rPr>
              <w:t>Pesticides</w:t>
            </w:r>
          </w:p>
        </w:tc>
        <w:tc>
          <w:tcPr>
            <w:tcW w:w="0" w:type="auto"/>
            <w:noWrap/>
          </w:tcPr>
          <w:p w14:paraId="104A721E" w14:textId="05650AD2"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0</w:t>
            </w:r>
          </w:p>
        </w:tc>
        <w:tc>
          <w:tcPr>
            <w:tcW w:w="0" w:type="auto"/>
            <w:noWrap/>
            <w:hideMark/>
          </w:tcPr>
          <w:p w14:paraId="1308908A" w14:textId="17FE71FE"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219</w:t>
            </w:r>
          </w:p>
        </w:tc>
        <w:tc>
          <w:tcPr>
            <w:tcW w:w="0" w:type="auto"/>
            <w:noWrap/>
            <w:hideMark/>
          </w:tcPr>
          <w:p w14:paraId="4A9DB4FB" w14:textId="45AD7F22"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0</w:t>
            </w:r>
          </w:p>
        </w:tc>
        <w:tc>
          <w:tcPr>
            <w:tcW w:w="0" w:type="auto"/>
            <w:noWrap/>
            <w:hideMark/>
          </w:tcPr>
          <w:p w14:paraId="1F34D987" w14:textId="36F02C37"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i/>
              </w:rPr>
              <w:t>825</w:t>
            </w:r>
          </w:p>
        </w:tc>
        <w:tc>
          <w:tcPr>
            <w:tcW w:w="0" w:type="auto"/>
            <w:noWrap/>
            <w:hideMark/>
          </w:tcPr>
          <w:p w14:paraId="4989C970" w14:textId="23D061A3"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223</w:t>
            </w:r>
          </w:p>
        </w:tc>
        <w:tc>
          <w:tcPr>
            <w:tcW w:w="0" w:type="auto"/>
            <w:noWrap/>
            <w:hideMark/>
          </w:tcPr>
          <w:p w14:paraId="4601ACC5" w14:textId="42F141B8"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0</w:t>
            </w:r>
          </w:p>
        </w:tc>
        <w:tc>
          <w:tcPr>
            <w:tcW w:w="0" w:type="auto"/>
            <w:noWrap/>
            <w:hideMark/>
          </w:tcPr>
          <w:p w14:paraId="494DEEA9" w14:textId="63B7297A"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rPr>
              <w:t>1,470</w:t>
            </w:r>
          </w:p>
        </w:tc>
        <w:tc>
          <w:tcPr>
            <w:tcW w:w="0" w:type="auto"/>
            <w:noWrap/>
            <w:hideMark/>
          </w:tcPr>
          <w:p w14:paraId="4DC9B537" w14:textId="3E5EA038"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1,032</w:t>
            </w:r>
          </w:p>
        </w:tc>
      </w:tr>
      <w:tr w:rsidR="00504869" w:rsidRPr="00100F0A" w14:paraId="11F95B2C" w14:textId="77777777" w:rsidTr="00504869">
        <w:tc>
          <w:tcPr>
            <w:cnfStyle w:val="001000000000" w:firstRow="0" w:lastRow="0" w:firstColumn="1" w:lastColumn="0" w:oddVBand="0" w:evenVBand="0" w:oddHBand="0" w:evenHBand="0" w:firstRowFirstColumn="0" w:firstRowLastColumn="0" w:lastRowFirstColumn="0" w:lastRowLastColumn="0"/>
            <w:tcW w:w="0" w:type="auto"/>
            <w:noWrap/>
            <w:hideMark/>
          </w:tcPr>
          <w:p w14:paraId="1E7048BF" w14:textId="77777777" w:rsidR="0020212C" w:rsidRPr="00100F0A" w:rsidRDefault="0020212C" w:rsidP="00F56453">
            <w:pPr>
              <w:spacing w:before="0" w:after="0"/>
              <w:jc w:val="right"/>
              <w:rPr>
                <w:rFonts w:asciiTheme="minorHAnsi" w:hAnsiTheme="minorHAnsi" w:cstheme="minorHAnsi"/>
              </w:rPr>
            </w:pPr>
            <w:r w:rsidRPr="00100F0A">
              <w:rPr>
                <w:rFonts w:asciiTheme="minorHAnsi" w:hAnsiTheme="minorHAnsi" w:cstheme="minorHAnsi"/>
              </w:rPr>
              <w:t>Oils</w:t>
            </w:r>
          </w:p>
        </w:tc>
        <w:tc>
          <w:tcPr>
            <w:tcW w:w="0" w:type="auto"/>
            <w:noWrap/>
            <w:hideMark/>
          </w:tcPr>
          <w:p w14:paraId="54A37C6F" w14:textId="53DE6368"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1,368</w:t>
            </w:r>
          </w:p>
        </w:tc>
        <w:tc>
          <w:tcPr>
            <w:tcW w:w="0" w:type="auto"/>
            <w:noWrap/>
            <w:hideMark/>
          </w:tcPr>
          <w:p w14:paraId="1EE99F3E" w14:textId="05725F68"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100F0A">
              <w:rPr>
                <w:rFonts w:cs="Calibri"/>
                <w:u w:val="single"/>
              </w:rPr>
              <w:t>182,497</w:t>
            </w:r>
          </w:p>
        </w:tc>
        <w:tc>
          <w:tcPr>
            <w:tcW w:w="0" w:type="auto"/>
            <w:noWrap/>
            <w:hideMark/>
          </w:tcPr>
          <w:p w14:paraId="038EDD1A" w14:textId="27C007A1"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1,922</w:t>
            </w:r>
          </w:p>
        </w:tc>
        <w:tc>
          <w:tcPr>
            <w:tcW w:w="0" w:type="auto"/>
            <w:noWrap/>
            <w:hideMark/>
          </w:tcPr>
          <w:p w14:paraId="1AC4DE2D" w14:textId="5665DDF7"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i/>
              </w:rPr>
              <w:t>59,216</w:t>
            </w:r>
          </w:p>
        </w:tc>
        <w:tc>
          <w:tcPr>
            <w:tcW w:w="0" w:type="auto"/>
            <w:noWrap/>
            <w:hideMark/>
          </w:tcPr>
          <w:p w14:paraId="0D8C32E0" w14:textId="509CF576"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15,625</w:t>
            </w:r>
          </w:p>
        </w:tc>
        <w:tc>
          <w:tcPr>
            <w:tcW w:w="0" w:type="auto"/>
            <w:noWrap/>
            <w:hideMark/>
          </w:tcPr>
          <w:p w14:paraId="56887CA3" w14:textId="2275A533"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68</w:t>
            </w:r>
          </w:p>
        </w:tc>
        <w:tc>
          <w:tcPr>
            <w:tcW w:w="0" w:type="auto"/>
            <w:noWrap/>
            <w:hideMark/>
          </w:tcPr>
          <w:p w14:paraId="4D225B12" w14:textId="34FD4275"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rPr>
              <w:t>28,096</w:t>
            </w:r>
          </w:p>
        </w:tc>
        <w:tc>
          <w:tcPr>
            <w:tcW w:w="0" w:type="auto"/>
            <w:noWrap/>
            <w:hideMark/>
          </w:tcPr>
          <w:p w14:paraId="3A0CA3EC" w14:textId="4A82843E"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107,402</w:t>
            </w:r>
          </w:p>
        </w:tc>
      </w:tr>
      <w:tr w:rsidR="00504869" w:rsidRPr="00100F0A" w14:paraId="31A47BE1" w14:textId="77777777" w:rsidTr="00504869">
        <w:tc>
          <w:tcPr>
            <w:cnfStyle w:val="001000000000" w:firstRow="0" w:lastRow="0" w:firstColumn="1" w:lastColumn="0" w:oddVBand="0" w:evenVBand="0" w:oddHBand="0" w:evenHBand="0" w:firstRowFirstColumn="0" w:firstRowLastColumn="0" w:lastRowFirstColumn="0" w:lastRowLastColumn="0"/>
            <w:tcW w:w="0" w:type="auto"/>
            <w:noWrap/>
          </w:tcPr>
          <w:p w14:paraId="57C56192" w14:textId="185D43DC" w:rsidR="0020212C" w:rsidRPr="00100F0A" w:rsidRDefault="0020212C" w:rsidP="00F56453">
            <w:pPr>
              <w:spacing w:before="0" w:after="0"/>
              <w:jc w:val="right"/>
              <w:rPr>
                <w:rFonts w:asciiTheme="minorHAnsi" w:hAnsiTheme="minorHAnsi" w:cstheme="minorHAnsi"/>
              </w:rPr>
            </w:pPr>
            <w:r w:rsidRPr="00100F0A">
              <w:rPr>
                <w:rFonts w:asciiTheme="minorHAnsi" w:hAnsiTheme="minorHAnsi" w:cstheme="minorHAnsi"/>
              </w:rPr>
              <w:t>Oil/water mixtures</w:t>
            </w:r>
          </w:p>
        </w:tc>
        <w:tc>
          <w:tcPr>
            <w:tcW w:w="0" w:type="auto"/>
            <w:noWrap/>
          </w:tcPr>
          <w:p w14:paraId="4A3D152D" w14:textId="15987E4D"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352</w:t>
            </w:r>
          </w:p>
        </w:tc>
        <w:tc>
          <w:tcPr>
            <w:tcW w:w="0" w:type="auto"/>
            <w:noWrap/>
          </w:tcPr>
          <w:p w14:paraId="246231D9" w14:textId="0FC2D8D9"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70,717</w:t>
            </w:r>
          </w:p>
        </w:tc>
        <w:tc>
          <w:tcPr>
            <w:tcW w:w="0" w:type="auto"/>
            <w:noWrap/>
          </w:tcPr>
          <w:p w14:paraId="661F04C8" w14:textId="0CF176F2"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1,846</w:t>
            </w:r>
          </w:p>
        </w:tc>
        <w:tc>
          <w:tcPr>
            <w:tcW w:w="0" w:type="auto"/>
            <w:noWrap/>
          </w:tcPr>
          <w:p w14:paraId="4F075A47" w14:textId="1D0134CF"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i/>
              </w:rPr>
              <w:t>175,209</w:t>
            </w:r>
          </w:p>
        </w:tc>
        <w:tc>
          <w:tcPr>
            <w:tcW w:w="0" w:type="auto"/>
            <w:noWrap/>
          </w:tcPr>
          <w:p w14:paraId="681F25AA" w14:textId="30819A1E"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25,965</w:t>
            </w:r>
          </w:p>
        </w:tc>
        <w:tc>
          <w:tcPr>
            <w:tcW w:w="0" w:type="auto"/>
            <w:noWrap/>
          </w:tcPr>
          <w:p w14:paraId="0DF4DCBA" w14:textId="164F57FE"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141</w:t>
            </w:r>
          </w:p>
        </w:tc>
        <w:tc>
          <w:tcPr>
            <w:tcW w:w="0" w:type="auto"/>
            <w:noWrap/>
          </w:tcPr>
          <w:p w14:paraId="05C4899D" w14:textId="72EB4BB5"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rPr>
              <w:t>58,021</w:t>
            </w:r>
          </w:p>
        </w:tc>
        <w:tc>
          <w:tcPr>
            <w:tcW w:w="0" w:type="auto"/>
            <w:noWrap/>
          </w:tcPr>
          <w:p w14:paraId="5FE00ECB" w14:textId="0C181119"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56,711</w:t>
            </w:r>
          </w:p>
        </w:tc>
      </w:tr>
      <w:tr w:rsidR="00504869" w:rsidRPr="00100F0A" w14:paraId="68EA6A63" w14:textId="77777777" w:rsidTr="00490B12">
        <w:tc>
          <w:tcPr>
            <w:cnfStyle w:val="001000000000" w:firstRow="0" w:lastRow="0" w:firstColumn="1" w:lastColumn="0" w:oddVBand="0" w:evenVBand="0" w:oddHBand="0" w:evenHBand="0" w:firstRowFirstColumn="0" w:firstRowLastColumn="0" w:lastRowFirstColumn="0" w:lastRowLastColumn="0"/>
            <w:tcW w:w="0" w:type="auto"/>
            <w:noWrap/>
            <w:hideMark/>
          </w:tcPr>
          <w:p w14:paraId="04DF826E" w14:textId="77777777" w:rsidR="0020212C" w:rsidRPr="00100F0A" w:rsidRDefault="0020212C" w:rsidP="00F56453">
            <w:pPr>
              <w:spacing w:before="0" w:after="0"/>
              <w:jc w:val="right"/>
              <w:rPr>
                <w:rFonts w:asciiTheme="minorHAnsi" w:hAnsiTheme="minorHAnsi" w:cstheme="minorHAnsi"/>
              </w:rPr>
            </w:pPr>
            <w:r w:rsidRPr="00100F0A">
              <w:rPr>
                <w:rFonts w:asciiTheme="minorHAnsi" w:hAnsiTheme="minorHAnsi" w:cstheme="minorHAnsi"/>
              </w:rPr>
              <w:t>Grease trap waste</w:t>
            </w:r>
          </w:p>
        </w:tc>
        <w:tc>
          <w:tcPr>
            <w:tcW w:w="0" w:type="auto"/>
            <w:noWrap/>
            <w:hideMark/>
          </w:tcPr>
          <w:p w14:paraId="0D9B5A88" w14:textId="18CC382A"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6,243</w:t>
            </w:r>
          </w:p>
        </w:tc>
        <w:tc>
          <w:tcPr>
            <w:tcW w:w="0" w:type="auto"/>
            <w:shd w:val="clear" w:color="auto" w:fill="000000" w:themeFill="text1"/>
            <w:noWrap/>
            <w:hideMark/>
          </w:tcPr>
          <w:p w14:paraId="1BECB919" w14:textId="14072454"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00F0A">
              <w:rPr>
                <w:rFonts w:cs="Calibri"/>
                <w:color w:val="FFFFFF" w:themeColor="background1"/>
              </w:rPr>
              <w:t>96,824</w:t>
            </w:r>
          </w:p>
        </w:tc>
        <w:tc>
          <w:tcPr>
            <w:tcW w:w="0" w:type="auto"/>
            <w:noWrap/>
            <w:hideMark/>
          </w:tcPr>
          <w:p w14:paraId="6385B591" w14:textId="37C1D4D2"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3,048</w:t>
            </w:r>
          </w:p>
        </w:tc>
        <w:tc>
          <w:tcPr>
            <w:tcW w:w="0" w:type="auto"/>
            <w:noWrap/>
            <w:hideMark/>
          </w:tcPr>
          <w:p w14:paraId="1B937271" w14:textId="6E6636BB"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i/>
              </w:rPr>
              <w:t>135,040</w:t>
            </w:r>
          </w:p>
        </w:tc>
        <w:tc>
          <w:tcPr>
            <w:tcW w:w="0" w:type="auto"/>
            <w:noWrap/>
            <w:hideMark/>
          </w:tcPr>
          <w:p w14:paraId="029A08B6" w14:textId="2B7BE30B"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74,832</w:t>
            </w:r>
          </w:p>
        </w:tc>
        <w:tc>
          <w:tcPr>
            <w:tcW w:w="0" w:type="auto"/>
            <w:noWrap/>
            <w:hideMark/>
          </w:tcPr>
          <w:p w14:paraId="6A4CCF4F" w14:textId="06BC55CC"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6,436</w:t>
            </w:r>
          </w:p>
        </w:tc>
        <w:tc>
          <w:tcPr>
            <w:tcW w:w="0" w:type="auto"/>
            <w:noWrap/>
            <w:hideMark/>
          </w:tcPr>
          <w:p w14:paraId="1FB9F573" w14:textId="5065323D"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rPr>
              <w:t>114,750</w:t>
            </w:r>
          </w:p>
        </w:tc>
        <w:tc>
          <w:tcPr>
            <w:tcW w:w="0" w:type="auto"/>
            <w:noWrap/>
            <w:hideMark/>
          </w:tcPr>
          <w:p w14:paraId="3C0A0EE6" w14:textId="54713780"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84,038</w:t>
            </w:r>
          </w:p>
        </w:tc>
      </w:tr>
      <w:tr w:rsidR="00504869" w:rsidRPr="00100F0A" w14:paraId="490EC490" w14:textId="77777777" w:rsidTr="00490B12">
        <w:tc>
          <w:tcPr>
            <w:cnfStyle w:val="001000000000" w:firstRow="0" w:lastRow="0" w:firstColumn="1" w:lastColumn="0" w:oddVBand="0" w:evenVBand="0" w:oddHBand="0" w:evenHBand="0" w:firstRowFirstColumn="0" w:firstRowLastColumn="0" w:lastRowFirstColumn="0" w:lastRowLastColumn="0"/>
            <w:tcW w:w="0" w:type="auto"/>
            <w:noWrap/>
          </w:tcPr>
          <w:p w14:paraId="2C57642A" w14:textId="71C7B86E" w:rsidR="0020212C" w:rsidRPr="00100F0A" w:rsidRDefault="0020212C" w:rsidP="00F56453">
            <w:pPr>
              <w:spacing w:before="0" w:after="0"/>
              <w:jc w:val="right"/>
              <w:rPr>
                <w:rFonts w:asciiTheme="minorHAnsi" w:hAnsiTheme="minorHAnsi" w:cstheme="minorHAnsi"/>
              </w:rPr>
            </w:pPr>
            <w:r w:rsidRPr="00100F0A">
              <w:rPr>
                <w:rFonts w:cs="Calibri"/>
                <w:color w:val="000000"/>
              </w:rPr>
              <w:t>Other organic wastes</w:t>
            </w:r>
          </w:p>
        </w:tc>
        <w:tc>
          <w:tcPr>
            <w:tcW w:w="0" w:type="auto"/>
            <w:noWrap/>
          </w:tcPr>
          <w:p w14:paraId="2FAA6F95" w14:textId="6D9374C7"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0</w:t>
            </w:r>
          </w:p>
        </w:tc>
        <w:tc>
          <w:tcPr>
            <w:tcW w:w="0" w:type="auto"/>
            <w:shd w:val="clear" w:color="auto" w:fill="000000" w:themeFill="text1"/>
            <w:noWrap/>
          </w:tcPr>
          <w:p w14:paraId="3887762E" w14:textId="71096AF4"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00F0A">
              <w:rPr>
                <w:rFonts w:cs="Calibri"/>
                <w:color w:val="FFFFFF" w:themeColor="background1"/>
              </w:rPr>
              <w:t>58,543</w:t>
            </w:r>
          </w:p>
        </w:tc>
        <w:tc>
          <w:tcPr>
            <w:tcW w:w="0" w:type="auto"/>
            <w:noWrap/>
          </w:tcPr>
          <w:p w14:paraId="3FCD8E64" w14:textId="220E4F50"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1,843</w:t>
            </w:r>
          </w:p>
        </w:tc>
        <w:tc>
          <w:tcPr>
            <w:tcW w:w="0" w:type="auto"/>
            <w:noWrap/>
          </w:tcPr>
          <w:p w14:paraId="4BDC5756" w14:textId="624E92FA"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i/>
              </w:rPr>
              <w:t>95,768</w:t>
            </w:r>
          </w:p>
        </w:tc>
        <w:tc>
          <w:tcPr>
            <w:tcW w:w="0" w:type="auto"/>
            <w:noWrap/>
          </w:tcPr>
          <w:p w14:paraId="5F0F633E" w14:textId="4AC1F08A"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5,021</w:t>
            </w:r>
          </w:p>
        </w:tc>
        <w:tc>
          <w:tcPr>
            <w:tcW w:w="0" w:type="auto"/>
            <w:noWrap/>
          </w:tcPr>
          <w:p w14:paraId="6C5F3C07" w14:textId="02341941"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3,891</w:t>
            </w:r>
          </w:p>
        </w:tc>
        <w:tc>
          <w:tcPr>
            <w:tcW w:w="0" w:type="auto"/>
            <w:noWrap/>
          </w:tcPr>
          <w:p w14:paraId="1C8ED813" w14:textId="55453C4E"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rPr>
              <w:t>36,899</w:t>
            </w:r>
          </w:p>
        </w:tc>
        <w:tc>
          <w:tcPr>
            <w:tcW w:w="0" w:type="auto"/>
            <w:noWrap/>
          </w:tcPr>
          <w:p w14:paraId="2F040A60" w14:textId="166AF9C0"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30,498</w:t>
            </w:r>
          </w:p>
        </w:tc>
      </w:tr>
      <w:tr w:rsidR="00504869" w:rsidRPr="00100F0A" w14:paraId="50EF4951" w14:textId="77777777" w:rsidTr="00504869">
        <w:tc>
          <w:tcPr>
            <w:cnfStyle w:val="001000000000" w:firstRow="0" w:lastRow="0" w:firstColumn="1" w:lastColumn="0" w:oddVBand="0" w:evenVBand="0" w:oddHBand="0" w:evenHBand="0" w:firstRowFirstColumn="0" w:firstRowLastColumn="0" w:lastRowFirstColumn="0" w:lastRowLastColumn="0"/>
            <w:tcW w:w="0" w:type="auto"/>
            <w:noWrap/>
          </w:tcPr>
          <w:p w14:paraId="02157659" w14:textId="47BCC228" w:rsidR="0020212C" w:rsidRPr="00100F0A" w:rsidRDefault="0020212C" w:rsidP="00F56453">
            <w:pPr>
              <w:spacing w:before="0" w:after="0"/>
              <w:jc w:val="right"/>
              <w:rPr>
                <w:rFonts w:asciiTheme="minorHAnsi" w:hAnsiTheme="minorHAnsi" w:cstheme="minorHAnsi"/>
              </w:rPr>
            </w:pPr>
            <w:r w:rsidRPr="00100F0A">
              <w:rPr>
                <w:rFonts w:cs="Calibri"/>
                <w:color w:val="000000"/>
              </w:rPr>
              <w:t>PCB wastes</w:t>
            </w:r>
          </w:p>
        </w:tc>
        <w:tc>
          <w:tcPr>
            <w:tcW w:w="0" w:type="auto"/>
            <w:noWrap/>
          </w:tcPr>
          <w:p w14:paraId="0C69EEB4" w14:textId="4CF3E81C"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9</w:t>
            </w:r>
          </w:p>
        </w:tc>
        <w:tc>
          <w:tcPr>
            <w:tcW w:w="0" w:type="auto"/>
            <w:noWrap/>
          </w:tcPr>
          <w:p w14:paraId="56F735F9" w14:textId="1158F493"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1,803</w:t>
            </w:r>
          </w:p>
        </w:tc>
        <w:tc>
          <w:tcPr>
            <w:tcW w:w="0" w:type="auto"/>
            <w:noWrap/>
          </w:tcPr>
          <w:p w14:paraId="64DE8655" w14:textId="1A056D6E"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0</w:t>
            </w:r>
          </w:p>
        </w:tc>
        <w:tc>
          <w:tcPr>
            <w:tcW w:w="0" w:type="auto"/>
            <w:noWrap/>
          </w:tcPr>
          <w:p w14:paraId="47D46995" w14:textId="7B696226"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i/>
              </w:rPr>
              <w:t>2,282</w:t>
            </w:r>
          </w:p>
        </w:tc>
        <w:tc>
          <w:tcPr>
            <w:tcW w:w="0" w:type="auto"/>
            <w:noWrap/>
          </w:tcPr>
          <w:p w14:paraId="3AE358E3" w14:textId="0D35CC48"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54</w:t>
            </w:r>
          </w:p>
        </w:tc>
        <w:tc>
          <w:tcPr>
            <w:tcW w:w="0" w:type="auto"/>
            <w:noWrap/>
          </w:tcPr>
          <w:p w14:paraId="3ED5DB8D" w14:textId="23B97130"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1</w:t>
            </w:r>
          </w:p>
        </w:tc>
        <w:tc>
          <w:tcPr>
            <w:tcW w:w="0" w:type="auto"/>
            <w:noWrap/>
          </w:tcPr>
          <w:p w14:paraId="2D5476F5" w14:textId="5C2756A0"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rPr>
              <w:t>1,456</w:t>
            </w:r>
          </w:p>
        </w:tc>
        <w:tc>
          <w:tcPr>
            <w:tcW w:w="0" w:type="auto"/>
            <w:noWrap/>
          </w:tcPr>
          <w:p w14:paraId="1C645A77" w14:textId="20FC02D5"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39</w:t>
            </w:r>
          </w:p>
        </w:tc>
      </w:tr>
      <w:tr w:rsidR="00CC0F14" w:rsidRPr="00100F0A" w14:paraId="7E6882E8" w14:textId="77777777" w:rsidTr="00504869">
        <w:tc>
          <w:tcPr>
            <w:cnfStyle w:val="001000000000" w:firstRow="0" w:lastRow="0" w:firstColumn="1" w:lastColumn="0" w:oddVBand="0" w:evenVBand="0" w:oddHBand="0" w:evenHBand="0" w:firstRowFirstColumn="0" w:firstRowLastColumn="0" w:lastRowFirstColumn="0" w:lastRowLastColumn="0"/>
            <w:tcW w:w="0" w:type="auto"/>
            <w:noWrap/>
          </w:tcPr>
          <w:p w14:paraId="0DCC01C1" w14:textId="2F714BB4" w:rsidR="00CC0F14" w:rsidRPr="00100F0A" w:rsidRDefault="00CC0F14" w:rsidP="00F56453">
            <w:pPr>
              <w:spacing w:before="0" w:after="0"/>
              <w:jc w:val="right"/>
              <w:rPr>
                <w:rFonts w:asciiTheme="minorHAnsi" w:hAnsiTheme="minorHAnsi" w:cstheme="minorHAnsi"/>
              </w:rPr>
            </w:pPr>
            <w:r w:rsidRPr="00100F0A">
              <w:rPr>
                <w:rFonts w:cs="Calibri"/>
                <w:color w:val="000000"/>
              </w:rPr>
              <w:t>POP BDEs and HBCD</w:t>
            </w:r>
          </w:p>
        </w:tc>
        <w:tc>
          <w:tcPr>
            <w:tcW w:w="0" w:type="auto"/>
            <w:noWrap/>
          </w:tcPr>
          <w:p w14:paraId="666C0D12" w14:textId="3F11A880"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100F0A">
              <w:rPr>
                <w:rFonts w:asciiTheme="minorHAnsi" w:hAnsiTheme="minorHAnsi" w:cstheme="minorHAnsi"/>
                <w:color w:val="FF0000"/>
              </w:rPr>
              <w:t>0</w:t>
            </w:r>
          </w:p>
        </w:tc>
        <w:tc>
          <w:tcPr>
            <w:tcW w:w="0" w:type="auto"/>
            <w:noWrap/>
          </w:tcPr>
          <w:p w14:paraId="5A3E6213" w14:textId="30920C2E"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asciiTheme="minorHAnsi" w:hAnsiTheme="minorHAnsi" w:cstheme="minorHAnsi"/>
                <w:color w:val="FF0000"/>
              </w:rPr>
              <w:t>0</w:t>
            </w:r>
          </w:p>
        </w:tc>
        <w:tc>
          <w:tcPr>
            <w:tcW w:w="0" w:type="auto"/>
            <w:noWrap/>
          </w:tcPr>
          <w:p w14:paraId="26455A61" w14:textId="11D8A684"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asciiTheme="minorHAnsi" w:hAnsiTheme="minorHAnsi" w:cstheme="minorHAnsi"/>
                <w:color w:val="FF0000"/>
              </w:rPr>
              <w:t>0</w:t>
            </w:r>
          </w:p>
        </w:tc>
        <w:tc>
          <w:tcPr>
            <w:tcW w:w="0" w:type="auto"/>
            <w:noWrap/>
          </w:tcPr>
          <w:p w14:paraId="4DA90F28" w14:textId="5BDE9990"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asciiTheme="minorHAnsi" w:hAnsiTheme="minorHAnsi" w:cstheme="minorHAnsi"/>
                <w:color w:val="FF0000"/>
              </w:rPr>
              <w:t>0</w:t>
            </w:r>
          </w:p>
        </w:tc>
        <w:tc>
          <w:tcPr>
            <w:tcW w:w="0" w:type="auto"/>
            <w:noWrap/>
          </w:tcPr>
          <w:p w14:paraId="69B75C27" w14:textId="623EB0AE"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asciiTheme="minorHAnsi" w:hAnsiTheme="minorHAnsi" w:cstheme="minorHAnsi"/>
                <w:color w:val="FF0000"/>
              </w:rPr>
              <w:t>0</w:t>
            </w:r>
          </w:p>
        </w:tc>
        <w:tc>
          <w:tcPr>
            <w:tcW w:w="0" w:type="auto"/>
            <w:noWrap/>
          </w:tcPr>
          <w:p w14:paraId="3A573037" w14:textId="03706CCB"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asciiTheme="minorHAnsi" w:hAnsiTheme="minorHAnsi" w:cstheme="minorHAnsi"/>
                <w:color w:val="FF0000"/>
              </w:rPr>
              <w:t>0</w:t>
            </w:r>
          </w:p>
        </w:tc>
        <w:tc>
          <w:tcPr>
            <w:tcW w:w="0" w:type="auto"/>
            <w:noWrap/>
          </w:tcPr>
          <w:p w14:paraId="3DE184F9" w14:textId="6B838A1E"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asciiTheme="minorHAnsi" w:hAnsiTheme="minorHAnsi" w:cstheme="minorHAnsi"/>
                <w:color w:val="FF0000"/>
              </w:rPr>
              <w:t>0</w:t>
            </w:r>
          </w:p>
        </w:tc>
        <w:tc>
          <w:tcPr>
            <w:tcW w:w="0" w:type="auto"/>
            <w:noWrap/>
          </w:tcPr>
          <w:p w14:paraId="0FB719E1" w14:textId="66870D1D"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asciiTheme="minorHAnsi" w:hAnsiTheme="minorHAnsi" w:cstheme="minorHAnsi"/>
                <w:color w:val="FF0000"/>
              </w:rPr>
              <w:t>0</w:t>
            </w:r>
          </w:p>
        </w:tc>
      </w:tr>
      <w:tr w:rsidR="00CC0F14" w:rsidRPr="00100F0A" w14:paraId="1C8E0817" w14:textId="77777777" w:rsidTr="00504869">
        <w:tc>
          <w:tcPr>
            <w:cnfStyle w:val="001000000000" w:firstRow="0" w:lastRow="0" w:firstColumn="1" w:lastColumn="0" w:oddVBand="0" w:evenVBand="0" w:oddHBand="0" w:evenHBand="0" w:firstRowFirstColumn="0" w:firstRowLastColumn="0" w:lastRowFirstColumn="0" w:lastRowLastColumn="0"/>
            <w:tcW w:w="0" w:type="auto"/>
            <w:noWrap/>
          </w:tcPr>
          <w:p w14:paraId="5D714122" w14:textId="287203B2" w:rsidR="00CC0F14" w:rsidRPr="00100F0A" w:rsidRDefault="00CC0F14" w:rsidP="00F56453">
            <w:pPr>
              <w:spacing w:before="0" w:after="0"/>
              <w:jc w:val="right"/>
              <w:rPr>
                <w:rFonts w:asciiTheme="minorHAnsi" w:hAnsiTheme="minorHAnsi" w:cstheme="minorHAnsi"/>
              </w:rPr>
            </w:pPr>
            <w:r w:rsidRPr="00100F0A">
              <w:rPr>
                <w:rFonts w:cs="Calibri"/>
                <w:color w:val="000000"/>
              </w:rPr>
              <w:t>HCB</w:t>
            </w:r>
          </w:p>
        </w:tc>
        <w:tc>
          <w:tcPr>
            <w:tcW w:w="0" w:type="auto"/>
            <w:noWrap/>
          </w:tcPr>
          <w:p w14:paraId="5CDCA598" w14:textId="237A0DCB"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asciiTheme="minorHAnsi" w:hAnsiTheme="minorHAnsi" w:cstheme="minorHAnsi"/>
                <w:color w:val="FF0000"/>
              </w:rPr>
              <w:t>0</w:t>
            </w:r>
          </w:p>
        </w:tc>
        <w:tc>
          <w:tcPr>
            <w:tcW w:w="0" w:type="auto"/>
            <w:noWrap/>
          </w:tcPr>
          <w:p w14:paraId="17C995CF" w14:textId="6DEA16CD"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asciiTheme="minorHAnsi" w:hAnsiTheme="minorHAnsi" w:cstheme="minorHAnsi"/>
                <w:color w:val="FF0000"/>
              </w:rPr>
              <w:t>0</w:t>
            </w:r>
          </w:p>
        </w:tc>
        <w:tc>
          <w:tcPr>
            <w:tcW w:w="0" w:type="auto"/>
            <w:noWrap/>
          </w:tcPr>
          <w:p w14:paraId="2B84D4A8" w14:textId="3F78C3F6"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asciiTheme="minorHAnsi" w:hAnsiTheme="minorHAnsi" w:cstheme="minorHAnsi"/>
                <w:color w:val="FF0000"/>
              </w:rPr>
              <w:t>0</w:t>
            </w:r>
          </w:p>
        </w:tc>
        <w:tc>
          <w:tcPr>
            <w:tcW w:w="0" w:type="auto"/>
            <w:noWrap/>
          </w:tcPr>
          <w:p w14:paraId="21DEFC30" w14:textId="05B623AD"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asciiTheme="minorHAnsi" w:hAnsiTheme="minorHAnsi" w:cstheme="minorHAnsi"/>
                <w:color w:val="FF0000"/>
              </w:rPr>
              <w:t>0</w:t>
            </w:r>
          </w:p>
        </w:tc>
        <w:tc>
          <w:tcPr>
            <w:tcW w:w="0" w:type="auto"/>
            <w:noWrap/>
          </w:tcPr>
          <w:p w14:paraId="027D7809" w14:textId="1A0CF182"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asciiTheme="minorHAnsi" w:hAnsiTheme="minorHAnsi" w:cstheme="minorHAnsi"/>
                <w:color w:val="FF0000"/>
              </w:rPr>
              <w:t>0</w:t>
            </w:r>
          </w:p>
        </w:tc>
        <w:tc>
          <w:tcPr>
            <w:tcW w:w="0" w:type="auto"/>
            <w:noWrap/>
          </w:tcPr>
          <w:p w14:paraId="2272A665" w14:textId="0B0A5348"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asciiTheme="minorHAnsi" w:hAnsiTheme="minorHAnsi" w:cstheme="minorHAnsi"/>
                <w:color w:val="FF0000"/>
              </w:rPr>
              <w:t>0</w:t>
            </w:r>
          </w:p>
        </w:tc>
        <w:tc>
          <w:tcPr>
            <w:tcW w:w="0" w:type="auto"/>
            <w:noWrap/>
          </w:tcPr>
          <w:p w14:paraId="23664238" w14:textId="305690B1"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asciiTheme="minorHAnsi" w:hAnsiTheme="minorHAnsi" w:cstheme="minorHAnsi"/>
                <w:color w:val="FF0000"/>
              </w:rPr>
              <w:t>0</w:t>
            </w:r>
          </w:p>
        </w:tc>
        <w:tc>
          <w:tcPr>
            <w:tcW w:w="0" w:type="auto"/>
            <w:noWrap/>
          </w:tcPr>
          <w:p w14:paraId="25071A70" w14:textId="660EF590"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asciiTheme="minorHAnsi" w:hAnsiTheme="minorHAnsi" w:cstheme="minorHAnsi"/>
                <w:color w:val="FF0000"/>
              </w:rPr>
              <w:t>0</w:t>
            </w:r>
          </w:p>
        </w:tc>
      </w:tr>
      <w:tr w:rsidR="00CC0F14" w:rsidRPr="00100F0A" w14:paraId="52DA7D3E" w14:textId="77777777" w:rsidTr="00504869">
        <w:tc>
          <w:tcPr>
            <w:cnfStyle w:val="001000000000" w:firstRow="0" w:lastRow="0" w:firstColumn="1" w:lastColumn="0" w:oddVBand="0" w:evenVBand="0" w:oddHBand="0" w:evenHBand="0" w:firstRowFirstColumn="0" w:firstRowLastColumn="0" w:lastRowFirstColumn="0" w:lastRowLastColumn="0"/>
            <w:tcW w:w="0" w:type="auto"/>
            <w:noWrap/>
          </w:tcPr>
          <w:p w14:paraId="6206FD0C" w14:textId="2437E6FD" w:rsidR="00CC0F14" w:rsidRPr="00100F0A" w:rsidRDefault="00CC0F14" w:rsidP="00F56453">
            <w:pPr>
              <w:spacing w:before="0" w:after="0"/>
              <w:jc w:val="right"/>
              <w:rPr>
                <w:rFonts w:asciiTheme="minorHAnsi" w:hAnsiTheme="minorHAnsi" w:cstheme="minorHAnsi"/>
              </w:rPr>
            </w:pPr>
            <w:r w:rsidRPr="00100F0A">
              <w:rPr>
                <w:rFonts w:cs="Calibri"/>
                <w:color w:val="000000"/>
              </w:rPr>
              <w:t>PFOS contam. biosolids</w:t>
            </w:r>
          </w:p>
        </w:tc>
        <w:tc>
          <w:tcPr>
            <w:tcW w:w="0" w:type="auto"/>
            <w:noWrap/>
          </w:tcPr>
          <w:p w14:paraId="41269472" w14:textId="1C6FEFAD"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asciiTheme="minorHAnsi" w:hAnsiTheme="minorHAnsi" w:cstheme="minorHAnsi"/>
                <w:color w:val="FF0000"/>
              </w:rPr>
              <w:t>0</w:t>
            </w:r>
          </w:p>
        </w:tc>
        <w:tc>
          <w:tcPr>
            <w:tcW w:w="0" w:type="auto"/>
            <w:noWrap/>
          </w:tcPr>
          <w:p w14:paraId="0019A027" w14:textId="4879AB5C"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asciiTheme="minorHAnsi" w:hAnsiTheme="minorHAnsi" w:cstheme="minorHAnsi"/>
                <w:color w:val="FF0000"/>
              </w:rPr>
              <w:t>0</w:t>
            </w:r>
          </w:p>
        </w:tc>
        <w:tc>
          <w:tcPr>
            <w:tcW w:w="0" w:type="auto"/>
            <w:noWrap/>
          </w:tcPr>
          <w:p w14:paraId="72219743" w14:textId="17027C14"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asciiTheme="minorHAnsi" w:hAnsiTheme="minorHAnsi" w:cstheme="minorHAnsi"/>
                <w:color w:val="FF0000"/>
              </w:rPr>
              <w:t>0</w:t>
            </w:r>
          </w:p>
        </w:tc>
        <w:tc>
          <w:tcPr>
            <w:tcW w:w="0" w:type="auto"/>
            <w:noWrap/>
          </w:tcPr>
          <w:p w14:paraId="0DB4CDCB" w14:textId="378348B7"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asciiTheme="minorHAnsi" w:hAnsiTheme="minorHAnsi" w:cstheme="minorHAnsi"/>
                <w:color w:val="FF0000"/>
              </w:rPr>
              <w:t>0</w:t>
            </w:r>
          </w:p>
        </w:tc>
        <w:tc>
          <w:tcPr>
            <w:tcW w:w="0" w:type="auto"/>
            <w:noWrap/>
          </w:tcPr>
          <w:p w14:paraId="6C47ADF3" w14:textId="7D99CA16"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asciiTheme="minorHAnsi" w:hAnsiTheme="minorHAnsi" w:cstheme="minorHAnsi"/>
                <w:color w:val="FF0000"/>
              </w:rPr>
              <w:t>0</w:t>
            </w:r>
          </w:p>
        </w:tc>
        <w:tc>
          <w:tcPr>
            <w:tcW w:w="0" w:type="auto"/>
            <w:noWrap/>
          </w:tcPr>
          <w:p w14:paraId="14E92EE1" w14:textId="2629B917"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asciiTheme="minorHAnsi" w:hAnsiTheme="minorHAnsi" w:cstheme="minorHAnsi"/>
                <w:color w:val="FF0000"/>
              </w:rPr>
              <w:t>0</w:t>
            </w:r>
          </w:p>
        </w:tc>
        <w:tc>
          <w:tcPr>
            <w:tcW w:w="0" w:type="auto"/>
            <w:noWrap/>
          </w:tcPr>
          <w:p w14:paraId="50B81AEB" w14:textId="03F9B072"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asciiTheme="minorHAnsi" w:hAnsiTheme="minorHAnsi" w:cstheme="minorHAnsi"/>
                <w:color w:val="FF0000"/>
              </w:rPr>
              <w:t>0</w:t>
            </w:r>
          </w:p>
        </w:tc>
        <w:tc>
          <w:tcPr>
            <w:tcW w:w="0" w:type="auto"/>
            <w:noWrap/>
          </w:tcPr>
          <w:p w14:paraId="41ED9784" w14:textId="66EF81F5"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asciiTheme="minorHAnsi" w:hAnsiTheme="minorHAnsi" w:cstheme="minorHAnsi"/>
                <w:color w:val="FF0000"/>
              </w:rPr>
              <w:t>0</w:t>
            </w:r>
          </w:p>
        </w:tc>
      </w:tr>
      <w:tr w:rsidR="00CC0F14" w:rsidRPr="00100F0A" w14:paraId="3180D5F9" w14:textId="77777777" w:rsidTr="00504869">
        <w:tc>
          <w:tcPr>
            <w:cnfStyle w:val="001000000000" w:firstRow="0" w:lastRow="0" w:firstColumn="1" w:lastColumn="0" w:oddVBand="0" w:evenVBand="0" w:oddHBand="0" w:evenHBand="0" w:firstRowFirstColumn="0" w:firstRowLastColumn="0" w:lastRowFirstColumn="0" w:lastRowLastColumn="0"/>
            <w:tcW w:w="0" w:type="auto"/>
            <w:noWrap/>
          </w:tcPr>
          <w:p w14:paraId="12B25465" w14:textId="1B026AFA" w:rsidR="00CC0F14" w:rsidRPr="00100F0A" w:rsidRDefault="00CC0F14" w:rsidP="00F56453">
            <w:pPr>
              <w:spacing w:before="0" w:after="0"/>
              <w:jc w:val="right"/>
              <w:rPr>
                <w:rFonts w:asciiTheme="minorHAnsi" w:hAnsiTheme="minorHAnsi" w:cstheme="minorHAnsi"/>
              </w:rPr>
            </w:pPr>
            <w:r w:rsidRPr="00100F0A">
              <w:rPr>
                <w:rFonts w:cs="Calibri"/>
                <w:color w:val="000000"/>
              </w:rPr>
              <w:t>PFAS contam. soils</w:t>
            </w:r>
          </w:p>
        </w:tc>
        <w:tc>
          <w:tcPr>
            <w:tcW w:w="0" w:type="auto"/>
            <w:noWrap/>
          </w:tcPr>
          <w:p w14:paraId="5E5C645B" w14:textId="0D4A8BE7"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asciiTheme="minorHAnsi" w:hAnsiTheme="minorHAnsi" w:cstheme="minorHAnsi"/>
                <w:color w:val="FF0000"/>
              </w:rPr>
              <w:t>0</w:t>
            </w:r>
          </w:p>
        </w:tc>
        <w:tc>
          <w:tcPr>
            <w:tcW w:w="0" w:type="auto"/>
            <w:noWrap/>
          </w:tcPr>
          <w:p w14:paraId="1982E3B5" w14:textId="7EAFD00B"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asciiTheme="minorHAnsi" w:hAnsiTheme="minorHAnsi" w:cstheme="minorHAnsi"/>
                <w:color w:val="FF0000"/>
              </w:rPr>
              <w:t>0</w:t>
            </w:r>
          </w:p>
        </w:tc>
        <w:tc>
          <w:tcPr>
            <w:tcW w:w="0" w:type="auto"/>
            <w:noWrap/>
          </w:tcPr>
          <w:p w14:paraId="4D6658C4" w14:textId="555EB839"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asciiTheme="minorHAnsi" w:hAnsiTheme="minorHAnsi" w:cstheme="minorHAnsi"/>
                <w:color w:val="FF0000"/>
              </w:rPr>
              <w:t>0</w:t>
            </w:r>
          </w:p>
        </w:tc>
        <w:tc>
          <w:tcPr>
            <w:tcW w:w="0" w:type="auto"/>
            <w:noWrap/>
          </w:tcPr>
          <w:p w14:paraId="6A683204" w14:textId="4289560B"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asciiTheme="minorHAnsi" w:hAnsiTheme="minorHAnsi" w:cstheme="minorHAnsi"/>
                <w:color w:val="FF0000"/>
              </w:rPr>
              <w:t>0</w:t>
            </w:r>
          </w:p>
        </w:tc>
        <w:tc>
          <w:tcPr>
            <w:tcW w:w="0" w:type="auto"/>
            <w:noWrap/>
          </w:tcPr>
          <w:p w14:paraId="3A53A2FD" w14:textId="0FEAA13C"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asciiTheme="minorHAnsi" w:hAnsiTheme="minorHAnsi" w:cstheme="minorHAnsi"/>
                <w:color w:val="FF0000"/>
              </w:rPr>
              <w:t>0</w:t>
            </w:r>
          </w:p>
        </w:tc>
        <w:tc>
          <w:tcPr>
            <w:tcW w:w="0" w:type="auto"/>
            <w:noWrap/>
          </w:tcPr>
          <w:p w14:paraId="35A08E17" w14:textId="29AE6938"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asciiTheme="minorHAnsi" w:hAnsiTheme="minorHAnsi" w:cstheme="minorHAnsi"/>
                <w:color w:val="FF0000"/>
              </w:rPr>
              <w:t>0</w:t>
            </w:r>
          </w:p>
        </w:tc>
        <w:tc>
          <w:tcPr>
            <w:tcW w:w="0" w:type="auto"/>
            <w:noWrap/>
          </w:tcPr>
          <w:p w14:paraId="6B77DB73" w14:textId="1CF2A63C"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asciiTheme="minorHAnsi" w:hAnsiTheme="minorHAnsi" w:cstheme="minorHAnsi"/>
                <w:color w:val="FF0000"/>
              </w:rPr>
              <w:t>0</w:t>
            </w:r>
          </w:p>
        </w:tc>
        <w:tc>
          <w:tcPr>
            <w:tcW w:w="0" w:type="auto"/>
            <w:noWrap/>
          </w:tcPr>
          <w:p w14:paraId="702AB579" w14:textId="0D597C62"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asciiTheme="minorHAnsi" w:hAnsiTheme="minorHAnsi" w:cstheme="minorHAnsi"/>
                <w:color w:val="FF0000"/>
              </w:rPr>
              <w:t>0</w:t>
            </w:r>
          </w:p>
        </w:tc>
      </w:tr>
      <w:tr w:rsidR="00CC0F14" w:rsidRPr="00100F0A" w14:paraId="6DE51715" w14:textId="77777777" w:rsidTr="00504869">
        <w:tc>
          <w:tcPr>
            <w:cnfStyle w:val="001000000000" w:firstRow="0" w:lastRow="0" w:firstColumn="1" w:lastColumn="0" w:oddVBand="0" w:evenVBand="0" w:oddHBand="0" w:evenHBand="0" w:firstRowFirstColumn="0" w:firstRowLastColumn="0" w:lastRowFirstColumn="0" w:lastRowLastColumn="0"/>
            <w:tcW w:w="0" w:type="auto"/>
            <w:noWrap/>
          </w:tcPr>
          <w:p w14:paraId="1385E577" w14:textId="0971E76B" w:rsidR="00CC0F14" w:rsidRPr="00100F0A" w:rsidRDefault="00CC0F14" w:rsidP="00F56453">
            <w:pPr>
              <w:spacing w:before="0" w:after="0"/>
              <w:jc w:val="right"/>
              <w:rPr>
                <w:rFonts w:asciiTheme="minorHAnsi" w:hAnsiTheme="minorHAnsi" w:cstheme="minorHAnsi"/>
              </w:rPr>
            </w:pPr>
            <w:r w:rsidRPr="00100F0A">
              <w:rPr>
                <w:rFonts w:cs="Calibri"/>
                <w:color w:val="000000"/>
              </w:rPr>
              <w:t>AFFF concentrates</w:t>
            </w:r>
          </w:p>
        </w:tc>
        <w:tc>
          <w:tcPr>
            <w:tcW w:w="0" w:type="auto"/>
            <w:noWrap/>
          </w:tcPr>
          <w:p w14:paraId="12C0BFB4" w14:textId="0EC1B37F"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u w:val="single"/>
              </w:rPr>
            </w:pPr>
            <w:r w:rsidRPr="00100F0A">
              <w:rPr>
                <w:rFonts w:asciiTheme="minorHAnsi" w:hAnsiTheme="minorHAnsi" w:cstheme="minorHAnsi"/>
                <w:color w:val="000000" w:themeColor="text1"/>
                <w:u w:val="single"/>
              </w:rPr>
              <w:t>2</w:t>
            </w:r>
          </w:p>
        </w:tc>
        <w:tc>
          <w:tcPr>
            <w:tcW w:w="0" w:type="auto"/>
            <w:noWrap/>
          </w:tcPr>
          <w:p w14:paraId="07871C15" w14:textId="09D27FA6"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u w:val="single"/>
              </w:rPr>
            </w:pPr>
            <w:r w:rsidRPr="00100F0A">
              <w:rPr>
                <w:rFonts w:asciiTheme="minorHAnsi" w:hAnsiTheme="minorHAnsi" w:cstheme="minorHAnsi"/>
                <w:color w:val="000000" w:themeColor="text1"/>
                <w:u w:val="single"/>
              </w:rPr>
              <w:t>37</w:t>
            </w:r>
          </w:p>
        </w:tc>
        <w:tc>
          <w:tcPr>
            <w:tcW w:w="0" w:type="auto"/>
            <w:noWrap/>
          </w:tcPr>
          <w:p w14:paraId="654D143D" w14:textId="6ABA47AE"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u w:val="single"/>
              </w:rPr>
            </w:pPr>
            <w:r w:rsidRPr="00100F0A">
              <w:rPr>
                <w:rFonts w:asciiTheme="minorHAnsi" w:hAnsiTheme="minorHAnsi" w:cstheme="minorHAnsi"/>
                <w:color w:val="000000" w:themeColor="text1"/>
                <w:u w:val="single"/>
              </w:rPr>
              <w:t>1</w:t>
            </w:r>
          </w:p>
        </w:tc>
        <w:tc>
          <w:tcPr>
            <w:tcW w:w="0" w:type="auto"/>
            <w:noWrap/>
          </w:tcPr>
          <w:p w14:paraId="590E545B" w14:textId="14059EB8"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u w:val="single"/>
              </w:rPr>
            </w:pPr>
            <w:r w:rsidRPr="00100F0A">
              <w:rPr>
                <w:rFonts w:asciiTheme="minorHAnsi" w:hAnsiTheme="minorHAnsi" w:cstheme="minorHAnsi"/>
                <w:color w:val="000000" w:themeColor="text1"/>
                <w:u w:val="single"/>
              </w:rPr>
              <w:t>25</w:t>
            </w:r>
          </w:p>
        </w:tc>
        <w:tc>
          <w:tcPr>
            <w:tcW w:w="0" w:type="auto"/>
            <w:noWrap/>
          </w:tcPr>
          <w:p w14:paraId="15C70BFD" w14:textId="32F6F9EB"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u w:val="single"/>
              </w:rPr>
            </w:pPr>
            <w:r w:rsidRPr="00100F0A">
              <w:rPr>
                <w:rFonts w:asciiTheme="minorHAnsi" w:hAnsiTheme="minorHAnsi" w:cstheme="minorHAnsi"/>
                <w:color w:val="000000" w:themeColor="text1"/>
                <w:u w:val="single"/>
              </w:rPr>
              <w:t>8</w:t>
            </w:r>
          </w:p>
        </w:tc>
        <w:tc>
          <w:tcPr>
            <w:tcW w:w="0" w:type="auto"/>
            <w:noWrap/>
          </w:tcPr>
          <w:p w14:paraId="1023B617" w14:textId="3EFAB559"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u w:val="single"/>
              </w:rPr>
            </w:pPr>
            <w:r w:rsidRPr="00100F0A">
              <w:rPr>
                <w:rFonts w:asciiTheme="minorHAnsi" w:hAnsiTheme="minorHAnsi" w:cstheme="minorHAnsi"/>
                <w:color w:val="000000" w:themeColor="text1"/>
                <w:u w:val="single"/>
              </w:rPr>
              <w:t>2</w:t>
            </w:r>
          </w:p>
        </w:tc>
        <w:tc>
          <w:tcPr>
            <w:tcW w:w="0" w:type="auto"/>
            <w:noWrap/>
          </w:tcPr>
          <w:p w14:paraId="450D4747" w14:textId="2A2C3952"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u w:val="single"/>
              </w:rPr>
            </w:pPr>
            <w:r w:rsidRPr="00100F0A">
              <w:rPr>
                <w:rFonts w:asciiTheme="minorHAnsi" w:hAnsiTheme="minorHAnsi" w:cstheme="minorHAnsi"/>
                <w:color w:val="000000" w:themeColor="text1"/>
                <w:u w:val="single"/>
              </w:rPr>
              <w:t>30</w:t>
            </w:r>
          </w:p>
        </w:tc>
        <w:tc>
          <w:tcPr>
            <w:tcW w:w="0" w:type="auto"/>
            <w:noWrap/>
          </w:tcPr>
          <w:p w14:paraId="29744E1A" w14:textId="6E13CF9C" w:rsidR="00CC0F14" w:rsidRPr="00100F0A" w:rsidRDefault="00CC0F14"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u w:val="single"/>
              </w:rPr>
            </w:pPr>
            <w:r w:rsidRPr="00100F0A">
              <w:rPr>
                <w:rFonts w:asciiTheme="minorHAnsi" w:hAnsiTheme="minorHAnsi" w:cstheme="minorHAnsi"/>
                <w:color w:val="000000" w:themeColor="text1"/>
                <w:u w:val="single"/>
              </w:rPr>
              <w:t>14</w:t>
            </w:r>
          </w:p>
        </w:tc>
      </w:tr>
      <w:tr w:rsidR="00504869" w:rsidRPr="00100F0A" w14:paraId="18916701" w14:textId="77777777" w:rsidTr="00AA5FD9">
        <w:tc>
          <w:tcPr>
            <w:cnfStyle w:val="001000000000" w:firstRow="0" w:lastRow="0" w:firstColumn="1" w:lastColumn="0" w:oddVBand="0" w:evenVBand="0" w:oddHBand="0" w:evenHBand="0" w:firstRowFirstColumn="0" w:firstRowLastColumn="0" w:lastRowFirstColumn="0" w:lastRowLastColumn="0"/>
            <w:tcW w:w="0" w:type="auto"/>
            <w:noWrap/>
            <w:hideMark/>
          </w:tcPr>
          <w:p w14:paraId="087F68CC" w14:textId="77777777" w:rsidR="0020212C" w:rsidRPr="00100F0A" w:rsidRDefault="0020212C" w:rsidP="00F56453">
            <w:pPr>
              <w:spacing w:before="0" w:after="0"/>
              <w:jc w:val="right"/>
              <w:rPr>
                <w:rFonts w:asciiTheme="minorHAnsi" w:hAnsiTheme="minorHAnsi" w:cstheme="minorHAnsi"/>
              </w:rPr>
            </w:pPr>
            <w:r w:rsidRPr="00100F0A">
              <w:rPr>
                <w:rFonts w:asciiTheme="minorHAnsi" w:hAnsiTheme="minorHAnsi" w:cstheme="minorHAnsi"/>
              </w:rPr>
              <w:t>Other organic chemicals</w:t>
            </w:r>
          </w:p>
        </w:tc>
        <w:tc>
          <w:tcPr>
            <w:tcW w:w="0" w:type="auto"/>
            <w:noWrap/>
          </w:tcPr>
          <w:p w14:paraId="1AE4130F" w14:textId="65AD438E"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5</w:t>
            </w:r>
          </w:p>
        </w:tc>
        <w:tc>
          <w:tcPr>
            <w:tcW w:w="0" w:type="auto"/>
            <w:noWrap/>
            <w:hideMark/>
          </w:tcPr>
          <w:p w14:paraId="3ABBDBB9" w14:textId="58AE0445"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9,227</w:t>
            </w:r>
          </w:p>
        </w:tc>
        <w:tc>
          <w:tcPr>
            <w:tcW w:w="0" w:type="auto"/>
            <w:noWrap/>
            <w:hideMark/>
          </w:tcPr>
          <w:p w14:paraId="53E927AA" w14:textId="5518CC37"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13</w:t>
            </w:r>
          </w:p>
        </w:tc>
        <w:tc>
          <w:tcPr>
            <w:tcW w:w="0" w:type="auto"/>
            <w:noWrap/>
            <w:hideMark/>
          </w:tcPr>
          <w:p w14:paraId="32A38E55" w14:textId="7469D428"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rPr>
              <w:t>8,291</w:t>
            </w:r>
          </w:p>
        </w:tc>
        <w:tc>
          <w:tcPr>
            <w:tcW w:w="0" w:type="auto"/>
            <w:noWrap/>
            <w:hideMark/>
          </w:tcPr>
          <w:p w14:paraId="47982A18" w14:textId="55F6D98A"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652</w:t>
            </w:r>
          </w:p>
        </w:tc>
        <w:tc>
          <w:tcPr>
            <w:tcW w:w="0" w:type="auto"/>
            <w:noWrap/>
            <w:hideMark/>
          </w:tcPr>
          <w:p w14:paraId="3393C50B" w14:textId="4C103DB3"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2</w:t>
            </w:r>
          </w:p>
        </w:tc>
        <w:tc>
          <w:tcPr>
            <w:tcW w:w="0" w:type="auto"/>
            <w:shd w:val="clear" w:color="auto" w:fill="A6A6A6" w:themeFill="background1" w:themeFillShade="A6"/>
            <w:noWrap/>
            <w:hideMark/>
          </w:tcPr>
          <w:p w14:paraId="46FB072B" w14:textId="52BCCEC7"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FFFFFF" w:themeColor="background1"/>
              </w:rPr>
            </w:pPr>
            <w:r w:rsidRPr="00100F0A">
              <w:rPr>
                <w:rFonts w:cs="Calibri"/>
                <w:color w:val="FFFFFF" w:themeColor="background1"/>
              </w:rPr>
              <w:t>764</w:t>
            </w:r>
          </w:p>
        </w:tc>
        <w:tc>
          <w:tcPr>
            <w:tcW w:w="0" w:type="auto"/>
            <w:noWrap/>
            <w:hideMark/>
          </w:tcPr>
          <w:p w14:paraId="274EE419" w14:textId="232CCDE8"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1,133</w:t>
            </w:r>
          </w:p>
        </w:tc>
      </w:tr>
      <w:tr w:rsidR="00504869" w:rsidRPr="00100F0A" w14:paraId="41F48427" w14:textId="77777777" w:rsidTr="00AA5FD9">
        <w:tc>
          <w:tcPr>
            <w:cnfStyle w:val="001000000000" w:firstRow="0" w:lastRow="0" w:firstColumn="1" w:lastColumn="0" w:oddVBand="0" w:evenVBand="0" w:oddHBand="0" w:evenHBand="0" w:firstRowFirstColumn="0" w:firstRowLastColumn="0" w:lastRowFirstColumn="0" w:lastRowLastColumn="0"/>
            <w:tcW w:w="0" w:type="auto"/>
            <w:noWrap/>
            <w:hideMark/>
          </w:tcPr>
          <w:p w14:paraId="1D2955A0" w14:textId="77777777" w:rsidR="0020212C" w:rsidRPr="00100F0A" w:rsidRDefault="0020212C" w:rsidP="00F56453">
            <w:pPr>
              <w:spacing w:before="0" w:after="0"/>
              <w:jc w:val="right"/>
              <w:rPr>
                <w:rFonts w:asciiTheme="minorHAnsi" w:hAnsiTheme="minorHAnsi" w:cstheme="minorHAnsi"/>
              </w:rPr>
            </w:pPr>
            <w:r w:rsidRPr="00100F0A">
              <w:rPr>
                <w:rFonts w:asciiTheme="minorHAnsi" w:hAnsiTheme="minorHAnsi" w:cstheme="minorHAnsi"/>
              </w:rPr>
              <w:t>Contaminated soils</w:t>
            </w:r>
          </w:p>
        </w:tc>
        <w:tc>
          <w:tcPr>
            <w:tcW w:w="0" w:type="auto"/>
            <w:noWrap/>
            <w:hideMark/>
          </w:tcPr>
          <w:p w14:paraId="55C6A0CF" w14:textId="44F2335F"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23</w:t>
            </w:r>
          </w:p>
        </w:tc>
        <w:tc>
          <w:tcPr>
            <w:tcW w:w="0" w:type="auto"/>
            <w:noWrap/>
            <w:hideMark/>
          </w:tcPr>
          <w:p w14:paraId="4013FC31" w14:textId="7D5BFB64"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100F0A">
              <w:rPr>
                <w:rFonts w:cs="Calibri"/>
              </w:rPr>
              <w:t>348,377</w:t>
            </w:r>
          </w:p>
        </w:tc>
        <w:tc>
          <w:tcPr>
            <w:tcW w:w="0" w:type="auto"/>
            <w:noWrap/>
            <w:hideMark/>
          </w:tcPr>
          <w:p w14:paraId="59BEB938" w14:textId="6A5EA267"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8,646</w:t>
            </w:r>
          </w:p>
        </w:tc>
        <w:tc>
          <w:tcPr>
            <w:tcW w:w="0" w:type="auto"/>
            <w:shd w:val="clear" w:color="auto" w:fill="A6A6A6" w:themeFill="background1" w:themeFillShade="A6"/>
            <w:noWrap/>
            <w:hideMark/>
          </w:tcPr>
          <w:p w14:paraId="04D475E2" w14:textId="76A9A01D"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u w:val="single"/>
              </w:rPr>
            </w:pPr>
            <w:r w:rsidRPr="00100F0A">
              <w:rPr>
                <w:rFonts w:cs="Calibri"/>
                <w:color w:val="FFFFFF" w:themeColor="background1"/>
              </w:rPr>
              <w:t>567,533</w:t>
            </w:r>
          </w:p>
        </w:tc>
        <w:tc>
          <w:tcPr>
            <w:tcW w:w="0" w:type="auto"/>
            <w:noWrap/>
            <w:hideMark/>
          </w:tcPr>
          <w:p w14:paraId="65BB1F17" w14:textId="151086E4"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227,638</w:t>
            </w:r>
          </w:p>
        </w:tc>
        <w:tc>
          <w:tcPr>
            <w:tcW w:w="0" w:type="auto"/>
            <w:shd w:val="clear" w:color="auto" w:fill="A6A6A6" w:themeFill="background1" w:themeFillShade="A6"/>
            <w:noWrap/>
            <w:hideMark/>
          </w:tcPr>
          <w:p w14:paraId="56A493D7" w14:textId="1718FE1B"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00F0A">
              <w:rPr>
                <w:rFonts w:cs="Calibri"/>
                <w:color w:val="FFFFFF" w:themeColor="background1"/>
              </w:rPr>
              <w:t>6,660</w:t>
            </w:r>
          </w:p>
        </w:tc>
        <w:tc>
          <w:tcPr>
            <w:tcW w:w="0" w:type="auto"/>
            <w:noWrap/>
            <w:hideMark/>
          </w:tcPr>
          <w:p w14:paraId="02C87AD2" w14:textId="5EFA7B28"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rPr>
              <w:t>452,153</w:t>
            </w:r>
          </w:p>
        </w:tc>
        <w:tc>
          <w:tcPr>
            <w:tcW w:w="0" w:type="auto"/>
            <w:noWrap/>
            <w:hideMark/>
          </w:tcPr>
          <w:p w14:paraId="601C8A5A" w14:textId="2D91FD63"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5,043</w:t>
            </w:r>
          </w:p>
        </w:tc>
      </w:tr>
      <w:tr w:rsidR="00504869" w:rsidRPr="00100F0A" w14:paraId="3C151EEC" w14:textId="77777777" w:rsidTr="00504869">
        <w:tc>
          <w:tcPr>
            <w:cnfStyle w:val="001000000000" w:firstRow="0" w:lastRow="0" w:firstColumn="1" w:lastColumn="0" w:oddVBand="0" w:evenVBand="0" w:oddHBand="0" w:evenHBand="0" w:firstRowFirstColumn="0" w:firstRowLastColumn="0" w:lastRowFirstColumn="0" w:lastRowLastColumn="0"/>
            <w:tcW w:w="0" w:type="auto"/>
            <w:noWrap/>
            <w:hideMark/>
          </w:tcPr>
          <w:p w14:paraId="5C7E9466" w14:textId="7383192E" w:rsidR="0020212C" w:rsidRPr="00100F0A" w:rsidRDefault="0020212C" w:rsidP="00F56453">
            <w:pPr>
              <w:spacing w:before="0" w:after="0"/>
              <w:jc w:val="right"/>
              <w:rPr>
                <w:rFonts w:asciiTheme="minorHAnsi" w:hAnsiTheme="minorHAnsi" w:cstheme="minorHAnsi"/>
              </w:rPr>
            </w:pPr>
            <w:r w:rsidRPr="00100F0A">
              <w:rPr>
                <w:rFonts w:asciiTheme="minorHAnsi" w:hAnsiTheme="minorHAnsi" w:cstheme="minorHAnsi"/>
              </w:rPr>
              <w:t>Other contam. biosolids</w:t>
            </w:r>
          </w:p>
        </w:tc>
        <w:tc>
          <w:tcPr>
            <w:tcW w:w="0" w:type="auto"/>
            <w:noWrap/>
            <w:hideMark/>
          </w:tcPr>
          <w:p w14:paraId="7F0FEAC9" w14:textId="78A19061"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100F0A">
              <w:rPr>
                <w:rFonts w:cs="Calibri"/>
              </w:rPr>
              <w:t>0</w:t>
            </w:r>
          </w:p>
        </w:tc>
        <w:tc>
          <w:tcPr>
            <w:tcW w:w="0" w:type="auto"/>
            <w:noWrap/>
            <w:hideMark/>
          </w:tcPr>
          <w:p w14:paraId="20AF2A24" w14:textId="380C7D34"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100F0A">
              <w:rPr>
                <w:rFonts w:cs="Calibri"/>
              </w:rPr>
              <w:t>311,429</w:t>
            </w:r>
          </w:p>
        </w:tc>
        <w:tc>
          <w:tcPr>
            <w:tcW w:w="0" w:type="auto"/>
            <w:noWrap/>
            <w:hideMark/>
          </w:tcPr>
          <w:p w14:paraId="7AF06A23" w14:textId="68EC17B2"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100F0A">
              <w:rPr>
                <w:rFonts w:cs="Calibri"/>
              </w:rPr>
              <w:t>31,143</w:t>
            </w:r>
          </w:p>
        </w:tc>
        <w:tc>
          <w:tcPr>
            <w:tcW w:w="0" w:type="auto"/>
            <w:noWrap/>
            <w:hideMark/>
          </w:tcPr>
          <w:p w14:paraId="7424B05B" w14:textId="486D6CA6"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100F0A">
              <w:rPr>
                <w:rFonts w:cs="Calibri"/>
                <w:i/>
              </w:rPr>
              <w:t>342,571</w:t>
            </w:r>
          </w:p>
        </w:tc>
        <w:tc>
          <w:tcPr>
            <w:tcW w:w="0" w:type="auto"/>
            <w:noWrap/>
            <w:hideMark/>
          </w:tcPr>
          <w:p w14:paraId="3E8E85C6" w14:textId="26D7DF90"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100F0A">
              <w:rPr>
                <w:rFonts w:cs="Calibri"/>
              </w:rPr>
              <w:t>124,571</w:t>
            </w:r>
          </w:p>
        </w:tc>
        <w:tc>
          <w:tcPr>
            <w:tcW w:w="0" w:type="auto"/>
            <w:noWrap/>
            <w:hideMark/>
          </w:tcPr>
          <w:p w14:paraId="7CAEDA5D" w14:textId="04E8F07B"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100F0A">
              <w:rPr>
                <w:rFonts w:cs="Calibri"/>
              </w:rPr>
              <w:t>31,143</w:t>
            </w:r>
          </w:p>
        </w:tc>
        <w:tc>
          <w:tcPr>
            <w:tcW w:w="0" w:type="auto"/>
            <w:noWrap/>
            <w:hideMark/>
          </w:tcPr>
          <w:p w14:paraId="5AFC0F08" w14:textId="01BC5658"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100F0A">
              <w:rPr>
                <w:rFonts w:cs="Calibri"/>
              </w:rPr>
              <w:t>482,714</w:t>
            </w:r>
          </w:p>
        </w:tc>
        <w:tc>
          <w:tcPr>
            <w:tcW w:w="0" w:type="auto"/>
            <w:noWrap/>
            <w:hideMark/>
          </w:tcPr>
          <w:p w14:paraId="12D97974" w14:textId="6315A313"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100F0A">
              <w:rPr>
                <w:rFonts w:cs="Calibri"/>
              </w:rPr>
              <w:t>140,143</w:t>
            </w:r>
          </w:p>
        </w:tc>
      </w:tr>
      <w:tr w:rsidR="00504869" w:rsidRPr="00100F0A" w14:paraId="3983D84E" w14:textId="77777777" w:rsidTr="00504869">
        <w:tc>
          <w:tcPr>
            <w:cnfStyle w:val="001000000000" w:firstRow="0" w:lastRow="0" w:firstColumn="1" w:lastColumn="0" w:oddVBand="0" w:evenVBand="0" w:oddHBand="0" w:evenHBand="0" w:firstRowFirstColumn="0" w:firstRowLastColumn="0" w:lastRowFirstColumn="0" w:lastRowLastColumn="0"/>
            <w:tcW w:w="0" w:type="auto"/>
            <w:noWrap/>
            <w:hideMark/>
          </w:tcPr>
          <w:p w14:paraId="11501E07" w14:textId="2A1F3647" w:rsidR="0020212C" w:rsidRPr="00100F0A" w:rsidRDefault="0020212C" w:rsidP="00F56453">
            <w:pPr>
              <w:spacing w:before="0" w:after="0"/>
              <w:jc w:val="right"/>
              <w:rPr>
                <w:rFonts w:asciiTheme="minorHAnsi" w:hAnsiTheme="minorHAnsi" w:cstheme="minorHAnsi"/>
              </w:rPr>
            </w:pPr>
            <w:r w:rsidRPr="00100F0A">
              <w:rPr>
                <w:rFonts w:asciiTheme="minorHAnsi" w:hAnsiTheme="minorHAnsi" w:cstheme="minorHAnsi"/>
              </w:rPr>
              <w:t>Other ind. t’ment residues</w:t>
            </w:r>
          </w:p>
        </w:tc>
        <w:tc>
          <w:tcPr>
            <w:tcW w:w="0" w:type="auto"/>
            <w:noWrap/>
            <w:hideMark/>
          </w:tcPr>
          <w:p w14:paraId="499CA14C" w14:textId="79B28961"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5</w:t>
            </w:r>
          </w:p>
        </w:tc>
        <w:tc>
          <w:tcPr>
            <w:tcW w:w="0" w:type="auto"/>
            <w:noWrap/>
            <w:hideMark/>
          </w:tcPr>
          <w:p w14:paraId="18E4C7A3" w14:textId="7DC17FFE"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14,550</w:t>
            </w:r>
          </w:p>
        </w:tc>
        <w:tc>
          <w:tcPr>
            <w:tcW w:w="0" w:type="auto"/>
            <w:noWrap/>
            <w:hideMark/>
          </w:tcPr>
          <w:p w14:paraId="1BCB88B1" w14:textId="31173CBD"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0</w:t>
            </w:r>
          </w:p>
        </w:tc>
        <w:tc>
          <w:tcPr>
            <w:tcW w:w="0" w:type="auto"/>
            <w:noWrap/>
            <w:hideMark/>
          </w:tcPr>
          <w:p w14:paraId="6A47A4EC" w14:textId="4AC3E9BA"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rPr>
            </w:pPr>
            <w:r w:rsidRPr="00100F0A">
              <w:rPr>
                <w:rFonts w:cs="Calibri"/>
                <w:i/>
              </w:rPr>
              <w:t>84,467</w:t>
            </w:r>
          </w:p>
        </w:tc>
        <w:tc>
          <w:tcPr>
            <w:tcW w:w="0" w:type="auto"/>
            <w:noWrap/>
            <w:hideMark/>
          </w:tcPr>
          <w:p w14:paraId="598EDB88" w14:textId="4EE226B1"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100F0A">
              <w:rPr>
                <w:rFonts w:cs="Calibri"/>
              </w:rPr>
              <w:t>26,160</w:t>
            </w:r>
          </w:p>
        </w:tc>
        <w:tc>
          <w:tcPr>
            <w:tcW w:w="0" w:type="auto"/>
            <w:noWrap/>
            <w:hideMark/>
          </w:tcPr>
          <w:p w14:paraId="5888DC87" w14:textId="76F8F248"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0</w:t>
            </w:r>
          </w:p>
        </w:tc>
        <w:tc>
          <w:tcPr>
            <w:tcW w:w="0" w:type="auto"/>
            <w:noWrap/>
            <w:hideMark/>
          </w:tcPr>
          <w:p w14:paraId="15810502" w14:textId="5B6CFCEB"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rPr>
              <w:t>25,799</w:t>
            </w:r>
          </w:p>
        </w:tc>
        <w:tc>
          <w:tcPr>
            <w:tcW w:w="0" w:type="auto"/>
            <w:noWrap/>
            <w:hideMark/>
          </w:tcPr>
          <w:p w14:paraId="11A9C8AA" w14:textId="295A5024"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11,394</w:t>
            </w:r>
          </w:p>
        </w:tc>
      </w:tr>
      <w:tr w:rsidR="00504869" w:rsidRPr="00100F0A" w14:paraId="5DF70355" w14:textId="77777777" w:rsidTr="00CC0F14">
        <w:tc>
          <w:tcPr>
            <w:cnfStyle w:val="001000000000" w:firstRow="0" w:lastRow="0" w:firstColumn="1" w:lastColumn="0" w:oddVBand="0" w:evenVBand="0" w:oddHBand="0" w:evenHBand="0" w:firstRowFirstColumn="0" w:firstRowLastColumn="0" w:lastRowFirstColumn="0" w:lastRowLastColumn="0"/>
            <w:tcW w:w="0" w:type="auto"/>
            <w:noWrap/>
            <w:hideMark/>
          </w:tcPr>
          <w:p w14:paraId="120E0B2B" w14:textId="77777777" w:rsidR="0020212C" w:rsidRPr="00100F0A" w:rsidRDefault="0020212C" w:rsidP="00F56453">
            <w:pPr>
              <w:spacing w:before="0" w:after="0"/>
              <w:jc w:val="right"/>
              <w:rPr>
                <w:rFonts w:asciiTheme="minorHAnsi" w:hAnsiTheme="minorHAnsi" w:cstheme="minorHAnsi"/>
              </w:rPr>
            </w:pPr>
            <w:r w:rsidRPr="00100F0A">
              <w:rPr>
                <w:rFonts w:asciiTheme="minorHAnsi" w:hAnsiTheme="minorHAnsi" w:cstheme="minorHAnsi"/>
              </w:rPr>
              <w:t>Asbestos</w:t>
            </w:r>
          </w:p>
        </w:tc>
        <w:tc>
          <w:tcPr>
            <w:tcW w:w="0" w:type="auto"/>
            <w:shd w:val="clear" w:color="auto" w:fill="A6A6A6" w:themeFill="background1" w:themeFillShade="A6"/>
            <w:noWrap/>
            <w:hideMark/>
          </w:tcPr>
          <w:p w14:paraId="3FCF3A80" w14:textId="1CF54051"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sidRPr="00100F0A">
              <w:rPr>
                <w:rFonts w:cs="Calibri"/>
                <w:b/>
                <w:color w:val="FFFFFF" w:themeColor="background1"/>
              </w:rPr>
              <w:t>5,856</w:t>
            </w:r>
          </w:p>
        </w:tc>
        <w:tc>
          <w:tcPr>
            <w:tcW w:w="0" w:type="auto"/>
            <w:noWrap/>
            <w:hideMark/>
          </w:tcPr>
          <w:p w14:paraId="0C041E17" w14:textId="686B5045"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100F0A">
              <w:rPr>
                <w:rFonts w:cs="Calibri"/>
              </w:rPr>
              <w:t>675,398</w:t>
            </w:r>
          </w:p>
        </w:tc>
        <w:tc>
          <w:tcPr>
            <w:tcW w:w="0" w:type="auto"/>
            <w:noWrap/>
            <w:hideMark/>
          </w:tcPr>
          <w:p w14:paraId="150306D0" w14:textId="0AC867F4"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5,913</w:t>
            </w:r>
          </w:p>
        </w:tc>
        <w:tc>
          <w:tcPr>
            <w:tcW w:w="0" w:type="auto"/>
            <w:noWrap/>
            <w:hideMark/>
          </w:tcPr>
          <w:p w14:paraId="302924B8" w14:textId="32EF8B69"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i/>
              </w:rPr>
              <w:t>148,030</w:t>
            </w:r>
          </w:p>
        </w:tc>
        <w:tc>
          <w:tcPr>
            <w:tcW w:w="0" w:type="auto"/>
            <w:noWrap/>
            <w:hideMark/>
          </w:tcPr>
          <w:p w14:paraId="35726170" w14:textId="0EB6FE57"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11,770</w:t>
            </w:r>
          </w:p>
        </w:tc>
        <w:tc>
          <w:tcPr>
            <w:tcW w:w="0" w:type="auto"/>
            <w:noWrap/>
            <w:hideMark/>
          </w:tcPr>
          <w:p w14:paraId="0010E12E" w14:textId="3B2BD291"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15,228</w:t>
            </w:r>
          </w:p>
        </w:tc>
        <w:tc>
          <w:tcPr>
            <w:tcW w:w="0" w:type="auto"/>
            <w:noWrap/>
            <w:hideMark/>
          </w:tcPr>
          <w:p w14:paraId="229B4CDF" w14:textId="61E84431"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rPr>
              <w:t>118,626</w:t>
            </w:r>
          </w:p>
        </w:tc>
        <w:tc>
          <w:tcPr>
            <w:tcW w:w="0" w:type="auto"/>
            <w:noWrap/>
            <w:hideMark/>
          </w:tcPr>
          <w:p w14:paraId="3AE0D277" w14:textId="79B5ADC8"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39,000</w:t>
            </w:r>
          </w:p>
        </w:tc>
      </w:tr>
      <w:tr w:rsidR="00504869" w:rsidRPr="00100F0A" w14:paraId="10862B10" w14:textId="77777777" w:rsidTr="00504869">
        <w:tc>
          <w:tcPr>
            <w:cnfStyle w:val="001000000000" w:firstRow="0" w:lastRow="0" w:firstColumn="1" w:lastColumn="0" w:oddVBand="0" w:evenVBand="0" w:oddHBand="0" w:evenHBand="0" w:firstRowFirstColumn="0" w:firstRowLastColumn="0" w:lastRowFirstColumn="0" w:lastRowLastColumn="0"/>
            <w:tcW w:w="0" w:type="auto"/>
            <w:noWrap/>
            <w:hideMark/>
          </w:tcPr>
          <w:p w14:paraId="6847C77E" w14:textId="77777777" w:rsidR="0020212C" w:rsidRPr="00100F0A" w:rsidRDefault="0020212C" w:rsidP="00F56453">
            <w:pPr>
              <w:spacing w:before="0" w:after="0"/>
              <w:jc w:val="right"/>
              <w:rPr>
                <w:rFonts w:asciiTheme="minorHAnsi" w:hAnsiTheme="minorHAnsi" w:cstheme="minorHAnsi"/>
              </w:rPr>
            </w:pPr>
            <w:r w:rsidRPr="00100F0A">
              <w:rPr>
                <w:rFonts w:asciiTheme="minorHAnsi" w:hAnsiTheme="minorHAnsi" w:cstheme="minorHAnsi"/>
              </w:rPr>
              <w:t>Other soil/sludges</w:t>
            </w:r>
          </w:p>
        </w:tc>
        <w:tc>
          <w:tcPr>
            <w:tcW w:w="0" w:type="auto"/>
            <w:noWrap/>
            <w:hideMark/>
          </w:tcPr>
          <w:p w14:paraId="24BD1108" w14:textId="30E500CA"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16</w:t>
            </w:r>
          </w:p>
        </w:tc>
        <w:tc>
          <w:tcPr>
            <w:tcW w:w="0" w:type="auto"/>
            <w:noWrap/>
            <w:hideMark/>
          </w:tcPr>
          <w:p w14:paraId="044314BC" w14:textId="4F57B90A"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32,025</w:t>
            </w:r>
          </w:p>
        </w:tc>
        <w:tc>
          <w:tcPr>
            <w:tcW w:w="0" w:type="auto"/>
            <w:noWrap/>
            <w:hideMark/>
          </w:tcPr>
          <w:p w14:paraId="1C7F25F3" w14:textId="10FCDD5E"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211</w:t>
            </w:r>
          </w:p>
        </w:tc>
        <w:tc>
          <w:tcPr>
            <w:tcW w:w="0" w:type="auto"/>
            <w:noWrap/>
            <w:hideMark/>
          </w:tcPr>
          <w:p w14:paraId="54DF90DA" w14:textId="3F6E78D5"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i/>
              </w:rPr>
              <w:t>22,854</w:t>
            </w:r>
          </w:p>
        </w:tc>
        <w:tc>
          <w:tcPr>
            <w:tcW w:w="0" w:type="auto"/>
            <w:noWrap/>
            <w:hideMark/>
          </w:tcPr>
          <w:p w14:paraId="1FC4D02B" w14:textId="721AA6B9"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2,132</w:t>
            </w:r>
          </w:p>
        </w:tc>
        <w:tc>
          <w:tcPr>
            <w:tcW w:w="0" w:type="auto"/>
            <w:noWrap/>
            <w:hideMark/>
          </w:tcPr>
          <w:p w14:paraId="5C72B459" w14:textId="17BB0CE0"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0</w:t>
            </w:r>
          </w:p>
        </w:tc>
        <w:tc>
          <w:tcPr>
            <w:tcW w:w="0" w:type="auto"/>
            <w:noWrap/>
            <w:hideMark/>
          </w:tcPr>
          <w:p w14:paraId="377D930C" w14:textId="07F083A1"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rPr>
              <w:t>66,866</w:t>
            </w:r>
          </w:p>
        </w:tc>
        <w:tc>
          <w:tcPr>
            <w:tcW w:w="0" w:type="auto"/>
            <w:noWrap/>
            <w:hideMark/>
          </w:tcPr>
          <w:p w14:paraId="677F0F98" w14:textId="1F50A727"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100F0A">
              <w:rPr>
                <w:rFonts w:cs="Calibri"/>
              </w:rPr>
              <w:t>2,895</w:t>
            </w:r>
          </w:p>
        </w:tc>
      </w:tr>
      <w:tr w:rsidR="00504869" w:rsidRPr="00100F0A" w14:paraId="13C8563F" w14:textId="77777777" w:rsidTr="00490B12">
        <w:tc>
          <w:tcPr>
            <w:cnfStyle w:val="001000000000" w:firstRow="0" w:lastRow="0" w:firstColumn="1" w:lastColumn="0" w:oddVBand="0" w:evenVBand="0" w:oddHBand="0" w:evenHBand="0" w:firstRowFirstColumn="0" w:firstRowLastColumn="0" w:lastRowFirstColumn="0" w:lastRowLastColumn="0"/>
            <w:tcW w:w="0" w:type="auto"/>
            <w:noWrap/>
            <w:hideMark/>
          </w:tcPr>
          <w:p w14:paraId="062ECD6C" w14:textId="77777777" w:rsidR="0020212C" w:rsidRPr="00100F0A" w:rsidRDefault="0020212C" w:rsidP="00F56453">
            <w:pPr>
              <w:spacing w:before="0" w:after="0"/>
              <w:jc w:val="right"/>
              <w:rPr>
                <w:rFonts w:asciiTheme="minorHAnsi" w:hAnsiTheme="minorHAnsi" w:cstheme="minorHAnsi"/>
              </w:rPr>
            </w:pPr>
            <w:r w:rsidRPr="00100F0A">
              <w:rPr>
                <w:rFonts w:asciiTheme="minorHAnsi" w:hAnsiTheme="minorHAnsi" w:cstheme="minorHAnsi"/>
              </w:rPr>
              <w:t>Clinical &amp; pharmaceutical</w:t>
            </w:r>
          </w:p>
        </w:tc>
        <w:tc>
          <w:tcPr>
            <w:tcW w:w="0" w:type="auto"/>
            <w:noWrap/>
            <w:hideMark/>
          </w:tcPr>
          <w:p w14:paraId="4C8B5C16" w14:textId="516F2A2F"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206</w:t>
            </w:r>
          </w:p>
        </w:tc>
        <w:tc>
          <w:tcPr>
            <w:tcW w:w="0" w:type="auto"/>
            <w:shd w:val="clear" w:color="auto" w:fill="000000" w:themeFill="text1"/>
            <w:noWrap/>
            <w:hideMark/>
          </w:tcPr>
          <w:p w14:paraId="19588625" w14:textId="29452F82"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cs="Calibri"/>
                <w:color w:val="FFFFFF" w:themeColor="background1"/>
              </w:rPr>
            </w:pPr>
            <w:r w:rsidRPr="00100F0A">
              <w:rPr>
                <w:rFonts w:cs="Calibri"/>
                <w:color w:val="FFFFFF" w:themeColor="background1"/>
              </w:rPr>
              <w:t>12,768</w:t>
            </w:r>
          </w:p>
        </w:tc>
        <w:tc>
          <w:tcPr>
            <w:tcW w:w="0" w:type="auto"/>
            <w:noWrap/>
            <w:hideMark/>
          </w:tcPr>
          <w:p w14:paraId="741EFE39" w14:textId="557120EB"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198</w:t>
            </w:r>
          </w:p>
        </w:tc>
        <w:tc>
          <w:tcPr>
            <w:tcW w:w="0" w:type="auto"/>
            <w:noWrap/>
            <w:hideMark/>
          </w:tcPr>
          <w:p w14:paraId="640BC72B" w14:textId="01FF7522"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i/>
              </w:rPr>
              <w:t>19,883</w:t>
            </w:r>
          </w:p>
        </w:tc>
        <w:tc>
          <w:tcPr>
            <w:tcW w:w="0" w:type="auto"/>
            <w:noWrap/>
            <w:hideMark/>
          </w:tcPr>
          <w:p w14:paraId="32E49D34" w14:textId="22849122"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9,264</w:t>
            </w:r>
          </w:p>
        </w:tc>
        <w:tc>
          <w:tcPr>
            <w:tcW w:w="0" w:type="auto"/>
            <w:noWrap/>
            <w:hideMark/>
          </w:tcPr>
          <w:p w14:paraId="076FB2E7" w14:textId="092B2195"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30</w:t>
            </w:r>
          </w:p>
        </w:tc>
        <w:tc>
          <w:tcPr>
            <w:tcW w:w="0" w:type="auto"/>
            <w:noWrap/>
            <w:hideMark/>
          </w:tcPr>
          <w:p w14:paraId="632F07AE" w14:textId="7B6EF500"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rPr>
              <w:t>16,326</w:t>
            </w:r>
          </w:p>
        </w:tc>
        <w:tc>
          <w:tcPr>
            <w:tcW w:w="0" w:type="auto"/>
            <w:noWrap/>
            <w:hideMark/>
          </w:tcPr>
          <w:p w14:paraId="1E468E28" w14:textId="6DBD371E"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2,763</w:t>
            </w:r>
          </w:p>
        </w:tc>
      </w:tr>
      <w:tr w:rsidR="001B1403" w:rsidRPr="00100F0A" w14:paraId="60BB1906" w14:textId="77777777" w:rsidTr="001673C0">
        <w:tc>
          <w:tcPr>
            <w:cnfStyle w:val="001000000000" w:firstRow="0" w:lastRow="0" w:firstColumn="1" w:lastColumn="0" w:oddVBand="0" w:evenVBand="0" w:oddHBand="0" w:evenHBand="0" w:firstRowFirstColumn="0" w:firstRowLastColumn="0" w:lastRowFirstColumn="0" w:lastRowLastColumn="0"/>
            <w:tcW w:w="0" w:type="auto"/>
            <w:noWrap/>
            <w:hideMark/>
          </w:tcPr>
          <w:p w14:paraId="07A16DD5" w14:textId="77777777" w:rsidR="001B1403" w:rsidRPr="00100F0A" w:rsidRDefault="001B1403" w:rsidP="00F56453">
            <w:pPr>
              <w:spacing w:before="0" w:after="0"/>
              <w:jc w:val="right"/>
              <w:rPr>
                <w:rFonts w:asciiTheme="minorHAnsi" w:hAnsiTheme="minorHAnsi" w:cstheme="minorHAnsi"/>
              </w:rPr>
            </w:pPr>
            <w:r w:rsidRPr="00100F0A">
              <w:rPr>
                <w:rFonts w:asciiTheme="minorHAnsi" w:hAnsiTheme="minorHAnsi" w:cstheme="minorHAnsi"/>
              </w:rPr>
              <w:t>Tyres</w:t>
            </w:r>
          </w:p>
        </w:tc>
        <w:tc>
          <w:tcPr>
            <w:tcW w:w="0" w:type="auto"/>
            <w:noWrap/>
            <w:vAlign w:val="bottom"/>
          </w:tcPr>
          <w:p w14:paraId="56FF27AB" w14:textId="312F50F5" w:rsidR="001B1403" w:rsidRPr="00100F0A" w:rsidRDefault="001B1403"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100F0A">
              <w:rPr>
                <w:color w:val="000000"/>
                <w:u w:val="single"/>
              </w:rPr>
              <w:t>7,244</w:t>
            </w:r>
          </w:p>
        </w:tc>
        <w:tc>
          <w:tcPr>
            <w:tcW w:w="0" w:type="auto"/>
            <w:noWrap/>
            <w:vAlign w:val="bottom"/>
          </w:tcPr>
          <w:p w14:paraId="15A1BA2B" w14:textId="7F4183EB" w:rsidR="001B1403" w:rsidRPr="00100F0A" w:rsidRDefault="001B1403"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u w:val="single"/>
              </w:rPr>
            </w:pPr>
            <w:r w:rsidRPr="00100F0A">
              <w:rPr>
                <w:color w:val="000000"/>
                <w:u w:val="single"/>
              </w:rPr>
              <w:t>136,509</w:t>
            </w:r>
          </w:p>
        </w:tc>
        <w:tc>
          <w:tcPr>
            <w:tcW w:w="0" w:type="auto"/>
            <w:noWrap/>
            <w:vAlign w:val="bottom"/>
          </w:tcPr>
          <w:p w14:paraId="786FBE70" w14:textId="0F6EC210" w:rsidR="001B1403" w:rsidRPr="00100F0A" w:rsidRDefault="001B1403"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u w:val="single"/>
              </w:rPr>
            </w:pPr>
            <w:r w:rsidRPr="00100F0A">
              <w:rPr>
                <w:color w:val="000000"/>
                <w:u w:val="single"/>
              </w:rPr>
              <w:t>4,507</w:t>
            </w:r>
          </w:p>
        </w:tc>
        <w:tc>
          <w:tcPr>
            <w:tcW w:w="0" w:type="auto"/>
            <w:noWrap/>
            <w:vAlign w:val="bottom"/>
          </w:tcPr>
          <w:p w14:paraId="71E9BF14" w14:textId="2717A4AC" w:rsidR="001B1403" w:rsidRPr="00100F0A" w:rsidRDefault="001B1403"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u w:val="single"/>
              </w:rPr>
            </w:pPr>
            <w:r w:rsidRPr="00100F0A">
              <w:rPr>
                <w:color w:val="000000"/>
                <w:u w:val="single"/>
              </w:rPr>
              <w:t>88,605</w:t>
            </w:r>
          </w:p>
        </w:tc>
        <w:tc>
          <w:tcPr>
            <w:tcW w:w="0" w:type="auto"/>
            <w:noWrap/>
            <w:vAlign w:val="bottom"/>
          </w:tcPr>
          <w:p w14:paraId="2F544DCA" w14:textId="5115318D" w:rsidR="001B1403" w:rsidRPr="00100F0A" w:rsidRDefault="001B1403"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u w:val="single"/>
              </w:rPr>
            </w:pPr>
            <w:r w:rsidRPr="00100F0A">
              <w:rPr>
                <w:color w:val="000000"/>
                <w:u w:val="single"/>
              </w:rPr>
              <w:t>30,553</w:t>
            </w:r>
          </w:p>
        </w:tc>
        <w:tc>
          <w:tcPr>
            <w:tcW w:w="0" w:type="auto"/>
            <w:noWrap/>
            <w:vAlign w:val="bottom"/>
          </w:tcPr>
          <w:p w14:paraId="50390B09" w14:textId="351ACA9C" w:rsidR="001B1403" w:rsidRPr="00100F0A" w:rsidRDefault="001B1403"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u w:val="single"/>
              </w:rPr>
            </w:pPr>
            <w:r w:rsidRPr="00100F0A">
              <w:rPr>
                <w:color w:val="000000"/>
                <w:u w:val="single"/>
              </w:rPr>
              <w:t>9,200</w:t>
            </w:r>
          </w:p>
        </w:tc>
        <w:tc>
          <w:tcPr>
            <w:tcW w:w="0" w:type="auto"/>
            <w:noWrap/>
            <w:vAlign w:val="bottom"/>
          </w:tcPr>
          <w:p w14:paraId="37692B24" w14:textId="5FDB9B16" w:rsidR="001B1403" w:rsidRPr="00100F0A" w:rsidRDefault="001B1403"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u w:val="single"/>
              </w:rPr>
            </w:pPr>
            <w:r w:rsidRPr="00100F0A">
              <w:rPr>
                <w:color w:val="000000"/>
                <w:u w:val="single"/>
              </w:rPr>
              <w:t>107,635</w:t>
            </w:r>
          </w:p>
        </w:tc>
        <w:tc>
          <w:tcPr>
            <w:tcW w:w="0" w:type="auto"/>
            <w:noWrap/>
            <w:vAlign w:val="bottom"/>
          </w:tcPr>
          <w:p w14:paraId="58A8D9DF" w14:textId="06D981B9" w:rsidR="001B1403" w:rsidRPr="00100F0A" w:rsidRDefault="001B1403"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u w:val="single"/>
              </w:rPr>
            </w:pPr>
            <w:r w:rsidRPr="00100F0A">
              <w:rPr>
                <w:color w:val="000000"/>
                <w:u w:val="single"/>
              </w:rPr>
              <w:t>49,664</w:t>
            </w:r>
          </w:p>
        </w:tc>
      </w:tr>
      <w:tr w:rsidR="00504869" w:rsidRPr="00100F0A" w14:paraId="116C6A14" w14:textId="77777777" w:rsidTr="00C90236">
        <w:tc>
          <w:tcPr>
            <w:cnfStyle w:val="001000000000" w:firstRow="0" w:lastRow="0" w:firstColumn="1" w:lastColumn="0" w:oddVBand="0" w:evenVBand="0" w:oddHBand="0" w:evenHBand="0" w:firstRowFirstColumn="0" w:firstRowLastColumn="0" w:lastRowFirstColumn="0" w:lastRowLastColumn="0"/>
            <w:tcW w:w="0" w:type="auto"/>
            <w:noWrap/>
            <w:hideMark/>
          </w:tcPr>
          <w:p w14:paraId="04BBF34B" w14:textId="77777777" w:rsidR="0020212C" w:rsidRPr="00100F0A" w:rsidRDefault="0020212C" w:rsidP="00F56453">
            <w:pPr>
              <w:spacing w:before="0" w:after="0"/>
              <w:jc w:val="right"/>
              <w:rPr>
                <w:rFonts w:asciiTheme="minorHAnsi" w:hAnsiTheme="minorHAnsi" w:cstheme="minorHAnsi"/>
              </w:rPr>
            </w:pPr>
            <w:r w:rsidRPr="00100F0A">
              <w:rPr>
                <w:rFonts w:asciiTheme="minorHAnsi" w:hAnsiTheme="minorHAnsi" w:cstheme="minorHAnsi"/>
              </w:rPr>
              <w:t>Other miscellaneous</w:t>
            </w:r>
          </w:p>
        </w:tc>
        <w:tc>
          <w:tcPr>
            <w:tcW w:w="0" w:type="auto"/>
            <w:noWrap/>
            <w:hideMark/>
          </w:tcPr>
          <w:p w14:paraId="39713E3E" w14:textId="1B1836BF"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49</w:t>
            </w:r>
          </w:p>
        </w:tc>
        <w:tc>
          <w:tcPr>
            <w:tcW w:w="0" w:type="auto"/>
            <w:noWrap/>
            <w:hideMark/>
          </w:tcPr>
          <w:p w14:paraId="486D9AA1" w14:textId="40298220"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4,219</w:t>
            </w:r>
          </w:p>
        </w:tc>
        <w:tc>
          <w:tcPr>
            <w:tcW w:w="0" w:type="auto"/>
            <w:noWrap/>
            <w:hideMark/>
          </w:tcPr>
          <w:p w14:paraId="2FD1DE9E" w14:textId="66E6F8EA"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116</w:t>
            </w:r>
          </w:p>
        </w:tc>
        <w:tc>
          <w:tcPr>
            <w:tcW w:w="0" w:type="auto"/>
            <w:noWrap/>
            <w:hideMark/>
          </w:tcPr>
          <w:p w14:paraId="21561BDB" w14:textId="1D212925"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i/>
              </w:rPr>
              <w:t>1,970</w:t>
            </w:r>
          </w:p>
        </w:tc>
        <w:tc>
          <w:tcPr>
            <w:tcW w:w="0" w:type="auto"/>
            <w:shd w:val="clear" w:color="auto" w:fill="A6A6A6" w:themeFill="background1" w:themeFillShade="A6"/>
            <w:noWrap/>
            <w:hideMark/>
          </w:tcPr>
          <w:p w14:paraId="7F776CD5" w14:textId="20A972F8"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00F0A">
              <w:rPr>
                <w:rFonts w:cs="Calibri"/>
                <w:color w:val="FFFFFF" w:themeColor="background1"/>
              </w:rPr>
              <w:t>522</w:t>
            </w:r>
          </w:p>
        </w:tc>
        <w:tc>
          <w:tcPr>
            <w:tcW w:w="0" w:type="auto"/>
            <w:noWrap/>
            <w:hideMark/>
          </w:tcPr>
          <w:p w14:paraId="23972423" w14:textId="5E876C49"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26</w:t>
            </w:r>
          </w:p>
        </w:tc>
        <w:tc>
          <w:tcPr>
            <w:tcW w:w="0" w:type="auto"/>
            <w:noWrap/>
            <w:hideMark/>
          </w:tcPr>
          <w:p w14:paraId="785216D2" w14:textId="3B744ED4"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00F0A">
              <w:rPr>
                <w:rFonts w:cs="Calibri"/>
              </w:rPr>
              <w:t>1,396</w:t>
            </w:r>
          </w:p>
        </w:tc>
        <w:tc>
          <w:tcPr>
            <w:tcW w:w="0" w:type="auto"/>
            <w:noWrap/>
            <w:hideMark/>
          </w:tcPr>
          <w:p w14:paraId="00427AC4" w14:textId="177CD17A" w:rsidR="0020212C" w:rsidRPr="00100F0A" w:rsidRDefault="0020212C"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0F0A">
              <w:rPr>
                <w:rFonts w:cs="Calibri"/>
              </w:rPr>
              <w:t>310</w:t>
            </w:r>
          </w:p>
        </w:tc>
      </w:tr>
      <w:tr w:rsidR="001B1403" w:rsidRPr="00100F0A" w14:paraId="49D6124F" w14:textId="77777777" w:rsidTr="001673C0">
        <w:tc>
          <w:tcPr>
            <w:cnfStyle w:val="001000000000" w:firstRow="0" w:lastRow="0" w:firstColumn="1" w:lastColumn="0" w:oddVBand="0" w:evenVBand="0" w:oddHBand="0" w:evenHBand="0" w:firstRowFirstColumn="0" w:firstRowLastColumn="0" w:lastRowFirstColumn="0" w:lastRowLastColumn="0"/>
            <w:tcW w:w="0" w:type="auto"/>
            <w:noWrap/>
          </w:tcPr>
          <w:p w14:paraId="059BEF9E" w14:textId="282C0729" w:rsidR="001B1403" w:rsidRPr="00100F0A" w:rsidRDefault="001B1403" w:rsidP="00F56453">
            <w:pPr>
              <w:spacing w:before="0" w:after="0"/>
              <w:jc w:val="right"/>
              <w:rPr>
                <w:rFonts w:asciiTheme="minorHAnsi" w:hAnsiTheme="minorHAnsi" w:cstheme="minorHAnsi"/>
              </w:rPr>
            </w:pPr>
            <w:r w:rsidRPr="00100F0A">
              <w:rPr>
                <w:rFonts w:asciiTheme="minorHAnsi" w:hAnsiTheme="minorHAnsi" w:cstheme="minorHAnsi"/>
              </w:rPr>
              <w:t>Lithium</w:t>
            </w:r>
            <w:r w:rsidR="0075636D">
              <w:rPr>
                <w:rFonts w:asciiTheme="minorHAnsi" w:hAnsiTheme="minorHAnsi" w:cstheme="minorHAnsi"/>
              </w:rPr>
              <w:t xml:space="preserve"> </w:t>
            </w:r>
            <w:r w:rsidRPr="00100F0A">
              <w:rPr>
                <w:rFonts w:asciiTheme="minorHAnsi" w:hAnsiTheme="minorHAnsi" w:cstheme="minorHAnsi"/>
              </w:rPr>
              <w:t>ion batteries</w:t>
            </w:r>
          </w:p>
        </w:tc>
        <w:tc>
          <w:tcPr>
            <w:tcW w:w="0" w:type="auto"/>
            <w:noWrap/>
            <w:vAlign w:val="bottom"/>
          </w:tcPr>
          <w:p w14:paraId="4A443EF7" w14:textId="0C448CD9" w:rsidR="001B1403" w:rsidRPr="00100F0A" w:rsidRDefault="001B1403"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100F0A">
              <w:rPr>
                <w:color w:val="000000"/>
                <w:u w:val="single"/>
              </w:rPr>
              <w:t>65</w:t>
            </w:r>
          </w:p>
        </w:tc>
        <w:tc>
          <w:tcPr>
            <w:tcW w:w="0" w:type="auto"/>
            <w:noWrap/>
            <w:vAlign w:val="bottom"/>
          </w:tcPr>
          <w:p w14:paraId="373056E8" w14:textId="3CDC21F2" w:rsidR="001B1403" w:rsidRPr="00100F0A" w:rsidRDefault="001B1403"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100F0A">
              <w:rPr>
                <w:color w:val="000000"/>
                <w:u w:val="single"/>
              </w:rPr>
              <w:t>1,230</w:t>
            </w:r>
          </w:p>
        </w:tc>
        <w:tc>
          <w:tcPr>
            <w:tcW w:w="0" w:type="auto"/>
            <w:noWrap/>
            <w:vAlign w:val="bottom"/>
          </w:tcPr>
          <w:p w14:paraId="5482DF91" w14:textId="640F14D5" w:rsidR="001B1403" w:rsidRPr="00100F0A" w:rsidRDefault="001B1403"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100F0A">
              <w:rPr>
                <w:color w:val="000000"/>
                <w:u w:val="single"/>
              </w:rPr>
              <w:t>41</w:t>
            </w:r>
          </w:p>
        </w:tc>
        <w:tc>
          <w:tcPr>
            <w:tcW w:w="0" w:type="auto"/>
            <w:noWrap/>
            <w:vAlign w:val="bottom"/>
          </w:tcPr>
          <w:p w14:paraId="3BC79CFC" w14:textId="319F1A01" w:rsidR="001B1403" w:rsidRPr="00100F0A" w:rsidRDefault="001B1403"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u w:val="single"/>
              </w:rPr>
            </w:pPr>
            <w:r w:rsidRPr="00100F0A">
              <w:rPr>
                <w:color w:val="000000"/>
                <w:u w:val="single"/>
              </w:rPr>
              <w:t>798</w:t>
            </w:r>
          </w:p>
        </w:tc>
        <w:tc>
          <w:tcPr>
            <w:tcW w:w="0" w:type="auto"/>
            <w:noWrap/>
            <w:vAlign w:val="bottom"/>
          </w:tcPr>
          <w:p w14:paraId="73DE4B2E" w14:textId="3FB55E0C" w:rsidR="001B1403" w:rsidRPr="00100F0A" w:rsidRDefault="001B1403"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100F0A">
              <w:rPr>
                <w:color w:val="000000"/>
                <w:u w:val="single"/>
              </w:rPr>
              <w:t>275</w:t>
            </w:r>
          </w:p>
        </w:tc>
        <w:tc>
          <w:tcPr>
            <w:tcW w:w="0" w:type="auto"/>
            <w:noWrap/>
            <w:vAlign w:val="bottom"/>
          </w:tcPr>
          <w:p w14:paraId="31F72989" w14:textId="2BE5C95A" w:rsidR="001B1403" w:rsidRPr="00100F0A" w:rsidRDefault="001B1403"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100F0A">
              <w:rPr>
                <w:color w:val="000000"/>
                <w:u w:val="single"/>
              </w:rPr>
              <w:t>83</w:t>
            </w:r>
          </w:p>
        </w:tc>
        <w:tc>
          <w:tcPr>
            <w:tcW w:w="0" w:type="auto"/>
            <w:noWrap/>
            <w:vAlign w:val="bottom"/>
          </w:tcPr>
          <w:p w14:paraId="72013021" w14:textId="296A571E" w:rsidR="001B1403" w:rsidRPr="00100F0A" w:rsidRDefault="001B1403"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u w:val="single"/>
              </w:rPr>
            </w:pPr>
            <w:r w:rsidRPr="00100F0A">
              <w:rPr>
                <w:color w:val="000000"/>
                <w:u w:val="single"/>
              </w:rPr>
              <w:t>970</w:t>
            </w:r>
          </w:p>
        </w:tc>
        <w:tc>
          <w:tcPr>
            <w:tcW w:w="0" w:type="auto"/>
            <w:noWrap/>
            <w:vAlign w:val="bottom"/>
          </w:tcPr>
          <w:p w14:paraId="32A04725" w14:textId="6F9CD012" w:rsidR="001B1403" w:rsidRPr="00100F0A" w:rsidRDefault="001B1403"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100F0A">
              <w:rPr>
                <w:color w:val="000000"/>
                <w:u w:val="single"/>
              </w:rPr>
              <w:t>447</w:t>
            </w:r>
          </w:p>
        </w:tc>
      </w:tr>
      <w:tr w:rsidR="00504869" w:rsidRPr="00100F0A" w14:paraId="6719791B" w14:textId="77777777" w:rsidTr="00504869">
        <w:tc>
          <w:tcPr>
            <w:cnfStyle w:val="001000000000" w:firstRow="0" w:lastRow="0" w:firstColumn="1" w:lastColumn="0" w:oddVBand="0" w:evenVBand="0" w:oddHBand="0" w:evenHBand="0" w:firstRowFirstColumn="0" w:firstRowLastColumn="0" w:lastRowFirstColumn="0" w:lastRowLastColumn="0"/>
            <w:tcW w:w="0" w:type="auto"/>
            <w:noWrap/>
            <w:hideMark/>
          </w:tcPr>
          <w:p w14:paraId="072E2F94" w14:textId="5C72038B" w:rsidR="00DA7ED9" w:rsidRPr="00100F0A" w:rsidRDefault="00DA7ED9" w:rsidP="00F56453">
            <w:pPr>
              <w:spacing w:before="0" w:after="0"/>
              <w:jc w:val="right"/>
              <w:rPr>
                <w:rFonts w:asciiTheme="minorHAnsi" w:hAnsiTheme="minorHAnsi" w:cstheme="minorHAnsi"/>
                <w:b/>
                <w:bCs/>
                <w:color w:val="000000"/>
              </w:rPr>
            </w:pPr>
            <w:r w:rsidRPr="00100F0A">
              <w:rPr>
                <w:rFonts w:asciiTheme="minorHAnsi" w:hAnsiTheme="minorHAnsi" w:cstheme="minorHAnsi"/>
                <w:b/>
                <w:bCs/>
                <w:color w:val="000000"/>
              </w:rPr>
              <w:t>Totals (tonnes</w:t>
            </w:r>
            <w:r w:rsidR="00DE00E1" w:rsidRPr="00100F0A">
              <w:rPr>
                <w:rFonts w:asciiTheme="minorHAnsi" w:hAnsiTheme="minorHAnsi" w:cstheme="minorHAnsi"/>
                <w:b/>
                <w:bCs/>
                <w:color w:val="000000"/>
              </w:rPr>
              <w:t xml:space="preserve"> x 1000</w:t>
            </w:r>
            <w:r w:rsidRPr="00100F0A">
              <w:rPr>
                <w:rFonts w:asciiTheme="minorHAnsi" w:hAnsiTheme="minorHAnsi" w:cstheme="minorHAnsi"/>
                <w:b/>
                <w:bCs/>
                <w:color w:val="000000"/>
              </w:rPr>
              <w:t>)</w:t>
            </w:r>
          </w:p>
        </w:tc>
        <w:tc>
          <w:tcPr>
            <w:tcW w:w="0" w:type="auto"/>
            <w:noWrap/>
            <w:hideMark/>
          </w:tcPr>
          <w:p w14:paraId="11E3E5FD" w14:textId="77777777" w:rsidR="00DA7ED9" w:rsidRPr="00100F0A" w:rsidRDefault="00DA7ED9"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100F0A">
              <w:rPr>
                <w:rFonts w:asciiTheme="minorHAnsi" w:hAnsiTheme="minorHAnsi" w:cstheme="minorHAnsi"/>
                <w:bCs/>
              </w:rPr>
              <w:t>95</w:t>
            </w:r>
          </w:p>
        </w:tc>
        <w:tc>
          <w:tcPr>
            <w:tcW w:w="0" w:type="auto"/>
            <w:noWrap/>
            <w:hideMark/>
          </w:tcPr>
          <w:p w14:paraId="6EFAE0CC" w14:textId="77777777" w:rsidR="00DA7ED9" w:rsidRPr="00100F0A" w:rsidRDefault="00DA7ED9"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100F0A">
              <w:rPr>
                <w:rFonts w:asciiTheme="minorHAnsi" w:hAnsiTheme="minorHAnsi" w:cstheme="minorHAnsi"/>
                <w:bCs/>
              </w:rPr>
              <w:t>2,197</w:t>
            </w:r>
          </w:p>
        </w:tc>
        <w:tc>
          <w:tcPr>
            <w:tcW w:w="0" w:type="auto"/>
            <w:noWrap/>
            <w:hideMark/>
          </w:tcPr>
          <w:p w14:paraId="298EE5DB" w14:textId="77777777" w:rsidR="00DA7ED9" w:rsidRPr="00100F0A" w:rsidRDefault="00DA7ED9"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100F0A">
              <w:rPr>
                <w:rFonts w:asciiTheme="minorHAnsi" w:hAnsiTheme="minorHAnsi" w:cstheme="minorHAnsi"/>
                <w:bCs/>
              </w:rPr>
              <w:t>42</w:t>
            </w:r>
          </w:p>
        </w:tc>
        <w:tc>
          <w:tcPr>
            <w:tcW w:w="0" w:type="auto"/>
            <w:noWrap/>
            <w:hideMark/>
          </w:tcPr>
          <w:p w14:paraId="6A14D640" w14:textId="77777777" w:rsidR="00DA7ED9" w:rsidRPr="00100F0A" w:rsidRDefault="00DA7ED9"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rPr>
            </w:pPr>
            <w:r w:rsidRPr="00100F0A">
              <w:rPr>
                <w:rFonts w:asciiTheme="minorHAnsi" w:hAnsiTheme="minorHAnsi" w:cstheme="minorHAnsi"/>
                <w:bCs/>
                <w:i/>
              </w:rPr>
              <w:t>1,796</w:t>
            </w:r>
          </w:p>
        </w:tc>
        <w:tc>
          <w:tcPr>
            <w:tcW w:w="0" w:type="auto"/>
            <w:noWrap/>
            <w:hideMark/>
          </w:tcPr>
          <w:p w14:paraId="3C6C5155" w14:textId="77777777" w:rsidR="00DA7ED9" w:rsidRPr="00100F0A" w:rsidRDefault="00DA7ED9"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100F0A">
              <w:rPr>
                <w:rFonts w:asciiTheme="minorHAnsi" w:hAnsiTheme="minorHAnsi" w:cstheme="minorHAnsi"/>
                <w:bCs/>
              </w:rPr>
              <w:t>650</w:t>
            </w:r>
          </w:p>
        </w:tc>
        <w:tc>
          <w:tcPr>
            <w:tcW w:w="0" w:type="auto"/>
            <w:noWrap/>
            <w:hideMark/>
          </w:tcPr>
          <w:p w14:paraId="2278FBED" w14:textId="77777777" w:rsidR="00DA7ED9" w:rsidRPr="00100F0A" w:rsidRDefault="00DA7ED9"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100F0A">
              <w:rPr>
                <w:rFonts w:asciiTheme="minorHAnsi" w:hAnsiTheme="minorHAnsi" w:cstheme="minorHAnsi"/>
                <w:bCs/>
              </w:rPr>
              <w:t>204</w:t>
            </w:r>
          </w:p>
        </w:tc>
        <w:tc>
          <w:tcPr>
            <w:tcW w:w="0" w:type="auto"/>
            <w:noWrap/>
            <w:hideMark/>
          </w:tcPr>
          <w:p w14:paraId="166588F8" w14:textId="77777777" w:rsidR="00DA7ED9" w:rsidRPr="00100F0A" w:rsidRDefault="00DA7ED9"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100F0A">
              <w:rPr>
                <w:rFonts w:asciiTheme="minorHAnsi" w:hAnsiTheme="minorHAnsi" w:cstheme="minorHAnsi"/>
                <w:bCs/>
              </w:rPr>
              <w:t>1,208</w:t>
            </w:r>
          </w:p>
        </w:tc>
        <w:tc>
          <w:tcPr>
            <w:tcW w:w="0" w:type="auto"/>
            <w:noWrap/>
            <w:hideMark/>
          </w:tcPr>
          <w:p w14:paraId="50444BB7" w14:textId="77777777" w:rsidR="00DA7ED9" w:rsidRPr="00100F0A" w:rsidRDefault="00DA7ED9" w:rsidP="00F56453">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100F0A">
              <w:rPr>
                <w:rFonts w:asciiTheme="minorHAnsi" w:hAnsiTheme="minorHAnsi" w:cstheme="minorHAnsi"/>
                <w:bCs/>
              </w:rPr>
              <w:t>669</w:t>
            </w:r>
          </w:p>
        </w:tc>
      </w:tr>
    </w:tbl>
    <w:p w14:paraId="5747E18A" w14:textId="4A65C270" w:rsidR="00DA7ED9" w:rsidRPr="00100F0A" w:rsidRDefault="001D3887" w:rsidP="00F56453">
      <w:pPr>
        <w:pStyle w:val="FigureTableinfo"/>
        <w:spacing w:before="0"/>
        <w:rPr>
          <w:color w:val="000099" w:themeColor="text2"/>
        </w:rPr>
      </w:pPr>
      <w:r w:rsidRPr="00100F0A">
        <w:rPr>
          <w:color w:val="000099" w:themeColor="text2"/>
        </w:rPr>
        <w:t>Data from 2016-17 except Qld (extrapolated from 2015-16 assuming fixed generation per capita)</w:t>
      </w:r>
    </w:p>
    <w:p w14:paraId="6AD3D526" w14:textId="77777777" w:rsidR="00DA7ED9" w:rsidRPr="00100F0A" w:rsidRDefault="00DA7ED9" w:rsidP="00F56453">
      <w:pPr>
        <w:pStyle w:val="FigureTableinfo"/>
        <w:spacing w:before="0"/>
        <w:rPr>
          <w:color w:val="000099" w:themeColor="text2"/>
        </w:rPr>
      </w:pPr>
      <w:r w:rsidRPr="00100F0A">
        <w:rPr>
          <w:color w:val="000099" w:themeColor="text2"/>
        </w:rPr>
        <w:t>Code for data types:</w:t>
      </w:r>
    </w:p>
    <w:p w14:paraId="6486E01D" w14:textId="431C108D" w:rsidR="00DA7ED9" w:rsidRPr="00100F0A" w:rsidRDefault="00DA7ED9" w:rsidP="00DA7ED9">
      <w:pPr>
        <w:pStyle w:val="FigureTableinfo"/>
        <w:numPr>
          <w:ilvl w:val="0"/>
          <w:numId w:val="18"/>
        </w:numPr>
        <w:spacing w:before="0"/>
        <w:rPr>
          <w:color w:val="000099" w:themeColor="text2"/>
        </w:rPr>
      </w:pPr>
      <w:r w:rsidRPr="00100F0A">
        <w:rPr>
          <w:i w:val="0"/>
          <w:color w:val="000099" w:themeColor="text2"/>
        </w:rPr>
        <w:t>Normal font</w:t>
      </w:r>
      <w:r w:rsidRPr="00100F0A">
        <w:rPr>
          <w:color w:val="000099" w:themeColor="text2"/>
        </w:rPr>
        <w:t xml:space="preserve"> –</w:t>
      </w:r>
      <w:r w:rsidR="00FD302B" w:rsidRPr="00100F0A">
        <w:rPr>
          <w:color w:val="000099" w:themeColor="text2"/>
        </w:rPr>
        <w:t xml:space="preserve"> 2016-17</w:t>
      </w:r>
      <w:r w:rsidRPr="00100F0A">
        <w:rPr>
          <w:color w:val="000099" w:themeColor="text2"/>
        </w:rPr>
        <w:t xml:space="preserve"> tracking data</w:t>
      </w:r>
      <w:r w:rsidR="00FD302B" w:rsidRPr="00100F0A">
        <w:rPr>
          <w:color w:val="000099" w:themeColor="text2"/>
        </w:rPr>
        <w:t xml:space="preserve"> (NSW, SA, Vic &amp; WA data adjusted</w:t>
      </w:r>
      <w:r w:rsidR="00DA044C" w:rsidRPr="00100F0A">
        <w:rPr>
          <w:color w:val="000099" w:themeColor="text2"/>
        </w:rPr>
        <w:t xml:space="preserve"> to remove multiple-counts</w:t>
      </w:r>
      <w:r w:rsidR="00FD302B" w:rsidRPr="00100F0A">
        <w:rPr>
          <w:color w:val="000099" w:themeColor="text2"/>
        </w:rPr>
        <w:t>)</w:t>
      </w:r>
    </w:p>
    <w:p w14:paraId="26B3B961" w14:textId="077A4416" w:rsidR="00FD302B" w:rsidRPr="00100F0A" w:rsidRDefault="00FD302B" w:rsidP="00DA7ED9">
      <w:pPr>
        <w:pStyle w:val="FigureTableinfo"/>
        <w:numPr>
          <w:ilvl w:val="0"/>
          <w:numId w:val="18"/>
        </w:numPr>
        <w:spacing w:before="0"/>
        <w:rPr>
          <w:color w:val="000099" w:themeColor="text2"/>
        </w:rPr>
      </w:pPr>
      <w:r w:rsidRPr="00100F0A">
        <w:rPr>
          <w:color w:val="000099" w:themeColor="text2"/>
        </w:rPr>
        <w:t>Italics – extrapolated from 2015-16 data (with adjustments to remove multiple-counts)</w:t>
      </w:r>
    </w:p>
    <w:p w14:paraId="3960E1A4" w14:textId="77777777" w:rsidR="00546589" w:rsidRPr="00100F0A" w:rsidRDefault="00CC0F14" w:rsidP="00DA7ED9">
      <w:pPr>
        <w:pStyle w:val="FigureTableinfo"/>
        <w:numPr>
          <w:ilvl w:val="0"/>
          <w:numId w:val="18"/>
        </w:numPr>
        <w:spacing w:before="0"/>
        <w:rPr>
          <w:color w:val="000099" w:themeColor="text2"/>
        </w:rPr>
      </w:pPr>
      <w:r w:rsidRPr="00100F0A">
        <w:rPr>
          <w:i w:val="0"/>
          <w:color w:val="FF0000"/>
        </w:rPr>
        <w:t>Red font</w:t>
      </w:r>
      <w:r w:rsidRPr="00100F0A">
        <w:rPr>
          <w:b/>
          <w:i w:val="0"/>
          <w:color w:val="FF0000"/>
        </w:rPr>
        <w:t xml:space="preserve"> </w:t>
      </w:r>
      <w:r w:rsidRPr="00100F0A">
        <w:rPr>
          <w:b/>
          <w:i w:val="0"/>
          <w:color w:val="000099" w:themeColor="text2"/>
        </w:rPr>
        <w:t>–</w:t>
      </w:r>
      <w:r w:rsidRPr="00100F0A">
        <w:rPr>
          <w:color w:val="000099" w:themeColor="text2"/>
        </w:rPr>
        <w:t xml:space="preserve"> not tracked; value assumed</w:t>
      </w:r>
    </w:p>
    <w:p w14:paraId="4E6CA1E8" w14:textId="048A758E" w:rsidR="00CC0F14" w:rsidRPr="00100F0A" w:rsidRDefault="00546589" w:rsidP="00DA7ED9">
      <w:pPr>
        <w:pStyle w:val="FigureTableinfo"/>
        <w:numPr>
          <w:ilvl w:val="0"/>
          <w:numId w:val="18"/>
        </w:numPr>
        <w:spacing w:before="0"/>
        <w:rPr>
          <w:color w:val="000099" w:themeColor="text2"/>
        </w:rPr>
      </w:pPr>
      <w:r w:rsidRPr="00100F0A">
        <w:rPr>
          <w:i w:val="0"/>
          <w:color w:val="000099" w:themeColor="text2"/>
          <w:u w:val="single"/>
        </w:rPr>
        <w:t>Underlined</w:t>
      </w:r>
      <w:r w:rsidRPr="00100F0A">
        <w:rPr>
          <w:i w:val="0"/>
          <w:color w:val="000099" w:themeColor="text2"/>
        </w:rPr>
        <w:t xml:space="preserve"> – </w:t>
      </w:r>
      <w:r w:rsidRPr="00100F0A">
        <w:rPr>
          <w:color w:val="000099" w:themeColor="text2"/>
        </w:rPr>
        <w:t xml:space="preserve">estimated from industry </w:t>
      </w:r>
      <w:r w:rsidR="00490B12" w:rsidRPr="00100F0A">
        <w:rPr>
          <w:color w:val="000099" w:themeColor="text2"/>
        </w:rPr>
        <w:t>data, national study</w:t>
      </w:r>
      <w:r w:rsidR="00CC0F14" w:rsidRPr="00100F0A">
        <w:rPr>
          <w:color w:val="000099" w:themeColor="text2"/>
        </w:rPr>
        <w:t xml:space="preserve"> </w:t>
      </w:r>
      <w:r w:rsidR="00490B12" w:rsidRPr="00100F0A">
        <w:rPr>
          <w:color w:val="000099" w:themeColor="text2"/>
        </w:rPr>
        <w:t xml:space="preserve">or </w:t>
      </w:r>
      <w:r w:rsidR="00AA5FD9" w:rsidRPr="00100F0A">
        <w:rPr>
          <w:color w:val="000099" w:themeColor="text2"/>
        </w:rPr>
        <w:t>calculations</w:t>
      </w:r>
    </w:p>
    <w:p w14:paraId="369CC0EA" w14:textId="77777777" w:rsidR="00A00980" w:rsidRPr="00100F0A" w:rsidRDefault="00A00980" w:rsidP="00A00980">
      <w:pPr>
        <w:pStyle w:val="FigureTableinfo"/>
        <w:numPr>
          <w:ilvl w:val="0"/>
          <w:numId w:val="18"/>
        </w:numPr>
        <w:spacing w:before="0"/>
        <w:rPr>
          <w:color w:val="000099" w:themeColor="text2"/>
        </w:rPr>
      </w:pPr>
      <w:r w:rsidRPr="00100F0A">
        <w:rPr>
          <w:b/>
          <w:i w:val="0"/>
          <w:color w:val="FFFFFF" w:themeColor="background1"/>
          <w:highlight w:val="darkGray"/>
        </w:rPr>
        <w:t>Grey shading</w:t>
      </w:r>
      <w:r w:rsidRPr="00100F0A">
        <w:rPr>
          <w:i w:val="0"/>
          <w:color w:val="FFFFFF" w:themeColor="background1"/>
        </w:rPr>
        <w:t xml:space="preserve"> </w:t>
      </w:r>
      <w:r w:rsidRPr="00100F0A">
        <w:rPr>
          <w:i w:val="0"/>
          <w:color w:val="000099" w:themeColor="text2"/>
        </w:rPr>
        <w:t xml:space="preserve">– </w:t>
      </w:r>
      <w:r w:rsidRPr="00100F0A">
        <w:rPr>
          <w:color w:val="000099" w:themeColor="text2"/>
        </w:rPr>
        <w:t>adjusted to take into account unrepresentative flows in the starting point year</w:t>
      </w:r>
    </w:p>
    <w:p w14:paraId="74212687" w14:textId="1B685E78" w:rsidR="00DA7ED9" w:rsidRPr="00F56453" w:rsidRDefault="00490B12" w:rsidP="00DA7ED9">
      <w:pPr>
        <w:pStyle w:val="FigureTableinfo"/>
        <w:numPr>
          <w:ilvl w:val="0"/>
          <w:numId w:val="18"/>
        </w:numPr>
        <w:tabs>
          <w:tab w:val="left" w:pos="1875"/>
        </w:tabs>
        <w:spacing w:before="0"/>
        <w:rPr>
          <w:color w:val="000099" w:themeColor="text2"/>
          <w:sz w:val="22"/>
        </w:rPr>
      </w:pPr>
      <w:r w:rsidRPr="00100F0A">
        <w:rPr>
          <w:i w:val="0"/>
          <w:color w:val="FFFFFF" w:themeColor="background1"/>
          <w:highlight w:val="black"/>
        </w:rPr>
        <w:t>B</w:t>
      </w:r>
      <w:r w:rsidR="00DA7ED9" w:rsidRPr="00100F0A">
        <w:rPr>
          <w:i w:val="0"/>
          <w:color w:val="FFFFFF" w:themeColor="background1"/>
          <w:highlight w:val="black"/>
        </w:rPr>
        <w:t>lack shading</w:t>
      </w:r>
      <w:r w:rsidR="00DA7ED9" w:rsidRPr="00100F0A">
        <w:rPr>
          <w:color w:val="FFFFFF" w:themeColor="background1"/>
        </w:rPr>
        <w:t xml:space="preserve"> </w:t>
      </w:r>
      <w:r w:rsidR="00DA7ED9" w:rsidRPr="00100F0A">
        <w:rPr>
          <w:color w:val="000099" w:themeColor="text2"/>
        </w:rPr>
        <w:t>– derived from other jurisdictions’ data assuming</w:t>
      </w:r>
      <w:r w:rsidRPr="00100F0A">
        <w:rPr>
          <w:color w:val="000099" w:themeColor="text2"/>
        </w:rPr>
        <w:t xml:space="preserve"> identical</w:t>
      </w:r>
      <w:r w:rsidR="00DA7ED9" w:rsidRPr="00100F0A">
        <w:rPr>
          <w:color w:val="000099" w:themeColor="text2"/>
        </w:rPr>
        <w:t xml:space="preserve"> arisings per capita</w:t>
      </w:r>
      <w:r w:rsidRPr="00100F0A">
        <w:rPr>
          <w:color w:val="000099" w:themeColor="text2"/>
        </w:rPr>
        <w:t>.</w:t>
      </w:r>
    </w:p>
    <w:p w14:paraId="088EDCB6" w14:textId="77777777" w:rsidR="00BF7776" w:rsidRPr="00100F0A" w:rsidRDefault="00BF7776" w:rsidP="00F56453">
      <w:pPr>
        <w:pStyle w:val="FigureTableinfo"/>
        <w:tabs>
          <w:tab w:val="left" w:pos="1875"/>
        </w:tabs>
        <w:spacing w:before="0"/>
        <w:ind w:left="360"/>
        <w:rPr>
          <w:color w:val="000099" w:themeColor="text2"/>
          <w:sz w:val="22"/>
        </w:rPr>
      </w:pPr>
    </w:p>
    <w:p w14:paraId="43FAB5B1" w14:textId="7EBB9C80" w:rsidR="001673C0" w:rsidRDefault="001673C0" w:rsidP="001673C0">
      <w:pPr>
        <w:pStyle w:val="BodyText"/>
      </w:pPr>
      <w:bookmarkStart w:id="112" w:name="_Ref419465158"/>
      <w:bookmarkStart w:id="113" w:name="_Toc425849158"/>
      <w:bookmarkStart w:id="114" w:name="_Toc519527693"/>
      <w:r w:rsidRPr="00100F0A">
        <w:t xml:space="preserve">The 2016-17 starting point for the projections summed to 6.0 </w:t>
      </w:r>
      <w:r w:rsidR="0075636D">
        <w:t>Mt</w:t>
      </w:r>
      <w:r w:rsidR="00216B54" w:rsidRPr="00100F0A">
        <w:rPr>
          <w:rStyle w:val="FootnoteReference"/>
        </w:rPr>
        <w:footnoteReference w:id="15"/>
      </w:r>
      <w:r w:rsidR="00216B54" w:rsidRPr="00100F0A">
        <w:t xml:space="preserve"> . </w:t>
      </w:r>
    </w:p>
    <w:p w14:paraId="28101E67" w14:textId="03C27442" w:rsidR="001130E8" w:rsidRDefault="001130E8" w:rsidP="001673C0">
      <w:pPr>
        <w:pStyle w:val="BodyText"/>
      </w:pPr>
    </w:p>
    <w:p w14:paraId="55F2AC77" w14:textId="77777777" w:rsidR="001130E8" w:rsidRPr="00100F0A" w:rsidRDefault="001130E8" w:rsidP="001673C0">
      <w:pPr>
        <w:pStyle w:val="BodyText"/>
      </w:pPr>
    </w:p>
    <w:p w14:paraId="62E62B53" w14:textId="7F1890B5" w:rsidR="00DA7ED9" w:rsidRPr="00100F0A" w:rsidRDefault="00DA7ED9" w:rsidP="00DA7ED9">
      <w:pPr>
        <w:pStyle w:val="Heading2"/>
        <w:ind w:left="851" w:hanging="851"/>
      </w:pPr>
      <w:bookmarkStart w:id="115" w:name="_Ref530137916"/>
      <w:bookmarkStart w:id="116" w:name="_Toc13225534"/>
      <w:r w:rsidRPr="00100F0A">
        <w:t xml:space="preserve">Scenarios for hazardous wastes </w:t>
      </w:r>
      <w:bookmarkEnd w:id="112"/>
      <w:bookmarkEnd w:id="113"/>
      <w:bookmarkEnd w:id="114"/>
      <w:r w:rsidRPr="00100F0A">
        <w:t>arising</w:t>
      </w:r>
      <w:bookmarkEnd w:id="115"/>
      <w:bookmarkEnd w:id="116"/>
    </w:p>
    <w:p w14:paraId="33190863" w14:textId="350B7991" w:rsidR="00DA7ED9" w:rsidRPr="00100F0A" w:rsidRDefault="00DA7ED9" w:rsidP="00DA7ED9">
      <w:pPr>
        <w:pStyle w:val="BodyText"/>
      </w:pPr>
      <w:r w:rsidRPr="00100F0A">
        <w:t xml:space="preserve">This section describes the projection scenarios and shows the collated national arisings projected under each scenario. The projections for individual waste groups are presented in Section </w:t>
      </w:r>
      <w:r w:rsidRPr="00100F0A">
        <w:fldChar w:fldCharType="begin"/>
      </w:r>
      <w:r w:rsidRPr="00100F0A">
        <w:instrText xml:space="preserve"> REF _Ref419370324 \r \h </w:instrText>
      </w:r>
      <w:r w:rsidRPr="00100F0A">
        <w:fldChar w:fldCharType="separate"/>
      </w:r>
      <w:r w:rsidR="00EB634D">
        <w:t>2.6</w:t>
      </w:r>
      <w:r w:rsidRPr="00100F0A">
        <w:fldChar w:fldCharType="end"/>
      </w:r>
      <w:r w:rsidRPr="00100F0A">
        <w:t>.</w:t>
      </w:r>
    </w:p>
    <w:p w14:paraId="626393C2" w14:textId="77777777" w:rsidR="00DA7ED9" w:rsidRPr="00100F0A" w:rsidRDefault="00DA7ED9" w:rsidP="00DA7ED9">
      <w:pPr>
        <w:pStyle w:val="BodyText"/>
      </w:pPr>
    </w:p>
    <w:p w14:paraId="2128527E" w14:textId="0C48FAC2" w:rsidR="00DA7ED9" w:rsidRPr="00100F0A" w:rsidRDefault="00DA7ED9" w:rsidP="00DA7ED9">
      <w:pPr>
        <w:pStyle w:val="BodyText"/>
      </w:pPr>
      <w:r w:rsidRPr="00100F0A">
        <w:t xml:space="preserve">There are significant uncertainties in projecting future waste arisings over a </w:t>
      </w:r>
      <w:r w:rsidR="00C34F48" w:rsidRPr="00100F0A">
        <w:t>20</w:t>
      </w:r>
      <w:r w:rsidR="00C34F48">
        <w:t>-year</w:t>
      </w:r>
      <w:r w:rsidRPr="00100F0A">
        <w:t xml:space="preserve"> period, for example in relation to:</w:t>
      </w:r>
    </w:p>
    <w:p w14:paraId="22F17D86" w14:textId="77777777" w:rsidR="00DA7ED9" w:rsidRPr="00100F0A" w:rsidRDefault="00DA7ED9" w:rsidP="00DA7ED9">
      <w:pPr>
        <w:pStyle w:val="Bullet1"/>
        <w:spacing w:before="80"/>
        <w:ind w:left="454" w:hanging="454"/>
      </w:pPr>
      <w:r w:rsidRPr="00100F0A">
        <w:t>factors that influence the quantities of hazardous waste generated, such as the scale of economic and population growth, the levels of activity of waste-producing industries in Australia, and whether they become more efficient in their waste generation</w:t>
      </w:r>
    </w:p>
    <w:p w14:paraId="256937AD" w14:textId="4F1860B9" w:rsidR="00DA7ED9" w:rsidRPr="00100F0A" w:rsidRDefault="00DA7ED9" w:rsidP="00DA7ED9">
      <w:pPr>
        <w:pStyle w:val="Bullet1"/>
        <w:spacing w:before="80"/>
        <w:ind w:left="454" w:hanging="454"/>
      </w:pPr>
      <w:r w:rsidRPr="00100F0A">
        <w:t>the extent to which some waste will be classified as hazardous</w:t>
      </w:r>
    </w:p>
    <w:p w14:paraId="5089B1F3" w14:textId="04F885A2" w:rsidR="00DA7ED9" w:rsidRPr="00100F0A" w:rsidRDefault="00DA7ED9" w:rsidP="00DA7ED9">
      <w:pPr>
        <w:pStyle w:val="Bullet1"/>
        <w:spacing w:before="80"/>
        <w:ind w:left="454" w:hanging="454"/>
      </w:pPr>
      <w:r w:rsidRPr="00100F0A">
        <w:t>the extent to which current contaminated soil and waste stores will arise through release into the waste stream, whether through decisions by site owners or regulators.</w:t>
      </w:r>
    </w:p>
    <w:p w14:paraId="0F2398FA" w14:textId="77777777" w:rsidR="00661B54" w:rsidRPr="00100F0A" w:rsidRDefault="00661B54" w:rsidP="00DA7ED9">
      <w:pPr>
        <w:pStyle w:val="BodyText"/>
      </w:pPr>
    </w:p>
    <w:p w14:paraId="4289B306" w14:textId="3DEDC505" w:rsidR="00DA7ED9" w:rsidRPr="00100F0A" w:rsidRDefault="00DA7ED9" w:rsidP="00DA7ED9">
      <w:pPr>
        <w:pStyle w:val="BodyText"/>
      </w:pPr>
      <w:r w:rsidRPr="00100F0A">
        <w:t>Reflecting the uncertainty, projections were developed under best estimate, low estimate and high estimate scenarios. Each scenario encompasses a projection for each waste group, jurisdiction and year from 2017-18 to 2036-37. The scenarios were qualitatively defined as follows:</w:t>
      </w:r>
    </w:p>
    <w:p w14:paraId="37A5B975" w14:textId="79FF0174" w:rsidR="00DA7ED9" w:rsidRPr="00100F0A" w:rsidRDefault="00DA7ED9" w:rsidP="00DA7ED9">
      <w:pPr>
        <w:pStyle w:val="Bullet1"/>
        <w:spacing w:before="80"/>
        <w:ind w:left="454" w:hanging="454"/>
      </w:pPr>
      <w:r w:rsidRPr="00100F0A">
        <w:t>best estimate –</w:t>
      </w:r>
      <w:r w:rsidR="006076CC">
        <w:t xml:space="preserve"> </w:t>
      </w:r>
      <w:r w:rsidRPr="00100F0A">
        <w:t>the most likely estimate of waste arisings</w:t>
      </w:r>
    </w:p>
    <w:p w14:paraId="6BC893E5" w14:textId="31777CF8" w:rsidR="00DA7ED9" w:rsidRPr="00100F0A" w:rsidRDefault="00DA7ED9" w:rsidP="00DA7ED9">
      <w:pPr>
        <w:pStyle w:val="Bullet1"/>
        <w:spacing w:before="80"/>
        <w:ind w:left="454" w:hanging="454"/>
      </w:pPr>
      <w:r w:rsidRPr="00100F0A">
        <w:t>high estimate – the highest</w:t>
      </w:r>
      <w:r w:rsidR="00D86923">
        <w:t>,</w:t>
      </w:r>
      <w:r w:rsidRPr="00100F0A">
        <w:t xml:space="preserve"> credible estimate of waste arisings</w:t>
      </w:r>
    </w:p>
    <w:p w14:paraId="08DEA298" w14:textId="50020AC3" w:rsidR="00DA7ED9" w:rsidRPr="00100F0A" w:rsidRDefault="00DA7ED9" w:rsidP="00DA7ED9">
      <w:pPr>
        <w:pStyle w:val="Bullet1"/>
        <w:spacing w:before="80"/>
        <w:ind w:left="454" w:hanging="454"/>
      </w:pPr>
      <w:r w:rsidRPr="00100F0A">
        <w:t>low estimate – the lowest</w:t>
      </w:r>
      <w:r w:rsidR="00D86923">
        <w:t>,</w:t>
      </w:r>
      <w:r w:rsidRPr="00100F0A">
        <w:t xml:space="preserve"> credible estimate of waste arisings.</w:t>
      </w:r>
    </w:p>
    <w:p w14:paraId="601051FF" w14:textId="77777777" w:rsidR="00DA7ED9" w:rsidRPr="00100F0A" w:rsidRDefault="00DA7ED9" w:rsidP="00DA7ED9">
      <w:pPr>
        <w:rPr>
          <w:color w:val="080808"/>
        </w:rPr>
      </w:pPr>
    </w:p>
    <w:p w14:paraId="6D2686FD" w14:textId="77777777" w:rsidR="00DA7ED9" w:rsidRPr="00100F0A" w:rsidRDefault="00DA7ED9" w:rsidP="00DA7ED9">
      <w:pPr>
        <w:pStyle w:val="BodyText"/>
      </w:pPr>
      <w:r w:rsidRPr="00100F0A">
        <w:t>Several perspectives and considerations were applied in developing the scenarios, including, to the extent available: existing data and trends; industry sources; factors that may cause quantities to grow or diminish; and discussion with experts including those in the waste industry. The arithmetical approaches comprised one or more of the following:</w:t>
      </w:r>
    </w:p>
    <w:p w14:paraId="7A159291" w14:textId="77777777" w:rsidR="00DA7ED9" w:rsidRPr="00100F0A" w:rsidRDefault="00DA7ED9" w:rsidP="00DA7ED9">
      <w:pPr>
        <w:pStyle w:val="Bullet1"/>
        <w:spacing w:before="80"/>
        <w:ind w:left="454" w:hanging="454"/>
      </w:pPr>
      <w:r w:rsidRPr="00100F0A">
        <w:t>application of a percentage annual growth rate, which sometimes was projected to change over time</w:t>
      </w:r>
    </w:p>
    <w:p w14:paraId="28A4ABDB" w14:textId="2EDDF59C" w:rsidR="00DA7ED9" w:rsidRPr="00100F0A" w:rsidRDefault="00DA7ED9" w:rsidP="00DA7ED9">
      <w:pPr>
        <w:pStyle w:val="Bullet1"/>
        <w:spacing w:before="80"/>
        <w:ind w:left="454" w:hanging="454"/>
      </w:pPr>
      <w:r w:rsidRPr="00100F0A">
        <w:t>addition of absolute tonnages, for example where a stor</w:t>
      </w:r>
      <w:r w:rsidR="00C860F1" w:rsidRPr="00100F0A">
        <w:t>age/stockpile</w:t>
      </w:r>
      <w:r w:rsidRPr="00100F0A">
        <w:t xml:space="preserve"> of waste is envisaged to be released into the waste stream</w:t>
      </w:r>
    </w:p>
    <w:p w14:paraId="5061A8AE" w14:textId="1A8B2E15" w:rsidR="00DA7ED9" w:rsidRPr="00100F0A" w:rsidRDefault="00DA7ED9" w:rsidP="00DA7ED9">
      <w:pPr>
        <w:pStyle w:val="Bullet1"/>
        <w:spacing w:before="80"/>
        <w:ind w:left="454" w:hanging="454"/>
      </w:pPr>
      <w:r w:rsidRPr="00100F0A">
        <w:t>estimating a percentage margin on either side of a best estimate – for asbestos and contaminated soils, which vary unpredictably depending on particular projects and do not cumulatively increase or decrease like other waste groups.</w:t>
      </w:r>
    </w:p>
    <w:p w14:paraId="4D90F6EC" w14:textId="78E2B399" w:rsidR="00DA7ED9" w:rsidRPr="00100F0A" w:rsidRDefault="00DA7ED9" w:rsidP="00DA7ED9">
      <w:pPr>
        <w:pStyle w:val="BodyText"/>
      </w:pPr>
    </w:p>
    <w:p w14:paraId="2C10F29D" w14:textId="37426E15" w:rsidR="001B5193" w:rsidRPr="00100F0A" w:rsidRDefault="001B5193" w:rsidP="00DA7ED9">
      <w:pPr>
        <w:pStyle w:val="BodyText"/>
      </w:pPr>
      <w:r w:rsidRPr="00100F0A">
        <w:t>There is pronounced uncertainty in projecting the quantities of some very large, or potentially very large, streams of hazardous waste. These include soil contaminated with PFAS and other contaminants, asbestos, PFOS contaminated biosolids and non-toxic salts from the coal</w:t>
      </w:r>
      <w:r w:rsidR="006076CC">
        <w:t xml:space="preserve"> </w:t>
      </w:r>
      <w:r w:rsidRPr="00100F0A">
        <w:t>seam gas industry. Because of this uncertainty, the projections span a large range – the overall tonnages projected under the high estimate in 2036-37 are about 2.8 times those in the low estimate.</w:t>
      </w:r>
    </w:p>
    <w:p w14:paraId="6EA3D23F" w14:textId="0227CB51" w:rsidR="007859FB" w:rsidRPr="00100F0A" w:rsidRDefault="007859FB" w:rsidP="00DA7ED9">
      <w:pPr>
        <w:pStyle w:val="BodyText"/>
      </w:pPr>
    </w:p>
    <w:p w14:paraId="4D5DA229" w14:textId="77777777" w:rsidR="00DA7ED9" w:rsidRPr="00100F0A" w:rsidRDefault="00DA7ED9" w:rsidP="00DA7ED9">
      <w:pPr>
        <w:pStyle w:val="Heading3"/>
      </w:pPr>
      <w:r w:rsidRPr="00100F0A">
        <w:t>Best estimate</w:t>
      </w:r>
    </w:p>
    <w:p w14:paraId="1C22E45A" w14:textId="77777777" w:rsidR="00DA7ED9" w:rsidRPr="00100F0A" w:rsidRDefault="00DA7ED9" w:rsidP="00DA7ED9">
      <w:pPr>
        <w:pStyle w:val="BodyText"/>
      </w:pPr>
      <w:bookmarkStart w:id="117" w:name="_Ref409452018"/>
      <w:r w:rsidRPr="00100F0A">
        <w:t xml:space="preserve">The best estimate is the one considered most likely to occur. Each projection was based on different considerations but, in general, the best estimate is often linked to: projected growth rates of particular source industries; long-term projections of economic growth; apparent trends in the available data; or, in a few cases, population growth. Most waste groups are projected to grow (or occasionally shrink) at an exponential rate, adding (or losing) between 2.8% and -2% annually. </w:t>
      </w:r>
    </w:p>
    <w:p w14:paraId="019F01ED" w14:textId="7DEBDCB3" w:rsidR="00DA7ED9" w:rsidRPr="00100F0A" w:rsidRDefault="00DA7ED9" w:rsidP="00DA7ED9">
      <w:pPr>
        <w:pStyle w:val="BodyText"/>
      </w:pPr>
    </w:p>
    <w:p w14:paraId="02B50C0E" w14:textId="708FDE97" w:rsidR="00650921" w:rsidRPr="00100F0A" w:rsidRDefault="00650921" w:rsidP="00650921">
      <w:pPr>
        <w:pStyle w:val="BodyText"/>
      </w:pPr>
      <w:r w:rsidRPr="00100F0A">
        <w:t xml:space="preserve">The combined best estimate for all waste groups is illustrated in </w:t>
      </w:r>
      <w:r w:rsidRPr="00100F0A">
        <w:fldChar w:fldCharType="begin"/>
      </w:r>
      <w:r w:rsidRPr="00100F0A">
        <w:instrText xml:space="preserve"> REF _Ref408915621 \h  \* MERGEFORMAT </w:instrText>
      </w:r>
      <w:r w:rsidRPr="00100F0A">
        <w:fldChar w:fldCharType="separate"/>
      </w:r>
      <w:r w:rsidR="00EB634D" w:rsidRPr="00100F0A">
        <w:t xml:space="preserve">Figure </w:t>
      </w:r>
      <w:r w:rsidR="00EB634D">
        <w:t>2</w:t>
      </w:r>
      <w:r w:rsidRPr="00100F0A">
        <w:fldChar w:fldCharType="end"/>
      </w:r>
      <w:r w:rsidR="009271B4" w:rsidRPr="00100F0A">
        <w:t xml:space="preserve">, </w:t>
      </w:r>
      <w:r w:rsidR="003D5F8C" w:rsidRPr="00100F0A">
        <w:t xml:space="preserve">see page </w:t>
      </w:r>
      <w:r w:rsidR="0058237E" w:rsidRPr="00100F0A">
        <w:fldChar w:fldCharType="begin"/>
      </w:r>
      <w:r w:rsidR="0058237E" w:rsidRPr="00100F0A">
        <w:instrText xml:space="preserve"> PAGEREF _Ref531166582 \h </w:instrText>
      </w:r>
      <w:r w:rsidR="0058237E" w:rsidRPr="00100F0A">
        <w:fldChar w:fldCharType="separate"/>
      </w:r>
      <w:r w:rsidR="00EB634D">
        <w:rPr>
          <w:noProof/>
        </w:rPr>
        <w:t>16</w:t>
      </w:r>
      <w:r w:rsidR="0058237E" w:rsidRPr="00100F0A">
        <w:fldChar w:fldCharType="end"/>
      </w:r>
      <w:r w:rsidR="009271B4" w:rsidRPr="00100F0A">
        <w:t>.</w:t>
      </w:r>
      <w:r w:rsidRPr="00100F0A">
        <w:t xml:space="preserve"> The quantity of hazardous waste rises from 6.</w:t>
      </w:r>
      <w:r w:rsidR="00537F94">
        <w:t>1</w:t>
      </w:r>
      <w:r w:rsidRPr="00100F0A">
        <w:t xml:space="preserve"> Mt in 2016-17 to </w:t>
      </w:r>
      <w:r w:rsidR="00537F94">
        <w:t>8.9</w:t>
      </w:r>
      <w:r w:rsidRPr="00100F0A">
        <w:t xml:space="preserve"> Mt in 2036-37. This represents an average growth rate of </w:t>
      </w:r>
      <w:r w:rsidR="00537F94">
        <w:t>1.9</w:t>
      </w:r>
      <w:r w:rsidRPr="00100F0A">
        <w:t xml:space="preserve">% per year, larger than the projected average growth rate for population (1.4%), which is illustrated on the chart, but less than the long-term projected economic growth rate (2.8%). </w:t>
      </w:r>
    </w:p>
    <w:p w14:paraId="769C1634" w14:textId="77777777" w:rsidR="00650921" w:rsidRPr="00100F0A" w:rsidRDefault="00650921" w:rsidP="00650921">
      <w:pPr>
        <w:pStyle w:val="BodyText"/>
      </w:pPr>
    </w:p>
    <w:p w14:paraId="5D0CADAC" w14:textId="1E0E4684" w:rsidR="00650921" w:rsidRPr="00100F0A" w:rsidRDefault="00650921" w:rsidP="00EA15DE">
      <w:pPr>
        <w:pStyle w:val="BodyText"/>
      </w:pPr>
      <w:r w:rsidRPr="00100F0A">
        <w:t xml:space="preserve">The top six groups in terms of tonnes arising – </w:t>
      </w:r>
      <w:r w:rsidR="0017096B" w:rsidRPr="00100F0A">
        <w:t>in order, contaminated soil, asbestos, grease trap waste, PFAS contaminated soil, tyres and</w:t>
      </w:r>
      <w:r w:rsidRPr="00100F0A">
        <w:t xml:space="preserve"> oils – represent about 70% of the total at both the start and end of the projection period. </w:t>
      </w:r>
      <w:r w:rsidR="0042766E" w:rsidRPr="00100F0A">
        <w:t>In some cases, the best estimate provides for some clearing of waste stockpiles and storages.</w:t>
      </w:r>
    </w:p>
    <w:p w14:paraId="4A6F75BA" w14:textId="77777777" w:rsidR="00650921" w:rsidRPr="00100F0A" w:rsidRDefault="00650921" w:rsidP="00650921">
      <w:pPr>
        <w:pStyle w:val="BodyText"/>
      </w:pPr>
    </w:p>
    <w:p w14:paraId="592DC166" w14:textId="2A59DCB4" w:rsidR="00E433B8" w:rsidRDefault="00650921" w:rsidP="00650921">
      <w:pPr>
        <w:pStyle w:val="BodyText"/>
      </w:pPr>
      <w:r w:rsidRPr="00100F0A">
        <w:t>A few waste groups are projected to become much more significant at the end of the period than at the start. Waste lithium</w:t>
      </w:r>
      <w:r w:rsidR="006076CC">
        <w:t xml:space="preserve"> </w:t>
      </w:r>
      <w:r w:rsidRPr="00100F0A">
        <w:t>ion batteries are projected to grow at an average rate of 19% per year. Three other waste groups (POP-BDE and HBCD, PFOS contaminated biosolids and PFAS contaminated soil) are recorded at zero at the start of the period but reach tens or hundreds of thousands of tonnes at the end</w:t>
      </w:r>
      <w:r w:rsidR="004F42A3" w:rsidRPr="00100F0A">
        <w:t xml:space="preserve">, following the assumed </w:t>
      </w:r>
      <w:r w:rsidR="00241CF2" w:rsidRPr="00100F0A">
        <w:t xml:space="preserve">implementation of the </w:t>
      </w:r>
      <w:r w:rsidR="00241CF2" w:rsidRPr="00100F0A">
        <w:rPr>
          <w:i/>
        </w:rPr>
        <w:t>PFAS National Environmental Management Plan</w:t>
      </w:r>
      <w:r w:rsidR="00241CF2" w:rsidRPr="00100F0A">
        <w:t xml:space="preserve"> and the </w:t>
      </w:r>
      <w:r w:rsidR="004F42A3" w:rsidRPr="00100F0A">
        <w:t>ratification of additions to the Stockholm Convention</w:t>
      </w:r>
      <w:r w:rsidRPr="00100F0A">
        <w:t>.</w:t>
      </w:r>
    </w:p>
    <w:p w14:paraId="427CF348" w14:textId="77777777" w:rsidR="00537F94" w:rsidRDefault="00537F94" w:rsidP="00650921">
      <w:pPr>
        <w:pStyle w:val="BodyText"/>
      </w:pPr>
    </w:p>
    <w:p w14:paraId="31043D08" w14:textId="5970DC0B" w:rsidR="00650921" w:rsidRPr="00100F0A" w:rsidRDefault="00650921" w:rsidP="00650921">
      <w:pPr>
        <w:pStyle w:val="BodyText"/>
      </w:pPr>
      <w:r w:rsidRPr="00100F0A">
        <w:t>All other waste streams a</w:t>
      </w:r>
      <w:r w:rsidR="006076CC">
        <w:t>re</w:t>
      </w:r>
      <w:r w:rsidRPr="00100F0A">
        <w:t xml:space="preserve"> projected to grow at less than 3% per year on average. Five are projected to decline, three reducing by 1-2% per year on average (other inorganic chemicals, reactive chemicals, PCBs) and two disappearing entirely (HCB and AFFF concentrates).</w:t>
      </w:r>
    </w:p>
    <w:p w14:paraId="6185127C" w14:textId="353026EB" w:rsidR="008C5773" w:rsidRPr="00100F0A" w:rsidRDefault="008C5773" w:rsidP="008C5773">
      <w:pPr>
        <w:pStyle w:val="Heading3"/>
      </w:pPr>
      <w:r w:rsidRPr="00100F0A">
        <w:t xml:space="preserve">High </w:t>
      </w:r>
      <w:r w:rsidR="006116D5" w:rsidRPr="00100F0A">
        <w:t>estimate</w:t>
      </w:r>
    </w:p>
    <w:p w14:paraId="1273BDF4" w14:textId="5FD37348" w:rsidR="00F468CB" w:rsidRPr="00100F0A" w:rsidRDefault="008C5773" w:rsidP="008C5773">
      <w:r w:rsidRPr="00100F0A">
        <w:t xml:space="preserve">A highest credible estimate of waste arising was made for each waste group. </w:t>
      </w:r>
      <w:r w:rsidR="00903E58" w:rsidRPr="00100F0A">
        <w:t>The combined high estimate is illustrated in</w:t>
      </w:r>
      <w:r w:rsidR="008445DD" w:rsidRPr="00100F0A">
        <w:t xml:space="preserve"> </w:t>
      </w:r>
      <w:r w:rsidR="008445DD" w:rsidRPr="00100F0A">
        <w:fldChar w:fldCharType="begin"/>
      </w:r>
      <w:r w:rsidR="008445DD" w:rsidRPr="00100F0A">
        <w:instrText xml:space="preserve"> REF _Ref531169843 \h </w:instrText>
      </w:r>
      <w:r w:rsidR="008445DD" w:rsidRPr="00100F0A">
        <w:fldChar w:fldCharType="separate"/>
      </w:r>
      <w:r w:rsidR="00EB634D" w:rsidRPr="00100F0A">
        <w:t xml:space="preserve">Figure </w:t>
      </w:r>
      <w:r w:rsidR="00EB634D">
        <w:rPr>
          <w:noProof/>
        </w:rPr>
        <w:t>3</w:t>
      </w:r>
      <w:r w:rsidR="008445DD" w:rsidRPr="00100F0A">
        <w:fldChar w:fldCharType="end"/>
      </w:r>
      <w:r w:rsidR="00042612" w:rsidRPr="00100F0A">
        <w:t xml:space="preserve">, see page </w:t>
      </w:r>
      <w:r w:rsidR="008445DD" w:rsidRPr="00100F0A">
        <w:fldChar w:fldCharType="begin"/>
      </w:r>
      <w:r w:rsidR="008445DD" w:rsidRPr="00100F0A">
        <w:instrText xml:space="preserve"> PAGEREF _Ref531169867 \h </w:instrText>
      </w:r>
      <w:r w:rsidR="008445DD" w:rsidRPr="00100F0A">
        <w:fldChar w:fldCharType="separate"/>
      </w:r>
      <w:r w:rsidR="00EB634D">
        <w:rPr>
          <w:noProof/>
        </w:rPr>
        <w:t>17</w:t>
      </w:r>
      <w:r w:rsidR="008445DD" w:rsidRPr="00100F0A">
        <w:fldChar w:fldCharType="end"/>
      </w:r>
      <w:r w:rsidR="00903E58" w:rsidRPr="00100F0A">
        <w:t>.</w:t>
      </w:r>
      <w:r w:rsidR="0012170A" w:rsidRPr="00100F0A">
        <w:t xml:space="preserve"> </w:t>
      </w:r>
    </w:p>
    <w:p w14:paraId="402C6CEB" w14:textId="77777777" w:rsidR="00F468CB" w:rsidRPr="00100F0A" w:rsidRDefault="00F468CB" w:rsidP="008C5773"/>
    <w:p w14:paraId="1808B3C0" w14:textId="057EC743" w:rsidR="00F468CB" w:rsidRPr="00100F0A" w:rsidRDefault="00925B20" w:rsidP="008C5773">
      <w:r w:rsidRPr="00100F0A">
        <w:t>The high scenario is consistent with high economic and population growth</w:t>
      </w:r>
      <w:r w:rsidR="00EB2D1A" w:rsidRPr="00100F0A">
        <w:t xml:space="preserve"> and high rates of waste entering the waste management stream from storage</w:t>
      </w:r>
      <w:r w:rsidRPr="00100F0A">
        <w:t>.</w:t>
      </w:r>
      <w:r w:rsidR="00F468CB" w:rsidRPr="00100F0A">
        <w:t xml:space="preserve"> </w:t>
      </w:r>
      <w:r w:rsidR="008C5773" w:rsidRPr="00100F0A">
        <w:t xml:space="preserve">In </w:t>
      </w:r>
      <w:r w:rsidR="00587664" w:rsidRPr="00100F0A">
        <w:t>many</w:t>
      </w:r>
      <w:r w:rsidR="008C5773" w:rsidRPr="00100F0A">
        <w:t xml:space="preserve"> cases</w:t>
      </w:r>
      <w:r w:rsidR="00F468CB" w:rsidRPr="00100F0A">
        <w:t xml:space="preserve"> growth rates are </w:t>
      </w:r>
      <w:r w:rsidR="008C5773" w:rsidRPr="00100F0A">
        <w:t xml:space="preserve">assumed </w:t>
      </w:r>
      <w:r w:rsidR="00F468CB" w:rsidRPr="00100F0A">
        <w:t xml:space="preserve">to </w:t>
      </w:r>
      <w:r w:rsidR="008C5773" w:rsidRPr="00100F0A">
        <w:t xml:space="preserve">equal </w:t>
      </w:r>
      <w:r w:rsidR="00587664" w:rsidRPr="00100F0A">
        <w:t>projected economic growth</w:t>
      </w:r>
      <w:r w:rsidR="0042766E" w:rsidRPr="00100F0A">
        <w:t xml:space="preserve">; </w:t>
      </w:r>
      <w:r w:rsidR="00587664" w:rsidRPr="00100F0A">
        <w:t>in others specific estimates were made based on industry growth rates</w:t>
      </w:r>
      <w:r w:rsidR="0042766E" w:rsidRPr="00100F0A">
        <w:t xml:space="preserve"> or other factors.</w:t>
      </w:r>
      <w:r w:rsidR="004F42A3" w:rsidRPr="00100F0A">
        <w:t xml:space="preserve"> </w:t>
      </w:r>
      <w:r w:rsidR="00F468CB" w:rsidRPr="00100F0A">
        <w:t>The major waste streams c</w:t>
      </w:r>
      <w:r w:rsidR="004F42A3" w:rsidRPr="00100F0A">
        <w:t>ontaminated soils and asbestos</w:t>
      </w:r>
      <w:r w:rsidR="00F468CB" w:rsidRPr="00100F0A">
        <w:t xml:space="preserve"> are projected</w:t>
      </w:r>
      <w:r w:rsidR="004F42A3" w:rsidRPr="00100F0A">
        <w:t xml:space="preserve"> </w:t>
      </w:r>
      <w:r w:rsidR="00F468CB" w:rsidRPr="00100F0A">
        <w:t>at the high end of a wide range, generating about 4.</w:t>
      </w:r>
      <w:r w:rsidR="00785D0E" w:rsidRPr="00100F0A">
        <w:t>7</w:t>
      </w:r>
      <w:r w:rsidR="00F468CB" w:rsidRPr="00100F0A">
        <w:t xml:space="preserve"> Mt/</w:t>
      </w:r>
      <w:r w:rsidR="00387CBE" w:rsidRPr="00100F0A">
        <w:t>yr</w:t>
      </w:r>
      <w:r w:rsidR="00714441" w:rsidRPr="00100F0A">
        <w:t xml:space="preserve"> </w:t>
      </w:r>
      <w:r w:rsidR="009E4837" w:rsidRPr="00100F0A">
        <w:t>in 2036-37</w:t>
      </w:r>
      <w:r w:rsidR="00F468CB" w:rsidRPr="00100F0A">
        <w:t xml:space="preserve"> rather than </w:t>
      </w:r>
      <w:r w:rsidR="009E4837" w:rsidRPr="00100F0A">
        <w:t>3</w:t>
      </w:r>
      <w:r w:rsidR="0017096B" w:rsidRPr="00100F0A">
        <w:t>.</w:t>
      </w:r>
      <w:r w:rsidR="009E4837" w:rsidRPr="00100F0A">
        <w:t>4</w:t>
      </w:r>
      <w:r w:rsidR="0017096B" w:rsidRPr="00100F0A">
        <w:t xml:space="preserve"> Mt/</w:t>
      </w:r>
      <w:r w:rsidR="00387CBE" w:rsidRPr="00100F0A">
        <w:t>yr</w:t>
      </w:r>
      <w:r w:rsidR="0017096B" w:rsidRPr="00100F0A">
        <w:t xml:space="preserve"> under the best estimate</w:t>
      </w:r>
      <w:r w:rsidR="00F468CB" w:rsidRPr="00100F0A">
        <w:t>.</w:t>
      </w:r>
      <w:r w:rsidR="0042766E" w:rsidRPr="00100F0A">
        <w:t xml:space="preserve"> </w:t>
      </w:r>
      <w:r w:rsidR="00350867" w:rsidRPr="00100F0A">
        <w:t>Lithium</w:t>
      </w:r>
      <w:r w:rsidR="006076CC">
        <w:t xml:space="preserve"> </w:t>
      </w:r>
      <w:r w:rsidR="00350867" w:rsidRPr="00100F0A">
        <w:t>ion batteries are projected to become a major technology, producing a waste stream that grows from a current total of about 4,000 tonnes to 197,000 tonnes, an average growth rate of 22% per year.</w:t>
      </w:r>
    </w:p>
    <w:p w14:paraId="76F2D6D4" w14:textId="77777777" w:rsidR="009917B8" w:rsidRDefault="009917B8" w:rsidP="009917B8"/>
    <w:p w14:paraId="5DFD87C5" w14:textId="1B7743D8" w:rsidR="009917B8" w:rsidRPr="00100F0A" w:rsidRDefault="009917B8" w:rsidP="009917B8">
      <w:r>
        <w:t xml:space="preserve">Significantly, the high scenario </w:t>
      </w:r>
      <w:r w:rsidRPr="003C162F">
        <w:t>assumed that in fi</w:t>
      </w:r>
      <w:r w:rsidRPr="00537F94">
        <w:t xml:space="preserve">ve years, </w:t>
      </w:r>
      <w:r w:rsidRPr="003C162F">
        <w:t>non-toxic salts from coal</w:t>
      </w:r>
      <w:r w:rsidRPr="00537F94">
        <w:t xml:space="preserve"> seam gas operations are no longer allowed to be treated and disposed on-site but are taken to long-term isolation facilit</w:t>
      </w:r>
      <w:r>
        <w:t>ies offsite. Th</w:t>
      </w:r>
      <w:r w:rsidR="00F56453">
        <w:t>e</w:t>
      </w:r>
      <w:r>
        <w:t>s</w:t>
      </w:r>
      <w:r w:rsidR="00F56453">
        <w:t>e</w:t>
      </w:r>
      <w:r>
        <w:t xml:space="preserve"> very large new arisings </w:t>
      </w:r>
      <w:r w:rsidR="00F56453">
        <w:t>are estimated at</w:t>
      </w:r>
      <w:r>
        <w:t xml:space="preserve"> 2.5 Mt in 2023 </w:t>
      </w:r>
      <w:r w:rsidR="00F56453">
        <w:t>and</w:t>
      </w:r>
      <w:r>
        <w:t xml:space="preserve"> </w:t>
      </w:r>
      <w:r w:rsidRPr="003C162F">
        <w:t>3.3 Mt/</w:t>
      </w:r>
      <w:r w:rsidRPr="00537F94">
        <w:t>yr by 2036-37.</w:t>
      </w:r>
      <w:r>
        <w:t xml:space="preserve"> See Section </w:t>
      </w:r>
      <w:r>
        <w:fldChar w:fldCharType="begin"/>
      </w:r>
      <w:r>
        <w:instrText xml:space="preserve"> REF _Ref419908003 \r \h </w:instrText>
      </w:r>
      <w:r>
        <w:fldChar w:fldCharType="separate"/>
      </w:r>
      <w:r w:rsidR="00EB634D">
        <w:t>4.3</w:t>
      </w:r>
      <w:r>
        <w:fldChar w:fldCharType="end"/>
      </w:r>
      <w:r>
        <w:t xml:space="preserve"> for this discussion of these arisings versus infrastructure capacity.</w:t>
      </w:r>
      <w:r w:rsidRPr="00100F0A">
        <w:t xml:space="preserve"> </w:t>
      </w:r>
    </w:p>
    <w:p w14:paraId="7D6AB0F3" w14:textId="77777777" w:rsidR="00F468CB" w:rsidRPr="00100F0A" w:rsidRDefault="00F468CB" w:rsidP="008C5773"/>
    <w:p w14:paraId="7F94B0EC" w14:textId="60E8D378" w:rsidR="0042766E" w:rsidRPr="00100F0A" w:rsidRDefault="009917B8" w:rsidP="008C5773">
      <w:r>
        <w:t>T</w:t>
      </w:r>
      <w:r w:rsidR="0042766E" w:rsidRPr="00100F0A">
        <w:t xml:space="preserve">he high scenario </w:t>
      </w:r>
      <w:r>
        <w:t xml:space="preserve">also </w:t>
      </w:r>
      <w:r w:rsidR="0042766E" w:rsidRPr="00100F0A">
        <w:t>assumes large-scale clearing of existing waste stockpiles and storages during the projection period</w:t>
      </w:r>
      <w:r w:rsidR="00F468CB" w:rsidRPr="00100F0A">
        <w:t>, including</w:t>
      </w:r>
      <w:r w:rsidR="0042766E" w:rsidRPr="00100F0A">
        <w:t>:</w:t>
      </w:r>
    </w:p>
    <w:p w14:paraId="0A4817C1" w14:textId="02227710" w:rsidR="0042766E" w:rsidRPr="00100F0A" w:rsidRDefault="0042766E" w:rsidP="0042766E">
      <w:pPr>
        <w:pStyle w:val="Bullet1"/>
      </w:pPr>
      <w:r w:rsidRPr="00100F0A">
        <w:t>inorganic fluorine (</w:t>
      </w:r>
      <w:r w:rsidR="008637BA">
        <w:t>SPL</w:t>
      </w:r>
      <w:r w:rsidR="00903E58" w:rsidRPr="00100F0A">
        <w:t xml:space="preserve"> in NSW, Qld, Tas and Vic</w:t>
      </w:r>
      <w:r w:rsidRPr="00100F0A">
        <w:t>)</w:t>
      </w:r>
    </w:p>
    <w:p w14:paraId="1B2967C3" w14:textId="2FF246BF" w:rsidR="0042766E" w:rsidRPr="00100F0A" w:rsidRDefault="0042766E" w:rsidP="0042766E">
      <w:pPr>
        <w:pStyle w:val="Bullet1"/>
      </w:pPr>
      <w:r w:rsidRPr="00100F0A">
        <w:t>mercury and compounds</w:t>
      </w:r>
      <w:r w:rsidR="00903E58" w:rsidRPr="00100F0A">
        <w:t xml:space="preserve"> (NT, Qld, SA, Vic and WA)</w:t>
      </w:r>
    </w:p>
    <w:p w14:paraId="38DD457F" w14:textId="172293FA" w:rsidR="0042766E" w:rsidRPr="00100F0A" w:rsidRDefault="0042766E" w:rsidP="0042766E">
      <w:pPr>
        <w:pStyle w:val="Bullet1"/>
      </w:pPr>
      <w:r w:rsidRPr="00100F0A">
        <w:t>other inorganic chemicals (arsenic speiss waste in SA)</w:t>
      </w:r>
    </w:p>
    <w:p w14:paraId="253554D7" w14:textId="7C90CD13" w:rsidR="00587664" w:rsidRPr="00100F0A" w:rsidRDefault="0042766E" w:rsidP="0042766E">
      <w:pPr>
        <w:pStyle w:val="Bullet1"/>
      </w:pPr>
      <w:r w:rsidRPr="00100F0A">
        <w:t>pesticides (dieldrin-impregnated timber</w:t>
      </w:r>
      <w:r w:rsidR="00903E58" w:rsidRPr="00100F0A">
        <w:t xml:space="preserve"> in WA</w:t>
      </w:r>
      <w:r w:rsidRPr="00100F0A">
        <w:t>)</w:t>
      </w:r>
    </w:p>
    <w:p w14:paraId="5A183AE0" w14:textId="400681C5" w:rsidR="00903E58" w:rsidRPr="00100F0A" w:rsidRDefault="00FB5AD1" w:rsidP="0042766E">
      <w:pPr>
        <w:pStyle w:val="Bullet1"/>
      </w:pPr>
      <w:r w:rsidRPr="00100F0A">
        <w:t xml:space="preserve">other </w:t>
      </w:r>
      <w:r w:rsidR="00903E58" w:rsidRPr="00100F0A">
        <w:t>contaminated biosolids (Vic)</w:t>
      </w:r>
    </w:p>
    <w:p w14:paraId="178D4797" w14:textId="3AD3C2B0" w:rsidR="00903E58" w:rsidRPr="00100F0A" w:rsidRDefault="00903E58" w:rsidP="0042766E">
      <w:pPr>
        <w:pStyle w:val="Bullet1"/>
      </w:pPr>
      <w:r w:rsidRPr="00100F0A">
        <w:t>tyres (all jurisdictions).</w:t>
      </w:r>
    </w:p>
    <w:p w14:paraId="677E75B2" w14:textId="77777777" w:rsidR="00587664" w:rsidRPr="00100F0A" w:rsidRDefault="00587664" w:rsidP="008C5773"/>
    <w:p w14:paraId="33DCA6C4" w14:textId="5F057BD5" w:rsidR="00350867" w:rsidRPr="00100F0A" w:rsidRDefault="0012170A" w:rsidP="008C5773">
      <w:pPr>
        <w:pStyle w:val="BodyText"/>
      </w:pPr>
      <w:r w:rsidRPr="00100F0A">
        <w:t>Overall, in the high scenario hazardous waste quantities are projected to grow by an average of 4.6% per year</w:t>
      </w:r>
      <w:r w:rsidR="008B2ED0" w:rsidRPr="00100F0A">
        <w:t>, reaching 15.</w:t>
      </w:r>
      <w:r w:rsidR="009917B8">
        <w:t>4</w:t>
      </w:r>
      <w:r w:rsidR="008B2ED0" w:rsidRPr="00100F0A">
        <w:t xml:space="preserve"> Mt by 2036-37</w:t>
      </w:r>
      <w:r w:rsidRPr="00100F0A">
        <w:t>.</w:t>
      </w:r>
      <w:r w:rsidR="004F42A3" w:rsidRPr="00100F0A">
        <w:t xml:space="preserve"> However, the </w:t>
      </w:r>
      <w:r w:rsidR="00F468CB" w:rsidRPr="00100F0A">
        <w:t>growth</w:t>
      </w:r>
      <w:r w:rsidR="004F42A3" w:rsidRPr="00100F0A">
        <w:t xml:space="preserve"> is uneven due</w:t>
      </w:r>
      <w:r w:rsidR="00714441" w:rsidRPr="00100F0A">
        <w:t xml:space="preserve"> to</w:t>
      </w:r>
      <w:r w:rsidR="00350867" w:rsidRPr="00100F0A">
        <w:t>:</w:t>
      </w:r>
    </w:p>
    <w:p w14:paraId="35F82A8F" w14:textId="4E08AD76" w:rsidR="00350867" w:rsidRPr="00100F0A" w:rsidRDefault="00350867" w:rsidP="00350867">
      <w:pPr>
        <w:pStyle w:val="Bullet1"/>
      </w:pPr>
      <w:r w:rsidRPr="00100F0A">
        <w:t>an initial jump in quantities as contaminated soils and asbestos step from 2016-17 levels to the highest end of their range</w:t>
      </w:r>
    </w:p>
    <w:p w14:paraId="5587701E" w14:textId="04DD3317" w:rsidR="00350867" w:rsidRDefault="004F42A3" w:rsidP="008C5773">
      <w:pPr>
        <w:pStyle w:val="Bullet1"/>
      </w:pPr>
      <w:r w:rsidRPr="00100F0A">
        <w:t>releases from storage (as listed above)</w:t>
      </w:r>
    </w:p>
    <w:p w14:paraId="34FDA3FE" w14:textId="68AA1BB7" w:rsidR="009917B8" w:rsidRPr="00100F0A" w:rsidRDefault="009917B8" w:rsidP="008C5773">
      <w:pPr>
        <w:pStyle w:val="Bullet1"/>
      </w:pPr>
      <w:r>
        <w:t xml:space="preserve">the assumption that </w:t>
      </w:r>
      <w:r w:rsidR="00AB09EC">
        <w:t xml:space="preserve">in 2023 </w:t>
      </w:r>
      <w:r>
        <w:t>non-toxic salts from the CSG industry are no longer stored onsite</w:t>
      </w:r>
    </w:p>
    <w:p w14:paraId="5F5BA30C" w14:textId="3B34E2BB" w:rsidR="008C5773" w:rsidRPr="00100F0A" w:rsidRDefault="004F42A3" w:rsidP="008C5773">
      <w:pPr>
        <w:pStyle w:val="Bullet1"/>
      </w:pPr>
      <w:r w:rsidRPr="00100F0A">
        <w:t>projected large-scale growth in</w:t>
      </w:r>
      <w:r w:rsidR="00F468CB" w:rsidRPr="00100F0A">
        <w:t xml:space="preserve"> the new Stockholm Convention wastes,</w:t>
      </w:r>
      <w:r w:rsidRPr="00100F0A">
        <w:t xml:space="preserve"> PFAS contaminated soil and PFOS contaminated biosolids</w:t>
      </w:r>
      <w:r w:rsidR="00F468CB" w:rsidRPr="00100F0A">
        <w:t>, from 2020</w:t>
      </w:r>
      <w:r w:rsidR="00350867" w:rsidRPr="00100F0A">
        <w:t xml:space="preserve"> (u</w:t>
      </w:r>
      <w:r w:rsidR="00F468CB" w:rsidRPr="00100F0A">
        <w:t>nder th</w:t>
      </w:r>
      <w:r w:rsidR="00350867" w:rsidRPr="00100F0A">
        <w:t>is</w:t>
      </w:r>
      <w:r w:rsidR="00F468CB" w:rsidRPr="00100F0A">
        <w:t xml:space="preserve"> scenario, the new Stockholm wastes reach 1.5 Mt/</w:t>
      </w:r>
      <w:r w:rsidR="00387CBE" w:rsidRPr="00100F0A">
        <w:t>yr</w:t>
      </w:r>
      <w:r w:rsidR="00F468CB" w:rsidRPr="00100F0A">
        <w:t xml:space="preserve"> by 2037</w:t>
      </w:r>
      <w:r w:rsidR="00350867" w:rsidRPr="00100F0A">
        <w:t>)</w:t>
      </w:r>
      <w:r w:rsidR="00F468CB" w:rsidRPr="00100F0A">
        <w:t>.</w:t>
      </w:r>
    </w:p>
    <w:p w14:paraId="00B25D40" w14:textId="77777777" w:rsidR="004D66D8" w:rsidRPr="00100F0A" w:rsidRDefault="004D66D8" w:rsidP="008C5773"/>
    <w:p w14:paraId="4BA2DE64" w14:textId="567920F9" w:rsidR="00EF3F04" w:rsidRPr="00100F0A" w:rsidRDefault="00350867" w:rsidP="00EA15DE">
      <w:pPr>
        <w:pStyle w:val="BodyText"/>
      </w:pPr>
      <w:r w:rsidRPr="00100F0A">
        <w:t>T</w:t>
      </w:r>
      <w:r w:rsidR="00EF3F04" w:rsidRPr="00100F0A">
        <w:t xml:space="preserve">he top six groups in terms of tonnes arising are different from the best estimate. They are, in order, contaminated soil, non-toxic salts, asbestos, PFAS contaminated soil, grease trap waste and tyres. </w:t>
      </w:r>
    </w:p>
    <w:p w14:paraId="7D58A54D" w14:textId="4CCA7F12" w:rsidR="00EF3F04" w:rsidRPr="00100F0A" w:rsidRDefault="00EF3F04" w:rsidP="008C5773"/>
    <w:p w14:paraId="3283145E" w14:textId="2682AE6D" w:rsidR="008C5773" w:rsidRPr="00100F0A" w:rsidRDefault="00EF3F04" w:rsidP="008C5773">
      <w:r w:rsidRPr="00100F0A">
        <w:t>No waste groups are projected to decline under the high scenario.</w:t>
      </w:r>
    </w:p>
    <w:p w14:paraId="00F89442" w14:textId="682FCC4D" w:rsidR="008B2ED0" w:rsidRPr="00100F0A" w:rsidRDefault="008B2ED0" w:rsidP="008B2ED0">
      <w:pPr>
        <w:pStyle w:val="Heading3"/>
      </w:pPr>
      <w:r w:rsidRPr="00100F0A">
        <w:t xml:space="preserve">Low </w:t>
      </w:r>
      <w:r w:rsidR="006116D5" w:rsidRPr="00100F0A">
        <w:t>estimate</w:t>
      </w:r>
    </w:p>
    <w:p w14:paraId="705EEB94" w14:textId="7A023495" w:rsidR="00840CEE" w:rsidRPr="00100F0A" w:rsidRDefault="008B2ED0" w:rsidP="00840CEE">
      <w:r w:rsidRPr="00100F0A">
        <w:rPr>
          <w:color w:val="080808"/>
        </w:rPr>
        <w:t xml:space="preserve">A lowest credible estimate of waste arising was made for each group. </w:t>
      </w:r>
      <w:r w:rsidR="00840CEE" w:rsidRPr="00100F0A">
        <w:rPr>
          <w:color w:val="080808"/>
        </w:rPr>
        <w:t xml:space="preserve">The combined low estimate is </w:t>
      </w:r>
      <w:r w:rsidR="00840CEE" w:rsidRPr="00100F0A">
        <w:t>illustrated in</w:t>
      </w:r>
      <w:r w:rsidR="00A9600E" w:rsidRPr="00100F0A">
        <w:t xml:space="preserve"> </w:t>
      </w:r>
      <w:r w:rsidR="00A9600E" w:rsidRPr="00100F0A">
        <w:fldChar w:fldCharType="begin"/>
      </w:r>
      <w:r w:rsidR="00A9600E" w:rsidRPr="00100F0A">
        <w:instrText xml:space="preserve"> REF _Ref531169888 \h </w:instrText>
      </w:r>
      <w:r w:rsidR="00A9600E" w:rsidRPr="00100F0A">
        <w:fldChar w:fldCharType="separate"/>
      </w:r>
      <w:r w:rsidR="00EB634D" w:rsidRPr="00100F0A">
        <w:t xml:space="preserve">Figure </w:t>
      </w:r>
      <w:r w:rsidR="00EB634D">
        <w:rPr>
          <w:noProof/>
        </w:rPr>
        <w:t>4</w:t>
      </w:r>
      <w:r w:rsidR="00A9600E" w:rsidRPr="00100F0A">
        <w:fldChar w:fldCharType="end"/>
      </w:r>
      <w:r w:rsidR="00A9600E" w:rsidRPr="00100F0A">
        <w:t xml:space="preserve">, see page </w:t>
      </w:r>
      <w:r w:rsidR="00A9600E" w:rsidRPr="00100F0A">
        <w:fldChar w:fldCharType="begin"/>
      </w:r>
      <w:r w:rsidR="00A9600E" w:rsidRPr="00100F0A">
        <w:instrText xml:space="preserve"> PAGEREF _Ref531169898 \h </w:instrText>
      </w:r>
      <w:r w:rsidR="00A9600E" w:rsidRPr="00100F0A">
        <w:fldChar w:fldCharType="separate"/>
      </w:r>
      <w:r w:rsidR="00EB634D">
        <w:rPr>
          <w:noProof/>
        </w:rPr>
        <w:t>18</w:t>
      </w:r>
      <w:r w:rsidR="00A9600E" w:rsidRPr="00100F0A">
        <w:fldChar w:fldCharType="end"/>
      </w:r>
      <w:r w:rsidR="00840CEE" w:rsidRPr="00100F0A">
        <w:t xml:space="preserve">. </w:t>
      </w:r>
    </w:p>
    <w:p w14:paraId="52CC767E" w14:textId="77777777" w:rsidR="00840CEE" w:rsidRPr="00100F0A" w:rsidRDefault="00840CEE" w:rsidP="008B2ED0"/>
    <w:p w14:paraId="2CFA0E88" w14:textId="1C9F49F8" w:rsidR="00840CEE" w:rsidRPr="00100F0A" w:rsidRDefault="00EB2D1A" w:rsidP="008B2ED0">
      <w:r w:rsidRPr="00100F0A">
        <w:t>The low scenario is consistent with low economic and population growth, decline in the manufacturing sector and low rates of waste entering the waste management stream from storage. In many cases growth rates are assumed to equal projected population growth (less than economic growth); in others</w:t>
      </w:r>
      <w:r w:rsidR="006076CC">
        <w:t>,</w:t>
      </w:r>
      <w:r w:rsidRPr="00100F0A">
        <w:t xml:space="preserve"> specific estimates were made based on industry growth rates or other factors.</w:t>
      </w:r>
      <w:r w:rsidR="00454DF8" w:rsidRPr="00100F0A">
        <w:t xml:space="preserve"> </w:t>
      </w:r>
      <w:r w:rsidR="00661B54" w:rsidRPr="00100F0A">
        <w:t xml:space="preserve">The instances where wastes are assumed to be taken out of stockpiles and storages into the waste management system are fewer, and in smaller quantities, than in the other scenarios. </w:t>
      </w:r>
    </w:p>
    <w:p w14:paraId="02D54667" w14:textId="77777777" w:rsidR="00D37807" w:rsidRPr="00100F0A" w:rsidRDefault="00D37807" w:rsidP="008B2ED0"/>
    <w:p w14:paraId="5BE73876" w14:textId="5E545D2A" w:rsidR="00661B54" w:rsidRPr="00100F0A" w:rsidRDefault="00661B54" w:rsidP="003C162F">
      <w:r w:rsidRPr="00100F0A">
        <w:t xml:space="preserve">Overall, hazardous waste tonnages under the low scenario are projected to decline by an average of 0.5% per year, falling to 5.53 Mt in 2036-37. </w:t>
      </w:r>
      <w:r w:rsidR="00781925" w:rsidRPr="00100F0A">
        <w:t>The top six waste groups</w:t>
      </w:r>
      <w:r w:rsidR="004768BA" w:rsidRPr="00100F0A">
        <w:t xml:space="preserve"> amount for over 70% of the total. They are</w:t>
      </w:r>
      <w:r w:rsidR="00781925" w:rsidRPr="00100F0A">
        <w:t>, in order, asbestos, contaminated soil, grease trap, tyres, oils and oil/water mixtures</w:t>
      </w:r>
      <w:r w:rsidR="004768BA" w:rsidRPr="00100F0A">
        <w:t>.</w:t>
      </w:r>
    </w:p>
    <w:p w14:paraId="18ADC2BC" w14:textId="6586EDCC" w:rsidR="00D37807" w:rsidRPr="00100F0A" w:rsidRDefault="00D37807" w:rsidP="00867F2D"/>
    <w:p w14:paraId="5D1467DC" w14:textId="0098EB5E" w:rsidR="00D37807" w:rsidRPr="00100F0A" w:rsidRDefault="00D37807" w:rsidP="00D37807">
      <w:r w:rsidRPr="00100F0A">
        <w:t xml:space="preserve">The major waste streams </w:t>
      </w:r>
      <w:r w:rsidR="00444D96">
        <w:t>(</w:t>
      </w:r>
      <w:r w:rsidRPr="00100F0A">
        <w:t>contaminated soil and asbestos</w:t>
      </w:r>
      <w:r w:rsidR="00444D96">
        <w:t>)</w:t>
      </w:r>
      <w:r w:rsidRPr="00100F0A">
        <w:t xml:space="preserve"> are projected at the low end of a wide range, generating about 2.1 Mt/</w:t>
      </w:r>
      <w:r w:rsidR="00387CBE" w:rsidRPr="00100F0A">
        <w:t>yr</w:t>
      </w:r>
      <w:r w:rsidRPr="00100F0A">
        <w:t xml:space="preserve"> in 2036-37 rather than 3.4 Mt/</w:t>
      </w:r>
      <w:r w:rsidR="00387CBE" w:rsidRPr="00100F0A">
        <w:t>yr</w:t>
      </w:r>
      <w:r w:rsidRPr="00100F0A">
        <w:t xml:space="preserve"> under the best estimate. The quantities of PFAS</w:t>
      </w:r>
      <w:r w:rsidR="00444D96">
        <w:t>-</w:t>
      </w:r>
      <w:r w:rsidRPr="00100F0A">
        <w:t>contaminated soil and PFOS</w:t>
      </w:r>
      <w:r w:rsidR="00444D96">
        <w:t>-</w:t>
      </w:r>
      <w:r w:rsidRPr="00100F0A">
        <w:t xml:space="preserve">contaminated biosolids are much lower than in the best case. In the case of soil, this represents high levels of uncertainty; in the case of biosolids it represents lower assumed levels of contamination and higher definitional thresholds. </w:t>
      </w:r>
    </w:p>
    <w:p w14:paraId="55B5F605" w14:textId="55C942E5" w:rsidR="008B2ED0" w:rsidRPr="00100F0A" w:rsidRDefault="008B2ED0" w:rsidP="008B2ED0">
      <w:pPr>
        <w:rPr>
          <w:color w:val="080808"/>
        </w:rPr>
      </w:pPr>
    </w:p>
    <w:p w14:paraId="064A0A98" w14:textId="613BB33C" w:rsidR="008C5773" w:rsidRPr="00100F0A" w:rsidRDefault="008B2ED0" w:rsidP="006872A9">
      <w:r w:rsidRPr="00100F0A">
        <w:rPr>
          <w:color w:val="080808"/>
        </w:rPr>
        <w:t>Strong growth is still projected for lithium</w:t>
      </w:r>
      <w:r w:rsidR="00444D96">
        <w:rPr>
          <w:color w:val="080808"/>
        </w:rPr>
        <w:t xml:space="preserve"> </w:t>
      </w:r>
      <w:r w:rsidRPr="00100F0A">
        <w:rPr>
          <w:color w:val="080808"/>
        </w:rPr>
        <w:t xml:space="preserve">ion batteries (average growth of </w:t>
      </w:r>
      <w:r w:rsidR="00C7508C" w:rsidRPr="00100F0A">
        <w:rPr>
          <w:color w:val="080808"/>
        </w:rPr>
        <w:t>17</w:t>
      </w:r>
      <w:r w:rsidRPr="00100F0A">
        <w:rPr>
          <w:color w:val="080808"/>
        </w:rPr>
        <w:t>% per year)</w:t>
      </w:r>
      <w:r w:rsidR="00C7508C" w:rsidRPr="00100F0A">
        <w:rPr>
          <w:color w:val="080808"/>
        </w:rPr>
        <w:t xml:space="preserve"> and six other waste groups are projected to grow. Sixteen are projected to decline, including acids, alkalis, inorganic fluorine, lead, non-toxic salts, other inorganic chemicals, reactive chemicals, paints etc., organic solvents, waste oil/water mixtures, HCB, contaminated soil, other contaminated biosolids, other industrial treatment residues and other soil/sludges.</w:t>
      </w:r>
    </w:p>
    <w:p w14:paraId="00F576EA" w14:textId="1CDE5EC0" w:rsidR="00931BAA" w:rsidRPr="00100F0A" w:rsidRDefault="00931BAA" w:rsidP="00DA7ED9">
      <w:pPr>
        <w:sectPr w:rsidR="00931BAA" w:rsidRPr="00100F0A" w:rsidSect="004431BA">
          <w:headerReference w:type="even" r:id="rId32"/>
          <w:footerReference w:type="even" r:id="rId33"/>
          <w:headerReference w:type="first" r:id="rId34"/>
          <w:footerReference w:type="first" r:id="rId35"/>
          <w:pgSz w:w="11907" w:h="16840" w:code="9"/>
          <w:pgMar w:top="1440" w:right="1077" w:bottom="1440" w:left="1797" w:header="709" w:footer="709" w:gutter="0"/>
          <w:pgNumType w:start="1"/>
          <w:cols w:space="708"/>
          <w:docGrid w:linePitch="360"/>
        </w:sectPr>
      </w:pPr>
    </w:p>
    <w:p w14:paraId="49C4EED3" w14:textId="0CA4B513" w:rsidR="00931BAA" w:rsidRPr="00100F0A" w:rsidRDefault="00931BAA" w:rsidP="00931BAA">
      <w:pPr>
        <w:pStyle w:val="Caption"/>
      </w:pPr>
      <w:bookmarkStart w:id="118" w:name="_Ref408915621"/>
      <w:bookmarkStart w:id="119" w:name="_Toc425849220"/>
      <w:bookmarkStart w:id="120" w:name="_Toc519528010"/>
      <w:bookmarkStart w:id="121" w:name="_Ref531166582"/>
      <w:bookmarkStart w:id="122" w:name="_Toc13225575"/>
      <w:r w:rsidRPr="00100F0A">
        <w:t xml:space="preserve">Figure </w:t>
      </w:r>
      <w:r w:rsidR="00273744" w:rsidRPr="00100F0A">
        <w:rPr>
          <w:noProof/>
        </w:rPr>
        <w:fldChar w:fldCharType="begin"/>
      </w:r>
      <w:r w:rsidR="00273744" w:rsidRPr="00100F0A">
        <w:rPr>
          <w:noProof/>
        </w:rPr>
        <w:instrText xml:space="preserve"> SEQ Figure \* ARABIC </w:instrText>
      </w:r>
      <w:r w:rsidR="00273744" w:rsidRPr="00100F0A">
        <w:rPr>
          <w:noProof/>
        </w:rPr>
        <w:fldChar w:fldCharType="separate"/>
      </w:r>
      <w:r w:rsidR="00EB634D">
        <w:rPr>
          <w:noProof/>
        </w:rPr>
        <w:t>2</w:t>
      </w:r>
      <w:r w:rsidR="00273744" w:rsidRPr="00100F0A">
        <w:rPr>
          <w:noProof/>
        </w:rPr>
        <w:fldChar w:fldCharType="end"/>
      </w:r>
      <w:bookmarkEnd w:id="118"/>
      <w:r w:rsidR="00C14F18">
        <w:rPr>
          <w:noProof/>
        </w:rPr>
        <w:t>:</w:t>
      </w:r>
      <w:r w:rsidRPr="00100F0A">
        <w:tab/>
        <w:t>Best estimate of national projections for all hazardous waste to 203</w:t>
      </w:r>
      <w:bookmarkEnd w:id="119"/>
      <w:bookmarkEnd w:id="120"/>
      <w:r w:rsidR="002A5B9B" w:rsidRPr="00100F0A">
        <w:t>6-37</w:t>
      </w:r>
      <w:bookmarkEnd w:id="121"/>
      <w:bookmarkEnd w:id="122"/>
    </w:p>
    <w:p w14:paraId="230AE9EC" w14:textId="1E6E6CF1" w:rsidR="00931BAA" w:rsidRDefault="00AB09EC" w:rsidP="00931BAA">
      <w:pPr>
        <w:rPr>
          <w:color w:val="080808"/>
        </w:rPr>
      </w:pPr>
      <w:r w:rsidRPr="003C162F">
        <w:rPr>
          <w:noProof/>
          <w:lang w:eastAsia="en-AU"/>
        </w:rPr>
        <w:drawing>
          <wp:inline distT="0" distB="0" distL="0" distR="0" wp14:anchorId="45C28D4D" wp14:editId="69B863D3">
            <wp:extent cx="9176536" cy="5284520"/>
            <wp:effectExtent l="0" t="0" r="5715"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179108" cy="5286001"/>
                    </a:xfrm>
                    <a:prstGeom prst="rect">
                      <a:avLst/>
                    </a:prstGeom>
                  </pic:spPr>
                </pic:pic>
              </a:graphicData>
            </a:graphic>
          </wp:inline>
        </w:drawing>
      </w:r>
    </w:p>
    <w:p w14:paraId="0E0B6EFA" w14:textId="0982831B" w:rsidR="00DA7ED9" w:rsidRPr="00100F0A" w:rsidRDefault="002A5B9B" w:rsidP="002A5B9B">
      <w:pPr>
        <w:pStyle w:val="Caption"/>
      </w:pPr>
      <w:bookmarkStart w:id="123" w:name="_Ref531169843"/>
      <w:bookmarkStart w:id="124" w:name="_Ref531169867"/>
      <w:bookmarkStart w:id="125" w:name="_Toc13225576"/>
      <w:r w:rsidRPr="00100F0A">
        <w:t xml:space="preserve">Figure </w:t>
      </w:r>
      <w:r w:rsidR="00273744" w:rsidRPr="00100F0A">
        <w:rPr>
          <w:noProof/>
        </w:rPr>
        <w:fldChar w:fldCharType="begin"/>
      </w:r>
      <w:r w:rsidR="00273744" w:rsidRPr="00100F0A">
        <w:rPr>
          <w:noProof/>
        </w:rPr>
        <w:instrText xml:space="preserve"> SEQ Figure \* ARABIC </w:instrText>
      </w:r>
      <w:r w:rsidR="00273744" w:rsidRPr="00100F0A">
        <w:rPr>
          <w:noProof/>
        </w:rPr>
        <w:fldChar w:fldCharType="separate"/>
      </w:r>
      <w:r w:rsidR="00EB634D">
        <w:rPr>
          <w:noProof/>
        </w:rPr>
        <w:t>3</w:t>
      </w:r>
      <w:r w:rsidR="00273744" w:rsidRPr="00100F0A">
        <w:rPr>
          <w:noProof/>
        </w:rPr>
        <w:fldChar w:fldCharType="end"/>
      </w:r>
      <w:bookmarkEnd w:id="123"/>
      <w:r w:rsidR="00C14F18">
        <w:rPr>
          <w:noProof/>
        </w:rPr>
        <w:t>:</w:t>
      </w:r>
      <w:r w:rsidRPr="00100F0A">
        <w:tab/>
        <w:t>High estimate of national projections for all hazardous waste to 2036-37</w:t>
      </w:r>
      <w:bookmarkEnd w:id="124"/>
      <w:bookmarkEnd w:id="125"/>
    </w:p>
    <w:p w14:paraId="3A2182E1" w14:textId="0D56126D" w:rsidR="00176FFA" w:rsidRDefault="00BD7F0A" w:rsidP="00DA7ED9">
      <w:r w:rsidRPr="00BD7F0A">
        <w:rPr>
          <w:noProof/>
        </w:rPr>
        <w:t xml:space="preserve"> </w:t>
      </w:r>
      <w:r w:rsidRPr="00BD7F0A">
        <w:rPr>
          <w:noProof/>
          <w:lang w:eastAsia="en-AU"/>
        </w:rPr>
        <w:drawing>
          <wp:inline distT="0" distB="0" distL="0" distR="0" wp14:anchorId="0EBA5E26" wp14:editId="32CDBE44">
            <wp:extent cx="9106955" cy="5248894"/>
            <wp:effectExtent l="0" t="0" r="0" b="952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109520" cy="5250372"/>
                    </a:xfrm>
                    <a:prstGeom prst="rect">
                      <a:avLst/>
                    </a:prstGeom>
                  </pic:spPr>
                </pic:pic>
              </a:graphicData>
            </a:graphic>
          </wp:inline>
        </w:drawing>
      </w:r>
    </w:p>
    <w:p w14:paraId="37AA7F89" w14:textId="0AC7B482" w:rsidR="00CF3E5B" w:rsidRDefault="00CF3E5B" w:rsidP="00DA7ED9"/>
    <w:p w14:paraId="08CFD983" w14:textId="110F5867" w:rsidR="00FF7752" w:rsidRPr="00100F0A" w:rsidRDefault="00FF7752" w:rsidP="00FF7752">
      <w:pPr>
        <w:pStyle w:val="Caption"/>
      </w:pPr>
      <w:bookmarkStart w:id="126" w:name="_Ref531169888"/>
      <w:bookmarkStart w:id="127" w:name="_Ref531169898"/>
      <w:bookmarkStart w:id="128" w:name="_Toc13225577"/>
      <w:r w:rsidRPr="00100F0A">
        <w:t xml:space="preserve">Figure </w:t>
      </w:r>
      <w:r w:rsidR="00273744" w:rsidRPr="00100F0A">
        <w:rPr>
          <w:noProof/>
        </w:rPr>
        <w:fldChar w:fldCharType="begin"/>
      </w:r>
      <w:r w:rsidR="00273744" w:rsidRPr="00100F0A">
        <w:rPr>
          <w:noProof/>
        </w:rPr>
        <w:instrText xml:space="preserve"> SEQ Figure \* ARABIC </w:instrText>
      </w:r>
      <w:r w:rsidR="00273744" w:rsidRPr="00100F0A">
        <w:rPr>
          <w:noProof/>
        </w:rPr>
        <w:fldChar w:fldCharType="separate"/>
      </w:r>
      <w:r w:rsidR="00EB634D">
        <w:rPr>
          <w:noProof/>
        </w:rPr>
        <w:t>4</w:t>
      </w:r>
      <w:r w:rsidR="00273744" w:rsidRPr="00100F0A">
        <w:rPr>
          <w:noProof/>
        </w:rPr>
        <w:fldChar w:fldCharType="end"/>
      </w:r>
      <w:bookmarkEnd w:id="126"/>
      <w:r w:rsidR="00C14F18">
        <w:rPr>
          <w:noProof/>
        </w:rPr>
        <w:t>:</w:t>
      </w:r>
      <w:r w:rsidRPr="00100F0A">
        <w:tab/>
        <w:t>Low estimate of national projections for all hazardous waste to 2036-37</w:t>
      </w:r>
      <w:bookmarkEnd w:id="127"/>
      <w:bookmarkEnd w:id="128"/>
    </w:p>
    <w:p w14:paraId="410E1EC5" w14:textId="661BF9BF" w:rsidR="00176FFA" w:rsidRPr="00100F0A" w:rsidRDefault="00AB09EC" w:rsidP="00DA7ED9">
      <w:r w:rsidRPr="00AB09EC">
        <w:rPr>
          <w:noProof/>
          <w:lang w:eastAsia="en-AU"/>
        </w:rPr>
        <w:drawing>
          <wp:inline distT="0" distB="0" distL="0" distR="0" wp14:anchorId="391A259E" wp14:editId="3970C6EA">
            <wp:extent cx="9108374" cy="5264718"/>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111189" cy="5266345"/>
                    </a:xfrm>
                    <a:prstGeom prst="rect">
                      <a:avLst/>
                    </a:prstGeom>
                  </pic:spPr>
                </pic:pic>
              </a:graphicData>
            </a:graphic>
          </wp:inline>
        </w:drawing>
      </w:r>
    </w:p>
    <w:p w14:paraId="12360595" w14:textId="3D80D4DC" w:rsidR="00931BAA" w:rsidRPr="00100F0A" w:rsidRDefault="00931BAA" w:rsidP="00DA7ED9"/>
    <w:p w14:paraId="59C3E47D" w14:textId="77777777" w:rsidR="00931BAA" w:rsidRPr="00100F0A" w:rsidRDefault="00931BAA" w:rsidP="00DA7ED9">
      <w:pPr>
        <w:sectPr w:rsidR="00931BAA" w:rsidRPr="00100F0A" w:rsidSect="00931BAA">
          <w:headerReference w:type="default" r:id="rId38"/>
          <w:footerReference w:type="default" r:id="rId39"/>
          <w:pgSz w:w="16840" w:h="11907" w:orient="landscape" w:code="9"/>
          <w:pgMar w:top="1418" w:right="1440" w:bottom="1077" w:left="1440" w:header="709" w:footer="709" w:gutter="0"/>
          <w:cols w:space="708"/>
          <w:docGrid w:linePitch="360"/>
        </w:sectPr>
      </w:pPr>
    </w:p>
    <w:p w14:paraId="479E877B" w14:textId="77777777" w:rsidR="00DA7ED9" w:rsidRPr="00100F0A" w:rsidRDefault="00DA7ED9" w:rsidP="00DA7ED9">
      <w:pPr>
        <w:rPr>
          <w:color w:val="080808"/>
          <w:sz w:val="2"/>
          <w:szCs w:val="2"/>
        </w:rPr>
      </w:pPr>
    </w:p>
    <w:p w14:paraId="71E4DD17" w14:textId="77777777" w:rsidR="00042612" w:rsidRPr="00100F0A" w:rsidRDefault="00042612" w:rsidP="00042612">
      <w:pPr>
        <w:pStyle w:val="Heading2"/>
        <w:ind w:left="851" w:hanging="851"/>
      </w:pPr>
      <w:bookmarkStart w:id="129" w:name="_Toc421034137"/>
      <w:bookmarkStart w:id="130" w:name="_Toc421042285"/>
      <w:bookmarkStart w:id="131" w:name="_Toc421043485"/>
      <w:bookmarkStart w:id="132" w:name="_Toc421048468"/>
      <w:bookmarkStart w:id="133" w:name="_Toc421054584"/>
      <w:bookmarkStart w:id="134" w:name="_Toc421086282"/>
      <w:bookmarkStart w:id="135" w:name="_Toc421126657"/>
      <w:bookmarkStart w:id="136" w:name="_Toc529538402"/>
      <w:bookmarkStart w:id="137" w:name="_Ref530003312"/>
      <w:bookmarkStart w:id="138" w:name="_Ref530003323"/>
      <w:bookmarkStart w:id="139" w:name="_Toc13225535"/>
      <w:bookmarkStart w:id="140" w:name="_Ref419370324"/>
      <w:bookmarkStart w:id="141" w:name="_Toc425849159"/>
      <w:bookmarkStart w:id="142" w:name="_Toc519527694"/>
      <w:bookmarkEnd w:id="129"/>
      <w:bookmarkEnd w:id="130"/>
      <w:bookmarkEnd w:id="131"/>
      <w:bookmarkEnd w:id="132"/>
      <w:bookmarkEnd w:id="133"/>
      <w:bookmarkEnd w:id="134"/>
      <w:bookmarkEnd w:id="135"/>
      <w:r w:rsidRPr="00100F0A">
        <w:t>Comparison of the differences between these projections and those prepared in 2014-15</w:t>
      </w:r>
      <w:bookmarkEnd w:id="136"/>
      <w:bookmarkEnd w:id="137"/>
      <w:bookmarkEnd w:id="138"/>
      <w:bookmarkEnd w:id="139"/>
    </w:p>
    <w:p w14:paraId="7402C2AC" w14:textId="10DA2E73" w:rsidR="00042612" w:rsidRPr="00100F0A" w:rsidRDefault="00042612" w:rsidP="00042612">
      <w:pPr>
        <w:pStyle w:val="BodyText"/>
      </w:pPr>
      <w:r w:rsidRPr="00100F0A">
        <w:t xml:space="preserve">The assumptions underpinning the projections of hazardous waste arisings in Section </w:t>
      </w:r>
      <w:r w:rsidRPr="00100F0A">
        <w:fldChar w:fldCharType="begin"/>
      </w:r>
      <w:r w:rsidRPr="00100F0A">
        <w:instrText xml:space="preserve"> REF _Ref529880456 \r \h </w:instrText>
      </w:r>
      <w:r w:rsidRPr="00100F0A">
        <w:fldChar w:fldCharType="separate"/>
      </w:r>
      <w:r w:rsidR="00EB634D">
        <w:t>2.7</w:t>
      </w:r>
      <w:r w:rsidRPr="00100F0A">
        <w:fldChar w:fldCharType="end"/>
      </w:r>
      <w:r w:rsidR="00F652B2" w:rsidRPr="00100F0A">
        <w:t xml:space="preserve"> present a comprehensive review of the </w:t>
      </w:r>
      <w:r w:rsidRPr="00100F0A">
        <w:t>2015</w:t>
      </w:r>
      <w:r w:rsidR="00F652B2" w:rsidRPr="00100F0A">
        <w:t xml:space="preserve"> </w:t>
      </w:r>
      <w:r w:rsidRPr="00100F0A">
        <w:t>infrastructure assessment</w:t>
      </w:r>
      <w:r w:rsidR="00F652B2" w:rsidRPr="00100F0A">
        <w:t xml:space="preserve"> projections. The review of projections </w:t>
      </w:r>
      <w:r w:rsidRPr="00100F0A">
        <w:t>tak</w:t>
      </w:r>
      <w:r w:rsidR="00F652B2" w:rsidRPr="00100F0A">
        <w:t>es</w:t>
      </w:r>
      <w:r w:rsidRPr="00100F0A">
        <w:t xml:space="preserve"> into account the significant lessons learnt in the ensuing three years working with national hazardous waste data, the market and consulting with key market operators. This has resulted in a </w:t>
      </w:r>
      <w:r w:rsidR="00F652B2" w:rsidRPr="00100F0A">
        <w:t>s</w:t>
      </w:r>
      <w:r w:rsidRPr="00100F0A">
        <w:t>tronger basis for waste volume projection, but also some significant changes in outcomes.</w:t>
      </w:r>
    </w:p>
    <w:p w14:paraId="28F3427D" w14:textId="77777777" w:rsidR="00042612" w:rsidRPr="00100F0A" w:rsidRDefault="00042612" w:rsidP="00042612">
      <w:pPr>
        <w:pStyle w:val="BodyText"/>
      </w:pPr>
    </w:p>
    <w:p w14:paraId="174A6E95" w14:textId="3076C818" w:rsidR="00042612" w:rsidRPr="00100F0A" w:rsidRDefault="00042612" w:rsidP="00042612">
      <w:pPr>
        <w:pStyle w:val="BodyText"/>
      </w:pPr>
      <w:r w:rsidRPr="00100F0A">
        <w:t xml:space="preserve">A comparison of our approach to projecting each waste group this year, compared to the 2015 </w:t>
      </w:r>
      <w:r w:rsidR="00F652B2" w:rsidRPr="00100F0A">
        <w:t>assessment</w:t>
      </w:r>
      <w:r w:rsidRPr="00100F0A">
        <w:t xml:space="preserve">, is provided in </w:t>
      </w:r>
      <w:r w:rsidRPr="00100F0A">
        <w:fldChar w:fldCharType="begin"/>
      </w:r>
      <w:r w:rsidRPr="00100F0A">
        <w:instrText xml:space="preserve"> REF _Ref529892283 \h </w:instrText>
      </w:r>
      <w:r w:rsidRPr="00100F0A">
        <w:fldChar w:fldCharType="separate"/>
      </w:r>
      <w:r w:rsidR="00EB634D" w:rsidRPr="00100F0A">
        <w:t xml:space="preserve">Table </w:t>
      </w:r>
      <w:r w:rsidR="00EB634D">
        <w:rPr>
          <w:noProof/>
        </w:rPr>
        <w:t>7</w:t>
      </w:r>
      <w:r w:rsidRPr="00100F0A">
        <w:fldChar w:fldCharType="end"/>
      </w:r>
      <w:r w:rsidRPr="00100F0A">
        <w:t>. As a general rule</w:t>
      </w:r>
      <w:r w:rsidR="00F652B2" w:rsidRPr="00100F0A">
        <w:t>,</w:t>
      </w:r>
      <w:r w:rsidRPr="00100F0A">
        <w:t xml:space="preserve"> in a growth scenario when limited other information was available, the 2018 projections used population growth as a best case default and economic growth as a high case default, which is more conservative than the default approach in 2015.</w:t>
      </w:r>
    </w:p>
    <w:p w14:paraId="1D81144F" w14:textId="047470F4" w:rsidR="00042612" w:rsidRPr="00100F0A" w:rsidRDefault="00042612" w:rsidP="00042612">
      <w:pPr>
        <w:pStyle w:val="Caption"/>
      </w:pPr>
      <w:bookmarkStart w:id="143" w:name="_Ref529892283"/>
      <w:bookmarkStart w:id="144" w:name="_Toc13225626"/>
      <w:r w:rsidRPr="00100F0A">
        <w:t xml:space="preserve">Table </w:t>
      </w:r>
      <w:r w:rsidRPr="00100F0A">
        <w:rPr>
          <w:noProof/>
        </w:rPr>
        <w:fldChar w:fldCharType="begin"/>
      </w:r>
      <w:r w:rsidRPr="00100F0A">
        <w:rPr>
          <w:noProof/>
        </w:rPr>
        <w:instrText xml:space="preserve"> SEQ Table \* ARABIC </w:instrText>
      </w:r>
      <w:r w:rsidRPr="00100F0A">
        <w:rPr>
          <w:noProof/>
        </w:rPr>
        <w:fldChar w:fldCharType="separate"/>
      </w:r>
      <w:r w:rsidR="00EB634D">
        <w:rPr>
          <w:noProof/>
        </w:rPr>
        <w:t>7</w:t>
      </w:r>
      <w:r w:rsidRPr="00100F0A">
        <w:rPr>
          <w:noProof/>
        </w:rPr>
        <w:fldChar w:fldCharType="end"/>
      </w:r>
      <w:bookmarkEnd w:id="143"/>
      <w:r w:rsidR="00C14F18">
        <w:rPr>
          <w:noProof/>
        </w:rPr>
        <w:t>:</w:t>
      </w:r>
      <w:r w:rsidRPr="00100F0A">
        <w:tab/>
        <w:t xml:space="preserve">Significant differences in approach between </w:t>
      </w:r>
      <w:r w:rsidR="00186773" w:rsidRPr="00100F0A">
        <w:t>2018</w:t>
      </w:r>
      <w:r w:rsidRPr="00100F0A">
        <w:t xml:space="preserve"> and </w:t>
      </w:r>
      <w:r w:rsidR="00186773" w:rsidRPr="00100F0A">
        <w:t>2015</w:t>
      </w:r>
      <w:r w:rsidRPr="00100F0A">
        <w:t xml:space="preserve"> projection assumptions</w:t>
      </w:r>
      <w:bookmarkEnd w:id="144"/>
    </w:p>
    <w:tbl>
      <w:tblPr>
        <w:tblStyle w:val="BE-table"/>
        <w:tblW w:w="0" w:type="auto"/>
        <w:tblLook w:val="04A0" w:firstRow="1" w:lastRow="0" w:firstColumn="1" w:lastColumn="0" w:noHBand="0" w:noVBand="1"/>
      </w:tblPr>
      <w:tblGrid>
        <w:gridCol w:w="982"/>
        <w:gridCol w:w="1983"/>
        <w:gridCol w:w="492"/>
        <w:gridCol w:w="2782"/>
        <w:gridCol w:w="2783"/>
      </w:tblGrid>
      <w:tr w:rsidR="00042612" w:rsidRPr="00100F0A" w14:paraId="61E73510" w14:textId="77777777" w:rsidTr="00F430A0">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965" w:type="dxa"/>
            <w:gridSpan w:val="2"/>
          </w:tcPr>
          <w:p w14:paraId="7BF4EDCB" w14:textId="77777777" w:rsidR="00042612" w:rsidRPr="00100F0A" w:rsidRDefault="00042612" w:rsidP="007109C2">
            <w:pPr>
              <w:spacing w:beforeLines="0" w:before="0" w:afterLines="0" w:after="0"/>
              <w:jc w:val="center"/>
              <w:rPr>
                <w:color w:val="080808"/>
              </w:rPr>
            </w:pPr>
            <w:r w:rsidRPr="00100F0A">
              <w:t>Waste group</w:t>
            </w:r>
          </w:p>
        </w:tc>
        <w:tc>
          <w:tcPr>
            <w:tcW w:w="6058" w:type="dxa"/>
            <w:gridSpan w:val="3"/>
            <w:vAlign w:val="center"/>
          </w:tcPr>
          <w:p w14:paraId="7E536F71" w14:textId="6296D2D4" w:rsidR="00042612" w:rsidRPr="00100F0A" w:rsidRDefault="00042612" w:rsidP="007109C2">
            <w:pPr>
              <w:spacing w:beforeLines="0" w:before="0" w:afterLines="0" w:after="0"/>
              <w:cnfStyle w:val="100000000000" w:firstRow="1" w:lastRow="0" w:firstColumn="0" w:lastColumn="0" w:oddVBand="0" w:evenVBand="0" w:oddHBand="0" w:evenHBand="0" w:firstRowFirstColumn="0" w:firstRowLastColumn="0" w:lastRowFirstColumn="0" w:lastRowLastColumn="0"/>
              <w:rPr>
                <w:color w:val="080808"/>
              </w:rPr>
            </w:pPr>
            <w:r w:rsidRPr="00100F0A">
              <w:t>Significant changes in projection assumptions</w:t>
            </w:r>
            <w:r w:rsidR="0006129F" w:rsidRPr="00100F0A">
              <w:t>?</w:t>
            </w:r>
            <w:r w:rsidRPr="00100F0A">
              <w:rPr>
                <w:rStyle w:val="FootnoteReference"/>
              </w:rPr>
              <w:footnoteReference w:id="16"/>
            </w:r>
            <w:r w:rsidRPr="00100F0A">
              <w:t xml:space="preserve"> </w:t>
            </w:r>
          </w:p>
        </w:tc>
      </w:tr>
      <w:tr w:rsidR="00042612" w:rsidRPr="00100F0A" w14:paraId="7B29B2CB" w14:textId="77777777" w:rsidTr="00F430A0">
        <w:tc>
          <w:tcPr>
            <w:cnfStyle w:val="001000000000" w:firstRow="0" w:lastRow="0" w:firstColumn="1" w:lastColumn="0" w:oddVBand="0" w:evenVBand="0" w:oddHBand="0" w:evenHBand="0" w:firstRowFirstColumn="0" w:firstRowLastColumn="0" w:lastRowFirstColumn="0" w:lastRowLastColumn="0"/>
            <w:tcW w:w="982" w:type="dxa"/>
          </w:tcPr>
          <w:p w14:paraId="7DEBA01E" w14:textId="77777777" w:rsidR="00042612" w:rsidRPr="00100F0A" w:rsidRDefault="00042612" w:rsidP="007109C2">
            <w:pPr>
              <w:spacing w:before="0" w:after="0"/>
              <w:rPr>
                <w:color w:val="080808"/>
              </w:rPr>
            </w:pPr>
            <w:r w:rsidRPr="00100F0A">
              <w:rPr>
                <w:rFonts w:asciiTheme="minorHAnsi" w:hAnsiTheme="minorHAnsi" w:cstheme="minorHAnsi"/>
                <w:color w:val="000000"/>
              </w:rPr>
              <w:t>A</w:t>
            </w:r>
          </w:p>
        </w:tc>
        <w:tc>
          <w:tcPr>
            <w:tcW w:w="1983" w:type="dxa"/>
            <w:vAlign w:val="center"/>
          </w:tcPr>
          <w:p w14:paraId="536AA206"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Plating &amp; heat treatment</w:t>
            </w:r>
          </w:p>
        </w:tc>
        <w:tc>
          <w:tcPr>
            <w:tcW w:w="492" w:type="dxa"/>
            <w:vAlign w:val="center"/>
          </w:tcPr>
          <w:p w14:paraId="3CD69539"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No</w:t>
            </w:r>
          </w:p>
        </w:tc>
        <w:tc>
          <w:tcPr>
            <w:tcW w:w="5566" w:type="dxa"/>
            <w:gridSpan w:val="2"/>
            <w:vAlign w:val="center"/>
          </w:tcPr>
          <w:p w14:paraId="0F278BC5" w14:textId="3BA142DF"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Simplification of approach, limited change to projection</w:t>
            </w:r>
          </w:p>
        </w:tc>
      </w:tr>
      <w:tr w:rsidR="00042612" w:rsidRPr="00100F0A" w14:paraId="1CA71FBD" w14:textId="77777777" w:rsidTr="00F430A0">
        <w:tc>
          <w:tcPr>
            <w:cnfStyle w:val="001000000000" w:firstRow="0" w:lastRow="0" w:firstColumn="1" w:lastColumn="0" w:oddVBand="0" w:evenVBand="0" w:oddHBand="0" w:evenHBand="0" w:firstRowFirstColumn="0" w:firstRowLastColumn="0" w:lastRowFirstColumn="0" w:lastRowLastColumn="0"/>
            <w:tcW w:w="982" w:type="dxa"/>
          </w:tcPr>
          <w:p w14:paraId="09BD18B9" w14:textId="77777777" w:rsidR="00042612" w:rsidRPr="00100F0A" w:rsidRDefault="00042612" w:rsidP="007109C2">
            <w:pPr>
              <w:spacing w:before="0" w:after="0"/>
              <w:rPr>
                <w:color w:val="080808"/>
              </w:rPr>
            </w:pPr>
            <w:r w:rsidRPr="00100F0A">
              <w:rPr>
                <w:rFonts w:asciiTheme="minorHAnsi" w:hAnsiTheme="minorHAnsi" w:cstheme="minorHAnsi"/>
                <w:color w:val="000000"/>
              </w:rPr>
              <w:t>B</w:t>
            </w:r>
          </w:p>
        </w:tc>
        <w:tc>
          <w:tcPr>
            <w:tcW w:w="1983" w:type="dxa"/>
            <w:vAlign w:val="center"/>
          </w:tcPr>
          <w:p w14:paraId="366A382A"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Acids</w:t>
            </w:r>
          </w:p>
        </w:tc>
        <w:tc>
          <w:tcPr>
            <w:tcW w:w="492" w:type="dxa"/>
            <w:vAlign w:val="center"/>
          </w:tcPr>
          <w:p w14:paraId="23F97DA0"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Yes</w:t>
            </w:r>
          </w:p>
        </w:tc>
        <w:tc>
          <w:tcPr>
            <w:tcW w:w="5566" w:type="dxa"/>
            <w:gridSpan w:val="2"/>
            <w:vAlign w:val="center"/>
          </w:tcPr>
          <w:p w14:paraId="355518D9" w14:textId="20E1B339"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 xml:space="preserve">Previously assumed that aluminium smelting was the main driver – assumptions now based on steel/other metals industry as main sources. This has changed best projection from a decline (based on declining </w:t>
            </w:r>
            <w:r w:rsidR="00B21A29">
              <w:rPr>
                <w:color w:val="080808"/>
              </w:rPr>
              <w:t>aluminium</w:t>
            </w:r>
            <w:r w:rsidRPr="00100F0A">
              <w:rPr>
                <w:color w:val="080808"/>
              </w:rPr>
              <w:t xml:space="preserve"> industry) to growth, based on average economic growth from major contributing states (Vic, NSW, Qld).</w:t>
            </w:r>
          </w:p>
        </w:tc>
      </w:tr>
      <w:tr w:rsidR="00042612" w:rsidRPr="00100F0A" w14:paraId="65EFE1EB" w14:textId="77777777" w:rsidTr="00F430A0">
        <w:tc>
          <w:tcPr>
            <w:cnfStyle w:val="001000000000" w:firstRow="0" w:lastRow="0" w:firstColumn="1" w:lastColumn="0" w:oddVBand="0" w:evenVBand="0" w:oddHBand="0" w:evenHBand="0" w:firstRowFirstColumn="0" w:firstRowLastColumn="0" w:lastRowFirstColumn="0" w:lastRowLastColumn="0"/>
            <w:tcW w:w="982" w:type="dxa"/>
          </w:tcPr>
          <w:p w14:paraId="52796682" w14:textId="77777777" w:rsidR="00042612" w:rsidRPr="00100F0A" w:rsidRDefault="00042612" w:rsidP="007109C2">
            <w:pPr>
              <w:spacing w:before="0" w:after="0"/>
              <w:rPr>
                <w:color w:val="080808"/>
              </w:rPr>
            </w:pPr>
            <w:r w:rsidRPr="00100F0A">
              <w:rPr>
                <w:rFonts w:asciiTheme="minorHAnsi" w:hAnsiTheme="minorHAnsi" w:cstheme="minorHAnsi"/>
                <w:color w:val="000000"/>
              </w:rPr>
              <w:t>C</w:t>
            </w:r>
          </w:p>
        </w:tc>
        <w:tc>
          <w:tcPr>
            <w:tcW w:w="1983" w:type="dxa"/>
            <w:vAlign w:val="center"/>
          </w:tcPr>
          <w:p w14:paraId="165E62B2"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Alkalis</w:t>
            </w:r>
          </w:p>
        </w:tc>
        <w:tc>
          <w:tcPr>
            <w:tcW w:w="492" w:type="dxa"/>
            <w:vAlign w:val="center"/>
          </w:tcPr>
          <w:p w14:paraId="3DFCF57F"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Yes</w:t>
            </w:r>
          </w:p>
        </w:tc>
        <w:tc>
          <w:tcPr>
            <w:tcW w:w="5566" w:type="dxa"/>
            <w:gridSpan w:val="2"/>
            <w:vAlign w:val="center"/>
          </w:tcPr>
          <w:p w14:paraId="2C62D0C5"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 xml:space="preserve">Waste is driven by the CSG industry in Qld and alumina refining in WA (red mud). Previously </w:t>
            </w:r>
            <w:r w:rsidRPr="00100F0A">
              <w:t>ABC (2014) was used to predict CSG industry growth, but this appears to be a simple extrapolation of CSG well numbers and has been discounted, which has led to a significant flattening in projections of this waste.</w:t>
            </w:r>
          </w:p>
        </w:tc>
      </w:tr>
      <w:tr w:rsidR="00042612" w:rsidRPr="00100F0A" w14:paraId="2915ED21" w14:textId="77777777" w:rsidTr="00F430A0">
        <w:tc>
          <w:tcPr>
            <w:cnfStyle w:val="001000000000" w:firstRow="0" w:lastRow="0" w:firstColumn="1" w:lastColumn="0" w:oddVBand="0" w:evenVBand="0" w:oddHBand="0" w:evenHBand="0" w:firstRowFirstColumn="0" w:firstRowLastColumn="0" w:lastRowFirstColumn="0" w:lastRowLastColumn="0"/>
            <w:tcW w:w="982" w:type="dxa"/>
          </w:tcPr>
          <w:p w14:paraId="3EBAD1BB" w14:textId="77777777" w:rsidR="00042612" w:rsidRPr="00100F0A" w:rsidRDefault="00042612" w:rsidP="007109C2">
            <w:pPr>
              <w:spacing w:before="0" w:after="0"/>
              <w:rPr>
                <w:color w:val="080808"/>
              </w:rPr>
            </w:pPr>
            <w:r w:rsidRPr="00100F0A">
              <w:rPr>
                <w:rFonts w:asciiTheme="minorHAnsi" w:hAnsiTheme="minorHAnsi" w:cstheme="minorHAnsi"/>
                <w:color w:val="000000"/>
              </w:rPr>
              <w:t>D110</w:t>
            </w:r>
          </w:p>
        </w:tc>
        <w:tc>
          <w:tcPr>
            <w:tcW w:w="1983" w:type="dxa"/>
            <w:vAlign w:val="center"/>
          </w:tcPr>
          <w:p w14:paraId="200CD937" w14:textId="0DA564E1"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Inorganic fluorine (</w:t>
            </w:r>
            <w:r w:rsidR="008637BA">
              <w:rPr>
                <w:rFonts w:asciiTheme="minorHAnsi" w:hAnsiTheme="minorHAnsi" w:cstheme="minorHAnsi"/>
                <w:color w:val="000000"/>
              </w:rPr>
              <w:t>SPL</w:t>
            </w:r>
            <w:r w:rsidRPr="00100F0A">
              <w:rPr>
                <w:rFonts w:asciiTheme="minorHAnsi" w:hAnsiTheme="minorHAnsi" w:cstheme="minorHAnsi"/>
                <w:color w:val="000000"/>
              </w:rPr>
              <w:t>)</w:t>
            </w:r>
          </w:p>
        </w:tc>
        <w:tc>
          <w:tcPr>
            <w:tcW w:w="492" w:type="dxa"/>
            <w:vAlign w:val="center"/>
          </w:tcPr>
          <w:p w14:paraId="27F5C423"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Yes</w:t>
            </w:r>
          </w:p>
        </w:tc>
        <w:tc>
          <w:tcPr>
            <w:tcW w:w="5566" w:type="dxa"/>
            <w:gridSpan w:val="2"/>
            <w:vAlign w:val="center"/>
          </w:tcPr>
          <w:p w14:paraId="1A722C30" w14:textId="0F85488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 xml:space="preserve">Waste group was not </w:t>
            </w:r>
            <w:r w:rsidR="0006129F" w:rsidRPr="00100F0A">
              <w:rPr>
                <w:color w:val="080808"/>
              </w:rPr>
              <w:t xml:space="preserve">projected </w:t>
            </w:r>
            <w:r w:rsidRPr="00100F0A">
              <w:rPr>
                <w:color w:val="080808"/>
              </w:rPr>
              <w:t>separately</w:t>
            </w:r>
            <w:r w:rsidR="0006129F" w:rsidRPr="00100F0A">
              <w:rPr>
                <w:color w:val="080808"/>
              </w:rPr>
              <w:t xml:space="preserve"> from ‘Other D’ </w:t>
            </w:r>
            <w:r w:rsidRPr="00100F0A">
              <w:rPr>
                <w:color w:val="080808"/>
              </w:rPr>
              <w:t>in 2015, so 2018 projections are new.</w:t>
            </w:r>
          </w:p>
        </w:tc>
      </w:tr>
      <w:tr w:rsidR="00042612" w:rsidRPr="00100F0A" w14:paraId="59F19F63" w14:textId="77777777" w:rsidTr="00F430A0">
        <w:tc>
          <w:tcPr>
            <w:cnfStyle w:val="001000000000" w:firstRow="0" w:lastRow="0" w:firstColumn="1" w:lastColumn="0" w:oddVBand="0" w:evenVBand="0" w:oddHBand="0" w:evenHBand="0" w:firstRowFirstColumn="0" w:firstRowLastColumn="0" w:lastRowFirstColumn="0" w:lastRowLastColumn="0"/>
            <w:tcW w:w="982" w:type="dxa"/>
          </w:tcPr>
          <w:p w14:paraId="4936CD99" w14:textId="77777777" w:rsidR="00042612" w:rsidRPr="00100F0A" w:rsidRDefault="00042612" w:rsidP="007109C2">
            <w:pPr>
              <w:spacing w:before="0" w:after="0"/>
              <w:rPr>
                <w:color w:val="080808"/>
              </w:rPr>
            </w:pPr>
            <w:r w:rsidRPr="00100F0A">
              <w:rPr>
                <w:rFonts w:asciiTheme="minorHAnsi" w:hAnsiTheme="minorHAnsi" w:cstheme="minorHAnsi"/>
                <w:color w:val="000000"/>
              </w:rPr>
              <w:t>D120</w:t>
            </w:r>
          </w:p>
        </w:tc>
        <w:tc>
          <w:tcPr>
            <w:tcW w:w="1983" w:type="dxa"/>
            <w:vAlign w:val="center"/>
          </w:tcPr>
          <w:p w14:paraId="567A52C7"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Mercury &amp; compounds</w:t>
            </w:r>
          </w:p>
        </w:tc>
        <w:tc>
          <w:tcPr>
            <w:tcW w:w="492" w:type="dxa"/>
            <w:vAlign w:val="center"/>
          </w:tcPr>
          <w:p w14:paraId="2DC68139"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Yes</w:t>
            </w:r>
          </w:p>
        </w:tc>
        <w:tc>
          <w:tcPr>
            <w:tcW w:w="5566" w:type="dxa"/>
            <w:gridSpan w:val="2"/>
            <w:vAlign w:val="center"/>
          </w:tcPr>
          <w:p w14:paraId="335834E2" w14:textId="6549D349"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 xml:space="preserve">2015 projections assumed major driver was </w:t>
            </w:r>
            <w:r w:rsidR="009A1135" w:rsidRPr="00100F0A">
              <w:rPr>
                <w:color w:val="080808"/>
              </w:rPr>
              <w:t>fluorescent</w:t>
            </w:r>
            <w:r w:rsidRPr="00100F0A">
              <w:rPr>
                <w:color w:val="080808"/>
              </w:rPr>
              <w:t xml:space="preserve"> lamps, but we now believe that conventional oil &amp; gas processing</w:t>
            </w:r>
            <w:r w:rsidR="009A1135" w:rsidRPr="00100F0A">
              <w:rPr>
                <w:color w:val="080808"/>
              </w:rPr>
              <w:t xml:space="preserve"> (spent catalysts)</w:t>
            </w:r>
            <w:r w:rsidRPr="00100F0A">
              <w:rPr>
                <w:color w:val="080808"/>
              </w:rPr>
              <w:t xml:space="preserve"> will overtake this </w:t>
            </w:r>
            <w:r w:rsidR="00B21A29">
              <w:rPr>
                <w:color w:val="080808"/>
              </w:rPr>
              <w:t>in future</w:t>
            </w:r>
            <w:r w:rsidRPr="00100F0A">
              <w:rPr>
                <w:color w:val="080808"/>
              </w:rPr>
              <w:t xml:space="preserve">, particularly following the implementation of the Minamata Convention on </w:t>
            </w:r>
            <w:r w:rsidR="00B21A29">
              <w:rPr>
                <w:color w:val="080808"/>
              </w:rPr>
              <w:t>m</w:t>
            </w:r>
            <w:r w:rsidRPr="00100F0A">
              <w:rPr>
                <w:color w:val="080808"/>
              </w:rPr>
              <w:t>ercury. Starting point has been corrected to a more representative</w:t>
            </w:r>
            <w:r w:rsidR="00A9600E" w:rsidRPr="00100F0A">
              <w:rPr>
                <w:color w:val="080808"/>
              </w:rPr>
              <w:t xml:space="preserve"> </w:t>
            </w:r>
            <w:r w:rsidRPr="00100F0A">
              <w:rPr>
                <w:color w:val="080808"/>
              </w:rPr>
              <w:t>estimate. Net result is a lower start</w:t>
            </w:r>
            <w:r w:rsidR="00B21A29">
              <w:rPr>
                <w:color w:val="080808"/>
              </w:rPr>
              <w:t>ing</w:t>
            </w:r>
            <w:r w:rsidRPr="00100F0A">
              <w:rPr>
                <w:color w:val="080808"/>
              </w:rPr>
              <w:t xml:space="preserve"> point but inclining projection profile.</w:t>
            </w:r>
          </w:p>
        </w:tc>
      </w:tr>
      <w:tr w:rsidR="00042612" w:rsidRPr="00100F0A" w14:paraId="41BC54D0" w14:textId="77777777" w:rsidTr="00F430A0">
        <w:tc>
          <w:tcPr>
            <w:cnfStyle w:val="001000000000" w:firstRow="0" w:lastRow="0" w:firstColumn="1" w:lastColumn="0" w:oddVBand="0" w:evenVBand="0" w:oddHBand="0" w:evenHBand="0" w:firstRowFirstColumn="0" w:firstRowLastColumn="0" w:lastRowFirstColumn="0" w:lastRowLastColumn="0"/>
            <w:tcW w:w="982" w:type="dxa"/>
          </w:tcPr>
          <w:p w14:paraId="257C7847" w14:textId="77777777" w:rsidR="00042612" w:rsidRPr="00100F0A" w:rsidRDefault="00042612" w:rsidP="007109C2">
            <w:pPr>
              <w:spacing w:before="0" w:after="0"/>
              <w:rPr>
                <w:color w:val="080808"/>
              </w:rPr>
            </w:pPr>
            <w:r w:rsidRPr="00100F0A">
              <w:rPr>
                <w:rFonts w:asciiTheme="minorHAnsi" w:hAnsiTheme="minorHAnsi" w:cstheme="minorHAnsi"/>
                <w:color w:val="000000"/>
              </w:rPr>
              <w:t>D220</w:t>
            </w:r>
          </w:p>
        </w:tc>
        <w:tc>
          <w:tcPr>
            <w:tcW w:w="1983" w:type="dxa"/>
            <w:vAlign w:val="center"/>
          </w:tcPr>
          <w:p w14:paraId="331EF111"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Lead &amp; compounds</w:t>
            </w:r>
          </w:p>
        </w:tc>
        <w:tc>
          <w:tcPr>
            <w:tcW w:w="492" w:type="dxa"/>
            <w:vAlign w:val="center"/>
          </w:tcPr>
          <w:p w14:paraId="4512F8A2"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Yes</w:t>
            </w:r>
          </w:p>
        </w:tc>
        <w:tc>
          <w:tcPr>
            <w:tcW w:w="5566" w:type="dxa"/>
            <w:gridSpan w:val="2"/>
            <w:vAlign w:val="center"/>
          </w:tcPr>
          <w:p w14:paraId="03D9486E" w14:textId="1E3F15BD"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 xml:space="preserve">While waste lead acid batteries continue to be a major source, the 2018 projections have incorporated both waste stockpile and arising considerations from </w:t>
            </w:r>
            <w:r w:rsidR="00B21A29">
              <w:rPr>
                <w:rFonts w:asciiTheme="minorHAnsi" w:hAnsiTheme="minorHAnsi" w:cstheme="minorHAnsi"/>
                <w:color w:val="000000"/>
              </w:rPr>
              <w:t>zinc</w:t>
            </w:r>
            <w:r w:rsidRPr="00100F0A">
              <w:rPr>
                <w:rFonts w:asciiTheme="minorHAnsi" w:hAnsiTheme="minorHAnsi" w:cstheme="minorHAnsi"/>
                <w:color w:val="000000"/>
              </w:rPr>
              <w:t xml:space="preserve"> refining in Tas, transported to metal refining in SA for processing, which occurs in large volumes. These </w:t>
            </w:r>
            <w:r w:rsidR="00D9242C">
              <w:rPr>
                <w:rFonts w:asciiTheme="minorHAnsi" w:hAnsiTheme="minorHAnsi" w:cstheme="minorHAnsi"/>
                <w:color w:val="000000"/>
              </w:rPr>
              <w:t>Tas</w:t>
            </w:r>
            <w:r w:rsidRPr="00100F0A">
              <w:rPr>
                <w:rFonts w:asciiTheme="minorHAnsi" w:hAnsiTheme="minorHAnsi" w:cstheme="minorHAnsi"/>
                <w:color w:val="000000"/>
              </w:rPr>
              <w:t xml:space="preserve"> arisings have been separately modelled to lead acid batteries. Overall, this has increased the starting point arising</w:t>
            </w:r>
            <w:r w:rsidR="00B21A29">
              <w:rPr>
                <w:rFonts w:asciiTheme="minorHAnsi" w:hAnsiTheme="minorHAnsi" w:cstheme="minorHAnsi"/>
                <w:color w:val="000000"/>
              </w:rPr>
              <w:t>s</w:t>
            </w:r>
            <w:r w:rsidRPr="00100F0A">
              <w:rPr>
                <w:rFonts w:asciiTheme="minorHAnsi" w:hAnsiTheme="minorHAnsi" w:cstheme="minorHAnsi"/>
                <w:color w:val="000000"/>
              </w:rPr>
              <w:t xml:space="preserve"> but slightly flattened the growth trend.</w:t>
            </w:r>
          </w:p>
        </w:tc>
      </w:tr>
      <w:tr w:rsidR="00042612" w:rsidRPr="00100F0A" w14:paraId="5DA0D5BF" w14:textId="77777777" w:rsidTr="00F430A0">
        <w:tc>
          <w:tcPr>
            <w:cnfStyle w:val="001000000000" w:firstRow="0" w:lastRow="0" w:firstColumn="1" w:lastColumn="0" w:oddVBand="0" w:evenVBand="0" w:oddHBand="0" w:evenHBand="0" w:firstRowFirstColumn="0" w:firstRowLastColumn="0" w:lastRowFirstColumn="0" w:lastRowLastColumn="0"/>
            <w:tcW w:w="982" w:type="dxa"/>
          </w:tcPr>
          <w:p w14:paraId="710E99E2" w14:textId="77777777" w:rsidR="00042612" w:rsidRPr="00100F0A" w:rsidRDefault="00042612" w:rsidP="007109C2">
            <w:pPr>
              <w:spacing w:before="0" w:after="0"/>
              <w:rPr>
                <w:color w:val="080808"/>
              </w:rPr>
            </w:pPr>
            <w:r w:rsidRPr="00100F0A">
              <w:rPr>
                <w:rFonts w:asciiTheme="minorHAnsi" w:hAnsiTheme="minorHAnsi" w:cstheme="minorHAnsi"/>
                <w:color w:val="000000"/>
              </w:rPr>
              <w:t>D230</w:t>
            </w:r>
          </w:p>
        </w:tc>
        <w:tc>
          <w:tcPr>
            <w:tcW w:w="1983" w:type="dxa"/>
            <w:vAlign w:val="center"/>
          </w:tcPr>
          <w:p w14:paraId="583269A3" w14:textId="62EFA8F1"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Zinc compounds</w:t>
            </w:r>
          </w:p>
        </w:tc>
        <w:tc>
          <w:tcPr>
            <w:tcW w:w="492" w:type="dxa"/>
            <w:vAlign w:val="center"/>
          </w:tcPr>
          <w:p w14:paraId="210B79D8"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Yes</w:t>
            </w:r>
          </w:p>
        </w:tc>
        <w:tc>
          <w:tcPr>
            <w:tcW w:w="5566" w:type="dxa"/>
            <w:gridSpan w:val="2"/>
            <w:vAlign w:val="center"/>
          </w:tcPr>
          <w:p w14:paraId="504E0EF6"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Waste group was not split out and separately modelled in 2015, so 2018 projections are new.</w:t>
            </w:r>
          </w:p>
        </w:tc>
      </w:tr>
      <w:tr w:rsidR="00042612" w:rsidRPr="00100F0A" w14:paraId="3CC3104C" w14:textId="77777777" w:rsidTr="00F430A0">
        <w:tc>
          <w:tcPr>
            <w:cnfStyle w:val="001000000000" w:firstRow="0" w:lastRow="0" w:firstColumn="1" w:lastColumn="0" w:oddVBand="0" w:evenVBand="0" w:oddHBand="0" w:evenHBand="0" w:firstRowFirstColumn="0" w:firstRowLastColumn="0" w:lastRowFirstColumn="0" w:lastRowLastColumn="0"/>
            <w:tcW w:w="982" w:type="dxa"/>
          </w:tcPr>
          <w:p w14:paraId="7E34ED2E" w14:textId="77777777" w:rsidR="00042612" w:rsidRPr="00100F0A" w:rsidRDefault="00042612" w:rsidP="007109C2">
            <w:pPr>
              <w:spacing w:before="0" w:after="0"/>
              <w:rPr>
                <w:color w:val="080808"/>
              </w:rPr>
            </w:pPr>
            <w:r w:rsidRPr="00100F0A">
              <w:rPr>
                <w:rFonts w:asciiTheme="minorHAnsi" w:hAnsiTheme="minorHAnsi" w:cstheme="minorHAnsi"/>
                <w:color w:val="000000"/>
              </w:rPr>
              <w:t>D300</w:t>
            </w:r>
          </w:p>
        </w:tc>
        <w:tc>
          <w:tcPr>
            <w:tcW w:w="1983" w:type="dxa"/>
            <w:vAlign w:val="center"/>
          </w:tcPr>
          <w:p w14:paraId="4F7BF406"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Non-toxic salts</w:t>
            </w:r>
          </w:p>
        </w:tc>
        <w:tc>
          <w:tcPr>
            <w:tcW w:w="492" w:type="dxa"/>
            <w:vAlign w:val="center"/>
          </w:tcPr>
          <w:p w14:paraId="614D5CD3"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Yes</w:t>
            </w:r>
          </w:p>
        </w:tc>
        <w:tc>
          <w:tcPr>
            <w:tcW w:w="5566" w:type="dxa"/>
            <w:gridSpan w:val="2"/>
            <w:vAlign w:val="center"/>
          </w:tcPr>
          <w:p w14:paraId="6FEEF1E7" w14:textId="48D859C9"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 xml:space="preserve">Waste is driven by the CSG industry in Qld and to a lesser extent dross, slag and salt cake from various metal smelting/refining. Previously </w:t>
            </w:r>
            <w:r w:rsidRPr="00100F0A">
              <w:t xml:space="preserve">ABC (2014) was used to predict CSG industry growth, but this has been discounted (see “C”). New information has been obtained on CSG reverse-osmosis salt waste stockpiles, which have dramatically altered the high case, </w:t>
            </w:r>
            <w:r w:rsidR="009A1135" w:rsidRPr="00100F0A">
              <w:t xml:space="preserve">and </w:t>
            </w:r>
            <w:r w:rsidRPr="00100F0A">
              <w:t>increasing this projection.</w:t>
            </w:r>
          </w:p>
        </w:tc>
      </w:tr>
      <w:tr w:rsidR="00042612" w:rsidRPr="00100F0A" w14:paraId="6766EB91" w14:textId="77777777" w:rsidTr="00F430A0">
        <w:tc>
          <w:tcPr>
            <w:cnfStyle w:val="001000000000" w:firstRow="0" w:lastRow="0" w:firstColumn="1" w:lastColumn="0" w:oddVBand="0" w:evenVBand="0" w:oddHBand="0" w:evenHBand="0" w:firstRowFirstColumn="0" w:firstRowLastColumn="0" w:lastRowFirstColumn="0" w:lastRowLastColumn="0"/>
            <w:tcW w:w="982" w:type="dxa"/>
          </w:tcPr>
          <w:p w14:paraId="2255044F" w14:textId="77777777" w:rsidR="00042612" w:rsidRPr="00100F0A" w:rsidRDefault="00042612" w:rsidP="007109C2">
            <w:pPr>
              <w:spacing w:before="0" w:after="0"/>
              <w:rPr>
                <w:color w:val="080808"/>
              </w:rPr>
            </w:pPr>
            <w:r w:rsidRPr="00100F0A">
              <w:rPr>
                <w:rFonts w:asciiTheme="minorHAnsi" w:hAnsiTheme="minorHAnsi" w:cstheme="minorHAnsi"/>
                <w:color w:val="000000"/>
              </w:rPr>
              <w:t>Other D</w:t>
            </w:r>
          </w:p>
        </w:tc>
        <w:tc>
          <w:tcPr>
            <w:tcW w:w="1983" w:type="dxa"/>
            <w:vAlign w:val="center"/>
          </w:tcPr>
          <w:p w14:paraId="3293163A"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Other inorganic chemicals</w:t>
            </w:r>
          </w:p>
        </w:tc>
        <w:tc>
          <w:tcPr>
            <w:tcW w:w="492" w:type="dxa"/>
            <w:vAlign w:val="center"/>
          </w:tcPr>
          <w:p w14:paraId="4FC88C81"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Yes</w:t>
            </w:r>
          </w:p>
        </w:tc>
        <w:tc>
          <w:tcPr>
            <w:tcW w:w="5566" w:type="dxa"/>
            <w:gridSpan w:val="2"/>
            <w:vAlign w:val="center"/>
          </w:tcPr>
          <w:p w14:paraId="5BC31E1B" w14:textId="2EF95D38"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With the splitting of D110 and D230, this waste group has reduced to a much smaller volume, and is therefore a different projection to 2015.</w:t>
            </w:r>
          </w:p>
        </w:tc>
      </w:tr>
      <w:tr w:rsidR="00042612" w:rsidRPr="00100F0A" w14:paraId="0E5A25B9" w14:textId="77777777" w:rsidTr="00F430A0">
        <w:tc>
          <w:tcPr>
            <w:cnfStyle w:val="001000000000" w:firstRow="0" w:lastRow="0" w:firstColumn="1" w:lastColumn="0" w:oddVBand="0" w:evenVBand="0" w:oddHBand="0" w:evenHBand="0" w:firstRowFirstColumn="0" w:firstRowLastColumn="0" w:lastRowFirstColumn="0" w:lastRowLastColumn="0"/>
            <w:tcW w:w="982" w:type="dxa"/>
          </w:tcPr>
          <w:p w14:paraId="7267F9E2" w14:textId="77777777" w:rsidR="00042612" w:rsidRPr="00100F0A" w:rsidRDefault="00042612" w:rsidP="007109C2">
            <w:pPr>
              <w:spacing w:before="0" w:after="0"/>
              <w:rPr>
                <w:color w:val="080808"/>
              </w:rPr>
            </w:pPr>
            <w:r w:rsidRPr="00100F0A">
              <w:rPr>
                <w:rFonts w:asciiTheme="minorHAnsi" w:hAnsiTheme="minorHAnsi" w:cstheme="minorHAnsi"/>
                <w:color w:val="000000"/>
              </w:rPr>
              <w:t>E</w:t>
            </w:r>
          </w:p>
        </w:tc>
        <w:tc>
          <w:tcPr>
            <w:tcW w:w="1983" w:type="dxa"/>
            <w:vAlign w:val="center"/>
          </w:tcPr>
          <w:p w14:paraId="19EA35A3"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Reactive chemicals</w:t>
            </w:r>
          </w:p>
        </w:tc>
        <w:tc>
          <w:tcPr>
            <w:tcW w:w="492" w:type="dxa"/>
            <w:vAlign w:val="center"/>
          </w:tcPr>
          <w:p w14:paraId="49185C4C"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Yes</w:t>
            </w:r>
          </w:p>
        </w:tc>
        <w:tc>
          <w:tcPr>
            <w:tcW w:w="5566" w:type="dxa"/>
            <w:gridSpan w:val="2"/>
            <w:vAlign w:val="center"/>
          </w:tcPr>
          <w:p w14:paraId="46999E49" w14:textId="7794E631"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2018 projection based on traditional manufacturing rate of decline; previously little was known of this waste given its low volume. This has resulted in the best case changing from a flat to declining trend.</w:t>
            </w:r>
          </w:p>
        </w:tc>
      </w:tr>
      <w:tr w:rsidR="00042612" w:rsidRPr="00100F0A" w14:paraId="742D2D89" w14:textId="77777777" w:rsidTr="00F430A0">
        <w:tc>
          <w:tcPr>
            <w:cnfStyle w:val="001000000000" w:firstRow="0" w:lastRow="0" w:firstColumn="1" w:lastColumn="0" w:oddVBand="0" w:evenVBand="0" w:oddHBand="0" w:evenHBand="0" w:firstRowFirstColumn="0" w:firstRowLastColumn="0" w:lastRowFirstColumn="0" w:lastRowLastColumn="0"/>
            <w:tcW w:w="982" w:type="dxa"/>
          </w:tcPr>
          <w:p w14:paraId="3365DD76" w14:textId="77777777" w:rsidR="00042612" w:rsidRPr="00100F0A" w:rsidRDefault="00042612" w:rsidP="007109C2">
            <w:pPr>
              <w:spacing w:before="0" w:after="0"/>
              <w:rPr>
                <w:color w:val="080808"/>
              </w:rPr>
            </w:pPr>
            <w:r w:rsidRPr="00100F0A">
              <w:rPr>
                <w:rFonts w:asciiTheme="minorHAnsi" w:hAnsiTheme="minorHAnsi" w:cstheme="minorHAnsi"/>
                <w:color w:val="000000"/>
              </w:rPr>
              <w:t>F</w:t>
            </w:r>
          </w:p>
        </w:tc>
        <w:tc>
          <w:tcPr>
            <w:tcW w:w="1983" w:type="dxa"/>
            <w:vAlign w:val="center"/>
          </w:tcPr>
          <w:p w14:paraId="65EDB4A2"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Paints, resins, inks, organic sludges</w:t>
            </w:r>
          </w:p>
        </w:tc>
        <w:tc>
          <w:tcPr>
            <w:tcW w:w="492" w:type="dxa"/>
            <w:vAlign w:val="center"/>
          </w:tcPr>
          <w:p w14:paraId="6B37909A"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Yes</w:t>
            </w:r>
          </w:p>
        </w:tc>
        <w:tc>
          <w:tcPr>
            <w:tcW w:w="5566" w:type="dxa"/>
            <w:gridSpan w:val="2"/>
            <w:vAlign w:val="center"/>
          </w:tcPr>
          <w:p w14:paraId="4DB35769" w14:textId="129EAC4A"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Flatter best projection based on lower demand due to declines in key user industries such as car manufacturing and the chemical industry, but higher starting point due to much higher recent WA</w:t>
            </w:r>
            <w:r w:rsidR="00B21A29">
              <w:rPr>
                <w:color w:val="080808"/>
              </w:rPr>
              <w:t xml:space="preserve"> </w:t>
            </w:r>
            <w:r w:rsidRPr="00100F0A">
              <w:rPr>
                <w:color w:val="080808"/>
              </w:rPr>
              <w:t>arisings.</w:t>
            </w:r>
          </w:p>
        </w:tc>
      </w:tr>
      <w:tr w:rsidR="00042612" w:rsidRPr="00100F0A" w14:paraId="6013589B" w14:textId="77777777" w:rsidTr="00F430A0">
        <w:tc>
          <w:tcPr>
            <w:cnfStyle w:val="001000000000" w:firstRow="0" w:lastRow="0" w:firstColumn="1" w:lastColumn="0" w:oddVBand="0" w:evenVBand="0" w:oddHBand="0" w:evenHBand="0" w:firstRowFirstColumn="0" w:firstRowLastColumn="0" w:lastRowFirstColumn="0" w:lastRowLastColumn="0"/>
            <w:tcW w:w="982" w:type="dxa"/>
          </w:tcPr>
          <w:p w14:paraId="0438CB2C" w14:textId="77777777" w:rsidR="00042612" w:rsidRPr="00100F0A" w:rsidRDefault="00042612" w:rsidP="007109C2">
            <w:pPr>
              <w:spacing w:before="0" w:after="0"/>
              <w:rPr>
                <w:color w:val="080808"/>
              </w:rPr>
            </w:pPr>
            <w:r w:rsidRPr="00100F0A">
              <w:rPr>
                <w:rFonts w:asciiTheme="minorHAnsi" w:hAnsiTheme="minorHAnsi" w:cstheme="minorHAnsi"/>
                <w:color w:val="000000"/>
              </w:rPr>
              <w:t>G</w:t>
            </w:r>
          </w:p>
        </w:tc>
        <w:tc>
          <w:tcPr>
            <w:tcW w:w="1983" w:type="dxa"/>
            <w:vAlign w:val="center"/>
          </w:tcPr>
          <w:p w14:paraId="11D707C4"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Organic solvents</w:t>
            </w:r>
          </w:p>
        </w:tc>
        <w:tc>
          <w:tcPr>
            <w:tcW w:w="492" w:type="dxa"/>
            <w:vAlign w:val="center"/>
          </w:tcPr>
          <w:p w14:paraId="0151A733"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No</w:t>
            </w:r>
          </w:p>
        </w:tc>
        <w:tc>
          <w:tcPr>
            <w:tcW w:w="5566" w:type="dxa"/>
            <w:gridSpan w:val="2"/>
            <w:vAlign w:val="center"/>
          </w:tcPr>
          <w:p w14:paraId="3487FD76" w14:textId="6C443DE4"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Limited change to projection</w:t>
            </w:r>
          </w:p>
        </w:tc>
      </w:tr>
      <w:tr w:rsidR="00042612" w:rsidRPr="00100F0A" w14:paraId="5228E328" w14:textId="77777777" w:rsidTr="00F430A0">
        <w:tc>
          <w:tcPr>
            <w:cnfStyle w:val="001000000000" w:firstRow="0" w:lastRow="0" w:firstColumn="1" w:lastColumn="0" w:oddVBand="0" w:evenVBand="0" w:oddHBand="0" w:evenHBand="0" w:firstRowFirstColumn="0" w:firstRowLastColumn="0" w:lastRowFirstColumn="0" w:lastRowLastColumn="0"/>
            <w:tcW w:w="982" w:type="dxa"/>
          </w:tcPr>
          <w:p w14:paraId="613B1540" w14:textId="77777777" w:rsidR="00042612" w:rsidRPr="00100F0A" w:rsidRDefault="00042612" w:rsidP="007109C2">
            <w:pPr>
              <w:spacing w:before="0" w:after="0"/>
              <w:rPr>
                <w:color w:val="080808"/>
              </w:rPr>
            </w:pPr>
            <w:r w:rsidRPr="00100F0A">
              <w:rPr>
                <w:rFonts w:asciiTheme="minorHAnsi" w:hAnsiTheme="minorHAnsi" w:cstheme="minorHAnsi"/>
                <w:color w:val="000000"/>
              </w:rPr>
              <w:t>H</w:t>
            </w:r>
          </w:p>
        </w:tc>
        <w:tc>
          <w:tcPr>
            <w:tcW w:w="1983" w:type="dxa"/>
            <w:vAlign w:val="center"/>
          </w:tcPr>
          <w:p w14:paraId="32AB1FCD"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Pesticides</w:t>
            </w:r>
          </w:p>
        </w:tc>
        <w:tc>
          <w:tcPr>
            <w:tcW w:w="492" w:type="dxa"/>
            <w:vAlign w:val="center"/>
          </w:tcPr>
          <w:p w14:paraId="69EFD65C"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Yes</w:t>
            </w:r>
          </w:p>
        </w:tc>
        <w:tc>
          <w:tcPr>
            <w:tcW w:w="5566" w:type="dxa"/>
            <w:gridSpan w:val="2"/>
            <w:vAlign w:val="center"/>
          </w:tcPr>
          <w:p w14:paraId="30FF6DED" w14:textId="23A1F45B"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Stockpiles of dieldrin-impregnated timber in WA now recognised in projections, causing a significant increase in the high case</w:t>
            </w:r>
          </w:p>
        </w:tc>
      </w:tr>
      <w:tr w:rsidR="00042612" w:rsidRPr="00100F0A" w14:paraId="204BD1E5" w14:textId="77777777" w:rsidTr="00F430A0">
        <w:tc>
          <w:tcPr>
            <w:cnfStyle w:val="001000000000" w:firstRow="0" w:lastRow="0" w:firstColumn="1" w:lastColumn="0" w:oddVBand="0" w:evenVBand="0" w:oddHBand="0" w:evenHBand="0" w:firstRowFirstColumn="0" w:firstRowLastColumn="0" w:lastRowFirstColumn="0" w:lastRowLastColumn="0"/>
            <w:tcW w:w="982" w:type="dxa"/>
          </w:tcPr>
          <w:p w14:paraId="059F4901" w14:textId="77777777" w:rsidR="00042612" w:rsidRPr="00100F0A" w:rsidRDefault="00042612" w:rsidP="007109C2">
            <w:pPr>
              <w:spacing w:before="0" w:after="0"/>
              <w:rPr>
                <w:color w:val="080808"/>
              </w:rPr>
            </w:pPr>
            <w:r w:rsidRPr="00100F0A">
              <w:rPr>
                <w:rFonts w:asciiTheme="minorHAnsi" w:hAnsiTheme="minorHAnsi" w:cstheme="minorHAnsi"/>
                <w:color w:val="000000"/>
              </w:rPr>
              <w:t>J100 &amp; 160</w:t>
            </w:r>
          </w:p>
        </w:tc>
        <w:tc>
          <w:tcPr>
            <w:tcW w:w="1983" w:type="dxa"/>
            <w:vAlign w:val="center"/>
          </w:tcPr>
          <w:p w14:paraId="4AC06C2D"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Oils</w:t>
            </w:r>
          </w:p>
        </w:tc>
        <w:tc>
          <w:tcPr>
            <w:tcW w:w="492" w:type="dxa"/>
            <w:vAlign w:val="center"/>
          </w:tcPr>
          <w:p w14:paraId="5302D8C2"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Yes</w:t>
            </w:r>
          </w:p>
        </w:tc>
        <w:tc>
          <w:tcPr>
            <w:tcW w:w="5566" w:type="dxa"/>
            <w:gridSpan w:val="2"/>
            <w:vAlign w:val="center"/>
          </w:tcPr>
          <w:p w14:paraId="2F425F39" w14:textId="17281D01"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Waste group was not split out (from J120) and separately modelled in 2015, so 2018 projections are new</w:t>
            </w:r>
          </w:p>
        </w:tc>
      </w:tr>
      <w:tr w:rsidR="00042612" w:rsidRPr="00100F0A" w14:paraId="336299CE" w14:textId="77777777" w:rsidTr="00F430A0">
        <w:tc>
          <w:tcPr>
            <w:cnfStyle w:val="001000000000" w:firstRow="0" w:lastRow="0" w:firstColumn="1" w:lastColumn="0" w:oddVBand="0" w:evenVBand="0" w:oddHBand="0" w:evenHBand="0" w:firstRowFirstColumn="0" w:firstRowLastColumn="0" w:lastRowFirstColumn="0" w:lastRowLastColumn="0"/>
            <w:tcW w:w="982" w:type="dxa"/>
          </w:tcPr>
          <w:p w14:paraId="17BFFCE9" w14:textId="77777777" w:rsidR="00042612" w:rsidRPr="00100F0A" w:rsidRDefault="00042612" w:rsidP="007109C2">
            <w:pPr>
              <w:spacing w:before="0" w:after="0"/>
              <w:rPr>
                <w:color w:val="080808"/>
              </w:rPr>
            </w:pPr>
            <w:r w:rsidRPr="00100F0A">
              <w:rPr>
                <w:rFonts w:asciiTheme="minorHAnsi" w:hAnsiTheme="minorHAnsi" w:cstheme="minorHAnsi"/>
                <w:color w:val="000000"/>
              </w:rPr>
              <w:t>J120</w:t>
            </w:r>
          </w:p>
        </w:tc>
        <w:tc>
          <w:tcPr>
            <w:tcW w:w="1983" w:type="dxa"/>
            <w:vAlign w:val="center"/>
          </w:tcPr>
          <w:p w14:paraId="3B562B65" w14:textId="3F9687B0"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 xml:space="preserve">Waste oil/water mixtures </w:t>
            </w:r>
          </w:p>
        </w:tc>
        <w:tc>
          <w:tcPr>
            <w:tcW w:w="492" w:type="dxa"/>
            <w:vAlign w:val="center"/>
          </w:tcPr>
          <w:p w14:paraId="73CB96BB"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Yes</w:t>
            </w:r>
          </w:p>
        </w:tc>
        <w:tc>
          <w:tcPr>
            <w:tcW w:w="5566" w:type="dxa"/>
            <w:gridSpan w:val="2"/>
            <w:vAlign w:val="center"/>
          </w:tcPr>
          <w:p w14:paraId="64628A5A" w14:textId="78ED6FF3"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Waste group was not split out (from J100 &amp; J160) and separately modelled in 2015, so 2018 projections are new</w:t>
            </w:r>
          </w:p>
        </w:tc>
      </w:tr>
      <w:tr w:rsidR="00042612" w:rsidRPr="00100F0A" w14:paraId="0784324D" w14:textId="77777777" w:rsidTr="00F430A0">
        <w:tc>
          <w:tcPr>
            <w:cnfStyle w:val="001000000000" w:firstRow="0" w:lastRow="0" w:firstColumn="1" w:lastColumn="0" w:oddVBand="0" w:evenVBand="0" w:oddHBand="0" w:evenHBand="0" w:firstRowFirstColumn="0" w:firstRowLastColumn="0" w:lastRowFirstColumn="0" w:lastRowLastColumn="0"/>
            <w:tcW w:w="982" w:type="dxa"/>
          </w:tcPr>
          <w:p w14:paraId="68B33805" w14:textId="77777777" w:rsidR="00042612" w:rsidRPr="00100F0A" w:rsidRDefault="00042612" w:rsidP="007109C2">
            <w:pPr>
              <w:spacing w:before="0" w:after="0"/>
              <w:rPr>
                <w:color w:val="080808"/>
              </w:rPr>
            </w:pPr>
            <w:r w:rsidRPr="00100F0A">
              <w:rPr>
                <w:rFonts w:asciiTheme="minorHAnsi" w:hAnsiTheme="minorHAnsi" w:cstheme="minorHAnsi"/>
                <w:color w:val="000000"/>
              </w:rPr>
              <w:t>K110</w:t>
            </w:r>
          </w:p>
        </w:tc>
        <w:tc>
          <w:tcPr>
            <w:tcW w:w="1983" w:type="dxa"/>
            <w:vAlign w:val="center"/>
          </w:tcPr>
          <w:p w14:paraId="3E78FCE5"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Grease trap waste</w:t>
            </w:r>
          </w:p>
        </w:tc>
        <w:tc>
          <w:tcPr>
            <w:tcW w:w="492" w:type="dxa"/>
            <w:vAlign w:val="center"/>
          </w:tcPr>
          <w:p w14:paraId="428AB84E"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color w:val="080808"/>
              </w:rPr>
              <w:t>No</w:t>
            </w:r>
          </w:p>
        </w:tc>
        <w:tc>
          <w:tcPr>
            <w:tcW w:w="5566" w:type="dxa"/>
            <w:gridSpan w:val="2"/>
            <w:vAlign w:val="center"/>
          </w:tcPr>
          <w:p w14:paraId="5ECD5D61" w14:textId="47ECAD25"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Limited change to projection</w:t>
            </w:r>
          </w:p>
        </w:tc>
      </w:tr>
      <w:tr w:rsidR="00042612" w:rsidRPr="00100F0A" w14:paraId="65D724C1" w14:textId="77777777" w:rsidTr="00F430A0">
        <w:tc>
          <w:tcPr>
            <w:cnfStyle w:val="001000000000" w:firstRow="0" w:lastRow="0" w:firstColumn="1" w:lastColumn="0" w:oddVBand="0" w:evenVBand="0" w:oddHBand="0" w:evenHBand="0" w:firstRowFirstColumn="0" w:firstRowLastColumn="0" w:lastRowFirstColumn="0" w:lastRowLastColumn="0"/>
            <w:tcW w:w="982" w:type="dxa"/>
          </w:tcPr>
          <w:p w14:paraId="758A6233" w14:textId="77777777" w:rsidR="00042612" w:rsidRPr="00100F0A" w:rsidRDefault="00042612" w:rsidP="007109C2">
            <w:pPr>
              <w:spacing w:before="0" w:after="0"/>
              <w:rPr>
                <w:color w:val="080808"/>
              </w:rPr>
            </w:pPr>
            <w:r w:rsidRPr="00100F0A">
              <w:rPr>
                <w:rFonts w:asciiTheme="minorHAnsi" w:hAnsiTheme="minorHAnsi" w:cstheme="minorHAnsi"/>
                <w:color w:val="000000"/>
              </w:rPr>
              <w:t>Other K</w:t>
            </w:r>
          </w:p>
        </w:tc>
        <w:tc>
          <w:tcPr>
            <w:tcW w:w="1983" w:type="dxa"/>
            <w:vAlign w:val="center"/>
          </w:tcPr>
          <w:p w14:paraId="58E64180"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Other putrescible/organic wastes</w:t>
            </w:r>
          </w:p>
        </w:tc>
        <w:tc>
          <w:tcPr>
            <w:tcW w:w="492" w:type="dxa"/>
            <w:vAlign w:val="center"/>
          </w:tcPr>
          <w:p w14:paraId="146BB8D3"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No</w:t>
            </w:r>
          </w:p>
        </w:tc>
        <w:tc>
          <w:tcPr>
            <w:tcW w:w="5566" w:type="dxa"/>
            <w:gridSpan w:val="2"/>
            <w:vAlign w:val="center"/>
          </w:tcPr>
          <w:p w14:paraId="039E2AA8" w14:textId="5DBB459F"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Limited change to projection</w:t>
            </w:r>
          </w:p>
        </w:tc>
      </w:tr>
      <w:tr w:rsidR="00042612" w:rsidRPr="00100F0A" w14:paraId="1536368D" w14:textId="77777777" w:rsidTr="00F430A0">
        <w:tc>
          <w:tcPr>
            <w:cnfStyle w:val="001000000000" w:firstRow="0" w:lastRow="0" w:firstColumn="1" w:lastColumn="0" w:oddVBand="0" w:evenVBand="0" w:oddHBand="0" w:evenHBand="0" w:firstRowFirstColumn="0" w:firstRowLastColumn="0" w:lastRowFirstColumn="0" w:lastRowLastColumn="0"/>
            <w:tcW w:w="982" w:type="dxa"/>
          </w:tcPr>
          <w:p w14:paraId="09A9E306" w14:textId="77777777" w:rsidR="00042612" w:rsidRPr="00100F0A" w:rsidRDefault="00042612" w:rsidP="007109C2">
            <w:pPr>
              <w:spacing w:before="0" w:after="0"/>
              <w:rPr>
                <w:color w:val="080808"/>
              </w:rPr>
            </w:pPr>
            <w:r w:rsidRPr="00100F0A">
              <w:rPr>
                <w:rFonts w:asciiTheme="minorHAnsi" w:hAnsiTheme="minorHAnsi" w:cstheme="minorHAnsi"/>
                <w:color w:val="000000"/>
              </w:rPr>
              <w:t>M100</w:t>
            </w:r>
          </w:p>
        </w:tc>
        <w:tc>
          <w:tcPr>
            <w:tcW w:w="1983" w:type="dxa"/>
            <w:vAlign w:val="center"/>
          </w:tcPr>
          <w:p w14:paraId="557707AA"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PCB</w:t>
            </w:r>
          </w:p>
        </w:tc>
        <w:tc>
          <w:tcPr>
            <w:tcW w:w="492" w:type="dxa"/>
            <w:vAlign w:val="center"/>
          </w:tcPr>
          <w:p w14:paraId="526DDE39"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Yes</w:t>
            </w:r>
          </w:p>
        </w:tc>
        <w:tc>
          <w:tcPr>
            <w:tcW w:w="5566" w:type="dxa"/>
            <w:gridSpan w:val="2"/>
            <w:vAlign w:val="center"/>
          </w:tcPr>
          <w:p w14:paraId="5BF305E6"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Waste group was not split out (from ‘Other M’) and separately modelled in 2015, so 2018 projections are new.</w:t>
            </w:r>
          </w:p>
        </w:tc>
      </w:tr>
      <w:tr w:rsidR="00042612" w:rsidRPr="00100F0A" w14:paraId="5AD92636" w14:textId="77777777" w:rsidTr="00F430A0">
        <w:trPr>
          <w:trHeight w:val="1285"/>
        </w:trPr>
        <w:tc>
          <w:tcPr>
            <w:cnfStyle w:val="001000000000" w:firstRow="0" w:lastRow="0" w:firstColumn="1" w:lastColumn="0" w:oddVBand="0" w:evenVBand="0" w:oddHBand="0" w:evenHBand="0" w:firstRowFirstColumn="0" w:firstRowLastColumn="0" w:lastRowFirstColumn="0" w:lastRowLastColumn="0"/>
            <w:tcW w:w="982" w:type="dxa"/>
            <w:vMerge w:val="restart"/>
          </w:tcPr>
          <w:p w14:paraId="5BD78B93" w14:textId="77777777" w:rsidR="00042612" w:rsidRPr="00100F0A" w:rsidRDefault="00042612" w:rsidP="007109C2">
            <w:pPr>
              <w:spacing w:before="0" w:after="0"/>
              <w:rPr>
                <w:color w:val="080808"/>
              </w:rPr>
            </w:pPr>
            <w:r w:rsidRPr="00100F0A">
              <w:rPr>
                <w:rFonts w:asciiTheme="minorHAnsi" w:hAnsiTheme="minorHAnsi" w:cstheme="minorHAnsi"/>
                <w:color w:val="000000"/>
              </w:rPr>
              <w:t>M160a &amp; b</w:t>
            </w:r>
          </w:p>
        </w:tc>
        <w:tc>
          <w:tcPr>
            <w:tcW w:w="1983" w:type="dxa"/>
            <w:vMerge w:val="restart"/>
            <w:vAlign w:val="center"/>
          </w:tcPr>
          <w:p w14:paraId="771263C3"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POP-BDEs and HBCD</w:t>
            </w:r>
          </w:p>
        </w:tc>
        <w:tc>
          <w:tcPr>
            <w:tcW w:w="492" w:type="dxa"/>
            <w:vMerge w:val="restart"/>
            <w:vAlign w:val="center"/>
          </w:tcPr>
          <w:p w14:paraId="178A161F"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Yes</w:t>
            </w:r>
          </w:p>
        </w:tc>
        <w:tc>
          <w:tcPr>
            <w:tcW w:w="5566" w:type="dxa"/>
            <w:gridSpan w:val="2"/>
            <w:vAlign w:val="center"/>
          </w:tcPr>
          <w:p w14:paraId="277F547E" w14:textId="32D67183"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 xml:space="preserve">Previously, POP were expressed as M160a-d. Since then there have been a number of developments in terms of </w:t>
            </w:r>
            <w:r w:rsidR="00374225">
              <w:rPr>
                <w:color w:val="080808"/>
              </w:rPr>
              <w:t>POP</w:t>
            </w:r>
            <w:r w:rsidRPr="00100F0A">
              <w:rPr>
                <w:color w:val="080808"/>
              </w:rPr>
              <w:t>, such as the establishment of a new code for PFAS wastes (M270) through the NEMP process, the listing of decaBDE on the Stockholm Convention and the restart of exports of significant volumes of Orica’s HCB stockpile. A ready-reckoner below shows the re-structuring of POP wastes and the projections that have been necessary to accommodate these changes:</w:t>
            </w:r>
          </w:p>
        </w:tc>
      </w:tr>
      <w:tr w:rsidR="00042612" w:rsidRPr="00100F0A" w14:paraId="3AD05A38" w14:textId="77777777" w:rsidTr="00F430A0">
        <w:trPr>
          <w:trHeight w:val="397"/>
        </w:trPr>
        <w:tc>
          <w:tcPr>
            <w:cnfStyle w:val="001000000000" w:firstRow="0" w:lastRow="0" w:firstColumn="1" w:lastColumn="0" w:oddVBand="0" w:evenVBand="0" w:oddHBand="0" w:evenHBand="0" w:firstRowFirstColumn="0" w:firstRowLastColumn="0" w:lastRowFirstColumn="0" w:lastRowLastColumn="0"/>
            <w:tcW w:w="982" w:type="dxa"/>
            <w:vMerge/>
          </w:tcPr>
          <w:p w14:paraId="579BC78C" w14:textId="77777777" w:rsidR="00042612" w:rsidRPr="00100F0A" w:rsidRDefault="00042612" w:rsidP="007109C2">
            <w:pPr>
              <w:rPr>
                <w:rFonts w:asciiTheme="minorHAnsi" w:hAnsiTheme="minorHAnsi" w:cstheme="minorHAnsi"/>
                <w:color w:val="000000"/>
              </w:rPr>
            </w:pPr>
          </w:p>
        </w:tc>
        <w:tc>
          <w:tcPr>
            <w:tcW w:w="1983" w:type="dxa"/>
            <w:vMerge/>
            <w:vAlign w:val="center"/>
          </w:tcPr>
          <w:p w14:paraId="0E432F36"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c>
          <w:tcPr>
            <w:tcW w:w="492" w:type="dxa"/>
            <w:vMerge/>
            <w:vAlign w:val="center"/>
          </w:tcPr>
          <w:p w14:paraId="4276ECEE"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c>
          <w:tcPr>
            <w:tcW w:w="2783" w:type="dxa"/>
            <w:vAlign w:val="center"/>
          </w:tcPr>
          <w:p w14:paraId="676C36C8"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2015</w:t>
            </w:r>
          </w:p>
        </w:tc>
        <w:tc>
          <w:tcPr>
            <w:tcW w:w="2783" w:type="dxa"/>
            <w:vAlign w:val="center"/>
          </w:tcPr>
          <w:p w14:paraId="3D7E8C12"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2018</w:t>
            </w:r>
          </w:p>
        </w:tc>
      </w:tr>
      <w:tr w:rsidR="00042612" w:rsidRPr="00100F0A" w14:paraId="6714EC57" w14:textId="77777777" w:rsidTr="00F430A0">
        <w:trPr>
          <w:trHeight w:val="397"/>
        </w:trPr>
        <w:tc>
          <w:tcPr>
            <w:cnfStyle w:val="001000000000" w:firstRow="0" w:lastRow="0" w:firstColumn="1" w:lastColumn="0" w:oddVBand="0" w:evenVBand="0" w:oddHBand="0" w:evenHBand="0" w:firstRowFirstColumn="0" w:firstRowLastColumn="0" w:lastRowFirstColumn="0" w:lastRowLastColumn="0"/>
            <w:tcW w:w="982" w:type="dxa"/>
            <w:vMerge/>
          </w:tcPr>
          <w:p w14:paraId="6621DB5A" w14:textId="77777777" w:rsidR="00042612" w:rsidRPr="00100F0A" w:rsidRDefault="00042612" w:rsidP="007109C2">
            <w:pPr>
              <w:rPr>
                <w:rFonts w:asciiTheme="minorHAnsi" w:hAnsiTheme="minorHAnsi" w:cstheme="minorHAnsi"/>
                <w:color w:val="000000"/>
              </w:rPr>
            </w:pPr>
          </w:p>
        </w:tc>
        <w:tc>
          <w:tcPr>
            <w:tcW w:w="1983" w:type="dxa"/>
            <w:vMerge/>
            <w:vAlign w:val="center"/>
          </w:tcPr>
          <w:p w14:paraId="3BE8F0B3"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c>
          <w:tcPr>
            <w:tcW w:w="492" w:type="dxa"/>
            <w:vMerge/>
            <w:vAlign w:val="center"/>
          </w:tcPr>
          <w:p w14:paraId="7266D72B"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c>
          <w:tcPr>
            <w:tcW w:w="2783" w:type="dxa"/>
            <w:vAlign w:val="center"/>
          </w:tcPr>
          <w:p w14:paraId="6E598C26"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M160a PFOS</w:t>
            </w:r>
          </w:p>
        </w:tc>
        <w:tc>
          <w:tcPr>
            <w:tcW w:w="2783" w:type="dxa"/>
            <w:vAlign w:val="center"/>
          </w:tcPr>
          <w:p w14:paraId="7C626DA2"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M270 PFAS wastes, split up as: M270a (PFAS soils), M270b (PFOS biosolids) &amp; M270c (AFFF concentrates)</w:t>
            </w:r>
          </w:p>
        </w:tc>
      </w:tr>
      <w:tr w:rsidR="00042612" w:rsidRPr="00100F0A" w14:paraId="63DFA5D9" w14:textId="77777777" w:rsidTr="00F430A0">
        <w:trPr>
          <w:trHeight w:val="397"/>
        </w:trPr>
        <w:tc>
          <w:tcPr>
            <w:cnfStyle w:val="001000000000" w:firstRow="0" w:lastRow="0" w:firstColumn="1" w:lastColumn="0" w:oddVBand="0" w:evenVBand="0" w:oddHBand="0" w:evenHBand="0" w:firstRowFirstColumn="0" w:firstRowLastColumn="0" w:lastRowFirstColumn="0" w:lastRowLastColumn="0"/>
            <w:tcW w:w="982" w:type="dxa"/>
            <w:vMerge/>
          </w:tcPr>
          <w:p w14:paraId="28BBB5A0" w14:textId="77777777" w:rsidR="00042612" w:rsidRPr="00100F0A" w:rsidRDefault="00042612" w:rsidP="007109C2">
            <w:pPr>
              <w:rPr>
                <w:rFonts w:asciiTheme="minorHAnsi" w:hAnsiTheme="minorHAnsi" w:cstheme="minorHAnsi"/>
                <w:color w:val="000000"/>
              </w:rPr>
            </w:pPr>
          </w:p>
        </w:tc>
        <w:tc>
          <w:tcPr>
            <w:tcW w:w="1983" w:type="dxa"/>
            <w:vMerge/>
            <w:vAlign w:val="center"/>
          </w:tcPr>
          <w:p w14:paraId="443383CE"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c>
          <w:tcPr>
            <w:tcW w:w="492" w:type="dxa"/>
            <w:vMerge/>
            <w:vAlign w:val="center"/>
          </w:tcPr>
          <w:p w14:paraId="07545706"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c>
          <w:tcPr>
            <w:tcW w:w="2783" w:type="dxa"/>
            <w:vAlign w:val="center"/>
          </w:tcPr>
          <w:p w14:paraId="499B24D8"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M160b POP-BDEs</w:t>
            </w:r>
          </w:p>
        </w:tc>
        <w:tc>
          <w:tcPr>
            <w:tcW w:w="2783" w:type="dxa"/>
            <w:vAlign w:val="center"/>
          </w:tcPr>
          <w:p w14:paraId="5FE15DFD"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M160a POP-BDEs</w:t>
            </w:r>
            <w:bookmarkStart w:id="145" w:name="_Ref529957775"/>
            <w:r w:rsidRPr="00100F0A">
              <w:rPr>
                <w:rStyle w:val="FootnoteReference"/>
                <w:color w:val="080808"/>
              </w:rPr>
              <w:footnoteReference w:id="17"/>
            </w:r>
            <w:bookmarkEnd w:id="145"/>
          </w:p>
        </w:tc>
      </w:tr>
      <w:tr w:rsidR="00042612" w:rsidRPr="00100F0A" w14:paraId="3EEB3ABD" w14:textId="77777777" w:rsidTr="00F430A0">
        <w:trPr>
          <w:trHeight w:val="397"/>
        </w:trPr>
        <w:tc>
          <w:tcPr>
            <w:cnfStyle w:val="001000000000" w:firstRow="0" w:lastRow="0" w:firstColumn="1" w:lastColumn="0" w:oddVBand="0" w:evenVBand="0" w:oddHBand="0" w:evenHBand="0" w:firstRowFirstColumn="0" w:firstRowLastColumn="0" w:lastRowFirstColumn="0" w:lastRowLastColumn="0"/>
            <w:tcW w:w="982" w:type="dxa"/>
            <w:vMerge/>
          </w:tcPr>
          <w:p w14:paraId="15EA681A" w14:textId="77777777" w:rsidR="00042612" w:rsidRPr="00100F0A" w:rsidRDefault="00042612" w:rsidP="007109C2">
            <w:pPr>
              <w:rPr>
                <w:rFonts w:asciiTheme="minorHAnsi" w:hAnsiTheme="minorHAnsi" w:cstheme="minorHAnsi"/>
                <w:color w:val="000000"/>
              </w:rPr>
            </w:pPr>
          </w:p>
        </w:tc>
        <w:tc>
          <w:tcPr>
            <w:tcW w:w="1983" w:type="dxa"/>
            <w:vMerge/>
            <w:vAlign w:val="center"/>
          </w:tcPr>
          <w:p w14:paraId="5CA860FF"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c>
          <w:tcPr>
            <w:tcW w:w="492" w:type="dxa"/>
            <w:vMerge/>
            <w:vAlign w:val="center"/>
          </w:tcPr>
          <w:p w14:paraId="429DEF47"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c>
          <w:tcPr>
            <w:tcW w:w="2783" w:type="dxa"/>
            <w:vAlign w:val="center"/>
          </w:tcPr>
          <w:p w14:paraId="3FF14C10"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M160c HBCD</w:t>
            </w:r>
          </w:p>
        </w:tc>
        <w:tc>
          <w:tcPr>
            <w:tcW w:w="2783" w:type="dxa"/>
            <w:vAlign w:val="center"/>
          </w:tcPr>
          <w:p w14:paraId="26FFD06A" w14:textId="57D5F2EA"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M160b HBCD</w:t>
            </w:r>
            <w:r w:rsidRPr="00100F0A">
              <w:rPr>
                <w:color w:val="080808"/>
                <w:vertAlign w:val="superscript"/>
              </w:rPr>
              <w:fldChar w:fldCharType="begin"/>
            </w:r>
            <w:r w:rsidRPr="00100F0A">
              <w:rPr>
                <w:color w:val="080808"/>
                <w:vertAlign w:val="superscript"/>
              </w:rPr>
              <w:instrText xml:space="preserve"> NOTEREF _Ref529957775 \h  \* MERGEFORMAT </w:instrText>
            </w:r>
            <w:r w:rsidRPr="00100F0A">
              <w:rPr>
                <w:color w:val="080808"/>
                <w:vertAlign w:val="superscript"/>
              </w:rPr>
            </w:r>
            <w:r w:rsidRPr="00100F0A">
              <w:rPr>
                <w:color w:val="080808"/>
                <w:vertAlign w:val="superscript"/>
              </w:rPr>
              <w:fldChar w:fldCharType="separate"/>
            </w:r>
            <w:r w:rsidR="00EB634D">
              <w:rPr>
                <w:color w:val="080808"/>
                <w:vertAlign w:val="superscript"/>
              </w:rPr>
              <w:t>17</w:t>
            </w:r>
            <w:r w:rsidRPr="00100F0A">
              <w:rPr>
                <w:color w:val="080808"/>
                <w:vertAlign w:val="superscript"/>
              </w:rPr>
              <w:fldChar w:fldCharType="end"/>
            </w:r>
          </w:p>
        </w:tc>
      </w:tr>
      <w:tr w:rsidR="00042612" w:rsidRPr="00100F0A" w14:paraId="074FB268" w14:textId="77777777" w:rsidTr="00F430A0">
        <w:trPr>
          <w:trHeight w:val="397"/>
        </w:trPr>
        <w:tc>
          <w:tcPr>
            <w:cnfStyle w:val="001000000000" w:firstRow="0" w:lastRow="0" w:firstColumn="1" w:lastColumn="0" w:oddVBand="0" w:evenVBand="0" w:oddHBand="0" w:evenHBand="0" w:firstRowFirstColumn="0" w:firstRowLastColumn="0" w:lastRowFirstColumn="0" w:lastRowLastColumn="0"/>
            <w:tcW w:w="982" w:type="dxa"/>
            <w:vMerge/>
          </w:tcPr>
          <w:p w14:paraId="61394265" w14:textId="77777777" w:rsidR="00042612" w:rsidRPr="00100F0A" w:rsidRDefault="00042612" w:rsidP="007109C2">
            <w:pPr>
              <w:rPr>
                <w:rFonts w:asciiTheme="minorHAnsi" w:hAnsiTheme="minorHAnsi" w:cstheme="minorHAnsi"/>
                <w:color w:val="000000"/>
              </w:rPr>
            </w:pPr>
          </w:p>
        </w:tc>
        <w:tc>
          <w:tcPr>
            <w:tcW w:w="1983" w:type="dxa"/>
            <w:vMerge/>
            <w:vAlign w:val="center"/>
          </w:tcPr>
          <w:p w14:paraId="6CB4FF72"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c>
          <w:tcPr>
            <w:tcW w:w="492" w:type="dxa"/>
            <w:vMerge/>
            <w:vAlign w:val="center"/>
          </w:tcPr>
          <w:p w14:paraId="76B8A1AF"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c>
          <w:tcPr>
            <w:tcW w:w="2783" w:type="dxa"/>
            <w:vAlign w:val="center"/>
          </w:tcPr>
          <w:p w14:paraId="241FBEB9"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M160d HCB</w:t>
            </w:r>
          </w:p>
        </w:tc>
        <w:tc>
          <w:tcPr>
            <w:tcW w:w="2783" w:type="dxa"/>
            <w:vAlign w:val="center"/>
          </w:tcPr>
          <w:p w14:paraId="70E47454"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M160c HCB</w:t>
            </w:r>
          </w:p>
        </w:tc>
      </w:tr>
      <w:tr w:rsidR="00042612" w:rsidRPr="00100F0A" w14:paraId="6C03EEBB" w14:textId="77777777" w:rsidTr="00F430A0">
        <w:tc>
          <w:tcPr>
            <w:cnfStyle w:val="001000000000" w:firstRow="0" w:lastRow="0" w:firstColumn="1" w:lastColumn="0" w:oddVBand="0" w:evenVBand="0" w:oddHBand="0" w:evenHBand="0" w:firstRowFirstColumn="0" w:firstRowLastColumn="0" w:lastRowFirstColumn="0" w:lastRowLastColumn="0"/>
            <w:tcW w:w="982" w:type="dxa"/>
          </w:tcPr>
          <w:p w14:paraId="177BE4E0" w14:textId="77777777" w:rsidR="00042612" w:rsidRPr="00100F0A" w:rsidRDefault="00042612" w:rsidP="007109C2">
            <w:pPr>
              <w:spacing w:before="0" w:after="0"/>
              <w:rPr>
                <w:color w:val="080808"/>
              </w:rPr>
            </w:pPr>
            <w:r w:rsidRPr="00100F0A">
              <w:rPr>
                <w:rFonts w:asciiTheme="minorHAnsi" w:hAnsiTheme="minorHAnsi" w:cstheme="minorHAnsi"/>
                <w:color w:val="000000"/>
              </w:rPr>
              <w:t>M160c</w:t>
            </w:r>
          </w:p>
        </w:tc>
        <w:tc>
          <w:tcPr>
            <w:tcW w:w="1983" w:type="dxa"/>
            <w:vAlign w:val="center"/>
          </w:tcPr>
          <w:p w14:paraId="0708157C"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HCB</w:t>
            </w:r>
          </w:p>
        </w:tc>
        <w:tc>
          <w:tcPr>
            <w:tcW w:w="492" w:type="dxa"/>
            <w:vAlign w:val="center"/>
          </w:tcPr>
          <w:p w14:paraId="5C2CDAAF"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Yes</w:t>
            </w:r>
          </w:p>
        </w:tc>
        <w:tc>
          <w:tcPr>
            <w:tcW w:w="5566" w:type="dxa"/>
            <w:gridSpan w:val="2"/>
            <w:vAlign w:val="center"/>
          </w:tcPr>
          <w:p w14:paraId="3FCE64F5"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 xml:space="preserve">See  </w:t>
            </w:r>
            <w:r w:rsidRPr="00100F0A">
              <w:rPr>
                <w:rFonts w:asciiTheme="minorHAnsi" w:hAnsiTheme="minorHAnsi" w:cstheme="minorHAnsi"/>
                <w:i/>
                <w:color w:val="000000"/>
              </w:rPr>
              <w:t xml:space="preserve">M160a &amp; b </w:t>
            </w:r>
            <w:r w:rsidRPr="00100F0A">
              <w:rPr>
                <w:rFonts w:asciiTheme="minorHAnsi" w:hAnsiTheme="minorHAnsi" w:cstheme="minorHAnsi"/>
                <w:color w:val="000000"/>
              </w:rPr>
              <w:t>above</w:t>
            </w:r>
          </w:p>
        </w:tc>
      </w:tr>
      <w:tr w:rsidR="00042612" w:rsidRPr="00100F0A" w14:paraId="656EFB11" w14:textId="77777777" w:rsidTr="00F430A0">
        <w:tc>
          <w:tcPr>
            <w:cnfStyle w:val="001000000000" w:firstRow="0" w:lastRow="0" w:firstColumn="1" w:lastColumn="0" w:oddVBand="0" w:evenVBand="0" w:oddHBand="0" w:evenHBand="0" w:firstRowFirstColumn="0" w:firstRowLastColumn="0" w:lastRowFirstColumn="0" w:lastRowLastColumn="0"/>
            <w:tcW w:w="982" w:type="dxa"/>
          </w:tcPr>
          <w:p w14:paraId="6DEA7311" w14:textId="77777777" w:rsidR="00042612" w:rsidRPr="00100F0A" w:rsidRDefault="00042612" w:rsidP="007109C2">
            <w:pPr>
              <w:spacing w:before="0" w:after="0"/>
              <w:rPr>
                <w:color w:val="080808"/>
              </w:rPr>
            </w:pPr>
            <w:r w:rsidRPr="00100F0A">
              <w:rPr>
                <w:rFonts w:asciiTheme="minorHAnsi" w:hAnsiTheme="minorHAnsi" w:cstheme="minorHAnsi"/>
                <w:color w:val="000000"/>
              </w:rPr>
              <w:t>M270a</w:t>
            </w:r>
          </w:p>
        </w:tc>
        <w:tc>
          <w:tcPr>
            <w:tcW w:w="1983" w:type="dxa"/>
            <w:vAlign w:val="center"/>
          </w:tcPr>
          <w:p w14:paraId="564D4C2F"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rFonts w:cs="Calibri"/>
                <w:color w:val="000000"/>
              </w:rPr>
              <w:t>PFOS contaminated biosolids</w:t>
            </w:r>
          </w:p>
        </w:tc>
        <w:tc>
          <w:tcPr>
            <w:tcW w:w="492" w:type="dxa"/>
            <w:vAlign w:val="center"/>
          </w:tcPr>
          <w:p w14:paraId="6E708E66"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Yes</w:t>
            </w:r>
          </w:p>
        </w:tc>
        <w:tc>
          <w:tcPr>
            <w:tcW w:w="5566" w:type="dxa"/>
            <w:gridSpan w:val="2"/>
            <w:vAlign w:val="center"/>
          </w:tcPr>
          <w:p w14:paraId="6F13CB66" w14:textId="3669551C" w:rsidR="00042612" w:rsidRPr="00100F0A" w:rsidRDefault="00C34F48" w:rsidP="007109C2">
            <w:pPr>
              <w:spacing w:before="0" w:after="0"/>
              <w:cnfStyle w:val="000000000000" w:firstRow="0" w:lastRow="0" w:firstColumn="0" w:lastColumn="0" w:oddVBand="0" w:evenVBand="0" w:oddHBand="0" w:evenHBand="0" w:firstRowFirstColumn="0" w:firstRowLastColumn="0" w:lastRowFirstColumn="0" w:lastRowLastColumn="0"/>
              <w:rPr>
                <w:color w:val="080808"/>
              </w:rPr>
            </w:pPr>
            <w:r w:rsidRPr="00100F0A">
              <w:rPr>
                <w:rFonts w:asciiTheme="minorHAnsi" w:hAnsiTheme="minorHAnsi" w:cstheme="minorHAnsi"/>
                <w:color w:val="000000"/>
              </w:rPr>
              <w:t>See M</w:t>
            </w:r>
            <w:r w:rsidR="00042612" w:rsidRPr="00100F0A">
              <w:rPr>
                <w:rFonts w:asciiTheme="minorHAnsi" w:hAnsiTheme="minorHAnsi" w:cstheme="minorHAnsi"/>
                <w:i/>
                <w:color w:val="000000"/>
              </w:rPr>
              <w:t xml:space="preserve">160a &amp; b </w:t>
            </w:r>
            <w:r w:rsidR="00042612" w:rsidRPr="00100F0A">
              <w:rPr>
                <w:rFonts w:asciiTheme="minorHAnsi" w:hAnsiTheme="minorHAnsi" w:cstheme="minorHAnsi"/>
                <w:color w:val="000000"/>
              </w:rPr>
              <w:t>above</w:t>
            </w:r>
          </w:p>
        </w:tc>
      </w:tr>
      <w:tr w:rsidR="00042612" w:rsidRPr="00100F0A" w14:paraId="4AF2BDB9" w14:textId="77777777" w:rsidTr="00F430A0">
        <w:tc>
          <w:tcPr>
            <w:cnfStyle w:val="001000000000" w:firstRow="0" w:lastRow="0" w:firstColumn="1" w:lastColumn="0" w:oddVBand="0" w:evenVBand="0" w:oddHBand="0" w:evenHBand="0" w:firstRowFirstColumn="0" w:firstRowLastColumn="0" w:lastRowFirstColumn="0" w:lastRowLastColumn="0"/>
            <w:tcW w:w="982" w:type="dxa"/>
          </w:tcPr>
          <w:p w14:paraId="6DA2B47B" w14:textId="77777777" w:rsidR="00042612" w:rsidRPr="00100F0A" w:rsidRDefault="00042612" w:rsidP="007109C2">
            <w:pPr>
              <w:spacing w:before="0" w:after="0"/>
              <w:rPr>
                <w:rFonts w:asciiTheme="minorHAnsi" w:hAnsiTheme="minorHAnsi" w:cstheme="minorHAnsi"/>
                <w:color w:val="000000"/>
              </w:rPr>
            </w:pPr>
            <w:r w:rsidRPr="00100F0A">
              <w:rPr>
                <w:rFonts w:asciiTheme="minorHAnsi" w:hAnsiTheme="minorHAnsi" w:cstheme="minorHAnsi"/>
                <w:color w:val="000000"/>
              </w:rPr>
              <w:t>M270b</w:t>
            </w:r>
          </w:p>
        </w:tc>
        <w:tc>
          <w:tcPr>
            <w:tcW w:w="1983" w:type="dxa"/>
            <w:vAlign w:val="center"/>
          </w:tcPr>
          <w:p w14:paraId="15F2D5D0" w14:textId="1DB25EEE"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vertAlign w:val="superscript"/>
              </w:rPr>
            </w:pPr>
            <w:r w:rsidRPr="00100F0A">
              <w:rPr>
                <w:rFonts w:cs="Calibri"/>
                <w:color w:val="000000"/>
              </w:rPr>
              <w:t>PFAS contaminated soil</w:t>
            </w:r>
          </w:p>
        </w:tc>
        <w:tc>
          <w:tcPr>
            <w:tcW w:w="492" w:type="dxa"/>
            <w:vAlign w:val="center"/>
          </w:tcPr>
          <w:p w14:paraId="20013B3F"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Yes</w:t>
            </w:r>
          </w:p>
        </w:tc>
        <w:tc>
          <w:tcPr>
            <w:tcW w:w="5566" w:type="dxa"/>
            <w:gridSpan w:val="2"/>
            <w:vAlign w:val="center"/>
          </w:tcPr>
          <w:p w14:paraId="6A4A9994" w14:textId="5420BD02" w:rsidR="00042612" w:rsidRPr="00100F0A" w:rsidRDefault="00C34F48" w:rsidP="007109C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See M</w:t>
            </w:r>
            <w:r w:rsidR="00042612" w:rsidRPr="00100F0A">
              <w:rPr>
                <w:rFonts w:asciiTheme="minorHAnsi" w:hAnsiTheme="minorHAnsi" w:cstheme="minorHAnsi"/>
                <w:i/>
                <w:color w:val="000000"/>
              </w:rPr>
              <w:t xml:space="preserve">160a &amp; b </w:t>
            </w:r>
            <w:r w:rsidR="00042612" w:rsidRPr="00100F0A">
              <w:rPr>
                <w:rFonts w:asciiTheme="minorHAnsi" w:hAnsiTheme="minorHAnsi" w:cstheme="minorHAnsi"/>
                <w:color w:val="000000"/>
              </w:rPr>
              <w:t>above</w:t>
            </w:r>
          </w:p>
        </w:tc>
      </w:tr>
      <w:tr w:rsidR="00042612" w:rsidRPr="00100F0A" w14:paraId="37E24926" w14:textId="77777777" w:rsidTr="00F430A0">
        <w:tc>
          <w:tcPr>
            <w:cnfStyle w:val="001000000000" w:firstRow="0" w:lastRow="0" w:firstColumn="1" w:lastColumn="0" w:oddVBand="0" w:evenVBand="0" w:oddHBand="0" w:evenHBand="0" w:firstRowFirstColumn="0" w:firstRowLastColumn="0" w:lastRowFirstColumn="0" w:lastRowLastColumn="0"/>
            <w:tcW w:w="982" w:type="dxa"/>
          </w:tcPr>
          <w:p w14:paraId="5D653ED1" w14:textId="77777777" w:rsidR="00042612" w:rsidRPr="00100F0A" w:rsidRDefault="00042612" w:rsidP="007109C2">
            <w:pPr>
              <w:spacing w:before="0" w:after="0"/>
              <w:rPr>
                <w:rFonts w:asciiTheme="minorHAnsi" w:hAnsiTheme="minorHAnsi" w:cstheme="minorHAnsi"/>
                <w:color w:val="000000"/>
              </w:rPr>
            </w:pPr>
            <w:r w:rsidRPr="00100F0A">
              <w:rPr>
                <w:rFonts w:asciiTheme="minorHAnsi" w:hAnsiTheme="minorHAnsi" w:cstheme="minorHAnsi"/>
                <w:color w:val="000000"/>
              </w:rPr>
              <w:t>M270c</w:t>
            </w:r>
          </w:p>
        </w:tc>
        <w:tc>
          <w:tcPr>
            <w:tcW w:w="1983" w:type="dxa"/>
            <w:vAlign w:val="center"/>
          </w:tcPr>
          <w:p w14:paraId="1027C540"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vertAlign w:val="superscript"/>
              </w:rPr>
            </w:pPr>
            <w:r w:rsidRPr="00100F0A">
              <w:rPr>
                <w:rFonts w:cs="Calibri"/>
                <w:color w:val="000000"/>
              </w:rPr>
              <w:t>AFFF concentrates</w:t>
            </w:r>
          </w:p>
        </w:tc>
        <w:tc>
          <w:tcPr>
            <w:tcW w:w="492" w:type="dxa"/>
            <w:vAlign w:val="center"/>
          </w:tcPr>
          <w:p w14:paraId="60C6DC40"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Yes</w:t>
            </w:r>
          </w:p>
        </w:tc>
        <w:tc>
          <w:tcPr>
            <w:tcW w:w="5566" w:type="dxa"/>
            <w:gridSpan w:val="2"/>
            <w:vAlign w:val="center"/>
          </w:tcPr>
          <w:p w14:paraId="47FC5F56" w14:textId="1F2C7AF4" w:rsidR="00042612" w:rsidRPr="00100F0A" w:rsidRDefault="00C34F48" w:rsidP="007109C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See M</w:t>
            </w:r>
            <w:r w:rsidR="00042612" w:rsidRPr="00100F0A">
              <w:rPr>
                <w:rFonts w:asciiTheme="minorHAnsi" w:hAnsiTheme="minorHAnsi" w:cstheme="minorHAnsi"/>
                <w:i/>
                <w:color w:val="000000"/>
              </w:rPr>
              <w:t xml:space="preserve">160a &amp; b </w:t>
            </w:r>
            <w:r w:rsidR="00042612" w:rsidRPr="00100F0A">
              <w:rPr>
                <w:rFonts w:asciiTheme="minorHAnsi" w:hAnsiTheme="minorHAnsi" w:cstheme="minorHAnsi"/>
                <w:color w:val="000000"/>
              </w:rPr>
              <w:t>above</w:t>
            </w:r>
          </w:p>
        </w:tc>
      </w:tr>
      <w:tr w:rsidR="00042612" w:rsidRPr="00100F0A" w14:paraId="390927E8" w14:textId="77777777" w:rsidTr="00F430A0">
        <w:tc>
          <w:tcPr>
            <w:cnfStyle w:val="001000000000" w:firstRow="0" w:lastRow="0" w:firstColumn="1" w:lastColumn="0" w:oddVBand="0" w:evenVBand="0" w:oddHBand="0" w:evenHBand="0" w:firstRowFirstColumn="0" w:firstRowLastColumn="0" w:lastRowFirstColumn="0" w:lastRowLastColumn="0"/>
            <w:tcW w:w="982" w:type="dxa"/>
          </w:tcPr>
          <w:p w14:paraId="7F1D07A6" w14:textId="77777777" w:rsidR="00042612" w:rsidRPr="00100F0A" w:rsidRDefault="00042612" w:rsidP="007109C2">
            <w:pPr>
              <w:spacing w:before="0" w:after="0"/>
              <w:rPr>
                <w:rFonts w:asciiTheme="minorHAnsi" w:hAnsiTheme="minorHAnsi" w:cstheme="minorHAnsi"/>
                <w:color w:val="000000"/>
              </w:rPr>
            </w:pPr>
            <w:r w:rsidRPr="00100F0A">
              <w:rPr>
                <w:rFonts w:asciiTheme="minorHAnsi" w:hAnsiTheme="minorHAnsi" w:cstheme="minorHAnsi"/>
                <w:color w:val="000000"/>
              </w:rPr>
              <w:t>Other M</w:t>
            </w:r>
          </w:p>
        </w:tc>
        <w:tc>
          <w:tcPr>
            <w:tcW w:w="1983" w:type="dxa"/>
            <w:vAlign w:val="center"/>
          </w:tcPr>
          <w:p w14:paraId="17BB6B23"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100F0A">
              <w:rPr>
                <w:rFonts w:asciiTheme="minorHAnsi" w:hAnsiTheme="minorHAnsi" w:cstheme="minorHAnsi"/>
                <w:color w:val="000000"/>
              </w:rPr>
              <w:t>Other organic chemicals</w:t>
            </w:r>
          </w:p>
        </w:tc>
        <w:tc>
          <w:tcPr>
            <w:tcW w:w="492" w:type="dxa"/>
            <w:vAlign w:val="center"/>
          </w:tcPr>
          <w:p w14:paraId="0C09CCB3"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Yes</w:t>
            </w:r>
          </w:p>
        </w:tc>
        <w:tc>
          <w:tcPr>
            <w:tcW w:w="5566" w:type="dxa"/>
            <w:gridSpan w:val="2"/>
            <w:vAlign w:val="center"/>
          </w:tcPr>
          <w:p w14:paraId="6EFE9E3B"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New group due to splitting out of M100</w:t>
            </w:r>
          </w:p>
        </w:tc>
      </w:tr>
      <w:tr w:rsidR="00042612" w:rsidRPr="00100F0A" w14:paraId="3EC0C569" w14:textId="77777777" w:rsidTr="00F430A0">
        <w:tc>
          <w:tcPr>
            <w:cnfStyle w:val="001000000000" w:firstRow="0" w:lastRow="0" w:firstColumn="1" w:lastColumn="0" w:oddVBand="0" w:evenVBand="0" w:oddHBand="0" w:evenHBand="0" w:firstRowFirstColumn="0" w:firstRowLastColumn="0" w:lastRowFirstColumn="0" w:lastRowLastColumn="0"/>
            <w:tcW w:w="982" w:type="dxa"/>
          </w:tcPr>
          <w:p w14:paraId="2F4CCD78" w14:textId="77777777" w:rsidR="00042612" w:rsidRPr="00100F0A" w:rsidRDefault="00042612" w:rsidP="007109C2">
            <w:pPr>
              <w:spacing w:before="0" w:after="0"/>
              <w:rPr>
                <w:rFonts w:asciiTheme="minorHAnsi" w:hAnsiTheme="minorHAnsi" w:cstheme="minorHAnsi"/>
                <w:color w:val="000000"/>
              </w:rPr>
            </w:pPr>
            <w:r w:rsidRPr="00100F0A">
              <w:rPr>
                <w:rFonts w:asciiTheme="minorHAnsi" w:hAnsiTheme="minorHAnsi" w:cstheme="minorHAnsi"/>
                <w:color w:val="000000"/>
              </w:rPr>
              <w:t>N120</w:t>
            </w:r>
          </w:p>
        </w:tc>
        <w:tc>
          <w:tcPr>
            <w:tcW w:w="1983" w:type="dxa"/>
            <w:vAlign w:val="center"/>
          </w:tcPr>
          <w:p w14:paraId="3073346F"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100F0A">
              <w:rPr>
                <w:rFonts w:asciiTheme="minorHAnsi" w:hAnsiTheme="minorHAnsi" w:cstheme="minorHAnsi"/>
                <w:color w:val="000000"/>
              </w:rPr>
              <w:t>Contaminated soils</w:t>
            </w:r>
          </w:p>
        </w:tc>
        <w:tc>
          <w:tcPr>
            <w:tcW w:w="492" w:type="dxa"/>
            <w:vAlign w:val="center"/>
          </w:tcPr>
          <w:p w14:paraId="4EAF56DF"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No</w:t>
            </w:r>
          </w:p>
        </w:tc>
        <w:tc>
          <w:tcPr>
            <w:tcW w:w="5566" w:type="dxa"/>
            <w:gridSpan w:val="2"/>
            <w:vAlign w:val="center"/>
          </w:tcPr>
          <w:p w14:paraId="37A48CF8" w14:textId="5EF08B34"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color w:val="080808"/>
              </w:rPr>
              <w:t>Limited change to projection</w:t>
            </w:r>
          </w:p>
        </w:tc>
      </w:tr>
      <w:tr w:rsidR="00042612" w:rsidRPr="00100F0A" w14:paraId="60684476" w14:textId="77777777" w:rsidTr="00F430A0">
        <w:tc>
          <w:tcPr>
            <w:cnfStyle w:val="001000000000" w:firstRow="0" w:lastRow="0" w:firstColumn="1" w:lastColumn="0" w:oddVBand="0" w:evenVBand="0" w:oddHBand="0" w:evenHBand="0" w:firstRowFirstColumn="0" w:firstRowLastColumn="0" w:lastRowFirstColumn="0" w:lastRowLastColumn="0"/>
            <w:tcW w:w="982" w:type="dxa"/>
          </w:tcPr>
          <w:p w14:paraId="04621348" w14:textId="77777777" w:rsidR="00042612" w:rsidRPr="00100F0A" w:rsidRDefault="00042612" w:rsidP="007109C2">
            <w:pPr>
              <w:spacing w:before="0" w:after="0"/>
              <w:rPr>
                <w:rFonts w:asciiTheme="minorHAnsi" w:hAnsiTheme="minorHAnsi" w:cstheme="minorHAnsi"/>
                <w:color w:val="000000"/>
              </w:rPr>
            </w:pPr>
            <w:r w:rsidRPr="00100F0A">
              <w:rPr>
                <w:rFonts w:asciiTheme="minorHAnsi" w:hAnsiTheme="minorHAnsi" w:cstheme="minorHAnsi"/>
                <w:color w:val="000000"/>
              </w:rPr>
              <w:t>N205a</w:t>
            </w:r>
          </w:p>
        </w:tc>
        <w:tc>
          <w:tcPr>
            <w:tcW w:w="1983" w:type="dxa"/>
            <w:vAlign w:val="center"/>
          </w:tcPr>
          <w:p w14:paraId="418A653B"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100F0A">
              <w:rPr>
                <w:rFonts w:asciiTheme="minorHAnsi" w:hAnsiTheme="minorHAnsi" w:cstheme="minorHAnsi"/>
                <w:color w:val="000000"/>
              </w:rPr>
              <w:t>Other contaminated biosolids</w:t>
            </w:r>
          </w:p>
        </w:tc>
        <w:tc>
          <w:tcPr>
            <w:tcW w:w="492" w:type="dxa"/>
            <w:vAlign w:val="center"/>
          </w:tcPr>
          <w:p w14:paraId="755A6B7C"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Yes</w:t>
            </w:r>
          </w:p>
        </w:tc>
        <w:tc>
          <w:tcPr>
            <w:tcW w:w="5566" w:type="dxa"/>
            <w:gridSpan w:val="2"/>
            <w:vAlign w:val="center"/>
          </w:tcPr>
          <w:p w14:paraId="28DA7932" w14:textId="7F8C5A11"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 xml:space="preserve">New </w:t>
            </w:r>
            <w:r w:rsidR="0047489C" w:rsidRPr="0047489C">
              <w:rPr>
                <w:rFonts w:asciiTheme="minorHAnsi" w:hAnsiTheme="minorHAnsi" w:cstheme="minorHAnsi"/>
                <w:color w:val="000000"/>
              </w:rPr>
              <w:t>Australian &amp; New Zealand Biosolids Partnership (ANZBP)</w:t>
            </w:r>
            <w:r w:rsidRPr="00100F0A">
              <w:rPr>
                <w:rFonts w:asciiTheme="minorHAnsi" w:hAnsiTheme="minorHAnsi" w:cstheme="minorHAnsi"/>
                <w:color w:val="000000"/>
              </w:rPr>
              <w:t xml:space="preserve"> data provides tonnages of biosolids contaminated in those contaminants jurisdictional biosolids guidelines list, and specific fates in each jurisdiction. This data was previously unavailable. In light of this data we have moved from assuming all biosolids could be contaminated (in the high case) to using ANZBP provided data. This has lowered projection volumes due to a tighter definition of the proportion of biosolids that are contaminated, and therefore likely to be hazardous waste. Also, the waste group heading has changed from ‘contaminated biosolids’ to ‘other contaminated biosolids’ to differentiate between PFAS contamination (M270b) and ‘traditional pollutant’ contamination (other).</w:t>
            </w:r>
          </w:p>
        </w:tc>
      </w:tr>
      <w:tr w:rsidR="00042612" w:rsidRPr="00100F0A" w14:paraId="109C2F99" w14:textId="77777777" w:rsidTr="00F430A0">
        <w:tc>
          <w:tcPr>
            <w:cnfStyle w:val="001000000000" w:firstRow="0" w:lastRow="0" w:firstColumn="1" w:lastColumn="0" w:oddVBand="0" w:evenVBand="0" w:oddHBand="0" w:evenHBand="0" w:firstRowFirstColumn="0" w:firstRowLastColumn="0" w:lastRowFirstColumn="0" w:lastRowLastColumn="0"/>
            <w:tcW w:w="982" w:type="dxa"/>
          </w:tcPr>
          <w:p w14:paraId="1B173FC8" w14:textId="77777777" w:rsidR="00042612" w:rsidRPr="00100F0A" w:rsidRDefault="00042612" w:rsidP="007109C2">
            <w:pPr>
              <w:spacing w:before="0" w:after="0"/>
              <w:rPr>
                <w:rFonts w:asciiTheme="minorHAnsi" w:hAnsiTheme="minorHAnsi" w:cstheme="minorHAnsi"/>
                <w:color w:val="000000"/>
              </w:rPr>
            </w:pPr>
            <w:r w:rsidRPr="00100F0A">
              <w:rPr>
                <w:rFonts w:asciiTheme="minorHAnsi" w:hAnsiTheme="minorHAnsi" w:cstheme="minorHAnsi"/>
                <w:color w:val="000000"/>
              </w:rPr>
              <w:t>N205b</w:t>
            </w:r>
          </w:p>
        </w:tc>
        <w:tc>
          <w:tcPr>
            <w:tcW w:w="1983" w:type="dxa"/>
            <w:vAlign w:val="center"/>
          </w:tcPr>
          <w:p w14:paraId="65F6981F"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100F0A">
              <w:rPr>
                <w:rFonts w:asciiTheme="minorHAnsi" w:hAnsiTheme="minorHAnsi" w:cstheme="minorHAnsi"/>
                <w:color w:val="000000"/>
              </w:rPr>
              <w:t>Other industrial treatment residues</w:t>
            </w:r>
          </w:p>
        </w:tc>
        <w:tc>
          <w:tcPr>
            <w:tcW w:w="492" w:type="dxa"/>
            <w:vAlign w:val="center"/>
          </w:tcPr>
          <w:p w14:paraId="4036CD81"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No</w:t>
            </w:r>
          </w:p>
        </w:tc>
        <w:tc>
          <w:tcPr>
            <w:tcW w:w="5566" w:type="dxa"/>
            <w:gridSpan w:val="2"/>
            <w:vAlign w:val="center"/>
          </w:tcPr>
          <w:p w14:paraId="1176AB74"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color w:val="080808"/>
              </w:rPr>
              <w:t>Limited change to projection, other than more conservative growth.</w:t>
            </w:r>
          </w:p>
        </w:tc>
      </w:tr>
      <w:tr w:rsidR="00042612" w:rsidRPr="00100F0A" w14:paraId="633D308B" w14:textId="77777777" w:rsidTr="00F430A0">
        <w:tc>
          <w:tcPr>
            <w:cnfStyle w:val="001000000000" w:firstRow="0" w:lastRow="0" w:firstColumn="1" w:lastColumn="0" w:oddVBand="0" w:evenVBand="0" w:oddHBand="0" w:evenHBand="0" w:firstRowFirstColumn="0" w:firstRowLastColumn="0" w:lastRowFirstColumn="0" w:lastRowLastColumn="0"/>
            <w:tcW w:w="982" w:type="dxa"/>
          </w:tcPr>
          <w:p w14:paraId="52DACBBC" w14:textId="77777777" w:rsidR="00042612" w:rsidRPr="00100F0A" w:rsidRDefault="00042612" w:rsidP="007109C2">
            <w:pPr>
              <w:spacing w:before="0" w:after="0"/>
              <w:rPr>
                <w:rFonts w:asciiTheme="minorHAnsi" w:hAnsiTheme="minorHAnsi" w:cstheme="minorHAnsi"/>
                <w:color w:val="000000"/>
              </w:rPr>
            </w:pPr>
            <w:r w:rsidRPr="00100F0A">
              <w:rPr>
                <w:rFonts w:asciiTheme="minorHAnsi" w:hAnsiTheme="minorHAnsi" w:cstheme="minorHAnsi"/>
                <w:color w:val="000000"/>
              </w:rPr>
              <w:t>N220</w:t>
            </w:r>
          </w:p>
        </w:tc>
        <w:tc>
          <w:tcPr>
            <w:tcW w:w="1983" w:type="dxa"/>
            <w:vAlign w:val="center"/>
          </w:tcPr>
          <w:p w14:paraId="2EC6CC41"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100F0A">
              <w:rPr>
                <w:rFonts w:asciiTheme="minorHAnsi" w:hAnsiTheme="minorHAnsi" w:cstheme="minorHAnsi"/>
                <w:color w:val="000000"/>
              </w:rPr>
              <w:t>Asbestos</w:t>
            </w:r>
          </w:p>
        </w:tc>
        <w:tc>
          <w:tcPr>
            <w:tcW w:w="492" w:type="dxa"/>
            <w:vAlign w:val="center"/>
          </w:tcPr>
          <w:p w14:paraId="1B96B51A"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No</w:t>
            </w:r>
          </w:p>
        </w:tc>
        <w:tc>
          <w:tcPr>
            <w:tcW w:w="5566" w:type="dxa"/>
            <w:gridSpan w:val="2"/>
            <w:vAlign w:val="center"/>
          </w:tcPr>
          <w:p w14:paraId="7FAE77F7"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color w:val="080808"/>
              </w:rPr>
              <w:t>Limited change to projection, other than the group’s name change from ‘asbestos’ to ‘Asbestos containing material’.</w:t>
            </w:r>
          </w:p>
        </w:tc>
      </w:tr>
      <w:tr w:rsidR="00042612" w:rsidRPr="00100F0A" w14:paraId="66A76599" w14:textId="77777777" w:rsidTr="00F430A0">
        <w:tc>
          <w:tcPr>
            <w:cnfStyle w:val="001000000000" w:firstRow="0" w:lastRow="0" w:firstColumn="1" w:lastColumn="0" w:oddVBand="0" w:evenVBand="0" w:oddHBand="0" w:evenHBand="0" w:firstRowFirstColumn="0" w:firstRowLastColumn="0" w:lastRowFirstColumn="0" w:lastRowLastColumn="0"/>
            <w:tcW w:w="982" w:type="dxa"/>
          </w:tcPr>
          <w:p w14:paraId="3D7C4167" w14:textId="77777777" w:rsidR="00042612" w:rsidRPr="00100F0A" w:rsidRDefault="00042612" w:rsidP="007109C2">
            <w:pPr>
              <w:spacing w:before="0" w:after="0"/>
              <w:rPr>
                <w:rFonts w:asciiTheme="minorHAnsi" w:hAnsiTheme="minorHAnsi" w:cstheme="minorHAnsi"/>
                <w:color w:val="000000"/>
              </w:rPr>
            </w:pPr>
            <w:r w:rsidRPr="00100F0A">
              <w:rPr>
                <w:rFonts w:asciiTheme="minorHAnsi" w:hAnsiTheme="minorHAnsi" w:cstheme="minorHAnsi"/>
                <w:color w:val="000000"/>
              </w:rPr>
              <w:t>Other N</w:t>
            </w:r>
          </w:p>
        </w:tc>
        <w:tc>
          <w:tcPr>
            <w:tcW w:w="1983" w:type="dxa"/>
            <w:vAlign w:val="center"/>
          </w:tcPr>
          <w:p w14:paraId="62E5DE63"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100F0A">
              <w:rPr>
                <w:rFonts w:asciiTheme="minorHAnsi" w:hAnsiTheme="minorHAnsi" w:cstheme="minorHAnsi"/>
                <w:color w:val="000000"/>
              </w:rPr>
              <w:t>Other soil/sludges</w:t>
            </w:r>
          </w:p>
        </w:tc>
        <w:tc>
          <w:tcPr>
            <w:tcW w:w="492" w:type="dxa"/>
            <w:vAlign w:val="center"/>
          </w:tcPr>
          <w:p w14:paraId="2791713B"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Yes</w:t>
            </w:r>
          </w:p>
        </w:tc>
        <w:tc>
          <w:tcPr>
            <w:tcW w:w="5566" w:type="dxa"/>
            <w:gridSpan w:val="2"/>
            <w:vAlign w:val="center"/>
          </w:tcPr>
          <w:p w14:paraId="11B1A22D"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Reliance on fly ash from new EfW removed from assumptions since current volumes are dominated not by fly ash but other wastes, such as N160 (encapsulated waste), N100 (drums) and N190 (filter cake).</w:t>
            </w:r>
          </w:p>
        </w:tc>
      </w:tr>
      <w:tr w:rsidR="00042612" w:rsidRPr="00100F0A" w14:paraId="27C00329" w14:textId="77777777" w:rsidTr="00F430A0">
        <w:tc>
          <w:tcPr>
            <w:cnfStyle w:val="001000000000" w:firstRow="0" w:lastRow="0" w:firstColumn="1" w:lastColumn="0" w:oddVBand="0" w:evenVBand="0" w:oddHBand="0" w:evenHBand="0" w:firstRowFirstColumn="0" w:firstRowLastColumn="0" w:lastRowFirstColumn="0" w:lastRowLastColumn="0"/>
            <w:tcW w:w="982" w:type="dxa"/>
          </w:tcPr>
          <w:p w14:paraId="3EF182D6" w14:textId="77777777" w:rsidR="00042612" w:rsidRPr="00100F0A" w:rsidRDefault="00042612" w:rsidP="007109C2">
            <w:pPr>
              <w:spacing w:before="0" w:after="0"/>
              <w:rPr>
                <w:rFonts w:asciiTheme="minorHAnsi" w:hAnsiTheme="minorHAnsi" w:cstheme="minorHAnsi"/>
                <w:color w:val="000000"/>
              </w:rPr>
            </w:pPr>
            <w:r w:rsidRPr="00100F0A">
              <w:rPr>
                <w:rFonts w:asciiTheme="minorHAnsi" w:hAnsiTheme="minorHAnsi" w:cstheme="minorHAnsi"/>
                <w:color w:val="000000"/>
              </w:rPr>
              <w:t>R</w:t>
            </w:r>
          </w:p>
        </w:tc>
        <w:tc>
          <w:tcPr>
            <w:tcW w:w="1983" w:type="dxa"/>
            <w:vAlign w:val="center"/>
          </w:tcPr>
          <w:p w14:paraId="523526EE"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100F0A">
              <w:rPr>
                <w:rFonts w:asciiTheme="minorHAnsi" w:hAnsiTheme="minorHAnsi" w:cstheme="minorHAnsi"/>
                <w:color w:val="000000"/>
              </w:rPr>
              <w:t>Clinical &amp; pharmaceutical</w:t>
            </w:r>
          </w:p>
        </w:tc>
        <w:tc>
          <w:tcPr>
            <w:tcW w:w="492" w:type="dxa"/>
            <w:vAlign w:val="center"/>
          </w:tcPr>
          <w:p w14:paraId="5C235479"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No</w:t>
            </w:r>
          </w:p>
        </w:tc>
        <w:tc>
          <w:tcPr>
            <w:tcW w:w="5566" w:type="dxa"/>
            <w:gridSpan w:val="2"/>
            <w:vAlign w:val="center"/>
          </w:tcPr>
          <w:p w14:paraId="526C81E5"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color w:val="080808"/>
              </w:rPr>
              <w:t>Limited change to projection, other than more conservative growth.</w:t>
            </w:r>
          </w:p>
        </w:tc>
      </w:tr>
      <w:tr w:rsidR="00042612" w:rsidRPr="00100F0A" w14:paraId="4B85275D" w14:textId="77777777" w:rsidTr="00F430A0">
        <w:tc>
          <w:tcPr>
            <w:cnfStyle w:val="001000000000" w:firstRow="0" w:lastRow="0" w:firstColumn="1" w:lastColumn="0" w:oddVBand="0" w:evenVBand="0" w:oddHBand="0" w:evenHBand="0" w:firstRowFirstColumn="0" w:firstRowLastColumn="0" w:lastRowFirstColumn="0" w:lastRowLastColumn="0"/>
            <w:tcW w:w="982" w:type="dxa"/>
          </w:tcPr>
          <w:p w14:paraId="0C4614FD" w14:textId="77777777" w:rsidR="00042612" w:rsidRPr="00100F0A" w:rsidRDefault="00042612" w:rsidP="007109C2">
            <w:pPr>
              <w:spacing w:before="0" w:after="0"/>
              <w:rPr>
                <w:rFonts w:asciiTheme="minorHAnsi" w:hAnsiTheme="minorHAnsi" w:cstheme="minorHAnsi"/>
                <w:color w:val="000000"/>
              </w:rPr>
            </w:pPr>
            <w:r w:rsidRPr="00100F0A">
              <w:rPr>
                <w:rFonts w:asciiTheme="minorHAnsi" w:hAnsiTheme="minorHAnsi" w:cstheme="minorHAnsi"/>
                <w:color w:val="000000"/>
              </w:rPr>
              <w:t>T140</w:t>
            </w:r>
          </w:p>
        </w:tc>
        <w:tc>
          <w:tcPr>
            <w:tcW w:w="1983" w:type="dxa"/>
            <w:vAlign w:val="center"/>
          </w:tcPr>
          <w:p w14:paraId="779FE042"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100F0A">
              <w:rPr>
                <w:rFonts w:asciiTheme="minorHAnsi" w:hAnsiTheme="minorHAnsi" w:cstheme="minorHAnsi"/>
                <w:color w:val="000000"/>
              </w:rPr>
              <w:t>Tyres</w:t>
            </w:r>
          </w:p>
        </w:tc>
        <w:tc>
          <w:tcPr>
            <w:tcW w:w="492" w:type="dxa"/>
            <w:vAlign w:val="center"/>
          </w:tcPr>
          <w:p w14:paraId="4B6B4694"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Yes</w:t>
            </w:r>
          </w:p>
        </w:tc>
        <w:tc>
          <w:tcPr>
            <w:tcW w:w="5566" w:type="dxa"/>
            <w:gridSpan w:val="2"/>
            <w:vAlign w:val="center"/>
          </w:tcPr>
          <w:p w14:paraId="6D7F6651" w14:textId="2EEDB84D"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New tyres projections</w:t>
            </w:r>
            <w:r w:rsidR="00143FCC" w:rsidRPr="00100F0A">
              <w:rPr>
                <w:rFonts w:asciiTheme="minorHAnsi" w:hAnsiTheme="minorHAnsi" w:cstheme="minorHAnsi"/>
                <w:color w:val="000000"/>
              </w:rPr>
              <w:t xml:space="preserve"> completed</w:t>
            </w:r>
            <w:r w:rsidRPr="00100F0A">
              <w:rPr>
                <w:rFonts w:asciiTheme="minorHAnsi" w:hAnsiTheme="minorHAnsi" w:cstheme="minorHAnsi"/>
                <w:color w:val="000000"/>
              </w:rPr>
              <w:t xml:space="preserve"> (REC 2016) and stockpiles are also included in projections.</w:t>
            </w:r>
          </w:p>
        </w:tc>
      </w:tr>
      <w:tr w:rsidR="00042612" w:rsidRPr="00100F0A" w14:paraId="0313039D" w14:textId="77777777" w:rsidTr="00F430A0">
        <w:tc>
          <w:tcPr>
            <w:cnfStyle w:val="001000000000" w:firstRow="0" w:lastRow="0" w:firstColumn="1" w:lastColumn="0" w:oddVBand="0" w:evenVBand="0" w:oddHBand="0" w:evenHBand="0" w:firstRowFirstColumn="0" w:firstRowLastColumn="0" w:lastRowFirstColumn="0" w:lastRowLastColumn="0"/>
            <w:tcW w:w="982" w:type="dxa"/>
          </w:tcPr>
          <w:p w14:paraId="4E43F107" w14:textId="77777777" w:rsidR="00042612" w:rsidRPr="00100F0A" w:rsidRDefault="00042612" w:rsidP="007109C2">
            <w:pPr>
              <w:spacing w:before="0" w:after="0"/>
              <w:rPr>
                <w:rFonts w:asciiTheme="minorHAnsi" w:hAnsiTheme="minorHAnsi" w:cstheme="minorHAnsi"/>
                <w:color w:val="000000"/>
              </w:rPr>
            </w:pPr>
            <w:r w:rsidRPr="00100F0A">
              <w:rPr>
                <w:rFonts w:asciiTheme="minorHAnsi" w:hAnsiTheme="minorHAnsi" w:cstheme="minorHAnsi"/>
                <w:color w:val="000000"/>
              </w:rPr>
              <w:t>Other T</w:t>
            </w:r>
          </w:p>
        </w:tc>
        <w:tc>
          <w:tcPr>
            <w:tcW w:w="1983" w:type="dxa"/>
            <w:vAlign w:val="center"/>
          </w:tcPr>
          <w:p w14:paraId="1F827602"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100F0A">
              <w:rPr>
                <w:rFonts w:asciiTheme="minorHAnsi" w:hAnsiTheme="minorHAnsi" w:cstheme="minorHAnsi"/>
                <w:color w:val="000000"/>
              </w:rPr>
              <w:t>Other miscellaneous</w:t>
            </w:r>
          </w:p>
        </w:tc>
        <w:tc>
          <w:tcPr>
            <w:tcW w:w="492" w:type="dxa"/>
            <w:vAlign w:val="center"/>
          </w:tcPr>
          <w:p w14:paraId="6AF5E3BF" w14:textId="77777777" w:rsidR="00042612" w:rsidRPr="00100F0A" w:rsidRDefault="00042612"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No</w:t>
            </w:r>
          </w:p>
        </w:tc>
        <w:tc>
          <w:tcPr>
            <w:tcW w:w="5566" w:type="dxa"/>
            <w:gridSpan w:val="2"/>
            <w:vAlign w:val="center"/>
          </w:tcPr>
          <w:p w14:paraId="762EF8FD" w14:textId="77777777" w:rsidR="00042612" w:rsidRPr="00100F0A" w:rsidRDefault="00042612" w:rsidP="007109C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color w:val="080808"/>
              </w:rPr>
              <w:t>Limited change to projection.</w:t>
            </w:r>
          </w:p>
        </w:tc>
      </w:tr>
      <w:tr w:rsidR="00042612" w:rsidRPr="00100F0A" w14:paraId="577E768C" w14:textId="77777777" w:rsidTr="00F430A0">
        <w:tc>
          <w:tcPr>
            <w:cnfStyle w:val="001000000000" w:firstRow="0" w:lastRow="0" w:firstColumn="1" w:lastColumn="0" w:oddVBand="0" w:evenVBand="0" w:oddHBand="0" w:evenHBand="0" w:firstRowFirstColumn="0" w:firstRowLastColumn="0" w:lastRowFirstColumn="0" w:lastRowLastColumn="0"/>
            <w:tcW w:w="982" w:type="dxa"/>
          </w:tcPr>
          <w:p w14:paraId="0B7E61B3" w14:textId="77777777" w:rsidR="00042612" w:rsidRPr="00100F0A" w:rsidRDefault="00042612" w:rsidP="007109C2">
            <w:pPr>
              <w:spacing w:before="0" w:after="0"/>
              <w:rPr>
                <w:rFonts w:asciiTheme="minorHAnsi" w:hAnsiTheme="minorHAnsi" w:cstheme="minorHAnsi"/>
                <w:color w:val="000000"/>
              </w:rPr>
            </w:pPr>
            <w:r w:rsidRPr="00100F0A">
              <w:rPr>
                <w:rFonts w:asciiTheme="minorHAnsi" w:hAnsiTheme="minorHAnsi" w:cstheme="minorHAnsi"/>
                <w:color w:val="000000"/>
              </w:rPr>
              <w:t>-</w:t>
            </w:r>
          </w:p>
        </w:tc>
        <w:tc>
          <w:tcPr>
            <w:tcW w:w="1983" w:type="dxa"/>
            <w:vAlign w:val="center"/>
          </w:tcPr>
          <w:p w14:paraId="0A76C455" w14:textId="56ADB2F4" w:rsidR="00042612" w:rsidRPr="00100F0A" w:rsidRDefault="0018460F" w:rsidP="007109C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Pr>
                <w:rFonts w:asciiTheme="minorHAnsi" w:hAnsiTheme="minorHAnsi" w:cstheme="minorHAnsi"/>
                <w:color w:val="000000"/>
              </w:rPr>
              <w:t>Lithium ion</w:t>
            </w:r>
            <w:r w:rsidR="00042612" w:rsidRPr="00100F0A">
              <w:rPr>
                <w:rFonts w:asciiTheme="minorHAnsi" w:hAnsiTheme="minorHAnsi" w:cstheme="minorHAnsi"/>
                <w:color w:val="000000"/>
              </w:rPr>
              <w:t xml:space="preserve"> batteries</w:t>
            </w:r>
          </w:p>
        </w:tc>
        <w:tc>
          <w:tcPr>
            <w:tcW w:w="492" w:type="dxa"/>
            <w:vAlign w:val="center"/>
          </w:tcPr>
          <w:p w14:paraId="0956B31C" w14:textId="7C5F91E8" w:rsidR="00042612" w:rsidRPr="00100F0A" w:rsidRDefault="008A0DE4" w:rsidP="007109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rFonts w:asciiTheme="minorHAnsi" w:hAnsiTheme="minorHAnsi" w:cstheme="minorHAnsi"/>
                <w:color w:val="000000"/>
              </w:rPr>
              <w:t>Yes</w:t>
            </w:r>
          </w:p>
        </w:tc>
        <w:tc>
          <w:tcPr>
            <w:tcW w:w="5566" w:type="dxa"/>
            <w:gridSpan w:val="2"/>
            <w:vAlign w:val="center"/>
          </w:tcPr>
          <w:p w14:paraId="5E21F345" w14:textId="37C07D10" w:rsidR="00042612" w:rsidRPr="00100F0A" w:rsidRDefault="008A0DE4" w:rsidP="007109C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00F0A">
              <w:rPr>
                <w:color w:val="080808"/>
              </w:rPr>
              <w:t>A significant increase in</w:t>
            </w:r>
            <w:r w:rsidR="005C5740" w:rsidRPr="00100F0A">
              <w:rPr>
                <w:color w:val="080808"/>
              </w:rPr>
              <w:t xml:space="preserve"> AEMO projections of electric vehicle uptake results in higher projected tonnages </w:t>
            </w:r>
            <w:r w:rsidR="005C5740" w:rsidRPr="00100F0A">
              <w:rPr>
                <w:color w:val="080808"/>
                <w:u w:val="single"/>
              </w:rPr>
              <w:t>in the long term</w:t>
            </w:r>
            <w:r w:rsidR="005C5740" w:rsidRPr="00100F0A">
              <w:rPr>
                <w:color w:val="080808"/>
              </w:rPr>
              <w:t xml:space="preserve">. The </w:t>
            </w:r>
            <w:r w:rsidR="00C34F48" w:rsidRPr="00100F0A">
              <w:rPr>
                <w:color w:val="080808"/>
              </w:rPr>
              <w:t>20</w:t>
            </w:r>
            <w:r w:rsidR="00C34F48">
              <w:rPr>
                <w:color w:val="080808"/>
              </w:rPr>
              <w:t>-year</w:t>
            </w:r>
            <w:r w:rsidR="005C5740" w:rsidRPr="00100F0A">
              <w:rPr>
                <w:color w:val="080808"/>
              </w:rPr>
              <w:t xml:space="preserve"> projection actually decreases due to improved data on the average life of EV batteries which is longer than previously assumed. This results in a more delayed generation of waste batteries than previously projected.</w:t>
            </w:r>
          </w:p>
        </w:tc>
      </w:tr>
    </w:tbl>
    <w:p w14:paraId="2996B745" w14:textId="74907D2A" w:rsidR="009A12CF" w:rsidRPr="00100F0A" w:rsidRDefault="009A12CF" w:rsidP="00042612">
      <w:pPr>
        <w:pStyle w:val="BodyText"/>
      </w:pPr>
    </w:p>
    <w:p w14:paraId="661E9BA8" w14:textId="77777777" w:rsidR="009A12CF" w:rsidRPr="00100F0A" w:rsidRDefault="009A12CF">
      <w:r w:rsidRPr="00100F0A">
        <w:br w:type="page"/>
      </w:r>
    </w:p>
    <w:p w14:paraId="1601A6D0" w14:textId="77777777" w:rsidR="00042612" w:rsidRPr="00100F0A" w:rsidRDefault="00042612" w:rsidP="00042612">
      <w:pPr>
        <w:pStyle w:val="Heading2"/>
        <w:ind w:left="851" w:hanging="851"/>
      </w:pPr>
      <w:bookmarkStart w:id="146" w:name="_Toc529538403"/>
      <w:bookmarkStart w:id="147" w:name="_Ref529880456"/>
      <w:bookmarkStart w:id="148" w:name="_Ref531132511"/>
      <w:bookmarkStart w:id="149" w:name="_Ref531132512"/>
      <w:bookmarkStart w:id="150" w:name="_Toc13225536"/>
      <w:bookmarkStart w:id="151" w:name="_Hlk529968671"/>
      <w:r w:rsidRPr="00100F0A">
        <w:t>Projections of hazardous waste arising by group</w:t>
      </w:r>
      <w:bookmarkEnd w:id="146"/>
      <w:bookmarkEnd w:id="147"/>
      <w:bookmarkEnd w:id="148"/>
      <w:bookmarkEnd w:id="149"/>
      <w:bookmarkEnd w:id="150"/>
    </w:p>
    <w:p w14:paraId="58693DBF" w14:textId="77777777" w:rsidR="00042612" w:rsidRPr="00100F0A" w:rsidRDefault="00042612" w:rsidP="00042612">
      <w:pPr>
        <w:pStyle w:val="BodyText"/>
      </w:pPr>
      <w:r w:rsidRPr="00100F0A">
        <w:t>This section provides, for each waste group, an account of:</w:t>
      </w:r>
    </w:p>
    <w:p w14:paraId="5872AD77" w14:textId="77777777" w:rsidR="00042612" w:rsidRPr="00100F0A" w:rsidRDefault="00042612" w:rsidP="00042612">
      <w:pPr>
        <w:pStyle w:val="BodyText"/>
        <w:numPr>
          <w:ilvl w:val="0"/>
          <w:numId w:val="16"/>
        </w:numPr>
        <w:spacing w:before="80"/>
        <w:ind w:left="357" w:hanging="357"/>
      </w:pPr>
      <w:r w:rsidRPr="00100F0A">
        <w:t>The waste types (at a NEPM 75 level) that are included in the waste group.</w:t>
      </w:r>
    </w:p>
    <w:p w14:paraId="42758958" w14:textId="77777777" w:rsidR="00042612" w:rsidRPr="00100F0A" w:rsidRDefault="00042612" w:rsidP="00042612">
      <w:pPr>
        <w:pStyle w:val="BodyText"/>
        <w:numPr>
          <w:ilvl w:val="0"/>
          <w:numId w:val="16"/>
        </w:numPr>
        <w:spacing w:before="80"/>
        <w:ind w:left="357" w:hanging="357"/>
      </w:pPr>
      <w:r w:rsidRPr="00100F0A">
        <w:t>The analysis completed for each waste group projection including</w:t>
      </w:r>
    </w:p>
    <w:p w14:paraId="3222CA03" w14:textId="77777777" w:rsidR="00042612" w:rsidRPr="00100F0A" w:rsidRDefault="00042612" w:rsidP="00042612">
      <w:pPr>
        <w:pStyle w:val="Bullet2"/>
        <w:ind w:left="907" w:hanging="453"/>
      </w:pPr>
      <w:r w:rsidRPr="00100F0A">
        <w:t>the industry sectors shown to be producing the largest amounts of the waste in either Qld, SA or Vic</w:t>
      </w:r>
      <w:r w:rsidRPr="00100F0A">
        <w:rPr>
          <w:rStyle w:val="FootnoteReference"/>
        </w:rPr>
        <w:footnoteReference w:id="18"/>
      </w:r>
    </w:p>
    <w:p w14:paraId="7BACB525" w14:textId="77777777" w:rsidR="00042612" w:rsidRPr="00100F0A" w:rsidRDefault="00042612" w:rsidP="00042612">
      <w:pPr>
        <w:pStyle w:val="Bullet2"/>
        <w:ind w:left="907" w:hanging="453"/>
      </w:pPr>
      <w:r w:rsidRPr="00100F0A">
        <w:t>team considerations and comments related to the development of the projection</w:t>
      </w:r>
    </w:p>
    <w:p w14:paraId="2BAE4766" w14:textId="20FABAFC" w:rsidR="00042612" w:rsidRPr="00100F0A" w:rsidRDefault="00042612" w:rsidP="00042612">
      <w:pPr>
        <w:pStyle w:val="Bullet2"/>
        <w:ind w:left="907" w:hanging="453"/>
      </w:pPr>
      <w:r w:rsidRPr="00100F0A">
        <w:t xml:space="preserve">the approach applied for the group, following the hierarchy set out in </w:t>
      </w:r>
      <w:r w:rsidRPr="00100F0A">
        <w:fldChar w:fldCharType="begin"/>
      </w:r>
      <w:r w:rsidRPr="00100F0A">
        <w:instrText xml:space="preserve"> REF _Ref406075576 \h  \* MERGEFORMAT </w:instrText>
      </w:r>
      <w:r w:rsidRPr="00100F0A">
        <w:fldChar w:fldCharType="separate"/>
      </w:r>
      <w:r w:rsidR="00EB634D" w:rsidRPr="00EB634D">
        <w:rPr>
          <w:rFonts w:cs="Calibri"/>
          <w:szCs w:val="20"/>
        </w:rPr>
        <w:t>Figure 1</w:t>
      </w:r>
      <w:r w:rsidRPr="00100F0A">
        <w:fldChar w:fldCharType="end"/>
      </w:r>
      <w:r w:rsidRPr="00100F0A">
        <w:t>.</w:t>
      </w:r>
    </w:p>
    <w:p w14:paraId="57F5F0BD" w14:textId="7C3D6220" w:rsidR="00042612" w:rsidRPr="00100F0A" w:rsidRDefault="00042612" w:rsidP="00042612">
      <w:pPr>
        <w:pStyle w:val="BodyText"/>
        <w:numPr>
          <w:ilvl w:val="0"/>
          <w:numId w:val="16"/>
        </w:numPr>
        <w:spacing w:before="80"/>
        <w:ind w:left="357" w:hanging="357"/>
      </w:pPr>
      <w:r w:rsidRPr="00100F0A">
        <w:t>The 201</w:t>
      </w:r>
      <w:r w:rsidR="0068608E" w:rsidRPr="00100F0A">
        <w:t>6</w:t>
      </w:r>
      <w:r w:rsidRPr="00100F0A">
        <w:t>-1</w:t>
      </w:r>
      <w:r w:rsidR="0068608E" w:rsidRPr="00100F0A">
        <w:t>7</w:t>
      </w:r>
      <w:r w:rsidRPr="00100F0A">
        <w:t xml:space="preserve"> data and the arithmetical methods used for estimating how this quantity might change in the future under best, high and low scenarios.</w:t>
      </w:r>
    </w:p>
    <w:p w14:paraId="112176F4" w14:textId="77777777" w:rsidR="00042612" w:rsidRPr="00100F0A" w:rsidRDefault="00042612" w:rsidP="00042612">
      <w:pPr>
        <w:pStyle w:val="BodyText"/>
        <w:numPr>
          <w:ilvl w:val="0"/>
          <w:numId w:val="16"/>
        </w:numPr>
        <w:spacing w:before="80"/>
        <w:ind w:left="357" w:hanging="357"/>
      </w:pPr>
      <w:r w:rsidRPr="00100F0A">
        <w:t>A figure illustrating the three projection scenarios.</w:t>
      </w:r>
    </w:p>
    <w:p w14:paraId="4BDD1E85" w14:textId="77777777" w:rsidR="00042612" w:rsidRPr="00100F0A" w:rsidRDefault="00042612" w:rsidP="00042612">
      <w:pPr>
        <w:pStyle w:val="BodyText"/>
        <w:spacing w:before="80"/>
        <w:ind w:left="357"/>
      </w:pPr>
    </w:p>
    <w:p w14:paraId="0EB439DA" w14:textId="3FD38182" w:rsidR="00601CB2" w:rsidRPr="00100F0A" w:rsidRDefault="00042612" w:rsidP="00CC4828">
      <w:pPr>
        <w:pStyle w:val="BodyText"/>
      </w:pPr>
      <w:r w:rsidRPr="00100F0A">
        <w:t xml:space="preserve">Projections are considered on a jurisdiction-specific basis in the assessment against infrastructure capacity in Section </w:t>
      </w:r>
      <w:r w:rsidRPr="00100F0A">
        <w:fldChar w:fldCharType="begin"/>
      </w:r>
      <w:r w:rsidRPr="00100F0A">
        <w:instrText xml:space="preserve"> REF _Ref420967492 \r \h </w:instrText>
      </w:r>
      <w:r w:rsidRPr="00100F0A">
        <w:fldChar w:fldCharType="separate"/>
      </w:r>
      <w:r w:rsidR="00EB634D">
        <w:t>4.4</w:t>
      </w:r>
      <w:r w:rsidRPr="00100F0A">
        <w:fldChar w:fldCharType="end"/>
      </w:r>
      <w:r w:rsidRPr="00100F0A">
        <w:t xml:space="preserve">. </w:t>
      </w:r>
      <w:bookmarkEnd w:id="117"/>
      <w:bookmarkEnd w:id="140"/>
      <w:bookmarkEnd w:id="141"/>
      <w:bookmarkEnd w:id="142"/>
      <w:bookmarkEnd w:id="151"/>
    </w:p>
    <w:p w14:paraId="331C1D30" w14:textId="26200A7C" w:rsidR="00601CB2" w:rsidRPr="00100F0A" w:rsidRDefault="00601CB2" w:rsidP="00AD35BF">
      <w:pPr>
        <w:pStyle w:val="Heading3"/>
      </w:pPr>
      <w:r w:rsidRPr="00100F0A">
        <w:t xml:space="preserve">A Plating and heat treatment </w:t>
      </w:r>
    </w:p>
    <w:p w14:paraId="58988EBB" w14:textId="77777777" w:rsidR="00601CB2" w:rsidRPr="00100F0A" w:rsidRDefault="00601CB2" w:rsidP="00601CB2">
      <w:pPr>
        <w:pStyle w:val="BodyText"/>
      </w:pPr>
      <w:r w:rsidRPr="00100F0A">
        <w:t xml:space="preserve">This group includes the following. </w:t>
      </w:r>
    </w:p>
    <w:p w14:paraId="6FA88308" w14:textId="21BB11B0" w:rsidR="00601CB2" w:rsidRPr="00100F0A" w:rsidRDefault="00601CB2" w:rsidP="001D52A0">
      <w:pPr>
        <w:pStyle w:val="Bullet1"/>
      </w:pPr>
      <w:r w:rsidRPr="00100F0A">
        <w:rPr>
          <w:i/>
        </w:rPr>
        <w:t>A100 Waste resulting from surface treatment of metals and plastics</w:t>
      </w:r>
    </w:p>
    <w:p w14:paraId="2EB7C7B6" w14:textId="6330B86C" w:rsidR="00601CB2" w:rsidRPr="00100F0A" w:rsidRDefault="00601CB2" w:rsidP="001D52A0">
      <w:pPr>
        <w:pStyle w:val="Bullet1"/>
      </w:pPr>
      <w:r w:rsidRPr="00100F0A">
        <w:rPr>
          <w:i/>
        </w:rPr>
        <w:t>A110 Waste from heat treatment and tempering operations containing cyanides</w:t>
      </w:r>
    </w:p>
    <w:p w14:paraId="5B756A0E" w14:textId="2A33B536" w:rsidR="00601CB2" w:rsidRPr="00100F0A" w:rsidRDefault="003555A5" w:rsidP="001D52A0">
      <w:pPr>
        <w:pStyle w:val="Bullet1"/>
        <w:rPr>
          <w:i/>
          <w:color w:val="000000" w:themeColor="text1"/>
        </w:rPr>
      </w:pPr>
      <w:r w:rsidRPr="00100F0A">
        <w:rPr>
          <w:i/>
          <w:color w:val="000000" w:themeColor="text1"/>
        </w:rPr>
        <w:t>A130 Cyanides (inorganic).</w:t>
      </w:r>
    </w:p>
    <w:p w14:paraId="42728C3A" w14:textId="36B43CE5" w:rsidR="00601CB2" w:rsidRPr="00100F0A" w:rsidRDefault="00601CB2" w:rsidP="00601CB2">
      <w:pPr>
        <w:pStyle w:val="BodyText"/>
      </w:pPr>
    </w:p>
    <w:p w14:paraId="3B90DBAF" w14:textId="363F04C0" w:rsidR="007A15E4" w:rsidRPr="00100F0A" w:rsidRDefault="007A15E4" w:rsidP="00601CB2">
      <w:pPr>
        <w:pStyle w:val="BodyText"/>
      </w:pPr>
      <w:r w:rsidRPr="00100F0A">
        <w:t>A100</w:t>
      </w:r>
      <w:r w:rsidR="003555A5" w:rsidRPr="00100F0A">
        <w:t>, overspray and excess coating material removed in cleaning of equipment,</w:t>
      </w:r>
      <w:r w:rsidRPr="00100F0A">
        <w:t xml:space="preserve"> makes up almost all of the group</w:t>
      </w:r>
      <w:r w:rsidR="00DA09F4" w:rsidRPr="00100F0A">
        <w:t xml:space="preserve">. </w:t>
      </w:r>
      <w:r w:rsidR="00DA09F4" w:rsidRPr="00100F0A">
        <w:rPr>
          <w:color w:val="000000"/>
        </w:rPr>
        <w:t>Vic does not track A100 (Waste resulting from surface treatment of metals and plastics).</w:t>
      </w:r>
    </w:p>
    <w:p w14:paraId="3F7A718D" w14:textId="77777777" w:rsidR="00601CB2" w:rsidRPr="00100F0A" w:rsidRDefault="00601CB2" w:rsidP="00931F74">
      <w:pPr>
        <w:pStyle w:val="Heading3-nonumber"/>
      </w:pPr>
      <w:r w:rsidRPr="00100F0A">
        <w:t>Summary analysis</w:t>
      </w:r>
    </w:p>
    <w:tbl>
      <w:tblPr>
        <w:tblW w:w="0" w:type="auto"/>
        <w:tblCellMar>
          <w:left w:w="0" w:type="dxa"/>
          <w:right w:w="0" w:type="dxa"/>
        </w:tblCellMar>
        <w:tblLook w:val="04A0" w:firstRow="1" w:lastRow="0" w:firstColumn="1" w:lastColumn="0" w:noHBand="0" w:noVBand="1"/>
      </w:tblPr>
      <w:tblGrid>
        <w:gridCol w:w="2399"/>
        <w:gridCol w:w="2693"/>
        <w:gridCol w:w="1985"/>
        <w:gridCol w:w="1935"/>
      </w:tblGrid>
      <w:tr w:rsidR="00466409" w:rsidRPr="00100F0A" w14:paraId="29F5A0D0" w14:textId="77777777" w:rsidTr="003555A5">
        <w:trPr>
          <w:tblHeader/>
        </w:trPr>
        <w:tc>
          <w:tcPr>
            <w:tcW w:w="2400" w:type="dxa"/>
            <w:tcBorders>
              <w:top w:val="single" w:sz="8" w:space="0" w:color="B7B7E2"/>
              <w:left w:val="single" w:sz="8" w:space="0" w:color="B7B7E2"/>
              <w:bottom w:val="single" w:sz="8" w:space="0" w:color="B7B7E2"/>
              <w:right w:val="single" w:sz="8" w:space="0" w:color="B7B7E2"/>
            </w:tcBorders>
            <w:shd w:val="clear" w:color="auto" w:fill="B7B7E2"/>
            <w:tcMar>
              <w:top w:w="0" w:type="dxa"/>
              <w:left w:w="108" w:type="dxa"/>
              <w:bottom w:w="0" w:type="dxa"/>
              <w:right w:w="108" w:type="dxa"/>
            </w:tcMar>
            <w:vAlign w:val="center"/>
            <w:hideMark/>
          </w:tcPr>
          <w:p w14:paraId="66563507" w14:textId="0DB575FB" w:rsidR="00466409" w:rsidRPr="00100F0A" w:rsidRDefault="00466409" w:rsidP="00466409">
            <w:pPr>
              <w:spacing w:after="144"/>
              <w:rPr>
                <w:rFonts w:eastAsia="Times New Roman" w:cs="Times New Roman"/>
                <w:sz w:val="20"/>
                <w:szCs w:val="20"/>
              </w:rPr>
            </w:pPr>
            <w:r w:rsidRPr="00100F0A">
              <w:rPr>
                <w:rFonts w:eastAsia="Times New Roman" w:cs="Times New Roman"/>
                <w:b/>
                <w:bCs/>
                <w:color w:val="FFFFFF"/>
                <w:sz w:val="20"/>
                <w:szCs w:val="20"/>
              </w:rPr>
              <w:t> Industry sources</w:t>
            </w:r>
          </w:p>
        </w:tc>
        <w:tc>
          <w:tcPr>
            <w:tcW w:w="2693"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143D450E" w14:textId="6B5A4C88" w:rsidR="00466409" w:rsidRPr="00100F0A" w:rsidRDefault="00466409" w:rsidP="00466409">
            <w:pPr>
              <w:spacing w:after="144"/>
              <w:rPr>
                <w:rFonts w:eastAsia="Times New Roman" w:cs="Times New Roman"/>
                <w:sz w:val="20"/>
                <w:szCs w:val="20"/>
              </w:rPr>
            </w:pPr>
            <w:r w:rsidRPr="00100F0A">
              <w:rPr>
                <w:rFonts w:eastAsia="Times New Roman" w:cs="Times New Roman"/>
                <w:b/>
                <w:bCs/>
                <w:color w:val="FFFFFF"/>
                <w:sz w:val="20"/>
                <w:szCs w:val="20"/>
              </w:rPr>
              <w:t> Considerations</w:t>
            </w:r>
          </w:p>
        </w:tc>
        <w:tc>
          <w:tcPr>
            <w:tcW w:w="1985"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0D8EF910" w14:textId="05DF9C32" w:rsidR="00466409" w:rsidRPr="00100F0A" w:rsidRDefault="00466409" w:rsidP="00466409">
            <w:pPr>
              <w:spacing w:after="144"/>
              <w:rPr>
                <w:rFonts w:eastAsia="Times New Roman" w:cs="Times New Roman"/>
                <w:sz w:val="20"/>
                <w:szCs w:val="20"/>
              </w:rPr>
            </w:pPr>
            <w:r w:rsidRPr="00100F0A">
              <w:rPr>
                <w:rFonts w:eastAsia="Times New Roman" w:cs="Times New Roman"/>
                <w:b/>
                <w:bCs/>
                <w:color w:val="FFFFFF"/>
                <w:sz w:val="20"/>
                <w:szCs w:val="20"/>
              </w:rPr>
              <w:t> Comments</w:t>
            </w:r>
          </w:p>
        </w:tc>
        <w:tc>
          <w:tcPr>
            <w:tcW w:w="1935"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40F59F86" w14:textId="5C1ACCC6" w:rsidR="00466409" w:rsidRPr="00100F0A" w:rsidRDefault="00466409" w:rsidP="00466409">
            <w:pPr>
              <w:spacing w:after="144"/>
              <w:rPr>
                <w:rFonts w:eastAsia="Times New Roman" w:cs="Times New Roman"/>
                <w:sz w:val="20"/>
                <w:szCs w:val="20"/>
              </w:rPr>
            </w:pPr>
            <w:r w:rsidRPr="00100F0A">
              <w:rPr>
                <w:rFonts w:eastAsia="Times New Roman" w:cs="Times New Roman"/>
                <w:b/>
                <w:bCs/>
                <w:color w:val="FFFFFF"/>
                <w:sz w:val="20"/>
                <w:szCs w:val="20"/>
              </w:rPr>
              <w:t> Approach</w:t>
            </w:r>
          </w:p>
        </w:tc>
      </w:tr>
      <w:tr w:rsidR="003555A5" w:rsidRPr="00100F0A" w14:paraId="0080B100" w14:textId="77777777" w:rsidTr="006872A9">
        <w:trPr>
          <w:trHeight w:val="878"/>
        </w:trPr>
        <w:tc>
          <w:tcPr>
            <w:tcW w:w="2400" w:type="dxa"/>
            <w:vMerge w:val="restart"/>
            <w:tcBorders>
              <w:top w:val="nil"/>
              <w:left w:val="single" w:sz="8" w:space="0" w:color="B7B7E2"/>
              <w:right w:val="single" w:sz="8" w:space="0" w:color="B7B7E2"/>
            </w:tcBorders>
            <w:tcMar>
              <w:top w:w="0" w:type="dxa"/>
              <w:left w:w="108" w:type="dxa"/>
              <w:bottom w:w="0" w:type="dxa"/>
              <w:right w:w="108" w:type="dxa"/>
            </w:tcMar>
            <w:hideMark/>
          </w:tcPr>
          <w:p w14:paraId="75EBD8E5" w14:textId="7AF09E79" w:rsidR="003555A5" w:rsidRPr="00100F0A" w:rsidRDefault="003555A5" w:rsidP="00512118">
            <w:pPr>
              <w:pStyle w:val="ListParagraph"/>
              <w:numPr>
                <w:ilvl w:val="0"/>
                <w:numId w:val="32"/>
              </w:numPr>
              <w:ind w:left="357" w:hanging="357"/>
              <w:rPr>
                <w:rFonts w:eastAsia="Times New Roman" w:cs="Times New Roman"/>
                <w:sz w:val="20"/>
                <w:szCs w:val="20"/>
              </w:rPr>
            </w:pPr>
            <w:r w:rsidRPr="00100F0A">
              <w:rPr>
                <w:rFonts w:eastAsia="Times New Roman" w:cs="Times New Roman"/>
                <w:sz w:val="20"/>
                <w:szCs w:val="20"/>
              </w:rPr>
              <w:t>Marine fishing (abrasive cleaning/ sandblasting of ships)</w:t>
            </w:r>
          </w:p>
          <w:p w14:paraId="73ECB982" w14:textId="2AA5FB17" w:rsidR="003555A5" w:rsidRPr="00100F0A" w:rsidRDefault="003555A5" w:rsidP="00512118">
            <w:pPr>
              <w:pStyle w:val="ListParagraph"/>
              <w:numPr>
                <w:ilvl w:val="0"/>
                <w:numId w:val="32"/>
              </w:numPr>
              <w:ind w:left="357" w:hanging="357"/>
              <w:rPr>
                <w:rFonts w:eastAsia="Times New Roman" w:cs="Times New Roman"/>
                <w:sz w:val="20"/>
                <w:szCs w:val="20"/>
              </w:rPr>
            </w:pPr>
            <w:r w:rsidRPr="00100F0A">
              <w:rPr>
                <w:rFonts w:eastAsia="Times New Roman" w:cs="Times New Roman"/>
                <w:sz w:val="20"/>
                <w:szCs w:val="20"/>
              </w:rPr>
              <w:t>Mining</w:t>
            </w:r>
            <w:r w:rsidR="002F2488">
              <w:rPr>
                <w:rFonts w:eastAsia="Times New Roman" w:cs="Times New Roman"/>
                <w:sz w:val="20"/>
                <w:szCs w:val="20"/>
              </w:rPr>
              <w:t>,</w:t>
            </w:r>
            <w:r w:rsidRPr="00100F0A">
              <w:rPr>
                <w:rFonts w:eastAsia="Times New Roman" w:cs="Times New Roman"/>
                <w:sz w:val="20"/>
                <w:szCs w:val="20"/>
              </w:rPr>
              <w:t xml:space="preserve"> including coal and gold mining </w:t>
            </w:r>
          </w:p>
          <w:p w14:paraId="5B9594DB" w14:textId="5DA8A3D4" w:rsidR="003555A5" w:rsidRPr="00100F0A" w:rsidRDefault="003555A5" w:rsidP="00512118">
            <w:pPr>
              <w:pStyle w:val="ListParagraph"/>
              <w:numPr>
                <w:ilvl w:val="0"/>
                <w:numId w:val="32"/>
              </w:numPr>
              <w:ind w:left="357" w:hanging="357"/>
              <w:rPr>
                <w:rFonts w:eastAsia="Times New Roman" w:cs="Times New Roman"/>
                <w:sz w:val="20"/>
                <w:szCs w:val="20"/>
              </w:rPr>
            </w:pPr>
            <w:r w:rsidRPr="00100F0A">
              <w:rPr>
                <w:rFonts w:eastAsia="Times New Roman" w:cs="Times New Roman"/>
                <w:sz w:val="20"/>
                <w:szCs w:val="20"/>
              </w:rPr>
              <w:t>Oil &amp; gas extraction</w:t>
            </w:r>
          </w:p>
          <w:p w14:paraId="147C6D4D" w14:textId="2C068C14" w:rsidR="003555A5" w:rsidRPr="00100F0A" w:rsidRDefault="003555A5" w:rsidP="00512118">
            <w:pPr>
              <w:pStyle w:val="ListParagraph"/>
              <w:numPr>
                <w:ilvl w:val="0"/>
                <w:numId w:val="32"/>
              </w:numPr>
              <w:ind w:left="357" w:hanging="357"/>
              <w:rPr>
                <w:rFonts w:eastAsia="Times New Roman" w:cs="Times New Roman"/>
                <w:sz w:val="20"/>
                <w:szCs w:val="20"/>
              </w:rPr>
            </w:pPr>
            <w:r w:rsidRPr="00100F0A">
              <w:rPr>
                <w:rFonts w:eastAsia="Times New Roman" w:cs="Times New Roman"/>
                <w:sz w:val="20"/>
                <w:szCs w:val="20"/>
              </w:rPr>
              <w:t>Metal manufacturing</w:t>
            </w:r>
          </w:p>
          <w:p w14:paraId="4F2709D4" w14:textId="12389B7B" w:rsidR="003555A5" w:rsidRPr="00100F0A" w:rsidRDefault="003555A5" w:rsidP="00512118">
            <w:pPr>
              <w:pStyle w:val="ListParagraph"/>
              <w:numPr>
                <w:ilvl w:val="0"/>
                <w:numId w:val="32"/>
              </w:numPr>
              <w:ind w:left="357" w:hanging="357"/>
              <w:rPr>
                <w:rFonts w:eastAsia="Times New Roman" w:cs="Times New Roman"/>
                <w:sz w:val="20"/>
                <w:szCs w:val="20"/>
              </w:rPr>
            </w:pPr>
            <w:r w:rsidRPr="00100F0A">
              <w:rPr>
                <w:rFonts w:eastAsia="Times New Roman" w:cs="Times New Roman"/>
                <w:sz w:val="20"/>
                <w:szCs w:val="20"/>
              </w:rPr>
              <w:t>Metal coating and finishing</w:t>
            </w:r>
          </w:p>
        </w:tc>
        <w:tc>
          <w:tcPr>
            <w:tcW w:w="2693" w:type="dxa"/>
            <w:tcBorders>
              <w:top w:val="nil"/>
              <w:left w:val="nil"/>
              <w:bottom w:val="nil"/>
              <w:right w:val="single" w:sz="8" w:space="0" w:color="B7B7E2"/>
            </w:tcBorders>
            <w:tcMar>
              <w:top w:w="0" w:type="dxa"/>
              <w:left w:w="108" w:type="dxa"/>
              <w:bottom w:w="0" w:type="dxa"/>
              <w:right w:w="108" w:type="dxa"/>
            </w:tcMar>
            <w:hideMark/>
          </w:tcPr>
          <w:p w14:paraId="27B0E1AF" w14:textId="46672ADB" w:rsidR="003555A5" w:rsidRPr="00100F0A" w:rsidRDefault="003555A5" w:rsidP="00466409">
            <w:pPr>
              <w:spacing w:after="60"/>
              <w:rPr>
                <w:rFonts w:eastAsia="Times New Roman" w:cs="Times New Roman"/>
                <w:sz w:val="20"/>
                <w:szCs w:val="20"/>
              </w:rPr>
            </w:pPr>
            <w:r w:rsidRPr="00100F0A">
              <w:rPr>
                <w:sz w:val="20"/>
                <w:szCs w:val="20"/>
              </w:rPr>
              <w:t>No sufficiently credible pre-existing projections were identified</w:t>
            </w:r>
          </w:p>
        </w:tc>
        <w:tc>
          <w:tcPr>
            <w:tcW w:w="1985" w:type="dxa"/>
            <w:vMerge w:val="restart"/>
            <w:tcBorders>
              <w:top w:val="nil"/>
              <w:left w:val="nil"/>
              <w:right w:val="single" w:sz="8" w:space="0" w:color="B7B7E2"/>
            </w:tcBorders>
            <w:tcMar>
              <w:top w:w="0" w:type="dxa"/>
              <w:left w:w="108" w:type="dxa"/>
              <w:bottom w:w="0" w:type="dxa"/>
              <w:right w:w="108" w:type="dxa"/>
            </w:tcMar>
            <w:hideMark/>
          </w:tcPr>
          <w:p w14:paraId="47CEBDFB" w14:textId="10DF3E0A" w:rsidR="003555A5" w:rsidRPr="00100F0A" w:rsidRDefault="003555A5" w:rsidP="00466409">
            <w:pPr>
              <w:spacing w:after="60"/>
              <w:rPr>
                <w:rFonts w:eastAsia="Times New Roman" w:cs="Times New Roman"/>
                <w:sz w:val="20"/>
                <w:szCs w:val="20"/>
              </w:rPr>
            </w:pPr>
            <w:r w:rsidRPr="00100F0A">
              <w:rPr>
                <w:rFonts w:eastAsia="Times New Roman" w:cs="Times New Roman"/>
                <w:sz w:val="20"/>
                <w:szCs w:val="20"/>
              </w:rPr>
              <w:t>High storage % waste in Qld &amp; WA - could explain spikes in trends</w:t>
            </w:r>
          </w:p>
        </w:tc>
        <w:tc>
          <w:tcPr>
            <w:tcW w:w="1935" w:type="dxa"/>
            <w:tcBorders>
              <w:top w:val="nil"/>
              <w:left w:val="nil"/>
              <w:bottom w:val="nil"/>
              <w:right w:val="single" w:sz="8" w:space="0" w:color="B7B7E2"/>
            </w:tcBorders>
            <w:tcMar>
              <w:top w:w="0" w:type="dxa"/>
              <w:left w:w="108" w:type="dxa"/>
              <w:bottom w:w="0" w:type="dxa"/>
              <w:right w:w="108" w:type="dxa"/>
            </w:tcMar>
            <w:hideMark/>
          </w:tcPr>
          <w:p w14:paraId="615B23FE" w14:textId="3C9E63D1" w:rsidR="003555A5" w:rsidRPr="00100F0A" w:rsidRDefault="003555A5" w:rsidP="00466409">
            <w:pPr>
              <w:spacing w:after="60"/>
              <w:rPr>
                <w:rFonts w:eastAsia="Times New Roman" w:cs="Times New Roman"/>
                <w:sz w:val="20"/>
                <w:szCs w:val="20"/>
              </w:rPr>
            </w:pPr>
            <w:r w:rsidRPr="00100F0A">
              <w:rPr>
                <w:color w:val="000000"/>
                <w:sz w:val="20"/>
                <w:szCs w:val="20"/>
              </w:rPr>
              <w:t xml:space="preserve">Use judgement - trend </w:t>
            </w:r>
            <w:r w:rsidRPr="0050590B">
              <w:rPr>
                <w:color w:val="000000"/>
                <w:sz w:val="20"/>
                <w:szCs w:val="20"/>
              </w:rPr>
              <w:t>(</w:t>
            </w:r>
            <w:r w:rsidR="0050590B" w:rsidRPr="00A307F3">
              <w:rPr>
                <w:rFonts w:asciiTheme="minorHAnsi" w:hAnsiTheme="minorHAnsi" w:cs="Arial"/>
                <w:sz w:val="20"/>
                <w:szCs w:val="20"/>
              </w:rPr>
              <w:t>compound annual growth rate</w:t>
            </w:r>
            <w:r w:rsidR="0050590B" w:rsidRPr="0050590B">
              <w:rPr>
                <w:color w:val="000000"/>
                <w:sz w:val="20"/>
                <w:szCs w:val="20"/>
              </w:rPr>
              <w:t xml:space="preserve"> (</w:t>
            </w:r>
            <w:r w:rsidRPr="0050590B">
              <w:rPr>
                <w:color w:val="000000"/>
                <w:sz w:val="20"/>
                <w:szCs w:val="20"/>
              </w:rPr>
              <w:t>CAGR</w:t>
            </w:r>
            <w:r w:rsidR="0050590B" w:rsidRPr="0050590B">
              <w:rPr>
                <w:color w:val="000000"/>
                <w:sz w:val="20"/>
                <w:szCs w:val="20"/>
              </w:rPr>
              <w:t xml:space="preserve">) </w:t>
            </w:r>
            <w:r w:rsidRPr="0051077E">
              <w:rPr>
                <w:color w:val="000000"/>
                <w:sz w:val="20"/>
                <w:szCs w:val="20"/>
              </w:rPr>
              <w:t>guided) an</w:t>
            </w:r>
            <w:r w:rsidRPr="00100F0A">
              <w:rPr>
                <w:color w:val="000000"/>
                <w:sz w:val="20"/>
                <w:szCs w:val="20"/>
              </w:rPr>
              <w:t>d causal analysis.</w:t>
            </w:r>
          </w:p>
        </w:tc>
      </w:tr>
      <w:tr w:rsidR="003555A5" w:rsidRPr="00100F0A" w14:paraId="40421AA5" w14:textId="77777777" w:rsidTr="000D76EE">
        <w:tc>
          <w:tcPr>
            <w:tcW w:w="2400" w:type="dxa"/>
            <w:vMerge/>
            <w:tcBorders>
              <w:top w:val="nil"/>
              <w:left w:val="single" w:sz="8" w:space="0" w:color="B7B7E2"/>
              <w:right w:val="single" w:sz="8" w:space="0" w:color="B7B7E2"/>
            </w:tcBorders>
            <w:tcMar>
              <w:top w:w="0" w:type="dxa"/>
              <w:left w:w="108" w:type="dxa"/>
              <w:bottom w:w="0" w:type="dxa"/>
              <w:right w:w="108" w:type="dxa"/>
            </w:tcMar>
            <w:vAlign w:val="center"/>
          </w:tcPr>
          <w:p w14:paraId="76B1967B" w14:textId="77777777" w:rsidR="003555A5" w:rsidRPr="00100F0A" w:rsidRDefault="003555A5" w:rsidP="00512118">
            <w:pPr>
              <w:pStyle w:val="ListParagraph"/>
              <w:numPr>
                <w:ilvl w:val="0"/>
                <w:numId w:val="32"/>
              </w:numPr>
              <w:ind w:left="357" w:hanging="357"/>
              <w:rPr>
                <w:rFonts w:eastAsia="Times New Roman" w:cs="Times New Roman"/>
                <w:sz w:val="20"/>
                <w:szCs w:val="20"/>
              </w:rPr>
            </w:pPr>
          </w:p>
        </w:tc>
        <w:tc>
          <w:tcPr>
            <w:tcW w:w="2693" w:type="dxa"/>
            <w:tcBorders>
              <w:top w:val="nil"/>
              <w:left w:val="nil"/>
              <w:bottom w:val="nil"/>
              <w:right w:val="single" w:sz="8" w:space="0" w:color="B7B7E2"/>
            </w:tcBorders>
            <w:tcMar>
              <w:top w:w="0" w:type="dxa"/>
              <w:left w:w="108" w:type="dxa"/>
              <w:bottom w:w="0" w:type="dxa"/>
              <w:right w:w="108" w:type="dxa"/>
            </w:tcMar>
          </w:tcPr>
          <w:p w14:paraId="15E6DFDA" w14:textId="3DF41413" w:rsidR="003555A5" w:rsidRPr="00100F0A" w:rsidRDefault="003555A5" w:rsidP="00466409">
            <w:pPr>
              <w:spacing w:after="60"/>
              <w:rPr>
                <w:sz w:val="20"/>
                <w:szCs w:val="20"/>
              </w:rPr>
            </w:pPr>
            <w:r w:rsidRPr="00100F0A">
              <w:rPr>
                <w:color w:val="000000"/>
                <w:sz w:val="20"/>
                <w:szCs w:val="20"/>
              </w:rPr>
              <w:t>Qld arisings dominant, WA next, others negligible</w:t>
            </w:r>
          </w:p>
        </w:tc>
        <w:tc>
          <w:tcPr>
            <w:tcW w:w="1985" w:type="dxa"/>
            <w:vMerge/>
            <w:tcBorders>
              <w:left w:val="nil"/>
              <w:right w:val="single" w:sz="8" w:space="0" w:color="B7B7E2"/>
            </w:tcBorders>
            <w:tcMar>
              <w:top w:w="0" w:type="dxa"/>
              <w:left w:w="108" w:type="dxa"/>
              <w:bottom w:w="0" w:type="dxa"/>
              <w:right w:w="108" w:type="dxa"/>
            </w:tcMar>
          </w:tcPr>
          <w:p w14:paraId="552668B7" w14:textId="2889304B" w:rsidR="003555A5" w:rsidRPr="00100F0A" w:rsidRDefault="003555A5" w:rsidP="00466409">
            <w:pPr>
              <w:spacing w:after="60"/>
              <w:rPr>
                <w:color w:val="000000"/>
                <w:sz w:val="20"/>
                <w:szCs w:val="20"/>
              </w:rPr>
            </w:pPr>
          </w:p>
        </w:tc>
        <w:tc>
          <w:tcPr>
            <w:tcW w:w="1935" w:type="dxa"/>
            <w:tcBorders>
              <w:top w:val="nil"/>
              <w:left w:val="nil"/>
              <w:bottom w:val="nil"/>
              <w:right w:val="single" w:sz="8" w:space="0" w:color="B7B7E2"/>
            </w:tcBorders>
            <w:tcMar>
              <w:top w:w="0" w:type="dxa"/>
              <w:left w:w="108" w:type="dxa"/>
              <w:bottom w:w="0" w:type="dxa"/>
              <w:right w:w="108" w:type="dxa"/>
            </w:tcMar>
          </w:tcPr>
          <w:p w14:paraId="3D8C0900" w14:textId="77777777" w:rsidR="003555A5" w:rsidRPr="00100F0A" w:rsidRDefault="003555A5" w:rsidP="00466409">
            <w:pPr>
              <w:spacing w:after="60"/>
              <w:rPr>
                <w:color w:val="000000"/>
                <w:sz w:val="20"/>
                <w:szCs w:val="20"/>
              </w:rPr>
            </w:pPr>
          </w:p>
        </w:tc>
      </w:tr>
      <w:tr w:rsidR="003555A5" w:rsidRPr="00100F0A" w14:paraId="41099995" w14:textId="77777777" w:rsidTr="000D76EE">
        <w:tc>
          <w:tcPr>
            <w:tcW w:w="2400" w:type="dxa"/>
            <w:vMerge/>
            <w:tcBorders>
              <w:left w:val="single" w:sz="8" w:space="0" w:color="B7B7E2"/>
              <w:bottom w:val="single" w:sz="8" w:space="0" w:color="B7B7E2"/>
              <w:right w:val="single" w:sz="8" w:space="0" w:color="B7B7E2"/>
            </w:tcBorders>
            <w:tcMar>
              <w:top w:w="0" w:type="dxa"/>
              <w:left w:w="108" w:type="dxa"/>
              <w:bottom w:w="0" w:type="dxa"/>
              <w:right w:w="108" w:type="dxa"/>
            </w:tcMar>
            <w:vAlign w:val="center"/>
          </w:tcPr>
          <w:p w14:paraId="5CFDAC22" w14:textId="77777777" w:rsidR="003555A5" w:rsidRPr="00100F0A" w:rsidRDefault="003555A5" w:rsidP="00466409">
            <w:pPr>
              <w:rPr>
                <w:rFonts w:eastAsia="Times New Roman" w:cs="Times New Roman"/>
                <w:sz w:val="20"/>
                <w:szCs w:val="20"/>
              </w:rPr>
            </w:pPr>
          </w:p>
        </w:tc>
        <w:tc>
          <w:tcPr>
            <w:tcW w:w="2693" w:type="dxa"/>
            <w:tcBorders>
              <w:top w:val="nil"/>
              <w:left w:val="nil"/>
              <w:bottom w:val="single" w:sz="8" w:space="0" w:color="B7B7E2"/>
              <w:right w:val="single" w:sz="8" w:space="0" w:color="B7B7E2"/>
            </w:tcBorders>
            <w:tcMar>
              <w:top w:w="0" w:type="dxa"/>
              <w:left w:w="108" w:type="dxa"/>
              <w:bottom w:w="0" w:type="dxa"/>
              <w:right w:w="108" w:type="dxa"/>
            </w:tcMar>
          </w:tcPr>
          <w:p w14:paraId="0AC179A8" w14:textId="7B350A47" w:rsidR="003555A5" w:rsidRPr="00100F0A" w:rsidRDefault="00DA57C5" w:rsidP="00466409">
            <w:pPr>
              <w:spacing w:after="60"/>
              <w:rPr>
                <w:sz w:val="20"/>
                <w:szCs w:val="20"/>
              </w:rPr>
            </w:pPr>
            <w:r w:rsidRPr="00100F0A">
              <w:rPr>
                <w:color w:val="000000"/>
                <w:sz w:val="20"/>
                <w:szCs w:val="20"/>
              </w:rPr>
              <w:t>Discernible</w:t>
            </w:r>
            <w:r w:rsidR="003555A5" w:rsidRPr="00100F0A">
              <w:rPr>
                <w:color w:val="000000"/>
                <w:sz w:val="20"/>
                <w:szCs w:val="20"/>
              </w:rPr>
              <w:t xml:space="preserve"> increasing trend for last 10 years in WA and Qld (likely due to mining growth)</w:t>
            </w:r>
          </w:p>
        </w:tc>
        <w:tc>
          <w:tcPr>
            <w:tcW w:w="1985" w:type="dxa"/>
            <w:vMerge/>
            <w:tcBorders>
              <w:left w:val="nil"/>
              <w:bottom w:val="single" w:sz="8" w:space="0" w:color="B7B7E2"/>
              <w:right w:val="single" w:sz="8" w:space="0" w:color="B7B7E2"/>
            </w:tcBorders>
            <w:tcMar>
              <w:top w:w="0" w:type="dxa"/>
              <w:left w:w="108" w:type="dxa"/>
              <w:bottom w:w="0" w:type="dxa"/>
              <w:right w:w="108" w:type="dxa"/>
            </w:tcMar>
          </w:tcPr>
          <w:p w14:paraId="3B64EBB0" w14:textId="5E236141" w:rsidR="003555A5" w:rsidRPr="00100F0A" w:rsidRDefault="003555A5" w:rsidP="00466409">
            <w:pPr>
              <w:spacing w:after="60"/>
              <w:rPr>
                <w:color w:val="000000"/>
                <w:sz w:val="20"/>
                <w:szCs w:val="20"/>
              </w:rPr>
            </w:pPr>
          </w:p>
        </w:tc>
        <w:tc>
          <w:tcPr>
            <w:tcW w:w="1935" w:type="dxa"/>
            <w:tcBorders>
              <w:top w:val="nil"/>
              <w:left w:val="nil"/>
              <w:bottom w:val="single" w:sz="8" w:space="0" w:color="B7B7E2"/>
              <w:right w:val="single" w:sz="8" w:space="0" w:color="B7B7E2"/>
            </w:tcBorders>
            <w:tcMar>
              <w:top w:w="0" w:type="dxa"/>
              <w:left w:w="108" w:type="dxa"/>
              <w:bottom w:w="0" w:type="dxa"/>
              <w:right w:w="108" w:type="dxa"/>
            </w:tcMar>
          </w:tcPr>
          <w:p w14:paraId="29B2879F" w14:textId="77777777" w:rsidR="003555A5" w:rsidRPr="00100F0A" w:rsidRDefault="003555A5" w:rsidP="00466409">
            <w:pPr>
              <w:spacing w:after="60"/>
              <w:rPr>
                <w:color w:val="000000"/>
                <w:sz w:val="20"/>
                <w:szCs w:val="20"/>
              </w:rPr>
            </w:pPr>
          </w:p>
        </w:tc>
      </w:tr>
    </w:tbl>
    <w:p w14:paraId="619E1343" w14:textId="30E074DE" w:rsidR="007A15E4" w:rsidRPr="00100F0A" w:rsidRDefault="007A15E4" w:rsidP="003555A5">
      <w:pPr>
        <w:pStyle w:val="Caption"/>
      </w:pPr>
      <w:bookmarkStart w:id="152" w:name="_Toc13225627"/>
      <w:r w:rsidRPr="00100F0A">
        <w:t xml:space="preserve">Table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8</w:t>
      </w:r>
      <w:r w:rsidR="00B404A6" w:rsidRPr="00100F0A">
        <w:rPr>
          <w:noProof/>
        </w:rPr>
        <w:fldChar w:fldCharType="end"/>
      </w:r>
      <w:r w:rsidR="00C14F18">
        <w:rPr>
          <w:noProof/>
        </w:rPr>
        <w:t>:</w:t>
      </w:r>
      <w:r w:rsidRPr="00100F0A">
        <w:tab/>
        <w:t>Best, high and low projected rates of change for platin</w:t>
      </w:r>
      <w:r w:rsidR="00DA09F4" w:rsidRPr="00100F0A">
        <w:t>g &amp; heat treatment waste to 2037</w:t>
      </w:r>
      <w:bookmarkEnd w:id="152"/>
    </w:p>
    <w:tbl>
      <w:tblPr>
        <w:tblW w:w="0" w:type="auto"/>
        <w:tblCellMar>
          <w:left w:w="0" w:type="dxa"/>
          <w:right w:w="0" w:type="dxa"/>
        </w:tblCellMar>
        <w:tblLook w:val="04A0" w:firstRow="1" w:lastRow="0" w:firstColumn="1" w:lastColumn="0" w:noHBand="0" w:noVBand="1"/>
      </w:tblPr>
      <w:tblGrid>
        <w:gridCol w:w="586"/>
        <w:gridCol w:w="1389"/>
        <w:gridCol w:w="4961"/>
        <w:gridCol w:w="696"/>
        <w:gridCol w:w="690"/>
        <w:gridCol w:w="690"/>
      </w:tblGrid>
      <w:tr w:rsidR="00DA09F4" w:rsidRPr="00100F0A" w14:paraId="229DE1F6" w14:textId="1DBD17D2" w:rsidTr="00DA09F4">
        <w:trPr>
          <w:tblHeader/>
        </w:trPr>
        <w:tc>
          <w:tcPr>
            <w:tcW w:w="586" w:type="dxa"/>
            <w:tcBorders>
              <w:top w:val="single" w:sz="8" w:space="0" w:color="B7B7E2"/>
              <w:left w:val="single" w:sz="8" w:space="0" w:color="B7B7E2"/>
              <w:bottom w:val="single" w:sz="8" w:space="0" w:color="B7B7E2"/>
              <w:right w:val="single" w:sz="8" w:space="0" w:color="B7B7E2"/>
            </w:tcBorders>
            <w:shd w:val="clear" w:color="auto" w:fill="B7B7E2"/>
            <w:tcMar>
              <w:top w:w="0" w:type="dxa"/>
              <w:left w:w="108" w:type="dxa"/>
              <w:bottom w:w="0" w:type="dxa"/>
              <w:right w:w="108" w:type="dxa"/>
            </w:tcMar>
            <w:vAlign w:val="center"/>
            <w:hideMark/>
          </w:tcPr>
          <w:p w14:paraId="105A9D43" w14:textId="77777777" w:rsidR="00DA09F4" w:rsidRPr="00100F0A" w:rsidRDefault="00DA09F4" w:rsidP="00DA09F4">
            <w:pPr>
              <w:spacing w:after="144"/>
              <w:rPr>
                <w:rFonts w:eastAsia="Times New Roman" w:cs="Times New Roman"/>
              </w:rPr>
            </w:pPr>
            <w:r w:rsidRPr="00100F0A">
              <w:rPr>
                <w:rFonts w:eastAsia="Times New Roman" w:cs="Times New Roman"/>
                <w:b/>
                <w:bCs/>
                <w:color w:val="FFFFFF"/>
                <w:sz w:val="20"/>
                <w:szCs w:val="20"/>
              </w:rPr>
              <w:t> </w:t>
            </w:r>
          </w:p>
        </w:tc>
        <w:tc>
          <w:tcPr>
            <w:tcW w:w="1389"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7F4FD739" w14:textId="0F38DA26" w:rsidR="00DA09F4" w:rsidRPr="00100F0A" w:rsidRDefault="00DA09F4" w:rsidP="00DA09F4">
            <w:pPr>
              <w:spacing w:after="144"/>
              <w:rPr>
                <w:rFonts w:eastAsia="Times New Roman" w:cs="Times New Roman"/>
              </w:rPr>
            </w:pPr>
            <w:r w:rsidRPr="00100F0A">
              <w:rPr>
                <w:rFonts w:eastAsia="Times New Roman" w:cs="Times New Roman"/>
                <w:b/>
                <w:bCs/>
                <w:color w:val="FFFFFF"/>
                <w:sz w:val="20"/>
                <w:szCs w:val="20"/>
              </w:rPr>
              <w:t> </w:t>
            </w:r>
            <w:r w:rsidR="00FE3C47" w:rsidRPr="00100F0A">
              <w:rPr>
                <w:rFonts w:eastAsia="Times New Roman" w:cs="Times New Roman"/>
                <w:b/>
                <w:bCs/>
                <w:color w:val="FFFFFF"/>
                <w:sz w:val="20"/>
                <w:szCs w:val="20"/>
              </w:rPr>
              <w:t>Applies to</w:t>
            </w:r>
          </w:p>
        </w:tc>
        <w:tc>
          <w:tcPr>
            <w:tcW w:w="4962"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35009547" w14:textId="603A1393" w:rsidR="00DA09F4" w:rsidRPr="00100F0A" w:rsidRDefault="00DA09F4" w:rsidP="00DA09F4">
            <w:pPr>
              <w:spacing w:after="144"/>
              <w:rPr>
                <w:rFonts w:eastAsia="Times New Roman" w:cs="Times New Roman"/>
              </w:rPr>
            </w:pPr>
            <w:r w:rsidRPr="00100F0A">
              <w:rPr>
                <w:rFonts w:eastAsia="Times New Roman" w:cs="Times New Roman"/>
                <w:b/>
                <w:bCs/>
                <w:color w:val="FFFFFF"/>
                <w:sz w:val="20"/>
                <w:szCs w:val="20"/>
              </w:rPr>
              <w:t> </w:t>
            </w:r>
            <w:r w:rsidR="003555A5" w:rsidRPr="00100F0A">
              <w:rPr>
                <w:rFonts w:eastAsia="Times New Roman" w:cs="Times New Roman"/>
                <w:b/>
                <w:bCs/>
                <w:color w:val="FFFFFF"/>
                <w:sz w:val="20"/>
                <w:szCs w:val="20"/>
              </w:rPr>
              <w:t>Approach</w:t>
            </w:r>
          </w:p>
        </w:tc>
        <w:tc>
          <w:tcPr>
            <w:tcW w:w="696"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726B8A19" w14:textId="43F476E0" w:rsidR="00DA09F4" w:rsidRPr="00100F0A" w:rsidRDefault="003555A5" w:rsidP="006872A9">
            <w:pPr>
              <w:spacing w:after="144"/>
              <w:jc w:val="center"/>
              <w:rPr>
                <w:rFonts w:eastAsia="Times New Roman" w:cs="Times New Roman"/>
              </w:rPr>
            </w:pPr>
            <w:r w:rsidRPr="00100F0A">
              <w:rPr>
                <w:rFonts w:eastAsia="Times New Roman" w:cs="Times New Roman"/>
                <w:b/>
                <w:bCs/>
                <w:color w:val="FFFFFF"/>
                <w:sz w:val="20"/>
                <w:szCs w:val="20"/>
              </w:rPr>
              <w:t>2018</w:t>
            </w:r>
          </w:p>
        </w:tc>
        <w:tc>
          <w:tcPr>
            <w:tcW w:w="690" w:type="dxa"/>
            <w:tcBorders>
              <w:top w:val="single" w:sz="8" w:space="0" w:color="B7B7E2"/>
              <w:left w:val="nil"/>
              <w:bottom w:val="single" w:sz="8" w:space="0" w:color="B7B7E2"/>
              <w:right w:val="single" w:sz="8" w:space="0" w:color="B7B7E2"/>
            </w:tcBorders>
            <w:shd w:val="clear" w:color="auto" w:fill="B7B7E2"/>
          </w:tcPr>
          <w:p w14:paraId="541B1CC5" w14:textId="505DEDE8" w:rsidR="00DA09F4" w:rsidRPr="00100F0A" w:rsidRDefault="00DA09F4" w:rsidP="00B30B8D">
            <w:pPr>
              <w:spacing w:after="144"/>
              <w:jc w:val="center"/>
              <w:rPr>
                <w:rFonts w:eastAsia="Times New Roman" w:cs="Times New Roman"/>
                <w:b/>
                <w:bCs/>
                <w:color w:val="FFFFFF" w:themeColor="background1"/>
                <w:sz w:val="20"/>
                <w:szCs w:val="20"/>
              </w:rPr>
            </w:pPr>
            <w:r w:rsidRPr="00100F0A">
              <w:rPr>
                <w:color w:val="FFFFFF" w:themeColor="background1"/>
                <w:sz w:val="20"/>
              </w:rPr>
              <w:t>...</w:t>
            </w:r>
          </w:p>
        </w:tc>
        <w:tc>
          <w:tcPr>
            <w:tcW w:w="690" w:type="dxa"/>
            <w:tcBorders>
              <w:top w:val="single" w:sz="8" w:space="0" w:color="B7B7E2"/>
              <w:left w:val="nil"/>
              <w:bottom w:val="single" w:sz="8" w:space="0" w:color="B7B7E2"/>
              <w:right w:val="single" w:sz="8" w:space="0" w:color="B7B7E2"/>
            </w:tcBorders>
            <w:shd w:val="clear" w:color="auto" w:fill="B7B7E2"/>
          </w:tcPr>
          <w:p w14:paraId="7A478A22" w14:textId="354154E6" w:rsidR="00DA09F4" w:rsidRPr="00100F0A" w:rsidRDefault="003555A5" w:rsidP="006872A9">
            <w:pPr>
              <w:spacing w:after="144"/>
              <w:jc w:val="center"/>
              <w:rPr>
                <w:rFonts w:eastAsia="Times New Roman" w:cs="Times New Roman"/>
                <w:b/>
                <w:bCs/>
                <w:color w:val="FFFFFF" w:themeColor="background1"/>
                <w:sz w:val="20"/>
                <w:szCs w:val="20"/>
              </w:rPr>
            </w:pPr>
            <w:r w:rsidRPr="00100F0A">
              <w:rPr>
                <w:rFonts w:eastAsia="Times New Roman" w:cs="Times New Roman"/>
                <w:b/>
                <w:bCs/>
                <w:color w:val="FFFFFF" w:themeColor="background1"/>
                <w:sz w:val="20"/>
                <w:szCs w:val="20"/>
              </w:rPr>
              <w:t>2037</w:t>
            </w:r>
          </w:p>
        </w:tc>
      </w:tr>
      <w:tr w:rsidR="003555A5" w:rsidRPr="00100F0A" w14:paraId="0F305B9E" w14:textId="258B390F" w:rsidTr="005F67D6">
        <w:tc>
          <w:tcPr>
            <w:tcW w:w="586" w:type="dxa"/>
            <w:tcBorders>
              <w:top w:val="nil"/>
              <w:left w:val="single" w:sz="8" w:space="0" w:color="B7B7E2"/>
              <w:bottom w:val="single" w:sz="8" w:space="0" w:color="B7B7E2"/>
              <w:right w:val="single" w:sz="8" w:space="0" w:color="B7B7E2"/>
            </w:tcBorders>
            <w:tcMar>
              <w:top w:w="0" w:type="dxa"/>
              <w:left w:w="108" w:type="dxa"/>
              <w:bottom w:w="0" w:type="dxa"/>
              <w:right w:w="108" w:type="dxa"/>
            </w:tcMar>
            <w:hideMark/>
          </w:tcPr>
          <w:p w14:paraId="1DF25E08" w14:textId="6C893304" w:rsidR="003555A5" w:rsidRPr="00100F0A" w:rsidRDefault="003555A5" w:rsidP="003555A5">
            <w:pPr>
              <w:spacing w:after="60"/>
              <w:rPr>
                <w:rFonts w:eastAsia="Times New Roman" w:cs="Times New Roman"/>
                <w:sz w:val="20"/>
              </w:rPr>
            </w:pPr>
            <w:r w:rsidRPr="00100F0A">
              <w:rPr>
                <w:sz w:val="20"/>
              </w:rPr>
              <w:t>Best</w:t>
            </w:r>
          </w:p>
        </w:tc>
        <w:tc>
          <w:tcPr>
            <w:tcW w:w="1389" w:type="dxa"/>
            <w:vMerge w:val="restart"/>
            <w:tcBorders>
              <w:top w:val="nil"/>
              <w:left w:val="nil"/>
              <w:right w:val="single" w:sz="8" w:space="0" w:color="B7B7E2"/>
            </w:tcBorders>
            <w:tcMar>
              <w:top w:w="0" w:type="dxa"/>
              <w:left w:w="108" w:type="dxa"/>
              <w:bottom w:w="0" w:type="dxa"/>
              <w:right w:w="108" w:type="dxa"/>
            </w:tcMar>
            <w:vAlign w:val="center"/>
            <w:hideMark/>
          </w:tcPr>
          <w:p w14:paraId="760E0D34" w14:textId="3955A94D" w:rsidR="003555A5" w:rsidRPr="00100F0A" w:rsidRDefault="003555A5" w:rsidP="00D742E8">
            <w:pPr>
              <w:rPr>
                <w:rFonts w:eastAsia="Times New Roman" w:cs="Times New Roman"/>
              </w:rPr>
            </w:pPr>
            <w:r w:rsidRPr="00100F0A">
              <w:rPr>
                <w:sz w:val="20"/>
              </w:rPr>
              <w:t>ACT, NSW, NT, Qld, SA, Tas, Vic, WA</w:t>
            </w:r>
          </w:p>
        </w:tc>
        <w:tc>
          <w:tcPr>
            <w:tcW w:w="4962" w:type="dxa"/>
            <w:tcBorders>
              <w:top w:val="nil"/>
              <w:left w:val="nil"/>
              <w:bottom w:val="single" w:sz="8" w:space="0" w:color="B7B7E2"/>
              <w:right w:val="single" w:sz="8" w:space="0" w:color="B7B7E2"/>
            </w:tcBorders>
            <w:tcMar>
              <w:top w:w="0" w:type="dxa"/>
              <w:left w:w="108" w:type="dxa"/>
              <w:bottom w:w="0" w:type="dxa"/>
              <w:right w:w="108" w:type="dxa"/>
            </w:tcMar>
            <w:hideMark/>
          </w:tcPr>
          <w:p w14:paraId="141D7BDB" w14:textId="2076AE62" w:rsidR="003555A5" w:rsidRPr="00100F0A" w:rsidRDefault="00C34F48" w:rsidP="005F67D6">
            <w:pPr>
              <w:rPr>
                <w:rFonts w:eastAsia="Times New Roman" w:cs="Times New Roman"/>
              </w:rPr>
            </w:pPr>
            <w:r w:rsidRPr="00100F0A">
              <w:rPr>
                <w:rFonts w:cs="Calibri"/>
                <w:color w:val="000000"/>
                <w:sz w:val="20"/>
                <w:szCs w:val="20"/>
              </w:rPr>
              <w:t>20</w:t>
            </w:r>
            <w:r>
              <w:rPr>
                <w:rFonts w:cs="Calibri"/>
                <w:color w:val="000000"/>
                <w:sz w:val="20"/>
                <w:szCs w:val="20"/>
              </w:rPr>
              <w:t>-year</w:t>
            </w:r>
            <w:r w:rsidR="003555A5" w:rsidRPr="00100F0A">
              <w:rPr>
                <w:rFonts w:cs="Calibri"/>
                <w:color w:val="000000"/>
                <w:sz w:val="20"/>
                <w:szCs w:val="20"/>
              </w:rPr>
              <w:t xml:space="preserve"> average annual economic growth </w:t>
            </w:r>
          </w:p>
        </w:tc>
        <w:tc>
          <w:tcPr>
            <w:tcW w:w="696" w:type="dxa"/>
            <w:tcBorders>
              <w:top w:val="nil"/>
              <w:left w:val="nil"/>
              <w:bottom w:val="single" w:sz="8" w:space="0" w:color="B7B7E2"/>
              <w:right w:val="single" w:sz="8" w:space="0" w:color="B7B7E2"/>
            </w:tcBorders>
            <w:tcMar>
              <w:top w:w="0" w:type="dxa"/>
              <w:left w:w="108" w:type="dxa"/>
              <w:bottom w:w="0" w:type="dxa"/>
              <w:right w:w="108" w:type="dxa"/>
            </w:tcMar>
            <w:hideMark/>
          </w:tcPr>
          <w:p w14:paraId="4A252CB1" w14:textId="6165ACD6" w:rsidR="003555A5" w:rsidRPr="00100F0A" w:rsidRDefault="003555A5" w:rsidP="006872A9">
            <w:pPr>
              <w:jc w:val="center"/>
              <w:rPr>
                <w:rFonts w:eastAsia="Times New Roman" w:cs="Times New Roman"/>
                <w:sz w:val="20"/>
                <w:szCs w:val="20"/>
              </w:rPr>
            </w:pPr>
            <w:r w:rsidRPr="00100F0A">
              <w:rPr>
                <w:sz w:val="20"/>
                <w:szCs w:val="20"/>
              </w:rPr>
              <w:t>2.8%</w:t>
            </w:r>
          </w:p>
        </w:tc>
        <w:tc>
          <w:tcPr>
            <w:tcW w:w="690" w:type="dxa"/>
            <w:tcBorders>
              <w:top w:val="nil"/>
              <w:left w:val="nil"/>
              <w:bottom w:val="single" w:sz="8" w:space="0" w:color="B7B7E2"/>
              <w:right w:val="single" w:sz="8" w:space="0" w:color="B7B7E2"/>
            </w:tcBorders>
          </w:tcPr>
          <w:p w14:paraId="387279B5" w14:textId="04A793F7" w:rsidR="003555A5" w:rsidRPr="00100F0A" w:rsidRDefault="003555A5" w:rsidP="00B30B8D">
            <w:pPr>
              <w:jc w:val="center"/>
              <w:rPr>
                <w:rFonts w:eastAsia="Times New Roman" w:cs="Times New Roman"/>
                <w:sz w:val="20"/>
                <w:szCs w:val="20"/>
              </w:rPr>
            </w:pPr>
            <w:r w:rsidRPr="00100F0A">
              <w:rPr>
                <w:sz w:val="20"/>
                <w:szCs w:val="20"/>
              </w:rPr>
              <w:t>...</w:t>
            </w:r>
          </w:p>
        </w:tc>
        <w:tc>
          <w:tcPr>
            <w:tcW w:w="690" w:type="dxa"/>
            <w:tcBorders>
              <w:top w:val="nil"/>
              <w:left w:val="nil"/>
              <w:bottom w:val="single" w:sz="8" w:space="0" w:color="B7B7E2"/>
              <w:right w:val="single" w:sz="8" w:space="0" w:color="B7B7E2"/>
            </w:tcBorders>
          </w:tcPr>
          <w:p w14:paraId="6918ADEB" w14:textId="2BE41F7B" w:rsidR="003555A5" w:rsidRPr="00100F0A" w:rsidRDefault="003555A5" w:rsidP="006872A9">
            <w:pPr>
              <w:jc w:val="center"/>
              <w:rPr>
                <w:rFonts w:eastAsia="Times New Roman" w:cs="Times New Roman"/>
                <w:sz w:val="20"/>
                <w:szCs w:val="20"/>
              </w:rPr>
            </w:pPr>
            <w:r w:rsidRPr="00100F0A">
              <w:rPr>
                <w:sz w:val="20"/>
                <w:szCs w:val="20"/>
              </w:rPr>
              <w:t>2.8%</w:t>
            </w:r>
          </w:p>
        </w:tc>
      </w:tr>
      <w:tr w:rsidR="003555A5" w:rsidRPr="00100F0A" w14:paraId="3A77DDFD" w14:textId="72D4F66C" w:rsidTr="005F67D6">
        <w:tc>
          <w:tcPr>
            <w:tcW w:w="586" w:type="dxa"/>
            <w:tcBorders>
              <w:top w:val="nil"/>
              <w:left w:val="single" w:sz="8" w:space="0" w:color="B7B7E2"/>
              <w:bottom w:val="single" w:sz="8" w:space="0" w:color="B7B7E2"/>
              <w:right w:val="single" w:sz="8" w:space="0" w:color="B7B7E2"/>
            </w:tcBorders>
            <w:tcMar>
              <w:top w:w="0" w:type="dxa"/>
              <w:left w:w="108" w:type="dxa"/>
              <w:bottom w:w="0" w:type="dxa"/>
              <w:right w:w="108" w:type="dxa"/>
            </w:tcMar>
            <w:hideMark/>
          </w:tcPr>
          <w:p w14:paraId="4D3783A8" w14:textId="038E5A63" w:rsidR="003555A5" w:rsidRPr="00100F0A" w:rsidRDefault="003555A5" w:rsidP="003555A5">
            <w:pPr>
              <w:spacing w:after="60"/>
              <w:rPr>
                <w:rFonts w:eastAsia="Times New Roman" w:cs="Times New Roman"/>
                <w:sz w:val="20"/>
              </w:rPr>
            </w:pPr>
            <w:r w:rsidRPr="00100F0A">
              <w:rPr>
                <w:sz w:val="20"/>
              </w:rPr>
              <w:t>High</w:t>
            </w:r>
          </w:p>
        </w:tc>
        <w:tc>
          <w:tcPr>
            <w:tcW w:w="1389" w:type="dxa"/>
            <w:vMerge/>
            <w:tcBorders>
              <w:left w:val="nil"/>
              <w:right w:val="single" w:sz="8" w:space="0" w:color="B7B7E2"/>
            </w:tcBorders>
            <w:tcMar>
              <w:top w:w="0" w:type="dxa"/>
              <w:left w:w="108" w:type="dxa"/>
              <w:bottom w:w="0" w:type="dxa"/>
              <w:right w:w="108" w:type="dxa"/>
            </w:tcMar>
            <w:hideMark/>
          </w:tcPr>
          <w:p w14:paraId="65C293E7" w14:textId="5097C6C9" w:rsidR="003555A5" w:rsidRPr="00100F0A" w:rsidRDefault="003555A5" w:rsidP="003555A5">
            <w:pPr>
              <w:spacing w:after="60"/>
              <w:rPr>
                <w:rFonts w:eastAsia="Times New Roman" w:cs="Times New Roman"/>
              </w:rPr>
            </w:pPr>
          </w:p>
        </w:tc>
        <w:tc>
          <w:tcPr>
            <w:tcW w:w="4962" w:type="dxa"/>
            <w:tcBorders>
              <w:top w:val="nil"/>
              <w:left w:val="nil"/>
              <w:bottom w:val="single" w:sz="8" w:space="0" w:color="B7B7E2"/>
              <w:right w:val="single" w:sz="8" w:space="0" w:color="B7B7E2"/>
            </w:tcBorders>
            <w:tcMar>
              <w:top w:w="0" w:type="dxa"/>
              <w:left w:w="108" w:type="dxa"/>
              <w:bottom w:w="0" w:type="dxa"/>
              <w:right w:w="108" w:type="dxa"/>
            </w:tcMar>
            <w:hideMark/>
          </w:tcPr>
          <w:p w14:paraId="74B0F6E2" w14:textId="2F19863F" w:rsidR="003555A5" w:rsidRPr="00100F0A" w:rsidRDefault="003555A5" w:rsidP="005F67D6">
            <w:pPr>
              <w:rPr>
                <w:rFonts w:eastAsia="Times New Roman" w:cs="Times New Roman"/>
              </w:rPr>
            </w:pPr>
            <w:r w:rsidRPr="00100F0A">
              <w:rPr>
                <w:rFonts w:cs="Calibri"/>
                <w:color w:val="000000"/>
                <w:sz w:val="20"/>
                <w:szCs w:val="20"/>
              </w:rPr>
              <w:t>National compound annual growth rate</w:t>
            </w:r>
          </w:p>
        </w:tc>
        <w:tc>
          <w:tcPr>
            <w:tcW w:w="696" w:type="dxa"/>
            <w:tcBorders>
              <w:top w:val="nil"/>
              <w:left w:val="nil"/>
              <w:bottom w:val="single" w:sz="8" w:space="0" w:color="B7B7E2"/>
              <w:right w:val="single" w:sz="8" w:space="0" w:color="B7B7E2"/>
            </w:tcBorders>
            <w:tcMar>
              <w:top w:w="0" w:type="dxa"/>
              <w:left w:w="108" w:type="dxa"/>
              <w:bottom w:w="0" w:type="dxa"/>
              <w:right w:w="108" w:type="dxa"/>
            </w:tcMar>
            <w:hideMark/>
          </w:tcPr>
          <w:p w14:paraId="43FC2081" w14:textId="1B756DA2" w:rsidR="003555A5" w:rsidRPr="00100F0A" w:rsidRDefault="003555A5" w:rsidP="006872A9">
            <w:pPr>
              <w:jc w:val="center"/>
              <w:rPr>
                <w:rFonts w:eastAsia="Times New Roman" w:cs="Times New Roman"/>
                <w:sz w:val="20"/>
                <w:szCs w:val="20"/>
              </w:rPr>
            </w:pPr>
            <w:r w:rsidRPr="00100F0A">
              <w:rPr>
                <w:sz w:val="20"/>
                <w:szCs w:val="20"/>
              </w:rPr>
              <w:t>5.1%</w:t>
            </w:r>
          </w:p>
        </w:tc>
        <w:tc>
          <w:tcPr>
            <w:tcW w:w="690" w:type="dxa"/>
            <w:tcBorders>
              <w:top w:val="nil"/>
              <w:left w:val="nil"/>
              <w:bottom w:val="single" w:sz="8" w:space="0" w:color="B7B7E2"/>
              <w:right w:val="single" w:sz="8" w:space="0" w:color="B7B7E2"/>
            </w:tcBorders>
          </w:tcPr>
          <w:p w14:paraId="02CC9ACB" w14:textId="0786983E" w:rsidR="003555A5" w:rsidRPr="00100F0A" w:rsidRDefault="003555A5" w:rsidP="00B30B8D">
            <w:pPr>
              <w:jc w:val="center"/>
              <w:rPr>
                <w:rFonts w:eastAsia="Times New Roman" w:cs="Times New Roman"/>
                <w:sz w:val="20"/>
                <w:szCs w:val="20"/>
              </w:rPr>
            </w:pPr>
            <w:r w:rsidRPr="00100F0A">
              <w:rPr>
                <w:sz w:val="20"/>
                <w:szCs w:val="20"/>
              </w:rPr>
              <w:t>...</w:t>
            </w:r>
          </w:p>
        </w:tc>
        <w:tc>
          <w:tcPr>
            <w:tcW w:w="690" w:type="dxa"/>
            <w:tcBorders>
              <w:top w:val="nil"/>
              <w:left w:val="nil"/>
              <w:bottom w:val="single" w:sz="8" w:space="0" w:color="B7B7E2"/>
              <w:right w:val="single" w:sz="8" w:space="0" w:color="B7B7E2"/>
            </w:tcBorders>
          </w:tcPr>
          <w:p w14:paraId="6EFE7635" w14:textId="518B497B" w:rsidR="003555A5" w:rsidRPr="00100F0A" w:rsidRDefault="003555A5" w:rsidP="006872A9">
            <w:pPr>
              <w:jc w:val="center"/>
              <w:rPr>
                <w:rFonts w:eastAsia="Times New Roman" w:cs="Times New Roman"/>
                <w:sz w:val="20"/>
                <w:szCs w:val="20"/>
              </w:rPr>
            </w:pPr>
            <w:r w:rsidRPr="00100F0A">
              <w:rPr>
                <w:sz w:val="20"/>
                <w:szCs w:val="20"/>
              </w:rPr>
              <w:t>5.1%</w:t>
            </w:r>
          </w:p>
        </w:tc>
      </w:tr>
      <w:tr w:rsidR="003555A5" w:rsidRPr="00100F0A" w14:paraId="5DE7D28F" w14:textId="3309BB87" w:rsidTr="005F67D6">
        <w:tc>
          <w:tcPr>
            <w:tcW w:w="586" w:type="dxa"/>
            <w:tcBorders>
              <w:top w:val="nil"/>
              <w:left w:val="single" w:sz="8" w:space="0" w:color="B7B7E2"/>
              <w:bottom w:val="single" w:sz="8" w:space="0" w:color="B7B7E2"/>
              <w:right w:val="single" w:sz="8" w:space="0" w:color="B7B7E2"/>
            </w:tcBorders>
            <w:tcMar>
              <w:top w:w="0" w:type="dxa"/>
              <w:left w:w="108" w:type="dxa"/>
              <w:bottom w:w="0" w:type="dxa"/>
              <w:right w:w="108" w:type="dxa"/>
            </w:tcMar>
            <w:hideMark/>
          </w:tcPr>
          <w:p w14:paraId="238C06AF" w14:textId="10E52FAB" w:rsidR="003555A5" w:rsidRPr="00100F0A" w:rsidRDefault="003555A5" w:rsidP="003555A5">
            <w:pPr>
              <w:spacing w:after="60"/>
              <w:rPr>
                <w:rFonts w:eastAsia="Times New Roman" w:cs="Times New Roman"/>
                <w:sz w:val="20"/>
              </w:rPr>
            </w:pPr>
            <w:r w:rsidRPr="00100F0A">
              <w:rPr>
                <w:sz w:val="20"/>
              </w:rPr>
              <w:t>Low</w:t>
            </w:r>
          </w:p>
        </w:tc>
        <w:tc>
          <w:tcPr>
            <w:tcW w:w="1389" w:type="dxa"/>
            <w:vMerge/>
            <w:tcBorders>
              <w:left w:val="nil"/>
              <w:bottom w:val="single" w:sz="8" w:space="0" w:color="B7B7E2"/>
              <w:right w:val="single" w:sz="8" w:space="0" w:color="B7B7E2"/>
            </w:tcBorders>
            <w:tcMar>
              <w:top w:w="0" w:type="dxa"/>
              <w:left w:w="108" w:type="dxa"/>
              <w:bottom w:w="0" w:type="dxa"/>
              <w:right w:w="108" w:type="dxa"/>
            </w:tcMar>
            <w:hideMark/>
          </w:tcPr>
          <w:p w14:paraId="4DE91DE6" w14:textId="70DE05FD" w:rsidR="003555A5" w:rsidRPr="00100F0A" w:rsidRDefault="003555A5" w:rsidP="003555A5">
            <w:pPr>
              <w:spacing w:after="60"/>
              <w:rPr>
                <w:rFonts w:eastAsia="Times New Roman" w:cs="Times New Roman"/>
              </w:rPr>
            </w:pPr>
          </w:p>
        </w:tc>
        <w:tc>
          <w:tcPr>
            <w:tcW w:w="4962" w:type="dxa"/>
            <w:tcBorders>
              <w:top w:val="nil"/>
              <w:left w:val="nil"/>
              <w:bottom w:val="single" w:sz="8" w:space="0" w:color="B7B7E2"/>
              <w:right w:val="single" w:sz="8" w:space="0" w:color="B7B7E2"/>
            </w:tcBorders>
            <w:tcMar>
              <w:top w:w="0" w:type="dxa"/>
              <w:left w:w="108" w:type="dxa"/>
              <w:bottom w:w="0" w:type="dxa"/>
              <w:right w:w="108" w:type="dxa"/>
            </w:tcMar>
            <w:hideMark/>
          </w:tcPr>
          <w:p w14:paraId="032CCE7C" w14:textId="63C20825" w:rsidR="003555A5" w:rsidRPr="00100F0A" w:rsidRDefault="00C34F48" w:rsidP="005F67D6">
            <w:pPr>
              <w:rPr>
                <w:rFonts w:eastAsia="Times New Roman" w:cs="Times New Roman"/>
              </w:rPr>
            </w:pPr>
            <w:r w:rsidRPr="00100F0A">
              <w:rPr>
                <w:rFonts w:cs="Calibri"/>
                <w:color w:val="000000"/>
                <w:sz w:val="20"/>
                <w:szCs w:val="20"/>
              </w:rPr>
              <w:t>20</w:t>
            </w:r>
            <w:r>
              <w:rPr>
                <w:rFonts w:cs="Calibri"/>
                <w:color w:val="000000"/>
                <w:sz w:val="20"/>
                <w:szCs w:val="20"/>
              </w:rPr>
              <w:t>-year</w:t>
            </w:r>
            <w:r w:rsidR="003555A5" w:rsidRPr="00100F0A">
              <w:rPr>
                <w:rFonts w:cs="Calibri"/>
                <w:color w:val="000000"/>
                <w:sz w:val="20"/>
                <w:szCs w:val="20"/>
              </w:rPr>
              <w:t xml:space="preserve"> average annual population growth </w:t>
            </w:r>
          </w:p>
        </w:tc>
        <w:tc>
          <w:tcPr>
            <w:tcW w:w="696" w:type="dxa"/>
            <w:tcBorders>
              <w:top w:val="nil"/>
              <w:left w:val="nil"/>
              <w:bottom w:val="single" w:sz="8" w:space="0" w:color="B7B7E2"/>
              <w:right w:val="single" w:sz="8" w:space="0" w:color="B7B7E2"/>
            </w:tcBorders>
            <w:tcMar>
              <w:top w:w="0" w:type="dxa"/>
              <w:left w:w="108" w:type="dxa"/>
              <w:bottom w:w="0" w:type="dxa"/>
              <w:right w:w="108" w:type="dxa"/>
            </w:tcMar>
            <w:hideMark/>
          </w:tcPr>
          <w:p w14:paraId="68FA1AED" w14:textId="6FF59ABB" w:rsidR="003555A5" w:rsidRPr="00100F0A" w:rsidRDefault="003555A5" w:rsidP="006872A9">
            <w:pPr>
              <w:jc w:val="center"/>
              <w:rPr>
                <w:rFonts w:eastAsia="Times New Roman" w:cs="Times New Roman"/>
                <w:sz w:val="20"/>
                <w:szCs w:val="20"/>
              </w:rPr>
            </w:pPr>
            <w:r w:rsidRPr="00100F0A">
              <w:rPr>
                <w:sz w:val="20"/>
                <w:szCs w:val="20"/>
              </w:rPr>
              <w:t>1.4%</w:t>
            </w:r>
          </w:p>
        </w:tc>
        <w:tc>
          <w:tcPr>
            <w:tcW w:w="690" w:type="dxa"/>
            <w:tcBorders>
              <w:top w:val="nil"/>
              <w:left w:val="nil"/>
              <w:bottom w:val="single" w:sz="8" w:space="0" w:color="B7B7E2"/>
              <w:right w:val="single" w:sz="8" w:space="0" w:color="B7B7E2"/>
            </w:tcBorders>
          </w:tcPr>
          <w:p w14:paraId="05F2D1EC" w14:textId="2BD05D3A" w:rsidR="003555A5" w:rsidRPr="00100F0A" w:rsidRDefault="003555A5" w:rsidP="00B30B8D">
            <w:pPr>
              <w:jc w:val="center"/>
              <w:rPr>
                <w:rFonts w:eastAsia="Times New Roman" w:cs="Times New Roman"/>
                <w:sz w:val="20"/>
                <w:szCs w:val="20"/>
              </w:rPr>
            </w:pPr>
            <w:r w:rsidRPr="00100F0A">
              <w:rPr>
                <w:sz w:val="20"/>
                <w:szCs w:val="20"/>
              </w:rPr>
              <w:t>...</w:t>
            </w:r>
          </w:p>
        </w:tc>
        <w:tc>
          <w:tcPr>
            <w:tcW w:w="690" w:type="dxa"/>
            <w:tcBorders>
              <w:top w:val="nil"/>
              <w:left w:val="nil"/>
              <w:bottom w:val="single" w:sz="8" w:space="0" w:color="B7B7E2"/>
              <w:right w:val="single" w:sz="8" w:space="0" w:color="B7B7E2"/>
            </w:tcBorders>
          </w:tcPr>
          <w:p w14:paraId="176BEFA7" w14:textId="739553D5" w:rsidR="003555A5" w:rsidRPr="00100F0A" w:rsidRDefault="003555A5" w:rsidP="006872A9">
            <w:pPr>
              <w:jc w:val="center"/>
              <w:rPr>
                <w:rFonts w:eastAsia="Times New Roman" w:cs="Times New Roman"/>
                <w:sz w:val="20"/>
                <w:szCs w:val="20"/>
              </w:rPr>
            </w:pPr>
            <w:r w:rsidRPr="00100F0A">
              <w:rPr>
                <w:sz w:val="20"/>
                <w:szCs w:val="20"/>
              </w:rPr>
              <w:t>1.4%</w:t>
            </w:r>
          </w:p>
        </w:tc>
      </w:tr>
    </w:tbl>
    <w:p w14:paraId="78843FA1" w14:textId="34D092E2" w:rsidR="00601CB2" w:rsidRPr="00100F0A" w:rsidRDefault="00601CB2" w:rsidP="00273FA6">
      <w:pPr>
        <w:pStyle w:val="Caption"/>
      </w:pPr>
      <w:bookmarkStart w:id="153" w:name="_Toc425849223"/>
      <w:bookmarkStart w:id="154" w:name="_Toc13225578"/>
      <w:r w:rsidRPr="00100F0A">
        <w:t xml:space="preserve">Figure </w:t>
      </w:r>
      <w:r w:rsidR="00971D78" w:rsidRPr="00100F0A">
        <w:rPr>
          <w:noProof/>
        </w:rPr>
        <w:fldChar w:fldCharType="begin"/>
      </w:r>
      <w:r w:rsidR="00971D78" w:rsidRPr="00100F0A">
        <w:rPr>
          <w:noProof/>
        </w:rPr>
        <w:instrText xml:space="preserve"> SEQ Figure \* ARABIC </w:instrText>
      </w:r>
      <w:r w:rsidR="00971D78" w:rsidRPr="00100F0A">
        <w:rPr>
          <w:noProof/>
        </w:rPr>
        <w:fldChar w:fldCharType="separate"/>
      </w:r>
      <w:r w:rsidR="00EB634D">
        <w:rPr>
          <w:noProof/>
        </w:rPr>
        <w:t>5</w:t>
      </w:r>
      <w:r w:rsidR="00971D78" w:rsidRPr="00100F0A">
        <w:rPr>
          <w:noProof/>
        </w:rPr>
        <w:fldChar w:fldCharType="end"/>
      </w:r>
      <w:r w:rsidR="00C14F18">
        <w:rPr>
          <w:noProof/>
        </w:rPr>
        <w:t>:</w:t>
      </w:r>
      <w:r w:rsidR="00D11FEE" w:rsidRPr="00100F0A">
        <w:tab/>
      </w:r>
      <w:r w:rsidRPr="00100F0A">
        <w:t>Best, high and low national projection estimates of plating &amp; heat treatment waste to 203</w:t>
      </w:r>
      <w:bookmarkEnd w:id="153"/>
      <w:r w:rsidR="003555A5" w:rsidRPr="00100F0A">
        <w:t>7</w:t>
      </w:r>
      <w:bookmarkEnd w:id="154"/>
    </w:p>
    <w:p w14:paraId="53CCCBE8" w14:textId="4770BE8F" w:rsidR="003555A5" w:rsidRPr="00100F0A" w:rsidRDefault="00B92A8F" w:rsidP="003555A5">
      <w:pPr>
        <w:pStyle w:val="BodyText"/>
      </w:pPr>
      <w:r w:rsidRPr="00100F0A">
        <w:rPr>
          <w:noProof/>
          <w:lang w:eastAsia="en-AU"/>
        </w:rPr>
        <w:drawing>
          <wp:inline distT="0" distB="0" distL="0" distR="0" wp14:anchorId="4B4B40FA" wp14:editId="676F836E">
            <wp:extent cx="5735955" cy="21247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5955" cy="2124710"/>
                    </a:xfrm>
                    <a:prstGeom prst="rect">
                      <a:avLst/>
                    </a:prstGeom>
                  </pic:spPr>
                </pic:pic>
              </a:graphicData>
            </a:graphic>
          </wp:inline>
        </w:drawing>
      </w:r>
    </w:p>
    <w:p w14:paraId="0489FA67" w14:textId="24CDD1E7" w:rsidR="00601CB2" w:rsidRPr="00100F0A" w:rsidRDefault="00601CB2" w:rsidP="00CC4828">
      <w:pPr>
        <w:pStyle w:val="BodyText"/>
      </w:pPr>
    </w:p>
    <w:p w14:paraId="3C57FF16" w14:textId="06FA52DA" w:rsidR="00601CB2" w:rsidRPr="00100F0A" w:rsidRDefault="00601CB2" w:rsidP="00AD35BF">
      <w:pPr>
        <w:pStyle w:val="Heading3"/>
      </w:pPr>
      <w:r w:rsidRPr="00100F0A">
        <w:t xml:space="preserve">B Acid waste </w:t>
      </w:r>
    </w:p>
    <w:p w14:paraId="16E1B547" w14:textId="4C49370F" w:rsidR="00601CB2" w:rsidRPr="00100F0A" w:rsidRDefault="00601CB2" w:rsidP="00601CB2">
      <w:pPr>
        <w:pStyle w:val="BodyText"/>
      </w:pPr>
      <w:r w:rsidRPr="00100F0A">
        <w:t xml:space="preserve">This group includes only the single NEPM 75 code </w:t>
      </w:r>
      <w:r w:rsidRPr="00100F0A">
        <w:rPr>
          <w:i/>
        </w:rPr>
        <w:t>B100 Acidic solutions or acids in solid form</w:t>
      </w:r>
      <w:r w:rsidRPr="00100F0A">
        <w:t>. It can take a large variety of forms including, but not limited to</w:t>
      </w:r>
      <w:r w:rsidR="002F2488">
        <w:t>,</w:t>
      </w:r>
      <w:r w:rsidRPr="00100F0A">
        <w:t xml:space="preserve"> sulfuric acid, hydrochloric acid, nitric acid, phosphoric acid, chromic acid, hydrofluoric acid, mixed inorganic and organic acids.</w:t>
      </w:r>
    </w:p>
    <w:p w14:paraId="6BF426CD" w14:textId="59AAD032" w:rsidR="00601CB2" w:rsidRPr="00100F0A" w:rsidRDefault="00601CB2" w:rsidP="00601CB2">
      <w:pPr>
        <w:pStyle w:val="BodyText"/>
      </w:pPr>
    </w:p>
    <w:p w14:paraId="2CC8F686" w14:textId="77777777" w:rsidR="003555A5" w:rsidRPr="00100F0A" w:rsidRDefault="003555A5" w:rsidP="003555A5">
      <w:pPr>
        <w:pStyle w:val="Heading3-nonumber"/>
      </w:pPr>
      <w:r w:rsidRPr="00100F0A">
        <w:t>Summary analysis</w:t>
      </w:r>
    </w:p>
    <w:tbl>
      <w:tblPr>
        <w:tblW w:w="0" w:type="auto"/>
        <w:tblCellMar>
          <w:left w:w="0" w:type="dxa"/>
          <w:right w:w="0" w:type="dxa"/>
        </w:tblCellMar>
        <w:tblLook w:val="04A0" w:firstRow="1" w:lastRow="0" w:firstColumn="1" w:lastColumn="0" w:noHBand="0" w:noVBand="1"/>
      </w:tblPr>
      <w:tblGrid>
        <w:gridCol w:w="2116"/>
        <w:gridCol w:w="2551"/>
        <w:gridCol w:w="2977"/>
        <w:gridCol w:w="1368"/>
      </w:tblGrid>
      <w:tr w:rsidR="003555A5" w:rsidRPr="00100F0A" w14:paraId="430D71ED" w14:textId="77777777" w:rsidTr="00DA5B14">
        <w:trPr>
          <w:tblHeader/>
        </w:trPr>
        <w:tc>
          <w:tcPr>
            <w:tcW w:w="2117" w:type="dxa"/>
            <w:tcBorders>
              <w:top w:val="single" w:sz="8" w:space="0" w:color="B7B7E2"/>
              <w:left w:val="single" w:sz="8" w:space="0" w:color="B7B7E2"/>
              <w:bottom w:val="single" w:sz="8" w:space="0" w:color="B7B7E2"/>
              <w:right w:val="single" w:sz="8" w:space="0" w:color="B7B7E2"/>
            </w:tcBorders>
            <w:shd w:val="clear" w:color="auto" w:fill="B7B7E2"/>
            <w:tcMar>
              <w:top w:w="0" w:type="dxa"/>
              <w:left w:w="108" w:type="dxa"/>
              <w:bottom w:w="0" w:type="dxa"/>
              <w:right w:w="108" w:type="dxa"/>
            </w:tcMar>
            <w:vAlign w:val="center"/>
            <w:hideMark/>
          </w:tcPr>
          <w:p w14:paraId="34A63990" w14:textId="77777777" w:rsidR="003555A5" w:rsidRPr="00100F0A" w:rsidRDefault="003555A5" w:rsidP="000D76EE">
            <w:pPr>
              <w:spacing w:after="144"/>
              <w:rPr>
                <w:rFonts w:eastAsia="Times New Roman" w:cs="Times New Roman"/>
                <w:sz w:val="20"/>
                <w:szCs w:val="20"/>
              </w:rPr>
            </w:pPr>
            <w:r w:rsidRPr="00100F0A">
              <w:rPr>
                <w:rFonts w:eastAsia="Times New Roman" w:cs="Times New Roman"/>
                <w:b/>
                <w:bCs/>
                <w:color w:val="FFFFFF"/>
                <w:sz w:val="20"/>
                <w:szCs w:val="20"/>
              </w:rPr>
              <w:t> Industry sources</w:t>
            </w:r>
          </w:p>
        </w:tc>
        <w:tc>
          <w:tcPr>
            <w:tcW w:w="2551"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67FB1CB5" w14:textId="77777777" w:rsidR="003555A5" w:rsidRPr="00100F0A" w:rsidRDefault="003555A5" w:rsidP="000D76EE">
            <w:pPr>
              <w:spacing w:after="144"/>
              <w:rPr>
                <w:rFonts w:eastAsia="Times New Roman" w:cs="Times New Roman"/>
                <w:sz w:val="20"/>
                <w:szCs w:val="20"/>
              </w:rPr>
            </w:pPr>
            <w:r w:rsidRPr="00100F0A">
              <w:rPr>
                <w:rFonts w:eastAsia="Times New Roman" w:cs="Times New Roman"/>
                <w:b/>
                <w:bCs/>
                <w:color w:val="FFFFFF"/>
                <w:sz w:val="20"/>
                <w:szCs w:val="20"/>
              </w:rPr>
              <w:t> Considerations</w:t>
            </w:r>
          </w:p>
        </w:tc>
        <w:tc>
          <w:tcPr>
            <w:tcW w:w="2977"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27892BF7" w14:textId="77777777" w:rsidR="003555A5" w:rsidRPr="00100F0A" w:rsidRDefault="003555A5" w:rsidP="000D76EE">
            <w:pPr>
              <w:spacing w:after="144"/>
              <w:rPr>
                <w:rFonts w:eastAsia="Times New Roman" w:cs="Times New Roman"/>
                <w:sz w:val="20"/>
                <w:szCs w:val="20"/>
              </w:rPr>
            </w:pPr>
            <w:r w:rsidRPr="00100F0A">
              <w:rPr>
                <w:rFonts w:eastAsia="Times New Roman" w:cs="Times New Roman"/>
                <w:b/>
                <w:bCs/>
                <w:color w:val="FFFFFF"/>
                <w:sz w:val="20"/>
                <w:szCs w:val="20"/>
              </w:rPr>
              <w:t> Comments</w:t>
            </w:r>
          </w:p>
        </w:tc>
        <w:tc>
          <w:tcPr>
            <w:tcW w:w="1368"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54685EE6" w14:textId="77777777" w:rsidR="003555A5" w:rsidRPr="00100F0A" w:rsidRDefault="003555A5" w:rsidP="000D76EE">
            <w:pPr>
              <w:spacing w:after="144"/>
              <w:rPr>
                <w:rFonts w:eastAsia="Times New Roman" w:cs="Times New Roman"/>
                <w:sz w:val="20"/>
                <w:szCs w:val="20"/>
              </w:rPr>
            </w:pPr>
            <w:r w:rsidRPr="00100F0A">
              <w:rPr>
                <w:rFonts w:eastAsia="Times New Roman" w:cs="Times New Roman"/>
                <w:b/>
                <w:bCs/>
                <w:color w:val="FFFFFF"/>
                <w:sz w:val="20"/>
                <w:szCs w:val="20"/>
              </w:rPr>
              <w:t> Approach</w:t>
            </w:r>
          </w:p>
        </w:tc>
      </w:tr>
      <w:tr w:rsidR="00DA5B14" w:rsidRPr="00100F0A" w14:paraId="4C920461" w14:textId="77777777" w:rsidTr="00DA5B14">
        <w:tc>
          <w:tcPr>
            <w:tcW w:w="2117" w:type="dxa"/>
            <w:vMerge w:val="restart"/>
            <w:tcBorders>
              <w:top w:val="nil"/>
              <w:left w:val="single" w:sz="8" w:space="0" w:color="B7B7E2"/>
              <w:right w:val="single" w:sz="8" w:space="0" w:color="B7B7E2"/>
            </w:tcBorders>
            <w:tcMar>
              <w:top w:w="0" w:type="dxa"/>
              <w:left w:w="108" w:type="dxa"/>
              <w:bottom w:w="0" w:type="dxa"/>
              <w:right w:w="108" w:type="dxa"/>
            </w:tcMar>
            <w:hideMark/>
          </w:tcPr>
          <w:p w14:paraId="58851B99" w14:textId="09E84191" w:rsidR="00DA5B14" w:rsidRPr="00100F0A" w:rsidRDefault="00DA5B14" w:rsidP="00512118">
            <w:pPr>
              <w:pStyle w:val="ListParagraph"/>
              <w:numPr>
                <w:ilvl w:val="0"/>
                <w:numId w:val="32"/>
              </w:numPr>
              <w:ind w:left="357" w:hanging="357"/>
              <w:rPr>
                <w:rFonts w:eastAsia="Times New Roman" w:cs="Times New Roman"/>
                <w:sz w:val="20"/>
                <w:szCs w:val="20"/>
              </w:rPr>
            </w:pPr>
            <w:r w:rsidRPr="00100F0A">
              <w:rPr>
                <w:rFonts w:eastAsia="Times New Roman" w:cs="Times New Roman"/>
                <w:sz w:val="20"/>
                <w:szCs w:val="20"/>
              </w:rPr>
              <w:t>Copper refining</w:t>
            </w:r>
          </w:p>
          <w:p w14:paraId="3780B24A" w14:textId="1B8475FE" w:rsidR="00DA5B14" w:rsidRPr="00100F0A" w:rsidRDefault="00DA5B14" w:rsidP="00512118">
            <w:pPr>
              <w:pStyle w:val="ListParagraph"/>
              <w:numPr>
                <w:ilvl w:val="0"/>
                <w:numId w:val="32"/>
              </w:numPr>
              <w:ind w:left="357" w:hanging="357"/>
              <w:rPr>
                <w:rFonts w:eastAsia="Times New Roman" w:cs="Times New Roman"/>
                <w:sz w:val="20"/>
                <w:szCs w:val="20"/>
              </w:rPr>
            </w:pPr>
            <w:r w:rsidRPr="00100F0A">
              <w:rPr>
                <w:rFonts w:eastAsia="Times New Roman" w:cs="Times New Roman"/>
                <w:sz w:val="20"/>
                <w:szCs w:val="20"/>
              </w:rPr>
              <w:t>Petroleum refining</w:t>
            </w:r>
          </w:p>
          <w:p w14:paraId="05809693" w14:textId="5C1BF486" w:rsidR="00DA5B14" w:rsidRPr="00100F0A" w:rsidRDefault="00DA5B14" w:rsidP="00512118">
            <w:pPr>
              <w:pStyle w:val="ListParagraph"/>
              <w:numPr>
                <w:ilvl w:val="0"/>
                <w:numId w:val="32"/>
              </w:numPr>
              <w:ind w:left="357" w:hanging="357"/>
              <w:rPr>
                <w:rFonts w:eastAsia="Times New Roman" w:cs="Times New Roman"/>
                <w:sz w:val="20"/>
                <w:szCs w:val="20"/>
              </w:rPr>
            </w:pPr>
            <w:r w:rsidRPr="00100F0A">
              <w:rPr>
                <w:rFonts w:eastAsia="Times New Roman" w:cs="Times New Roman"/>
                <w:sz w:val="20"/>
                <w:szCs w:val="20"/>
              </w:rPr>
              <w:t>Primary metal manufacturing</w:t>
            </w:r>
          </w:p>
          <w:p w14:paraId="48D366E2" w14:textId="5F449327" w:rsidR="00DA5B14" w:rsidRPr="00100F0A" w:rsidRDefault="00DA5B14" w:rsidP="00512118">
            <w:pPr>
              <w:pStyle w:val="ListParagraph"/>
              <w:numPr>
                <w:ilvl w:val="0"/>
                <w:numId w:val="32"/>
              </w:numPr>
              <w:ind w:left="357" w:hanging="357"/>
              <w:rPr>
                <w:rFonts w:eastAsia="Times New Roman" w:cs="Times New Roman"/>
                <w:sz w:val="20"/>
                <w:szCs w:val="20"/>
              </w:rPr>
            </w:pPr>
            <w:r w:rsidRPr="00100F0A">
              <w:rPr>
                <w:rFonts w:eastAsia="Times New Roman" w:cs="Times New Roman"/>
                <w:sz w:val="20"/>
                <w:szCs w:val="20"/>
              </w:rPr>
              <w:t>Chemical product manufacturing</w:t>
            </w:r>
          </w:p>
          <w:p w14:paraId="542BD62B" w14:textId="77777777" w:rsidR="00DA5B14" w:rsidRPr="00100F0A" w:rsidRDefault="00DA5B14" w:rsidP="00512118">
            <w:pPr>
              <w:pStyle w:val="ListParagraph"/>
              <w:numPr>
                <w:ilvl w:val="0"/>
                <w:numId w:val="32"/>
              </w:numPr>
              <w:ind w:left="357" w:hanging="357"/>
              <w:rPr>
                <w:rFonts w:eastAsia="Times New Roman" w:cs="Times New Roman"/>
                <w:sz w:val="20"/>
                <w:szCs w:val="20"/>
              </w:rPr>
            </w:pPr>
            <w:r w:rsidRPr="00100F0A">
              <w:rPr>
                <w:rFonts w:eastAsia="Times New Roman" w:cs="Times New Roman"/>
                <w:sz w:val="20"/>
                <w:szCs w:val="20"/>
              </w:rPr>
              <w:t>Metal coating and finishing</w:t>
            </w:r>
          </w:p>
          <w:p w14:paraId="7AFE9556" w14:textId="311D3EA6" w:rsidR="00DA5B14" w:rsidRPr="00100F0A" w:rsidRDefault="00DA5B14" w:rsidP="00512118">
            <w:pPr>
              <w:pStyle w:val="ListParagraph"/>
              <w:numPr>
                <w:ilvl w:val="0"/>
                <w:numId w:val="32"/>
              </w:numPr>
              <w:ind w:left="357" w:hanging="357"/>
              <w:rPr>
                <w:rFonts w:eastAsia="Times New Roman" w:cs="Times New Roman"/>
                <w:sz w:val="20"/>
                <w:szCs w:val="20"/>
              </w:rPr>
            </w:pPr>
            <w:r w:rsidRPr="00100F0A">
              <w:rPr>
                <w:rFonts w:eastAsia="Times New Roman" w:cs="Times New Roman"/>
                <w:sz w:val="20"/>
                <w:szCs w:val="20"/>
              </w:rPr>
              <w:t>Coal mining</w:t>
            </w:r>
          </w:p>
        </w:tc>
        <w:tc>
          <w:tcPr>
            <w:tcW w:w="2551" w:type="dxa"/>
            <w:tcBorders>
              <w:top w:val="nil"/>
              <w:left w:val="nil"/>
              <w:bottom w:val="nil"/>
              <w:right w:val="single" w:sz="8" w:space="0" w:color="B7B7E2"/>
            </w:tcBorders>
            <w:tcMar>
              <w:top w:w="0" w:type="dxa"/>
              <w:left w:w="108" w:type="dxa"/>
              <w:bottom w:w="0" w:type="dxa"/>
              <w:right w:w="108" w:type="dxa"/>
            </w:tcMar>
          </w:tcPr>
          <w:p w14:paraId="13B3F5E9" w14:textId="2ACCF7CD" w:rsidR="00DA5B14" w:rsidRPr="00100F0A" w:rsidRDefault="00DA5B14" w:rsidP="000D76EE">
            <w:pPr>
              <w:spacing w:after="60"/>
              <w:rPr>
                <w:rFonts w:eastAsia="Times New Roman" w:cs="Times New Roman"/>
                <w:sz w:val="20"/>
                <w:szCs w:val="20"/>
              </w:rPr>
            </w:pPr>
            <w:r w:rsidRPr="00100F0A">
              <w:rPr>
                <w:rFonts w:eastAsia="Times New Roman" w:cs="Times New Roman"/>
                <w:sz w:val="20"/>
                <w:szCs w:val="20"/>
              </w:rPr>
              <w:t>No sufficiently credible pre-existing projections were identified</w:t>
            </w:r>
          </w:p>
        </w:tc>
        <w:tc>
          <w:tcPr>
            <w:tcW w:w="2977" w:type="dxa"/>
            <w:tcBorders>
              <w:top w:val="nil"/>
              <w:left w:val="nil"/>
              <w:right w:val="single" w:sz="8" w:space="0" w:color="B7B7E2"/>
            </w:tcBorders>
            <w:tcMar>
              <w:top w:w="0" w:type="dxa"/>
              <w:left w:w="108" w:type="dxa"/>
              <w:bottom w:w="0" w:type="dxa"/>
              <w:right w:w="108" w:type="dxa"/>
            </w:tcMar>
            <w:hideMark/>
          </w:tcPr>
          <w:p w14:paraId="79EDB43F" w14:textId="234438DF" w:rsidR="00DA5B14" w:rsidRPr="00100F0A" w:rsidRDefault="00DA5B14" w:rsidP="000D76EE">
            <w:pPr>
              <w:spacing w:after="60"/>
              <w:rPr>
                <w:rFonts w:eastAsia="Times New Roman" w:cs="Times New Roman"/>
                <w:sz w:val="20"/>
                <w:szCs w:val="20"/>
              </w:rPr>
            </w:pPr>
            <w:r w:rsidRPr="00100F0A">
              <w:rPr>
                <w:rFonts w:eastAsia="Times New Roman" w:cs="Times New Roman"/>
                <w:sz w:val="20"/>
                <w:szCs w:val="20"/>
              </w:rPr>
              <w:t>Steel &amp; other metals are main industry drivers</w:t>
            </w:r>
          </w:p>
        </w:tc>
        <w:tc>
          <w:tcPr>
            <w:tcW w:w="1368" w:type="dxa"/>
            <w:vMerge w:val="restart"/>
            <w:tcBorders>
              <w:top w:val="nil"/>
              <w:left w:val="nil"/>
              <w:right w:val="single" w:sz="8" w:space="0" w:color="B7B7E2"/>
            </w:tcBorders>
            <w:tcMar>
              <w:top w:w="0" w:type="dxa"/>
              <w:left w:w="108" w:type="dxa"/>
              <w:bottom w:w="0" w:type="dxa"/>
              <w:right w:w="108" w:type="dxa"/>
            </w:tcMar>
            <w:hideMark/>
          </w:tcPr>
          <w:p w14:paraId="2F28D577" w14:textId="77777777" w:rsidR="00DA5B14" w:rsidRPr="00100F0A" w:rsidRDefault="00DA5B14" w:rsidP="000D76EE">
            <w:pPr>
              <w:spacing w:after="60"/>
              <w:rPr>
                <w:rFonts w:eastAsia="Times New Roman" w:cs="Times New Roman"/>
                <w:sz w:val="20"/>
                <w:szCs w:val="20"/>
              </w:rPr>
            </w:pPr>
            <w:r w:rsidRPr="00100F0A">
              <w:rPr>
                <w:color w:val="000000"/>
                <w:sz w:val="20"/>
                <w:szCs w:val="20"/>
              </w:rPr>
              <w:t>Use judgement - trend (CAGR-guided) and causal analysis.</w:t>
            </w:r>
          </w:p>
        </w:tc>
      </w:tr>
      <w:tr w:rsidR="00DA5B14" w:rsidRPr="00100F0A" w14:paraId="644D4843" w14:textId="77777777" w:rsidTr="00DA5B14">
        <w:tc>
          <w:tcPr>
            <w:tcW w:w="2117" w:type="dxa"/>
            <w:vMerge/>
            <w:tcBorders>
              <w:top w:val="nil"/>
              <w:left w:val="single" w:sz="8" w:space="0" w:color="B7B7E2"/>
              <w:right w:val="single" w:sz="8" w:space="0" w:color="B7B7E2"/>
            </w:tcBorders>
            <w:tcMar>
              <w:top w:w="0" w:type="dxa"/>
              <w:left w:w="108" w:type="dxa"/>
              <w:bottom w:w="0" w:type="dxa"/>
              <w:right w:w="108" w:type="dxa"/>
            </w:tcMar>
            <w:vAlign w:val="center"/>
          </w:tcPr>
          <w:p w14:paraId="18BEE863" w14:textId="77777777" w:rsidR="00DA5B14" w:rsidRPr="00100F0A" w:rsidRDefault="00DA5B14" w:rsidP="00512118">
            <w:pPr>
              <w:pStyle w:val="ListParagraph"/>
              <w:numPr>
                <w:ilvl w:val="0"/>
                <w:numId w:val="32"/>
              </w:numPr>
              <w:ind w:left="357" w:hanging="357"/>
              <w:rPr>
                <w:rFonts w:eastAsia="Times New Roman" w:cs="Times New Roman"/>
                <w:sz w:val="20"/>
                <w:szCs w:val="20"/>
              </w:rPr>
            </w:pPr>
          </w:p>
        </w:tc>
        <w:tc>
          <w:tcPr>
            <w:tcW w:w="2551" w:type="dxa"/>
            <w:tcBorders>
              <w:top w:val="nil"/>
              <w:left w:val="nil"/>
              <w:bottom w:val="nil"/>
              <w:right w:val="single" w:sz="8" w:space="0" w:color="B7B7E2"/>
            </w:tcBorders>
            <w:tcMar>
              <w:top w:w="0" w:type="dxa"/>
              <w:left w:w="108" w:type="dxa"/>
              <w:bottom w:w="0" w:type="dxa"/>
              <w:right w:w="108" w:type="dxa"/>
            </w:tcMar>
          </w:tcPr>
          <w:p w14:paraId="6EE5EE10" w14:textId="76429425" w:rsidR="00DA5B14" w:rsidRPr="00100F0A" w:rsidRDefault="00735AED" w:rsidP="000D76EE">
            <w:pPr>
              <w:spacing w:after="60"/>
              <w:rPr>
                <w:sz w:val="20"/>
                <w:szCs w:val="20"/>
              </w:rPr>
            </w:pPr>
            <w:r w:rsidRPr="00100F0A">
              <w:rPr>
                <w:color w:val="000000"/>
                <w:sz w:val="20"/>
                <w:szCs w:val="20"/>
              </w:rPr>
              <w:t>Discernible</w:t>
            </w:r>
            <w:r w:rsidR="00DA5B14" w:rsidRPr="00100F0A">
              <w:rPr>
                <w:color w:val="000000"/>
                <w:sz w:val="20"/>
                <w:szCs w:val="20"/>
              </w:rPr>
              <w:t xml:space="preserve"> flat to increasing trend for last 10 years in Vic, Qld, WA and SA</w:t>
            </w:r>
          </w:p>
        </w:tc>
        <w:tc>
          <w:tcPr>
            <w:tcW w:w="2977" w:type="dxa"/>
            <w:tcBorders>
              <w:left w:val="nil"/>
              <w:right w:val="single" w:sz="8" w:space="0" w:color="B7B7E2"/>
            </w:tcBorders>
            <w:tcMar>
              <w:top w:w="0" w:type="dxa"/>
              <w:left w:w="108" w:type="dxa"/>
              <w:bottom w:w="0" w:type="dxa"/>
              <w:right w:w="108" w:type="dxa"/>
            </w:tcMar>
          </w:tcPr>
          <w:p w14:paraId="05EABC53" w14:textId="482B8235" w:rsidR="00DA5B14" w:rsidRPr="00100F0A" w:rsidRDefault="00DA5B14" w:rsidP="000D76EE">
            <w:pPr>
              <w:spacing w:after="60"/>
              <w:rPr>
                <w:color w:val="000000"/>
                <w:sz w:val="20"/>
                <w:szCs w:val="20"/>
              </w:rPr>
            </w:pPr>
            <w:r w:rsidRPr="00100F0A">
              <w:rPr>
                <w:color w:val="000000"/>
                <w:sz w:val="20"/>
                <w:szCs w:val="20"/>
              </w:rPr>
              <w:t>NSW arisings under-reported due to spent pickle liquor exemption (from steel manufacturing)</w:t>
            </w:r>
          </w:p>
        </w:tc>
        <w:tc>
          <w:tcPr>
            <w:tcW w:w="1368" w:type="dxa"/>
            <w:vMerge/>
            <w:tcBorders>
              <w:left w:val="nil"/>
              <w:right w:val="single" w:sz="8" w:space="0" w:color="B7B7E2"/>
            </w:tcBorders>
            <w:tcMar>
              <w:top w:w="0" w:type="dxa"/>
              <w:left w:w="108" w:type="dxa"/>
              <w:bottom w:w="0" w:type="dxa"/>
              <w:right w:w="108" w:type="dxa"/>
            </w:tcMar>
          </w:tcPr>
          <w:p w14:paraId="19476DD5" w14:textId="77777777" w:rsidR="00DA5B14" w:rsidRPr="00100F0A" w:rsidRDefault="00DA5B14" w:rsidP="000D76EE">
            <w:pPr>
              <w:spacing w:after="60"/>
              <w:rPr>
                <w:color w:val="000000"/>
                <w:sz w:val="20"/>
                <w:szCs w:val="20"/>
              </w:rPr>
            </w:pPr>
          </w:p>
        </w:tc>
      </w:tr>
      <w:tr w:rsidR="00DA5B14" w:rsidRPr="00100F0A" w14:paraId="6F32BB42" w14:textId="77777777" w:rsidTr="00DA5B14">
        <w:tc>
          <w:tcPr>
            <w:tcW w:w="2117" w:type="dxa"/>
            <w:vMerge/>
            <w:tcBorders>
              <w:left w:val="single" w:sz="8" w:space="0" w:color="B7B7E2"/>
              <w:bottom w:val="single" w:sz="8" w:space="0" w:color="B7B7E2"/>
              <w:right w:val="single" w:sz="8" w:space="0" w:color="B7B7E2"/>
            </w:tcBorders>
            <w:tcMar>
              <w:top w:w="0" w:type="dxa"/>
              <w:left w:w="108" w:type="dxa"/>
              <w:bottom w:w="0" w:type="dxa"/>
              <w:right w:w="108" w:type="dxa"/>
            </w:tcMar>
            <w:vAlign w:val="center"/>
          </w:tcPr>
          <w:p w14:paraId="03DA21E9" w14:textId="77777777" w:rsidR="00DA5B14" w:rsidRPr="00100F0A" w:rsidRDefault="00DA5B14" w:rsidP="000D76EE">
            <w:pPr>
              <w:rPr>
                <w:rFonts w:eastAsia="Times New Roman" w:cs="Times New Roman"/>
                <w:sz w:val="20"/>
                <w:szCs w:val="20"/>
              </w:rPr>
            </w:pPr>
          </w:p>
        </w:tc>
        <w:tc>
          <w:tcPr>
            <w:tcW w:w="2551" w:type="dxa"/>
            <w:tcBorders>
              <w:top w:val="nil"/>
              <w:left w:val="nil"/>
              <w:bottom w:val="single" w:sz="8" w:space="0" w:color="B7B7E2"/>
              <w:right w:val="single" w:sz="8" w:space="0" w:color="B7B7E2"/>
            </w:tcBorders>
            <w:tcMar>
              <w:top w:w="0" w:type="dxa"/>
              <w:left w:w="108" w:type="dxa"/>
              <w:bottom w:w="0" w:type="dxa"/>
              <w:right w:w="108" w:type="dxa"/>
            </w:tcMar>
          </w:tcPr>
          <w:p w14:paraId="6253ACE0" w14:textId="08771903" w:rsidR="00DA5B14" w:rsidRPr="00100F0A" w:rsidRDefault="00DA5B14" w:rsidP="000D76EE">
            <w:pPr>
              <w:spacing w:after="60"/>
              <w:rPr>
                <w:sz w:val="20"/>
                <w:szCs w:val="20"/>
              </w:rPr>
            </w:pPr>
          </w:p>
        </w:tc>
        <w:tc>
          <w:tcPr>
            <w:tcW w:w="2977" w:type="dxa"/>
            <w:tcBorders>
              <w:left w:val="nil"/>
              <w:bottom w:val="single" w:sz="8" w:space="0" w:color="B7B7E2"/>
              <w:right w:val="single" w:sz="8" w:space="0" w:color="B7B7E2"/>
            </w:tcBorders>
            <w:tcMar>
              <w:top w:w="0" w:type="dxa"/>
              <w:left w:w="108" w:type="dxa"/>
              <w:bottom w:w="0" w:type="dxa"/>
              <w:right w:w="108" w:type="dxa"/>
            </w:tcMar>
          </w:tcPr>
          <w:p w14:paraId="3F1C0749" w14:textId="3F0767C3" w:rsidR="00DA5B14" w:rsidRPr="00100F0A" w:rsidRDefault="00DA5B14" w:rsidP="000D76EE">
            <w:pPr>
              <w:spacing w:after="60"/>
              <w:rPr>
                <w:color w:val="000000"/>
                <w:sz w:val="20"/>
                <w:szCs w:val="20"/>
              </w:rPr>
            </w:pPr>
            <w:r w:rsidRPr="00100F0A">
              <w:rPr>
                <w:color w:val="000000"/>
                <w:sz w:val="20"/>
                <w:szCs w:val="20"/>
              </w:rPr>
              <w:t>Much of B100 goes to NSW - interstate tracking can also result in under-reporting</w:t>
            </w:r>
          </w:p>
        </w:tc>
        <w:tc>
          <w:tcPr>
            <w:tcW w:w="1368" w:type="dxa"/>
            <w:vMerge/>
            <w:tcBorders>
              <w:left w:val="nil"/>
              <w:bottom w:val="single" w:sz="8" w:space="0" w:color="B7B7E2"/>
              <w:right w:val="single" w:sz="8" w:space="0" w:color="B7B7E2"/>
            </w:tcBorders>
            <w:tcMar>
              <w:top w:w="0" w:type="dxa"/>
              <w:left w:w="108" w:type="dxa"/>
              <w:bottom w:w="0" w:type="dxa"/>
              <w:right w:w="108" w:type="dxa"/>
            </w:tcMar>
          </w:tcPr>
          <w:p w14:paraId="3150434D" w14:textId="77777777" w:rsidR="00DA5B14" w:rsidRPr="00100F0A" w:rsidRDefault="00DA5B14" w:rsidP="000D76EE">
            <w:pPr>
              <w:spacing w:after="60"/>
              <w:rPr>
                <w:color w:val="000000"/>
                <w:sz w:val="20"/>
                <w:szCs w:val="20"/>
              </w:rPr>
            </w:pPr>
          </w:p>
        </w:tc>
      </w:tr>
    </w:tbl>
    <w:p w14:paraId="0846CE76" w14:textId="77777777" w:rsidR="003555A5" w:rsidRPr="00100F0A" w:rsidRDefault="003555A5" w:rsidP="003555A5">
      <w:pPr>
        <w:rPr>
          <w:rFonts w:ascii="Times New Roman" w:eastAsia="Times New Roman" w:hAnsi="Times New Roman" w:cs="Times New Roman"/>
          <w:sz w:val="24"/>
          <w:szCs w:val="24"/>
        </w:rPr>
      </w:pPr>
    </w:p>
    <w:p w14:paraId="1F6B4588" w14:textId="00CD0D41" w:rsidR="003555A5" w:rsidRPr="00100F0A" w:rsidRDefault="003555A5" w:rsidP="003555A5">
      <w:pPr>
        <w:pStyle w:val="Caption"/>
      </w:pPr>
      <w:bookmarkStart w:id="155" w:name="_Toc13225628"/>
      <w:r w:rsidRPr="00100F0A">
        <w:t xml:space="preserve">Table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9</w:t>
      </w:r>
      <w:r w:rsidR="00B404A6" w:rsidRPr="00100F0A">
        <w:rPr>
          <w:noProof/>
        </w:rPr>
        <w:fldChar w:fldCharType="end"/>
      </w:r>
      <w:r w:rsidR="00C14F18">
        <w:rPr>
          <w:noProof/>
        </w:rPr>
        <w:t>:</w:t>
      </w:r>
      <w:r w:rsidRPr="00100F0A">
        <w:tab/>
        <w:t xml:space="preserve">Best, high and low projected rates of change for </w:t>
      </w:r>
      <w:r w:rsidR="000D76EE" w:rsidRPr="00100F0A">
        <w:t>acid</w:t>
      </w:r>
      <w:r w:rsidRPr="00100F0A">
        <w:t xml:space="preserve"> waste to 2037</w:t>
      </w:r>
      <w:bookmarkEnd w:id="155"/>
    </w:p>
    <w:tbl>
      <w:tblPr>
        <w:tblW w:w="0" w:type="auto"/>
        <w:tblCellMar>
          <w:left w:w="0" w:type="dxa"/>
          <w:right w:w="0" w:type="dxa"/>
        </w:tblCellMar>
        <w:tblLook w:val="04A0" w:firstRow="1" w:lastRow="0" w:firstColumn="1" w:lastColumn="0" w:noHBand="0" w:noVBand="1"/>
      </w:tblPr>
      <w:tblGrid>
        <w:gridCol w:w="586"/>
        <w:gridCol w:w="1389"/>
        <w:gridCol w:w="4961"/>
        <w:gridCol w:w="696"/>
        <w:gridCol w:w="690"/>
        <w:gridCol w:w="690"/>
      </w:tblGrid>
      <w:tr w:rsidR="003555A5" w:rsidRPr="00100F0A" w14:paraId="69898E54" w14:textId="77777777" w:rsidTr="00D742E8">
        <w:trPr>
          <w:tblHeader/>
        </w:trPr>
        <w:tc>
          <w:tcPr>
            <w:tcW w:w="586" w:type="dxa"/>
            <w:tcBorders>
              <w:top w:val="single" w:sz="8" w:space="0" w:color="B7B7E2"/>
              <w:left w:val="single" w:sz="8" w:space="0" w:color="B7B7E2"/>
              <w:bottom w:val="single" w:sz="8" w:space="0" w:color="B7B7E2"/>
              <w:right w:val="single" w:sz="8" w:space="0" w:color="B7B7E2"/>
            </w:tcBorders>
            <w:shd w:val="clear" w:color="auto" w:fill="B7B7E2"/>
            <w:tcMar>
              <w:top w:w="0" w:type="dxa"/>
              <w:left w:w="108" w:type="dxa"/>
              <w:bottom w:w="0" w:type="dxa"/>
              <w:right w:w="108" w:type="dxa"/>
            </w:tcMar>
            <w:vAlign w:val="center"/>
            <w:hideMark/>
          </w:tcPr>
          <w:p w14:paraId="715742E0" w14:textId="77777777" w:rsidR="003555A5" w:rsidRPr="00100F0A" w:rsidRDefault="003555A5" w:rsidP="000D76EE">
            <w:pPr>
              <w:spacing w:after="144"/>
              <w:rPr>
                <w:rFonts w:eastAsia="Times New Roman" w:cs="Times New Roman"/>
              </w:rPr>
            </w:pPr>
            <w:r w:rsidRPr="00100F0A">
              <w:rPr>
                <w:rFonts w:eastAsia="Times New Roman" w:cs="Times New Roman"/>
                <w:b/>
                <w:bCs/>
                <w:color w:val="FFFFFF"/>
                <w:sz w:val="20"/>
                <w:szCs w:val="20"/>
              </w:rPr>
              <w:t> </w:t>
            </w:r>
          </w:p>
        </w:tc>
        <w:tc>
          <w:tcPr>
            <w:tcW w:w="1389"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3BAD8EBA" w14:textId="77777777" w:rsidR="003555A5" w:rsidRPr="00100F0A" w:rsidRDefault="003555A5" w:rsidP="000D76EE">
            <w:pPr>
              <w:spacing w:after="144"/>
              <w:rPr>
                <w:rFonts w:eastAsia="Times New Roman" w:cs="Times New Roman"/>
              </w:rPr>
            </w:pPr>
            <w:r w:rsidRPr="00100F0A">
              <w:rPr>
                <w:rFonts w:eastAsia="Times New Roman" w:cs="Times New Roman"/>
                <w:b/>
                <w:bCs/>
                <w:color w:val="FFFFFF"/>
                <w:sz w:val="20"/>
                <w:szCs w:val="20"/>
              </w:rPr>
              <w:t> Applies to</w:t>
            </w:r>
          </w:p>
        </w:tc>
        <w:tc>
          <w:tcPr>
            <w:tcW w:w="4962"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0C493916" w14:textId="77777777" w:rsidR="003555A5" w:rsidRPr="00100F0A" w:rsidRDefault="003555A5" w:rsidP="000D76EE">
            <w:pPr>
              <w:spacing w:after="144"/>
              <w:rPr>
                <w:rFonts w:eastAsia="Times New Roman" w:cs="Times New Roman"/>
              </w:rPr>
            </w:pPr>
            <w:r w:rsidRPr="00100F0A">
              <w:rPr>
                <w:rFonts w:eastAsia="Times New Roman" w:cs="Times New Roman"/>
                <w:b/>
                <w:bCs/>
                <w:color w:val="FFFFFF"/>
                <w:sz w:val="20"/>
                <w:szCs w:val="20"/>
              </w:rPr>
              <w:t> Approach</w:t>
            </w:r>
          </w:p>
        </w:tc>
        <w:tc>
          <w:tcPr>
            <w:tcW w:w="696"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701FA75A" w14:textId="555BC229" w:rsidR="003555A5" w:rsidRPr="00100F0A" w:rsidRDefault="003555A5" w:rsidP="006872A9">
            <w:pPr>
              <w:spacing w:after="144"/>
              <w:jc w:val="center"/>
              <w:rPr>
                <w:rFonts w:eastAsia="Times New Roman" w:cs="Times New Roman"/>
                <w:sz w:val="20"/>
                <w:szCs w:val="20"/>
              </w:rPr>
            </w:pPr>
            <w:r w:rsidRPr="00100F0A">
              <w:rPr>
                <w:rFonts w:eastAsia="Times New Roman" w:cs="Times New Roman"/>
                <w:b/>
                <w:bCs/>
                <w:color w:val="FFFFFF"/>
                <w:sz w:val="20"/>
                <w:szCs w:val="20"/>
              </w:rPr>
              <w:t>2018</w:t>
            </w:r>
          </w:p>
        </w:tc>
        <w:tc>
          <w:tcPr>
            <w:tcW w:w="690" w:type="dxa"/>
            <w:tcBorders>
              <w:top w:val="single" w:sz="8" w:space="0" w:color="B7B7E2"/>
              <w:left w:val="nil"/>
              <w:bottom w:val="single" w:sz="8" w:space="0" w:color="B7B7E2"/>
              <w:right w:val="single" w:sz="8" w:space="0" w:color="B7B7E2"/>
            </w:tcBorders>
            <w:shd w:val="clear" w:color="auto" w:fill="B7B7E2"/>
          </w:tcPr>
          <w:p w14:paraId="096427E7" w14:textId="77777777" w:rsidR="003555A5" w:rsidRPr="00100F0A" w:rsidRDefault="003555A5" w:rsidP="00B30B8D">
            <w:pPr>
              <w:spacing w:after="144"/>
              <w:jc w:val="center"/>
              <w:rPr>
                <w:rFonts w:eastAsia="Times New Roman" w:cs="Times New Roman"/>
                <w:b/>
                <w:bCs/>
                <w:color w:val="FFFFFF" w:themeColor="background1"/>
                <w:sz w:val="20"/>
                <w:szCs w:val="20"/>
              </w:rPr>
            </w:pPr>
            <w:r w:rsidRPr="00100F0A">
              <w:rPr>
                <w:color w:val="FFFFFF" w:themeColor="background1"/>
                <w:sz w:val="20"/>
              </w:rPr>
              <w:t>...</w:t>
            </w:r>
          </w:p>
        </w:tc>
        <w:tc>
          <w:tcPr>
            <w:tcW w:w="690" w:type="dxa"/>
            <w:tcBorders>
              <w:top w:val="single" w:sz="8" w:space="0" w:color="B7B7E2"/>
              <w:left w:val="nil"/>
              <w:bottom w:val="single" w:sz="8" w:space="0" w:color="B7B7E2"/>
              <w:right w:val="single" w:sz="8" w:space="0" w:color="B7B7E2"/>
            </w:tcBorders>
            <w:shd w:val="clear" w:color="auto" w:fill="B7B7E2"/>
          </w:tcPr>
          <w:p w14:paraId="625B744D" w14:textId="77777777" w:rsidR="003555A5" w:rsidRPr="00100F0A" w:rsidRDefault="003555A5" w:rsidP="006872A9">
            <w:pPr>
              <w:spacing w:after="144"/>
              <w:jc w:val="center"/>
              <w:rPr>
                <w:rFonts w:eastAsia="Times New Roman" w:cs="Times New Roman"/>
                <w:b/>
                <w:bCs/>
                <w:color w:val="FFFFFF" w:themeColor="background1"/>
                <w:sz w:val="20"/>
                <w:szCs w:val="20"/>
              </w:rPr>
            </w:pPr>
            <w:r w:rsidRPr="00100F0A">
              <w:rPr>
                <w:rFonts w:eastAsia="Times New Roman" w:cs="Times New Roman"/>
                <w:b/>
                <w:bCs/>
                <w:color w:val="FFFFFF" w:themeColor="background1"/>
                <w:sz w:val="20"/>
                <w:szCs w:val="20"/>
              </w:rPr>
              <w:t>2037</w:t>
            </w:r>
          </w:p>
        </w:tc>
      </w:tr>
      <w:tr w:rsidR="001F6295" w:rsidRPr="00100F0A" w14:paraId="2D7545C8" w14:textId="77777777" w:rsidTr="005F67D6">
        <w:tc>
          <w:tcPr>
            <w:tcW w:w="586" w:type="dxa"/>
            <w:tcBorders>
              <w:top w:val="single" w:sz="8" w:space="0" w:color="B7B7E2"/>
              <w:left w:val="single" w:sz="8" w:space="0" w:color="B7B7E2"/>
              <w:bottom w:val="dotted" w:sz="4" w:space="0" w:color="B7B7E2"/>
              <w:right w:val="single" w:sz="8" w:space="0" w:color="B7B7E2"/>
            </w:tcBorders>
            <w:tcMar>
              <w:top w:w="0" w:type="dxa"/>
              <w:left w:w="108" w:type="dxa"/>
              <w:bottom w:w="0" w:type="dxa"/>
              <w:right w:w="108" w:type="dxa"/>
            </w:tcMar>
            <w:hideMark/>
          </w:tcPr>
          <w:p w14:paraId="5D261CFB" w14:textId="77777777" w:rsidR="001F6295" w:rsidRPr="00100F0A" w:rsidRDefault="001F6295" w:rsidP="001F6295">
            <w:pPr>
              <w:spacing w:after="60"/>
              <w:rPr>
                <w:rFonts w:eastAsia="Times New Roman" w:cs="Times New Roman"/>
                <w:sz w:val="20"/>
              </w:rPr>
            </w:pPr>
            <w:r w:rsidRPr="00100F0A">
              <w:rPr>
                <w:sz w:val="20"/>
              </w:rPr>
              <w:t>Best</w:t>
            </w:r>
          </w:p>
        </w:tc>
        <w:tc>
          <w:tcPr>
            <w:tcW w:w="1389" w:type="dxa"/>
            <w:vMerge w:val="restart"/>
            <w:tcBorders>
              <w:top w:val="single" w:sz="8" w:space="0" w:color="B7B7E2"/>
              <w:left w:val="nil"/>
              <w:right w:val="single" w:sz="4" w:space="0" w:color="B7B7E2"/>
            </w:tcBorders>
            <w:tcMar>
              <w:top w:w="0" w:type="dxa"/>
              <w:left w:w="108" w:type="dxa"/>
              <w:bottom w:w="0" w:type="dxa"/>
              <w:right w:w="108" w:type="dxa"/>
            </w:tcMar>
            <w:vAlign w:val="center"/>
          </w:tcPr>
          <w:p w14:paraId="1A32BBAD" w14:textId="57002EF3" w:rsidR="001F6295" w:rsidRPr="00100F0A" w:rsidRDefault="001F6295" w:rsidP="001F6295">
            <w:pPr>
              <w:spacing w:after="60"/>
              <w:rPr>
                <w:sz w:val="20"/>
              </w:rPr>
            </w:pPr>
            <w:r w:rsidRPr="00100F0A">
              <w:rPr>
                <w:sz w:val="20"/>
              </w:rPr>
              <w:t>NSW, Qld, Vic, WA</w:t>
            </w:r>
          </w:p>
        </w:tc>
        <w:tc>
          <w:tcPr>
            <w:tcW w:w="4962" w:type="dxa"/>
            <w:tcBorders>
              <w:top w:val="single" w:sz="8" w:space="0" w:color="B7B7E2"/>
              <w:left w:val="single" w:sz="4" w:space="0" w:color="B7B7E2"/>
              <w:bottom w:val="dotted" w:sz="4" w:space="0" w:color="B7B7E2"/>
              <w:right w:val="single" w:sz="4" w:space="0" w:color="B7B7E2"/>
            </w:tcBorders>
            <w:tcMar>
              <w:top w:w="0" w:type="dxa"/>
              <w:left w:w="108" w:type="dxa"/>
              <w:bottom w:w="0" w:type="dxa"/>
              <w:right w:w="108" w:type="dxa"/>
            </w:tcMar>
            <w:hideMark/>
          </w:tcPr>
          <w:p w14:paraId="2756A44E" w14:textId="3718B3EC" w:rsidR="001F6295" w:rsidRPr="00100F0A" w:rsidRDefault="00C34F48" w:rsidP="005F67D6">
            <w:pPr>
              <w:rPr>
                <w:rFonts w:eastAsia="Times New Roman" w:cs="Times New Roman"/>
                <w:sz w:val="20"/>
                <w:szCs w:val="20"/>
              </w:rPr>
            </w:pPr>
            <w:r>
              <w:rPr>
                <w:sz w:val="20"/>
                <w:szCs w:val="20"/>
              </w:rPr>
              <w:t>20-year average</w:t>
            </w:r>
            <w:r w:rsidR="001F6295" w:rsidRPr="00100F0A">
              <w:rPr>
                <w:sz w:val="20"/>
                <w:szCs w:val="20"/>
              </w:rPr>
              <w:t xml:space="preserve"> economic growth</w:t>
            </w:r>
          </w:p>
        </w:tc>
        <w:tc>
          <w:tcPr>
            <w:tcW w:w="696" w:type="dxa"/>
            <w:tcBorders>
              <w:top w:val="single" w:sz="8" w:space="0" w:color="B7B7E2"/>
              <w:left w:val="single" w:sz="4" w:space="0" w:color="B7B7E2"/>
              <w:bottom w:val="dotted" w:sz="4" w:space="0" w:color="B7B7E2"/>
              <w:right w:val="single" w:sz="8" w:space="0" w:color="B7B7E2"/>
            </w:tcBorders>
            <w:tcMar>
              <w:top w:w="0" w:type="dxa"/>
              <w:left w:w="108" w:type="dxa"/>
              <w:bottom w:w="0" w:type="dxa"/>
              <w:right w:w="108" w:type="dxa"/>
            </w:tcMar>
            <w:hideMark/>
          </w:tcPr>
          <w:p w14:paraId="41EA109D" w14:textId="27356491" w:rsidR="001F6295" w:rsidRPr="00100F0A" w:rsidRDefault="001F6295" w:rsidP="006872A9">
            <w:pPr>
              <w:jc w:val="center"/>
              <w:rPr>
                <w:rFonts w:eastAsia="Times New Roman" w:cs="Times New Roman"/>
                <w:sz w:val="20"/>
                <w:szCs w:val="20"/>
              </w:rPr>
            </w:pPr>
            <w:r w:rsidRPr="00100F0A">
              <w:rPr>
                <w:sz w:val="20"/>
                <w:szCs w:val="20"/>
              </w:rPr>
              <w:t>2.8%</w:t>
            </w:r>
          </w:p>
        </w:tc>
        <w:tc>
          <w:tcPr>
            <w:tcW w:w="690" w:type="dxa"/>
            <w:tcBorders>
              <w:top w:val="single" w:sz="8" w:space="0" w:color="B7B7E2"/>
              <w:left w:val="nil"/>
              <w:bottom w:val="dotted" w:sz="4" w:space="0" w:color="B7B7E2"/>
              <w:right w:val="single" w:sz="8" w:space="0" w:color="B7B7E2"/>
            </w:tcBorders>
          </w:tcPr>
          <w:p w14:paraId="4B8C2D6D" w14:textId="77777777" w:rsidR="001F6295" w:rsidRPr="00100F0A" w:rsidRDefault="001F6295" w:rsidP="00B30B8D">
            <w:pPr>
              <w:spacing w:after="60"/>
              <w:jc w:val="center"/>
              <w:rPr>
                <w:rFonts w:eastAsia="Times New Roman" w:cs="Times New Roman"/>
                <w:sz w:val="20"/>
                <w:szCs w:val="20"/>
              </w:rPr>
            </w:pPr>
            <w:r w:rsidRPr="00100F0A">
              <w:rPr>
                <w:sz w:val="20"/>
                <w:szCs w:val="20"/>
              </w:rPr>
              <w:t>...</w:t>
            </w:r>
          </w:p>
        </w:tc>
        <w:tc>
          <w:tcPr>
            <w:tcW w:w="690" w:type="dxa"/>
            <w:tcBorders>
              <w:top w:val="single" w:sz="8" w:space="0" w:color="B7B7E2"/>
              <w:left w:val="nil"/>
              <w:bottom w:val="dotted" w:sz="4" w:space="0" w:color="B7B7E2"/>
              <w:right w:val="single" w:sz="8" w:space="0" w:color="B7B7E2"/>
            </w:tcBorders>
          </w:tcPr>
          <w:p w14:paraId="5BB798FF" w14:textId="17EC54B2" w:rsidR="001F6295" w:rsidRPr="00100F0A" w:rsidRDefault="001F6295" w:rsidP="006872A9">
            <w:pPr>
              <w:jc w:val="center"/>
              <w:rPr>
                <w:rFonts w:eastAsia="Times New Roman" w:cs="Times New Roman"/>
                <w:sz w:val="20"/>
                <w:szCs w:val="20"/>
              </w:rPr>
            </w:pPr>
            <w:r w:rsidRPr="00100F0A">
              <w:rPr>
                <w:sz w:val="20"/>
                <w:szCs w:val="20"/>
              </w:rPr>
              <w:t>2.8%</w:t>
            </w:r>
          </w:p>
        </w:tc>
      </w:tr>
      <w:tr w:rsidR="001F6295" w:rsidRPr="00100F0A" w14:paraId="7EB8742E" w14:textId="77777777" w:rsidTr="005F67D6">
        <w:tc>
          <w:tcPr>
            <w:tcW w:w="586" w:type="dxa"/>
            <w:tcBorders>
              <w:top w:val="dotted" w:sz="4" w:space="0" w:color="B7B7E2"/>
              <w:left w:val="single" w:sz="8" w:space="0" w:color="B7B7E2"/>
              <w:bottom w:val="dotted" w:sz="4" w:space="0" w:color="B7B7E2"/>
              <w:right w:val="single" w:sz="8" w:space="0" w:color="B7B7E2"/>
            </w:tcBorders>
            <w:tcMar>
              <w:top w:w="0" w:type="dxa"/>
              <w:left w:w="108" w:type="dxa"/>
              <w:bottom w:w="0" w:type="dxa"/>
              <w:right w:w="108" w:type="dxa"/>
            </w:tcMar>
            <w:hideMark/>
          </w:tcPr>
          <w:p w14:paraId="0702C6A7" w14:textId="77777777" w:rsidR="001F6295" w:rsidRPr="00100F0A" w:rsidRDefault="001F6295" w:rsidP="001F6295">
            <w:pPr>
              <w:spacing w:after="60"/>
              <w:rPr>
                <w:rFonts w:eastAsia="Times New Roman" w:cs="Times New Roman"/>
                <w:sz w:val="20"/>
              </w:rPr>
            </w:pPr>
            <w:r w:rsidRPr="00100F0A">
              <w:rPr>
                <w:sz w:val="20"/>
              </w:rPr>
              <w:t>High</w:t>
            </w:r>
          </w:p>
        </w:tc>
        <w:tc>
          <w:tcPr>
            <w:tcW w:w="1389" w:type="dxa"/>
            <w:vMerge/>
            <w:tcBorders>
              <w:left w:val="nil"/>
              <w:right w:val="single" w:sz="4" w:space="0" w:color="B7B7E2"/>
            </w:tcBorders>
            <w:tcMar>
              <w:top w:w="0" w:type="dxa"/>
              <w:left w:w="108" w:type="dxa"/>
              <w:bottom w:w="0" w:type="dxa"/>
              <w:right w:w="108" w:type="dxa"/>
            </w:tcMar>
          </w:tcPr>
          <w:p w14:paraId="108BA29A" w14:textId="11178C54" w:rsidR="001F6295" w:rsidRPr="00100F0A" w:rsidRDefault="001F6295" w:rsidP="001F6295">
            <w:pPr>
              <w:spacing w:after="60"/>
              <w:rPr>
                <w:sz w:val="20"/>
              </w:rPr>
            </w:pPr>
          </w:p>
        </w:tc>
        <w:tc>
          <w:tcPr>
            <w:tcW w:w="4962"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hideMark/>
          </w:tcPr>
          <w:p w14:paraId="57E9AEAF" w14:textId="4A27ED8F" w:rsidR="001F6295" w:rsidRPr="00100F0A" w:rsidRDefault="001F6295" w:rsidP="005F67D6">
            <w:pPr>
              <w:rPr>
                <w:rFonts w:eastAsia="Times New Roman" w:cs="Times New Roman"/>
                <w:sz w:val="20"/>
                <w:szCs w:val="20"/>
              </w:rPr>
            </w:pPr>
            <w:r w:rsidRPr="00100F0A">
              <w:rPr>
                <w:sz w:val="20"/>
                <w:szCs w:val="20"/>
              </w:rPr>
              <w:t>Average of Vic, NSW, Qld CAGR (rounded to 5%)</w:t>
            </w:r>
          </w:p>
        </w:tc>
        <w:tc>
          <w:tcPr>
            <w:tcW w:w="696" w:type="dxa"/>
            <w:tcBorders>
              <w:top w:val="dotted" w:sz="4" w:space="0" w:color="B7B7E2"/>
              <w:left w:val="single" w:sz="4" w:space="0" w:color="B7B7E2"/>
              <w:bottom w:val="dotted" w:sz="4" w:space="0" w:color="B7B7E2"/>
              <w:right w:val="single" w:sz="8" w:space="0" w:color="B7B7E2"/>
            </w:tcBorders>
            <w:tcMar>
              <w:top w:w="0" w:type="dxa"/>
              <w:left w:w="108" w:type="dxa"/>
              <w:bottom w:w="0" w:type="dxa"/>
              <w:right w:w="108" w:type="dxa"/>
            </w:tcMar>
            <w:hideMark/>
          </w:tcPr>
          <w:p w14:paraId="3ADF4704" w14:textId="677C2C3A" w:rsidR="001F6295" w:rsidRPr="00100F0A" w:rsidRDefault="001F6295" w:rsidP="006872A9">
            <w:pPr>
              <w:jc w:val="center"/>
              <w:rPr>
                <w:rFonts w:eastAsia="Times New Roman" w:cs="Times New Roman"/>
                <w:sz w:val="20"/>
                <w:szCs w:val="20"/>
              </w:rPr>
            </w:pPr>
            <w:r w:rsidRPr="00100F0A">
              <w:rPr>
                <w:sz w:val="20"/>
                <w:szCs w:val="20"/>
              </w:rPr>
              <w:t>5.0%</w:t>
            </w:r>
          </w:p>
        </w:tc>
        <w:tc>
          <w:tcPr>
            <w:tcW w:w="690" w:type="dxa"/>
            <w:tcBorders>
              <w:top w:val="dotted" w:sz="4" w:space="0" w:color="B7B7E2"/>
              <w:left w:val="nil"/>
              <w:bottom w:val="dotted" w:sz="4" w:space="0" w:color="B7B7E2"/>
              <w:right w:val="single" w:sz="8" w:space="0" w:color="B7B7E2"/>
            </w:tcBorders>
          </w:tcPr>
          <w:p w14:paraId="22B43D52" w14:textId="77777777" w:rsidR="001F6295" w:rsidRPr="00100F0A" w:rsidRDefault="001F6295" w:rsidP="00B30B8D">
            <w:pPr>
              <w:spacing w:after="60"/>
              <w:jc w:val="center"/>
              <w:rPr>
                <w:rFonts w:eastAsia="Times New Roman" w:cs="Times New Roman"/>
                <w:sz w:val="20"/>
                <w:szCs w:val="20"/>
              </w:rPr>
            </w:pPr>
            <w:r w:rsidRPr="00100F0A">
              <w:rPr>
                <w:sz w:val="20"/>
                <w:szCs w:val="20"/>
              </w:rPr>
              <w:t>...</w:t>
            </w:r>
          </w:p>
        </w:tc>
        <w:tc>
          <w:tcPr>
            <w:tcW w:w="690" w:type="dxa"/>
            <w:tcBorders>
              <w:top w:val="dotted" w:sz="4" w:space="0" w:color="B7B7E2"/>
              <w:left w:val="nil"/>
              <w:bottom w:val="dotted" w:sz="4" w:space="0" w:color="B7B7E2"/>
              <w:right w:val="single" w:sz="8" w:space="0" w:color="B7B7E2"/>
            </w:tcBorders>
          </w:tcPr>
          <w:p w14:paraId="77A13699" w14:textId="3E09F812" w:rsidR="001F6295" w:rsidRPr="00100F0A" w:rsidRDefault="001F6295" w:rsidP="006872A9">
            <w:pPr>
              <w:jc w:val="center"/>
              <w:rPr>
                <w:rFonts w:eastAsia="Times New Roman" w:cs="Times New Roman"/>
                <w:sz w:val="20"/>
                <w:szCs w:val="20"/>
              </w:rPr>
            </w:pPr>
            <w:r w:rsidRPr="00100F0A">
              <w:rPr>
                <w:sz w:val="20"/>
                <w:szCs w:val="20"/>
              </w:rPr>
              <w:t>5.0%</w:t>
            </w:r>
          </w:p>
        </w:tc>
      </w:tr>
      <w:tr w:rsidR="001F6295" w:rsidRPr="00100F0A" w14:paraId="33D32806" w14:textId="77777777" w:rsidTr="005F67D6">
        <w:tc>
          <w:tcPr>
            <w:tcW w:w="586" w:type="dxa"/>
            <w:tcBorders>
              <w:top w:val="dotted" w:sz="4" w:space="0" w:color="B7B7E2"/>
              <w:left w:val="single" w:sz="8" w:space="0" w:color="B7B7E2"/>
              <w:bottom w:val="single" w:sz="4" w:space="0" w:color="B7B7E2"/>
              <w:right w:val="single" w:sz="8" w:space="0" w:color="B7B7E2"/>
            </w:tcBorders>
            <w:tcMar>
              <w:top w:w="0" w:type="dxa"/>
              <w:left w:w="108" w:type="dxa"/>
              <w:bottom w:w="0" w:type="dxa"/>
              <w:right w:w="108" w:type="dxa"/>
            </w:tcMar>
            <w:hideMark/>
          </w:tcPr>
          <w:p w14:paraId="054DF86F" w14:textId="77777777" w:rsidR="001F6295" w:rsidRPr="00100F0A" w:rsidRDefault="001F6295" w:rsidP="001F6295">
            <w:pPr>
              <w:spacing w:after="60"/>
              <w:rPr>
                <w:rFonts w:eastAsia="Times New Roman" w:cs="Times New Roman"/>
                <w:sz w:val="20"/>
              </w:rPr>
            </w:pPr>
            <w:r w:rsidRPr="00100F0A">
              <w:rPr>
                <w:sz w:val="20"/>
              </w:rPr>
              <w:t>Low</w:t>
            </w:r>
          </w:p>
        </w:tc>
        <w:tc>
          <w:tcPr>
            <w:tcW w:w="1389" w:type="dxa"/>
            <w:vMerge/>
            <w:tcBorders>
              <w:left w:val="nil"/>
              <w:bottom w:val="single" w:sz="8" w:space="0" w:color="B7B7E2"/>
              <w:right w:val="single" w:sz="4" w:space="0" w:color="B7B7E2"/>
            </w:tcBorders>
            <w:tcMar>
              <w:top w:w="0" w:type="dxa"/>
              <w:left w:w="108" w:type="dxa"/>
              <w:bottom w:w="0" w:type="dxa"/>
              <w:right w:w="108" w:type="dxa"/>
            </w:tcMar>
          </w:tcPr>
          <w:p w14:paraId="1B406735" w14:textId="5FB46438" w:rsidR="001F6295" w:rsidRPr="00100F0A" w:rsidRDefault="001F6295" w:rsidP="001F6295">
            <w:pPr>
              <w:spacing w:after="60"/>
              <w:rPr>
                <w:sz w:val="20"/>
              </w:rPr>
            </w:pPr>
          </w:p>
        </w:tc>
        <w:tc>
          <w:tcPr>
            <w:tcW w:w="4962" w:type="dxa"/>
            <w:tcBorders>
              <w:top w:val="dotted" w:sz="4" w:space="0" w:color="B7B7E2"/>
              <w:left w:val="single" w:sz="4" w:space="0" w:color="B7B7E2"/>
              <w:bottom w:val="single" w:sz="8" w:space="0" w:color="B7B7E2"/>
              <w:right w:val="single" w:sz="4" w:space="0" w:color="B7B7E2"/>
            </w:tcBorders>
            <w:tcMar>
              <w:top w:w="0" w:type="dxa"/>
              <w:left w:w="108" w:type="dxa"/>
              <w:bottom w:w="0" w:type="dxa"/>
              <w:right w:w="108" w:type="dxa"/>
            </w:tcMar>
            <w:hideMark/>
          </w:tcPr>
          <w:p w14:paraId="10C42E87" w14:textId="4CB3345F" w:rsidR="001F6295" w:rsidRPr="00100F0A" w:rsidRDefault="001F6295" w:rsidP="005F67D6">
            <w:pPr>
              <w:rPr>
                <w:rFonts w:eastAsia="Times New Roman" w:cs="Times New Roman"/>
                <w:sz w:val="20"/>
                <w:szCs w:val="20"/>
              </w:rPr>
            </w:pPr>
            <w:r w:rsidRPr="00100F0A">
              <w:rPr>
                <w:sz w:val="20"/>
                <w:szCs w:val="20"/>
              </w:rPr>
              <w:t>Assume NSW flat trend is accurate and applies to all</w:t>
            </w:r>
          </w:p>
        </w:tc>
        <w:tc>
          <w:tcPr>
            <w:tcW w:w="696" w:type="dxa"/>
            <w:tcBorders>
              <w:top w:val="dotted" w:sz="4" w:space="0" w:color="B7B7E2"/>
              <w:left w:val="single" w:sz="4" w:space="0" w:color="B7B7E2"/>
              <w:bottom w:val="single" w:sz="4" w:space="0" w:color="B7B7E2"/>
              <w:right w:val="single" w:sz="8" w:space="0" w:color="B7B7E2"/>
            </w:tcBorders>
            <w:tcMar>
              <w:top w:w="0" w:type="dxa"/>
              <w:left w:w="108" w:type="dxa"/>
              <w:bottom w:w="0" w:type="dxa"/>
              <w:right w:w="108" w:type="dxa"/>
            </w:tcMar>
            <w:hideMark/>
          </w:tcPr>
          <w:p w14:paraId="5139B574" w14:textId="6A0E358D" w:rsidR="001F6295" w:rsidRPr="00100F0A" w:rsidRDefault="001F6295" w:rsidP="006872A9">
            <w:pPr>
              <w:jc w:val="center"/>
              <w:rPr>
                <w:rFonts w:eastAsia="Times New Roman" w:cs="Times New Roman"/>
                <w:sz w:val="20"/>
                <w:szCs w:val="20"/>
              </w:rPr>
            </w:pPr>
            <w:r w:rsidRPr="00100F0A">
              <w:rPr>
                <w:sz w:val="20"/>
                <w:szCs w:val="20"/>
              </w:rPr>
              <w:t>0.0%</w:t>
            </w:r>
          </w:p>
        </w:tc>
        <w:tc>
          <w:tcPr>
            <w:tcW w:w="690" w:type="dxa"/>
            <w:tcBorders>
              <w:top w:val="dotted" w:sz="4" w:space="0" w:color="B7B7E2"/>
              <w:left w:val="nil"/>
              <w:bottom w:val="single" w:sz="4" w:space="0" w:color="B7B7E2"/>
              <w:right w:val="single" w:sz="8" w:space="0" w:color="B7B7E2"/>
            </w:tcBorders>
          </w:tcPr>
          <w:p w14:paraId="2DF2F6C3" w14:textId="77777777" w:rsidR="001F6295" w:rsidRPr="00100F0A" w:rsidRDefault="001F6295" w:rsidP="00B30B8D">
            <w:pPr>
              <w:spacing w:after="60"/>
              <w:jc w:val="center"/>
              <w:rPr>
                <w:rFonts w:eastAsia="Times New Roman" w:cs="Times New Roman"/>
                <w:sz w:val="20"/>
                <w:szCs w:val="20"/>
              </w:rPr>
            </w:pPr>
            <w:r w:rsidRPr="00100F0A">
              <w:rPr>
                <w:sz w:val="20"/>
                <w:szCs w:val="20"/>
              </w:rPr>
              <w:t>...</w:t>
            </w:r>
          </w:p>
        </w:tc>
        <w:tc>
          <w:tcPr>
            <w:tcW w:w="690" w:type="dxa"/>
            <w:tcBorders>
              <w:top w:val="dotted" w:sz="4" w:space="0" w:color="B7B7E2"/>
              <w:left w:val="nil"/>
              <w:bottom w:val="single" w:sz="4" w:space="0" w:color="B7B7E2"/>
              <w:right w:val="single" w:sz="8" w:space="0" w:color="B7B7E2"/>
            </w:tcBorders>
          </w:tcPr>
          <w:p w14:paraId="5CF16597" w14:textId="58C28B6B" w:rsidR="001F6295" w:rsidRPr="00100F0A" w:rsidRDefault="001F6295" w:rsidP="006872A9">
            <w:pPr>
              <w:jc w:val="center"/>
              <w:rPr>
                <w:rFonts w:eastAsia="Times New Roman" w:cs="Times New Roman"/>
                <w:sz w:val="20"/>
                <w:szCs w:val="20"/>
              </w:rPr>
            </w:pPr>
            <w:r w:rsidRPr="00100F0A">
              <w:rPr>
                <w:sz w:val="20"/>
                <w:szCs w:val="20"/>
              </w:rPr>
              <w:t>0.0%</w:t>
            </w:r>
          </w:p>
        </w:tc>
      </w:tr>
      <w:tr w:rsidR="001F6295" w:rsidRPr="00100F0A" w14:paraId="20D1FFA2" w14:textId="77777777" w:rsidTr="005F67D6">
        <w:tc>
          <w:tcPr>
            <w:tcW w:w="586" w:type="dxa"/>
            <w:tcBorders>
              <w:top w:val="single" w:sz="4" w:space="0" w:color="B7B7E2"/>
              <w:left w:val="single" w:sz="4" w:space="0" w:color="B7B7E2"/>
              <w:bottom w:val="dotted" w:sz="4" w:space="0" w:color="B7B7E2"/>
              <w:right w:val="single" w:sz="4" w:space="0" w:color="B7B7E2"/>
            </w:tcBorders>
            <w:tcMar>
              <w:top w:w="0" w:type="dxa"/>
              <w:left w:w="108" w:type="dxa"/>
              <w:bottom w:w="0" w:type="dxa"/>
              <w:right w:w="108" w:type="dxa"/>
            </w:tcMar>
            <w:hideMark/>
          </w:tcPr>
          <w:p w14:paraId="14C37181" w14:textId="77777777" w:rsidR="001F6295" w:rsidRPr="00100F0A" w:rsidRDefault="001F6295" w:rsidP="001F6295">
            <w:pPr>
              <w:spacing w:after="60"/>
              <w:rPr>
                <w:rFonts w:eastAsia="Times New Roman" w:cs="Times New Roman"/>
                <w:sz w:val="20"/>
              </w:rPr>
            </w:pPr>
            <w:r w:rsidRPr="00100F0A">
              <w:rPr>
                <w:sz w:val="20"/>
              </w:rPr>
              <w:t>Best</w:t>
            </w:r>
          </w:p>
        </w:tc>
        <w:tc>
          <w:tcPr>
            <w:tcW w:w="1389" w:type="dxa"/>
            <w:vMerge w:val="restart"/>
            <w:tcBorders>
              <w:top w:val="single" w:sz="8" w:space="0" w:color="B7B7E2"/>
              <w:left w:val="single" w:sz="4" w:space="0" w:color="B7B7E2"/>
              <w:right w:val="single" w:sz="8" w:space="0" w:color="B7B7E2"/>
            </w:tcBorders>
            <w:tcMar>
              <w:top w:w="0" w:type="dxa"/>
              <w:left w:w="108" w:type="dxa"/>
              <w:bottom w:w="0" w:type="dxa"/>
              <w:right w:w="108" w:type="dxa"/>
            </w:tcMar>
            <w:vAlign w:val="center"/>
          </w:tcPr>
          <w:p w14:paraId="28E62A19" w14:textId="517B7EC3" w:rsidR="001F6295" w:rsidRPr="00100F0A" w:rsidRDefault="001F6295" w:rsidP="001F6295">
            <w:pPr>
              <w:spacing w:after="60"/>
              <w:rPr>
                <w:sz w:val="20"/>
              </w:rPr>
            </w:pPr>
            <w:r w:rsidRPr="00100F0A">
              <w:rPr>
                <w:sz w:val="20"/>
              </w:rPr>
              <w:t>SA</w:t>
            </w:r>
          </w:p>
        </w:tc>
        <w:tc>
          <w:tcPr>
            <w:tcW w:w="4962" w:type="dxa"/>
            <w:tcBorders>
              <w:top w:val="single" w:sz="8" w:space="0" w:color="B7B7E2"/>
              <w:left w:val="nil"/>
              <w:bottom w:val="dotted" w:sz="4" w:space="0" w:color="B7B7E2"/>
              <w:right w:val="single" w:sz="4" w:space="0" w:color="B7B7E2"/>
            </w:tcBorders>
            <w:tcMar>
              <w:top w:w="0" w:type="dxa"/>
              <w:left w:w="108" w:type="dxa"/>
              <w:bottom w:w="0" w:type="dxa"/>
              <w:right w:w="108" w:type="dxa"/>
            </w:tcMar>
            <w:hideMark/>
          </w:tcPr>
          <w:p w14:paraId="20E9B875" w14:textId="63DF323C" w:rsidR="001F6295" w:rsidRPr="00100F0A" w:rsidRDefault="001F6295" w:rsidP="005F67D6">
            <w:pPr>
              <w:rPr>
                <w:rFonts w:eastAsia="Times New Roman" w:cs="Times New Roman"/>
                <w:sz w:val="20"/>
                <w:szCs w:val="20"/>
              </w:rPr>
            </w:pPr>
            <w:r w:rsidRPr="00100F0A">
              <w:rPr>
                <w:sz w:val="20"/>
                <w:szCs w:val="20"/>
              </w:rPr>
              <w:t xml:space="preserve">SA </w:t>
            </w:r>
            <w:r w:rsidR="00C34F48" w:rsidRPr="00100F0A">
              <w:rPr>
                <w:sz w:val="20"/>
                <w:szCs w:val="20"/>
              </w:rPr>
              <w:t>12-year</w:t>
            </w:r>
            <w:r w:rsidRPr="00100F0A">
              <w:rPr>
                <w:sz w:val="20"/>
                <w:szCs w:val="20"/>
              </w:rPr>
              <w:t xml:space="preserve"> CAGR (-1.6%)</w:t>
            </w:r>
          </w:p>
        </w:tc>
        <w:tc>
          <w:tcPr>
            <w:tcW w:w="696" w:type="dxa"/>
            <w:tcBorders>
              <w:top w:val="single" w:sz="4" w:space="0" w:color="B7B7E2"/>
              <w:left w:val="single" w:sz="4" w:space="0" w:color="B7B7E2"/>
              <w:bottom w:val="dotted" w:sz="4" w:space="0" w:color="B7B7E2"/>
              <w:right w:val="single" w:sz="4" w:space="0" w:color="B7B7E2"/>
            </w:tcBorders>
            <w:tcMar>
              <w:top w:w="0" w:type="dxa"/>
              <w:left w:w="108" w:type="dxa"/>
              <w:bottom w:w="0" w:type="dxa"/>
              <w:right w:w="108" w:type="dxa"/>
            </w:tcMar>
            <w:hideMark/>
          </w:tcPr>
          <w:p w14:paraId="41561CE5" w14:textId="4FDDB8E1" w:rsidR="001F6295" w:rsidRPr="00100F0A" w:rsidRDefault="001F6295" w:rsidP="006872A9">
            <w:pPr>
              <w:jc w:val="center"/>
              <w:rPr>
                <w:rFonts w:eastAsia="Times New Roman" w:cs="Times New Roman"/>
                <w:sz w:val="20"/>
                <w:szCs w:val="20"/>
              </w:rPr>
            </w:pPr>
            <w:r w:rsidRPr="00100F0A">
              <w:rPr>
                <w:sz w:val="20"/>
                <w:szCs w:val="20"/>
              </w:rPr>
              <w:t>-1.6%</w:t>
            </w:r>
          </w:p>
        </w:tc>
        <w:tc>
          <w:tcPr>
            <w:tcW w:w="690" w:type="dxa"/>
            <w:tcBorders>
              <w:top w:val="single" w:sz="4" w:space="0" w:color="B7B7E2"/>
              <w:left w:val="single" w:sz="4" w:space="0" w:color="B7B7E2"/>
              <w:bottom w:val="dotted" w:sz="4" w:space="0" w:color="B7B7E2"/>
              <w:right w:val="single" w:sz="4" w:space="0" w:color="B7B7E2"/>
            </w:tcBorders>
          </w:tcPr>
          <w:p w14:paraId="1F9F6678" w14:textId="77777777" w:rsidR="001F6295" w:rsidRPr="00100F0A" w:rsidRDefault="001F6295" w:rsidP="00B30B8D">
            <w:pPr>
              <w:spacing w:after="60"/>
              <w:jc w:val="center"/>
              <w:rPr>
                <w:rFonts w:eastAsia="Times New Roman" w:cs="Times New Roman"/>
                <w:sz w:val="20"/>
                <w:szCs w:val="20"/>
              </w:rPr>
            </w:pPr>
            <w:r w:rsidRPr="00100F0A">
              <w:rPr>
                <w:sz w:val="20"/>
                <w:szCs w:val="20"/>
              </w:rPr>
              <w:t>...</w:t>
            </w:r>
          </w:p>
        </w:tc>
        <w:tc>
          <w:tcPr>
            <w:tcW w:w="690" w:type="dxa"/>
            <w:tcBorders>
              <w:top w:val="single" w:sz="4" w:space="0" w:color="B7B7E2"/>
              <w:left w:val="single" w:sz="4" w:space="0" w:color="B7B7E2"/>
              <w:bottom w:val="dotted" w:sz="4" w:space="0" w:color="B7B7E2"/>
              <w:right w:val="single" w:sz="4" w:space="0" w:color="B7B7E2"/>
            </w:tcBorders>
          </w:tcPr>
          <w:p w14:paraId="412AC4F0" w14:textId="4511AEF8" w:rsidR="001F6295" w:rsidRPr="00100F0A" w:rsidRDefault="001F6295" w:rsidP="006872A9">
            <w:pPr>
              <w:jc w:val="center"/>
              <w:rPr>
                <w:rFonts w:eastAsia="Times New Roman" w:cs="Times New Roman"/>
                <w:sz w:val="20"/>
                <w:szCs w:val="20"/>
              </w:rPr>
            </w:pPr>
            <w:r w:rsidRPr="00100F0A">
              <w:rPr>
                <w:sz w:val="20"/>
                <w:szCs w:val="20"/>
              </w:rPr>
              <w:t>-1.6%</w:t>
            </w:r>
          </w:p>
        </w:tc>
      </w:tr>
      <w:tr w:rsidR="001F6295" w:rsidRPr="00100F0A" w14:paraId="60CF1D84" w14:textId="77777777" w:rsidTr="005F67D6">
        <w:tc>
          <w:tcPr>
            <w:tcW w:w="586"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hideMark/>
          </w:tcPr>
          <w:p w14:paraId="3348B887" w14:textId="77777777" w:rsidR="001F6295" w:rsidRPr="00100F0A" w:rsidRDefault="001F6295" w:rsidP="001F6295">
            <w:pPr>
              <w:spacing w:after="60"/>
              <w:rPr>
                <w:rFonts w:eastAsia="Times New Roman" w:cs="Times New Roman"/>
                <w:sz w:val="20"/>
              </w:rPr>
            </w:pPr>
            <w:r w:rsidRPr="00100F0A">
              <w:rPr>
                <w:sz w:val="20"/>
              </w:rPr>
              <w:t>High</w:t>
            </w:r>
          </w:p>
        </w:tc>
        <w:tc>
          <w:tcPr>
            <w:tcW w:w="1389" w:type="dxa"/>
            <w:vMerge/>
            <w:tcBorders>
              <w:left w:val="single" w:sz="4" w:space="0" w:color="B7B7E2"/>
              <w:right w:val="single" w:sz="8" w:space="0" w:color="B7B7E2"/>
            </w:tcBorders>
            <w:tcMar>
              <w:top w:w="0" w:type="dxa"/>
              <w:left w:w="108" w:type="dxa"/>
              <w:bottom w:w="0" w:type="dxa"/>
              <w:right w:w="108" w:type="dxa"/>
            </w:tcMar>
          </w:tcPr>
          <w:p w14:paraId="07DBE23F" w14:textId="621DFABE" w:rsidR="001F6295" w:rsidRPr="00100F0A" w:rsidRDefault="001F6295" w:rsidP="001F6295">
            <w:pPr>
              <w:spacing w:after="60"/>
              <w:rPr>
                <w:sz w:val="20"/>
              </w:rPr>
            </w:pPr>
          </w:p>
        </w:tc>
        <w:tc>
          <w:tcPr>
            <w:tcW w:w="4962" w:type="dxa"/>
            <w:tcBorders>
              <w:top w:val="dotted" w:sz="4" w:space="0" w:color="B7B7E2"/>
              <w:left w:val="nil"/>
              <w:bottom w:val="dotted" w:sz="4" w:space="0" w:color="B7B7E2"/>
              <w:right w:val="single" w:sz="4" w:space="0" w:color="B7B7E2"/>
            </w:tcBorders>
            <w:tcMar>
              <w:top w:w="0" w:type="dxa"/>
              <w:left w:w="108" w:type="dxa"/>
              <w:bottom w:w="0" w:type="dxa"/>
              <w:right w:w="108" w:type="dxa"/>
            </w:tcMar>
            <w:hideMark/>
          </w:tcPr>
          <w:p w14:paraId="19833E24" w14:textId="30B82F6D" w:rsidR="001F6295" w:rsidRPr="00100F0A" w:rsidRDefault="00C34F48" w:rsidP="005F67D6">
            <w:pPr>
              <w:rPr>
                <w:rFonts w:eastAsia="Times New Roman" w:cs="Times New Roman"/>
                <w:sz w:val="20"/>
                <w:szCs w:val="20"/>
              </w:rPr>
            </w:pPr>
            <w:r>
              <w:rPr>
                <w:sz w:val="20"/>
                <w:szCs w:val="20"/>
              </w:rPr>
              <w:t>20-year average</w:t>
            </w:r>
            <w:r w:rsidR="001F6295" w:rsidRPr="00100F0A">
              <w:rPr>
                <w:sz w:val="20"/>
                <w:szCs w:val="20"/>
              </w:rPr>
              <w:t xml:space="preserve"> economic growth</w:t>
            </w:r>
          </w:p>
        </w:tc>
        <w:tc>
          <w:tcPr>
            <w:tcW w:w="696"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hideMark/>
          </w:tcPr>
          <w:p w14:paraId="5AF3A7D8" w14:textId="1389988B" w:rsidR="001F6295" w:rsidRPr="00100F0A" w:rsidRDefault="001F6295" w:rsidP="006872A9">
            <w:pPr>
              <w:jc w:val="center"/>
              <w:rPr>
                <w:rFonts w:eastAsia="Times New Roman" w:cs="Times New Roman"/>
                <w:sz w:val="20"/>
                <w:szCs w:val="20"/>
              </w:rPr>
            </w:pPr>
            <w:r w:rsidRPr="00100F0A">
              <w:rPr>
                <w:sz w:val="20"/>
                <w:szCs w:val="20"/>
              </w:rPr>
              <w:t>2.8%</w:t>
            </w:r>
          </w:p>
        </w:tc>
        <w:tc>
          <w:tcPr>
            <w:tcW w:w="690" w:type="dxa"/>
            <w:tcBorders>
              <w:top w:val="dotted" w:sz="4" w:space="0" w:color="B7B7E2"/>
              <w:left w:val="single" w:sz="4" w:space="0" w:color="B7B7E2"/>
              <w:bottom w:val="dotted" w:sz="4" w:space="0" w:color="B7B7E2"/>
              <w:right w:val="single" w:sz="4" w:space="0" w:color="B7B7E2"/>
            </w:tcBorders>
          </w:tcPr>
          <w:p w14:paraId="507AEF38" w14:textId="77777777" w:rsidR="001F6295" w:rsidRPr="00100F0A" w:rsidRDefault="001F6295" w:rsidP="00B30B8D">
            <w:pPr>
              <w:spacing w:after="60"/>
              <w:jc w:val="center"/>
              <w:rPr>
                <w:rFonts w:eastAsia="Times New Roman" w:cs="Times New Roman"/>
                <w:sz w:val="20"/>
                <w:szCs w:val="20"/>
              </w:rPr>
            </w:pPr>
            <w:r w:rsidRPr="00100F0A">
              <w:rPr>
                <w:sz w:val="20"/>
                <w:szCs w:val="20"/>
              </w:rPr>
              <w:t>...</w:t>
            </w:r>
          </w:p>
        </w:tc>
        <w:tc>
          <w:tcPr>
            <w:tcW w:w="690" w:type="dxa"/>
            <w:tcBorders>
              <w:top w:val="dotted" w:sz="4" w:space="0" w:color="B7B7E2"/>
              <w:left w:val="single" w:sz="4" w:space="0" w:color="B7B7E2"/>
              <w:bottom w:val="dotted" w:sz="4" w:space="0" w:color="B7B7E2"/>
              <w:right w:val="single" w:sz="4" w:space="0" w:color="B7B7E2"/>
            </w:tcBorders>
          </w:tcPr>
          <w:p w14:paraId="17382AD0" w14:textId="04086D49" w:rsidR="001F6295" w:rsidRPr="00100F0A" w:rsidRDefault="001F6295" w:rsidP="006872A9">
            <w:pPr>
              <w:jc w:val="center"/>
              <w:rPr>
                <w:rFonts w:eastAsia="Times New Roman" w:cs="Times New Roman"/>
                <w:sz w:val="20"/>
                <w:szCs w:val="20"/>
              </w:rPr>
            </w:pPr>
            <w:r w:rsidRPr="00100F0A">
              <w:rPr>
                <w:sz w:val="20"/>
                <w:szCs w:val="20"/>
              </w:rPr>
              <w:t>2.8%</w:t>
            </w:r>
          </w:p>
        </w:tc>
      </w:tr>
      <w:tr w:rsidR="001F6295" w:rsidRPr="00100F0A" w14:paraId="0D3F39D8" w14:textId="77777777" w:rsidTr="005F67D6">
        <w:tc>
          <w:tcPr>
            <w:tcW w:w="586" w:type="dxa"/>
            <w:tcBorders>
              <w:top w:val="dotted" w:sz="4" w:space="0" w:color="B7B7E2"/>
              <w:left w:val="single" w:sz="4" w:space="0" w:color="B7B7E2"/>
              <w:bottom w:val="single" w:sz="4" w:space="0" w:color="B7B7E2"/>
              <w:right w:val="single" w:sz="4" w:space="0" w:color="B7B7E2"/>
            </w:tcBorders>
            <w:tcMar>
              <w:top w:w="0" w:type="dxa"/>
              <w:left w:w="108" w:type="dxa"/>
              <w:bottom w:w="0" w:type="dxa"/>
              <w:right w:w="108" w:type="dxa"/>
            </w:tcMar>
            <w:hideMark/>
          </w:tcPr>
          <w:p w14:paraId="04AC3463" w14:textId="77777777" w:rsidR="001F6295" w:rsidRPr="00100F0A" w:rsidRDefault="001F6295" w:rsidP="001F6295">
            <w:pPr>
              <w:spacing w:after="60"/>
              <w:rPr>
                <w:rFonts w:eastAsia="Times New Roman" w:cs="Times New Roman"/>
                <w:sz w:val="20"/>
              </w:rPr>
            </w:pPr>
            <w:r w:rsidRPr="00100F0A">
              <w:rPr>
                <w:sz w:val="20"/>
              </w:rPr>
              <w:t>Low</w:t>
            </w:r>
          </w:p>
        </w:tc>
        <w:tc>
          <w:tcPr>
            <w:tcW w:w="1389" w:type="dxa"/>
            <w:vMerge/>
            <w:tcBorders>
              <w:left w:val="single" w:sz="4" w:space="0" w:color="B7B7E2"/>
              <w:bottom w:val="single" w:sz="8" w:space="0" w:color="B7B7E2"/>
              <w:right w:val="single" w:sz="8" w:space="0" w:color="B7B7E2"/>
            </w:tcBorders>
            <w:tcMar>
              <w:top w:w="0" w:type="dxa"/>
              <w:left w:w="108" w:type="dxa"/>
              <w:bottom w:w="0" w:type="dxa"/>
              <w:right w:w="108" w:type="dxa"/>
            </w:tcMar>
          </w:tcPr>
          <w:p w14:paraId="5D626EDD" w14:textId="33294802" w:rsidR="001F6295" w:rsidRPr="00100F0A" w:rsidRDefault="001F6295" w:rsidP="001F6295">
            <w:pPr>
              <w:spacing w:after="60"/>
              <w:rPr>
                <w:sz w:val="20"/>
              </w:rPr>
            </w:pPr>
          </w:p>
        </w:tc>
        <w:tc>
          <w:tcPr>
            <w:tcW w:w="4962" w:type="dxa"/>
            <w:tcBorders>
              <w:top w:val="dotted" w:sz="4" w:space="0" w:color="B7B7E2"/>
              <w:left w:val="nil"/>
              <w:bottom w:val="single" w:sz="8" w:space="0" w:color="B7B7E2"/>
              <w:right w:val="single" w:sz="4" w:space="0" w:color="B7B7E2"/>
            </w:tcBorders>
            <w:tcMar>
              <w:top w:w="0" w:type="dxa"/>
              <w:left w:w="108" w:type="dxa"/>
              <w:bottom w:w="0" w:type="dxa"/>
              <w:right w:w="108" w:type="dxa"/>
            </w:tcMar>
            <w:hideMark/>
          </w:tcPr>
          <w:p w14:paraId="2443F744" w14:textId="694D536E" w:rsidR="001F6295" w:rsidRPr="00100F0A" w:rsidRDefault="001F6295" w:rsidP="005F67D6">
            <w:pPr>
              <w:rPr>
                <w:rFonts w:eastAsia="Times New Roman" w:cs="Times New Roman"/>
                <w:sz w:val="20"/>
                <w:szCs w:val="20"/>
              </w:rPr>
            </w:pPr>
            <w:r w:rsidRPr="00100F0A">
              <w:rPr>
                <w:sz w:val="20"/>
                <w:szCs w:val="20"/>
              </w:rPr>
              <w:t>More rapidly declining industry</w:t>
            </w:r>
          </w:p>
        </w:tc>
        <w:tc>
          <w:tcPr>
            <w:tcW w:w="696" w:type="dxa"/>
            <w:tcBorders>
              <w:top w:val="dotted" w:sz="4" w:space="0" w:color="B7B7E2"/>
              <w:left w:val="single" w:sz="4" w:space="0" w:color="B7B7E2"/>
              <w:bottom w:val="single" w:sz="4" w:space="0" w:color="B7B7E2"/>
              <w:right w:val="single" w:sz="4" w:space="0" w:color="B7B7E2"/>
            </w:tcBorders>
            <w:tcMar>
              <w:top w:w="0" w:type="dxa"/>
              <w:left w:w="108" w:type="dxa"/>
              <w:bottom w:w="0" w:type="dxa"/>
              <w:right w:w="108" w:type="dxa"/>
            </w:tcMar>
            <w:hideMark/>
          </w:tcPr>
          <w:p w14:paraId="5E71C384" w14:textId="4545BE25" w:rsidR="001F6295" w:rsidRPr="00100F0A" w:rsidRDefault="001F6295" w:rsidP="006872A9">
            <w:pPr>
              <w:jc w:val="center"/>
              <w:rPr>
                <w:rFonts w:eastAsia="Times New Roman" w:cs="Times New Roman"/>
                <w:sz w:val="20"/>
                <w:szCs w:val="20"/>
              </w:rPr>
            </w:pPr>
            <w:r w:rsidRPr="00100F0A">
              <w:rPr>
                <w:sz w:val="20"/>
                <w:szCs w:val="20"/>
              </w:rPr>
              <w:t>-3.0%</w:t>
            </w:r>
          </w:p>
        </w:tc>
        <w:tc>
          <w:tcPr>
            <w:tcW w:w="690" w:type="dxa"/>
            <w:tcBorders>
              <w:top w:val="dotted" w:sz="4" w:space="0" w:color="B7B7E2"/>
              <w:left w:val="single" w:sz="4" w:space="0" w:color="B7B7E2"/>
              <w:bottom w:val="single" w:sz="4" w:space="0" w:color="B7B7E2"/>
              <w:right w:val="single" w:sz="4" w:space="0" w:color="B7B7E2"/>
            </w:tcBorders>
          </w:tcPr>
          <w:p w14:paraId="4D669AA9" w14:textId="77777777" w:rsidR="001F6295" w:rsidRPr="00100F0A" w:rsidRDefault="001F6295" w:rsidP="00B30B8D">
            <w:pPr>
              <w:spacing w:after="60"/>
              <w:jc w:val="center"/>
              <w:rPr>
                <w:rFonts w:eastAsia="Times New Roman" w:cs="Times New Roman"/>
                <w:sz w:val="20"/>
                <w:szCs w:val="20"/>
              </w:rPr>
            </w:pPr>
            <w:r w:rsidRPr="00100F0A">
              <w:rPr>
                <w:sz w:val="20"/>
                <w:szCs w:val="20"/>
              </w:rPr>
              <w:t>...</w:t>
            </w:r>
          </w:p>
        </w:tc>
        <w:tc>
          <w:tcPr>
            <w:tcW w:w="690" w:type="dxa"/>
            <w:tcBorders>
              <w:top w:val="dotted" w:sz="4" w:space="0" w:color="B7B7E2"/>
              <w:left w:val="single" w:sz="4" w:space="0" w:color="B7B7E2"/>
              <w:bottom w:val="single" w:sz="4" w:space="0" w:color="B7B7E2"/>
              <w:right w:val="single" w:sz="4" w:space="0" w:color="B7B7E2"/>
            </w:tcBorders>
          </w:tcPr>
          <w:p w14:paraId="74481AF6" w14:textId="2834D54A" w:rsidR="001F6295" w:rsidRPr="00100F0A" w:rsidRDefault="001F6295" w:rsidP="006872A9">
            <w:pPr>
              <w:jc w:val="center"/>
              <w:rPr>
                <w:rFonts w:eastAsia="Times New Roman" w:cs="Times New Roman"/>
                <w:sz w:val="20"/>
                <w:szCs w:val="20"/>
              </w:rPr>
            </w:pPr>
            <w:r w:rsidRPr="00100F0A">
              <w:rPr>
                <w:sz w:val="20"/>
                <w:szCs w:val="20"/>
              </w:rPr>
              <w:t>-3.0%</w:t>
            </w:r>
          </w:p>
        </w:tc>
      </w:tr>
      <w:tr w:rsidR="001F6295" w:rsidRPr="00100F0A" w14:paraId="186A1A68" w14:textId="77777777" w:rsidTr="005F67D6">
        <w:tc>
          <w:tcPr>
            <w:tcW w:w="586" w:type="dxa"/>
            <w:tcBorders>
              <w:top w:val="single" w:sz="4" w:space="0" w:color="B7B7E2"/>
              <w:left w:val="single" w:sz="8" w:space="0" w:color="B7B7E2"/>
              <w:bottom w:val="dotted" w:sz="4" w:space="0" w:color="B7B7E2"/>
              <w:right w:val="single" w:sz="8" w:space="0" w:color="B7B7E2"/>
            </w:tcBorders>
            <w:tcMar>
              <w:top w:w="0" w:type="dxa"/>
              <w:left w:w="108" w:type="dxa"/>
              <w:bottom w:w="0" w:type="dxa"/>
              <w:right w:w="108" w:type="dxa"/>
            </w:tcMar>
            <w:hideMark/>
          </w:tcPr>
          <w:p w14:paraId="5AEC2AF1" w14:textId="77777777" w:rsidR="001F6295" w:rsidRPr="00100F0A" w:rsidRDefault="001F6295" w:rsidP="001F6295">
            <w:pPr>
              <w:spacing w:after="60"/>
              <w:rPr>
                <w:rFonts w:eastAsia="Times New Roman" w:cs="Times New Roman"/>
                <w:sz w:val="20"/>
              </w:rPr>
            </w:pPr>
            <w:r w:rsidRPr="00100F0A">
              <w:rPr>
                <w:sz w:val="20"/>
              </w:rPr>
              <w:t>Best</w:t>
            </w:r>
          </w:p>
        </w:tc>
        <w:tc>
          <w:tcPr>
            <w:tcW w:w="1389" w:type="dxa"/>
            <w:vMerge w:val="restart"/>
            <w:tcBorders>
              <w:top w:val="single" w:sz="8" w:space="0" w:color="B7B7E2"/>
              <w:left w:val="nil"/>
              <w:bottom w:val="dotted" w:sz="4" w:space="0" w:color="B7B7E2"/>
              <w:right w:val="single" w:sz="8" w:space="0" w:color="B7B7E2"/>
            </w:tcBorders>
            <w:tcMar>
              <w:top w:w="0" w:type="dxa"/>
              <w:left w:w="108" w:type="dxa"/>
              <w:bottom w:w="0" w:type="dxa"/>
              <w:right w:w="108" w:type="dxa"/>
            </w:tcMar>
            <w:vAlign w:val="center"/>
          </w:tcPr>
          <w:p w14:paraId="313848C0" w14:textId="066B5631" w:rsidR="001F6295" w:rsidRPr="00100F0A" w:rsidRDefault="001F6295" w:rsidP="001F6295">
            <w:pPr>
              <w:spacing w:after="60"/>
              <w:rPr>
                <w:sz w:val="20"/>
              </w:rPr>
            </w:pPr>
            <w:r w:rsidRPr="00100F0A">
              <w:rPr>
                <w:sz w:val="20"/>
              </w:rPr>
              <w:t>ACT, NT, Tas</w:t>
            </w:r>
          </w:p>
        </w:tc>
        <w:tc>
          <w:tcPr>
            <w:tcW w:w="4962" w:type="dxa"/>
            <w:tcBorders>
              <w:top w:val="single" w:sz="8" w:space="0" w:color="B7B7E2"/>
              <w:left w:val="nil"/>
              <w:bottom w:val="dotted" w:sz="4" w:space="0" w:color="B7B7E2"/>
              <w:right w:val="single" w:sz="8" w:space="0" w:color="B7B7E2"/>
            </w:tcBorders>
            <w:tcMar>
              <w:top w:w="0" w:type="dxa"/>
              <w:left w:w="108" w:type="dxa"/>
              <w:bottom w:w="0" w:type="dxa"/>
              <w:right w:w="108" w:type="dxa"/>
            </w:tcMar>
            <w:hideMark/>
          </w:tcPr>
          <w:p w14:paraId="574BC87D" w14:textId="04318AD3" w:rsidR="001F6295" w:rsidRPr="00100F0A" w:rsidRDefault="001F6295" w:rsidP="005F67D6">
            <w:pPr>
              <w:rPr>
                <w:rFonts w:eastAsia="Times New Roman" w:cs="Times New Roman"/>
                <w:sz w:val="20"/>
                <w:szCs w:val="20"/>
              </w:rPr>
            </w:pPr>
            <w:r w:rsidRPr="00100F0A">
              <w:rPr>
                <w:sz w:val="20"/>
                <w:szCs w:val="20"/>
              </w:rPr>
              <w:t>Between high and low</w:t>
            </w:r>
          </w:p>
        </w:tc>
        <w:tc>
          <w:tcPr>
            <w:tcW w:w="696" w:type="dxa"/>
            <w:tcBorders>
              <w:top w:val="single" w:sz="4" w:space="0" w:color="B7B7E2"/>
              <w:left w:val="nil"/>
              <w:bottom w:val="dotted" w:sz="4" w:space="0" w:color="B7B7E2"/>
              <w:right w:val="single" w:sz="8" w:space="0" w:color="B7B7E2"/>
            </w:tcBorders>
            <w:tcMar>
              <w:top w:w="0" w:type="dxa"/>
              <w:left w:w="108" w:type="dxa"/>
              <w:bottom w:w="0" w:type="dxa"/>
              <w:right w:w="108" w:type="dxa"/>
            </w:tcMar>
            <w:hideMark/>
          </w:tcPr>
          <w:p w14:paraId="11573BFB" w14:textId="4FE06E6A" w:rsidR="001F6295" w:rsidRPr="00100F0A" w:rsidRDefault="001F6295" w:rsidP="006872A9">
            <w:pPr>
              <w:jc w:val="center"/>
              <w:rPr>
                <w:rFonts w:eastAsia="Times New Roman" w:cs="Times New Roman"/>
                <w:sz w:val="20"/>
                <w:szCs w:val="20"/>
              </w:rPr>
            </w:pPr>
            <w:r w:rsidRPr="00100F0A">
              <w:rPr>
                <w:sz w:val="20"/>
                <w:szCs w:val="20"/>
              </w:rPr>
              <w:t>1.4%</w:t>
            </w:r>
          </w:p>
        </w:tc>
        <w:tc>
          <w:tcPr>
            <w:tcW w:w="690" w:type="dxa"/>
            <w:tcBorders>
              <w:top w:val="single" w:sz="4" w:space="0" w:color="B7B7E2"/>
              <w:left w:val="nil"/>
              <w:bottom w:val="dotted" w:sz="4" w:space="0" w:color="B7B7E2"/>
              <w:right w:val="single" w:sz="8" w:space="0" w:color="B7B7E2"/>
            </w:tcBorders>
          </w:tcPr>
          <w:p w14:paraId="5AA4B41E" w14:textId="77777777" w:rsidR="001F6295" w:rsidRPr="00100F0A" w:rsidRDefault="001F6295" w:rsidP="00B30B8D">
            <w:pPr>
              <w:spacing w:after="60"/>
              <w:jc w:val="center"/>
              <w:rPr>
                <w:rFonts w:eastAsia="Times New Roman" w:cs="Times New Roman"/>
                <w:sz w:val="20"/>
                <w:szCs w:val="20"/>
              </w:rPr>
            </w:pPr>
            <w:r w:rsidRPr="00100F0A">
              <w:rPr>
                <w:sz w:val="20"/>
                <w:szCs w:val="20"/>
              </w:rPr>
              <w:t>...</w:t>
            </w:r>
          </w:p>
        </w:tc>
        <w:tc>
          <w:tcPr>
            <w:tcW w:w="690" w:type="dxa"/>
            <w:tcBorders>
              <w:top w:val="single" w:sz="4" w:space="0" w:color="B7B7E2"/>
              <w:left w:val="nil"/>
              <w:bottom w:val="dotted" w:sz="4" w:space="0" w:color="B7B7E2"/>
              <w:right w:val="single" w:sz="8" w:space="0" w:color="B7B7E2"/>
            </w:tcBorders>
          </w:tcPr>
          <w:p w14:paraId="7B9EDBFB" w14:textId="7AA7C0DF" w:rsidR="001F6295" w:rsidRPr="00100F0A" w:rsidRDefault="001F6295" w:rsidP="006872A9">
            <w:pPr>
              <w:jc w:val="center"/>
              <w:rPr>
                <w:rFonts w:eastAsia="Times New Roman" w:cs="Times New Roman"/>
                <w:sz w:val="20"/>
                <w:szCs w:val="20"/>
              </w:rPr>
            </w:pPr>
            <w:r w:rsidRPr="00100F0A">
              <w:rPr>
                <w:sz w:val="20"/>
                <w:szCs w:val="20"/>
              </w:rPr>
              <w:t>1.4%</w:t>
            </w:r>
          </w:p>
        </w:tc>
      </w:tr>
      <w:tr w:rsidR="001F6295" w:rsidRPr="00100F0A" w14:paraId="473B0123" w14:textId="77777777" w:rsidTr="005F67D6">
        <w:tc>
          <w:tcPr>
            <w:tcW w:w="586" w:type="dxa"/>
            <w:tcBorders>
              <w:top w:val="dotted" w:sz="4" w:space="0" w:color="B7B7E2"/>
              <w:left w:val="single" w:sz="8" w:space="0" w:color="B7B7E2"/>
              <w:bottom w:val="dotted" w:sz="4" w:space="0" w:color="B7B7E2"/>
              <w:right w:val="single" w:sz="8" w:space="0" w:color="B7B7E2"/>
            </w:tcBorders>
            <w:tcMar>
              <w:top w:w="0" w:type="dxa"/>
              <w:left w:w="108" w:type="dxa"/>
              <w:bottom w:w="0" w:type="dxa"/>
              <w:right w:w="108" w:type="dxa"/>
            </w:tcMar>
            <w:hideMark/>
          </w:tcPr>
          <w:p w14:paraId="3983C2C0" w14:textId="77777777" w:rsidR="001F6295" w:rsidRPr="00100F0A" w:rsidRDefault="001F6295" w:rsidP="001F6295">
            <w:pPr>
              <w:spacing w:after="60"/>
              <w:rPr>
                <w:rFonts w:eastAsia="Times New Roman" w:cs="Times New Roman"/>
                <w:sz w:val="20"/>
              </w:rPr>
            </w:pPr>
            <w:r w:rsidRPr="00100F0A">
              <w:rPr>
                <w:sz w:val="20"/>
              </w:rPr>
              <w:t>High</w:t>
            </w:r>
          </w:p>
        </w:tc>
        <w:tc>
          <w:tcPr>
            <w:tcW w:w="1389" w:type="dxa"/>
            <w:vMerge/>
            <w:tcBorders>
              <w:top w:val="dotted" w:sz="4" w:space="0" w:color="B7B7E2"/>
              <w:left w:val="nil"/>
              <w:bottom w:val="dotted" w:sz="4" w:space="0" w:color="B7B7E2"/>
              <w:right w:val="single" w:sz="8" w:space="0" w:color="B7B7E2"/>
            </w:tcBorders>
            <w:tcMar>
              <w:top w:w="0" w:type="dxa"/>
              <w:left w:w="108" w:type="dxa"/>
              <w:bottom w:w="0" w:type="dxa"/>
              <w:right w:w="108" w:type="dxa"/>
            </w:tcMar>
          </w:tcPr>
          <w:p w14:paraId="0ED317B8" w14:textId="3634AC2E" w:rsidR="001F6295" w:rsidRPr="00100F0A" w:rsidRDefault="001F6295" w:rsidP="001F6295">
            <w:pPr>
              <w:spacing w:after="60"/>
              <w:rPr>
                <w:sz w:val="20"/>
              </w:rPr>
            </w:pPr>
          </w:p>
        </w:tc>
        <w:tc>
          <w:tcPr>
            <w:tcW w:w="4962" w:type="dxa"/>
            <w:tcBorders>
              <w:top w:val="dotted" w:sz="4" w:space="0" w:color="B7B7E2"/>
              <w:left w:val="nil"/>
              <w:bottom w:val="dotted" w:sz="4" w:space="0" w:color="B7B7E2"/>
              <w:right w:val="single" w:sz="8" w:space="0" w:color="B7B7E2"/>
            </w:tcBorders>
            <w:tcMar>
              <w:top w:w="0" w:type="dxa"/>
              <w:left w:w="108" w:type="dxa"/>
              <w:bottom w:w="0" w:type="dxa"/>
              <w:right w:w="108" w:type="dxa"/>
            </w:tcMar>
            <w:hideMark/>
          </w:tcPr>
          <w:p w14:paraId="5341AAC2" w14:textId="15F33502" w:rsidR="001F6295" w:rsidRPr="00100F0A" w:rsidRDefault="00C34F48" w:rsidP="005F67D6">
            <w:pPr>
              <w:rPr>
                <w:rFonts w:eastAsia="Times New Roman" w:cs="Times New Roman"/>
                <w:sz w:val="20"/>
                <w:szCs w:val="20"/>
              </w:rPr>
            </w:pPr>
            <w:r>
              <w:rPr>
                <w:sz w:val="20"/>
                <w:szCs w:val="20"/>
              </w:rPr>
              <w:t>20-year average</w:t>
            </w:r>
            <w:r w:rsidR="001F6295" w:rsidRPr="00100F0A">
              <w:rPr>
                <w:sz w:val="20"/>
                <w:szCs w:val="20"/>
              </w:rPr>
              <w:t xml:space="preserve"> economic growth</w:t>
            </w:r>
          </w:p>
        </w:tc>
        <w:tc>
          <w:tcPr>
            <w:tcW w:w="696" w:type="dxa"/>
            <w:tcBorders>
              <w:top w:val="dotted" w:sz="4" w:space="0" w:color="B7B7E2"/>
              <w:left w:val="nil"/>
              <w:bottom w:val="dotted" w:sz="4" w:space="0" w:color="B7B7E2"/>
              <w:right w:val="single" w:sz="8" w:space="0" w:color="B7B7E2"/>
            </w:tcBorders>
            <w:tcMar>
              <w:top w:w="0" w:type="dxa"/>
              <w:left w:w="108" w:type="dxa"/>
              <w:bottom w:w="0" w:type="dxa"/>
              <w:right w:w="108" w:type="dxa"/>
            </w:tcMar>
            <w:hideMark/>
          </w:tcPr>
          <w:p w14:paraId="1940C82B" w14:textId="3101A779" w:rsidR="001F6295" w:rsidRPr="00100F0A" w:rsidRDefault="001F6295" w:rsidP="006872A9">
            <w:pPr>
              <w:jc w:val="center"/>
              <w:rPr>
                <w:rFonts w:eastAsia="Times New Roman" w:cs="Times New Roman"/>
                <w:sz w:val="20"/>
                <w:szCs w:val="20"/>
              </w:rPr>
            </w:pPr>
            <w:r w:rsidRPr="00100F0A">
              <w:rPr>
                <w:sz w:val="20"/>
                <w:szCs w:val="20"/>
              </w:rPr>
              <w:t>2.8%</w:t>
            </w:r>
          </w:p>
        </w:tc>
        <w:tc>
          <w:tcPr>
            <w:tcW w:w="690" w:type="dxa"/>
            <w:tcBorders>
              <w:top w:val="dotted" w:sz="4" w:space="0" w:color="B7B7E2"/>
              <w:left w:val="nil"/>
              <w:bottom w:val="dotted" w:sz="4" w:space="0" w:color="B7B7E2"/>
              <w:right w:val="single" w:sz="8" w:space="0" w:color="B7B7E2"/>
            </w:tcBorders>
          </w:tcPr>
          <w:p w14:paraId="654BDE7A" w14:textId="77777777" w:rsidR="001F6295" w:rsidRPr="00100F0A" w:rsidRDefault="001F6295" w:rsidP="00B30B8D">
            <w:pPr>
              <w:spacing w:after="60"/>
              <w:jc w:val="center"/>
              <w:rPr>
                <w:rFonts w:eastAsia="Times New Roman" w:cs="Times New Roman"/>
                <w:sz w:val="20"/>
                <w:szCs w:val="20"/>
              </w:rPr>
            </w:pPr>
            <w:r w:rsidRPr="00100F0A">
              <w:rPr>
                <w:sz w:val="20"/>
                <w:szCs w:val="20"/>
              </w:rPr>
              <w:t>...</w:t>
            </w:r>
          </w:p>
        </w:tc>
        <w:tc>
          <w:tcPr>
            <w:tcW w:w="690" w:type="dxa"/>
            <w:tcBorders>
              <w:top w:val="dotted" w:sz="4" w:space="0" w:color="B7B7E2"/>
              <w:left w:val="nil"/>
              <w:bottom w:val="dotted" w:sz="4" w:space="0" w:color="B7B7E2"/>
              <w:right w:val="single" w:sz="8" w:space="0" w:color="B7B7E2"/>
            </w:tcBorders>
          </w:tcPr>
          <w:p w14:paraId="2AA2EBC0" w14:textId="45860BF0" w:rsidR="001F6295" w:rsidRPr="00100F0A" w:rsidRDefault="001F6295" w:rsidP="006872A9">
            <w:pPr>
              <w:jc w:val="center"/>
              <w:rPr>
                <w:rFonts w:eastAsia="Times New Roman" w:cs="Times New Roman"/>
                <w:sz w:val="20"/>
                <w:szCs w:val="20"/>
              </w:rPr>
            </w:pPr>
            <w:r w:rsidRPr="00100F0A">
              <w:rPr>
                <w:sz w:val="20"/>
                <w:szCs w:val="20"/>
              </w:rPr>
              <w:t>2.8%</w:t>
            </w:r>
          </w:p>
        </w:tc>
      </w:tr>
      <w:tr w:rsidR="001F6295" w:rsidRPr="00100F0A" w14:paraId="58ECA02D" w14:textId="77777777" w:rsidTr="005F67D6">
        <w:tc>
          <w:tcPr>
            <w:tcW w:w="586" w:type="dxa"/>
            <w:tcBorders>
              <w:top w:val="dotted" w:sz="4" w:space="0" w:color="B7B7E2"/>
              <w:left w:val="single" w:sz="8" w:space="0" w:color="B7B7E2"/>
              <w:bottom w:val="single" w:sz="8" w:space="0" w:color="B7B7E2"/>
              <w:right w:val="single" w:sz="8" w:space="0" w:color="B7B7E2"/>
            </w:tcBorders>
            <w:tcMar>
              <w:top w:w="0" w:type="dxa"/>
              <w:left w:w="108" w:type="dxa"/>
              <w:bottom w:w="0" w:type="dxa"/>
              <w:right w:w="108" w:type="dxa"/>
            </w:tcMar>
            <w:hideMark/>
          </w:tcPr>
          <w:p w14:paraId="3DA77421" w14:textId="77777777" w:rsidR="001F6295" w:rsidRPr="00100F0A" w:rsidRDefault="001F6295" w:rsidP="001F6295">
            <w:pPr>
              <w:spacing w:after="60"/>
              <w:rPr>
                <w:rFonts w:eastAsia="Times New Roman" w:cs="Times New Roman"/>
                <w:sz w:val="20"/>
              </w:rPr>
            </w:pPr>
            <w:r w:rsidRPr="00100F0A">
              <w:rPr>
                <w:sz w:val="20"/>
              </w:rPr>
              <w:t>Low</w:t>
            </w:r>
          </w:p>
        </w:tc>
        <w:tc>
          <w:tcPr>
            <w:tcW w:w="1389" w:type="dxa"/>
            <w:vMerge/>
            <w:tcBorders>
              <w:top w:val="dotted" w:sz="4" w:space="0" w:color="B7B7E2"/>
              <w:left w:val="nil"/>
              <w:bottom w:val="single" w:sz="8" w:space="0" w:color="B7B7E2"/>
              <w:right w:val="single" w:sz="8" w:space="0" w:color="B7B7E2"/>
            </w:tcBorders>
            <w:tcMar>
              <w:top w:w="0" w:type="dxa"/>
              <w:left w:w="108" w:type="dxa"/>
              <w:bottom w:w="0" w:type="dxa"/>
              <w:right w:w="108" w:type="dxa"/>
            </w:tcMar>
          </w:tcPr>
          <w:p w14:paraId="5C1EFCB7" w14:textId="1DBE36F5" w:rsidR="001F6295" w:rsidRPr="00100F0A" w:rsidRDefault="001F6295" w:rsidP="001F6295">
            <w:pPr>
              <w:spacing w:after="60"/>
              <w:rPr>
                <w:sz w:val="20"/>
              </w:rPr>
            </w:pPr>
          </w:p>
        </w:tc>
        <w:tc>
          <w:tcPr>
            <w:tcW w:w="4962" w:type="dxa"/>
            <w:tcBorders>
              <w:top w:val="dotted" w:sz="4" w:space="0" w:color="B7B7E2"/>
              <w:left w:val="nil"/>
              <w:bottom w:val="single" w:sz="8" w:space="0" w:color="B7B7E2"/>
              <w:right w:val="single" w:sz="8" w:space="0" w:color="B7B7E2"/>
            </w:tcBorders>
            <w:tcMar>
              <w:top w:w="0" w:type="dxa"/>
              <w:left w:w="108" w:type="dxa"/>
              <w:bottom w:w="0" w:type="dxa"/>
              <w:right w:w="108" w:type="dxa"/>
            </w:tcMar>
            <w:hideMark/>
          </w:tcPr>
          <w:p w14:paraId="2BD1D372" w14:textId="59AE7851" w:rsidR="001F6295" w:rsidRPr="00100F0A" w:rsidRDefault="001F6295" w:rsidP="005F67D6">
            <w:pPr>
              <w:rPr>
                <w:rFonts w:eastAsia="Times New Roman" w:cs="Times New Roman"/>
                <w:sz w:val="20"/>
                <w:szCs w:val="20"/>
              </w:rPr>
            </w:pPr>
            <w:r w:rsidRPr="00100F0A">
              <w:rPr>
                <w:sz w:val="20"/>
                <w:szCs w:val="20"/>
              </w:rPr>
              <w:t>Flat trend</w:t>
            </w:r>
          </w:p>
        </w:tc>
        <w:tc>
          <w:tcPr>
            <w:tcW w:w="696" w:type="dxa"/>
            <w:tcBorders>
              <w:top w:val="dotted" w:sz="4" w:space="0" w:color="B7B7E2"/>
              <w:left w:val="nil"/>
              <w:bottom w:val="single" w:sz="8" w:space="0" w:color="B7B7E2"/>
              <w:right w:val="single" w:sz="8" w:space="0" w:color="B7B7E2"/>
            </w:tcBorders>
            <w:tcMar>
              <w:top w:w="0" w:type="dxa"/>
              <w:left w:w="108" w:type="dxa"/>
              <w:bottom w:w="0" w:type="dxa"/>
              <w:right w:w="108" w:type="dxa"/>
            </w:tcMar>
            <w:hideMark/>
          </w:tcPr>
          <w:p w14:paraId="2BA98386" w14:textId="593D3DAE" w:rsidR="001F6295" w:rsidRPr="00100F0A" w:rsidRDefault="001F6295" w:rsidP="006872A9">
            <w:pPr>
              <w:jc w:val="center"/>
              <w:rPr>
                <w:rFonts w:eastAsia="Times New Roman" w:cs="Times New Roman"/>
                <w:sz w:val="20"/>
                <w:szCs w:val="20"/>
              </w:rPr>
            </w:pPr>
            <w:r w:rsidRPr="00100F0A">
              <w:rPr>
                <w:sz w:val="20"/>
                <w:szCs w:val="20"/>
              </w:rPr>
              <w:t>0.0%</w:t>
            </w:r>
          </w:p>
        </w:tc>
        <w:tc>
          <w:tcPr>
            <w:tcW w:w="690" w:type="dxa"/>
            <w:tcBorders>
              <w:top w:val="dotted" w:sz="4" w:space="0" w:color="B7B7E2"/>
              <w:left w:val="nil"/>
              <w:bottom w:val="single" w:sz="8" w:space="0" w:color="B7B7E2"/>
              <w:right w:val="single" w:sz="8" w:space="0" w:color="B7B7E2"/>
            </w:tcBorders>
          </w:tcPr>
          <w:p w14:paraId="21276D9E" w14:textId="77777777" w:rsidR="001F6295" w:rsidRPr="00100F0A" w:rsidRDefault="001F6295" w:rsidP="00B30B8D">
            <w:pPr>
              <w:spacing w:after="60"/>
              <w:jc w:val="center"/>
              <w:rPr>
                <w:rFonts w:eastAsia="Times New Roman" w:cs="Times New Roman"/>
                <w:sz w:val="20"/>
                <w:szCs w:val="20"/>
              </w:rPr>
            </w:pPr>
            <w:r w:rsidRPr="00100F0A">
              <w:rPr>
                <w:sz w:val="20"/>
                <w:szCs w:val="20"/>
              </w:rPr>
              <w:t>...</w:t>
            </w:r>
          </w:p>
        </w:tc>
        <w:tc>
          <w:tcPr>
            <w:tcW w:w="690" w:type="dxa"/>
            <w:tcBorders>
              <w:top w:val="dotted" w:sz="4" w:space="0" w:color="B7B7E2"/>
              <w:left w:val="nil"/>
              <w:bottom w:val="single" w:sz="8" w:space="0" w:color="B7B7E2"/>
              <w:right w:val="single" w:sz="8" w:space="0" w:color="B7B7E2"/>
            </w:tcBorders>
          </w:tcPr>
          <w:p w14:paraId="00A51A3F" w14:textId="7AA39FEE" w:rsidR="001F6295" w:rsidRPr="00100F0A" w:rsidRDefault="001F6295" w:rsidP="006872A9">
            <w:pPr>
              <w:jc w:val="center"/>
              <w:rPr>
                <w:rFonts w:eastAsia="Times New Roman" w:cs="Times New Roman"/>
                <w:sz w:val="20"/>
                <w:szCs w:val="20"/>
              </w:rPr>
            </w:pPr>
            <w:r w:rsidRPr="00100F0A">
              <w:rPr>
                <w:sz w:val="20"/>
                <w:szCs w:val="20"/>
              </w:rPr>
              <w:t>0.0%</w:t>
            </w:r>
          </w:p>
        </w:tc>
      </w:tr>
    </w:tbl>
    <w:p w14:paraId="5F5D2E8C" w14:textId="77777777" w:rsidR="001F6295" w:rsidRPr="00100F0A" w:rsidRDefault="001F6295" w:rsidP="001F6295">
      <w:pPr>
        <w:pStyle w:val="BodyText"/>
      </w:pPr>
      <w:bookmarkStart w:id="156" w:name="_Toc425849224"/>
    </w:p>
    <w:p w14:paraId="6AA58E2A" w14:textId="09992AB1" w:rsidR="00601CB2" w:rsidRPr="00100F0A" w:rsidRDefault="00601CB2" w:rsidP="00273FA6">
      <w:pPr>
        <w:pStyle w:val="Caption"/>
      </w:pPr>
      <w:bookmarkStart w:id="157" w:name="_Toc13225579"/>
      <w:r w:rsidRPr="00100F0A">
        <w:t xml:space="preserve">Figure </w:t>
      </w:r>
      <w:r w:rsidR="00B404A6" w:rsidRPr="00100F0A">
        <w:rPr>
          <w:noProof/>
        </w:rPr>
        <w:fldChar w:fldCharType="begin"/>
      </w:r>
      <w:r w:rsidR="00B404A6" w:rsidRPr="00100F0A">
        <w:rPr>
          <w:noProof/>
        </w:rPr>
        <w:instrText xml:space="preserve"> SEQ Figure \* ARABIC </w:instrText>
      </w:r>
      <w:r w:rsidR="00B404A6" w:rsidRPr="00100F0A">
        <w:rPr>
          <w:noProof/>
        </w:rPr>
        <w:fldChar w:fldCharType="separate"/>
      </w:r>
      <w:r w:rsidR="00EB634D">
        <w:rPr>
          <w:noProof/>
        </w:rPr>
        <w:t>6</w:t>
      </w:r>
      <w:r w:rsidR="00B404A6" w:rsidRPr="00100F0A">
        <w:rPr>
          <w:noProof/>
        </w:rPr>
        <w:fldChar w:fldCharType="end"/>
      </w:r>
      <w:r w:rsidR="00C14F18">
        <w:rPr>
          <w:noProof/>
        </w:rPr>
        <w:t>:</w:t>
      </w:r>
      <w:r w:rsidR="00D11FEE" w:rsidRPr="00100F0A">
        <w:tab/>
      </w:r>
      <w:r w:rsidRPr="00100F0A">
        <w:t>Best, high and low national projection estimates of acid waste to 203</w:t>
      </w:r>
      <w:bookmarkEnd w:id="156"/>
      <w:r w:rsidR="001F6295" w:rsidRPr="00100F0A">
        <w:t>7</w:t>
      </w:r>
      <w:bookmarkEnd w:id="157"/>
    </w:p>
    <w:p w14:paraId="6C4BD791" w14:textId="3DA867CD" w:rsidR="00601CB2" w:rsidRPr="00100F0A" w:rsidRDefault="00B92A8F" w:rsidP="00601CB2">
      <w:r w:rsidRPr="00100F0A">
        <w:rPr>
          <w:noProof/>
          <w:lang w:eastAsia="en-AU"/>
        </w:rPr>
        <w:drawing>
          <wp:inline distT="0" distB="0" distL="0" distR="0" wp14:anchorId="00A30ACE" wp14:editId="3C11F4F8">
            <wp:extent cx="5735955" cy="21151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5955" cy="2115185"/>
                    </a:xfrm>
                    <a:prstGeom prst="rect">
                      <a:avLst/>
                    </a:prstGeom>
                  </pic:spPr>
                </pic:pic>
              </a:graphicData>
            </a:graphic>
          </wp:inline>
        </w:drawing>
      </w:r>
    </w:p>
    <w:p w14:paraId="2269D9CD" w14:textId="77777777" w:rsidR="00B92A8F" w:rsidRPr="00100F0A" w:rsidRDefault="00B92A8F" w:rsidP="00601CB2"/>
    <w:p w14:paraId="7D5BA11B" w14:textId="2432B85C" w:rsidR="00601CB2" w:rsidRPr="00100F0A" w:rsidRDefault="00601CB2" w:rsidP="00AD35BF">
      <w:pPr>
        <w:pStyle w:val="Heading3"/>
      </w:pPr>
      <w:r w:rsidRPr="00100F0A">
        <w:t xml:space="preserve">C Alkali waste </w:t>
      </w:r>
    </w:p>
    <w:p w14:paraId="36F19F7E" w14:textId="12E28CB9" w:rsidR="000D76EE" w:rsidRPr="00100F0A" w:rsidRDefault="00601CB2" w:rsidP="00DE0558">
      <w:pPr>
        <w:rPr>
          <w:rFonts w:cs="Times New Roman"/>
          <w:color w:val="000000"/>
          <w:szCs w:val="20"/>
          <w:lang w:eastAsia="en-AU"/>
        </w:rPr>
      </w:pPr>
      <w:r w:rsidRPr="00100F0A">
        <w:rPr>
          <w:color w:val="080808"/>
        </w:rPr>
        <w:t xml:space="preserve">This group includes only the single NEPM 75 code </w:t>
      </w:r>
      <w:r w:rsidRPr="00100F0A">
        <w:rPr>
          <w:i/>
          <w:color w:val="080808"/>
        </w:rPr>
        <w:t xml:space="preserve">C100 </w:t>
      </w:r>
      <w:r w:rsidRPr="00100F0A">
        <w:rPr>
          <w:rFonts w:cs="Times New Roman"/>
          <w:i/>
          <w:color w:val="000000"/>
          <w:szCs w:val="20"/>
          <w:lang w:eastAsia="en-AU"/>
        </w:rPr>
        <w:t>Basic solutions or bases in solid form</w:t>
      </w:r>
      <w:r w:rsidRPr="00100F0A">
        <w:rPr>
          <w:rFonts w:cs="Times New Roman"/>
          <w:color w:val="000000"/>
          <w:szCs w:val="20"/>
          <w:lang w:eastAsia="en-AU"/>
        </w:rPr>
        <w:t xml:space="preserve">. Alkali wastes </w:t>
      </w:r>
      <w:r w:rsidR="008C517B" w:rsidRPr="00100F0A">
        <w:rPr>
          <w:rFonts w:cs="Times New Roman"/>
          <w:color w:val="000000"/>
          <w:szCs w:val="20"/>
          <w:lang w:eastAsia="en-AU"/>
        </w:rPr>
        <w:t>arise</w:t>
      </w:r>
      <w:r w:rsidRPr="00100F0A">
        <w:rPr>
          <w:rFonts w:cs="Times New Roman"/>
          <w:color w:val="000000"/>
          <w:szCs w:val="20"/>
          <w:lang w:eastAsia="en-AU"/>
        </w:rPr>
        <w:t xml:space="preserve"> in significant quantities </w:t>
      </w:r>
      <w:r w:rsidR="000D76EE" w:rsidRPr="00100F0A">
        <w:rPr>
          <w:rFonts w:cs="Times New Roman"/>
          <w:color w:val="000000"/>
          <w:szCs w:val="20"/>
          <w:lang w:eastAsia="en-AU"/>
        </w:rPr>
        <w:t xml:space="preserve">in Australia, predominantly in Qld </w:t>
      </w:r>
      <w:r w:rsidR="00855CE0" w:rsidRPr="00100F0A">
        <w:rPr>
          <w:rFonts w:cs="Times New Roman"/>
          <w:color w:val="000000"/>
          <w:szCs w:val="20"/>
          <w:lang w:eastAsia="en-AU"/>
        </w:rPr>
        <w:t xml:space="preserve">(mostly as </w:t>
      </w:r>
      <w:r w:rsidR="00855CE0" w:rsidRPr="00100F0A">
        <w:rPr>
          <w:lang w:eastAsia="en-AU"/>
        </w:rPr>
        <w:t xml:space="preserve">CSG drilling muds) </w:t>
      </w:r>
      <w:r w:rsidR="00855CE0" w:rsidRPr="00100F0A">
        <w:rPr>
          <w:rFonts w:cs="Times New Roman"/>
          <w:color w:val="000000"/>
          <w:szCs w:val="20"/>
          <w:lang w:eastAsia="en-AU"/>
        </w:rPr>
        <w:t xml:space="preserve">and in WA (as </w:t>
      </w:r>
      <w:r w:rsidR="00855CE0" w:rsidRPr="00100F0A">
        <w:rPr>
          <w:lang w:eastAsia="en-AU"/>
        </w:rPr>
        <w:t>alumina refining’s red mud).</w:t>
      </w:r>
    </w:p>
    <w:p w14:paraId="3AF3680D" w14:textId="77777777" w:rsidR="0008202B" w:rsidRPr="00100F0A" w:rsidRDefault="0008202B" w:rsidP="00601CB2">
      <w:pPr>
        <w:pStyle w:val="BodyText"/>
        <w:rPr>
          <w:b/>
        </w:rPr>
      </w:pPr>
    </w:p>
    <w:p w14:paraId="224822A2" w14:textId="0F2420C9" w:rsidR="00601CB2" w:rsidRPr="00100F0A" w:rsidRDefault="00601CB2" w:rsidP="00931F74">
      <w:pPr>
        <w:pStyle w:val="Heading3-nonumber"/>
      </w:pPr>
      <w:r w:rsidRPr="00100F0A">
        <w:t>Summary analysis</w:t>
      </w:r>
    </w:p>
    <w:tbl>
      <w:tblPr>
        <w:tblW w:w="0" w:type="auto"/>
        <w:tblBorders>
          <w:top w:val="single" w:sz="8" w:space="0" w:color="B7B7E2"/>
          <w:left w:val="single" w:sz="8" w:space="0" w:color="B7B7E2"/>
          <w:bottom w:val="single" w:sz="8" w:space="0" w:color="B7B7E2"/>
          <w:right w:val="single" w:sz="8" w:space="0" w:color="B7B7E2"/>
          <w:insideH w:val="single" w:sz="8" w:space="0" w:color="B7B7E2"/>
          <w:insideV w:val="single" w:sz="8" w:space="0" w:color="B7B7E2"/>
        </w:tblBorders>
        <w:tblCellMar>
          <w:left w:w="0" w:type="dxa"/>
          <w:right w:w="0" w:type="dxa"/>
        </w:tblCellMar>
        <w:tblLook w:val="04A0" w:firstRow="1" w:lastRow="0" w:firstColumn="1" w:lastColumn="0" w:noHBand="0" w:noVBand="1"/>
      </w:tblPr>
      <w:tblGrid>
        <w:gridCol w:w="1769"/>
        <w:gridCol w:w="2049"/>
        <w:gridCol w:w="3684"/>
        <w:gridCol w:w="1510"/>
      </w:tblGrid>
      <w:tr w:rsidR="00677328" w:rsidRPr="00100F0A" w14:paraId="1052EDA3" w14:textId="77777777" w:rsidTr="00677328">
        <w:trPr>
          <w:tblHeader/>
        </w:trPr>
        <w:tc>
          <w:tcPr>
            <w:tcW w:w="1769" w:type="dxa"/>
            <w:shd w:val="clear" w:color="auto" w:fill="B7B7E2"/>
            <w:tcMar>
              <w:top w:w="0" w:type="dxa"/>
              <w:left w:w="108" w:type="dxa"/>
              <w:bottom w:w="0" w:type="dxa"/>
              <w:right w:w="108" w:type="dxa"/>
            </w:tcMar>
            <w:vAlign w:val="center"/>
            <w:hideMark/>
          </w:tcPr>
          <w:p w14:paraId="2BF3184D" w14:textId="77777777" w:rsidR="00855CE0" w:rsidRPr="00100F0A" w:rsidRDefault="00855CE0" w:rsidP="004E3BDC">
            <w:pPr>
              <w:spacing w:after="144"/>
              <w:rPr>
                <w:rFonts w:eastAsia="Times New Roman" w:cs="Times New Roman"/>
                <w:sz w:val="20"/>
                <w:szCs w:val="20"/>
              </w:rPr>
            </w:pPr>
            <w:r w:rsidRPr="00100F0A">
              <w:rPr>
                <w:rFonts w:eastAsia="Times New Roman" w:cs="Times New Roman"/>
                <w:b/>
                <w:bCs/>
                <w:color w:val="FFFFFF"/>
                <w:sz w:val="20"/>
                <w:szCs w:val="20"/>
              </w:rPr>
              <w:t> Industry sources</w:t>
            </w:r>
          </w:p>
        </w:tc>
        <w:tc>
          <w:tcPr>
            <w:tcW w:w="2049" w:type="dxa"/>
            <w:shd w:val="clear" w:color="auto" w:fill="B7B7E2"/>
            <w:tcMar>
              <w:top w:w="0" w:type="dxa"/>
              <w:left w:w="108" w:type="dxa"/>
              <w:bottom w:w="0" w:type="dxa"/>
              <w:right w:w="108" w:type="dxa"/>
            </w:tcMar>
            <w:hideMark/>
          </w:tcPr>
          <w:p w14:paraId="27F81E5C" w14:textId="77777777" w:rsidR="00855CE0" w:rsidRPr="00100F0A" w:rsidRDefault="00855CE0" w:rsidP="004E3BDC">
            <w:pPr>
              <w:spacing w:after="144"/>
              <w:rPr>
                <w:rFonts w:eastAsia="Times New Roman" w:cs="Times New Roman"/>
                <w:sz w:val="20"/>
                <w:szCs w:val="20"/>
              </w:rPr>
            </w:pPr>
            <w:r w:rsidRPr="00100F0A">
              <w:rPr>
                <w:rFonts w:eastAsia="Times New Roman" w:cs="Times New Roman"/>
                <w:b/>
                <w:bCs/>
                <w:color w:val="FFFFFF"/>
                <w:sz w:val="20"/>
                <w:szCs w:val="20"/>
              </w:rPr>
              <w:t> Considerations</w:t>
            </w:r>
          </w:p>
        </w:tc>
        <w:tc>
          <w:tcPr>
            <w:tcW w:w="3685" w:type="dxa"/>
            <w:shd w:val="clear" w:color="auto" w:fill="B7B7E2"/>
            <w:tcMar>
              <w:top w:w="0" w:type="dxa"/>
              <w:left w:w="108" w:type="dxa"/>
              <w:bottom w:w="0" w:type="dxa"/>
              <w:right w:w="108" w:type="dxa"/>
            </w:tcMar>
            <w:hideMark/>
          </w:tcPr>
          <w:p w14:paraId="74B187D6" w14:textId="77777777" w:rsidR="00855CE0" w:rsidRPr="00100F0A" w:rsidRDefault="00855CE0" w:rsidP="004E3BDC">
            <w:pPr>
              <w:spacing w:after="144"/>
              <w:rPr>
                <w:rFonts w:eastAsia="Times New Roman" w:cs="Times New Roman"/>
                <w:sz w:val="20"/>
                <w:szCs w:val="20"/>
              </w:rPr>
            </w:pPr>
            <w:r w:rsidRPr="00100F0A">
              <w:rPr>
                <w:rFonts w:eastAsia="Times New Roman" w:cs="Times New Roman"/>
                <w:b/>
                <w:bCs/>
                <w:color w:val="FFFFFF"/>
                <w:sz w:val="20"/>
                <w:szCs w:val="20"/>
              </w:rPr>
              <w:t> Comments</w:t>
            </w:r>
          </w:p>
        </w:tc>
        <w:tc>
          <w:tcPr>
            <w:tcW w:w="1510" w:type="dxa"/>
            <w:shd w:val="clear" w:color="auto" w:fill="B7B7E2"/>
            <w:tcMar>
              <w:top w:w="0" w:type="dxa"/>
              <w:left w:w="108" w:type="dxa"/>
              <w:bottom w:w="0" w:type="dxa"/>
              <w:right w:w="108" w:type="dxa"/>
            </w:tcMar>
            <w:hideMark/>
          </w:tcPr>
          <w:p w14:paraId="59B50378" w14:textId="77777777" w:rsidR="00855CE0" w:rsidRPr="00100F0A" w:rsidRDefault="00855CE0" w:rsidP="004E3BDC">
            <w:pPr>
              <w:spacing w:after="144"/>
              <w:rPr>
                <w:rFonts w:eastAsia="Times New Roman" w:cs="Times New Roman"/>
                <w:sz w:val="20"/>
                <w:szCs w:val="20"/>
              </w:rPr>
            </w:pPr>
            <w:r w:rsidRPr="00100F0A">
              <w:rPr>
                <w:rFonts w:eastAsia="Times New Roman" w:cs="Times New Roman"/>
                <w:b/>
                <w:bCs/>
                <w:color w:val="FFFFFF"/>
                <w:sz w:val="20"/>
                <w:szCs w:val="20"/>
              </w:rPr>
              <w:t> Approach</w:t>
            </w:r>
          </w:p>
        </w:tc>
      </w:tr>
      <w:tr w:rsidR="00677328" w:rsidRPr="00100F0A" w14:paraId="73341154" w14:textId="77777777" w:rsidTr="00677328">
        <w:trPr>
          <w:trHeight w:val="3076"/>
        </w:trPr>
        <w:tc>
          <w:tcPr>
            <w:tcW w:w="1769" w:type="dxa"/>
            <w:tcMar>
              <w:top w:w="0" w:type="dxa"/>
              <w:left w:w="108" w:type="dxa"/>
              <w:bottom w:w="0" w:type="dxa"/>
              <w:right w:w="108" w:type="dxa"/>
            </w:tcMar>
            <w:hideMark/>
          </w:tcPr>
          <w:p w14:paraId="65EEA1D7" w14:textId="77777777" w:rsidR="00677328" w:rsidRPr="00100F0A" w:rsidRDefault="00677328" w:rsidP="00512118">
            <w:pPr>
              <w:pStyle w:val="ListParagraph"/>
              <w:numPr>
                <w:ilvl w:val="0"/>
                <w:numId w:val="32"/>
              </w:numPr>
              <w:ind w:left="357" w:hanging="357"/>
              <w:rPr>
                <w:color w:val="000000"/>
                <w:sz w:val="20"/>
              </w:rPr>
            </w:pPr>
            <w:r w:rsidRPr="00100F0A">
              <w:rPr>
                <w:color w:val="000000"/>
                <w:sz w:val="20"/>
              </w:rPr>
              <w:t>Oil and gas extraction (including CSG)</w:t>
            </w:r>
          </w:p>
          <w:p w14:paraId="0EC3A3EE" w14:textId="77777777" w:rsidR="00677328" w:rsidRPr="00100F0A" w:rsidRDefault="00677328" w:rsidP="00512118">
            <w:pPr>
              <w:pStyle w:val="ListParagraph"/>
              <w:numPr>
                <w:ilvl w:val="0"/>
                <w:numId w:val="32"/>
              </w:numPr>
              <w:ind w:left="357" w:hanging="357"/>
              <w:rPr>
                <w:color w:val="000000"/>
                <w:sz w:val="20"/>
              </w:rPr>
            </w:pPr>
            <w:r w:rsidRPr="00100F0A">
              <w:rPr>
                <w:color w:val="000000"/>
                <w:sz w:val="20"/>
              </w:rPr>
              <w:t>Aluminium refining</w:t>
            </w:r>
          </w:p>
          <w:p w14:paraId="02748761" w14:textId="77777777" w:rsidR="00677328" w:rsidRPr="00100F0A" w:rsidRDefault="00677328" w:rsidP="00512118">
            <w:pPr>
              <w:pStyle w:val="ListParagraph"/>
              <w:numPr>
                <w:ilvl w:val="0"/>
                <w:numId w:val="32"/>
              </w:numPr>
              <w:ind w:left="357" w:hanging="357"/>
              <w:rPr>
                <w:color w:val="000000"/>
                <w:sz w:val="20"/>
              </w:rPr>
            </w:pPr>
            <w:r w:rsidRPr="00100F0A">
              <w:rPr>
                <w:color w:val="000000"/>
                <w:sz w:val="20"/>
              </w:rPr>
              <w:t>Cement and lime manufacturing</w:t>
            </w:r>
          </w:p>
          <w:p w14:paraId="1EFD518F" w14:textId="5D1B3022" w:rsidR="00677328" w:rsidRPr="00100F0A" w:rsidRDefault="00677328" w:rsidP="00512118">
            <w:pPr>
              <w:pStyle w:val="ListParagraph"/>
              <w:numPr>
                <w:ilvl w:val="0"/>
                <w:numId w:val="32"/>
              </w:numPr>
              <w:ind w:left="357" w:hanging="357"/>
              <w:rPr>
                <w:color w:val="000000"/>
                <w:sz w:val="20"/>
              </w:rPr>
            </w:pPr>
            <w:r w:rsidRPr="00100F0A">
              <w:rPr>
                <w:color w:val="000000"/>
                <w:sz w:val="20"/>
              </w:rPr>
              <w:t>Metal coating and finishing</w:t>
            </w:r>
          </w:p>
        </w:tc>
        <w:tc>
          <w:tcPr>
            <w:tcW w:w="2049" w:type="dxa"/>
            <w:tcMar>
              <w:top w:w="0" w:type="dxa"/>
              <w:left w:w="108" w:type="dxa"/>
              <w:bottom w:w="0" w:type="dxa"/>
              <w:right w:w="108" w:type="dxa"/>
            </w:tcMar>
          </w:tcPr>
          <w:p w14:paraId="5E7BAE49" w14:textId="183D4F21" w:rsidR="00677328" w:rsidRPr="00100F0A" w:rsidRDefault="00677328" w:rsidP="004E3BDC">
            <w:pPr>
              <w:spacing w:after="60"/>
              <w:rPr>
                <w:rFonts w:eastAsia="Times New Roman" w:cs="Times New Roman"/>
                <w:sz w:val="20"/>
                <w:szCs w:val="20"/>
              </w:rPr>
            </w:pPr>
            <w:r w:rsidRPr="00100F0A">
              <w:rPr>
                <w:rFonts w:eastAsia="Times New Roman" w:cs="Times New Roman"/>
                <w:sz w:val="20"/>
                <w:szCs w:val="20"/>
              </w:rPr>
              <w:t>No specific pre-existing projections were identified, although ACIL Tasman (2012) projects CSG production and IBIS World project CSG revenue</w:t>
            </w:r>
          </w:p>
          <w:p w14:paraId="772EA247" w14:textId="03116821" w:rsidR="00677328" w:rsidRPr="00100F0A" w:rsidRDefault="00677328" w:rsidP="004E3BDC">
            <w:pPr>
              <w:spacing w:after="60"/>
              <w:rPr>
                <w:rFonts w:eastAsia="Times New Roman" w:cs="Times New Roman"/>
                <w:sz w:val="20"/>
                <w:szCs w:val="20"/>
              </w:rPr>
            </w:pPr>
            <w:r w:rsidRPr="00100F0A">
              <w:rPr>
                <w:sz w:val="20"/>
                <w:szCs w:val="20"/>
              </w:rPr>
              <w:t xml:space="preserve">ACIL Tasman (2012) and IBIS World project CSG growth to strongly taper </w:t>
            </w:r>
          </w:p>
        </w:tc>
        <w:tc>
          <w:tcPr>
            <w:tcW w:w="3685" w:type="dxa"/>
            <w:tcMar>
              <w:top w:w="0" w:type="dxa"/>
              <w:left w:w="108" w:type="dxa"/>
              <w:bottom w:w="0" w:type="dxa"/>
              <w:right w:w="108" w:type="dxa"/>
            </w:tcMar>
          </w:tcPr>
          <w:p w14:paraId="0A7934AB" w14:textId="4DD463DF" w:rsidR="00677328" w:rsidRPr="00100F0A" w:rsidRDefault="008C517B" w:rsidP="004E3BDC">
            <w:pPr>
              <w:spacing w:after="60"/>
              <w:rPr>
                <w:rFonts w:eastAsia="Times New Roman" w:cs="Times New Roman"/>
                <w:sz w:val="20"/>
                <w:szCs w:val="20"/>
              </w:rPr>
            </w:pPr>
            <w:r w:rsidRPr="00100F0A">
              <w:rPr>
                <w:rFonts w:eastAsia="Times New Roman" w:cs="Times New Roman"/>
                <w:sz w:val="20"/>
                <w:szCs w:val="20"/>
              </w:rPr>
              <w:t>Any o</w:t>
            </w:r>
            <w:r w:rsidR="00677328" w:rsidRPr="00100F0A">
              <w:rPr>
                <w:rFonts w:eastAsia="Times New Roman" w:cs="Times New Roman"/>
                <w:sz w:val="20"/>
                <w:szCs w:val="20"/>
              </w:rPr>
              <w:t>nsite storages of drilling muds in evaporation ponds are not included in tracking data</w:t>
            </w:r>
          </w:p>
          <w:p w14:paraId="4F6231B7" w14:textId="68085075" w:rsidR="00677328" w:rsidRPr="00100F0A" w:rsidRDefault="00677328" w:rsidP="004E3BDC">
            <w:pPr>
              <w:spacing w:after="60"/>
              <w:rPr>
                <w:rFonts w:eastAsia="Times New Roman" w:cs="Times New Roman"/>
                <w:sz w:val="20"/>
                <w:szCs w:val="20"/>
              </w:rPr>
            </w:pPr>
            <w:r w:rsidRPr="00100F0A">
              <w:rPr>
                <w:color w:val="000000"/>
                <w:sz w:val="20"/>
                <w:szCs w:val="20"/>
              </w:rPr>
              <w:t>Missing Qld data post 15-16 is problematic for near-term trend confidence</w:t>
            </w:r>
          </w:p>
          <w:p w14:paraId="53147AFF" w14:textId="22037F4F" w:rsidR="00677328" w:rsidRPr="00100F0A" w:rsidRDefault="00677328" w:rsidP="004E3BDC">
            <w:pPr>
              <w:spacing w:after="60"/>
              <w:rPr>
                <w:rFonts w:eastAsia="Times New Roman" w:cs="Times New Roman"/>
                <w:sz w:val="20"/>
                <w:szCs w:val="20"/>
              </w:rPr>
            </w:pPr>
            <w:r w:rsidRPr="00100F0A">
              <w:rPr>
                <w:sz w:val="20"/>
                <w:szCs w:val="20"/>
              </w:rPr>
              <w:t>ABC (2014), which was used in the original (2015) set of projections, appears to be a simple extrapolation of CSG well numbers and has been discounted, which has led to a significant flattening in projections of this waste</w:t>
            </w:r>
          </w:p>
        </w:tc>
        <w:tc>
          <w:tcPr>
            <w:tcW w:w="1510" w:type="dxa"/>
            <w:tcMar>
              <w:top w:w="0" w:type="dxa"/>
              <w:left w:w="108" w:type="dxa"/>
              <w:bottom w:w="0" w:type="dxa"/>
              <w:right w:w="108" w:type="dxa"/>
            </w:tcMar>
            <w:hideMark/>
          </w:tcPr>
          <w:p w14:paraId="6160C1AA" w14:textId="77777777" w:rsidR="00677328" w:rsidRPr="00100F0A" w:rsidRDefault="00677328" w:rsidP="004E3BDC">
            <w:pPr>
              <w:spacing w:after="60"/>
              <w:rPr>
                <w:color w:val="000000"/>
                <w:sz w:val="20"/>
                <w:szCs w:val="20"/>
              </w:rPr>
            </w:pPr>
            <w:r w:rsidRPr="00100F0A">
              <w:rPr>
                <w:color w:val="000000"/>
                <w:sz w:val="20"/>
                <w:szCs w:val="20"/>
              </w:rPr>
              <w:t>Qld ‘best’ based on ACIL Tasman (2012) projections of CSG production</w:t>
            </w:r>
          </w:p>
          <w:p w14:paraId="0C23E041" w14:textId="77777777" w:rsidR="00677328" w:rsidRPr="00100F0A" w:rsidRDefault="00677328" w:rsidP="004E3BDC">
            <w:pPr>
              <w:spacing w:after="60"/>
              <w:rPr>
                <w:color w:val="000000"/>
                <w:sz w:val="20"/>
                <w:szCs w:val="20"/>
              </w:rPr>
            </w:pPr>
          </w:p>
          <w:p w14:paraId="53BF768E" w14:textId="549A7A5A" w:rsidR="00677328" w:rsidRPr="00100F0A" w:rsidRDefault="00677328" w:rsidP="004E3BDC">
            <w:pPr>
              <w:spacing w:after="60"/>
              <w:rPr>
                <w:rFonts w:eastAsia="Times New Roman" w:cs="Times New Roman"/>
                <w:sz w:val="20"/>
                <w:szCs w:val="20"/>
              </w:rPr>
            </w:pPr>
            <w:r w:rsidRPr="00100F0A">
              <w:rPr>
                <w:rFonts w:eastAsia="Times New Roman" w:cs="Times New Roman"/>
                <w:sz w:val="20"/>
                <w:szCs w:val="20"/>
              </w:rPr>
              <w:t>All other states show flat to decreasing trend over last 5 years, Best = flat trend</w:t>
            </w:r>
          </w:p>
        </w:tc>
      </w:tr>
    </w:tbl>
    <w:p w14:paraId="3C693A6C" w14:textId="55953C41" w:rsidR="00855CE0" w:rsidRPr="00100F0A" w:rsidRDefault="00855CE0" w:rsidP="00855CE0">
      <w:pPr>
        <w:pStyle w:val="BodyText"/>
      </w:pPr>
    </w:p>
    <w:p w14:paraId="0E95E662" w14:textId="6808FA0B" w:rsidR="000D76EE" w:rsidRPr="00100F0A" w:rsidRDefault="00601CB2" w:rsidP="00677328">
      <w:pPr>
        <w:pStyle w:val="Caption"/>
      </w:pPr>
      <w:bookmarkStart w:id="158" w:name="_Toc425849295"/>
      <w:bookmarkStart w:id="159" w:name="_Toc13225629"/>
      <w:r w:rsidRPr="00100F0A">
        <w:t xml:space="preserve">Table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10</w:t>
      </w:r>
      <w:r w:rsidR="00B404A6" w:rsidRPr="00100F0A">
        <w:rPr>
          <w:noProof/>
        </w:rPr>
        <w:fldChar w:fldCharType="end"/>
      </w:r>
      <w:r w:rsidR="00C14F18">
        <w:rPr>
          <w:noProof/>
        </w:rPr>
        <w:t>:</w:t>
      </w:r>
      <w:r w:rsidR="00D11FEE" w:rsidRPr="00100F0A">
        <w:tab/>
      </w:r>
      <w:r w:rsidRPr="00100F0A">
        <w:t>Best, high and low projected rates of change for alkali waste to 203</w:t>
      </w:r>
      <w:bookmarkEnd w:id="158"/>
      <w:r w:rsidR="00677328" w:rsidRPr="00100F0A">
        <w:t>7</w:t>
      </w:r>
      <w:bookmarkEnd w:id="159"/>
    </w:p>
    <w:tbl>
      <w:tblPr>
        <w:tblW w:w="0" w:type="auto"/>
        <w:tblCellMar>
          <w:left w:w="0" w:type="dxa"/>
          <w:right w:w="0" w:type="dxa"/>
        </w:tblCellMar>
        <w:tblLook w:val="04A0" w:firstRow="1" w:lastRow="0" w:firstColumn="1" w:lastColumn="0" w:noHBand="0" w:noVBand="1"/>
      </w:tblPr>
      <w:tblGrid>
        <w:gridCol w:w="586"/>
        <w:gridCol w:w="1389"/>
        <w:gridCol w:w="4961"/>
        <w:gridCol w:w="696"/>
        <w:gridCol w:w="690"/>
        <w:gridCol w:w="690"/>
      </w:tblGrid>
      <w:tr w:rsidR="000D76EE" w:rsidRPr="00100F0A" w14:paraId="51B84410" w14:textId="77777777" w:rsidTr="000D76EE">
        <w:trPr>
          <w:tblHeader/>
        </w:trPr>
        <w:tc>
          <w:tcPr>
            <w:tcW w:w="586" w:type="dxa"/>
            <w:tcBorders>
              <w:top w:val="single" w:sz="8" w:space="0" w:color="B7B7E2"/>
              <w:left w:val="single" w:sz="8" w:space="0" w:color="B7B7E2"/>
              <w:bottom w:val="single" w:sz="8" w:space="0" w:color="B7B7E2"/>
              <w:right w:val="single" w:sz="8" w:space="0" w:color="B7B7E2"/>
            </w:tcBorders>
            <w:shd w:val="clear" w:color="auto" w:fill="B7B7E2"/>
            <w:tcMar>
              <w:top w:w="0" w:type="dxa"/>
              <w:left w:w="108" w:type="dxa"/>
              <w:bottom w:w="0" w:type="dxa"/>
              <w:right w:w="108" w:type="dxa"/>
            </w:tcMar>
            <w:vAlign w:val="center"/>
            <w:hideMark/>
          </w:tcPr>
          <w:p w14:paraId="27B3E9BC" w14:textId="77777777" w:rsidR="000D76EE" w:rsidRPr="00100F0A" w:rsidRDefault="000D76EE" w:rsidP="000D76EE">
            <w:pPr>
              <w:spacing w:after="144"/>
              <w:rPr>
                <w:rFonts w:eastAsia="Times New Roman" w:cs="Times New Roman"/>
              </w:rPr>
            </w:pPr>
            <w:r w:rsidRPr="00100F0A">
              <w:rPr>
                <w:rFonts w:eastAsia="Times New Roman" w:cs="Times New Roman"/>
                <w:b/>
                <w:bCs/>
                <w:color w:val="FFFFFF"/>
                <w:sz w:val="20"/>
                <w:szCs w:val="20"/>
              </w:rPr>
              <w:t> </w:t>
            </w:r>
          </w:p>
        </w:tc>
        <w:tc>
          <w:tcPr>
            <w:tcW w:w="1389"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3C1AAA9D" w14:textId="77777777" w:rsidR="000D76EE" w:rsidRPr="00100F0A" w:rsidRDefault="000D76EE" w:rsidP="000D76EE">
            <w:pPr>
              <w:spacing w:after="144"/>
              <w:rPr>
                <w:rFonts w:eastAsia="Times New Roman" w:cs="Times New Roman"/>
              </w:rPr>
            </w:pPr>
            <w:r w:rsidRPr="00100F0A">
              <w:rPr>
                <w:rFonts w:eastAsia="Times New Roman" w:cs="Times New Roman"/>
                <w:b/>
                <w:bCs/>
                <w:color w:val="FFFFFF"/>
                <w:sz w:val="20"/>
                <w:szCs w:val="20"/>
              </w:rPr>
              <w:t> Applies to</w:t>
            </w:r>
          </w:p>
        </w:tc>
        <w:tc>
          <w:tcPr>
            <w:tcW w:w="4962"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6610104A" w14:textId="77777777" w:rsidR="000D76EE" w:rsidRPr="00100F0A" w:rsidRDefault="000D76EE" w:rsidP="000D76EE">
            <w:pPr>
              <w:spacing w:after="144"/>
              <w:rPr>
                <w:rFonts w:eastAsia="Times New Roman" w:cs="Times New Roman"/>
              </w:rPr>
            </w:pPr>
            <w:r w:rsidRPr="00100F0A">
              <w:rPr>
                <w:rFonts w:eastAsia="Times New Roman" w:cs="Times New Roman"/>
                <w:b/>
                <w:bCs/>
                <w:color w:val="FFFFFF"/>
                <w:sz w:val="20"/>
                <w:szCs w:val="20"/>
              </w:rPr>
              <w:t> Approach</w:t>
            </w:r>
          </w:p>
        </w:tc>
        <w:tc>
          <w:tcPr>
            <w:tcW w:w="696"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114DDD1F" w14:textId="3C347836" w:rsidR="000D76EE" w:rsidRPr="00100F0A" w:rsidRDefault="000D76EE" w:rsidP="006872A9">
            <w:pPr>
              <w:spacing w:after="144"/>
              <w:jc w:val="center"/>
              <w:rPr>
                <w:rFonts w:eastAsia="Times New Roman" w:cs="Times New Roman"/>
                <w:sz w:val="20"/>
                <w:szCs w:val="20"/>
              </w:rPr>
            </w:pPr>
            <w:r w:rsidRPr="00100F0A">
              <w:rPr>
                <w:rFonts w:eastAsia="Times New Roman" w:cs="Times New Roman"/>
                <w:b/>
                <w:bCs/>
                <w:color w:val="FFFFFF"/>
                <w:sz w:val="20"/>
                <w:szCs w:val="20"/>
              </w:rPr>
              <w:t>2018</w:t>
            </w:r>
          </w:p>
        </w:tc>
        <w:tc>
          <w:tcPr>
            <w:tcW w:w="690" w:type="dxa"/>
            <w:tcBorders>
              <w:top w:val="single" w:sz="8" w:space="0" w:color="B7B7E2"/>
              <w:left w:val="nil"/>
              <w:bottom w:val="single" w:sz="8" w:space="0" w:color="B7B7E2"/>
              <w:right w:val="single" w:sz="8" w:space="0" w:color="B7B7E2"/>
            </w:tcBorders>
            <w:shd w:val="clear" w:color="auto" w:fill="B7B7E2"/>
          </w:tcPr>
          <w:p w14:paraId="7328B9DD" w14:textId="77777777" w:rsidR="000D76EE" w:rsidRPr="00100F0A" w:rsidRDefault="000D76EE" w:rsidP="00B30B8D">
            <w:pPr>
              <w:spacing w:after="144"/>
              <w:jc w:val="center"/>
              <w:rPr>
                <w:rFonts w:eastAsia="Times New Roman" w:cs="Times New Roman"/>
                <w:b/>
                <w:bCs/>
                <w:color w:val="FFFFFF" w:themeColor="background1"/>
                <w:sz w:val="20"/>
                <w:szCs w:val="20"/>
              </w:rPr>
            </w:pPr>
            <w:r w:rsidRPr="00100F0A">
              <w:rPr>
                <w:color w:val="FFFFFF" w:themeColor="background1"/>
                <w:sz w:val="20"/>
              </w:rPr>
              <w:t>...</w:t>
            </w:r>
          </w:p>
        </w:tc>
        <w:tc>
          <w:tcPr>
            <w:tcW w:w="690" w:type="dxa"/>
            <w:tcBorders>
              <w:top w:val="single" w:sz="8" w:space="0" w:color="B7B7E2"/>
              <w:left w:val="nil"/>
              <w:bottom w:val="single" w:sz="8" w:space="0" w:color="B7B7E2"/>
              <w:right w:val="single" w:sz="8" w:space="0" w:color="B7B7E2"/>
            </w:tcBorders>
            <w:shd w:val="clear" w:color="auto" w:fill="B7B7E2"/>
          </w:tcPr>
          <w:p w14:paraId="7C6F37B0" w14:textId="77777777" w:rsidR="000D76EE" w:rsidRPr="00100F0A" w:rsidRDefault="000D76EE" w:rsidP="006872A9">
            <w:pPr>
              <w:spacing w:after="144"/>
              <w:jc w:val="center"/>
              <w:rPr>
                <w:rFonts w:eastAsia="Times New Roman" w:cs="Times New Roman"/>
                <w:b/>
                <w:bCs/>
                <w:color w:val="FFFFFF" w:themeColor="background1"/>
                <w:sz w:val="20"/>
                <w:szCs w:val="20"/>
              </w:rPr>
            </w:pPr>
            <w:r w:rsidRPr="00100F0A">
              <w:rPr>
                <w:rFonts w:eastAsia="Times New Roman" w:cs="Times New Roman"/>
                <w:b/>
                <w:bCs/>
                <w:color w:val="FFFFFF" w:themeColor="background1"/>
                <w:sz w:val="20"/>
                <w:szCs w:val="20"/>
              </w:rPr>
              <w:t>2037</w:t>
            </w:r>
          </w:p>
        </w:tc>
      </w:tr>
      <w:tr w:rsidR="00DE0558" w:rsidRPr="00100F0A" w14:paraId="74687732" w14:textId="77777777" w:rsidTr="005F67D6">
        <w:tc>
          <w:tcPr>
            <w:tcW w:w="586" w:type="dxa"/>
            <w:tcBorders>
              <w:top w:val="single" w:sz="8" w:space="0" w:color="B7B7E2"/>
              <w:left w:val="single" w:sz="8" w:space="0" w:color="B7B7E2"/>
              <w:bottom w:val="dotted" w:sz="4" w:space="0" w:color="B7B7E2"/>
              <w:right w:val="single" w:sz="8" w:space="0" w:color="B7B7E2"/>
            </w:tcBorders>
            <w:tcMar>
              <w:top w:w="0" w:type="dxa"/>
              <w:left w:w="108" w:type="dxa"/>
              <w:bottom w:w="0" w:type="dxa"/>
              <w:right w:w="108" w:type="dxa"/>
            </w:tcMar>
            <w:hideMark/>
          </w:tcPr>
          <w:p w14:paraId="2517EDA9" w14:textId="77777777" w:rsidR="00DE0558" w:rsidRPr="00100F0A" w:rsidRDefault="00DE0558" w:rsidP="00DE0558">
            <w:pPr>
              <w:spacing w:after="60"/>
              <w:rPr>
                <w:rFonts w:eastAsia="Times New Roman" w:cs="Times New Roman"/>
                <w:sz w:val="20"/>
              </w:rPr>
            </w:pPr>
            <w:r w:rsidRPr="00100F0A">
              <w:rPr>
                <w:sz w:val="20"/>
              </w:rPr>
              <w:t>Best</w:t>
            </w:r>
          </w:p>
        </w:tc>
        <w:tc>
          <w:tcPr>
            <w:tcW w:w="1389" w:type="dxa"/>
            <w:vMerge w:val="restart"/>
            <w:tcBorders>
              <w:top w:val="single" w:sz="8" w:space="0" w:color="B7B7E2"/>
              <w:left w:val="nil"/>
              <w:right w:val="single" w:sz="4" w:space="0" w:color="B7B7E2"/>
            </w:tcBorders>
            <w:tcMar>
              <w:top w:w="0" w:type="dxa"/>
              <w:left w:w="108" w:type="dxa"/>
              <w:bottom w:w="0" w:type="dxa"/>
              <w:right w:w="108" w:type="dxa"/>
            </w:tcMar>
            <w:vAlign w:val="center"/>
          </w:tcPr>
          <w:p w14:paraId="220529B0" w14:textId="49117BE2" w:rsidR="00DE0558" w:rsidRPr="00100F0A" w:rsidRDefault="00DE0558" w:rsidP="00DE0558">
            <w:pPr>
              <w:spacing w:after="60"/>
              <w:rPr>
                <w:sz w:val="20"/>
              </w:rPr>
            </w:pPr>
            <w:r w:rsidRPr="00100F0A">
              <w:rPr>
                <w:sz w:val="20"/>
              </w:rPr>
              <w:t>Qld</w:t>
            </w:r>
          </w:p>
        </w:tc>
        <w:tc>
          <w:tcPr>
            <w:tcW w:w="4962" w:type="dxa"/>
            <w:tcBorders>
              <w:top w:val="single" w:sz="8" w:space="0" w:color="B7B7E2"/>
              <w:left w:val="single" w:sz="4" w:space="0" w:color="B7B7E2"/>
              <w:bottom w:val="dotted" w:sz="4" w:space="0" w:color="B7B7E2"/>
              <w:right w:val="single" w:sz="4" w:space="0" w:color="B7B7E2"/>
            </w:tcBorders>
            <w:tcMar>
              <w:top w:w="0" w:type="dxa"/>
              <w:left w:w="108" w:type="dxa"/>
              <w:bottom w:w="0" w:type="dxa"/>
              <w:right w:w="108" w:type="dxa"/>
            </w:tcMar>
          </w:tcPr>
          <w:p w14:paraId="3B1D0EBE" w14:textId="06DE1142" w:rsidR="00DE0558" w:rsidRPr="00100F0A" w:rsidRDefault="00DE0558" w:rsidP="005F67D6">
            <w:pPr>
              <w:rPr>
                <w:rFonts w:eastAsia="Times New Roman" w:cs="Times New Roman"/>
                <w:sz w:val="20"/>
                <w:szCs w:val="20"/>
              </w:rPr>
            </w:pPr>
            <w:r w:rsidRPr="00100F0A">
              <w:rPr>
                <w:rFonts w:cs="Calibri"/>
                <w:color w:val="000000"/>
                <w:sz w:val="20"/>
                <w:szCs w:val="20"/>
              </w:rPr>
              <w:t>Based on ACIL Tasman (2012)</w:t>
            </w:r>
          </w:p>
        </w:tc>
        <w:tc>
          <w:tcPr>
            <w:tcW w:w="696" w:type="dxa"/>
            <w:tcBorders>
              <w:top w:val="single" w:sz="8" w:space="0" w:color="B7B7E2"/>
              <w:left w:val="single" w:sz="4" w:space="0" w:color="B7B7E2"/>
              <w:bottom w:val="dotted" w:sz="4" w:space="0" w:color="B7B7E2"/>
              <w:right w:val="single" w:sz="8" w:space="0" w:color="B7B7E2"/>
            </w:tcBorders>
            <w:tcMar>
              <w:top w:w="0" w:type="dxa"/>
              <w:left w:w="108" w:type="dxa"/>
              <w:bottom w:w="0" w:type="dxa"/>
              <w:right w:w="108" w:type="dxa"/>
            </w:tcMar>
          </w:tcPr>
          <w:p w14:paraId="64CB65A3" w14:textId="7E21D22E" w:rsidR="00DE0558" w:rsidRPr="00100F0A" w:rsidRDefault="00DE0558" w:rsidP="006872A9">
            <w:pPr>
              <w:jc w:val="center"/>
              <w:rPr>
                <w:rFonts w:eastAsia="Times New Roman" w:cs="Times New Roman"/>
                <w:sz w:val="20"/>
                <w:szCs w:val="20"/>
              </w:rPr>
            </w:pPr>
            <w:r w:rsidRPr="00100F0A">
              <w:rPr>
                <w:rFonts w:cs="Calibri"/>
                <w:bCs/>
                <w:sz w:val="20"/>
                <w:szCs w:val="20"/>
              </w:rPr>
              <w:t>-0.3%</w:t>
            </w:r>
          </w:p>
        </w:tc>
        <w:tc>
          <w:tcPr>
            <w:tcW w:w="690" w:type="dxa"/>
            <w:tcBorders>
              <w:top w:val="single" w:sz="8" w:space="0" w:color="B7B7E2"/>
              <w:left w:val="nil"/>
              <w:bottom w:val="dotted" w:sz="4" w:space="0" w:color="B7B7E2"/>
              <w:right w:val="single" w:sz="8" w:space="0" w:color="B7B7E2"/>
            </w:tcBorders>
          </w:tcPr>
          <w:p w14:paraId="6A071D84" w14:textId="77777777" w:rsidR="00DE0558" w:rsidRPr="00100F0A" w:rsidRDefault="00DE0558" w:rsidP="00B30B8D">
            <w:pPr>
              <w:spacing w:after="60"/>
              <w:jc w:val="center"/>
              <w:rPr>
                <w:rFonts w:eastAsia="Times New Roman" w:cs="Times New Roman"/>
                <w:sz w:val="20"/>
                <w:szCs w:val="20"/>
              </w:rPr>
            </w:pPr>
            <w:r w:rsidRPr="00100F0A">
              <w:rPr>
                <w:sz w:val="20"/>
                <w:szCs w:val="20"/>
              </w:rPr>
              <w:t>...</w:t>
            </w:r>
          </w:p>
        </w:tc>
        <w:tc>
          <w:tcPr>
            <w:tcW w:w="690" w:type="dxa"/>
            <w:tcBorders>
              <w:top w:val="single" w:sz="8" w:space="0" w:color="B7B7E2"/>
              <w:left w:val="nil"/>
              <w:bottom w:val="dotted" w:sz="4" w:space="0" w:color="B7B7E2"/>
              <w:right w:val="single" w:sz="8" w:space="0" w:color="B7B7E2"/>
            </w:tcBorders>
          </w:tcPr>
          <w:p w14:paraId="2E044219" w14:textId="14E3F9CC" w:rsidR="00DE0558" w:rsidRPr="00100F0A" w:rsidRDefault="00DE0558" w:rsidP="006872A9">
            <w:pPr>
              <w:jc w:val="center"/>
              <w:rPr>
                <w:rFonts w:eastAsia="Times New Roman" w:cs="Times New Roman"/>
                <w:color w:val="000000" w:themeColor="text1"/>
                <w:sz w:val="20"/>
                <w:szCs w:val="20"/>
              </w:rPr>
            </w:pPr>
            <w:r w:rsidRPr="00100F0A">
              <w:rPr>
                <w:rFonts w:cs="Calibri"/>
                <w:color w:val="000000" w:themeColor="text1"/>
                <w:sz w:val="20"/>
                <w:szCs w:val="20"/>
              </w:rPr>
              <w:t>1.8%</w:t>
            </w:r>
          </w:p>
        </w:tc>
      </w:tr>
      <w:tr w:rsidR="00DE0558" w:rsidRPr="00100F0A" w14:paraId="71332137" w14:textId="77777777" w:rsidTr="005F67D6">
        <w:tc>
          <w:tcPr>
            <w:tcW w:w="586" w:type="dxa"/>
            <w:tcBorders>
              <w:top w:val="dotted" w:sz="4" w:space="0" w:color="B7B7E2"/>
              <w:left w:val="single" w:sz="8" w:space="0" w:color="B7B7E2"/>
              <w:bottom w:val="dotted" w:sz="4" w:space="0" w:color="B7B7E2"/>
              <w:right w:val="single" w:sz="8" w:space="0" w:color="B7B7E2"/>
            </w:tcBorders>
            <w:tcMar>
              <w:top w:w="0" w:type="dxa"/>
              <w:left w:w="108" w:type="dxa"/>
              <w:bottom w:w="0" w:type="dxa"/>
              <w:right w:w="108" w:type="dxa"/>
            </w:tcMar>
            <w:hideMark/>
          </w:tcPr>
          <w:p w14:paraId="66B1A941" w14:textId="77777777" w:rsidR="00DE0558" w:rsidRPr="00100F0A" w:rsidRDefault="00DE0558" w:rsidP="00DE0558">
            <w:pPr>
              <w:spacing w:after="60"/>
              <w:rPr>
                <w:rFonts w:eastAsia="Times New Roman" w:cs="Times New Roman"/>
                <w:sz w:val="20"/>
              </w:rPr>
            </w:pPr>
            <w:r w:rsidRPr="00100F0A">
              <w:rPr>
                <w:sz w:val="20"/>
              </w:rPr>
              <w:t>High</w:t>
            </w:r>
          </w:p>
        </w:tc>
        <w:tc>
          <w:tcPr>
            <w:tcW w:w="1389" w:type="dxa"/>
            <w:vMerge/>
            <w:tcBorders>
              <w:left w:val="nil"/>
              <w:right w:val="single" w:sz="4" w:space="0" w:color="B7B7E2"/>
            </w:tcBorders>
            <w:tcMar>
              <w:top w:w="0" w:type="dxa"/>
              <w:left w:w="108" w:type="dxa"/>
              <w:bottom w:w="0" w:type="dxa"/>
              <w:right w:w="108" w:type="dxa"/>
            </w:tcMar>
          </w:tcPr>
          <w:p w14:paraId="48B718A0" w14:textId="77777777" w:rsidR="00DE0558" w:rsidRPr="00100F0A" w:rsidRDefault="00DE0558" w:rsidP="00DE0558">
            <w:pPr>
              <w:spacing w:after="60"/>
              <w:rPr>
                <w:sz w:val="20"/>
              </w:rPr>
            </w:pPr>
          </w:p>
        </w:tc>
        <w:tc>
          <w:tcPr>
            <w:tcW w:w="4962"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tcPr>
          <w:p w14:paraId="33388F30" w14:textId="34E876C6" w:rsidR="00DE0558" w:rsidRPr="00100F0A" w:rsidRDefault="00C34F48" w:rsidP="005F67D6">
            <w:pPr>
              <w:rPr>
                <w:rFonts w:eastAsia="Times New Roman" w:cs="Times New Roman"/>
                <w:sz w:val="20"/>
                <w:szCs w:val="20"/>
              </w:rPr>
            </w:pPr>
            <w:r>
              <w:rPr>
                <w:rFonts w:cs="Calibri"/>
                <w:color w:val="000000"/>
                <w:sz w:val="20"/>
                <w:szCs w:val="20"/>
              </w:rPr>
              <w:t>20-year average</w:t>
            </w:r>
            <w:r w:rsidR="00DE0558" w:rsidRPr="00100F0A">
              <w:rPr>
                <w:rFonts w:cs="Calibri"/>
                <w:color w:val="000000"/>
                <w:sz w:val="20"/>
                <w:szCs w:val="20"/>
              </w:rPr>
              <w:t xml:space="preserve"> annual economic growth </w:t>
            </w:r>
          </w:p>
        </w:tc>
        <w:tc>
          <w:tcPr>
            <w:tcW w:w="696" w:type="dxa"/>
            <w:tcBorders>
              <w:top w:val="dotted" w:sz="4" w:space="0" w:color="B7B7E2"/>
              <w:left w:val="single" w:sz="4" w:space="0" w:color="B7B7E2"/>
              <w:bottom w:val="dotted" w:sz="4" w:space="0" w:color="B7B7E2"/>
              <w:right w:val="single" w:sz="8" w:space="0" w:color="B7B7E2"/>
            </w:tcBorders>
            <w:tcMar>
              <w:top w:w="0" w:type="dxa"/>
              <w:left w:w="108" w:type="dxa"/>
              <w:bottom w:w="0" w:type="dxa"/>
              <w:right w:w="108" w:type="dxa"/>
            </w:tcMar>
          </w:tcPr>
          <w:p w14:paraId="1BD9EED8" w14:textId="728932A8" w:rsidR="00DE0558" w:rsidRPr="00100F0A" w:rsidRDefault="00DE0558" w:rsidP="006872A9">
            <w:pPr>
              <w:jc w:val="center"/>
              <w:rPr>
                <w:rFonts w:eastAsia="Times New Roman" w:cs="Times New Roman"/>
                <w:sz w:val="20"/>
                <w:szCs w:val="20"/>
              </w:rPr>
            </w:pPr>
            <w:r w:rsidRPr="00100F0A">
              <w:rPr>
                <w:rFonts w:cs="Calibri"/>
                <w:bCs/>
                <w:sz w:val="20"/>
                <w:szCs w:val="20"/>
              </w:rPr>
              <w:t>2.8%</w:t>
            </w:r>
          </w:p>
        </w:tc>
        <w:tc>
          <w:tcPr>
            <w:tcW w:w="690" w:type="dxa"/>
            <w:tcBorders>
              <w:top w:val="dotted" w:sz="4" w:space="0" w:color="B7B7E2"/>
              <w:left w:val="nil"/>
              <w:bottom w:val="dotted" w:sz="4" w:space="0" w:color="B7B7E2"/>
              <w:right w:val="single" w:sz="8" w:space="0" w:color="B7B7E2"/>
            </w:tcBorders>
          </w:tcPr>
          <w:p w14:paraId="12AC961C" w14:textId="77777777" w:rsidR="00DE0558" w:rsidRPr="00100F0A" w:rsidRDefault="00DE0558" w:rsidP="00B30B8D">
            <w:pPr>
              <w:spacing w:after="60"/>
              <w:jc w:val="center"/>
              <w:rPr>
                <w:rFonts w:eastAsia="Times New Roman" w:cs="Times New Roman"/>
                <w:sz w:val="20"/>
                <w:szCs w:val="20"/>
              </w:rPr>
            </w:pPr>
            <w:r w:rsidRPr="00100F0A">
              <w:rPr>
                <w:sz w:val="20"/>
                <w:szCs w:val="20"/>
              </w:rPr>
              <w:t>...</w:t>
            </w:r>
          </w:p>
        </w:tc>
        <w:tc>
          <w:tcPr>
            <w:tcW w:w="690" w:type="dxa"/>
            <w:tcBorders>
              <w:top w:val="dotted" w:sz="4" w:space="0" w:color="B7B7E2"/>
              <w:left w:val="nil"/>
              <w:bottom w:val="dotted" w:sz="4" w:space="0" w:color="B7B7E2"/>
              <w:right w:val="single" w:sz="8" w:space="0" w:color="B7B7E2"/>
            </w:tcBorders>
          </w:tcPr>
          <w:p w14:paraId="02076826" w14:textId="08F2C6CD" w:rsidR="00DE0558" w:rsidRPr="00100F0A" w:rsidRDefault="00DE0558" w:rsidP="006872A9">
            <w:pPr>
              <w:jc w:val="center"/>
              <w:rPr>
                <w:rFonts w:eastAsia="Times New Roman" w:cs="Times New Roman"/>
                <w:color w:val="000000" w:themeColor="text1"/>
                <w:sz w:val="20"/>
                <w:szCs w:val="20"/>
              </w:rPr>
            </w:pPr>
            <w:r w:rsidRPr="00100F0A">
              <w:rPr>
                <w:rFonts w:cs="Calibri"/>
                <w:color w:val="000000" w:themeColor="text1"/>
                <w:sz w:val="20"/>
                <w:szCs w:val="20"/>
              </w:rPr>
              <w:t>2.8%</w:t>
            </w:r>
          </w:p>
        </w:tc>
      </w:tr>
      <w:tr w:rsidR="00DE0558" w:rsidRPr="00100F0A" w14:paraId="37E297F8" w14:textId="77777777" w:rsidTr="005F67D6">
        <w:tc>
          <w:tcPr>
            <w:tcW w:w="586" w:type="dxa"/>
            <w:tcBorders>
              <w:top w:val="dotted" w:sz="4" w:space="0" w:color="B7B7E2"/>
              <w:left w:val="single" w:sz="8" w:space="0" w:color="B7B7E2"/>
              <w:bottom w:val="single" w:sz="4" w:space="0" w:color="B7B7E2"/>
              <w:right w:val="single" w:sz="8" w:space="0" w:color="B7B7E2"/>
            </w:tcBorders>
            <w:tcMar>
              <w:top w:w="0" w:type="dxa"/>
              <w:left w:w="108" w:type="dxa"/>
              <w:bottom w:w="0" w:type="dxa"/>
              <w:right w:w="108" w:type="dxa"/>
            </w:tcMar>
            <w:hideMark/>
          </w:tcPr>
          <w:p w14:paraId="518E29A7" w14:textId="77777777" w:rsidR="00DE0558" w:rsidRPr="00100F0A" w:rsidRDefault="00DE0558" w:rsidP="00DE0558">
            <w:pPr>
              <w:spacing w:after="60"/>
              <w:rPr>
                <w:rFonts w:eastAsia="Times New Roman" w:cs="Times New Roman"/>
                <w:sz w:val="20"/>
              </w:rPr>
            </w:pPr>
            <w:r w:rsidRPr="00100F0A">
              <w:rPr>
                <w:sz w:val="20"/>
              </w:rPr>
              <w:t>Low</w:t>
            </w:r>
          </w:p>
        </w:tc>
        <w:tc>
          <w:tcPr>
            <w:tcW w:w="1389" w:type="dxa"/>
            <w:vMerge/>
            <w:tcBorders>
              <w:left w:val="nil"/>
              <w:bottom w:val="single" w:sz="8" w:space="0" w:color="B7B7E2"/>
              <w:right w:val="single" w:sz="4" w:space="0" w:color="B7B7E2"/>
            </w:tcBorders>
            <w:tcMar>
              <w:top w:w="0" w:type="dxa"/>
              <w:left w:w="108" w:type="dxa"/>
              <w:bottom w:w="0" w:type="dxa"/>
              <w:right w:w="108" w:type="dxa"/>
            </w:tcMar>
          </w:tcPr>
          <w:p w14:paraId="55E0C103" w14:textId="77777777" w:rsidR="00DE0558" w:rsidRPr="00100F0A" w:rsidRDefault="00DE0558" w:rsidP="00DE0558">
            <w:pPr>
              <w:spacing w:after="60"/>
              <w:rPr>
                <w:sz w:val="20"/>
              </w:rPr>
            </w:pPr>
          </w:p>
        </w:tc>
        <w:tc>
          <w:tcPr>
            <w:tcW w:w="4962" w:type="dxa"/>
            <w:tcBorders>
              <w:top w:val="dotted" w:sz="4" w:space="0" w:color="B7B7E2"/>
              <w:left w:val="single" w:sz="4" w:space="0" w:color="B7B7E2"/>
              <w:bottom w:val="single" w:sz="8" w:space="0" w:color="B7B7E2"/>
              <w:right w:val="single" w:sz="4" w:space="0" w:color="B7B7E2"/>
            </w:tcBorders>
            <w:tcMar>
              <w:top w:w="0" w:type="dxa"/>
              <w:left w:w="108" w:type="dxa"/>
              <w:bottom w:w="0" w:type="dxa"/>
              <w:right w:w="108" w:type="dxa"/>
            </w:tcMar>
          </w:tcPr>
          <w:p w14:paraId="2A5965A9" w14:textId="7D846828" w:rsidR="00DE0558" w:rsidRPr="00100F0A" w:rsidRDefault="00C34F48" w:rsidP="005F67D6">
            <w:pPr>
              <w:rPr>
                <w:rFonts w:eastAsia="Times New Roman" w:cs="Times New Roman"/>
                <w:sz w:val="20"/>
                <w:szCs w:val="20"/>
              </w:rPr>
            </w:pPr>
            <w:r>
              <w:rPr>
                <w:rFonts w:cs="Calibri"/>
                <w:color w:val="000000"/>
                <w:sz w:val="20"/>
                <w:szCs w:val="20"/>
              </w:rPr>
              <w:t>20-year average</w:t>
            </w:r>
            <w:r w:rsidR="00DE0558" w:rsidRPr="00100F0A">
              <w:rPr>
                <w:rFonts w:cs="Calibri"/>
                <w:color w:val="000000"/>
                <w:sz w:val="20"/>
                <w:szCs w:val="20"/>
              </w:rPr>
              <w:t xml:space="preserve"> annual population growth </w:t>
            </w:r>
          </w:p>
        </w:tc>
        <w:tc>
          <w:tcPr>
            <w:tcW w:w="696" w:type="dxa"/>
            <w:tcBorders>
              <w:top w:val="dotted" w:sz="4" w:space="0" w:color="B7B7E2"/>
              <w:left w:val="single" w:sz="4" w:space="0" w:color="B7B7E2"/>
              <w:bottom w:val="single" w:sz="4" w:space="0" w:color="B7B7E2"/>
              <w:right w:val="single" w:sz="8" w:space="0" w:color="B7B7E2"/>
            </w:tcBorders>
            <w:tcMar>
              <w:top w:w="0" w:type="dxa"/>
              <w:left w:w="108" w:type="dxa"/>
              <w:bottom w:w="0" w:type="dxa"/>
              <w:right w:w="108" w:type="dxa"/>
            </w:tcMar>
          </w:tcPr>
          <w:p w14:paraId="429DC881" w14:textId="1469524B" w:rsidR="00DE0558" w:rsidRPr="00100F0A" w:rsidRDefault="00DE0558" w:rsidP="006872A9">
            <w:pPr>
              <w:jc w:val="center"/>
              <w:rPr>
                <w:rFonts w:eastAsia="Times New Roman" w:cs="Times New Roman"/>
                <w:sz w:val="20"/>
                <w:szCs w:val="20"/>
              </w:rPr>
            </w:pPr>
            <w:r w:rsidRPr="00100F0A">
              <w:rPr>
                <w:rFonts w:cs="Calibri"/>
                <w:bCs/>
                <w:sz w:val="20"/>
                <w:szCs w:val="20"/>
              </w:rPr>
              <w:t>1.4%</w:t>
            </w:r>
          </w:p>
        </w:tc>
        <w:tc>
          <w:tcPr>
            <w:tcW w:w="690" w:type="dxa"/>
            <w:tcBorders>
              <w:top w:val="dotted" w:sz="4" w:space="0" w:color="B7B7E2"/>
              <w:left w:val="nil"/>
              <w:bottom w:val="single" w:sz="4" w:space="0" w:color="B7B7E2"/>
              <w:right w:val="single" w:sz="8" w:space="0" w:color="B7B7E2"/>
            </w:tcBorders>
          </w:tcPr>
          <w:p w14:paraId="3A21DAF9" w14:textId="77777777" w:rsidR="00DE0558" w:rsidRPr="00100F0A" w:rsidRDefault="00DE0558" w:rsidP="00B30B8D">
            <w:pPr>
              <w:spacing w:after="60"/>
              <w:jc w:val="center"/>
              <w:rPr>
                <w:rFonts w:eastAsia="Times New Roman" w:cs="Times New Roman"/>
                <w:sz w:val="20"/>
                <w:szCs w:val="20"/>
              </w:rPr>
            </w:pPr>
            <w:r w:rsidRPr="00100F0A">
              <w:rPr>
                <w:sz w:val="20"/>
                <w:szCs w:val="20"/>
              </w:rPr>
              <w:t>...</w:t>
            </w:r>
          </w:p>
        </w:tc>
        <w:tc>
          <w:tcPr>
            <w:tcW w:w="690" w:type="dxa"/>
            <w:tcBorders>
              <w:top w:val="dotted" w:sz="4" w:space="0" w:color="B7B7E2"/>
              <w:left w:val="nil"/>
              <w:bottom w:val="single" w:sz="4" w:space="0" w:color="B7B7E2"/>
              <w:right w:val="single" w:sz="8" w:space="0" w:color="B7B7E2"/>
            </w:tcBorders>
          </w:tcPr>
          <w:p w14:paraId="3FDA61B1" w14:textId="64C16915" w:rsidR="00DE0558" w:rsidRPr="00100F0A" w:rsidRDefault="00DE0558" w:rsidP="006872A9">
            <w:pPr>
              <w:jc w:val="center"/>
              <w:rPr>
                <w:rFonts w:eastAsia="Times New Roman" w:cs="Times New Roman"/>
                <w:color w:val="000000" w:themeColor="text1"/>
                <w:sz w:val="20"/>
                <w:szCs w:val="20"/>
              </w:rPr>
            </w:pPr>
            <w:r w:rsidRPr="00100F0A">
              <w:rPr>
                <w:rFonts w:cs="Calibri"/>
                <w:color w:val="000000" w:themeColor="text1"/>
                <w:sz w:val="20"/>
                <w:szCs w:val="20"/>
              </w:rPr>
              <w:t>1.4%</w:t>
            </w:r>
          </w:p>
        </w:tc>
      </w:tr>
      <w:tr w:rsidR="00DE0558" w:rsidRPr="00100F0A" w14:paraId="78CB91A9" w14:textId="77777777" w:rsidTr="005F67D6">
        <w:tc>
          <w:tcPr>
            <w:tcW w:w="586" w:type="dxa"/>
            <w:tcBorders>
              <w:top w:val="single" w:sz="4" w:space="0" w:color="B7B7E2"/>
              <w:left w:val="single" w:sz="4" w:space="0" w:color="B7B7E2"/>
              <w:bottom w:val="dotted" w:sz="4" w:space="0" w:color="B7B7E2"/>
              <w:right w:val="single" w:sz="4" w:space="0" w:color="B7B7E2"/>
            </w:tcBorders>
            <w:tcMar>
              <w:top w:w="0" w:type="dxa"/>
              <w:left w:w="108" w:type="dxa"/>
              <w:bottom w:w="0" w:type="dxa"/>
              <w:right w:w="108" w:type="dxa"/>
            </w:tcMar>
            <w:hideMark/>
          </w:tcPr>
          <w:p w14:paraId="0AECE8AD" w14:textId="77777777" w:rsidR="00DE0558" w:rsidRPr="00100F0A" w:rsidRDefault="00DE0558" w:rsidP="00DE0558">
            <w:pPr>
              <w:spacing w:after="60"/>
              <w:rPr>
                <w:rFonts w:eastAsia="Times New Roman" w:cs="Times New Roman"/>
                <w:sz w:val="20"/>
              </w:rPr>
            </w:pPr>
            <w:r w:rsidRPr="00100F0A">
              <w:rPr>
                <w:sz w:val="20"/>
              </w:rPr>
              <w:t>Best</w:t>
            </w:r>
          </w:p>
        </w:tc>
        <w:tc>
          <w:tcPr>
            <w:tcW w:w="1389" w:type="dxa"/>
            <w:vMerge w:val="restart"/>
            <w:tcBorders>
              <w:top w:val="single" w:sz="8" w:space="0" w:color="B7B7E2"/>
              <w:left w:val="single" w:sz="4" w:space="0" w:color="B7B7E2"/>
              <w:right w:val="single" w:sz="8" w:space="0" w:color="B7B7E2"/>
            </w:tcBorders>
            <w:tcMar>
              <w:top w:w="0" w:type="dxa"/>
              <w:left w:w="108" w:type="dxa"/>
              <w:bottom w:w="0" w:type="dxa"/>
              <w:right w:w="108" w:type="dxa"/>
            </w:tcMar>
            <w:vAlign w:val="center"/>
          </w:tcPr>
          <w:p w14:paraId="3DA6F7AF" w14:textId="50805BF3" w:rsidR="00DE0558" w:rsidRPr="006C17DC" w:rsidRDefault="00DE0558" w:rsidP="00DE0558">
            <w:pPr>
              <w:spacing w:after="60"/>
              <w:rPr>
                <w:sz w:val="20"/>
                <w:szCs w:val="20"/>
              </w:rPr>
            </w:pPr>
            <w:r w:rsidRPr="00A307F3">
              <w:rPr>
                <w:sz w:val="20"/>
                <w:szCs w:val="20"/>
              </w:rPr>
              <w:t>ACT, NSW, NT, SA, Tas, Vic, WA</w:t>
            </w:r>
          </w:p>
        </w:tc>
        <w:tc>
          <w:tcPr>
            <w:tcW w:w="4962" w:type="dxa"/>
            <w:tcBorders>
              <w:top w:val="single" w:sz="8" w:space="0" w:color="B7B7E2"/>
              <w:left w:val="nil"/>
              <w:bottom w:val="dotted" w:sz="4" w:space="0" w:color="B7B7E2"/>
              <w:right w:val="single" w:sz="4" w:space="0" w:color="B7B7E2"/>
            </w:tcBorders>
            <w:tcMar>
              <w:top w:w="0" w:type="dxa"/>
              <w:left w:w="108" w:type="dxa"/>
              <w:bottom w:w="0" w:type="dxa"/>
              <w:right w:w="108" w:type="dxa"/>
            </w:tcMar>
          </w:tcPr>
          <w:p w14:paraId="4978CF50" w14:textId="10AED2D2" w:rsidR="00DE0558" w:rsidRPr="00100F0A" w:rsidRDefault="00DE0558" w:rsidP="005F67D6">
            <w:pPr>
              <w:rPr>
                <w:rFonts w:eastAsia="Times New Roman" w:cs="Times New Roman"/>
                <w:sz w:val="20"/>
                <w:szCs w:val="20"/>
              </w:rPr>
            </w:pPr>
            <w:r w:rsidRPr="00100F0A">
              <w:rPr>
                <w:rFonts w:cs="Calibri"/>
                <w:color w:val="000000"/>
                <w:sz w:val="20"/>
                <w:szCs w:val="20"/>
              </w:rPr>
              <w:t>Flat trend</w:t>
            </w:r>
          </w:p>
        </w:tc>
        <w:tc>
          <w:tcPr>
            <w:tcW w:w="696" w:type="dxa"/>
            <w:tcBorders>
              <w:top w:val="single" w:sz="4" w:space="0" w:color="B7B7E2"/>
              <w:left w:val="single" w:sz="4" w:space="0" w:color="B7B7E2"/>
              <w:bottom w:val="dotted" w:sz="4" w:space="0" w:color="B7B7E2"/>
              <w:right w:val="single" w:sz="4" w:space="0" w:color="B7B7E2"/>
            </w:tcBorders>
            <w:tcMar>
              <w:top w:w="0" w:type="dxa"/>
              <w:left w:w="108" w:type="dxa"/>
              <w:bottom w:w="0" w:type="dxa"/>
              <w:right w:w="108" w:type="dxa"/>
            </w:tcMar>
          </w:tcPr>
          <w:p w14:paraId="3AB608A1" w14:textId="2786B315" w:rsidR="00DE0558" w:rsidRPr="00100F0A" w:rsidRDefault="00DE0558" w:rsidP="006872A9">
            <w:pPr>
              <w:jc w:val="center"/>
              <w:rPr>
                <w:rFonts w:eastAsia="Times New Roman" w:cs="Times New Roman"/>
                <w:sz w:val="20"/>
                <w:szCs w:val="20"/>
              </w:rPr>
            </w:pPr>
            <w:r w:rsidRPr="00100F0A">
              <w:rPr>
                <w:rFonts w:cs="Calibri"/>
                <w:bCs/>
                <w:sz w:val="20"/>
                <w:szCs w:val="20"/>
              </w:rPr>
              <w:t>0.0%</w:t>
            </w:r>
          </w:p>
        </w:tc>
        <w:tc>
          <w:tcPr>
            <w:tcW w:w="690" w:type="dxa"/>
            <w:tcBorders>
              <w:top w:val="single" w:sz="4" w:space="0" w:color="B7B7E2"/>
              <w:left w:val="single" w:sz="4" w:space="0" w:color="B7B7E2"/>
              <w:bottom w:val="dotted" w:sz="4" w:space="0" w:color="B7B7E2"/>
              <w:right w:val="single" w:sz="4" w:space="0" w:color="B7B7E2"/>
            </w:tcBorders>
          </w:tcPr>
          <w:p w14:paraId="7475D6C9" w14:textId="77777777" w:rsidR="00DE0558" w:rsidRPr="00100F0A" w:rsidRDefault="00DE0558" w:rsidP="00B30B8D">
            <w:pPr>
              <w:spacing w:after="60"/>
              <w:jc w:val="center"/>
              <w:rPr>
                <w:rFonts w:eastAsia="Times New Roman" w:cs="Times New Roman"/>
                <w:sz w:val="20"/>
                <w:szCs w:val="20"/>
              </w:rPr>
            </w:pPr>
            <w:r w:rsidRPr="00100F0A">
              <w:rPr>
                <w:sz w:val="20"/>
                <w:szCs w:val="20"/>
              </w:rPr>
              <w:t>...</w:t>
            </w:r>
          </w:p>
        </w:tc>
        <w:tc>
          <w:tcPr>
            <w:tcW w:w="690" w:type="dxa"/>
            <w:tcBorders>
              <w:top w:val="single" w:sz="4" w:space="0" w:color="B7B7E2"/>
              <w:left w:val="single" w:sz="4" w:space="0" w:color="B7B7E2"/>
              <w:bottom w:val="dotted" w:sz="4" w:space="0" w:color="B7B7E2"/>
              <w:right w:val="single" w:sz="4" w:space="0" w:color="B7B7E2"/>
            </w:tcBorders>
          </w:tcPr>
          <w:p w14:paraId="67BDD61A" w14:textId="6AE936D3" w:rsidR="00DE0558" w:rsidRPr="00100F0A" w:rsidRDefault="00DE0558" w:rsidP="006872A9">
            <w:pPr>
              <w:jc w:val="center"/>
              <w:rPr>
                <w:rFonts w:eastAsia="Times New Roman" w:cs="Times New Roman"/>
                <w:color w:val="000000" w:themeColor="text1"/>
                <w:sz w:val="20"/>
                <w:szCs w:val="20"/>
              </w:rPr>
            </w:pPr>
            <w:r w:rsidRPr="00100F0A">
              <w:rPr>
                <w:rFonts w:cs="Calibri"/>
                <w:color w:val="000000" w:themeColor="text1"/>
                <w:sz w:val="20"/>
                <w:szCs w:val="20"/>
              </w:rPr>
              <w:t>0.0%</w:t>
            </w:r>
          </w:p>
        </w:tc>
      </w:tr>
      <w:tr w:rsidR="00DE0558" w:rsidRPr="00100F0A" w14:paraId="3BD7DCB2" w14:textId="77777777" w:rsidTr="005F67D6">
        <w:tc>
          <w:tcPr>
            <w:tcW w:w="586"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hideMark/>
          </w:tcPr>
          <w:p w14:paraId="34A00804" w14:textId="77777777" w:rsidR="00DE0558" w:rsidRPr="00100F0A" w:rsidRDefault="00DE0558" w:rsidP="00DE0558">
            <w:pPr>
              <w:spacing w:after="60"/>
              <w:rPr>
                <w:rFonts w:eastAsia="Times New Roman" w:cs="Times New Roman"/>
                <w:sz w:val="20"/>
              </w:rPr>
            </w:pPr>
            <w:r w:rsidRPr="00100F0A">
              <w:rPr>
                <w:sz w:val="20"/>
              </w:rPr>
              <w:t>High</w:t>
            </w:r>
          </w:p>
        </w:tc>
        <w:tc>
          <w:tcPr>
            <w:tcW w:w="1389" w:type="dxa"/>
            <w:vMerge/>
            <w:tcBorders>
              <w:left w:val="single" w:sz="4" w:space="0" w:color="B7B7E2"/>
              <w:right w:val="single" w:sz="8" w:space="0" w:color="B7B7E2"/>
            </w:tcBorders>
            <w:tcMar>
              <w:top w:w="0" w:type="dxa"/>
              <w:left w:w="108" w:type="dxa"/>
              <w:bottom w:w="0" w:type="dxa"/>
              <w:right w:w="108" w:type="dxa"/>
            </w:tcMar>
          </w:tcPr>
          <w:p w14:paraId="7A605299" w14:textId="77777777" w:rsidR="00DE0558" w:rsidRPr="00100F0A" w:rsidRDefault="00DE0558" w:rsidP="00DE0558">
            <w:pPr>
              <w:spacing w:after="60"/>
              <w:rPr>
                <w:sz w:val="20"/>
              </w:rPr>
            </w:pPr>
          </w:p>
        </w:tc>
        <w:tc>
          <w:tcPr>
            <w:tcW w:w="4962" w:type="dxa"/>
            <w:tcBorders>
              <w:top w:val="dotted" w:sz="4" w:space="0" w:color="B7B7E2"/>
              <w:left w:val="nil"/>
              <w:bottom w:val="dotted" w:sz="4" w:space="0" w:color="B7B7E2"/>
              <w:right w:val="single" w:sz="4" w:space="0" w:color="B7B7E2"/>
            </w:tcBorders>
            <w:tcMar>
              <w:top w:w="0" w:type="dxa"/>
              <w:left w:w="108" w:type="dxa"/>
              <w:bottom w:w="0" w:type="dxa"/>
              <w:right w:w="108" w:type="dxa"/>
            </w:tcMar>
          </w:tcPr>
          <w:p w14:paraId="5C4DACEB" w14:textId="2827CFFB" w:rsidR="00DE0558" w:rsidRPr="00100F0A" w:rsidRDefault="00C34F48" w:rsidP="005F67D6">
            <w:pPr>
              <w:rPr>
                <w:rFonts w:eastAsia="Times New Roman" w:cs="Times New Roman"/>
                <w:sz w:val="20"/>
                <w:szCs w:val="20"/>
              </w:rPr>
            </w:pPr>
            <w:r>
              <w:rPr>
                <w:rFonts w:cs="Calibri"/>
                <w:color w:val="000000"/>
                <w:sz w:val="20"/>
                <w:szCs w:val="20"/>
              </w:rPr>
              <w:t>20-year average</w:t>
            </w:r>
            <w:r w:rsidR="00DE0558" w:rsidRPr="00100F0A">
              <w:rPr>
                <w:rFonts w:cs="Calibri"/>
                <w:color w:val="000000"/>
                <w:sz w:val="20"/>
                <w:szCs w:val="20"/>
              </w:rPr>
              <w:t xml:space="preserve"> annual population growth </w:t>
            </w:r>
          </w:p>
        </w:tc>
        <w:tc>
          <w:tcPr>
            <w:tcW w:w="696"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tcPr>
          <w:p w14:paraId="2AEF9E98" w14:textId="7590EA11" w:rsidR="00DE0558" w:rsidRPr="00100F0A" w:rsidRDefault="00DE0558" w:rsidP="006872A9">
            <w:pPr>
              <w:jc w:val="center"/>
              <w:rPr>
                <w:rFonts w:eastAsia="Times New Roman" w:cs="Times New Roman"/>
                <w:sz w:val="20"/>
                <w:szCs w:val="20"/>
              </w:rPr>
            </w:pPr>
            <w:r w:rsidRPr="00100F0A">
              <w:rPr>
                <w:rFonts w:cs="Calibri"/>
                <w:bCs/>
                <w:sz w:val="20"/>
                <w:szCs w:val="20"/>
              </w:rPr>
              <w:t>1.4%</w:t>
            </w:r>
          </w:p>
        </w:tc>
        <w:tc>
          <w:tcPr>
            <w:tcW w:w="690" w:type="dxa"/>
            <w:tcBorders>
              <w:top w:val="dotted" w:sz="4" w:space="0" w:color="B7B7E2"/>
              <w:left w:val="single" w:sz="4" w:space="0" w:color="B7B7E2"/>
              <w:bottom w:val="dotted" w:sz="4" w:space="0" w:color="B7B7E2"/>
              <w:right w:val="single" w:sz="4" w:space="0" w:color="B7B7E2"/>
            </w:tcBorders>
          </w:tcPr>
          <w:p w14:paraId="45A40449" w14:textId="77777777" w:rsidR="00DE0558" w:rsidRPr="00100F0A" w:rsidRDefault="00DE0558" w:rsidP="00B30B8D">
            <w:pPr>
              <w:spacing w:after="60"/>
              <w:jc w:val="center"/>
              <w:rPr>
                <w:rFonts w:eastAsia="Times New Roman" w:cs="Times New Roman"/>
                <w:sz w:val="20"/>
                <w:szCs w:val="20"/>
              </w:rPr>
            </w:pPr>
            <w:r w:rsidRPr="00100F0A">
              <w:rPr>
                <w:sz w:val="20"/>
                <w:szCs w:val="20"/>
              </w:rPr>
              <w:t>...</w:t>
            </w:r>
          </w:p>
        </w:tc>
        <w:tc>
          <w:tcPr>
            <w:tcW w:w="690" w:type="dxa"/>
            <w:tcBorders>
              <w:top w:val="dotted" w:sz="4" w:space="0" w:color="B7B7E2"/>
              <w:left w:val="single" w:sz="4" w:space="0" w:color="B7B7E2"/>
              <w:bottom w:val="dotted" w:sz="4" w:space="0" w:color="B7B7E2"/>
              <w:right w:val="single" w:sz="4" w:space="0" w:color="B7B7E2"/>
            </w:tcBorders>
          </w:tcPr>
          <w:p w14:paraId="404540E8" w14:textId="0FE92196" w:rsidR="00DE0558" w:rsidRPr="00100F0A" w:rsidRDefault="00DE0558" w:rsidP="006872A9">
            <w:pPr>
              <w:jc w:val="center"/>
              <w:rPr>
                <w:rFonts w:eastAsia="Times New Roman" w:cs="Times New Roman"/>
                <w:color w:val="000000" w:themeColor="text1"/>
                <w:sz w:val="20"/>
                <w:szCs w:val="20"/>
              </w:rPr>
            </w:pPr>
            <w:r w:rsidRPr="00100F0A">
              <w:rPr>
                <w:rFonts w:cs="Calibri"/>
                <w:color w:val="000000" w:themeColor="text1"/>
                <w:sz w:val="20"/>
                <w:szCs w:val="20"/>
              </w:rPr>
              <w:t>1.4%</w:t>
            </w:r>
          </w:p>
        </w:tc>
      </w:tr>
      <w:tr w:rsidR="00DE0558" w:rsidRPr="00100F0A" w14:paraId="54872169" w14:textId="77777777" w:rsidTr="005F67D6">
        <w:tc>
          <w:tcPr>
            <w:tcW w:w="586" w:type="dxa"/>
            <w:tcBorders>
              <w:top w:val="dotted" w:sz="4" w:space="0" w:color="B7B7E2"/>
              <w:left w:val="single" w:sz="4" w:space="0" w:color="B7B7E2"/>
              <w:bottom w:val="single" w:sz="4" w:space="0" w:color="B7B7E2"/>
              <w:right w:val="single" w:sz="4" w:space="0" w:color="B7B7E2"/>
            </w:tcBorders>
            <w:tcMar>
              <w:top w:w="0" w:type="dxa"/>
              <w:left w:w="108" w:type="dxa"/>
              <w:bottom w:w="0" w:type="dxa"/>
              <w:right w:w="108" w:type="dxa"/>
            </w:tcMar>
            <w:hideMark/>
          </w:tcPr>
          <w:p w14:paraId="633A7F64" w14:textId="77777777" w:rsidR="00DE0558" w:rsidRPr="00100F0A" w:rsidRDefault="00DE0558" w:rsidP="00DE0558">
            <w:pPr>
              <w:spacing w:after="60"/>
              <w:rPr>
                <w:rFonts w:eastAsia="Times New Roman" w:cs="Times New Roman"/>
                <w:sz w:val="20"/>
              </w:rPr>
            </w:pPr>
            <w:r w:rsidRPr="00100F0A">
              <w:rPr>
                <w:sz w:val="20"/>
              </w:rPr>
              <w:t>Low</w:t>
            </w:r>
          </w:p>
        </w:tc>
        <w:tc>
          <w:tcPr>
            <w:tcW w:w="1389" w:type="dxa"/>
            <w:vMerge/>
            <w:tcBorders>
              <w:left w:val="single" w:sz="4" w:space="0" w:color="B7B7E2"/>
              <w:bottom w:val="single" w:sz="8" w:space="0" w:color="B7B7E2"/>
              <w:right w:val="single" w:sz="8" w:space="0" w:color="B7B7E2"/>
            </w:tcBorders>
            <w:tcMar>
              <w:top w:w="0" w:type="dxa"/>
              <w:left w:w="108" w:type="dxa"/>
              <w:bottom w:w="0" w:type="dxa"/>
              <w:right w:w="108" w:type="dxa"/>
            </w:tcMar>
          </w:tcPr>
          <w:p w14:paraId="5635FA4A" w14:textId="77777777" w:rsidR="00DE0558" w:rsidRPr="00100F0A" w:rsidRDefault="00DE0558" w:rsidP="00DE0558">
            <w:pPr>
              <w:spacing w:after="60"/>
              <w:rPr>
                <w:sz w:val="20"/>
              </w:rPr>
            </w:pPr>
          </w:p>
        </w:tc>
        <w:tc>
          <w:tcPr>
            <w:tcW w:w="4962" w:type="dxa"/>
            <w:tcBorders>
              <w:top w:val="dotted" w:sz="4" w:space="0" w:color="B7B7E2"/>
              <w:left w:val="nil"/>
              <w:bottom w:val="single" w:sz="8" w:space="0" w:color="B7B7E2"/>
              <w:right w:val="single" w:sz="4" w:space="0" w:color="B7B7E2"/>
            </w:tcBorders>
            <w:tcMar>
              <w:top w:w="0" w:type="dxa"/>
              <w:left w:w="108" w:type="dxa"/>
              <w:bottom w:w="0" w:type="dxa"/>
              <w:right w:w="108" w:type="dxa"/>
            </w:tcMar>
          </w:tcPr>
          <w:p w14:paraId="6FCFD65A" w14:textId="633A96F9" w:rsidR="00DE0558" w:rsidRPr="00100F0A" w:rsidRDefault="00DE0558" w:rsidP="005F67D6">
            <w:pPr>
              <w:rPr>
                <w:rFonts w:eastAsia="Times New Roman" w:cs="Times New Roman"/>
                <w:sz w:val="20"/>
                <w:szCs w:val="20"/>
              </w:rPr>
            </w:pPr>
            <w:r w:rsidRPr="00100F0A">
              <w:rPr>
                <w:rFonts w:cs="Calibri"/>
                <w:color w:val="000000"/>
                <w:sz w:val="20"/>
                <w:szCs w:val="20"/>
              </w:rPr>
              <w:t>Compound average growth rate (national excl. Qld)</w:t>
            </w:r>
          </w:p>
        </w:tc>
        <w:tc>
          <w:tcPr>
            <w:tcW w:w="696" w:type="dxa"/>
            <w:tcBorders>
              <w:top w:val="dotted" w:sz="4" w:space="0" w:color="B7B7E2"/>
              <w:left w:val="single" w:sz="4" w:space="0" w:color="B7B7E2"/>
              <w:bottom w:val="single" w:sz="4" w:space="0" w:color="B7B7E2"/>
              <w:right w:val="single" w:sz="4" w:space="0" w:color="B7B7E2"/>
            </w:tcBorders>
            <w:tcMar>
              <w:top w:w="0" w:type="dxa"/>
              <w:left w:w="108" w:type="dxa"/>
              <w:bottom w:w="0" w:type="dxa"/>
              <w:right w:w="108" w:type="dxa"/>
            </w:tcMar>
          </w:tcPr>
          <w:p w14:paraId="135F2300" w14:textId="53708C47" w:rsidR="00DE0558" w:rsidRPr="00100F0A" w:rsidRDefault="00DE0558" w:rsidP="006872A9">
            <w:pPr>
              <w:jc w:val="center"/>
              <w:rPr>
                <w:rFonts w:eastAsia="Times New Roman" w:cs="Times New Roman"/>
                <w:sz w:val="20"/>
                <w:szCs w:val="20"/>
              </w:rPr>
            </w:pPr>
            <w:r w:rsidRPr="00100F0A">
              <w:rPr>
                <w:rFonts w:cs="Calibri"/>
                <w:bCs/>
                <w:sz w:val="20"/>
                <w:szCs w:val="20"/>
              </w:rPr>
              <w:t>-7.4%</w:t>
            </w:r>
          </w:p>
        </w:tc>
        <w:tc>
          <w:tcPr>
            <w:tcW w:w="690" w:type="dxa"/>
            <w:tcBorders>
              <w:top w:val="dotted" w:sz="4" w:space="0" w:color="B7B7E2"/>
              <w:left w:val="single" w:sz="4" w:space="0" w:color="B7B7E2"/>
              <w:bottom w:val="single" w:sz="4" w:space="0" w:color="B7B7E2"/>
              <w:right w:val="single" w:sz="4" w:space="0" w:color="B7B7E2"/>
            </w:tcBorders>
          </w:tcPr>
          <w:p w14:paraId="43CE647B" w14:textId="77777777" w:rsidR="00DE0558" w:rsidRPr="00100F0A" w:rsidRDefault="00DE0558" w:rsidP="00B30B8D">
            <w:pPr>
              <w:spacing w:after="60"/>
              <w:jc w:val="center"/>
              <w:rPr>
                <w:rFonts w:eastAsia="Times New Roman" w:cs="Times New Roman"/>
                <w:sz w:val="20"/>
                <w:szCs w:val="20"/>
              </w:rPr>
            </w:pPr>
            <w:r w:rsidRPr="00100F0A">
              <w:rPr>
                <w:sz w:val="20"/>
                <w:szCs w:val="20"/>
              </w:rPr>
              <w:t>...</w:t>
            </w:r>
          </w:p>
        </w:tc>
        <w:tc>
          <w:tcPr>
            <w:tcW w:w="690" w:type="dxa"/>
            <w:tcBorders>
              <w:top w:val="dotted" w:sz="4" w:space="0" w:color="B7B7E2"/>
              <w:left w:val="single" w:sz="4" w:space="0" w:color="B7B7E2"/>
              <w:bottom w:val="single" w:sz="4" w:space="0" w:color="B7B7E2"/>
              <w:right w:val="single" w:sz="4" w:space="0" w:color="B7B7E2"/>
            </w:tcBorders>
          </w:tcPr>
          <w:p w14:paraId="5FF1A656" w14:textId="7DBA1E60" w:rsidR="00DE0558" w:rsidRPr="00100F0A" w:rsidRDefault="00DE0558" w:rsidP="006872A9">
            <w:pPr>
              <w:jc w:val="center"/>
              <w:rPr>
                <w:rFonts w:eastAsia="Times New Roman" w:cs="Times New Roman"/>
                <w:color w:val="000000" w:themeColor="text1"/>
                <w:sz w:val="20"/>
                <w:szCs w:val="20"/>
              </w:rPr>
            </w:pPr>
            <w:r w:rsidRPr="00100F0A">
              <w:rPr>
                <w:rFonts w:cs="Calibri"/>
                <w:color w:val="000000" w:themeColor="text1"/>
                <w:sz w:val="20"/>
                <w:szCs w:val="20"/>
              </w:rPr>
              <w:t>-7.4%</w:t>
            </w:r>
          </w:p>
        </w:tc>
      </w:tr>
    </w:tbl>
    <w:p w14:paraId="2FAB34D2" w14:textId="085F7A64" w:rsidR="000D76EE" w:rsidRDefault="000D76EE" w:rsidP="000D76EE">
      <w:pPr>
        <w:pStyle w:val="BodyText"/>
      </w:pPr>
    </w:p>
    <w:p w14:paraId="51E70BC5" w14:textId="5FD0FE1C" w:rsidR="00223843" w:rsidRDefault="00223843" w:rsidP="000D76EE">
      <w:pPr>
        <w:pStyle w:val="BodyText"/>
      </w:pPr>
    </w:p>
    <w:p w14:paraId="6FB15F92" w14:textId="77777777" w:rsidR="00923556" w:rsidRPr="00100F0A" w:rsidRDefault="00923556" w:rsidP="000D76EE">
      <w:pPr>
        <w:pStyle w:val="BodyText"/>
      </w:pPr>
    </w:p>
    <w:p w14:paraId="1E46060A" w14:textId="06BD3E80" w:rsidR="00601CB2" w:rsidRPr="00100F0A" w:rsidRDefault="00601CB2" w:rsidP="00273FA6">
      <w:pPr>
        <w:pStyle w:val="Caption"/>
      </w:pPr>
      <w:bookmarkStart w:id="160" w:name="_Toc425849225"/>
      <w:bookmarkStart w:id="161" w:name="_Toc13225580"/>
      <w:r w:rsidRPr="00100F0A">
        <w:t xml:space="preserve">Figure </w:t>
      </w:r>
      <w:r w:rsidR="00971D78" w:rsidRPr="00100F0A">
        <w:rPr>
          <w:noProof/>
        </w:rPr>
        <w:fldChar w:fldCharType="begin"/>
      </w:r>
      <w:r w:rsidR="00971D78" w:rsidRPr="00100F0A">
        <w:rPr>
          <w:noProof/>
        </w:rPr>
        <w:instrText xml:space="preserve"> SEQ Figure \* ARABIC </w:instrText>
      </w:r>
      <w:r w:rsidR="00971D78" w:rsidRPr="00100F0A">
        <w:rPr>
          <w:noProof/>
        </w:rPr>
        <w:fldChar w:fldCharType="separate"/>
      </w:r>
      <w:r w:rsidR="00EB634D">
        <w:rPr>
          <w:noProof/>
        </w:rPr>
        <w:t>7</w:t>
      </w:r>
      <w:r w:rsidR="00971D78" w:rsidRPr="00100F0A">
        <w:rPr>
          <w:noProof/>
        </w:rPr>
        <w:fldChar w:fldCharType="end"/>
      </w:r>
      <w:r w:rsidR="00C14F18">
        <w:rPr>
          <w:noProof/>
        </w:rPr>
        <w:t>:</w:t>
      </w:r>
      <w:r w:rsidR="00D11FEE" w:rsidRPr="00100F0A">
        <w:tab/>
      </w:r>
      <w:r w:rsidRPr="00100F0A">
        <w:t>Best, high and low national projection estimates of alka</w:t>
      </w:r>
      <w:r w:rsidR="00677328" w:rsidRPr="00100F0A">
        <w:t>li</w:t>
      </w:r>
      <w:r w:rsidRPr="00100F0A">
        <w:t xml:space="preserve"> waste to 203</w:t>
      </w:r>
      <w:bookmarkEnd w:id="160"/>
      <w:r w:rsidR="0008202B" w:rsidRPr="00100F0A">
        <w:t>7</w:t>
      </w:r>
      <w:bookmarkEnd w:id="161"/>
    </w:p>
    <w:p w14:paraId="1B1542EE" w14:textId="55DD68A7" w:rsidR="00677328" w:rsidRPr="00100F0A" w:rsidRDefault="008C517B" w:rsidP="00601CB2">
      <w:r w:rsidRPr="00100F0A">
        <w:rPr>
          <w:noProof/>
          <w:lang w:eastAsia="en-AU"/>
        </w:rPr>
        <w:drawing>
          <wp:inline distT="0" distB="0" distL="0" distR="0" wp14:anchorId="2A04B180" wp14:editId="17EF980D">
            <wp:extent cx="5735955" cy="21151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5955" cy="2115185"/>
                    </a:xfrm>
                    <a:prstGeom prst="rect">
                      <a:avLst/>
                    </a:prstGeom>
                  </pic:spPr>
                </pic:pic>
              </a:graphicData>
            </a:graphic>
          </wp:inline>
        </w:drawing>
      </w:r>
    </w:p>
    <w:p w14:paraId="60F7D5F2" w14:textId="3DFFDD53" w:rsidR="00677328" w:rsidRPr="00100F0A" w:rsidRDefault="00677328"/>
    <w:p w14:paraId="1ED79F80" w14:textId="5BBD398A" w:rsidR="00677328" w:rsidRPr="00100F0A" w:rsidRDefault="00677328" w:rsidP="00677328">
      <w:pPr>
        <w:pStyle w:val="Heading3"/>
      </w:pPr>
      <w:r w:rsidRPr="00100F0A">
        <w:t>D110 Inorganic fluorine (</w:t>
      </w:r>
      <w:r w:rsidR="009F368C" w:rsidRPr="00100F0A">
        <w:t>SPL</w:t>
      </w:r>
      <w:r w:rsidRPr="00100F0A">
        <w:t>)</w:t>
      </w:r>
    </w:p>
    <w:p w14:paraId="55EFAFB3" w14:textId="622BDCCF" w:rsidR="007E52A5" w:rsidRPr="00100F0A" w:rsidRDefault="007E52A5" w:rsidP="007E52A5">
      <w:pPr>
        <w:rPr>
          <w:rFonts w:ascii="Times New Roman" w:eastAsia="Times New Roman" w:hAnsi="Times New Roman" w:cs="Times New Roman"/>
          <w:sz w:val="24"/>
          <w:szCs w:val="24"/>
        </w:rPr>
      </w:pPr>
      <w:r w:rsidRPr="00100F0A">
        <w:rPr>
          <w:rFonts w:eastAsia="Times New Roman" w:cs="Calibri"/>
        </w:rPr>
        <w:t xml:space="preserve">This group comprises the single NEPM code </w:t>
      </w:r>
      <w:r w:rsidRPr="00100F0A">
        <w:rPr>
          <w:rFonts w:eastAsia="Times New Roman" w:cs="Calibri"/>
          <w:i/>
          <w:iCs/>
        </w:rPr>
        <w:t>D110 Inorganic fluorine compounds excluding calcium fluoride</w:t>
      </w:r>
      <w:r w:rsidRPr="00100F0A">
        <w:rPr>
          <w:rFonts w:eastAsia="Times New Roman" w:cs="Calibri"/>
        </w:rPr>
        <w:t xml:space="preserve">, </w:t>
      </w:r>
      <w:r w:rsidR="009F368C" w:rsidRPr="00100F0A">
        <w:rPr>
          <w:rFonts w:eastAsia="Times New Roman" w:cs="Calibri"/>
        </w:rPr>
        <w:t>that was not projected in separate w</w:t>
      </w:r>
      <w:r w:rsidRPr="00100F0A">
        <w:rPr>
          <w:rFonts w:eastAsia="Times New Roman" w:cs="Calibri"/>
        </w:rPr>
        <w:t xml:space="preserve">aste group in </w:t>
      </w:r>
      <w:r w:rsidRPr="00100F0A">
        <w:rPr>
          <w:rFonts w:eastAsia="Times New Roman" w:cs="Calibri"/>
          <w:iCs/>
        </w:rPr>
        <w:t>2015</w:t>
      </w:r>
      <w:r w:rsidRPr="00100F0A">
        <w:rPr>
          <w:rFonts w:eastAsia="Times New Roman" w:cs="Calibri"/>
        </w:rPr>
        <w:t xml:space="preserve">, but presented within the broader catch-all group ‘Other D – Other inorganic compounds’. This NEPM code is used in the Australian dataset virtually exclusively to describe SPL, a waste material generated from aluminium smelters, of which there are four in current operation (in Vic, NSW, Qld and Tas) and two recently closed (in Vic and NSW). </w:t>
      </w:r>
    </w:p>
    <w:p w14:paraId="79725628" w14:textId="77777777" w:rsidR="007E52A5" w:rsidRPr="00100F0A" w:rsidRDefault="007E52A5" w:rsidP="007E52A5">
      <w:pPr>
        <w:pStyle w:val="BodyText"/>
      </w:pPr>
    </w:p>
    <w:p w14:paraId="71C165FA" w14:textId="77777777" w:rsidR="00677328" w:rsidRPr="00100F0A" w:rsidRDefault="00677328" w:rsidP="00677328">
      <w:pPr>
        <w:pStyle w:val="Heading3-nonumber"/>
      </w:pPr>
      <w:r w:rsidRPr="00100F0A">
        <w:t>Summary analysis</w:t>
      </w:r>
    </w:p>
    <w:tbl>
      <w:tblPr>
        <w:tblW w:w="0" w:type="auto"/>
        <w:tblBorders>
          <w:top w:val="single" w:sz="8" w:space="0" w:color="B7B7E2"/>
          <w:left w:val="single" w:sz="8" w:space="0" w:color="B7B7E2"/>
          <w:bottom w:val="single" w:sz="8" w:space="0" w:color="B7B7E2"/>
          <w:right w:val="single" w:sz="8" w:space="0" w:color="B7B7E2"/>
          <w:insideH w:val="single" w:sz="8" w:space="0" w:color="B7B7E2"/>
          <w:insideV w:val="single" w:sz="8" w:space="0" w:color="B7B7E2"/>
        </w:tblBorders>
        <w:tblCellMar>
          <w:left w:w="0" w:type="dxa"/>
          <w:right w:w="0" w:type="dxa"/>
        </w:tblCellMar>
        <w:tblLook w:val="04A0" w:firstRow="1" w:lastRow="0" w:firstColumn="1" w:lastColumn="0" w:noHBand="0" w:noVBand="1"/>
      </w:tblPr>
      <w:tblGrid>
        <w:gridCol w:w="1105"/>
        <w:gridCol w:w="2995"/>
        <w:gridCol w:w="2552"/>
        <w:gridCol w:w="2360"/>
      </w:tblGrid>
      <w:tr w:rsidR="00F23228" w:rsidRPr="00100F0A" w14:paraId="0BC332D1" w14:textId="77777777" w:rsidTr="00F23228">
        <w:trPr>
          <w:tblHeader/>
        </w:trPr>
        <w:tc>
          <w:tcPr>
            <w:tcW w:w="1106" w:type="dxa"/>
            <w:shd w:val="clear" w:color="auto" w:fill="B7B7E2"/>
            <w:tcMar>
              <w:top w:w="0" w:type="dxa"/>
              <w:left w:w="108" w:type="dxa"/>
              <w:bottom w:w="0" w:type="dxa"/>
              <w:right w:w="108" w:type="dxa"/>
            </w:tcMar>
            <w:vAlign w:val="center"/>
            <w:hideMark/>
          </w:tcPr>
          <w:p w14:paraId="2412ED31" w14:textId="77777777" w:rsidR="007E52A5" w:rsidRPr="00100F0A" w:rsidRDefault="007E52A5" w:rsidP="004E3BDC">
            <w:pPr>
              <w:spacing w:after="144"/>
              <w:rPr>
                <w:rFonts w:eastAsia="Times New Roman" w:cs="Times New Roman"/>
                <w:sz w:val="20"/>
                <w:szCs w:val="20"/>
              </w:rPr>
            </w:pPr>
            <w:r w:rsidRPr="00100F0A">
              <w:rPr>
                <w:rFonts w:eastAsia="Times New Roman" w:cs="Times New Roman"/>
                <w:b/>
                <w:bCs/>
                <w:color w:val="FFFFFF"/>
                <w:sz w:val="20"/>
                <w:szCs w:val="20"/>
              </w:rPr>
              <w:t> Industry sources</w:t>
            </w:r>
          </w:p>
        </w:tc>
        <w:tc>
          <w:tcPr>
            <w:tcW w:w="2995" w:type="dxa"/>
            <w:shd w:val="clear" w:color="auto" w:fill="B7B7E2"/>
            <w:tcMar>
              <w:top w:w="0" w:type="dxa"/>
              <w:left w:w="108" w:type="dxa"/>
              <w:bottom w:w="0" w:type="dxa"/>
              <w:right w:w="108" w:type="dxa"/>
            </w:tcMar>
            <w:hideMark/>
          </w:tcPr>
          <w:p w14:paraId="05224579" w14:textId="77777777" w:rsidR="007E52A5" w:rsidRPr="00100F0A" w:rsidRDefault="007E52A5" w:rsidP="004E3BDC">
            <w:pPr>
              <w:spacing w:after="144"/>
              <w:rPr>
                <w:rFonts w:eastAsia="Times New Roman" w:cs="Times New Roman"/>
                <w:sz w:val="20"/>
                <w:szCs w:val="20"/>
              </w:rPr>
            </w:pPr>
            <w:r w:rsidRPr="00100F0A">
              <w:rPr>
                <w:rFonts w:eastAsia="Times New Roman" w:cs="Times New Roman"/>
                <w:b/>
                <w:bCs/>
                <w:color w:val="FFFFFF"/>
                <w:sz w:val="20"/>
                <w:szCs w:val="20"/>
              </w:rPr>
              <w:t> Considerations</w:t>
            </w:r>
          </w:p>
        </w:tc>
        <w:tc>
          <w:tcPr>
            <w:tcW w:w="2552" w:type="dxa"/>
            <w:shd w:val="clear" w:color="auto" w:fill="B7B7E2"/>
            <w:tcMar>
              <w:top w:w="0" w:type="dxa"/>
              <w:left w:w="108" w:type="dxa"/>
              <w:bottom w:w="0" w:type="dxa"/>
              <w:right w:w="108" w:type="dxa"/>
            </w:tcMar>
            <w:hideMark/>
          </w:tcPr>
          <w:p w14:paraId="0ECFF02D" w14:textId="77777777" w:rsidR="007E52A5" w:rsidRPr="00100F0A" w:rsidRDefault="007E52A5" w:rsidP="004E3BDC">
            <w:pPr>
              <w:spacing w:after="144"/>
              <w:rPr>
                <w:rFonts w:eastAsia="Times New Roman" w:cs="Times New Roman"/>
                <w:sz w:val="20"/>
                <w:szCs w:val="20"/>
              </w:rPr>
            </w:pPr>
            <w:r w:rsidRPr="00100F0A">
              <w:rPr>
                <w:rFonts w:eastAsia="Times New Roman" w:cs="Times New Roman"/>
                <w:b/>
                <w:bCs/>
                <w:color w:val="FFFFFF"/>
                <w:sz w:val="20"/>
                <w:szCs w:val="20"/>
              </w:rPr>
              <w:t> Comments</w:t>
            </w:r>
          </w:p>
        </w:tc>
        <w:tc>
          <w:tcPr>
            <w:tcW w:w="2360" w:type="dxa"/>
            <w:shd w:val="clear" w:color="auto" w:fill="B7B7E2"/>
            <w:tcMar>
              <w:top w:w="0" w:type="dxa"/>
              <w:left w:w="108" w:type="dxa"/>
              <w:bottom w:w="0" w:type="dxa"/>
              <w:right w:w="108" w:type="dxa"/>
            </w:tcMar>
            <w:hideMark/>
          </w:tcPr>
          <w:p w14:paraId="5A3DB12F" w14:textId="77777777" w:rsidR="007E52A5" w:rsidRPr="00100F0A" w:rsidRDefault="007E52A5" w:rsidP="004E3BDC">
            <w:pPr>
              <w:spacing w:after="144"/>
              <w:rPr>
                <w:rFonts w:eastAsia="Times New Roman" w:cs="Times New Roman"/>
                <w:sz w:val="20"/>
                <w:szCs w:val="20"/>
              </w:rPr>
            </w:pPr>
            <w:r w:rsidRPr="00100F0A">
              <w:rPr>
                <w:rFonts w:eastAsia="Times New Roman" w:cs="Times New Roman"/>
                <w:b/>
                <w:bCs/>
                <w:color w:val="FFFFFF"/>
                <w:sz w:val="20"/>
                <w:szCs w:val="20"/>
              </w:rPr>
              <w:t> Approach</w:t>
            </w:r>
          </w:p>
        </w:tc>
      </w:tr>
      <w:tr w:rsidR="00F23228" w:rsidRPr="00100F0A" w14:paraId="394C9728" w14:textId="77777777" w:rsidTr="00F23228">
        <w:trPr>
          <w:trHeight w:val="2014"/>
        </w:trPr>
        <w:tc>
          <w:tcPr>
            <w:tcW w:w="1106" w:type="dxa"/>
            <w:tcMar>
              <w:top w:w="0" w:type="dxa"/>
              <w:left w:w="108" w:type="dxa"/>
              <w:bottom w:w="0" w:type="dxa"/>
              <w:right w:w="108" w:type="dxa"/>
            </w:tcMar>
            <w:hideMark/>
          </w:tcPr>
          <w:p w14:paraId="358F4D2A" w14:textId="31D37607" w:rsidR="007E52A5" w:rsidRPr="00100F0A" w:rsidRDefault="007E52A5" w:rsidP="007E52A5">
            <w:pPr>
              <w:rPr>
                <w:color w:val="000000"/>
                <w:sz w:val="20"/>
              </w:rPr>
            </w:pPr>
            <w:r w:rsidRPr="00100F0A">
              <w:rPr>
                <w:color w:val="000000"/>
                <w:sz w:val="20"/>
              </w:rPr>
              <w:t>Aluminium smelting</w:t>
            </w:r>
          </w:p>
        </w:tc>
        <w:tc>
          <w:tcPr>
            <w:tcW w:w="2995" w:type="dxa"/>
            <w:tcMar>
              <w:top w:w="0" w:type="dxa"/>
              <w:left w:w="108" w:type="dxa"/>
              <w:bottom w:w="0" w:type="dxa"/>
              <w:right w:w="108" w:type="dxa"/>
            </w:tcMar>
          </w:tcPr>
          <w:p w14:paraId="0B4D3FDA" w14:textId="35F0A183" w:rsidR="007E52A5" w:rsidRPr="00100F0A" w:rsidRDefault="00BD4796" w:rsidP="004E3BDC">
            <w:pPr>
              <w:spacing w:after="60"/>
              <w:rPr>
                <w:rFonts w:eastAsia="Times New Roman" w:cs="Times New Roman"/>
                <w:sz w:val="20"/>
                <w:szCs w:val="20"/>
              </w:rPr>
            </w:pPr>
            <w:r w:rsidRPr="00100F0A">
              <w:rPr>
                <w:rFonts w:eastAsia="Times New Roman" w:cs="Times New Roman"/>
                <w:sz w:val="20"/>
                <w:szCs w:val="20"/>
              </w:rPr>
              <w:t xml:space="preserve">No specific pre-existing projections were identified, although SPL is produced proportionate to </w:t>
            </w:r>
            <w:r w:rsidR="00223843">
              <w:rPr>
                <w:rFonts w:eastAsia="Times New Roman" w:cs="Times New Roman"/>
                <w:sz w:val="20"/>
                <w:szCs w:val="20"/>
              </w:rPr>
              <w:t>aluminium</w:t>
            </w:r>
            <w:r w:rsidRPr="00100F0A">
              <w:rPr>
                <w:rFonts w:eastAsia="Times New Roman" w:cs="Times New Roman"/>
                <w:sz w:val="20"/>
                <w:szCs w:val="20"/>
              </w:rPr>
              <w:t xml:space="preserve"> production</w:t>
            </w:r>
            <w:r w:rsidR="00F23228" w:rsidRPr="00100F0A">
              <w:rPr>
                <w:rFonts w:eastAsia="Times New Roman" w:cs="Times New Roman"/>
                <w:sz w:val="20"/>
                <w:szCs w:val="20"/>
              </w:rPr>
              <w:t>. DISS 2017 provide</w:t>
            </w:r>
            <w:r w:rsidRPr="00100F0A">
              <w:rPr>
                <w:rFonts w:eastAsia="Times New Roman" w:cs="Times New Roman"/>
                <w:sz w:val="20"/>
                <w:szCs w:val="20"/>
              </w:rPr>
              <w:t xml:space="preserve"> historical trends and short-term future projections </w:t>
            </w:r>
            <w:r w:rsidR="00F23228" w:rsidRPr="00100F0A">
              <w:rPr>
                <w:rFonts w:eastAsia="Times New Roman" w:cs="Times New Roman"/>
                <w:sz w:val="20"/>
                <w:szCs w:val="20"/>
              </w:rPr>
              <w:t xml:space="preserve">of </w:t>
            </w:r>
            <w:r w:rsidR="00223843">
              <w:rPr>
                <w:rFonts w:eastAsia="Times New Roman" w:cs="Times New Roman"/>
                <w:sz w:val="20"/>
                <w:szCs w:val="20"/>
              </w:rPr>
              <w:t>aluminium</w:t>
            </w:r>
            <w:r w:rsidR="00F23228" w:rsidRPr="00100F0A">
              <w:rPr>
                <w:rFonts w:eastAsia="Times New Roman" w:cs="Times New Roman"/>
                <w:sz w:val="20"/>
                <w:szCs w:val="20"/>
              </w:rPr>
              <w:t xml:space="preserve"> production.</w:t>
            </w:r>
          </w:p>
          <w:p w14:paraId="15FC09F4" w14:textId="6B70F5A7" w:rsidR="00F23228" w:rsidRPr="00100F0A" w:rsidRDefault="00F23228" w:rsidP="004E3BDC">
            <w:pPr>
              <w:spacing w:after="60"/>
              <w:rPr>
                <w:rFonts w:eastAsia="Times New Roman" w:cs="Times New Roman"/>
                <w:sz w:val="20"/>
                <w:szCs w:val="20"/>
              </w:rPr>
            </w:pPr>
            <w:r w:rsidRPr="00100F0A">
              <w:rPr>
                <w:rFonts w:eastAsia="Times New Roman" w:cs="Times New Roman"/>
                <w:sz w:val="20"/>
                <w:szCs w:val="20"/>
              </w:rPr>
              <w:t xml:space="preserve">Projections depend </w:t>
            </w:r>
            <w:r w:rsidR="005E0EFD" w:rsidRPr="00100F0A">
              <w:rPr>
                <w:rFonts w:eastAsia="Times New Roman" w:cs="Times New Roman"/>
                <w:sz w:val="20"/>
                <w:szCs w:val="20"/>
              </w:rPr>
              <w:t xml:space="preserve">in part </w:t>
            </w:r>
            <w:r w:rsidRPr="00100F0A">
              <w:rPr>
                <w:rFonts w:eastAsia="Times New Roman" w:cs="Times New Roman"/>
                <w:sz w:val="20"/>
                <w:szCs w:val="20"/>
              </w:rPr>
              <w:t xml:space="preserve">on </w:t>
            </w:r>
            <w:r w:rsidR="005E0EFD" w:rsidRPr="00100F0A">
              <w:rPr>
                <w:rFonts w:eastAsia="Times New Roman" w:cs="Times New Roman"/>
                <w:sz w:val="20"/>
                <w:szCs w:val="20"/>
              </w:rPr>
              <w:t>regulators approach to</w:t>
            </w:r>
            <w:r w:rsidRPr="00100F0A">
              <w:rPr>
                <w:rFonts w:eastAsia="Times New Roman" w:cs="Times New Roman"/>
                <w:sz w:val="20"/>
                <w:szCs w:val="20"/>
              </w:rPr>
              <w:t xml:space="preserve"> </w:t>
            </w:r>
            <w:r w:rsidR="005E0EFD" w:rsidRPr="00100F0A">
              <w:rPr>
                <w:rFonts w:eastAsia="Times New Roman" w:cs="Times New Roman"/>
                <w:sz w:val="20"/>
                <w:szCs w:val="20"/>
              </w:rPr>
              <w:t xml:space="preserve">requiring </w:t>
            </w:r>
            <w:r w:rsidRPr="00100F0A">
              <w:rPr>
                <w:rFonts w:eastAsia="Times New Roman" w:cs="Times New Roman"/>
                <w:sz w:val="20"/>
                <w:szCs w:val="20"/>
              </w:rPr>
              <w:t xml:space="preserve">clearance of SPL onsite storages, </w:t>
            </w:r>
            <w:r w:rsidR="005E0EFD" w:rsidRPr="00100F0A">
              <w:rPr>
                <w:rFonts w:eastAsia="Times New Roman" w:cs="Times New Roman"/>
                <w:sz w:val="20"/>
                <w:szCs w:val="20"/>
              </w:rPr>
              <w:t xml:space="preserve">from </w:t>
            </w:r>
            <w:r w:rsidRPr="00100F0A">
              <w:rPr>
                <w:rFonts w:eastAsia="Times New Roman" w:cs="Times New Roman"/>
                <w:sz w:val="20"/>
                <w:szCs w:val="20"/>
              </w:rPr>
              <w:t>she</w:t>
            </w:r>
            <w:r w:rsidR="005E0EFD" w:rsidRPr="00100F0A">
              <w:rPr>
                <w:rFonts w:eastAsia="Times New Roman" w:cs="Times New Roman"/>
                <w:sz w:val="20"/>
                <w:szCs w:val="20"/>
              </w:rPr>
              <w:t>ds onsite</w:t>
            </w:r>
            <w:r w:rsidR="00223843">
              <w:rPr>
                <w:rFonts w:eastAsia="Times New Roman" w:cs="Times New Roman"/>
                <w:sz w:val="20"/>
                <w:szCs w:val="20"/>
              </w:rPr>
              <w:t>.</w:t>
            </w:r>
          </w:p>
        </w:tc>
        <w:tc>
          <w:tcPr>
            <w:tcW w:w="2552" w:type="dxa"/>
            <w:tcMar>
              <w:top w:w="0" w:type="dxa"/>
              <w:left w:w="108" w:type="dxa"/>
              <w:bottom w:w="0" w:type="dxa"/>
              <w:right w:w="108" w:type="dxa"/>
            </w:tcMar>
          </w:tcPr>
          <w:p w14:paraId="283955AE" w14:textId="678D0A6A" w:rsidR="00BD4796" w:rsidRPr="00100F0A" w:rsidRDefault="007E52A5" w:rsidP="004E3BDC">
            <w:pPr>
              <w:spacing w:after="60"/>
              <w:rPr>
                <w:rFonts w:eastAsia="Times New Roman" w:cs="Times New Roman"/>
                <w:sz w:val="20"/>
                <w:szCs w:val="20"/>
              </w:rPr>
            </w:pPr>
            <w:r w:rsidRPr="00100F0A">
              <w:rPr>
                <w:rFonts w:eastAsia="Times New Roman" w:cs="Times New Roman"/>
                <w:sz w:val="20"/>
                <w:szCs w:val="20"/>
              </w:rPr>
              <w:t>Aust</w:t>
            </w:r>
            <w:r w:rsidR="00223843">
              <w:rPr>
                <w:rFonts w:eastAsia="Times New Roman" w:cs="Times New Roman"/>
                <w:sz w:val="20"/>
                <w:szCs w:val="20"/>
              </w:rPr>
              <w:t>ralian</w:t>
            </w:r>
            <w:r w:rsidRPr="00100F0A">
              <w:rPr>
                <w:rFonts w:eastAsia="Times New Roman" w:cs="Times New Roman"/>
                <w:sz w:val="20"/>
                <w:szCs w:val="20"/>
              </w:rPr>
              <w:t xml:space="preserve"> </w:t>
            </w:r>
            <w:r w:rsidR="00223843">
              <w:rPr>
                <w:rFonts w:eastAsia="Times New Roman" w:cs="Times New Roman"/>
                <w:sz w:val="20"/>
                <w:szCs w:val="20"/>
              </w:rPr>
              <w:t>aluminium</w:t>
            </w:r>
            <w:r w:rsidR="00BD4796" w:rsidRPr="00100F0A">
              <w:rPr>
                <w:rFonts w:eastAsia="Times New Roman" w:cs="Times New Roman"/>
                <w:sz w:val="20"/>
                <w:szCs w:val="20"/>
              </w:rPr>
              <w:t xml:space="preserve"> industry </w:t>
            </w:r>
            <w:r w:rsidRPr="00100F0A">
              <w:rPr>
                <w:rFonts w:eastAsia="Times New Roman" w:cs="Times New Roman"/>
                <w:sz w:val="20"/>
                <w:szCs w:val="20"/>
              </w:rPr>
              <w:t>outlook (DISS 2017) not as dire as JCP 2012 predicted (used in 2015 projections)</w:t>
            </w:r>
            <w:r w:rsidR="00BD4796" w:rsidRPr="00100F0A">
              <w:rPr>
                <w:rFonts w:eastAsia="Times New Roman" w:cs="Times New Roman"/>
                <w:sz w:val="20"/>
                <w:szCs w:val="20"/>
              </w:rPr>
              <w:t xml:space="preserve"> - short-term fluctuations indicated, long-term slow decline.</w:t>
            </w:r>
          </w:p>
          <w:p w14:paraId="2EEC39A4" w14:textId="4CD7469E" w:rsidR="00BD4796" w:rsidRPr="00100F0A" w:rsidRDefault="00BD4796" w:rsidP="004E3BDC">
            <w:pPr>
              <w:spacing w:after="60"/>
              <w:rPr>
                <w:rFonts w:eastAsia="Times New Roman" w:cs="Times New Roman"/>
                <w:sz w:val="20"/>
                <w:szCs w:val="20"/>
              </w:rPr>
            </w:pPr>
            <w:r w:rsidRPr="00100F0A">
              <w:rPr>
                <w:rFonts w:eastAsia="Times New Roman" w:cs="Times New Roman"/>
                <w:sz w:val="20"/>
                <w:szCs w:val="20"/>
              </w:rPr>
              <w:t>No relevant trend data; tracking data does not reflect SPL arisings due to the practice of on-site storages.</w:t>
            </w:r>
          </w:p>
        </w:tc>
        <w:tc>
          <w:tcPr>
            <w:tcW w:w="2360" w:type="dxa"/>
            <w:tcMar>
              <w:top w:w="0" w:type="dxa"/>
              <w:left w:w="108" w:type="dxa"/>
              <w:bottom w:w="0" w:type="dxa"/>
              <w:right w:w="108" w:type="dxa"/>
            </w:tcMar>
            <w:hideMark/>
          </w:tcPr>
          <w:p w14:paraId="7539F02E" w14:textId="426A5E59" w:rsidR="007E52A5" w:rsidRPr="00100F0A" w:rsidRDefault="00BD4796" w:rsidP="004E3BDC">
            <w:pPr>
              <w:spacing w:after="60"/>
              <w:rPr>
                <w:rFonts w:eastAsia="Times New Roman" w:cs="Times New Roman"/>
                <w:sz w:val="20"/>
                <w:szCs w:val="20"/>
              </w:rPr>
            </w:pPr>
            <w:r w:rsidRPr="00100F0A">
              <w:rPr>
                <w:rFonts w:eastAsia="Times New Roman" w:cs="Times New Roman"/>
                <w:sz w:val="20"/>
                <w:szCs w:val="20"/>
              </w:rPr>
              <w:t>Informed by DISS 2017-reported for last decade &amp; long-term commentary</w:t>
            </w:r>
          </w:p>
          <w:p w14:paraId="4E59097E" w14:textId="26D28D0C" w:rsidR="00BD4796" w:rsidRPr="00100F0A" w:rsidRDefault="00E4691B" w:rsidP="004E3BDC">
            <w:pPr>
              <w:spacing w:after="60"/>
              <w:rPr>
                <w:rFonts w:eastAsia="Times New Roman" w:cs="Times New Roman"/>
                <w:sz w:val="20"/>
                <w:szCs w:val="20"/>
              </w:rPr>
            </w:pPr>
            <w:r w:rsidRPr="00100F0A">
              <w:rPr>
                <w:rFonts w:eastAsia="Times New Roman" w:cs="Times New Roman"/>
                <w:sz w:val="20"/>
                <w:szCs w:val="20"/>
              </w:rPr>
              <w:t>High-case additional: assume release of all onsite stored volumes to the market over 10 y</w:t>
            </w:r>
            <w:r w:rsidR="00100F0A" w:rsidRPr="00100F0A">
              <w:rPr>
                <w:rFonts w:eastAsia="Times New Roman" w:cs="Times New Roman"/>
                <w:sz w:val="20"/>
                <w:szCs w:val="20"/>
              </w:rPr>
              <w:t>ea</w:t>
            </w:r>
            <w:r w:rsidRPr="00100F0A">
              <w:rPr>
                <w:rFonts w:eastAsia="Times New Roman" w:cs="Times New Roman"/>
                <w:sz w:val="20"/>
                <w:szCs w:val="20"/>
              </w:rPr>
              <w:t>rs</w:t>
            </w:r>
          </w:p>
          <w:p w14:paraId="54B1851D" w14:textId="621375E5" w:rsidR="00F23228" w:rsidRPr="00100F0A" w:rsidRDefault="00F23228" w:rsidP="004E3BDC">
            <w:pPr>
              <w:spacing w:after="60"/>
              <w:rPr>
                <w:rFonts w:eastAsia="Times New Roman" w:cs="Times New Roman"/>
                <w:sz w:val="20"/>
                <w:szCs w:val="20"/>
              </w:rPr>
            </w:pPr>
            <w:r w:rsidRPr="00100F0A">
              <w:rPr>
                <w:rFonts w:eastAsia="Times New Roman" w:cs="Times New Roman"/>
                <w:sz w:val="20"/>
                <w:szCs w:val="20"/>
              </w:rPr>
              <w:t>Low-case: assume original outlook reported by JCP 2012 is correct plus zero storage releases</w:t>
            </w:r>
          </w:p>
        </w:tc>
      </w:tr>
    </w:tbl>
    <w:p w14:paraId="125EF154" w14:textId="52596D1F" w:rsidR="00223843" w:rsidRDefault="00223843" w:rsidP="00677328">
      <w:pPr>
        <w:pStyle w:val="BodyText"/>
        <w:rPr>
          <w:b/>
        </w:rPr>
      </w:pPr>
    </w:p>
    <w:p w14:paraId="4BBC1B9F" w14:textId="77777777" w:rsidR="00223843" w:rsidRDefault="00223843">
      <w:pPr>
        <w:rPr>
          <w:b/>
        </w:rPr>
      </w:pPr>
      <w:r>
        <w:rPr>
          <w:b/>
        </w:rPr>
        <w:br w:type="page"/>
      </w:r>
    </w:p>
    <w:p w14:paraId="5F5CD963" w14:textId="4FF815EF" w:rsidR="00677328" w:rsidRPr="00100F0A" w:rsidRDefault="00677328" w:rsidP="00677328">
      <w:pPr>
        <w:pStyle w:val="Caption"/>
      </w:pPr>
      <w:bookmarkStart w:id="162" w:name="_Toc13225630"/>
      <w:r w:rsidRPr="00100F0A">
        <w:t xml:space="preserve">Table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11</w:t>
      </w:r>
      <w:r w:rsidR="00B404A6" w:rsidRPr="00100F0A">
        <w:rPr>
          <w:noProof/>
        </w:rPr>
        <w:fldChar w:fldCharType="end"/>
      </w:r>
      <w:r w:rsidR="00C14F18">
        <w:rPr>
          <w:noProof/>
        </w:rPr>
        <w:t>:</w:t>
      </w:r>
      <w:r w:rsidRPr="00100F0A">
        <w:tab/>
        <w:t>Best, high and low projected rates of change for Inorganic fluorine (</w:t>
      </w:r>
      <w:r w:rsidR="008637BA">
        <w:t>SPL</w:t>
      </w:r>
      <w:r w:rsidRPr="00100F0A">
        <w:t>) waste to 2037</w:t>
      </w:r>
      <w:bookmarkEnd w:id="162"/>
    </w:p>
    <w:tbl>
      <w:tblPr>
        <w:tblW w:w="9062" w:type="dxa"/>
        <w:tblCellMar>
          <w:left w:w="0" w:type="dxa"/>
          <w:right w:w="0" w:type="dxa"/>
        </w:tblCellMar>
        <w:tblLook w:val="04A0" w:firstRow="1" w:lastRow="0" w:firstColumn="1" w:lastColumn="0" w:noHBand="0" w:noVBand="1"/>
      </w:tblPr>
      <w:tblGrid>
        <w:gridCol w:w="586"/>
        <w:gridCol w:w="1105"/>
        <w:gridCol w:w="4395"/>
        <w:gridCol w:w="708"/>
        <w:gridCol w:w="426"/>
        <w:gridCol w:w="708"/>
        <w:gridCol w:w="426"/>
        <w:gridCol w:w="708"/>
      </w:tblGrid>
      <w:tr w:rsidR="00C93F9D" w:rsidRPr="00100F0A" w14:paraId="07BFC4AF" w14:textId="1ED25C47" w:rsidTr="00C93F9D">
        <w:trPr>
          <w:tblHeader/>
        </w:trPr>
        <w:tc>
          <w:tcPr>
            <w:tcW w:w="586" w:type="dxa"/>
            <w:tcBorders>
              <w:top w:val="single" w:sz="8" w:space="0" w:color="B7B7E2"/>
              <w:left w:val="single" w:sz="8" w:space="0" w:color="B7B7E2"/>
              <w:bottom w:val="single" w:sz="8" w:space="0" w:color="B7B7E2"/>
              <w:right w:val="single" w:sz="8" w:space="0" w:color="B7B7E2"/>
            </w:tcBorders>
            <w:shd w:val="clear" w:color="auto" w:fill="B7B7E2"/>
            <w:tcMar>
              <w:top w:w="0" w:type="dxa"/>
              <w:left w:w="108" w:type="dxa"/>
              <w:bottom w:w="0" w:type="dxa"/>
              <w:right w:w="108" w:type="dxa"/>
            </w:tcMar>
            <w:vAlign w:val="center"/>
            <w:hideMark/>
          </w:tcPr>
          <w:p w14:paraId="7AB1E85B" w14:textId="77777777" w:rsidR="00C93F9D" w:rsidRPr="00100F0A" w:rsidRDefault="00C93F9D" w:rsidP="00C93F9D">
            <w:pPr>
              <w:spacing w:after="144"/>
              <w:rPr>
                <w:rFonts w:eastAsia="Times New Roman" w:cs="Times New Roman"/>
              </w:rPr>
            </w:pPr>
            <w:r w:rsidRPr="00100F0A">
              <w:rPr>
                <w:rFonts w:eastAsia="Times New Roman" w:cs="Times New Roman"/>
                <w:b/>
                <w:bCs/>
                <w:color w:val="FFFFFF"/>
                <w:sz w:val="20"/>
                <w:szCs w:val="20"/>
              </w:rPr>
              <w:t> </w:t>
            </w:r>
          </w:p>
        </w:tc>
        <w:tc>
          <w:tcPr>
            <w:tcW w:w="1105"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162BE857" w14:textId="77777777" w:rsidR="00C93F9D" w:rsidRPr="00100F0A" w:rsidRDefault="00C93F9D" w:rsidP="00C93F9D">
            <w:pPr>
              <w:spacing w:after="144"/>
              <w:rPr>
                <w:rFonts w:eastAsia="Times New Roman" w:cs="Times New Roman"/>
              </w:rPr>
            </w:pPr>
            <w:r w:rsidRPr="00100F0A">
              <w:rPr>
                <w:rFonts w:eastAsia="Times New Roman" w:cs="Times New Roman"/>
                <w:b/>
                <w:bCs/>
                <w:color w:val="FFFFFF"/>
                <w:sz w:val="20"/>
                <w:szCs w:val="20"/>
              </w:rPr>
              <w:t> Applies to</w:t>
            </w:r>
          </w:p>
        </w:tc>
        <w:tc>
          <w:tcPr>
            <w:tcW w:w="4395"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2D7D200F" w14:textId="77777777" w:rsidR="00C93F9D" w:rsidRPr="00100F0A" w:rsidRDefault="00C93F9D" w:rsidP="00C93F9D">
            <w:pPr>
              <w:spacing w:after="144"/>
              <w:rPr>
                <w:rFonts w:eastAsia="Times New Roman" w:cs="Times New Roman"/>
              </w:rPr>
            </w:pPr>
            <w:r w:rsidRPr="00100F0A">
              <w:rPr>
                <w:rFonts w:eastAsia="Times New Roman" w:cs="Times New Roman"/>
                <w:b/>
                <w:bCs/>
                <w:color w:val="FFFFFF"/>
                <w:sz w:val="20"/>
                <w:szCs w:val="20"/>
              </w:rPr>
              <w:t> Approach</w:t>
            </w:r>
          </w:p>
        </w:tc>
        <w:tc>
          <w:tcPr>
            <w:tcW w:w="708"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344399BF" w14:textId="34DB1FB2" w:rsidR="00C93F9D" w:rsidRPr="00100F0A" w:rsidRDefault="00C93F9D" w:rsidP="006872A9">
            <w:pPr>
              <w:spacing w:after="144"/>
              <w:jc w:val="center"/>
              <w:rPr>
                <w:rFonts w:eastAsia="Times New Roman" w:cs="Times New Roman"/>
                <w:sz w:val="20"/>
                <w:szCs w:val="20"/>
              </w:rPr>
            </w:pPr>
            <w:r w:rsidRPr="00100F0A">
              <w:rPr>
                <w:rFonts w:eastAsia="Times New Roman" w:cs="Times New Roman"/>
                <w:b/>
                <w:bCs/>
                <w:color w:val="FFFFFF"/>
                <w:sz w:val="20"/>
                <w:szCs w:val="20"/>
              </w:rPr>
              <w:t>2018</w:t>
            </w:r>
          </w:p>
        </w:tc>
        <w:tc>
          <w:tcPr>
            <w:tcW w:w="426" w:type="dxa"/>
            <w:tcBorders>
              <w:top w:val="single" w:sz="8" w:space="0" w:color="B7B7E2"/>
              <w:left w:val="nil"/>
              <w:bottom w:val="single" w:sz="8" w:space="0" w:color="B7B7E2"/>
              <w:right w:val="single" w:sz="8" w:space="0" w:color="B7B7E2"/>
            </w:tcBorders>
            <w:shd w:val="clear" w:color="auto" w:fill="B7B7E2"/>
          </w:tcPr>
          <w:p w14:paraId="206DF401" w14:textId="77777777" w:rsidR="00C93F9D" w:rsidRPr="00100F0A" w:rsidRDefault="00C93F9D" w:rsidP="00B30B8D">
            <w:pPr>
              <w:spacing w:after="144"/>
              <w:jc w:val="center"/>
              <w:rPr>
                <w:rFonts w:eastAsia="Times New Roman" w:cs="Times New Roman"/>
                <w:b/>
                <w:bCs/>
                <w:color w:val="FFFFFF" w:themeColor="background1"/>
                <w:sz w:val="20"/>
                <w:szCs w:val="20"/>
              </w:rPr>
            </w:pPr>
            <w:r w:rsidRPr="00100F0A">
              <w:rPr>
                <w:color w:val="FFFFFF" w:themeColor="background1"/>
                <w:sz w:val="20"/>
              </w:rPr>
              <w:t>...</w:t>
            </w:r>
          </w:p>
        </w:tc>
        <w:tc>
          <w:tcPr>
            <w:tcW w:w="708" w:type="dxa"/>
            <w:tcBorders>
              <w:top w:val="single" w:sz="8" w:space="0" w:color="B7B7E2"/>
              <w:left w:val="nil"/>
              <w:bottom w:val="single" w:sz="8" w:space="0" w:color="B7B7E2"/>
              <w:right w:val="single" w:sz="8" w:space="0" w:color="B7B7E2"/>
            </w:tcBorders>
            <w:shd w:val="clear" w:color="auto" w:fill="B7B7E2"/>
          </w:tcPr>
          <w:p w14:paraId="35368602" w14:textId="7A0658DC" w:rsidR="00C93F9D" w:rsidRPr="00100F0A" w:rsidRDefault="00C93F9D" w:rsidP="006872A9">
            <w:pPr>
              <w:spacing w:after="144"/>
              <w:jc w:val="center"/>
              <w:rPr>
                <w:rFonts w:eastAsia="Times New Roman" w:cs="Times New Roman"/>
                <w:b/>
                <w:bCs/>
                <w:color w:val="FFFFFF" w:themeColor="background1"/>
                <w:sz w:val="20"/>
                <w:szCs w:val="20"/>
              </w:rPr>
            </w:pPr>
            <w:r w:rsidRPr="00100F0A">
              <w:rPr>
                <w:rFonts w:eastAsia="Times New Roman" w:cs="Times New Roman"/>
                <w:b/>
                <w:bCs/>
                <w:color w:val="FFFFFF" w:themeColor="background1"/>
                <w:sz w:val="20"/>
                <w:szCs w:val="20"/>
              </w:rPr>
              <w:t>2027</w:t>
            </w:r>
          </w:p>
        </w:tc>
        <w:tc>
          <w:tcPr>
            <w:tcW w:w="426" w:type="dxa"/>
            <w:tcBorders>
              <w:top w:val="single" w:sz="8" w:space="0" w:color="B7B7E2"/>
              <w:left w:val="nil"/>
              <w:bottom w:val="single" w:sz="8" w:space="0" w:color="B7B7E2"/>
              <w:right w:val="single" w:sz="8" w:space="0" w:color="B7B7E2"/>
            </w:tcBorders>
            <w:shd w:val="clear" w:color="auto" w:fill="B7B7E2"/>
          </w:tcPr>
          <w:p w14:paraId="03281C7D" w14:textId="5BD7555F" w:rsidR="00C93F9D" w:rsidRPr="00100F0A" w:rsidRDefault="00C93F9D" w:rsidP="006872A9">
            <w:pPr>
              <w:spacing w:after="144"/>
              <w:jc w:val="center"/>
              <w:rPr>
                <w:rFonts w:eastAsia="Times New Roman" w:cs="Times New Roman"/>
                <w:b/>
                <w:bCs/>
                <w:color w:val="FFFFFF" w:themeColor="background1"/>
                <w:sz w:val="20"/>
                <w:szCs w:val="20"/>
              </w:rPr>
            </w:pPr>
            <w:r w:rsidRPr="00100F0A">
              <w:rPr>
                <w:color w:val="FFFFFF" w:themeColor="background1"/>
                <w:sz w:val="20"/>
              </w:rPr>
              <w:t>...</w:t>
            </w:r>
          </w:p>
        </w:tc>
        <w:tc>
          <w:tcPr>
            <w:tcW w:w="708" w:type="dxa"/>
            <w:tcBorders>
              <w:top w:val="single" w:sz="8" w:space="0" w:color="B7B7E2"/>
              <w:left w:val="nil"/>
              <w:bottom w:val="single" w:sz="8" w:space="0" w:color="B7B7E2"/>
              <w:right w:val="single" w:sz="8" w:space="0" w:color="B7B7E2"/>
            </w:tcBorders>
            <w:shd w:val="clear" w:color="auto" w:fill="B7B7E2"/>
          </w:tcPr>
          <w:p w14:paraId="072AE12B" w14:textId="6EF2FC25" w:rsidR="00C93F9D" w:rsidRPr="00100F0A" w:rsidRDefault="00C93F9D" w:rsidP="006872A9">
            <w:pPr>
              <w:spacing w:after="144"/>
              <w:jc w:val="center"/>
              <w:rPr>
                <w:rFonts w:eastAsia="Times New Roman" w:cs="Times New Roman"/>
                <w:b/>
                <w:bCs/>
                <w:color w:val="FFFFFF" w:themeColor="background1"/>
                <w:sz w:val="20"/>
                <w:szCs w:val="20"/>
              </w:rPr>
            </w:pPr>
            <w:r w:rsidRPr="00100F0A">
              <w:rPr>
                <w:rFonts w:eastAsia="Times New Roman" w:cs="Times New Roman"/>
                <w:b/>
                <w:bCs/>
                <w:color w:val="FFFFFF" w:themeColor="background1"/>
                <w:sz w:val="20"/>
                <w:szCs w:val="20"/>
              </w:rPr>
              <w:t>2037</w:t>
            </w:r>
          </w:p>
        </w:tc>
      </w:tr>
      <w:tr w:rsidR="00C93F9D" w:rsidRPr="00100F0A" w14:paraId="4F96A705" w14:textId="130CEC24" w:rsidTr="00C93F9D">
        <w:tc>
          <w:tcPr>
            <w:tcW w:w="9062" w:type="dxa"/>
            <w:gridSpan w:val="8"/>
            <w:tcBorders>
              <w:top w:val="single" w:sz="8" w:space="0" w:color="B7B7E2"/>
              <w:left w:val="single" w:sz="8" w:space="0" w:color="B7B7E2"/>
              <w:bottom w:val="dotted" w:sz="4" w:space="0" w:color="B7B7E2"/>
              <w:right w:val="single" w:sz="8" w:space="0" w:color="B7B7E2"/>
            </w:tcBorders>
            <w:tcMar>
              <w:top w:w="0" w:type="dxa"/>
              <w:left w:w="108" w:type="dxa"/>
              <w:bottom w:w="0" w:type="dxa"/>
              <w:right w:w="108" w:type="dxa"/>
            </w:tcMar>
          </w:tcPr>
          <w:p w14:paraId="71CBD96C" w14:textId="1BD9EEF3" w:rsidR="00C93F9D" w:rsidRPr="00100F0A" w:rsidRDefault="00C93F9D" w:rsidP="00B30B8D">
            <w:pPr>
              <w:spacing w:after="60"/>
              <w:rPr>
                <w:iCs/>
                <w:color w:val="4D4DB8"/>
                <w:sz w:val="20"/>
                <w:szCs w:val="18"/>
              </w:rPr>
            </w:pPr>
            <w:r w:rsidRPr="00100F0A">
              <w:rPr>
                <w:iCs/>
                <w:color w:val="4D4DB8"/>
                <w:sz w:val="20"/>
                <w:szCs w:val="18"/>
              </w:rPr>
              <w:t>Arisings</w:t>
            </w:r>
          </w:p>
        </w:tc>
      </w:tr>
      <w:tr w:rsidR="00C93F9D" w:rsidRPr="00100F0A" w14:paraId="07CA289B" w14:textId="3460F4DA" w:rsidTr="005F67D6">
        <w:tc>
          <w:tcPr>
            <w:tcW w:w="586" w:type="dxa"/>
            <w:tcBorders>
              <w:top w:val="single" w:sz="8" w:space="0" w:color="B7B7E2"/>
              <w:left w:val="single" w:sz="8" w:space="0" w:color="B7B7E2"/>
              <w:bottom w:val="dotted" w:sz="4" w:space="0" w:color="B7B7E2"/>
              <w:right w:val="single" w:sz="8" w:space="0" w:color="B7B7E2"/>
            </w:tcBorders>
            <w:tcMar>
              <w:top w:w="0" w:type="dxa"/>
              <w:left w:w="108" w:type="dxa"/>
              <w:bottom w:w="0" w:type="dxa"/>
              <w:right w:w="108" w:type="dxa"/>
            </w:tcMar>
            <w:hideMark/>
          </w:tcPr>
          <w:p w14:paraId="62E92BC3" w14:textId="77777777" w:rsidR="00C93F9D" w:rsidRPr="00100F0A" w:rsidRDefault="00C93F9D" w:rsidP="00C93F9D">
            <w:pPr>
              <w:spacing w:after="60"/>
              <w:rPr>
                <w:rFonts w:eastAsia="Times New Roman" w:cs="Times New Roman"/>
                <w:sz w:val="20"/>
              </w:rPr>
            </w:pPr>
            <w:r w:rsidRPr="00100F0A">
              <w:rPr>
                <w:sz w:val="20"/>
              </w:rPr>
              <w:t>Best</w:t>
            </w:r>
          </w:p>
        </w:tc>
        <w:tc>
          <w:tcPr>
            <w:tcW w:w="1105" w:type="dxa"/>
            <w:vMerge w:val="restart"/>
            <w:tcBorders>
              <w:top w:val="single" w:sz="8" w:space="0" w:color="B7B7E2"/>
              <w:left w:val="nil"/>
              <w:right w:val="single" w:sz="4" w:space="0" w:color="B7B7E2"/>
            </w:tcBorders>
            <w:tcMar>
              <w:top w:w="0" w:type="dxa"/>
              <w:left w:w="108" w:type="dxa"/>
              <w:bottom w:w="0" w:type="dxa"/>
              <w:right w:w="108" w:type="dxa"/>
            </w:tcMar>
            <w:vAlign w:val="center"/>
          </w:tcPr>
          <w:p w14:paraId="2640CEE7" w14:textId="491A86E8" w:rsidR="00C93F9D" w:rsidRPr="00100F0A" w:rsidRDefault="00C93F9D" w:rsidP="00C93F9D">
            <w:pPr>
              <w:spacing w:after="60"/>
              <w:rPr>
                <w:sz w:val="20"/>
              </w:rPr>
            </w:pPr>
            <w:r w:rsidRPr="00100F0A">
              <w:rPr>
                <w:sz w:val="20"/>
              </w:rPr>
              <w:t>NSW, Qld, Tas, Vic</w:t>
            </w:r>
          </w:p>
        </w:tc>
        <w:tc>
          <w:tcPr>
            <w:tcW w:w="4395" w:type="dxa"/>
            <w:tcBorders>
              <w:top w:val="single" w:sz="8" w:space="0" w:color="B7B7E2"/>
              <w:left w:val="single" w:sz="4" w:space="0" w:color="B7B7E2"/>
              <w:bottom w:val="dotted" w:sz="4" w:space="0" w:color="B7B7E2"/>
              <w:right w:val="single" w:sz="4" w:space="0" w:color="B7B7E2"/>
            </w:tcBorders>
            <w:tcMar>
              <w:top w:w="0" w:type="dxa"/>
              <w:left w:w="108" w:type="dxa"/>
              <w:bottom w:w="0" w:type="dxa"/>
              <w:right w:w="108" w:type="dxa"/>
            </w:tcMar>
          </w:tcPr>
          <w:p w14:paraId="1F4E3F73" w14:textId="66A21C26" w:rsidR="00C93F9D" w:rsidRPr="00100F0A" w:rsidRDefault="00C93F9D" w:rsidP="005F67D6">
            <w:pPr>
              <w:rPr>
                <w:rFonts w:eastAsia="Times New Roman" w:cs="Times New Roman"/>
                <w:sz w:val="20"/>
                <w:szCs w:val="20"/>
              </w:rPr>
            </w:pPr>
            <w:r w:rsidRPr="00100F0A">
              <w:rPr>
                <w:rFonts w:cs="Calibri"/>
                <w:color w:val="000000"/>
                <w:sz w:val="20"/>
                <w:szCs w:val="20"/>
              </w:rPr>
              <w:t>Slow Al industry decline in Aus</w:t>
            </w:r>
            <w:r w:rsidR="00223843">
              <w:rPr>
                <w:rFonts w:cs="Calibri"/>
                <w:color w:val="000000"/>
                <w:sz w:val="20"/>
                <w:szCs w:val="20"/>
              </w:rPr>
              <w:t>t</w:t>
            </w:r>
            <w:r w:rsidRPr="00100F0A">
              <w:rPr>
                <w:rFonts w:cs="Calibri"/>
                <w:color w:val="000000"/>
                <w:sz w:val="20"/>
                <w:szCs w:val="20"/>
              </w:rPr>
              <w:t>: -2%</w:t>
            </w:r>
          </w:p>
        </w:tc>
        <w:tc>
          <w:tcPr>
            <w:tcW w:w="708" w:type="dxa"/>
            <w:tcBorders>
              <w:top w:val="single" w:sz="8" w:space="0" w:color="B7B7E2"/>
              <w:left w:val="single" w:sz="4" w:space="0" w:color="B7B7E2"/>
              <w:bottom w:val="dotted" w:sz="4" w:space="0" w:color="B7B7E2"/>
              <w:right w:val="single" w:sz="8" w:space="0" w:color="B7B7E2"/>
            </w:tcBorders>
            <w:tcMar>
              <w:top w:w="0" w:type="dxa"/>
              <w:left w:w="108" w:type="dxa"/>
              <w:bottom w:w="0" w:type="dxa"/>
              <w:right w:w="108" w:type="dxa"/>
            </w:tcMar>
            <w:hideMark/>
          </w:tcPr>
          <w:p w14:paraId="17E4D5DA" w14:textId="1421DC06" w:rsidR="00C93F9D" w:rsidRPr="00100F0A" w:rsidRDefault="00C93F9D" w:rsidP="006872A9">
            <w:pPr>
              <w:jc w:val="center"/>
              <w:rPr>
                <w:rFonts w:eastAsia="Times New Roman" w:cs="Times New Roman"/>
                <w:sz w:val="20"/>
                <w:szCs w:val="20"/>
              </w:rPr>
            </w:pPr>
            <w:r w:rsidRPr="00100F0A">
              <w:rPr>
                <w:rFonts w:cs="Calibri"/>
                <w:bCs/>
                <w:sz w:val="20"/>
                <w:szCs w:val="20"/>
              </w:rPr>
              <w:t>-2.0%</w:t>
            </w:r>
          </w:p>
        </w:tc>
        <w:tc>
          <w:tcPr>
            <w:tcW w:w="426" w:type="dxa"/>
            <w:tcBorders>
              <w:top w:val="single" w:sz="8" w:space="0" w:color="B7B7E2"/>
              <w:left w:val="nil"/>
              <w:bottom w:val="dotted" w:sz="4" w:space="0" w:color="B7B7E2"/>
              <w:right w:val="single" w:sz="8" w:space="0" w:color="B7B7E2"/>
            </w:tcBorders>
          </w:tcPr>
          <w:p w14:paraId="40ECD314" w14:textId="77777777" w:rsidR="00C93F9D" w:rsidRPr="00100F0A" w:rsidRDefault="00C93F9D" w:rsidP="00B30B8D">
            <w:pPr>
              <w:jc w:val="center"/>
              <w:rPr>
                <w:rFonts w:eastAsia="Times New Roman" w:cs="Times New Roman"/>
                <w:sz w:val="20"/>
                <w:szCs w:val="20"/>
              </w:rPr>
            </w:pPr>
            <w:r w:rsidRPr="00100F0A">
              <w:rPr>
                <w:sz w:val="20"/>
                <w:szCs w:val="20"/>
              </w:rPr>
              <w:t>...</w:t>
            </w:r>
          </w:p>
        </w:tc>
        <w:tc>
          <w:tcPr>
            <w:tcW w:w="708" w:type="dxa"/>
            <w:tcBorders>
              <w:top w:val="single" w:sz="8" w:space="0" w:color="B7B7E2"/>
              <w:left w:val="nil"/>
              <w:bottom w:val="dotted" w:sz="4" w:space="0" w:color="B7B7E2"/>
              <w:right w:val="single" w:sz="8" w:space="0" w:color="B7B7E2"/>
            </w:tcBorders>
          </w:tcPr>
          <w:p w14:paraId="586A79A9" w14:textId="6B220B71" w:rsidR="00C93F9D" w:rsidRPr="00100F0A" w:rsidRDefault="00C93F9D" w:rsidP="006872A9">
            <w:pPr>
              <w:jc w:val="center"/>
              <w:rPr>
                <w:rFonts w:cs="Calibri"/>
                <w:bCs/>
                <w:color w:val="000000" w:themeColor="text1"/>
                <w:sz w:val="20"/>
                <w:szCs w:val="20"/>
              </w:rPr>
            </w:pPr>
            <w:r w:rsidRPr="00100F0A">
              <w:rPr>
                <w:rFonts w:cs="Calibri"/>
                <w:color w:val="000000" w:themeColor="text1"/>
                <w:sz w:val="20"/>
                <w:szCs w:val="20"/>
              </w:rPr>
              <w:t>-2.0%</w:t>
            </w:r>
          </w:p>
        </w:tc>
        <w:tc>
          <w:tcPr>
            <w:tcW w:w="426" w:type="dxa"/>
            <w:tcBorders>
              <w:top w:val="single" w:sz="8" w:space="0" w:color="B7B7E2"/>
              <w:left w:val="nil"/>
              <w:bottom w:val="dotted" w:sz="4" w:space="0" w:color="B7B7E2"/>
              <w:right w:val="single" w:sz="8" w:space="0" w:color="B7B7E2"/>
            </w:tcBorders>
          </w:tcPr>
          <w:p w14:paraId="156C580C" w14:textId="33F22F9C" w:rsidR="00C93F9D" w:rsidRPr="00100F0A" w:rsidRDefault="00C93F9D" w:rsidP="00B30B8D">
            <w:pPr>
              <w:jc w:val="center"/>
              <w:rPr>
                <w:rFonts w:cs="Calibri"/>
                <w:color w:val="000000" w:themeColor="text1"/>
                <w:sz w:val="20"/>
                <w:szCs w:val="20"/>
              </w:rPr>
            </w:pPr>
            <w:r w:rsidRPr="00100F0A">
              <w:rPr>
                <w:sz w:val="20"/>
                <w:szCs w:val="20"/>
              </w:rPr>
              <w:t>...</w:t>
            </w:r>
          </w:p>
        </w:tc>
        <w:tc>
          <w:tcPr>
            <w:tcW w:w="708" w:type="dxa"/>
            <w:tcBorders>
              <w:top w:val="single" w:sz="8" w:space="0" w:color="B7B7E2"/>
              <w:left w:val="nil"/>
              <w:bottom w:val="dotted" w:sz="4" w:space="0" w:color="B7B7E2"/>
              <w:right w:val="single" w:sz="8" w:space="0" w:color="B7B7E2"/>
            </w:tcBorders>
          </w:tcPr>
          <w:p w14:paraId="069E2956" w14:textId="653C9525" w:rsidR="00C93F9D" w:rsidRPr="00100F0A" w:rsidRDefault="00C93F9D" w:rsidP="006872A9">
            <w:pPr>
              <w:jc w:val="center"/>
              <w:rPr>
                <w:rFonts w:cs="Calibri"/>
                <w:color w:val="000000" w:themeColor="text1"/>
                <w:sz w:val="20"/>
                <w:szCs w:val="20"/>
              </w:rPr>
            </w:pPr>
            <w:r w:rsidRPr="00100F0A">
              <w:rPr>
                <w:rFonts w:cs="Calibri"/>
                <w:bCs/>
                <w:sz w:val="20"/>
                <w:szCs w:val="20"/>
              </w:rPr>
              <w:t>-2.0%</w:t>
            </w:r>
          </w:p>
        </w:tc>
      </w:tr>
      <w:tr w:rsidR="00C93F9D" w:rsidRPr="00100F0A" w14:paraId="4233C8BC" w14:textId="7CA48F6C" w:rsidTr="005F67D6">
        <w:tc>
          <w:tcPr>
            <w:tcW w:w="586" w:type="dxa"/>
            <w:tcBorders>
              <w:top w:val="dotted" w:sz="4" w:space="0" w:color="B7B7E2"/>
              <w:left w:val="single" w:sz="8" w:space="0" w:color="B7B7E2"/>
              <w:bottom w:val="dotted" w:sz="4" w:space="0" w:color="B7B7E2"/>
              <w:right w:val="single" w:sz="8" w:space="0" w:color="B7B7E2"/>
            </w:tcBorders>
            <w:tcMar>
              <w:top w:w="0" w:type="dxa"/>
              <w:left w:w="108" w:type="dxa"/>
              <w:bottom w:w="0" w:type="dxa"/>
              <w:right w:w="108" w:type="dxa"/>
            </w:tcMar>
            <w:hideMark/>
          </w:tcPr>
          <w:p w14:paraId="71847E79" w14:textId="77777777" w:rsidR="00C93F9D" w:rsidRPr="00100F0A" w:rsidRDefault="00C93F9D" w:rsidP="00C93F9D">
            <w:pPr>
              <w:spacing w:after="60"/>
              <w:rPr>
                <w:rFonts w:eastAsia="Times New Roman" w:cs="Times New Roman"/>
                <w:sz w:val="20"/>
              </w:rPr>
            </w:pPr>
            <w:r w:rsidRPr="00100F0A">
              <w:rPr>
                <w:sz w:val="20"/>
              </w:rPr>
              <w:t>High</w:t>
            </w:r>
          </w:p>
        </w:tc>
        <w:tc>
          <w:tcPr>
            <w:tcW w:w="1105" w:type="dxa"/>
            <w:vMerge/>
            <w:tcBorders>
              <w:left w:val="nil"/>
              <w:right w:val="single" w:sz="4" w:space="0" w:color="B7B7E2"/>
            </w:tcBorders>
            <w:tcMar>
              <w:top w:w="0" w:type="dxa"/>
              <w:left w:w="108" w:type="dxa"/>
              <w:bottom w:w="0" w:type="dxa"/>
              <w:right w:w="108" w:type="dxa"/>
            </w:tcMar>
          </w:tcPr>
          <w:p w14:paraId="02F4E2B2" w14:textId="77777777" w:rsidR="00C93F9D" w:rsidRPr="00100F0A" w:rsidRDefault="00C93F9D" w:rsidP="00C93F9D">
            <w:pPr>
              <w:spacing w:after="60"/>
              <w:rPr>
                <w:sz w:val="20"/>
              </w:rPr>
            </w:pPr>
          </w:p>
        </w:tc>
        <w:tc>
          <w:tcPr>
            <w:tcW w:w="4395"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tcPr>
          <w:p w14:paraId="07A96829" w14:textId="7EA8045D" w:rsidR="00C93F9D" w:rsidRPr="00100F0A" w:rsidRDefault="00C93F9D" w:rsidP="005F67D6">
            <w:pPr>
              <w:rPr>
                <w:rFonts w:eastAsia="Times New Roman" w:cs="Times New Roman"/>
                <w:sz w:val="20"/>
                <w:szCs w:val="20"/>
              </w:rPr>
            </w:pPr>
            <w:r w:rsidRPr="00100F0A">
              <w:rPr>
                <w:rFonts w:cs="Calibri"/>
                <w:color w:val="000000"/>
                <w:sz w:val="20"/>
                <w:szCs w:val="20"/>
              </w:rPr>
              <w:t>Al production steady</w:t>
            </w:r>
          </w:p>
        </w:tc>
        <w:tc>
          <w:tcPr>
            <w:tcW w:w="708" w:type="dxa"/>
            <w:tcBorders>
              <w:top w:val="dotted" w:sz="4" w:space="0" w:color="B7B7E2"/>
              <w:left w:val="single" w:sz="4" w:space="0" w:color="B7B7E2"/>
              <w:bottom w:val="dotted" w:sz="4" w:space="0" w:color="B7B7E2"/>
              <w:right w:val="single" w:sz="8" w:space="0" w:color="B7B7E2"/>
            </w:tcBorders>
            <w:tcMar>
              <w:top w:w="0" w:type="dxa"/>
              <w:left w:w="108" w:type="dxa"/>
              <w:bottom w:w="0" w:type="dxa"/>
              <w:right w:w="108" w:type="dxa"/>
            </w:tcMar>
            <w:hideMark/>
          </w:tcPr>
          <w:p w14:paraId="090DA7CB" w14:textId="645000E7" w:rsidR="00C93F9D" w:rsidRPr="00100F0A" w:rsidRDefault="00C93F9D" w:rsidP="006872A9">
            <w:pPr>
              <w:jc w:val="center"/>
              <w:rPr>
                <w:rFonts w:eastAsia="Times New Roman" w:cs="Times New Roman"/>
                <w:sz w:val="20"/>
                <w:szCs w:val="20"/>
              </w:rPr>
            </w:pPr>
            <w:r w:rsidRPr="00100F0A">
              <w:rPr>
                <w:rFonts w:cs="Calibri"/>
                <w:bCs/>
                <w:sz w:val="20"/>
                <w:szCs w:val="20"/>
              </w:rPr>
              <w:t>0.0%</w:t>
            </w:r>
          </w:p>
        </w:tc>
        <w:tc>
          <w:tcPr>
            <w:tcW w:w="426" w:type="dxa"/>
            <w:tcBorders>
              <w:top w:val="dotted" w:sz="4" w:space="0" w:color="B7B7E2"/>
              <w:left w:val="nil"/>
              <w:bottom w:val="dotted" w:sz="4" w:space="0" w:color="B7B7E2"/>
              <w:right w:val="single" w:sz="8" w:space="0" w:color="B7B7E2"/>
            </w:tcBorders>
          </w:tcPr>
          <w:p w14:paraId="6BEAD85F" w14:textId="77777777" w:rsidR="00C93F9D" w:rsidRPr="00100F0A" w:rsidRDefault="00C93F9D" w:rsidP="00B30B8D">
            <w:pPr>
              <w:jc w:val="center"/>
              <w:rPr>
                <w:rFonts w:eastAsia="Times New Roman" w:cs="Times New Roman"/>
                <w:sz w:val="20"/>
                <w:szCs w:val="20"/>
              </w:rPr>
            </w:pPr>
            <w:r w:rsidRPr="00100F0A">
              <w:rPr>
                <w:sz w:val="20"/>
                <w:szCs w:val="20"/>
              </w:rPr>
              <w:t>...</w:t>
            </w:r>
          </w:p>
        </w:tc>
        <w:tc>
          <w:tcPr>
            <w:tcW w:w="708" w:type="dxa"/>
            <w:tcBorders>
              <w:top w:val="dotted" w:sz="4" w:space="0" w:color="B7B7E2"/>
              <w:left w:val="nil"/>
              <w:bottom w:val="dotted" w:sz="4" w:space="0" w:color="B7B7E2"/>
              <w:right w:val="single" w:sz="8" w:space="0" w:color="B7B7E2"/>
            </w:tcBorders>
          </w:tcPr>
          <w:p w14:paraId="2B7BA9F4" w14:textId="5B8F0241" w:rsidR="00C93F9D" w:rsidRPr="00100F0A" w:rsidRDefault="00C93F9D" w:rsidP="006872A9">
            <w:pPr>
              <w:jc w:val="center"/>
              <w:rPr>
                <w:rFonts w:cs="Calibri"/>
                <w:bCs/>
                <w:color w:val="000000" w:themeColor="text1"/>
                <w:sz w:val="20"/>
                <w:szCs w:val="20"/>
              </w:rPr>
            </w:pPr>
            <w:r w:rsidRPr="00100F0A">
              <w:rPr>
                <w:rFonts w:cs="Calibri"/>
                <w:color w:val="000000" w:themeColor="text1"/>
                <w:sz w:val="20"/>
                <w:szCs w:val="20"/>
              </w:rPr>
              <w:t>0.0%</w:t>
            </w:r>
          </w:p>
        </w:tc>
        <w:tc>
          <w:tcPr>
            <w:tcW w:w="426" w:type="dxa"/>
            <w:tcBorders>
              <w:top w:val="dotted" w:sz="4" w:space="0" w:color="B7B7E2"/>
              <w:left w:val="nil"/>
              <w:bottom w:val="dotted" w:sz="4" w:space="0" w:color="B7B7E2"/>
              <w:right w:val="single" w:sz="8" w:space="0" w:color="B7B7E2"/>
            </w:tcBorders>
          </w:tcPr>
          <w:p w14:paraId="10A9D802" w14:textId="6D1937B4" w:rsidR="00C93F9D" w:rsidRPr="00100F0A" w:rsidRDefault="00C93F9D" w:rsidP="00B30B8D">
            <w:pPr>
              <w:jc w:val="center"/>
              <w:rPr>
                <w:rFonts w:cs="Calibri"/>
                <w:color w:val="000000" w:themeColor="text1"/>
                <w:sz w:val="20"/>
                <w:szCs w:val="20"/>
              </w:rPr>
            </w:pPr>
            <w:r w:rsidRPr="00100F0A">
              <w:rPr>
                <w:sz w:val="20"/>
                <w:szCs w:val="20"/>
              </w:rPr>
              <w:t>...</w:t>
            </w:r>
          </w:p>
        </w:tc>
        <w:tc>
          <w:tcPr>
            <w:tcW w:w="708" w:type="dxa"/>
            <w:tcBorders>
              <w:top w:val="dotted" w:sz="4" w:space="0" w:color="B7B7E2"/>
              <w:left w:val="nil"/>
              <w:bottom w:val="dotted" w:sz="4" w:space="0" w:color="B7B7E2"/>
              <w:right w:val="single" w:sz="8" w:space="0" w:color="B7B7E2"/>
            </w:tcBorders>
          </w:tcPr>
          <w:p w14:paraId="501F1181" w14:textId="6032A9F2" w:rsidR="00C93F9D" w:rsidRPr="00100F0A" w:rsidRDefault="00C93F9D" w:rsidP="006872A9">
            <w:pPr>
              <w:jc w:val="center"/>
              <w:rPr>
                <w:rFonts w:cs="Calibri"/>
                <w:color w:val="000000" w:themeColor="text1"/>
                <w:sz w:val="20"/>
                <w:szCs w:val="20"/>
              </w:rPr>
            </w:pPr>
            <w:r w:rsidRPr="00100F0A">
              <w:rPr>
                <w:rFonts w:cs="Calibri"/>
                <w:bCs/>
                <w:sz w:val="20"/>
                <w:szCs w:val="20"/>
              </w:rPr>
              <w:t>0.0%</w:t>
            </w:r>
          </w:p>
        </w:tc>
      </w:tr>
      <w:tr w:rsidR="00C93F9D" w:rsidRPr="00100F0A" w14:paraId="58CCFCD2" w14:textId="52EF51A9" w:rsidTr="005F67D6">
        <w:tc>
          <w:tcPr>
            <w:tcW w:w="586" w:type="dxa"/>
            <w:tcBorders>
              <w:top w:val="dotted" w:sz="4" w:space="0" w:color="B7B7E2"/>
              <w:left w:val="single" w:sz="8" w:space="0" w:color="B7B7E2"/>
              <w:bottom w:val="single" w:sz="4" w:space="0" w:color="B7B7E2"/>
              <w:right w:val="single" w:sz="8" w:space="0" w:color="B7B7E2"/>
            </w:tcBorders>
            <w:tcMar>
              <w:top w:w="0" w:type="dxa"/>
              <w:left w:w="108" w:type="dxa"/>
              <w:bottom w:w="0" w:type="dxa"/>
              <w:right w:w="108" w:type="dxa"/>
            </w:tcMar>
            <w:hideMark/>
          </w:tcPr>
          <w:p w14:paraId="57A8BEFE" w14:textId="77777777" w:rsidR="00C93F9D" w:rsidRPr="00100F0A" w:rsidRDefault="00C93F9D" w:rsidP="00C93F9D">
            <w:pPr>
              <w:spacing w:after="60"/>
              <w:rPr>
                <w:rFonts w:eastAsia="Times New Roman" w:cs="Times New Roman"/>
                <w:sz w:val="20"/>
              </w:rPr>
            </w:pPr>
            <w:r w:rsidRPr="00100F0A">
              <w:rPr>
                <w:sz w:val="20"/>
              </w:rPr>
              <w:t>Low</w:t>
            </w:r>
          </w:p>
        </w:tc>
        <w:tc>
          <w:tcPr>
            <w:tcW w:w="1105" w:type="dxa"/>
            <w:vMerge/>
            <w:tcBorders>
              <w:left w:val="nil"/>
              <w:bottom w:val="single" w:sz="8" w:space="0" w:color="B7B7E2"/>
              <w:right w:val="single" w:sz="4" w:space="0" w:color="B7B7E2"/>
            </w:tcBorders>
            <w:tcMar>
              <w:top w:w="0" w:type="dxa"/>
              <w:left w:w="108" w:type="dxa"/>
              <w:bottom w:w="0" w:type="dxa"/>
              <w:right w:w="108" w:type="dxa"/>
            </w:tcMar>
          </w:tcPr>
          <w:p w14:paraId="7FB40949" w14:textId="77777777" w:rsidR="00C93F9D" w:rsidRPr="00100F0A" w:rsidRDefault="00C93F9D" w:rsidP="00C93F9D">
            <w:pPr>
              <w:spacing w:after="60"/>
              <w:rPr>
                <w:sz w:val="20"/>
              </w:rPr>
            </w:pPr>
          </w:p>
        </w:tc>
        <w:tc>
          <w:tcPr>
            <w:tcW w:w="4395" w:type="dxa"/>
            <w:tcBorders>
              <w:top w:val="dotted" w:sz="4" w:space="0" w:color="B7B7E2"/>
              <w:left w:val="single" w:sz="4" w:space="0" w:color="B7B7E2"/>
              <w:bottom w:val="single" w:sz="8" w:space="0" w:color="B7B7E2"/>
              <w:right w:val="single" w:sz="4" w:space="0" w:color="B7B7E2"/>
            </w:tcBorders>
            <w:tcMar>
              <w:top w:w="0" w:type="dxa"/>
              <w:left w:w="108" w:type="dxa"/>
              <w:bottom w:w="0" w:type="dxa"/>
              <w:right w:w="108" w:type="dxa"/>
            </w:tcMar>
          </w:tcPr>
          <w:p w14:paraId="38D52EC1" w14:textId="6FDA6741" w:rsidR="00C93F9D" w:rsidRPr="00100F0A" w:rsidRDefault="00C93F9D" w:rsidP="005F67D6">
            <w:pPr>
              <w:rPr>
                <w:rFonts w:eastAsia="Times New Roman" w:cs="Times New Roman"/>
                <w:sz w:val="20"/>
                <w:szCs w:val="20"/>
              </w:rPr>
            </w:pPr>
            <w:r w:rsidRPr="00100F0A">
              <w:rPr>
                <w:rFonts w:cs="Calibri"/>
                <w:color w:val="000000"/>
                <w:sz w:val="20"/>
                <w:szCs w:val="20"/>
              </w:rPr>
              <w:t>Significant closures of local Al industry over 10 yrs</w:t>
            </w:r>
          </w:p>
        </w:tc>
        <w:tc>
          <w:tcPr>
            <w:tcW w:w="708" w:type="dxa"/>
            <w:tcBorders>
              <w:top w:val="dotted" w:sz="4" w:space="0" w:color="B7B7E2"/>
              <w:left w:val="single" w:sz="4" w:space="0" w:color="B7B7E2"/>
              <w:bottom w:val="single" w:sz="4" w:space="0" w:color="B7B7E2"/>
              <w:right w:val="single" w:sz="8" w:space="0" w:color="B7B7E2"/>
            </w:tcBorders>
            <w:tcMar>
              <w:top w:w="0" w:type="dxa"/>
              <w:left w:w="108" w:type="dxa"/>
              <w:bottom w:w="0" w:type="dxa"/>
              <w:right w:w="108" w:type="dxa"/>
            </w:tcMar>
            <w:hideMark/>
          </w:tcPr>
          <w:p w14:paraId="656F780E" w14:textId="5B7A4CC8" w:rsidR="00C93F9D" w:rsidRPr="00100F0A" w:rsidRDefault="00C93F9D" w:rsidP="006872A9">
            <w:pPr>
              <w:jc w:val="center"/>
              <w:rPr>
                <w:rFonts w:eastAsia="Times New Roman" w:cs="Times New Roman"/>
                <w:sz w:val="20"/>
                <w:szCs w:val="20"/>
              </w:rPr>
            </w:pPr>
            <w:r w:rsidRPr="00100F0A">
              <w:rPr>
                <w:rFonts w:cs="Calibri"/>
                <w:bCs/>
                <w:sz w:val="20"/>
                <w:szCs w:val="20"/>
              </w:rPr>
              <w:t>-6.0%</w:t>
            </w:r>
          </w:p>
        </w:tc>
        <w:tc>
          <w:tcPr>
            <w:tcW w:w="426" w:type="dxa"/>
            <w:tcBorders>
              <w:top w:val="dotted" w:sz="4" w:space="0" w:color="B7B7E2"/>
              <w:left w:val="nil"/>
              <w:bottom w:val="single" w:sz="4" w:space="0" w:color="B7B7E2"/>
              <w:right w:val="single" w:sz="8" w:space="0" w:color="B7B7E2"/>
            </w:tcBorders>
          </w:tcPr>
          <w:p w14:paraId="005D980B" w14:textId="77777777" w:rsidR="00C93F9D" w:rsidRPr="00100F0A" w:rsidRDefault="00C93F9D" w:rsidP="00B30B8D">
            <w:pPr>
              <w:jc w:val="center"/>
              <w:rPr>
                <w:rFonts w:eastAsia="Times New Roman" w:cs="Times New Roman"/>
                <w:sz w:val="20"/>
                <w:szCs w:val="20"/>
              </w:rPr>
            </w:pPr>
            <w:r w:rsidRPr="00100F0A">
              <w:rPr>
                <w:sz w:val="20"/>
                <w:szCs w:val="20"/>
              </w:rPr>
              <w:t>...</w:t>
            </w:r>
          </w:p>
        </w:tc>
        <w:tc>
          <w:tcPr>
            <w:tcW w:w="708" w:type="dxa"/>
            <w:tcBorders>
              <w:top w:val="dotted" w:sz="4" w:space="0" w:color="B7B7E2"/>
              <w:left w:val="nil"/>
              <w:bottom w:val="single" w:sz="4" w:space="0" w:color="B7B7E2"/>
              <w:right w:val="single" w:sz="8" w:space="0" w:color="B7B7E2"/>
            </w:tcBorders>
          </w:tcPr>
          <w:p w14:paraId="219E8124" w14:textId="45E699A0" w:rsidR="00C93F9D" w:rsidRPr="00100F0A" w:rsidRDefault="00C93F9D" w:rsidP="006872A9">
            <w:pPr>
              <w:jc w:val="center"/>
              <w:rPr>
                <w:rFonts w:cs="Calibri"/>
                <w:bCs/>
                <w:color w:val="000000" w:themeColor="text1"/>
                <w:sz w:val="20"/>
                <w:szCs w:val="20"/>
              </w:rPr>
            </w:pPr>
            <w:r w:rsidRPr="00100F0A">
              <w:rPr>
                <w:rFonts w:cs="Calibri"/>
                <w:color w:val="000000" w:themeColor="text1"/>
                <w:sz w:val="20"/>
                <w:szCs w:val="20"/>
              </w:rPr>
              <w:t>-6.0%</w:t>
            </w:r>
          </w:p>
        </w:tc>
        <w:tc>
          <w:tcPr>
            <w:tcW w:w="426" w:type="dxa"/>
            <w:tcBorders>
              <w:top w:val="dotted" w:sz="4" w:space="0" w:color="B7B7E2"/>
              <w:left w:val="nil"/>
              <w:bottom w:val="single" w:sz="4" w:space="0" w:color="B7B7E2"/>
              <w:right w:val="single" w:sz="8" w:space="0" w:color="B7B7E2"/>
            </w:tcBorders>
          </w:tcPr>
          <w:p w14:paraId="7F1EAEDE" w14:textId="7B7AF1E4" w:rsidR="00C93F9D" w:rsidRPr="00100F0A" w:rsidRDefault="00C93F9D" w:rsidP="00B30B8D">
            <w:pPr>
              <w:jc w:val="center"/>
              <w:rPr>
                <w:rFonts w:cs="Calibri"/>
                <w:bCs/>
                <w:color w:val="000000" w:themeColor="text1"/>
                <w:sz w:val="20"/>
                <w:szCs w:val="20"/>
              </w:rPr>
            </w:pPr>
            <w:r w:rsidRPr="00100F0A">
              <w:rPr>
                <w:sz w:val="20"/>
                <w:szCs w:val="20"/>
              </w:rPr>
              <w:t>...</w:t>
            </w:r>
          </w:p>
        </w:tc>
        <w:tc>
          <w:tcPr>
            <w:tcW w:w="708" w:type="dxa"/>
            <w:tcBorders>
              <w:top w:val="dotted" w:sz="4" w:space="0" w:color="B7B7E2"/>
              <w:left w:val="nil"/>
              <w:bottom w:val="single" w:sz="4" w:space="0" w:color="B7B7E2"/>
              <w:right w:val="single" w:sz="8" w:space="0" w:color="B7B7E2"/>
            </w:tcBorders>
          </w:tcPr>
          <w:p w14:paraId="421CAB64" w14:textId="12AE8C46" w:rsidR="00C93F9D" w:rsidRPr="00100F0A" w:rsidRDefault="00C93F9D" w:rsidP="006872A9">
            <w:pPr>
              <w:jc w:val="center"/>
              <w:rPr>
                <w:rFonts w:cs="Calibri"/>
                <w:bCs/>
                <w:color w:val="000000" w:themeColor="text1"/>
                <w:sz w:val="20"/>
                <w:szCs w:val="20"/>
              </w:rPr>
            </w:pPr>
            <w:r w:rsidRPr="00100F0A">
              <w:rPr>
                <w:rFonts w:cs="Calibri"/>
                <w:bCs/>
                <w:sz w:val="20"/>
                <w:szCs w:val="20"/>
              </w:rPr>
              <w:t>0.0%</w:t>
            </w:r>
          </w:p>
        </w:tc>
      </w:tr>
      <w:tr w:rsidR="00C93F9D" w:rsidRPr="00100F0A" w14:paraId="23044646" w14:textId="60E803DA" w:rsidTr="005F67D6">
        <w:tc>
          <w:tcPr>
            <w:tcW w:w="7928" w:type="dxa"/>
            <w:gridSpan w:val="6"/>
            <w:tcBorders>
              <w:top w:val="single" w:sz="4" w:space="0" w:color="B7B7E2"/>
              <w:left w:val="single" w:sz="8" w:space="0" w:color="B7B7E2"/>
              <w:bottom w:val="dotted" w:sz="4" w:space="0" w:color="B7B7E2"/>
              <w:right w:val="single" w:sz="8" w:space="0" w:color="B7B7E2"/>
            </w:tcBorders>
            <w:tcMar>
              <w:top w:w="0" w:type="dxa"/>
              <w:left w:w="108" w:type="dxa"/>
              <w:bottom w:w="0" w:type="dxa"/>
              <w:right w:w="108" w:type="dxa"/>
            </w:tcMar>
          </w:tcPr>
          <w:p w14:paraId="0E711376" w14:textId="454FC46A" w:rsidR="00C93F9D" w:rsidRPr="00100F0A" w:rsidRDefault="00C93F9D" w:rsidP="00B30B8D">
            <w:pPr>
              <w:rPr>
                <w:sz w:val="20"/>
                <w:szCs w:val="20"/>
              </w:rPr>
            </w:pPr>
            <w:r w:rsidRPr="00100F0A">
              <w:rPr>
                <w:iCs/>
                <w:color w:val="4D4DB8"/>
                <w:sz w:val="20"/>
                <w:szCs w:val="18"/>
              </w:rPr>
              <w:t>On-site storage releases (absolute tonnes pa)</w:t>
            </w:r>
          </w:p>
        </w:tc>
        <w:tc>
          <w:tcPr>
            <w:tcW w:w="426" w:type="dxa"/>
            <w:tcBorders>
              <w:top w:val="single" w:sz="4" w:space="0" w:color="B7B7E2"/>
              <w:left w:val="single" w:sz="8" w:space="0" w:color="B7B7E2"/>
              <w:bottom w:val="dotted" w:sz="4" w:space="0" w:color="B7B7E2"/>
              <w:right w:val="single" w:sz="8" w:space="0" w:color="B7B7E2"/>
            </w:tcBorders>
          </w:tcPr>
          <w:p w14:paraId="2221FD9D" w14:textId="77777777" w:rsidR="00C93F9D" w:rsidRPr="00100F0A" w:rsidRDefault="00C93F9D" w:rsidP="006872A9">
            <w:pPr>
              <w:jc w:val="center"/>
              <w:rPr>
                <w:iCs/>
                <w:color w:val="4D4DB8"/>
                <w:sz w:val="20"/>
                <w:szCs w:val="18"/>
              </w:rPr>
            </w:pPr>
          </w:p>
        </w:tc>
        <w:tc>
          <w:tcPr>
            <w:tcW w:w="708" w:type="dxa"/>
            <w:tcBorders>
              <w:top w:val="single" w:sz="4" w:space="0" w:color="B7B7E2"/>
              <w:left w:val="single" w:sz="8" w:space="0" w:color="B7B7E2"/>
              <w:bottom w:val="dotted" w:sz="4" w:space="0" w:color="B7B7E2"/>
              <w:right w:val="single" w:sz="8" w:space="0" w:color="B7B7E2"/>
            </w:tcBorders>
          </w:tcPr>
          <w:p w14:paraId="3FE8AAF2" w14:textId="77777777" w:rsidR="00C93F9D" w:rsidRPr="00100F0A" w:rsidRDefault="00C93F9D" w:rsidP="006872A9">
            <w:pPr>
              <w:jc w:val="center"/>
              <w:rPr>
                <w:iCs/>
                <w:color w:val="4D4DB8"/>
                <w:sz w:val="20"/>
                <w:szCs w:val="18"/>
              </w:rPr>
            </w:pPr>
          </w:p>
        </w:tc>
      </w:tr>
      <w:tr w:rsidR="00C93F9D" w:rsidRPr="00100F0A" w14:paraId="2807C767" w14:textId="5BF2DD34" w:rsidTr="005F67D6">
        <w:tc>
          <w:tcPr>
            <w:tcW w:w="586" w:type="dxa"/>
            <w:tcBorders>
              <w:top w:val="single" w:sz="4" w:space="0" w:color="B7B7E2"/>
              <w:left w:val="single" w:sz="4" w:space="0" w:color="B7B7E2"/>
              <w:bottom w:val="dotted" w:sz="4" w:space="0" w:color="B7B7E2"/>
              <w:right w:val="single" w:sz="4" w:space="0" w:color="B7B7E2"/>
            </w:tcBorders>
            <w:tcMar>
              <w:top w:w="0" w:type="dxa"/>
              <w:left w:w="108" w:type="dxa"/>
              <w:bottom w:w="0" w:type="dxa"/>
              <w:right w:w="108" w:type="dxa"/>
            </w:tcMar>
            <w:hideMark/>
          </w:tcPr>
          <w:p w14:paraId="4B0BFC19" w14:textId="77777777" w:rsidR="00C93F9D" w:rsidRPr="00100F0A" w:rsidRDefault="00C93F9D" w:rsidP="00C93F9D">
            <w:pPr>
              <w:spacing w:after="60"/>
              <w:rPr>
                <w:rFonts w:eastAsia="Times New Roman" w:cs="Times New Roman"/>
                <w:sz w:val="20"/>
              </w:rPr>
            </w:pPr>
            <w:r w:rsidRPr="00100F0A">
              <w:rPr>
                <w:sz w:val="20"/>
              </w:rPr>
              <w:t>Best</w:t>
            </w:r>
          </w:p>
        </w:tc>
        <w:tc>
          <w:tcPr>
            <w:tcW w:w="1105" w:type="dxa"/>
            <w:vMerge w:val="restart"/>
            <w:tcBorders>
              <w:top w:val="single" w:sz="8" w:space="0" w:color="B7B7E2"/>
              <w:left w:val="single" w:sz="4" w:space="0" w:color="B7B7E2"/>
              <w:right w:val="single" w:sz="8" w:space="0" w:color="B7B7E2"/>
            </w:tcBorders>
            <w:tcMar>
              <w:top w:w="0" w:type="dxa"/>
              <w:left w:w="108" w:type="dxa"/>
              <w:bottom w:w="0" w:type="dxa"/>
              <w:right w:w="108" w:type="dxa"/>
            </w:tcMar>
            <w:vAlign w:val="center"/>
          </w:tcPr>
          <w:p w14:paraId="25D335EF" w14:textId="1E2D03AD" w:rsidR="00C93F9D" w:rsidRPr="00100F0A" w:rsidRDefault="00C93F9D" w:rsidP="00C93F9D">
            <w:pPr>
              <w:spacing w:after="60"/>
              <w:rPr>
                <w:sz w:val="20"/>
              </w:rPr>
            </w:pPr>
            <w:r w:rsidRPr="00100F0A">
              <w:rPr>
                <w:sz w:val="20"/>
              </w:rPr>
              <w:t>NSW</w:t>
            </w:r>
          </w:p>
        </w:tc>
        <w:tc>
          <w:tcPr>
            <w:tcW w:w="4395" w:type="dxa"/>
            <w:tcBorders>
              <w:top w:val="single" w:sz="8" w:space="0" w:color="B7B7E2"/>
              <w:left w:val="nil"/>
              <w:bottom w:val="dotted" w:sz="4" w:space="0" w:color="B7B7E2"/>
              <w:right w:val="single" w:sz="4" w:space="0" w:color="B7B7E2"/>
            </w:tcBorders>
            <w:tcMar>
              <w:top w:w="0" w:type="dxa"/>
              <w:left w:w="108" w:type="dxa"/>
              <w:bottom w:w="0" w:type="dxa"/>
              <w:right w:w="108" w:type="dxa"/>
            </w:tcMar>
          </w:tcPr>
          <w:p w14:paraId="32C8C60D" w14:textId="6035C3D3" w:rsidR="00C93F9D" w:rsidRPr="00100F0A" w:rsidRDefault="00C93F9D" w:rsidP="005F67D6">
            <w:pPr>
              <w:rPr>
                <w:rFonts w:eastAsia="Times New Roman" w:cs="Times New Roman"/>
                <w:sz w:val="20"/>
                <w:szCs w:val="20"/>
              </w:rPr>
            </w:pPr>
            <w:r w:rsidRPr="00100F0A">
              <w:rPr>
                <w:rFonts w:cs="Calibri"/>
                <w:color w:val="000000"/>
                <w:sz w:val="20"/>
                <w:szCs w:val="20"/>
              </w:rPr>
              <w:t>30% reduction in storages over 10 yrs from policy intervention (linear bleed) start in 2 yrs</w:t>
            </w:r>
          </w:p>
        </w:tc>
        <w:tc>
          <w:tcPr>
            <w:tcW w:w="708" w:type="dxa"/>
            <w:tcBorders>
              <w:top w:val="single" w:sz="4" w:space="0" w:color="B7B7E2"/>
              <w:left w:val="single" w:sz="4" w:space="0" w:color="B7B7E2"/>
              <w:bottom w:val="dotted" w:sz="4" w:space="0" w:color="B7B7E2"/>
              <w:right w:val="single" w:sz="4" w:space="0" w:color="B7B7E2"/>
            </w:tcBorders>
            <w:tcMar>
              <w:top w:w="0" w:type="dxa"/>
              <w:left w:w="108" w:type="dxa"/>
              <w:bottom w:w="0" w:type="dxa"/>
              <w:right w:w="108" w:type="dxa"/>
            </w:tcMar>
          </w:tcPr>
          <w:p w14:paraId="5B62AB5A" w14:textId="273C0349" w:rsidR="00C93F9D" w:rsidRPr="00100F0A" w:rsidRDefault="00C93F9D" w:rsidP="006872A9">
            <w:pPr>
              <w:jc w:val="center"/>
              <w:rPr>
                <w:rFonts w:eastAsia="Times New Roman" w:cs="Times New Roman"/>
                <w:color w:val="000000" w:themeColor="text1"/>
                <w:sz w:val="20"/>
                <w:szCs w:val="20"/>
              </w:rPr>
            </w:pPr>
            <w:r w:rsidRPr="00100F0A">
              <w:rPr>
                <w:rFonts w:cs="Calibri"/>
                <w:color w:val="000000" w:themeColor="text1"/>
                <w:sz w:val="20"/>
                <w:szCs w:val="20"/>
              </w:rPr>
              <w:t>0</w:t>
            </w:r>
          </w:p>
        </w:tc>
        <w:tc>
          <w:tcPr>
            <w:tcW w:w="426" w:type="dxa"/>
            <w:tcBorders>
              <w:top w:val="single" w:sz="4" w:space="0" w:color="B7B7E2"/>
              <w:left w:val="single" w:sz="4" w:space="0" w:color="B7B7E2"/>
              <w:bottom w:val="dotted" w:sz="4" w:space="0" w:color="B7B7E2"/>
              <w:right w:val="single" w:sz="4" w:space="0" w:color="B7B7E2"/>
            </w:tcBorders>
          </w:tcPr>
          <w:p w14:paraId="7354723C" w14:textId="77777777" w:rsidR="00C93F9D" w:rsidRPr="00100F0A" w:rsidRDefault="00C93F9D" w:rsidP="00B30B8D">
            <w:pPr>
              <w:jc w:val="center"/>
              <w:rPr>
                <w:rFonts w:eastAsia="Times New Roman" w:cs="Times New Roman"/>
                <w:sz w:val="20"/>
                <w:szCs w:val="20"/>
              </w:rPr>
            </w:pPr>
            <w:r w:rsidRPr="00100F0A">
              <w:rPr>
                <w:sz w:val="20"/>
                <w:szCs w:val="20"/>
              </w:rPr>
              <w:t>...</w:t>
            </w:r>
          </w:p>
        </w:tc>
        <w:tc>
          <w:tcPr>
            <w:tcW w:w="708" w:type="dxa"/>
            <w:tcBorders>
              <w:top w:val="single" w:sz="4" w:space="0" w:color="B7B7E2"/>
              <w:left w:val="single" w:sz="4" w:space="0" w:color="B7B7E2"/>
              <w:bottom w:val="dotted" w:sz="4" w:space="0" w:color="B7B7E2"/>
              <w:right w:val="single" w:sz="4" w:space="0" w:color="B7B7E2"/>
            </w:tcBorders>
          </w:tcPr>
          <w:p w14:paraId="09AF6023" w14:textId="09B0F904" w:rsidR="00C93F9D" w:rsidRPr="00100F0A" w:rsidRDefault="00C93F9D" w:rsidP="006872A9">
            <w:pPr>
              <w:jc w:val="center"/>
              <w:rPr>
                <w:rFonts w:eastAsia="Times New Roman" w:cs="Times New Roman"/>
                <w:color w:val="000000" w:themeColor="text1"/>
                <w:sz w:val="20"/>
                <w:szCs w:val="20"/>
              </w:rPr>
            </w:pPr>
            <w:r w:rsidRPr="00100F0A">
              <w:rPr>
                <w:rFonts w:cs="Calibri"/>
                <w:color w:val="000000" w:themeColor="text1"/>
                <w:sz w:val="20"/>
                <w:szCs w:val="20"/>
              </w:rPr>
              <w:t>5,378</w:t>
            </w:r>
          </w:p>
        </w:tc>
        <w:tc>
          <w:tcPr>
            <w:tcW w:w="426" w:type="dxa"/>
            <w:tcBorders>
              <w:top w:val="single" w:sz="4" w:space="0" w:color="B7B7E2"/>
              <w:left w:val="single" w:sz="4" w:space="0" w:color="B7B7E2"/>
              <w:bottom w:val="dotted" w:sz="4" w:space="0" w:color="B7B7E2"/>
              <w:right w:val="single" w:sz="4" w:space="0" w:color="B7B7E2"/>
            </w:tcBorders>
          </w:tcPr>
          <w:p w14:paraId="03D356EC" w14:textId="341901F8" w:rsidR="00C93F9D" w:rsidRPr="00100F0A" w:rsidRDefault="00C93F9D" w:rsidP="00B30B8D">
            <w:pPr>
              <w:jc w:val="center"/>
              <w:rPr>
                <w:sz w:val="20"/>
                <w:szCs w:val="20"/>
              </w:rPr>
            </w:pPr>
            <w:r w:rsidRPr="00100F0A">
              <w:rPr>
                <w:sz w:val="20"/>
                <w:szCs w:val="20"/>
              </w:rPr>
              <w:t>...</w:t>
            </w:r>
          </w:p>
        </w:tc>
        <w:tc>
          <w:tcPr>
            <w:tcW w:w="708" w:type="dxa"/>
            <w:tcBorders>
              <w:top w:val="single" w:sz="4" w:space="0" w:color="B7B7E2"/>
              <w:left w:val="single" w:sz="4" w:space="0" w:color="B7B7E2"/>
              <w:bottom w:val="dotted" w:sz="4" w:space="0" w:color="B7B7E2"/>
              <w:right w:val="single" w:sz="4" w:space="0" w:color="B7B7E2"/>
            </w:tcBorders>
          </w:tcPr>
          <w:p w14:paraId="0F1D052F" w14:textId="0E4126F0" w:rsidR="00C93F9D" w:rsidRPr="00100F0A" w:rsidRDefault="00C93F9D" w:rsidP="006872A9">
            <w:pPr>
              <w:jc w:val="center"/>
              <w:rPr>
                <w:color w:val="000000" w:themeColor="text1"/>
                <w:sz w:val="20"/>
                <w:szCs w:val="20"/>
              </w:rPr>
            </w:pPr>
            <w:r w:rsidRPr="00100F0A">
              <w:rPr>
                <w:rFonts w:cs="Calibri"/>
                <w:color w:val="000000" w:themeColor="text1"/>
                <w:sz w:val="20"/>
                <w:szCs w:val="20"/>
              </w:rPr>
              <w:t>5,378</w:t>
            </w:r>
          </w:p>
        </w:tc>
      </w:tr>
      <w:tr w:rsidR="00C93F9D" w:rsidRPr="00100F0A" w14:paraId="45204580" w14:textId="675CA820" w:rsidTr="005F67D6">
        <w:tc>
          <w:tcPr>
            <w:tcW w:w="586"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hideMark/>
          </w:tcPr>
          <w:p w14:paraId="4D798618" w14:textId="77777777" w:rsidR="00C93F9D" w:rsidRPr="00100F0A" w:rsidRDefault="00C93F9D" w:rsidP="00C93F9D">
            <w:pPr>
              <w:spacing w:after="60"/>
              <w:rPr>
                <w:rFonts w:eastAsia="Times New Roman" w:cs="Times New Roman"/>
                <w:sz w:val="20"/>
              </w:rPr>
            </w:pPr>
            <w:r w:rsidRPr="00100F0A">
              <w:rPr>
                <w:sz w:val="20"/>
              </w:rPr>
              <w:t>High</w:t>
            </w:r>
          </w:p>
        </w:tc>
        <w:tc>
          <w:tcPr>
            <w:tcW w:w="1105" w:type="dxa"/>
            <w:vMerge/>
            <w:tcBorders>
              <w:left w:val="single" w:sz="4" w:space="0" w:color="B7B7E2"/>
              <w:right w:val="single" w:sz="8" w:space="0" w:color="B7B7E2"/>
            </w:tcBorders>
            <w:tcMar>
              <w:top w:w="0" w:type="dxa"/>
              <w:left w:w="108" w:type="dxa"/>
              <w:bottom w:w="0" w:type="dxa"/>
              <w:right w:w="108" w:type="dxa"/>
            </w:tcMar>
          </w:tcPr>
          <w:p w14:paraId="4A1A3217" w14:textId="77777777" w:rsidR="00C93F9D" w:rsidRPr="00100F0A" w:rsidRDefault="00C93F9D" w:rsidP="00C93F9D">
            <w:pPr>
              <w:spacing w:after="60"/>
              <w:rPr>
                <w:sz w:val="20"/>
              </w:rPr>
            </w:pPr>
          </w:p>
        </w:tc>
        <w:tc>
          <w:tcPr>
            <w:tcW w:w="4395" w:type="dxa"/>
            <w:tcBorders>
              <w:top w:val="dotted" w:sz="4" w:space="0" w:color="B7B7E2"/>
              <w:left w:val="nil"/>
              <w:bottom w:val="dotted" w:sz="4" w:space="0" w:color="B7B7E2"/>
              <w:right w:val="single" w:sz="4" w:space="0" w:color="B7B7E2"/>
            </w:tcBorders>
            <w:tcMar>
              <w:top w:w="0" w:type="dxa"/>
              <w:left w:w="108" w:type="dxa"/>
              <w:bottom w:w="0" w:type="dxa"/>
              <w:right w:w="108" w:type="dxa"/>
            </w:tcMar>
          </w:tcPr>
          <w:p w14:paraId="6A00815B" w14:textId="09A6623A" w:rsidR="00C93F9D" w:rsidRPr="00100F0A" w:rsidRDefault="00C93F9D" w:rsidP="005F67D6">
            <w:pPr>
              <w:rPr>
                <w:rFonts w:eastAsia="Times New Roman" w:cs="Times New Roman"/>
                <w:sz w:val="20"/>
                <w:szCs w:val="20"/>
              </w:rPr>
            </w:pPr>
            <w:r w:rsidRPr="00100F0A">
              <w:rPr>
                <w:rFonts w:cs="Calibri"/>
                <w:color w:val="000000"/>
                <w:sz w:val="20"/>
                <w:szCs w:val="20"/>
              </w:rPr>
              <w:t>100% reduction in storages over 10 yrs from policy intervention (linear bleed) start in 2 yrs</w:t>
            </w:r>
          </w:p>
        </w:tc>
        <w:tc>
          <w:tcPr>
            <w:tcW w:w="708"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tcPr>
          <w:p w14:paraId="306F7A91" w14:textId="4456D452" w:rsidR="00C93F9D" w:rsidRPr="00100F0A" w:rsidRDefault="00C93F9D" w:rsidP="006872A9">
            <w:pPr>
              <w:jc w:val="center"/>
              <w:rPr>
                <w:rFonts w:eastAsia="Times New Roman" w:cs="Times New Roman"/>
                <w:color w:val="000000" w:themeColor="text1"/>
                <w:sz w:val="20"/>
                <w:szCs w:val="20"/>
              </w:rPr>
            </w:pPr>
            <w:r w:rsidRPr="00100F0A">
              <w:rPr>
                <w:rFonts w:cs="Calibri"/>
                <w:color w:val="000000" w:themeColor="text1"/>
                <w:sz w:val="20"/>
                <w:szCs w:val="20"/>
              </w:rPr>
              <w:t>0</w:t>
            </w:r>
          </w:p>
        </w:tc>
        <w:tc>
          <w:tcPr>
            <w:tcW w:w="426" w:type="dxa"/>
            <w:tcBorders>
              <w:top w:val="dotted" w:sz="4" w:space="0" w:color="B7B7E2"/>
              <w:left w:val="single" w:sz="4" w:space="0" w:color="B7B7E2"/>
              <w:bottom w:val="dotted" w:sz="4" w:space="0" w:color="B7B7E2"/>
              <w:right w:val="single" w:sz="4" w:space="0" w:color="B7B7E2"/>
            </w:tcBorders>
          </w:tcPr>
          <w:p w14:paraId="3FBDE5D7" w14:textId="77777777" w:rsidR="00C93F9D" w:rsidRPr="00100F0A" w:rsidRDefault="00C93F9D" w:rsidP="00B30B8D">
            <w:pPr>
              <w:jc w:val="center"/>
              <w:rPr>
                <w:rFonts w:eastAsia="Times New Roman" w:cs="Times New Roman"/>
                <w:sz w:val="20"/>
                <w:szCs w:val="20"/>
              </w:rPr>
            </w:pPr>
            <w:r w:rsidRPr="00100F0A">
              <w:rPr>
                <w:sz w:val="20"/>
                <w:szCs w:val="20"/>
              </w:rPr>
              <w:t>...</w:t>
            </w:r>
          </w:p>
        </w:tc>
        <w:tc>
          <w:tcPr>
            <w:tcW w:w="708" w:type="dxa"/>
            <w:tcBorders>
              <w:top w:val="dotted" w:sz="4" w:space="0" w:color="B7B7E2"/>
              <w:left w:val="single" w:sz="4" w:space="0" w:color="B7B7E2"/>
              <w:bottom w:val="dotted" w:sz="4" w:space="0" w:color="B7B7E2"/>
              <w:right w:val="single" w:sz="4" w:space="0" w:color="B7B7E2"/>
            </w:tcBorders>
          </w:tcPr>
          <w:p w14:paraId="732748C9" w14:textId="654DCDB1" w:rsidR="00C93F9D" w:rsidRPr="00100F0A" w:rsidRDefault="00C93F9D" w:rsidP="006872A9">
            <w:pPr>
              <w:jc w:val="center"/>
              <w:rPr>
                <w:rFonts w:eastAsia="Times New Roman" w:cs="Times New Roman"/>
                <w:color w:val="000000" w:themeColor="text1"/>
                <w:sz w:val="20"/>
                <w:szCs w:val="20"/>
              </w:rPr>
            </w:pPr>
            <w:r w:rsidRPr="00100F0A">
              <w:rPr>
                <w:rFonts w:cs="Calibri"/>
                <w:color w:val="000000" w:themeColor="text1"/>
                <w:sz w:val="20"/>
                <w:szCs w:val="20"/>
              </w:rPr>
              <w:t>17,928</w:t>
            </w:r>
          </w:p>
        </w:tc>
        <w:tc>
          <w:tcPr>
            <w:tcW w:w="426" w:type="dxa"/>
            <w:tcBorders>
              <w:top w:val="dotted" w:sz="4" w:space="0" w:color="B7B7E2"/>
              <w:left w:val="single" w:sz="4" w:space="0" w:color="B7B7E2"/>
              <w:bottom w:val="dotted" w:sz="4" w:space="0" w:color="B7B7E2"/>
              <w:right w:val="single" w:sz="4" w:space="0" w:color="B7B7E2"/>
            </w:tcBorders>
          </w:tcPr>
          <w:p w14:paraId="5174A5A8" w14:textId="3E6D5279" w:rsidR="00C93F9D" w:rsidRPr="00100F0A" w:rsidRDefault="00C93F9D" w:rsidP="00B30B8D">
            <w:pPr>
              <w:jc w:val="center"/>
              <w:rPr>
                <w:sz w:val="20"/>
                <w:szCs w:val="20"/>
              </w:rPr>
            </w:pPr>
            <w:r w:rsidRPr="00100F0A">
              <w:rPr>
                <w:sz w:val="20"/>
                <w:szCs w:val="20"/>
              </w:rPr>
              <w:t>...</w:t>
            </w:r>
          </w:p>
        </w:tc>
        <w:tc>
          <w:tcPr>
            <w:tcW w:w="708" w:type="dxa"/>
            <w:tcBorders>
              <w:top w:val="dotted" w:sz="4" w:space="0" w:color="B7B7E2"/>
              <w:left w:val="single" w:sz="4" w:space="0" w:color="B7B7E2"/>
              <w:bottom w:val="dotted" w:sz="4" w:space="0" w:color="B7B7E2"/>
              <w:right w:val="single" w:sz="4" w:space="0" w:color="B7B7E2"/>
            </w:tcBorders>
          </w:tcPr>
          <w:p w14:paraId="68AABB79" w14:textId="747F6E3F" w:rsidR="00C93F9D" w:rsidRPr="00100F0A" w:rsidRDefault="00C93F9D" w:rsidP="006872A9">
            <w:pPr>
              <w:jc w:val="center"/>
              <w:rPr>
                <w:color w:val="000000" w:themeColor="text1"/>
                <w:sz w:val="20"/>
                <w:szCs w:val="20"/>
              </w:rPr>
            </w:pPr>
            <w:r w:rsidRPr="00100F0A">
              <w:rPr>
                <w:rFonts w:cs="Calibri"/>
                <w:color w:val="000000" w:themeColor="text1"/>
                <w:sz w:val="20"/>
                <w:szCs w:val="20"/>
              </w:rPr>
              <w:t>0</w:t>
            </w:r>
          </w:p>
        </w:tc>
      </w:tr>
      <w:tr w:rsidR="00C93F9D" w:rsidRPr="00100F0A" w14:paraId="5D72AB23" w14:textId="78E707B7" w:rsidTr="005F67D6">
        <w:tc>
          <w:tcPr>
            <w:tcW w:w="586" w:type="dxa"/>
            <w:tcBorders>
              <w:top w:val="dotted" w:sz="4" w:space="0" w:color="B7B7E2"/>
              <w:left w:val="single" w:sz="4" w:space="0" w:color="B7B7E2"/>
              <w:bottom w:val="single" w:sz="4" w:space="0" w:color="B7B7E2"/>
              <w:right w:val="single" w:sz="4" w:space="0" w:color="B7B7E2"/>
            </w:tcBorders>
            <w:tcMar>
              <w:top w:w="0" w:type="dxa"/>
              <w:left w:w="108" w:type="dxa"/>
              <w:bottom w:w="0" w:type="dxa"/>
              <w:right w:w="108" w:type="dxa"/>
            </w:tcMar>
            <w:hideMark/>
          </w:tcPr>
          <w:p w14:paraId="02170A5C" w14:textId="77777777" w:rsidR="00C93F9D" w:rsidRPr="00100F0A" w:rsidRDefault="00C93F9D" w:rsidP="00C93F9D">
            <w:pPr>
              <w:spacing w:after="60"/>
              <w:rPr>
                <w:rFonts w:eastAsia="Times New Roman" w:cs="Times New Roman"/>
                <w:sz w:val="20"/>
              </w:rPr>
            </w:pPr>
            <w:r w:rsidRPr="00100F0A">
              <w:rPr>
                <w:sz w:val="20"/>
              </w:rPr>
              <w:t>Low</w:t>
            </w:r>
          </w:p>
        </w:tc>
        <w:tc>
          <w:tcPr>
            <w:tcW w:w="1105" w:type="dxa"/>
            <w:vMerge/>
            <w:tcBorders>
              <w:left w:val="single" w:sz="4" w:space="0" w:color="B7B7E2"/>
              <w:bottom w:val="single" w:sz="8" w:space="0" w:color="B7B7E2"/>
              <w:right w:val="single" w:sz="8" w:space="0" w:color="B7B7E2"/>
            </w:tcBorders>
            <w:tcMar>
              <w:top w:w="0" w:type="dxa"/>
              <w:left w:w="108" w:type="dxa"/>
              <w:bottom w:w="0" w:type="dxa"/>
              <w:right w:w="108" w:type="dxa"/>
            </w:tcMar>
          </w:tcPr>
          <w:p w14:paraId="48F50A24" w14:textId="77777777" w:rsidR="00C93F9D" w:rsidRPr="00100F0A" w:rsidRDefault="00C93F9D" w:rsidP="00C93F9D">
            <w:pPr>
              <w:spacing w:after="60"/>
              <w:rPr>
                <w:sz w:val="20"/>
              </w:rPr>
            </w:pPr>
          </w:p>
        </w:tc>
        <w:tc>
          <w:tcPr>
            <w:tcW w:w="4395" w:type="dxa"/>
            <w:tcBorders>
              <w:top w:val="dotted" w:sz="4" w:space="0" w:color="B7B7E2"/>
              <w:left w:val="nil"/>
              <w:bottom w:val="single" w:sz="8" w:space="0" w:color="B7B7E2"/>
              <w:right w:val="single" w:sz="4" w:space="0" w:color="B7B7E2"/>
            </w:tcBorders>
            <w:tcMar>
              <w:top w:w="0" w:type="dxa"/>
              <w:left w:w="108" w:type="dxa"/>
              <w:bottom w:w="0" w:type="dxa"/>
              <w:right w:w="108" w:type="dxa"/>
            </w:tcMar>
          </w:tcPr>
          <w:p w14:paraId="7B92F30C" w14:textId="4F13061D" w:rsidR="00C93F9D" w:rsidRPr="00100F0A" w:rsidRDefault="00C93F9D" w:rsidP="005F67D6">
            <w:pPr>
              <w:rPr>
                <w:rFonts w:eastAsia="Times New Roman" w:cs="Times New Roman"/>
                <w:sz w:val="20"/>
                <w:szCs w:val="20"/>
              </w:rPr>
            </w:pPr>
            <w:r w:rsidRPr="00100F0A">
              <w:rPr>
                <w:rFonts w:cs="Calibri"/>
                <w:color w:val="000000"/>
                <w:sz w:val="20"/>
                <w:szCs w:val="20"/>
              </w:rPr>
              <w:t>No storage releases</w:t>
            </w:r>
          </w:p>
        </w:tc>
        <w:tc>
          <w:tcPr>
            <w:tcW w:w="708" w:type="dxa"/>
            <w:tcBorders>
              <w:top w:val="dotted" w:sz="4" w:space="0" w:color="B7B7E2"/>
              <w:left w:val="single" w:sz="4" w:space="0" w:color="B7B7E2"/>
              <w:bottom w:val="single" w:sz="4" w:space="0" w:color="B7B7E2"/>
              <w:right w:val="single" w:sz="4" w:space="0" w:color="B7B7E2"/>
            </w:tcBorders>
            <w:tcMar>
              <w:top w:w="0" w:type="dxa"/>
              <w:left w:w="108" w:type="dxa"/>
              <w:bottom w:w="0" w:type="dxa"/>
              <w:right w:w="108" w:type="dxa"/>
            </w:tcMar>
          </w:tcPr>
          <w:p w14:paraId="4F8320C0" w14:textId="521C2E98" w:rsidR="00C93F9D" w:rsidRPr="00100F0A" w:rsidRDefault="00C93F9D" w:rsidP="006872A9">
            <w:pPr>
              <w:jc w:val="center"/>
              <w:rPr>
                <w:rFonts w:eastAsia="Times New Roman" w:cs="Times New Roman"/>
                <w:color w:val="000000" w:themeColor="text1"/>
                <w:sz w:val="20"/>
                <w:szCs w:val="20"/>
              </w:rPr>
            </w:pPr>
            <w:r w:rsidRPr="00100F0A">
              <w:rPr>
                <w:rFonts w:cs="Calibri"/>
                <w:color w:val="000000" w:themeColor="text1"/>
                <w:sz w:val="20"/>
                <w:szCs w:val="20"/>
              </w:rPr>
              <w:t>0</w:t>
            </w:r>
          </w:p>
        </w:tc>
        <w:tc>
          <w:tcPr>
            <w:tcW w:w="426" w:type="dxa"/>
            <w:tcBorders>
              <w:top w:val="dotted" w:sz="4" w:space="0" w:color="B7B7E2"/>
              <w:left w:val="single" w:sz="4" w:space="0" w:color="B7B7E2"/>
              <w:bottom w:val="single" w:sz="4" w:space="0" w:color="B7B7E2"/>
              <w:right w:val="single" w:sz="4" w:space="0" w:color="B7B7E2"/>
            </w:tcBorders>
          </w:tcPr>
          <w:p w14:paraId="748C364C" w14:textId="77777777" w:rsidR="00C93F9D" w:rsidRPr="00100F0A" w:rsidRDefault="00C93F9D" w:rsidP="00B30B8D">
            <w:pPr>
              <w:jc w:val="center"/>
              <w:rPr>
                <w:rFonts w:eastAsia="Times New Roman" w:cs="Times New Roman"/>
                <w:sz w:val="20"/>
                <w:szCs w:val="20"/>
              </w:rPr>
            </w:pPr>
            <w:r w:rsidRPr="00100F0A">
              <w:rPr>
                <w:sz w:val="20"/>
                <w:szCs w:val="20"/>
              </w:rPr>
              <w:t>...</w:t>
            </w:r>
          </w:p>
        </w:tc>
        <w:tc>
          <w:tcPr>
            <w:tcW w:w="708" w:type="dxa"/>
            <w:tcBorders>
              <w:top w:val="dotted" w:sz="4" w:space="0" w:color="B7B7E2"/>
              <w:left w:val="single" w:sz="4" w:space="0" w:color="B7B7E2"/>
              <w:bottom w:val="single" w:sz="4" w:space="0" w:color="B7B7E2"/>
              <w:right w:val="single" w:sz="4" w:space="0" w:color="B7B7E2"/>
            </w:tcBorders>
          </w:tcPr>
          <w:p w14:paraId="420BE590" w14:textId="74D8E4D3" w:rsidR="00C93F9D" w:rsidRPr="00100F0A" w:rsidRDefault="00C93F9D" w:rsidP="006872A9">
            <w:pPr>
              <w:jc w:val="center"/>
              <w:rPr>
                <w:rFonts w:eastAsia="Times New Roman" w:cs="Times New Roman"/>
                <w:color w:val="000000" w:themeColor="text1"/>
                <w:sz w:val="20"/>
                <w:szCs w:val="20"/>
              </w:rPr>
            </w:pPr>
            <w:r w:rsidRPr="00100F0A">
              <w:rPr>
                <w:rFonts w:cs="Calibri"/>
                <w:color w:val="000000" w:themeColor="text1"/>
                <w:sz w:val="20"/>
                <w:szCs w:val="20"/>
              </w:rPr>
              <w:t>0</w:t>
            </w:r>
          </w:p>
        </w:tc>
        <w:tc>
          <w:tcPr>
            <w:tcW w:w="426" w:type="dxa"/>
            <w:tcBorders>
              <w:top w:val="dotted" w:sz="4" w:space="0" w:color="B7B7E2"/>
              <w:left w:val="single" w:sz="4" w:space="0" w:color="B7B7E2"/>
              <w:bottom w:val="single" w:sz="4" w:space="0" w:color="B7B7E2"/>
              <w:right w:val="single" w:sz="4" w:space="0" w:color="B7B7E2"/>
            </w:tcBorders>
          </w:tcPr>
          <w:p w14:paraId="4B5FCB23" w14:textId="0301BB76" w:rsidR="00C93F9D" w:rsidRPr="00100F0A" w:rsidRDefault="00C93F9D" w:rsidP="00B30B8D">
            <w:pPr>
              <w:jc w:val="center"/>
              <w:rPr>
                <w:sz w:val="20"/>
                <w:szCs w:val="20"/>
              </w:rPr>
            </w:pPr>
            <w:r w:rsidRPr="00100F0A">
              <w:rPr>
                <w:sz w:val="20"/>
                <w:szCs w:val="20"/>
              </w:rPr>
              <w:t>...</w:t>
            </w:r>
          </w:p>
        </w:tc>
        <w:tc>
          <w:tcPr>
            <w:tcW w:w="708" w:type="dxa"/>
            <w:tcBorders>
              <w:top w:val="dotted" w:sz="4" w:space="0" w:color="B7B7E2"/>
              <w:left w:val="single" w:sz="4" w:space="0" w:color="B7B7E2"/>
              <w:bottom w:val="single" w:sz="4" w:space="0" w:color="B7B7E2"/>
              <w:right w:val="single" w:sz="4" w:space="0" w:color="B7B7E2"/>
            </w:tcBorders>
          </w:tcPr>
          <w:p w14:paraId="521FF3DC" w14:textId="57B55568" w:rsidR="00C93F9D" w:rsidRPr="00100F0A" w:rsidRDefault="00C93F9D" w:rsidP="006872A9">
            <w:pPr>
              <w:jc w:val="center"/>
              <w:rPr>
                <w:color w:val="000000" w:themeColor="text1"/>
                <w:sz w:val="20"/>
                <w:szCs w:val="20"/>
              </w:rPr>
            </w:pPr>
            <w:r w:rsidRPr="00100F0A">
              <w:rPr>
                <w:rFonts w:cs="Calibri"/>
                <w:color w:val="000000" w:themeColor="text1"/>
                <w:sz w:val="20"/>
                <w:szCs w:val="20"/>
              </w:rPr>
              <w:t>0</w:t>
            </w:r>
          </w:p>
        </w:tc>
      </w:tr>
      <w:tr w:rsidR="00C93F9D" w:rsidRPr="00100F0A" w14:paraId="1FC0584E" w14:textId="2EDB2CD8" w:rsidTr="005F67D6">
        <w:tc>
          <w:tcPr>
            <w:tcW w:w="586" w:type="dxa"/>
            <w:tcBorders>
              <w:top w:val="single" w:sz="4" w:space="0" w:color="B7B7E2"/>
              <w:left w:val="single" w:sz="8" w:space="0" w:color="B7B7E2"/>
              <w:bottom w:val="dotted" w:sz="4" w:space="0" w:color="B7B7E2"/>
              <w:right w:val="single" w:sz="8" w:space="0" w:color="B7B7E2"/>
            </w:tcBorders>
            <w:tcMar>
              <w:top w:w="0" w:type="dxa"/>
              <w:left w:w="108" w:type="dxa"/>
              <w:bottom w:w="0" w:type="dxa"/>
              <w:right w:w="108" w:type="dxa"/>
            </w:tcMar>
            <w:hideMark/>
          </w:tcPr>
          <w:p w14:paraId="131C5827" w14:textId="77777777" w:rsidR="00C93F9D" w:rsidRPr="00100F0A" w:rsidRDefault="00C93F9D" w:rsidP="00C93F9D">
            <w:pPr>
              <w:spacing w:after="60"/>
              <w:rPr>
                <w:rFonts w:eastAsia="Times New Roman" w:cs="Times New Roman"/>
                <w:sz w:val="20"/>
              </w:rPr>
            </w:pPr>
            <w:r w:rsidRPr="00100F0A">
              <w:rPr>
                <w:sz w:val="20"/>
              </w:rPr>
              <w:t>Best</w:t>
            </w:r>
          </w:p>
        </w:tc>
        <w:tc>
          <w:tcPr>
            <w:tcW w:w="1105" w:type="dxa"/>
            <w:vMerge w:val="restart"/>
            <w:tcBorders>
              <w:top w:val="single" w:sz="8" w:space="0" w:color="B7B7E2"/>
              <w:left w:val="nil"/>
              <w:bottom w:val="dotted" w:sz="4" w:space="0" w:color="B7B7E2"/>
              <w:right w:val="single" w:sz="8" w:space="0" w:color="B7B7E2"/>
            </w:tcBorders>
            <w:tcMar>
              <w:top w:w="0" w:type="dxa"/>
              <w:left w:w="108" w:type="dxa"/>
              <w:bottom w:w="0" w:type="dxa"/>
              <w:right w:w="108" w:type="dxa"/>
            </w:tcMar>
            <w:vAlign w:val="center"/>
          </w:tcPr>
          <w:p w14:paraId="416E7C00" w14:textId="430A393C" w:rsidR="00C93F9D" w:rsidRPr="00100F0A" w:rsidRDefault="00C93F9D" w:rsidP="00C93F9D">
            <w:pPr>
              <w:spacing w:after="60"/>
              <w:rPr>
                <w:sz w:val="20"/>
              </w:rPr>
            </w:pPr>
            <w:r w:rsidRPr="00100F0A">
              <w:rPr>
                <w:sz w:val="20"/>
              </w:rPr>
              <w:t>Qld</w:t>
            </w:r>
          </w:p>
        </w:tc>
        <w:tc>
          <w:tcPr>
            <w:tcW w:w="4395" w:type="dxa"/>
            <w:tcBorders>
              <w:top w:val="single" w:sz="8" w:space="0" w:color="B7B7E2"/>
              <w:left w:val="nil"/>
              <w:bottom w:val="dotted" w:sz="4" w:space="0" w:color="B7B7E2"/>
              <w:right w:val="single" w:sz="8" w:space="0" w:color="B7B7E2"/>
            </w:tcBorders>
            <w:tcMar>
              <w:top w:w="0" w:type="dxa"/>
              <w:left w:w="108" w:type="dxa"/>
              <w:bottom w:w="0" w:type="dxa"/>
              <w:right w:w="108" w:type="dxa"/>
            </w:tcMar>
          </w:tcPr>
          <w:p w14:paraId="4697EFCE" w14:textId="27DE6579" w:rsidR="00C93F9D" w:rsidRPr="00100F0A" w:rsidRDefault="00C93F9D" w:rsidP="005F67D6">
            <w:pPr>
              <w:rPr>
                <w:rFonts w:eastAsia="Times New Roman" w:cs="Times New Roman"/>
                <w:sz w:val="20"/>
                <w:szCs w:val="20"/>
              </w:rPr>
            </w:pPr>
            <w:r w:rsidRPr="00100F0A">
              <w:rPr>
                <w:rFonts w:cs="Calibri"/>
                <w:color w:val="000000"/>
                <w:sz w:val="20"/>
                <w:szCs w:val="20"/>
              </w:rPr>
              <w:t>30% reduction in storages over 10 yrs from policy intervention (linear bleed) start in 2 yrs</w:t>
            </w:r>
          </w:p>
        </w:tc>
        <w:tc>
          <w:tcPr>
            <w:tcW w:w="708" w:type="dxa"/>
            <w:tcBorders>
              <w:top w:val="single" w:sz="4" w:space="0" w:color="B7B7E2"/>
              <w:left w:val="nil"/>
              <w:bottom w:val="dotted" w:sz="4" w:space="0" w:color="B7B7E2"/>
              <w:right w:val="single" w:sz="8" w:space="0" w:color="B7B7E2"/>
            </w:tcBorders>
            <w:tcMar>
              <w:top w:w="0" w:type="dxa"/>
              <w:left w:w="108" w:type="dxa"/>
              <w:bottom w:w="0" w:type="dxa"/>
              <w:right w:w="108" w:type="dxa"/>
            </w:tcMar>
          </w:tcPr>
          <w:p w14:paraId="4DD78994" w14:textId="1E347123" w:rsidR="00C93F9D" w:rsidRPr="00100F0A" w:rsidRDefault="00C93F9D" w:rsidP="006872A9">
            <w:pPr>
              <w:jc w:val="center"/>
              <w:rPr>
                <w:rFonts w:eastAsia="Times New Roman" w:cs="Times New Roman"/>
                <w:color w:val="000000" w:themeColor="text1"/>
                <w:sz w:val="20"/>
                <w:szCs w:val="20"/>
              </w:rPr>
            </w:pPr>
            <w:r w:rsidRPr="00100F0A">
              <w:rPr>
                <w:rFonts w:cs="Calibri"/>
                <w:color w:val="000000" w:themeColor="text1"/>
                <w:sz w:val="20"/>
                <w:szCs w:val="20"/>
              </w:rPr>
              <w:t>0</w:t>
            </w:r>
          </w:p>
        </w:tc>
        <w:tc>
          <w:tcPr>
            <w:tcW w:w="426" w:type="dxa"/>
            <w:tcBorders>
              <w:top w:val="single" w:sz="4" w:space="0" w:color="B7B7E2"/>
              <w:left w:val="nil"/>
              <w:bottom w:val="dotted" w:sz="4" w:space="0" w:color="B7B7E2"/>
              <w:right w:val="single" w:sz="8" w:space="0" w:color="B7B7E2"/>
            </w:tcBorders>
          </w:tcPr>
          <w:p w14:paraId="60C5C124" w14:textId="77777777" w:rsidR="00C93F9D" w:rsidRPr="00100F0A" w:rsidRDefault="00C93F9D" w:rsidP="00B30B8D">
            <w:pPr>
              <w:jc w:val="center"/>
              <w:rPr>
                <w:rFonts w:eastAsia="Times New Roman" w:cs="Times New Roman"/>
                <w:sz w:val="20"/>
                <w:szCs w:val="20"/>
              </w:rPr>
            </w:pPr>
            <w:r w:rsidRPr="00100F0A">
              <w:rPr>
                <w:sz w:val="20"/>
                <w:szCs w:val="20"/>
              </w:rPr>
              <w:t>...</w:t>
            </w:r>
          </w:p>
        </w:tc>
        <w:tc>
          <w:tcPr>
            <w:tcW w:w="708" w:type="dxa"/>
            <w:tcBorders>
              <w:top w:val="single" w:sz="4" w:space="0" w:color="B7B7E2"/>
              <w:left w:val="nil"/>
              <w:bottom w:val="dotted" w:sz="4" w:space="0" w:color="B7B7E2"/>
              <w:right w:val="single" w:sz="8" w:space="0" w:color="B7B7E2"/>
            </w:tcBorders>
          </w:tcPr>
          <w:p w14:paraId="1D8F5BC5" w14:textId="3FCF7793" w:rsidR="00C93F9D" w:rsidRPr="00100F0A" w:rsidRDefault="00C93F9D" w:rsidP="006872A9">
            <w:pPr>
              <w:jc w:val="center"/>
              <w:rPr>
                <w:rFonts w:eastAsia="Times New Roman" w:cs="Times New Roman"/>
                <w:color w:val="000000" w:themeColor="text1"/>
                <w:sz w:val="20"/>
                <w:szCs w:val="20"/>
              </w:rPr>
            </w:pPr>
            <w:r w:rsidRPr="00100F0A">
              <w:rPr>
                <w:rFonts w:cs="Calibri"/>
                <w:color w:val="000000" w:themeColor="text1"/>
                <w:sz w:val="20"/>
                <w:szCs w:val="20"/>
              </w:rPr>
              <w:t>2,700</w:t>
            </w:r>
          </w:p>
        </w:tc>
        <w:tc>
          <w:tcPr>
            <w:tcW w:w="426" w:type="dxa"/>
            <w:tcBorders>
              <w:top w:val="single" w:sz="4" w:space="0" w:color="B7B7E2"/>
              <w:left w:val="nil"/>
              <w:bottom w:val="dotted" w:sz="4" w:space="0" w:color="B7B7E2"/>
              <w:right w:val="single" w:sz="8" w:space="0" w:color="B7B7E2"/>
            </w:tcBorders>
          </w:tcPr>
          <w:p w14:paraId="7F9EC5A0" w14:textId="748146A0" w:rsidR="00C93F9D" w:rsidRPr="00100F0A" w:rsidRDefault="00C93F9D" w:rsidP="00B30B8D">
            <w:pPr>
              <w:jc w:val="center"/>
              <w:rPr>
                <w:sz w:val="20"/>
                <w:szCs w:val="20"/>
              </w:rPr>
            </w:pPr>
            <w:r w:rsidRPr="00100F0A">
              <w:rPr>
                <w:sz w:val="20"/>
                <w:szCs w:val="20"/>
              </w:rPr>
              <w:t>...</w:t>
            </w:r>
          </w:p>
        </w:tc>
        <w:tc>
          <w:tcPr>
            <w:tcW w:w="708" w:type="dxa"/>
            <w:tcBorders>
              <w:top w:val="single" w:sz="4" w:space="0" w:color="B7B7E2"/>
              <w:left w:val="nil"/>
              <w:bottom w:val="dotted" w:sz="4" w:space="0" w:color="B7B7E2"/>
              <w:right w:val="single" w:sz="8" w:space="0" w:color="B7B7E2"/>
            </w:tcBorders>
          </w:tcPr>
          <w:p w14:paraId="29541FDB" w14:textId="629A4D9F" w:rsidR="00C93F9D" w:rsidRPr="00100F0A" w:rsidRDefault="00C93F9D" w:rsidP="006872A9">
            <w:pPr>
              <w:jc w:val="center"/>
              <w:rPr>
                <w:color w:val="000000" w:themeColor="text1"/>
                <w:sz w:val="20"/>
                <w:szCs w:val="20"/>
              </w:rPr>
            </w:pPr>
            <w:r w:rsidRPr="00100F0A">
              <w:rPr>
                <w:rFonts w:cs="Calibri"/>
                <w:color w:val="000000" w:themeColor="text1"/>
                <w:sz w:val="20"/>
                <w:szCs w:val="20"/>
              </w:rPr>
              <w:t>2,700</w:t>
            </w:r>
          </w:p>
        </w:tc>
      </w:tr>
      <w:tr w:rsidR="00C93F9D" w:rsidRPr="00100F0A" w14:paraId="33BB0F9F" w14:textId="1B56CFAE" w:rsidTr="005F67D6">
        <w:tc>
          <w:tcPr>
            <w:tcW w:w="586" w:type="dxa"/>
            <w:tcBorders>
              <w:top w:val="dotted" w:sz="4" w:space="0" w:color="B7B7E2"/>
              <w:left w:val="single" w:sz="8" w:space="0" w:color="B7B7E2"/>
              <w:bottom w:val="dotted" w:sz="4" w:space="0" w:color="B7B7E2"/>
              <w:right w:val="single" w:sz="8" w:space="0" w:color="B7B7E2"/>
            </w:tcBorders>
            <w:tcMar>
              <w:top w:w="0" w:type="dxa"/>
              <w:left w:w="108" w:type="dxa"/>
              <w:bottom w:w="0" w:type="dxa"/>
              <w:right w:w="108" w:type="dxa"/>
            </w:tcMar>
            <w:hideMark/>
          </w:tcPr>
          <w:p w14:paraId="3108639B" w14:textId="77777777" w:rsidR="00C93F9D" w:rsidRPr="00100F0A" w:rsidRDefault="00C93F9D" w:rsidP="00C93F9D">
            <w:pPr>
              <w:spacing w:after="60"/>
              <w:rPr>
                <w:rFonts w:eastAsia="Times New Roman" w:cs="Times New Roman"/>
                <w:sz w:val="20"/>
              </w:rPr>
            </w:pPr>
            <w:r w:rsidRPr="00100F0A">
              <w:rPr>
                <w:sz w:val="20"/>
              </w:rPr>
              <w:t>High</w:t>
            </w:r>
          </w:p>
        </w:tc>
        <w:tc>
          <w:tcPr>
            <w:tcW w:w="1105" w:type="dxa"/>
            <w:vMerge/>
            <w:tcBorders>
              <w:top w:val="dotted" w:sz="4" w:space="0" w:color="B7B7E2"/>
              <w:left w:val="nil"/>
              <w:bottom w:val="dotted" w:sz="4" w:space="0" w:color="B7B7E2"/>
              <w:right w:val="single" w:sz="8" w:space="0" w:color="B7B7E2"/>
            </w:tcBorders>
            <w:tcMar>
              <w:top w:w="0" w:type="dxa"/>
              <w:left w:w="108" w:type="dxa"/>
              <w:bottom w:w="0" w:type="dxa"/>
              <w:right w:w="108" w:type="dxa"/>
            </w:tcMar>
          </w:tcPr>
          <w:p w14:paraId="29E1FEC9" w14:textId="77777777" w:rsidR="00C93F9D" w:rsidRPr="00100F0A" w:rsidRDefault="00C93F9D" w:rsidP="00C93F9D">
            <w:pPr>
              <w:spacing w:after="60"/>
              <w:rPr>
                <w:sz w:val="20"/>
              </w:rPr>
            </w:pPr>
          </w:p>
        </w:tc>
        <w:tc>
          <w:tcPr>
            <w:tcW w:w="4395" w:type="dxa"/>
            <w:tcBorders>
              <w:top w:val="dotted" w:sz="4" w:space="0" w:color="B7B7E2"/>
              <w:left w:val="nil"/>
              <w:bottom w:val="dotted" w:sz="4" w:space="0" w:color="B7B7E2"/>
              <w:right w:val="single" w:sz="8" w:space="0" w:color="B7B7E2"/>
            </w:tcBorders>
            <w:tcMar>
              <w:top w:w="0" w:type="dxa"/>
              <w:left w:w="108" w:type="dxa"/>
              <w:bottom w:w="0" w:type="dxa"/>
              <w:right w:w="108" w:type="dxa"/>
            </w:tcMar>
          </w:tcPr>
          <w:p w14:paraId="5DF837D0" w14:textId="19E78BC1" w:rsidR="00C93F9D" w:rsidRPr="00100F0A" w:rsidRDefault="00C93F9D" w:rsidP="005F67D6">
            <w:pPr>
              <w:rPr>
                <w:rFonts w:eastAsia="Times New Roman" w:cs="Times New Roman"/>
                <w:sz w:val="20"/>
                <w:szCs w:val="20"/>
              </w:rPr>
            </w:pPr>
            <w:r w:rsidRPr="00100F0A">
              <w:rPr>
                <w:rFonts w:cs="Calibri"/>
                <w:color w:val="000000"/>
                <w:sz w:val="20"/>
                <w:szCs w:val="20"/>
              </w:rPr>
              <w:t>100% reduction in storages over 10 yrs from policy intervention (linear bleed) start in 2 yrs</w:t>
            </w:r>
          </w:p>
        </w:tc>
        <w:tc>
          <w:tcPr>
            <w:tcW w:w="708" w:type="dxa"/>
            <w:tcBorders>
              <w:top w:val="dotted" w:sz="4" w:space="0" w:color="B7B7E2"/>
              <w:left w:val="nil"/>
              <w:bottom w:val="dotted" w:sz="4" w:space="0" w:color="B7B7E2"/>
              <w:right w:val="single" w:sz="8" w:space="0" w:color="B7B7E2"/>
            </w:tcBorders>
            <w:tcMar>
              <w:top w:w="0" w:type="dxa"/>
              <w:left w:w="108" w:type="dxa"/>
              <w:bottom w:w="0" w:type="dxa"/>
              <w:right w:w="108" w:type="dxa"/>
            </w:tcMar>
          </w:tcPr>
          <w:p w14:paraId="16821BC1" w14:textId="5CE4FF1D" w:rsidR="00C93F9D" w:rsidRPr="00100F0A" w:rsidRDefault="00C93F9D" w:rsidP="006872A9">
            <w:pPr>
              <w:jc w:val="center"/>
              <w:rPr>
                <w:rFonts w:eastAsia="Times New Roman" w:cs="Times New Roman"/>
                <w:color w:val="000000" w:themeColor="text1"/>
                <w:sz w:val="20"/>
                <w:szCs w:val="20"/>
              </w:rPr>
            </w:pPr>
            <w:r w:rsidRPr="00100F0A">
              <w:rPr>
                <w:rFonts w:cs="Calibri"/>
                <w:color w:val="000000" w:themeColor="text1"/>
                <w:sz w:val="20"/>
                <w:szCs w:val="20"/>
              </w:rPr>
              <w:t>0</w:t>
            </w:r>
          </w:p>
        </w:tc>
        <w:tc>
          <w:tcPr>
            <w:tcW w:w="426" w:type="dxa"/>
            <w:tcBorders>
              <w:top w:val="dotted" w:sz="4" w:space="0" w:color="B7B7E2"/>
              <w:left w:val="nil"/>
              <w:bottom w:val="dotted" w:sz="4" w:space="0" w:color="B7B7E2"/>
              <w:right w:val="single" w:sz="8" w:space="0" w:color="B7B7E2"/>
            </w:tcBorders>
          </w:tcPr>
          <w:p w14:paraId="186F71E3" w14:textId="77777777" w:rsidR="00C93F9D" w:rsidRPr="00100F0A" w:rsidRDefault="00C93F9D" w:rsidP="00B30B8D">
            <w:pPr>
              <w:jc w:val="center"/>
              <w:rPr>
                <w:rFonts w:eastAsia="Times New Roman" w:cs="Times New Roman"/>
                <w:sz w:val="20"/>
                <w:szCs w:val="20"/>
              </w:rPr>
            </w:pPr>
            <w:r w:rsidRPr="00100F0A">
              <w:rPr>
                <w:sz w:val="20"/>
                <w:szCs w:val="20"/>
              </w:rPr>
              <w:t>...</w:t>
            </w:r>
          </w:p>
        </w:tc>
        <w:tc>
          <w:tcPr>
            <w:tcW w:w="708" w:type="dxa"/>
            <w:tcBorders>
              <w:top w:val="dotted" w:sz="4" w:space="0" w:color="B7B7E2"/>
              <w:left w:val="nil"/>
              <w:bottom w:val="dotted" w:sz="4" w:space="0" w:color="B7B7E2"/>
              <w:right w:val="single" w:sz="8" w:space="0" w:color="B7B7E2"/>
            </w:tcBorders>
          </w:tcPr>
          <w:p w14:paraId="0670E2D7" w14:textId="152B253C" w:rsidR="00C93F9D" w:rsidRPr="00100F0A" w:rsidRDefault="00C93F9D" w:rsidP="006872A9">
            <w:pPr>
              <w:jc w:val="center"/>
              <w:rPr>
                <w:rFonts w:eastAsia="Times New Roman" w:cs="Times New Roman"/>
                <w:color w:val="000000" w:themeColor="text1"/>
                <w:sz w:val="20"/>
                <w:szCs w:val="20"/>
              </w:rPr>
            </w:pPr>
            <w:r w:rsidRPr="00100F0A">
              <w:rPr>
                <w:rFonts w:cs="Calibri"/>
                <w:color w:val="000000" w:themeColor="text1"/>
                <w:sz w:val="20"/>
                <w:szCs w:val="20"/>
              </w:rPr>
              <w:t>9,000</w:t>
            </w:r>
          </w:p>
        </w:tc>
        <w:tc>
          <w:tcPr>
            <w:tcW w:w="426" w:type="dxa"/>
            <w:tcBorders>
              <w:top w:val="dotted" w:sz="4" w:space="0" w:color="B7B7E2"/>
              <w:left w:val="nil"/>
              <w:bottom w:val="dotted" w:sz="4" w:space="0" w:color="B7B7E2"/>
              <w:right w:val="single" w:sz="8" w:space="0" w:color="B7B7E2"/>
            </w:tcBorders>
          </w:tcPr>
          <w:p w14:paraId="57D288E3" w14:textId="1E7F6124" w:rsidR="00C93F9D" w:rsidRPr="00100F0A" w:rsidRDefault="00C93F9D" w:rsidP="00B30B8D">
            <w:pPr>
              <w:jc w:val="center"/>
              <w:rPr>
                <w:sz w:val="20"/>
                <w:szCs w:val="20"/>
              </w:rPr>
            </w:pPr>
            <w:r w:rsidRPr="00100F0A">
              <w:rPr>
                <w:sz w:val="20"/>
                <w:szCs w:val="20"/>
              </w:rPr>
              <w:t>...</w:t>
            </w:r>
          </w:p>
        </w:tc>
        <w:tc>
          <w:tcPr>
            <w:tcW w:w="708" w:type="dxa"/>
            <w:tcBorders>
              <w:top w:val="dotted" w:sz="4" w:space="0" w:color="B7B7E2"/>
              <w:left w:val="nil"/>
              <w:bottom w:val="dotted" w:sz="4" w:space="0" w:color="B7B7E2"/>
              <w:right w:val="single" w:sz="8" w:space="0" w:color="B7B7E2"/>
            </w:tcBorders>
          </w:tcPr>
          <w:p w14:paraId="6C6A05BF" w14:textId="54A0BA9B" w:rsidR="00C93F9D" w:rsidRPr="00100F0A" w:rsidRDefault="00C93F9D" w:rsidP="006872A9">
            <w:pPr>
              <w:jc w:val="center"/>
              <w:rPr>
                <w:color w:val="000000" w:themeColor="text1"/>
                <w:sz w:val="20"/>
                <w:szCs w:val="20"/>
              </w:rPr>
            </w:pPr>
            <w:r w:rsidRPr="00100F0A">
              <w:rPr>
                <w:rFonts w:cs="Calibri"/>
                <w:color w:val="000000" w:themeColor="text1"/>
                <w:sz w:val="20"/>
                <w:szCs w:val="20"/>
              </w:rPr>
              <w:t>0</w:t>
            </w:r>
          </w:p>
        </w:tc>
      </w:tr>
      <w:tr w:rsidR="00C93F9D" w:rsidRPr="00100F0A" w14:paraId="40B52153" w14:textId="3A6B71CA" w:rsidTr="005F67D6">
        <w:tc>
          <w:tcPr>
            <w:tcW w:w="586" w:type="dxa"/>
            <w:tcBorders>
              <w:top w:val="dotted" w:sz="4" w:space="0" w:color="B7B7E2"/>
              <w:left w:val="single" w:sz="8" w:space="0" w:color="B7B7E2"/>
              <w:bottom w:val="single" w:sz="4" w:space="0" w:color="B7B7E2"/>
              <w:right w:val="single" w:sz="8" w:space="0" w:color="B7B7E2"/>
            </w:tcBorders>
            <w:tcMar>
              <w:top w:w="0" w:type="dxa"/>
              <w:left w:w="108" w:type="dxa"/>
              <w:bottom w:w="0" w:type="dxa"/>
              <w:right w:w="108" w:type="dxa"/>
            </w:tcMar>
            <w:hideMark/>
          </w:tcPr>
          <w:p w14:paraId="2A532579" w14:textId="77777777" w:rsidR="00C93F9D" w:rsidRPr="00100F0A" w:rsidRDefault="00C93F9D" w:rsidP="00C93F9D">
            <w:pPr>
              <w:spacing w:after="60"/>
              <w:rPr>
                <w:rFonts w:eastAsia="Times New Roman" w:cs="Times New Roman"/>
                <w:sz w:val="20"/>
              </w:rPr>
            </w:pPr>
            <w:r w:rsidRPr="00100F0A">
              <w:rPr>
                <w:sz w:val="20"/>
              </w:rPr>
              <w:t>Low</w:t>
            </w:r>
          </w:p>
        </w:tc>
        <w:tc>
          <w:tcPr>
            <w:tcW w:w="1105" w:type="dxa"/>
            <w:vMerge/>
            <w:tcBorders>
              <w:top w:val="dotted" w:sz="4" w:space="0" w:color="B7B7E2"/>
              <w:left w:val="nil"/>
              <w:bottom w:val="single" w:sz="4" w:space="0" w:color="B7B7E2"/>
              <w:right w:val="single" w:sz="8" w:space="0" w:color="B7B7E2"/>
            </w:tcBorders>
            <w:tcMar>
              <w:top w:w="0" w:type="dxa"/>
              <w:left w:w="108" w:type="dxa"/>
              <w:bottom w:w="0" w:type="dxa"/>
              <w:right w:w="108" w:type="dxa"/>
            </w:tcMar>
          </w:tcPr>
          <w:p w14:paraId="52D15D36" w14:textId="77777777" w:rsidR="00C93F9D" w:rsidRPr="00100F0A" w:rsidRDefault="00C93F9D" w:rsidP="00C93F9D">
            <w:pPr>
              <w:spacing w:after="60"/>
              <w:rPr>
                <w:sz w:val="20"/>
              </w:rPr>
            </w:pPr>
          </w:p>
        </w:tc>
        <w:tc>
          <w:tcPr>
            <w:tcW w:w="4395" w:type="dxa"/>
            <w:tcBorders>
              <w:top w:val="dotted" w:sz="4" w:space="0" w:color="B7B7E2"/>
              <w:left w:val="nil"/>
              <w:bottom w:val="single" w:sz="4" w:space="0" w:color="B7B7E2"/>
              <w:right w:val="single" w:sz="8" w:space="0" w:color="B7B7E2"/>
            </w:tcBorders>
            <w:tcMar>
              <w:top w:w="0" w:type="dxa"/>
              <w:left w:w="108" w:type="dxa"/>
              <w:bottom w:w="0" w:type="dxa"/>
              <w:right w:w="108" w:type="dxa"/>
            </w:tcMar>
          </w:tcPr>
          <w:p w14:paraId="44F1BAAE" w14:textId="62E938D0" w:rsidR="00C93F9D" w:rsidRPr="00100F0A" w:rsidRDefault="00C93F9D" w:rsidP="005F67D6">
            <w:pPr>
              <w:rPr>
                <w:rFonts w:eastAsia="Times New Roman" w:cs="Times New Roman"/>
                <w:sz w:val="20"/>
                <w:szCs w:val="20"/>
              </w:rPr>
            </w:pPr>
            <w:r w:rsidRPr="00100F0A">
              <w:rPr>
                <w:rFonts w:cs="Calibri"/>
                <w:color w:val="000000"/>
                <w:sz w:val="20"/>
                <w:szCs w:val="20"/>
              </w:rPr>
              <w:t>No storage releases</w:t>
            </w:r>
          </w:p>
        </w:tc>
        <w:tc>
          <w:tcPr>
            <w:tcW w:w="708" w:type="dxa"/>
            <w:tcBorders>
              <w:top w:val="dotted" w:sz="4" w:space="0" w:color="B7B7E2"/>
              <w:left w:val="nil"/>
              <w:bottom w:val="single" w:sz="4" w:space="0" w:color="B7B7E2"/>
              <w:right w:val="single" w:sz="8" w:space="0" w:color="B7B7E2"/>
            </w:tcBorders>
            <w:tcMar>
              <w:top w:w="0" w:type="dxa"/>
              <w:left w:w="108" w:type="dxa"/>
              <w:bottom w:w="0" w:type="dxa"/>
              <w:right w:w="108" w:type="dxa"/>
            </w:tcMar>
          </w:tcPr>
          <w:p w14:paraId="08938BCB" w14:textId="581BEC9A" w:rsidR="00C93F9D" w:rsidRPr="00100F0A" w:rsidRDefault="00C93F9D" w:rsidP="006872A9">
            <w:pPr>
              <w:jc w:val="center"/>
              <w:rPr>
                <w:rFonts w:eastAsia="Times New Roman" w:cs="Times New Roman"/>
                <w:color w:val="000000" w:themeColor="text1"/>
                <w:sz w:val="20"/>
                <w:szCs w:val="20"/>
              </w:rPr>
            </w:pPr>
            <w:r w:rsidRPr="00100F0A">
              <w:rPr>
                <w:rFonts w:cs="Calibri"/>
                <w:color w:val="000000" w:themeColor="text1"/>
                <w:sz w:val="20"/>
                <w:szCs w:val="20"/>
              </w:rPr>
              <w:t>0</w:t>
            </w:r>
          </w:p>
        </w:tc>
        <w:tc>
          <w:tcPr>
            <w:tcW w:w="426" w:type="dxa"/>
            <w:tcBorders>
              <w:top w:val="dotted" w:sz="4" w:space="0" w:color="B7B7E2"/>
              <w:left w:val="nil"/>
              <w:bottom w:val="single" w:sz="4" w:space="0" w:color="B7B7E2"/>
              <w:right w:val="single" w:sz="8" w:space="0" w:color="B7B7E2"/>
            </w:tcBorders>
          </w:tcPr>
          <w:p w14:paraId="1F669169" w14:textId="77777777" w:rsidR="00C93F9D" w:rsidRPr="00100F0A" w:rsidRDefault="00C93F9D" w:rsidP="00B30B8D">
            <w:pPr>
              <w:jc w:val="center"/>
              <w:rPr>
                <w:rFonts w:eastAsia="Times New Roman" w:cs="Times New Roman"/>
                <w:sz w:val="20"/>
                <w:szCs w:val="20"/>
              </w:rPr>
            </w:pPr>
            <w:r w:rsidRPr="00100F0A">
              <w:rPr>
                <w:sz w:val="20"/>
                <w:szCs w:val="20"/>
              </w:rPr>
              <w:t>...</w:t>
            </w:r>
          </w:p>
        </w:tc>
        <w:tc>
          <w:tcPr>
            <w:tcW w:w="708" w:type="dxa"/>
            <w:tcBorders>
              <w:top w:val="dotted" w:sz="4" w:space="0" w:color="B7B7E2"/>
              <w:left w:val="nil"/>
              <w:bottom w:val="single" w:sz="4" w:space="0" w:color="B7B7E2"/>
              <w:right w:val="single" w:sz="8" w:space="0" w:color="B7B7E2"/>
            </w:tcBorders>
          </w:tcPr>
          <w:p w14:paraId="3CE5387E" w14:textId="334038AD" w:rsidR="00C93F9D" w:rsidRPr="00100F0A" w:rsidRDefault="00C93F9D" w:rsidP="006872A9">
            <w:pPr>
              <w:jc w:val="center"/>
              <w:rPr>
                <w:rFonts w:eastAsia="Times New Roman" w:cs="Times New Roman"/>
                <w:color w:val="000000" w:themeColor="text1"/>
                <w:sz w:val="20"/>
                <w:szCs w:val="20"/>
              </w:rPr>
            </w:pPr>
            <w:r w:rsidRPr="00100F0A">
              <w:rPr>
                <w:rFonts w:cs="Calibri"/>
                <w:color w:val="000000" w:themeColor="text1"/>
                <w:sz w:val="20"/>
                <w:szCs w:val="20"/>
              </w:rPr>
              <w:t>0</w:t>
            </w:r>
          </w:p>
        </w:tc>
        <w:tc>
          <w:tcPr>
            <w:tcW w:w="426" w:type="dxa"/>
            <w:tcBorders>
              <w:top w:val="dotted" w:sz="4" w:space="0" w:color="B7B7E2"/>
              <w:left w:val="nil"/>
              <w:bottom w:val="single" w:sz="4" w:space="0" w:color="B7B7E2"/>
              <w:right w:val="single" w:sz="8" w:space="0" w:color="B7B7E2"/>
            </w:tcBorders>
          </w:tcPr>
          <w:p w14:paraId="4B5A8969" w14:textId="17BE539C" w:rsidR="00C93F9D" w:rsidRPr="00100F0A" w:rsidRDefault="00C93F9D" w:rsidP="00B30B8D">
            <w:pPr>
              <w:jc w:val="center"/>
              <w:rPr>
                <w:sz w:val="20"/>
                <w:szCs w:val="20"/>
              </w:rPr>
            </w:pPr>
            <w:r w:rsidRPr="00100F0A">
              <w:rPr>
                <w:sz w:val="20"/>
                <w:szCs w:val="20"/>
              </w:rPr>
              <w:t>...</w:t>
            </w:r>
          </w:p>
        </w:tc>
        <w:tc>
          <w:tcPr>
            <w:tcW w:w="708" w:type="dxa"/>
            <w:tcBorders>
              <w:top w:val="dotted" w:sz="4" w:space="0" w:color="B7B7E2"/>
              <w:left w:val="nil"/>
              <w:bottom w:val="single" w:sz="4" w:space="0" w:color="B7B7E2"/>
              <w:right w:val="single" w:sz="8" w:space="0" w:color="B7B7E2"/>
            </w:tcBorders>
          </w:tcPr>
          <w:p w14:paraId="46F92088" w14:textId="3523B117" w:rsidR="00C93F9D" w:rsidRPr="00100F0A" w:rsidRDefault="00C93F9D" w:rsidP="006872A9">
            <w:pPr>
              <w:jc w:val="center"/>
              <w:rPr>
                <w:color w:val="000000" w:themeColor="text1"/>
                <w:sz w:val="20"/>
                <w:szCs w:val="20"/>
              </w:rPr>
            </w:pPr>
            <w:r w:rsidRPr="00100F0A">
              <w:rPr>
                <w:rFonts w:cs="Calibri"/>
                <w:color w:val="000000" w:themeColor="text1"/>
                <w:sz w:val="20"/>
                <w:szCs w:val="20"/>
              </w:rPr>
              <w:t>0</w:t>
            </w:r>
          </w:p>
        </w:tc>
      </w:tr>
      <w:tr w:rsidR="00C93F9D" w:rsidRPr="00100F0A" w14:paraId="228AD187" w14:textId="5E61EC8D" w:rsidTr="005F67D6">
        <w:tc>
          <w:tcPr>
            <w:tcW w:w="586" w:type="dxa"/>
            <w:tcBorders>
              <w:top w:val="single" w:sz="4" w:space="0" w:color="B7B7E2"/>
              <w:left w:val="single" w:sz="8" w:space="0" w:color="B7B7E2"/>
              <w:bottom w:val="dotted" w:sz="4" w:space="0" w:color="B7B7E2"/>
              <w:right w:val="single" w:sz="8" w:space="0" w:color="B7B7E2"/>
            </w:tcBorders>
            <w:tcMar>
              <w:top w:w="0" w:type="dxa"/>
              <w:left w:w="108" w:type="dxa"/>
              <w:bottom w:w="0" w:type="dxa"/>
              <w:right w:w="108" w:type="dxa"/>
            </w:tcMar>
          </w:tcPr>
          <w:p w14:paraId="03550B8E" w14:textId="4AFA2FD2" w:rsidR="00C93F9D" w:rsidRPr="00100F0A" w:rsidRDefault="00C93F9D" w:rsidP="00C93F9D">
            <w:pPr>
              <w:spacing w:after="60"/>
              <w:rPr>
                <w:sz w:val="20"/>
              </w:rPr>
            </w:pPr>
            <w:r w:rsidRPr="00100F0A">
              <w:rPr>
                <w:sz w:val="20"/>
              </w:rPr>
              <w:t>Best</w:t>
            </w:r>
          </w:p>
        </w:tc>
        <w:tc>
          <w:tcPr>
            <w:tcW w:w="1105" w:type="dxa"/>
            <w:vMerge w:val="restart"/>
            <w:tcBorders>
              <w:top w:val="single" w:sz="4" w:space="0" w:color="B7B7E2"/>
              <w:left w:val="nil"/>
              <w:right w:val="single" w:sz="8" w:space="0" w:color="B7B7E2"/>
            </w:tcBorders>
            <w:tcMar>
              <w:top w:w="0" w:type="dxa"/>
              <w:left w:w="108" w:type="dxa"/>
              <w:bottom w:w="0" w:type="dxa"/>
              <w:right w:w="108" w:type="dxa"/>
            </w:tcMar>
            <w:vAlign w:val="center"/>
          </w:tcPr>
          <w:p w14:paraId="70A8F783" w14:textId="7420B926" w:rsidR="00C93F9D" w:rsidRPr="00100F0A" w:rsidRDefault="00C93F9D" w:rsidP="00C93F9D">
            <w:pPr>
              <w:spacing w:after="60"/>
              <w:rPr>
                <w:sz w:val="20"/>
              </w:rPr>
            </w:pPr>
            <w:r w:rsidRPr="00100F0A">
              <w:rPr>
                <w:sz w:val="20"/>
              </w:rPr>
              <w:t>Tas</w:t>
            </w:r>
          </w:p>
        </w:tc>
        <w:tc>
          <w:tcPr>
            <w:tcW w:w="4395" w:type="dxa"/>
            <w:tcBorders>
              <w:top w:val="single" w:sz="4" w:space="0" w:color="B7B7E2"/>
              <w:left w:val="nil"/>
              <w:bottom w:val="dotted" w:sz="4" w:space="0" w:color="B7B7E2"/>
              <w:right w:val="single" w:sz="8" w:space="0" w:color="B7B7E2"/>
            </w:tcBorders>
            <w:tcMar>
              <w:top w:w="0" w:type="dxa"/>
              <w:left w:w="108" w:type="dxa"/>
              <w:bottom w:w="0" w:type="dxa"/>
              <w:right w:w="108" w:type="dxa"/>
            </w:tcMar>
          </w:tcPr>
          <w:p w14:paraId="1D2C4DE3" w14:textId="28356B44" w:rsidR="00C93F9D" w:rsidRPr="00100F0A" w:rsidRDefault="00C93F9D" w:rsidP="005F67D6">
            <w:pPr>
              <w:rPr>
                <w:sz w:val="20"/>
                <w:szCs w:val="20"/>
              </w:rPr>
            </w:pPr>
            <w:r w:rsidRPr="00100F0A">
              <w:rPr>
                <w:rFonts w:cs="Calibri"/>
                <w:color w:val="000000"/>
                <w:sz w:val="20"/>
                <w:szCs w:val="20"/>
              </w:rPr>
              <w:t>30% reduction in storages over 10 yrs from policy intervention (linear bleed) start in 2 yrs</w:t>
            </w:r>
          </w:p>
        </w:tc>
        <w:tc>
          <w:tcPr>
            <w:tcW w:w="708" w:type="dxa"/>
            <w:tcBorders>
              <w:top w:val="single" w:sz="4" w:space="0" w:color="B7B7E2"/>
              <w:left w:val="nil"/>
              <w:bottom w:val="dotted" w:sz="4" w:space="0" w:color="B7B7E2"/>
              <w:right w:val="single" w:sz="8" w:space="0" w:color="B7B7E2"/>
            </w:tcBorders>
            <w:tcMar>
              <w:top w:w="0" w:type="dxa"/>
              <w:left w:w="108" w:type="dxa"/>
              <w:bottom w:w="0" w:type="dxa"/>
              <w:right w:w="108" w:type="dxa"/>
            </w:tcMar>
          </w:tcPr>
          <w:p w14:paraId="47B4BA3B" w14:textId="4250AD75" w:rsidR="00C93F9D" w:rsidRPr="00100F0A" w:rsidRDefault="00C93F9D" w:rsidP="006872A9">
            <w:pPr>
              <w:jc w:val="center"/>
              <w:rPr>
                <w:color w:val="000000" w:themeColor="text1"/>
                <w:sz w:val="20"/>
                <w:szCs w:val="20"/>
              </w:rPr>
            </w:pPr>
            <w:r w:rsidRPr="00100F0A">
              <w:rPr>
                <w:rFonts w:cs="Calibri"/>
                <w:color w:val="000000" w:themeColor="text1"/>
                <w:sz w:val="20"/>
                <w:szCs w:val="20"/>
              </w:rPr>
              <w:t>0</w:t>
            </w:r>
          </w:p>
        </w:tc>
        <w:tc>
          <w:tcPr>
            <w:tcW w:w="426" w:type="dxa"/>
            <w:tcBorders>
              <w:top w:val="single" w:sz="4" w:space="0" w:color="B7B7E2"/>
              <w:left w:val="nil"/>
              <w:bottom w:val="dotted" w:sz="4" w:space="0" w:color="B7B7E2"/>
              <w:right w:val="single" w:sz="8" w:space="0" w:color="B7B7E2"/>
            </w:tcBorders>
          </w:tcPr>
          <w:p w14:paraId="7B594F2F" w14:textId="6210AFF3" w:rsidR="00C93F9D" w:rsidRPr="00100F0A" w:rsidRDefault="00C93F9D" w:rsidP="00B30B8D">
            <w:pPr>
              <w:jc w:val="center"/>
              <w:rPr>
                <w:sz w:val="20"/>
                <w:szCs w:val="20"/>
              </w:rPr>
            </w:pPr>
            <w:r w:rsidRPr="00100F0A">
              <w:rPr>
                <w:sz w:val="20"/>
                <w:szCs w:val="20"/>
              </w:rPr>
              <w:t>...</w:t>
            </w:r>
          </w:p>
        </w:tc>
        <w:tc>
          <w:tcPr>
            <w:tcW w:w="708" w:type="dxa"/>
            <w:tcBorders>
              <w:top w:val="single" w:sz="4" w:space="0" w:color="B7B7E2"/>
              <w:left w:val="nil"/>
              <w:bottom w:val="dotted" w:sz="4" w:space="0" w:color="B7B7E2"/>
              <w:right w:val="single" w:sz="8" w:space="0" w:color="B7B7E2"/>
            </w:tcBorders>
          </w:tcPr>
          <w:p w14:paraId="2C3FB18A" w14:textId="41CB226F" w:rsidR="00C93F9D" w:rsidRPr="00100F0A" w:rsidRDefault="00C93F9D" w:rsidP="006872A9">
            <w:pPr>
              <w:jc w:val="center"/>
              <w:rPr>
                <w:color w:val="000000" w:themeColor="text1"/>
                <w:sz w:val="20"/>
                <w:szCs w:val="20"/>
              </w:rPr>
            </w:pPr>
            <w:r w:rsidRPr="00100F0A">
              <w:rPr>
                <w:rFonts w:cs="Calibri"/>
                <w:color w:val="000000" w:themeColor="text1"/>
                <w:sz w:val="20"/>
                <w:szCs w:val="20"/>
              </w:rPr>
              <w:t>4,980</w:t>
            </w:r>
          </w:p>
        </w:tc>
        <w:tc>
          <w:tcPr>
            <w:tcW w:w="426" w:type="dxa"/>
            <w:tcBorders>
              <w:top w:val="single" w:sz="4" w:space="0" w:color="B7B7E2"/>
              <w:left w:val="nil"/>
              <w:bottom w:val="dotted" w:sz="4" w:space="0" w:color="B7B7E2"/>
              <w:right w:val="single" w:sz="8" w:space="0" w:color="B7B7E2"/>
            </w:tcBorders>
          </w:tcPr>
          <w:p w14:paraId="6DDB8576" w14:textId="353AF277" w:rsidR="00C93F9D" w:rsidRPr="00100F0A" w:rsidRDefault="00C93F9D" w:rsidP="00B30B8D">
            <w:pPr>
              <w:jc w:val="center"/>
              <w:rPr>
                <w:sz w:val="20"/>
                <w:szCs w:val="20"/>
              </w:rPr>
            </w:pPr>
            <w:r w:rsidRPr="00100F0A">
              <w:rPr>
                <w:sz w:val="20"/>
                <w:szCs w:val="20"/>
              </w:rPr>
              <w:t>...</w:t>
            </w:r>
          </w:p>
        </w:tc>
        <w:tc>
          <w:tcPr>
            <w:tcW w:w="708" w:type="dxa"/>
            <w:tcBorders>
              <w:top w:val="single" w:sz="4" w:space="0" w:color="B7B7E2"/>
              <w:left w:val="nil"/>
              <w:bottom w:val="dotted" w:sz="4" w:space="0" w:color="B7B7E2"/>
              <w:right w:val="single" w:sz="8" w:space="0" w:color="B7B7E2"/>
            </w:tcBorders>
          </w:tcPr>
          <w:p w14:paraId="6DBCD3AF" w14:textId="354D7E99" w:rsidR="00C93F9D" w:rsidRPr="00100F0A" w:rsidRDefault="00C93F9D" w:rsidP="006872A9">
            <w:pPr>
              <w:jc w:val="center"/>
              <w:rPr>
                <w:color w:val="000000" w:themeColor="text1"/>
                <w:sz w:val="20"/>
                <w:szCs w:val="20"/>
              </w:rPr>
            </w:pPr>
            <w:r w:rsidRPr="00100F0A">
              <w:rPr>
                <w:rFonts w:cs="Calibri"/>
                <w:color w:val="000000" w:themeColor="text1"/>
                <w:sz w:val="20"/>
                <w:szCs w:val="20"/>
              </w:rPr>
              <w:t>4,980</w:t>
            </w:r>
          </w:p>
        </w:tc>
      </w:tr>
      <w:tr w:rsidR="00C93F9D" w:rsidRPr="00100F0A" w14:paraId="67BB6A5E" w14:textId="0011C116" w:rsidTr="005F67D6">
        <w:tc>
          <w:tcPr>
            <w:tcW w:w="586" w:type="dxa"/>
            <w:tcBorders>
              <w:top w:val="dotted" w:sz="4" w:space="0" w:color="B7B7E2"/>
              <w:left w:val="single" w:sz="8" w:space="0" w:color="B7B7E2"/>
              <w:bottom w:val="dotted" w:sz="4" w:space="0" w:color="B7B7E2"/>
              <w:right w:val="single" w:sz="8" w:space="0" w:color="B7B7E2"/>
            </w:tcBorders>
            <w:tcMar>
              <w:top w:w="0" w:type="dxa"/>
              <w:left w:w="108" w:type="dxa"/>
              <w:bottom w:w="0" w:type="dxa"/>
              <w:right w:w="108" w:type="dxa"/>
            </w:tcMar>
          </w:tcPr>
          <w:p w14:paraId="4294EC14" w14:textId="7B095ADC" w:rsidR="00C93F9D" w:rsidRPr="00100F0A" w:rsidRDefault="00C93F9D" w:rsidP="00C93F9D">
            <w:pPr>
              <w:spacing w:after="60"/>
              <w:rPr>
                <w:sz w:val="20"/>
              </w:rPr>
            </w:pPr>
            <w:r w:rsidRPr="00100F0A">
              <w:rPr>
                <w:sz w:val="20"/>
              </w:rPr>
              <w:t>High</w:t>
            </w:r>
          </w:p>
        </w:tc>
        <w:tc>
          <w:tcPr>
            <w:tcW w:w="1105" w:type="dxa"/>
            <w:vMerge/>
            <w:tcBorders>
              <w:left w:val="nil"/>
              <w:right w:val="single" w:sz="8" w:space="0" w:color="B7B7E2"/>
            </w:tcBorders>
            <w:tcMar>
              <w:top w:w="0" w:type="dxa"/>
              <w:left w:w="108" w:type="dxa"/>
              <w:bottom w:w="0" w:type="dxa"/>
              <w:right w:w="108" w:type="dxa"/>
            </w:tcMar>
          </w:tcPr>
          <w:p w14:paraId="66319268" w14:textId="77777777" w:rsidR="00C93F9D" w:rsidRPr="00100F0A" w:rsidRDefault="00C93F9D" w:rsidP="00C93F9D">
            <w:pPr>
              <w:spacing w:after="60"/>
              <w:rPr>
                <w:sz w:val="20"/>
              </w:rPr>
            </w:pPr>
          </w:p>
        </w:tc>
        <w:tc>
          <w:tcPr>
            <w:tcW w:w="4395" w:type="dxa"/>
            <w:tcBorders>
              <w:top w:val="dotted" w:sz="4" w:space="0" w:color="B7B7E2"/>
              <w:left w:val="nil"/>
              <w:bottom w:val="dotted" w:sz="4" w:space="0" w:color="B7B7E2"/>
              <w:right w:val="single" w:sz="8" w:space="0" w:color="B7B7E2"/>
            </w:tcBorders>
            <w:tcMar>
              <w:top w:w="0" w:type="dxa"/>
              <w:left w:w="108" w:type="dxa"/>
              <w:bottom w:w="0" w:type="dxa"/>
              <w:right w:w="108" w:type="dxa"/>
            </w:tcMar>
          </w:tcPr>
          <w:p w14:paraId="16CA8324" w14:textId="2460D22B" w:rsidR="00C93F9D" w:rsidRPr="00100F0A" w:rsidRDefault="00C93F9D" w:rsidP="005F67D6">
            <w:pPr>
              <w:rPr>
                <w:sz w:val="20"/>
                <w:szCs w:val="20"/>
              </w:rPr>
            </w:pPr>
            <w:r w:rsidRPr="00100F0A">
              <w:rPr>
                <w:rFonts w:cs="Calibri"/>
                <w:color w:val="000000"/>
                <w:sz w:val="20"/>
                <w:szCs w:val="20"/>
              </w:rPr>
              <w:t>100% reduction in storages over 10 yrs from policy intervention (linear bleed) start in 2 yrs</w:t>
            </w:r>
          </w:p>
        </w:tc>
        <w:tc>
          <w:tcPr>
            <w:tcW w:w="708" w:type="dxa"/>
            <w:tcBorders>
              <w:top w:val="dotted" w:sz="4" w:space="0" w:color="B7B7E2"/>
              <w:left w:val="nil"/>
              <w:bottom w:val="dotted" w:sz="4" w:space="0" w:color="B7B7E2"/>
              <w:right w:val="single" w:sz="8" w:space="0" w:color="B7B7E2"/>
            </w:tcBorders>
            <w:tcMar>
              <w:top w:w="0" w:type="dxa"/>
              <w:left w:w="108" w:type="dxa"/>
              <w:bottom w:w="0" w:type="dxa"/>
              <w:right w:w="108" w:type="dxa"/>
            </w:tcMar>
          </w:tcPr>
          <w:p w14:paraId="7215AA02" w14:textId="2C1B2F5B" w:rsidR="00C93F9D" w:rsidRPr="00100F0A" w:rsidRDefault="00C93F9D" w:rsidP="006872A9">
            <w:pPr>
              <w:jc w:val="center"/>
              <w:rPr>
                <w:color w:val="000000" w:themeColor="text1"/>
                <w:sz w:val="20"/>
                <w:szCs w:val="20"/>
              </w:rPr>
            </w:pPr>
            <w:r w:rsidRPr="00100F0A">
              <w:rPr>
                <w:rFonts w:cs="Calibri"/>
                <w:color w:val="000000" w:themeColor="text1"/>
                <w:sz w:val="20"/>
                <w:szCs w:val="20"/>
              </w:rPr>
              <w:t>0</w:t>
            </w:r>
          </w:p>
        </w:tc>
        <w:tc>
          <w:tcPr>
            <w:tcW w:w="426" w:type="dxa"/>
            <w:tcBorders>
              <w:top w:val="dotted" w:sz="4" w:space="0" w:color="B7B7E2"/>
              <w:left w:val="nil"/>
              <w:bottom w:val="dotted" w:sz="4" w:space="0" w:color="B7B7E2"/>
              <w:right w:val="single" w:sz="8" w:space="0" w:color="B7B7E2"/>
            </w:tcBorders>
          </w:tcPr>
          <w:p w14:paraId="4427F5D4" w14:textId="31749C5E" w:rsidR="00C93F9D" w:rsidRPr="00100F0A" w:rsidRDefault="00C93F9D" w:rsidP="00B30B8D">
            <w:pPr>
              <w:jc w:val="center"/>
              <w:rPr>
                <w:sz w:val="20"/>
                <w:szCs w:val="20"/>
              </w:rPr>
            </w:pPr>
            <w:r w:rsidRPr="00100F0A">
              <w:rPr>
                <w:sz w:val="20"/>
                <w:szCs w:val="20"/>
              </w:rPr>
              <w:t>...</w:t>
            </w:r>
          </w:p>
        </w:tc>
        <w:tc>
          <w:tcPr>
            <w:tcW w:w="708" w:type="dxa"/>
            <w:tcBorders>
              <w:top w:val="dotted" w:sz="4" w:space="0" w:color="B7B7E2"/>
              <w:left w:val="nil"/>
              <w:bottom w:val="dotted" w:sz="4" w:space="0" w:color="B7B7E2"/>
              <w:right w:val="single" w:sz="8" w:space="0" w:color="B7B7E2"/>
            </w:tcBorders>
          </w:tcPr>
          <w:p w14:paraId="4C0E9D75" w14:textId="28F4D125" w:rsidR="00C93F9D" w:rsidRPr="00100F0A" w:rsidRDefault="00C93F9D" w:rsidP="006872A9">
            <w:pPr>
              <w:jc w:val="center"/>
              <w:rPr>
                <w:color w:val="000000" w:themeColor="text1"/>
                <w:sz w:val="20"/>
                <w:szCs w:val="20"/>
              </w:rPr>
            </w:pPr>
            <w:r w:rsidRPr="00100F0A">
              <w:rPr>
                <w:rFonts w:cs="Calibri"/>
                <w:color w:val="000000" w:themeColor="text1"/>
                <w:sz w:val="20"/>
                <w:szCs w:val="20"/>
              </w:rPr>
              <w:t>16,600</w:t>
            </w:r>
          </w:p>
        </w:tc>
        <w:tc>
          <w:tcPr>
            <w:tcW w:w="426" w:type="dxa"/>
            <w:tcBorders>
              <w:top w:val="dotted" w:sz="4" w:space="0" w:color="B7B7E2"/>
              <w:left w:val="nil"/>
              <w:bottom w:val="dotted" w:sz="4" w:space="0" w:color="B7B7E2"/>
              <w:right w:val="single" w:sz="8" w:space="0" w:color="B7B7E2"/>
            </w:tcBorders>
          </w:tcPr>
          <w:p w14:paraId="10768765" w14:textId="619F9385" w:rsidR="00C93F9D" w:rsidRPr="00100F0A" w:rsidRDefault="00C93F9D" w:rsidP="00B30B8D">
            <w:pPr>
              <w:jc w:val="center"/>
              <w:rPr>
                <w:sz w:val="20"/>
                <w:szCs w:val="20"/>
              </w:rPr>
            </w:pPr>
            <w:r w:rsidRPr="00100F0A">
              <w:rPr>
                <w:sz w:val="20"/>
                <w:szCs w:val="20"/>
              </w:rPr>
              <w:t>...</w:t>
            </w:r>
          </w:p>
        </w:tc>
        <w:tc>
          <w:tcPr>
            <w:tcW w:w="708" w:type="dxa"/>
            <w:tcBorders>
              <w:top w:val="dotted" w:sz="4" w:space="0" w:color="B7B7E2"/>
              <w:left w:val="nil"/>
              <w:bottom w:val="dotted" w:sz="4" w:space="0" w:color="B7B7E2"/>
              <w:right w:val="single" w:sz="8" w:space="0" w:color="B7B7E2"/>
            </w:tcBorders>
          </w:tcPr>
          <w:p w14:paraId="44291AAB" w14:textId="78FE72BE" w:rsidR="00C93F9D" w:rsidRPr="00100F0A" w:rsidRDefault="00C93F9D" w:rsidP="006872A9">
            <w:pPr>
              <w:jc w:val="center"/>
              <w:rPr>
                <w:color w:val="000000" w:themeColor="text1"/>
                <w:sz w:val="20"/>
                <w:szCs w:val="20"/>
              </w:rPr>
            </w:pPr>
            <w:r w:rsidRPr="00100F0A">
              <w:rPr>
                <w:rFonts w:cs="Calibri"/>
                <w:color w:val="000000" w:themeColor="text1"/>
                <w:sz w:val="20"/>
                <w:szCs w:val="20"/>
              </w:rPr>
              <w:t>0</w:t>
            </w:r>
          </w:p>
        </w:tc>
      </w:tr>
      <w:tr w:rsidR="00C93F9D" w:rsidRPr="00100F0A" w14:paraId="20414732" w14:textId="77F0FC5E" w:rsidTr="005F67D6">
        <w:tc>
          <w:tcPr>
            <w:tcW w:w="586" w:type="dxa"/>
            <w:tcBorders>
              <w:top w:val="dotted" w:sz="4" w:space="0" w:color="B7B7E2"/>
              <w:left w:val="single" w:sz="8" w:space="0" w:color="B7B7E2"/>
              <w:bottom w:val="single" w:sz="4" w:space="0" w:color="B7B7E2"/>
              <w:right w:val="single" w:sz="8" w:space="0" w:color="B7B7E2"/>
            </w:tcBorders>
            <w:tcMar>
              <w:top w:w="0" w:type="dxa"/>
              <w:left w:w="108" w:type="dxa"/>
              <w:bottom w:w="0" w:type="dxa"/>
              <w:right w:w="108" w:type="dxa"/>
            </w:tcMar>
          </w:tcPr>
          <w:p w14:paraId="0219AD00" w14:textId="30EFA661" w:rsidR="00C93F9D" w:rsidRPr="00100F0A" w:rsidRDefault="00C93F9D" w:rsidP="00C93F9D">
            <w:pPr>
              <w:spacing w:after="60"/>
              <w:rPr>
                <w:sz w:val="20"/>
              </w:rPr>
            </w:pPr>
            <w:r w:rsidRPr="00100F0A">
              <w:rPr>
                <w:sz w:val="20"/>
              </w:rPr>
              <w:t>Low</w:t>
            </w:r>
          </w:p>
        </w:tc>
        <w:tc>
          <w:tcPr>
            <w:tcW w:w="1105" w:type="dxa"/>
            <w:vMerge/>
            <w:tcBorders>
              <w:left w:val="nil"/>
              <w:bottom w:val="single" w:sz="4" w:space="0" w:color="B7B7E2"/>
              <w:right w:val="single" w:sz="8" w:space="0" w:color="B7B7E2"/>
            </w:tcBorders>
            <w:tcMar>
              <w:top w:w="0" w:type="dxa"/>
              <w:left w:w="108" w:type="dxa"/>
              <w:bottom w:w="0" w:type="dxa"/>
              <w:right w:w="108" w:type="dxa"/>
            </w:tcMar>
          </w:tcPr>
          <w:p w14:paraId="2E0E7792" w14:textId="77777777" w:rsidR="00C93F9D" w:rsidRPr="00100F0A" w:rsidRDefault="00C93F9D" w:rsidP="00C93F9D">
            <w:pPr>
              <w:spacing w:after="60"/>
              <w:rPr>
                <w:sz w:val="20"/>
              </w:rPr>
            </w:pPr>
          </w:p>
        </w:tc>
        <w:tc>
          <w:tcPr>
            <w:tcW w:w="4395" w:type="dxa"/>
            <w:tcBorders>
              <w:top w:val="dotted" w:sz="4" w:space="0" w:color="B7B7E2"/>
              <w:left w:val="nil"/>
              <w:bottom w:val="single" w:sz="4" w:space="0" w:color="B7B7E2"/>
              <w:right w:val="single" w:sz="8" w:space="0" w:color="B7B7E2"/>
            </w:tcBorders>
            <w:tcMar>
              <w:top w:w="0" w:type="dxa"/>
              <w:left w:w="108" w:type="dxa"/>
              <w:bottom w:w="0" w:type="dxa"/>
              <w:right w:w="108" w:type="dxa"/>
            </w:tcMar>
          </w:tcPr>
          <w:p w14:paraId="7C0DFA13" w14:textId="316B7385" w:rsidR="00C93F9D" w:rsidRPr="00100F0A" w:rsidRDefault="00C93F9D" w:rsidP="005F67D6">
            <w:pPr>
              <w:rPr>
                <w:sz w:val="20"/>
                <w:szCs w:val="20"/>
              </w:rPr>
            </w:pPr>
            <w:r w:rsidRPr="00100F0A">
              <w:rPr>
                <w:rFonts w:cs="Calibri"/>
                <w:color w:val="000000"/>
                <w:sz w:val="20"/>
                <w:szCs w:val="20"/>
              </w:rPr>
              <w:t>No storage releases</w:t>
            </w:r>
          </w:p>
        </w:tc>
        <w:tc>
          <w:tcPr>
            <w:tcW w:w="708" w:type="dxa"/>
            <w:tcBorders>
              <w:top w:val="dotted" w:sz="4" w:space="0" w:color="B7B7E2"/>
              <w:left w:val="nil"/>
              <w:bottom w:val="single" w:sz="4" w:space="0" w:color="B7B7E2"/>
              <w:right w:val="single" w:sz="8" w:space="0" w:color="B7B7E2"/>
            </w:tcBorders>
            <w:tcMar>
              <w:top w:w="0" w:type="dxa"/>
              <w:left w:w="108" w:type="dxa"/>
              <w:bottom w:w="0" w:type="dxa"/>
              <w:right w:w="108" w:type="dxa"/>
            </w:tcMar>
          </w:tcPr>
          <w:p w14:paraId="3F3F9A2C" w14:textId="29F48556" w:rsidR="00C93F9D" w:rsidRPr="00100F0A" w:rsidRDefault="00C93F9D" w:rsidP="006872A9">
            <w:pPr>
              <w:jc w:val="center"/>
              <w:rPr>
                <w:color w:val="000000" w:themeColor="text1"/>
                <w:sz w:val="20"/>
                <w:szCs w:val="20"/>
              </w:rPr>
            </w:pPr>
            <w:r w:rsidRPr="00100F0A">
              <w:rPr>
                <w:rFonts w:cs="Calibri"/>
                <w:color w:val="000000" w:themeColor="text1"/>
                <w:sz w:val="20"/>
                <w:szCs w:val="20"/>
              </w:rPr>
              <w:t>0</w:t>
            </w:r>
          </w:p>
        </w:tc>
        <w:tc>
          <w:tcPr>
            <w:tcW w:w="426" w:type="dxa"/>
            <w:tcBorders>
              <w:top w:val="dotted" w:sz="4" w:space="0" w:color="B7B7E2"/>
              <w:left w:val="nil"/>
              <w:bottom w:val="single" w:sz="4" w:space="0" w:color="B7B7E2"/>
              <w:right w:val="single" w:sz="8" w:space="0" w:color="B7B7E2"/>
            </w:tcBorders>
          </w:tcPr>
          <w:p w14:paraId="060A59C9" w14:textId="41EB3932" w:rsidR="00C93F9D" w:rsidRPr="00100F0A" w:rsidRDefault="00C93F9D" w:rsidP="00B30B8D">
            <w:pPr>
              <w:jc w:val="center"/>
              <w:rPr>
                <w:sz w:val="20"/>
                <w:szCs w:val="20"/>
              </w:rPr>
            </w:pPr>
            <w:r w:rsidRPr="00100F0A">
              <w:rPr>
                <w:sz w:val="20"/>
                <w:szCs w:val="20"/>
              </w:rPr>
              <w:t>...</w:t>
            </w:r>
          </w:p>
        </w:tc>
        <w:tc>
          <w:tcPr>
            <w:tcW w:w="708" w:type="dxa"/>
            <w:tcBorders>
              <w:top w:val="dotted" w:sz="4" w:space="0" w:color="B7B7E2"/>
              <w:left w:val="nil"/>
              <w:bottom w:val="single" w:sz="4" w:space="0" w:color="B7B7E2"/>
              <w:right w:val="single" w:sz="8" w:space="0" w:color="B7B7E2"/>
            </w:tcBorders>
          </w:tcPr>
          <w:p w14:paraId="562338A7" w14:textId="53084398" w:rsidR="00C93F9D" w:rsidRPr="00100F0A" w:rsidRDefault="00C93F9D" w:rsidP="006872A9">
            <w:pPr>
              <w:jc w:val="center"/>
              <w:rPr>
                <w:color w:val="000000" w:themeColor="text1"/>
                <w:sz w:val="20"/>
                <w:szCs w:val="20"/>
              </w:rPr>
            </w:pPr>
            <w:r w:rsidRPr="00100F0A">
              <w:rPr>
                <w:rFonts w:cs="Calibri"/>
                <w:color w:val="000000" w:themeColor="text1"/>
                <w:sz w:val="20"/>
                <w:szCs w:val="20"/>
              </w:rPr>
              <w:t>0</w:t>
            </w:r>
          </w:p>
        </w:tc>
        <w:tc>
          <w:tcPr>
            <w:tcW w:w="426" w:type="dxa"/>
            <w:tcBorders>
              <w:top w:val="dotted" w:sz="4" w:space="0" w:color="B7B7E2"/>
              <w:left w:val="nil"/>
              <w:bottom w:val="single" w:sz="4" w:space="0" w:color="B7B7E2"/>
              <w:right w:val="single" w:sz="8" w:space="0" w:color="B7B7E2"/>
            </w:tcBorders>
          </w:tcPr>
          <w:p w14:paraId="3C3C30FA" w14:textId="77FE11DF" w:rsidR="00C93F9D" w:rsidRPr="00100F0A" w:rsidRDefault="00C93F9D" w:rsidP="00B30B8D">
            <w:pPr>
              <w:jc w:val="center"/>
              <w:rPr>
                <w:sz w:val="20"/>
                <w:szCs w:val="20"/>
              </w:rPr>
            </w:pPr>
            <w:r w:rsidRPr="00100F0A">
              <w:rPr>
                <w:sz w:val="20"/>
                <w:szCs w:val="20"/>
              </w:rPr>
              <w:t>...</w:t>
            </w:r>
          </w:p>
        </w:tc>
        <w:tc>
          <w:tcPr>
            <w:tcW w:w="708" w:type="dxa"/>
            <w:tcBorders>
              <w:top w:val="dotted" w:sz="4" w:space="0" w:color="B7B7E2"/>
              <w:left w:val="nil"/>
              <w:bottom w:val="single" w:sz="4" w:space="0" w:color="B7B7E2"/>
              <w:right w:val="single" w:sz="8" w:space="0" w:color="B7B7E2"/>
            </w:tcBorders>
          </w:tcPr>
          <w:p w14:paraId="730E9F5A" w14:textId="5484E7F2" w:rsidR="00C93F9D" w:rsidRPr="00100F0A" w:rsidRDefault="00C93F9D" w:rsidP="006872A9">
            <w:pPr>
              <w:jc w:val="center"/>
              <w:rPr>
                <w:color w:val="000000" w:themeColor="text1"/>
                <w:sz w:val="20"/>
                <w:szCs w:val="20"/>
              </w:rPr>
            </w:pPr>
            <w:r w:rsidRPr="00100F0A">
              <w:rPr>
                <w:rFonts w:cs="Calibri"/>
                <w:color w:val="000000" w:themeColor="text1"/>
                <w:sz w:val="20"/>
                <w:szCs w:val="20"/>
              </w:rPr>
              <w:t>0</w:t>
            </w:r>
          </w:p>
        </w:tc>
      </w:tr>
      <w:tr w:rsidR="00C93F9D" w:rsidRPr="00100F0A" w14:paraId="6CE5279F" w14:textId="13042D9E" w:rsidTr="005F67D6">
        <w:tc>
          <w:tcPr>
            <w:tcW w:w="586" w:type="dxa"/>
            <w:tcBorders>
              <w:top w:val="single" w:sz="4" w:space="0" w:color="B7B7E2"/>
              <w:left w:val="single" w:sz="8" w:space="0" w:color="B7B7E2"/>
              <w:bottom w:val="dotted" w:sz="4" w:space="0" w:color="B7B7E2"/>
              <w:right w:val="single" w:sz="8" w:space="0" w:color="B7B7E2"/>
            </w:tcBorders>
            <w:tcMar>
              <w:top w:w="0" w:type="dxa"/>
              <w:left w:w="108" w:type="dxa"/>
              <w:bottom w:w="0" w:type="dxa"/>
              <w:right w:w="108" w:type="dxa"/>
            </w:tcMar>
          </w:tcPr>
          <w:p w14:paraId="30DB7375" w14:textId="44B67464" w:rsidR="00C93F9D" w:rsidRPr="00100F0A" w:rsidRDefault="00C93F9D" w:rsidP="00C93F9D">
            <w:pPr>
              <w:spacing w:after="60"/>
              <w:rPr>
                <w:sz w:val="20"/>
              </w:rPr>
            </w:pPr>
            <w:r w:rsidRPr="00100F0A">
              <w:rPr>
                <w:sz w:val="20"/>
              </w:rPr>
              <w:t>Best</w:t>
            </w:r>
          </w:p>
        </w:tc>
        <w:tc>
          <w:tcPr>
            <w:tcW w:w="1105" w:type="dxa"/>
            <w:vMerge w:val="restart"/>
            <w:tcBorders>
              <w:top w:val="single" w:sz="4" w:space="0" w:color="B7B7E2"/>
              <w:left w:val="nil"/>
              <w:right w:val="single" w:sz="8" w:space="0" w:color="B7B7E2"/>
            </w:tcBorders>
            <w:tcMar>
              <w:top w:w="0" w:type="dxa"/>
              <w:left w:w="108" w:type="dxa"/>
              <w:bottom w:w="0" w:type="dxa"/>
              <w:right w:w="108" w:type="dxa"/>
            </w:tcMar>
            <w:vAlign w:val="center"/>
          </w:tcPr>
          <w:p w14:paraId="6DE91ACE" w14:textId="2481B232" w:rsidR="00C93F9D" w:rsidRPr="00100F0A" w:rsidRDefault="00C93F9D" w:rsidP="00C93F9D">
            <w:pPr>
              <w:spacing w:after="60"/>
              <w:rPr>
                <w:sz w:val="20"/>
              </w:rPr>
            </w:pPr>
            <w:r w:rsidRPr="00100F0A">
              <w:rPr>
                <w:sz w:val="20"/>
              </w:rPr>
              <w:t>Vic</w:t>
            </w:r>
          </w:p>
        </w:tc>
        <w:tc>
          <w:tcPr>
            <w:tcW w:w="4395" w:type="dxa"/>
            <w:tcBorders>
              <w:top w:val="single" w:sz="4" w:space="0" w:color="B7B7E2"/>
              <w:left w:val="nil"/>
              <w:bottom w:val="dotted" w:sz="4" w:space="0" w:color="B7B7E2"/>
              <w:right w:val="single" w:sz="8" w:space="0" w:color="B7B7E2"/>
            </w:tcBorders>
            <w:tcMar>
              <w:top w:w="0" w:type="dxa"/>
              <w:left w:w="108" w:type="dxa"/>
              <w:bottom w:w="0" w:type="dxa"/>
              <w:right w:w="108" w:type="dxa"/>
            </w:tcMar>
          </w:tcPr>
          <w:p w14:paraId="22B63FBB" w14:textId="023B7C21" w:rsidR="00C93F9D" w:rsidRPr="00100F0A" w:rsidRDefault="00C93F9D" w:rsidP="005F67D6">
            <w:pPr>
              <w:rPr>
                <w:sz w:val="20"/>
                <w:szCs w:val="20"/>
              </w:rPr>
            </w:pPr>
            <w:r w:rsidRPr="00100F0A">
              <w:rPr>
                <w:rFonts w:cs="Calibri"/>
                <w:color w:val="000000"/>
                <w:sz w:val="20"/>
                <w:szCs w:val="20"/>
              </w:rPr>
              <w:t>30% reduction in storages over 10 yrs from policy intervention (linear bleed) start in 2 yrs</w:t>
            </w:r>
          </w:p>
        </w:tc>
        <w:tc>
          <w:tcPr>
            <w:tcW w:w="708" w:type="dxa"/>
            <w:tcBorders>
              <w:top w:val="single" w:sz="4" w:space="0" w:color="B7B7E2"/>
              <w:left w:val="nil"/>
              <w:bottom w:val="dotted" w:sz="4" w:space="0" w:color="B7B7E2"/>
              <w:right w:val="single" w:sz="8" w:space="0" w:color="B7B7E2"/>
            </w:tcBorders>
            <w:tcMar>
              <w:top w:w="0" w:type="dxa"/>
              <w:left w:w="108" w:type="dxa"/>
              <w:bottom w:w="0" w:type="dxa"/>
              <w:right w:w="108" w:type="dxa"/>
            </w:tcMar>
          </w:tcPr>
          <w:p w14:paraId="44B7BC2E" w14:textId="24ABEE77" w:rsidR="00C93F9D" w:rsidRPr="00100F0A" w:rsidRDefault="00C93F9D" w:rsidP="006872A9">
            <w:pPr>
              <w:jc w:val="center"/>
              <w:rPr>
                <w:color w:val="000000" w:themeColor="text1"/>
                <w:sz w:val="20"/>
                <w:szCs w:val="20"/>
              </w:rPr>
            </w:pPr>
            <w:r w:rsidRPr="00100F0A">
              <w:rPr>
                <w:rFonts w:cs="Calibri"/>
                <w:color w:val="000000" w:themeColor="text1"/>
                <w:sz w:val="20"/>
                <w:szCs w:val="20"/>
              </w:rPr>
              <w:t>0</w:t>
            </w:r>
          </w:p>
        </w:tc>
        <w:tc>
          <w:tcPr>
            <w:tcW w:w="426" w:type="dxa"/>
            <w:tcBorders>
              <w:top w:val="single" w:sz="4" w:space="0" w:color="B7B7E2"/>
              <w:left w:val="nil"/>
              <w:bottom w:val="dotted" w:sz="4" w:space="0" w:color="B7B7E2"/>
              <w:right w:val="single" w:sz="8" w:space="0" w:color="B7B7E2"/>
            </w:tcBorders>
          </w:tcPr>
          <w:p w14:paraId="57BB02FB" w14:textId="690088A0" w:rsidR="00C93F9D" w:rsidRPr="00100F0A" w:rsidRDefault="00C93F9D" w:rsidP="00B30B8D">
            <w:pPr>
              <w:jc w:val="center"/>
              <w:rPr>
                <w:sz w:val="20"/>
                <w:szCs w:val="20"/>
              </w:rPr>
            </w:pPr>
            <w:r w:rsidRPr="00100F0A">
              <w:rPr>
                <w:sz w:val="20"/>
                <w:szCs w:val="20"/>
              </w:rPr>
              <w:t>...</w:t>
            </w:r>
          </w:p>
        </w:tc>
        <w:tc>
          <w:tcPr>
            <w:tcW w:w="708" w:type="dxa"/>
            <w:tcBorders>
              <w:top w:val="single" w:sz="4" w:space="0" w:color="B7B7E2"/>
              <w:left w:val="nil"/>
              <w:bottom w:val="dotted" w:sz="4" w:space="0" w:color="B7B7E2"/>
              <w:right w:val="single" w:sz="8" w:space="0" w:color="B7B7E2"/>
            </w:tcBorders>
          </w:tcPr>
          <w:p w14:paraId="3C6E41F5" w14:textId="7F15FF2C" w:rsidR="00C93F9D" w:rsidRPr="00100F0A" w:rsidRDefault="00C93F9D" w:rsidP="006872A9">
            <w:pPr>
              <w:jc w:val="center"/>
              <w:rPr>
                <w:color w:val="000000" w:themeColor="text1"/>
                <w:sz w:val="20"/>
                <w:szCs w:val="20"/>
              </w:rPr>
            </w:pPr>
            <w:r w:rsidRPr="00100F0A">
              <w:rPr>
                <w:rFonts w:cs="Calibri"/>
                <w:color w:val="000000" w:themeColor="text1"/>
                <w:sz w:val="20"/>
                <w:szCs w:val="20"/>
              </w:rPr>
              <w:t>7,900</w:t>
            </w:r>
          </w:p>
        </w:tc>
        <w:tc>
          <w:tcPr>
            <w:tcW w:w="426" w:type="dxa"/>
            <w:tcBorders>
              <w:top w:val="single" w:sz="4" w:space="0" w:color="B7B7E2"/>
              <w:left w:val="nil"/>
              <w:bottom w:val="dotted" w:sz="4" w:space="0" w:color="B7B7E2"/>
              <w:right w:val="single" w:sz="8" w:space="0" w:color="B7B7E2"/>
            </w:tcBorders>
          </w:tcPr>
          <w:p w14:paraId="7E1BCF48" w14:textId="548662A0" w:rsidR="00C93F9D" w:rsidRPr="00100F0A" w:rsidRDefault="00C93F9D" w:rsidP="00B30B8D">
            <w:pPr>
              <w:jc w:val="center"/>
              <w:rPr>
                <w:sz w:val="20"/>
                <w:szCs w:val="20"/>
              </w:rPr>
            </w:pPr>
            <w:r w:rsidRPr="00100F0A">
              <w:rPr>
                <w:sz w:val="20"/>
                <w:szCs w:val="20"/>
              </w:rPr>
              <w:t>...</w:t>
            </w:r>
          </w:p>
        </w:tc>
        <w:tc>
          <w:tcPr>
            <w:tcW w:w="708" w:type="dxa"/>
            <w:tcBorders>
              <w:top w:val="single" w:sz="4" w:space="0" w:color="B7B7E2"/>
              <w:left w:val="nil"/>
              <w:bottom w:val="dotted" w:sz="4" w:space="0" w:color="B7B7E2"/>
              <w:right w:val="single" w:sz="8" w:space="0" w:color="B7B7E2"/>
            </w:tcBorders>
          </w:tcPr>
          <w:p w14:paraId="2256CBDC" w14:textId="09C311C0" w:rsidR="00C93F9D" w:rsidRPr="00100F0A" w:rsidRDefault="00C93F9D" w:rsidP="006872A9">
            <w:pPr>
              <w:jc w:val="center"/>
              <w:rPr>
                <w:color w:val="000000" w:themeColor="text1"/>
                <w:sz w:val="20"/>
                <w:szCs w:val="20"/>
              </w:rPr>
            </w:pPr>
            <w:r w:rsidRPr="00100F0A">
              <w:rPr>
                <w:rFonts w:cs="Calibri"/>
                <w:color w:val="000000" w:themeColor="text1"/>
                <w:sz w:val="20"/>
                <w:szCs w:val="20"/>
              </w:rPr>
              <w:t>7,900</w:t>
            </w:r>
          </w:p>
        </w:tc>
      </w:tr>
      <w:tr w:rsidR="00C93F9D" w:rsidRPr="00100F0A" w14:paraId="7833CA69" w14:textId="76D77901" w:rsidTr="005F67D6">
        <w:tc>
          <w:tcPr>
            <w:tcW w:w="586" w:type="dxa"/>
            <w:tcBorders>
              <w:top w:val="dotted" w:sz="4" w:space="0" w:color="B7B7E2"/>
              <w:left w:val="single" w:sz="8" w:space="0" w:color="B7B7E2"/>
              <w:bottom w:val="dotted" w:sz="4" w:space="0" w:color="B7B7E2"/>
              <w:right w:val="single" w:sz="8" w:space="0" w:color="B7B7E2"/>
            </w:tcBorders>
            <w:tcMar>
              <w:top w:w="0" w:type="dxa"/>
              <w:left w:w="108" w:type="dxa"/>
              <w:bottom w:w="0" w:type="dxa"/>
              <w:right w:w="108" w:type="dxa"/>
            </w:tcMar>
          </w:tcPr>
          <w:p w14:paraId="2E2DF3E0" w14:textId="269BE9E9" w:rsidR="00C93F9D" w:rsidRPr="00100F0A" w:rsidRDefault="00C93F9D" w:rsidP="00C93F9D">
            <w:pPr>
              <w:spacing w:after="60"/>
              <w:rPr>
                <w:sz w:val="20"/>
              </w:rPr>
            </w:pPr>
            <w:r w:rsidRPr="00100F0A">
              <w:rPr>
                <w:sz w:val="20"/>
              </w:rPr>
              <w:t>High</w:t>
            </w:r>
          </w:p>
        </w:tc>
        <w:tc>
          <w:tcPr>
            <w:tcW w:w="1105" w:type="dxa"/>
            <w:vMerge/>
            <w:tcBorders>
              <w:left w:val="nil"/>
              <w:right w:val="single" w:sz="8" w:space="0" w:color="B7B7E2"/>
            </w:tcBorders>
            <w:tcMar>
              <w:top w:w="0" w:type="dxa"/>
              <w:left w:w="108" w:type="dxa"/>
              <w:bottom w:w="0" w:type="dxa"/>
              <w:right w:w="108" w:type="dxa"/>
            </w:tcMar>
          </w:tcPr>
          <w:p w14:paraId="33F1AE9E" w14:textId="77777777" w:rsidR="00C93F9D" w:rsidRPr="00100F0A" w:rsidRDefault="00C93F9D" w:rsidP="00C93F9D">
            <w:pPr>
              <w:spacing w:after="60"/>
              <w:rPr>
                <w:sz w:val="20"/>
              </w:rPr>
            </w:pPr>
          </w:p>
        </w:tc>
        <w:tc>
          <w:tcPr>
            <w:tcW w:w="4395" w:type="dxa"/>
            <w:tcBorders>
              <w:top w:val="dotted" w:sz="4" w:space="0" w:color="B7B7E2"/>
              <w:left w:val="nil"/>
              <w:bottom w:val="dotted" w:sz="4" w:space="0" w:color="B7B7E2"/>
              <w:right w:val="single" w:sz="8" w:space="0" w:color="B7B7E2"/>
            </w:tcBorders>
            <w:tcMar>
              <w:top w:w="0" w:type="dxa"/>
              <w:left w:w="108" w:type="dxa"/>
              <w:bottom w:w="0" w:type="dxa"/>
              <w:right w:w="108" w:type="dxa"/>
            </w:tcMar>
          </w:tcPr>
          <w:p w14:paraId="59C4BFDC" w14:textId="3F15A40D" w:rsidR="00C93F9D" w:rsidRPr="00100F0A" w:rsidRDefault="00C93F9D" w:rsidP="005F67D6">
            <w:pPr>
              <w:rPr>
                <w:sz w:val="20"/>
                <w:szCs w:val="20"/>
              </w:rPr>
            </w:pPr>
            <w:r w:rsidRPr="00100F0A">
              <w:rPr>
                <w:rFonts w:cs="Calibri"/>
                <w:color w:val="000000"/>
                <w:sz w:val="20"/>
                <w:szCs w:val="20"/>
              </w:rPr>
              <w:t>100% reduction in storages over 10 yrs from policy intervention (linear bleed) start in 2 yrs</w:t>
            </w:r>
          </w:p>
        </w:tc>
        <w:tc>
          <w:tcPr>
            <w:tcW w:w="708" w:type="dxa"/>
            <w:tcBorders>
              <w:top w:val="dotted" w:sz="4" w:space="0" w:color="B7B7E2"/>
              <w:left w:val="nil"/>
              <w:bottom w:val="dotted" w:sz="4" w:space="0" w:color="B7B7E2"/>
              <w:right w:val="single" w:sz="8" w:space="0" w:color="B7B7E2"/>
            </w:tcBorders>
            <w:tcMar>
              <w:top w:w="0" w:type="dxa"/>
              <w:left w:w="108" w:type="dxa"/>
              <w:bottom w:w="0" w:type="dxa"/>
              <w:right w:w="108" w:type="dxa"/>
            </w:tcMar>
          </w:tcPr>
          <w:p w14:paraId="6C013A4E" w14:textId="72E803E0" w:rsidR="00C93F9D" w:rsidRPr="00100F0A" w:rsidRDefault="00C93F9D" w:rsidP="006872A9">
            <w:pPr>
              <w:jc w:val="center"/>
              <w:rPr>
                <w:color w:val="000000" w:themeColor="text1"/>
                <w:sz w:val="20"/>
                <w:szCs w:val="20"/>
              </w:rPr>
            </w:pPr>
            <w:r w:rsidRPr="00100F0A">
              <w:rPr>
                <w:rFonts w:cs="Calibri"/>
                <w:color w:val="000000" w:themeColor="text1"/>
                <w:sz w:val="20"/>
                <w:szCs w:val="20"/>
              </w:rPr>
              <w:t>0</w:t>
            </w:r>
          </w:p>
        </w:tc>
        <w:tc>
          <w:tcPr>
            <w:tcW w:w="426" w:type="dxa"/>
            <w:tcBorders>
              <w:top w:val="dotted" w:sz="4" w:space="0" w:color="B7B7E2"/>
              <w:left w:val="nil"/>
              <w:bottom w:val="dotted" w:sz="4" w:space="0" w:color="B7B7E2"/>
              <w:right w:val="single" w:sz="8" w:space="0" w:color="B7B7E2"/>
            </w:tcBorders>
          </w:tcPr>
          <w:p w14:paraId="0626A4F2" w14:textId="428281AC" w:rsidR="00C93F9D" w:rsidRPr="00100F0A" w:rsidRDefault="00C93F9D" w:rsidP="00B30B8D">
            <w:pPr>
              <w:jc w:val="center"/>
              <w:rPr>
                <w:sz w:val="20"/>
                <w:szCs w:val="20"/>
              </w:rPr>
            </w:pPr>
            <w:r w:rsidRPr="00100F0A">
              <w:rPr>
                <w:sz w:val="20"/>
                <w:szCs w:val="20"/>
              </w:rPr>
              <w:t>...</w:t>
            </w:r>
          </w:p>
        </w:tc>
        <w:tc>
          <w:tcPr>
            <w:tcW w:w="708" w:type="dxa"/>
            <w:tcBorders>
              <w:top w:val="dotted" w:sz="4" w:space="0" w:color="B7B7E2"/>
              <w:left w:val="nil"/>
              <w:bottom w:val="dotted" w:sz="4" w:space="0" w:color="B7B7E2"/>
              <w:right w:val="single" w:sz="8" w:space="0" w:color="B7B7E2"/>
            </w:tcBorders>
          </w:tcPr>
          <w:p w14:paraId="13928CE4" w14:textId="09EB3CD7" w:rsidR="00C93F9D" w:rsidRPr="00100F0A" w:rsidRDefault="00C93F9D" w:rsidP="006872A9">
            <w:pPr>
              <w:jc w:val="center"/>
              <w:rPr>
                <w:color w:val="000000" w:themeColor="text1"/>
                <w:sz w:val="20"/>
                <w:szCs w:val="20"/>
              </w:rPr>
            </w:pPr>
            <w:r w:rsidRPr="00100F0A">
              <w:rPr>
                <w:rFonts w:cs="Calibri"/>
                <w:color w:val="000000" w:themeColor="text1"/>
                <w:sz w:val="20"/>
                <w:szCs w:val="20"/>
              </w:rPr>
              <w:t>26,334</w:t>
            </w:r>
          </w:p>
        </w:tc>
        <w:tc>
          <w:tcPr>
            <w:tcW w:w="426" w:type="dxa"/>
            <w:tcBorders>
              <w:top w:val="dotted" w:sz="4" w:space="0" w:color="B7B7E2"/>
              <w:left w:val="nil"/>
              <w:bottom w:val="dotted" w:sz="4" w:space="0" w:color="B7B7E2"/>
              <w:right w:val="single" w:sz="8" w:space="0" w:color="B7B7E2"/>
            </w:tcBorders>
          </w:tcPr>
          <w:p w14:paraId="746126D3" w14:textId="23B56C64" w:rsidR="00C93F9D" w:rsidRPr="00100F0A" w:rsidRDefault="00C93F9D" w:rsidP="00B30B8D">
            <w:pPr>
              <w:jc w:val="center"/>
              <w:rPr>
                <w:sz w:val="20"/>
                <w:szCs w:val="20"/>
              </w:rPr>
            </w:pPr>
            <w:r w:rsidRPr="00100F0A">
              <w:rPr>
                <w:sz w:val="20"/>
                <w:szCs w:val="20"/>
              </w:rPr>
              <w:t>...</w:t>
            </w:r>
          </w:p>
        </w:tc>
        <w:tc>
          <w:tcPr>
            <w:tcW w:w="708" w:type="dxa"/>
            <w:tcBorders>
              <w:top w:val="dotted" w:sz="4" w:space="0" w:color="B7B7E2"/>
              <w:left w:val="nil"/>
              <w:bottom w:val="dotted" w:sz="4" w:space="0" w:color="B7B7E2"/>
              <w:right w:val="single" w:sz="8" w:space="0" w:color="B7B7E2"/>
            </w:tcBorders>
          </w:tcPr>
          <w:p w14:paraId="434A2382" w14:textId="1B8C9645" w:rsidR="00C93F9D" w:rsidRPr="00100F0A" w:rsidRDefault="00C93F9D" w:rsidP="006872A9">
            <w:pPr>
              <w:jc w:val="center"/>
              <w:rPr>
                <w:color w:val="000000" w:themeColor="text1"/>
                <w:sz w:val="20"/>
                <w:szCs w:val="20"/>
              </w:rPr>
            </w:pPr>
            <w:r w:rsidRPr="00100F0A">
              <w:rPr>
                <w:rFonts w:cs="Calibri"/>
                <w:color w:val="000000" w:themeColor="text1"/>
                <w:sz w:val="20"/>
                <w:szCs w:val="20"/>
              </w:rPr>
              <w:t>0</w:t>
            </w:r>
          </w:p>
        </w:tc>
      </w:tr>
      <w:tr w:rsidR="00C93F9D" w:rsidRPr="00100F0A" w14:paraId="4A476ADD" w14:textId="0E410DB8" w:rsidTr="005F67D6">
        <w:tc>
          <w:tcPr>
            <w:tcW w:w="586" w:type="dxa"/>
            <w:tcBorders>
              <w:top w:val="dotted" w:sz="4" w:space="0" w:color="B7B7E2"/>
              <w:left w:val="single" w:sz="8" w:space="0" w:color="B7B7E2"/>
              <w:bottom w:val="single" w:sz="8" w:space="0" w:color="B7B7E2"/>
              <w:right w:val="single" w:sz="8" w:space="0" w:color="B7B7E2"/>
            </w:tcBorders>
            <w:tcMar>
              <w:top w:w="0" w:type="dxa"/>
              <w:left w:w="108" w:type="dxa"/>
              <w:bottom w:w="0" w:type="dxa"/>
              <w:right w:w="108" w:type="dxa"/>
            </w:tcMar>
          </w:tcPr>
          <w:p w14:paraId="551DFC07" w14:textId="46695CD2" w:rsidR="00C93F9D" w:rsidRPr="00100F0A" w:rsidRDefault="00C93F9D" w:rsidP="00C93F9D">
            <w:pPr>
              <w:spacing w:after="60"/>
              <w:rPr>
                <w:sz w:val="20"/>
              </w:rPr>
            </w:pPr>
            <w:r w:rsidRPr="00100F0A">
              <w:rPr>
                <w:sz w:val="20"/>
              </w:rPr>
              <w:t>Low</w:t>
            </w:r>
          </w:p>
        </w:tc>
        <w:tc>
          <w:tcPr>
            <w:tcW w:w="1105" w:type="dxa"/>
            <w:vMerge/>
            <w:tcBorders>
              <w:left w:val="nil"/>
              <w:bottom w:val="single" w:sz="8" w:space="0" w:color="B7B7E2"/>
              <w:right w:val="single" w:sz="8" w:space="0" w:color="B7B7E2"/>
            </w:tcBorders>
            <w:tcMar>
              <w:top w:w="0" w:type="dxa"/>
              <w:left w:w="108" w:type="dxa"/>
              <w:bottom w:w="0" w:type="dxa"/>
              <w:right w:w="108" w:type="dxa"/>
            </w:tcMar>
          </w:tcPr>
          <w:p w14:paraId="7A5A8D94" w14:textId="77777777" w:rsidR="00C93F9D" w:rsidRPr="00100F0A" w:rsidRDefault="00C93F9D" w:rsidP="00C93F9D">
            <w:pPr>
              <w:spacing w:after="60"/>
              <w:rPr>
                <w:sz w:val="20"/>
              </w:rPr>
            </w:pPr>
          </w:p>
        </w:tc>
        <w:tc>
          <w:tcPr>
            <w:tcW w:w="4395" w:type="dxa"/>
            <w:tcBorders>
              <w:top w:val="dotted" w:sz="4" w:space="0" w:color="B7B7E2"/>
              <w:left w:val="nil"/>
              <w:bottom w:val="single" w:sz="8" w:space="0" w:color="B7B7E2"/>
              <w:right w:val="single" w:sz="8" w:space="0" w:color="B7B7E2"/>
            </w:tcBorders>
            <w:tcMar>
              <w:top w:w="0" w:type="dxa"/>
              <w:left w:w="108" w:type="dxa"/>
              <w:bottom w:w="0" w:type="dxa"/>
              <w:right w:w="108" w:type="dxa"/>
            </w:tcMar>
          </w:tcPr>
          <w:p w14:paraId="7EF65C53" w14:textId="3C436B0E" w:rsidR="00C93F9D" w:rsidRPr="00100F0A" w:rsidRDefault="00C93F9D" w:rsidP="005F67D6">
            <w:pPr>
              <w:rPr>
                <w:sz w:val="20"/>
                <w:szCs w:val="20"/>
              </w:rPr>
            </w:pPr>
            <w:r w:rsidRPr="00100F0A">
              <w:rPr>
                <w:rFonts w:cs="Calibri"/>
                <w:color w:val="000000"/>
                <w:sz w:val="20"/>
                <w:szCs w:val="20"/>
              </w:rPr>
              <w:t>No storage releases</w:t>
            </w:r>
          </w:p>
        </w:tc>
        <w:tc>
          <w:tcPr>
            <w:tcW w:w="708" w:type="dxa"/>
            <w:tcBorders>
              <w:top w:val="dotted" w:sz="4" w:space="0" w:color="B7B7E2"/>
              <w:left w:val="nil"/>
              <w:bottom w:val="single" w:sz="8" w:space="0" w:color="B7B7E2"/>
              <w:right w:val="single" w:sz="8" w:space="0" w:color="B7B7E2"/>
            </w:tcBorders>
            <w:tcMar>
              <w:top w:w="0" w:type="dxa"/>
              <w:left w:w="108" w:type="dxa"/>
              <w:bottom w:w="0" w:type="dxa"/>
              <w:right w:w="108" w:type="dxa"/>
            </w:tcMar>
          </w:tcPr>
          <w:p w14:paraId="4C40DC34" w14:textId="49E98E81" w:rsidR="00C93F9D" w:rsidRPr="00100F0A" w:rsidRDefault="00C93F9D" w:rsidP="006872A9">
            <w:pPr>
              <w:jc w:val="center"/>
              <w:rPr>
                <w:color w:val="000000" w:themeColor="text1"/>
                <w:sz w:val="20"/>
                <w:szCs w:val="20"/>
              </w:rPr>
            </w:pPr>
            <w:r w:rsidRPr="00100F0A">
              <w:rPr>
                <w:rFonts w:cs="Calibri"/>
                <w:color w:val="000000" w:themeColor="text1"/>
                <w:sz w:val="20"/>
                <w:szCs w:val="20"/>
              </w:rPr>
              <w:t>0</w:t>
            </w:r>
          </w:p>
        </w:tc>
        <w:tc>
          <w:tcPr>
            <w:tcW w:w="426" w:type="dxa"/>
            <w:tcBorders>
              <w:top w:val="dotted" w:sz="4" w:space="0" w:color="B7B7E2"/>
              <w:left w:val="nil"/>
              <w:bottom w:val="single" w:sz="8" w:space="0" w:color="B7B7E2"/>
              <w:right w:val="single" w:sz="8" w:space="0" w:color="B7B7E2"/>
            </w:tcBorders>
          </w:tcPr>
          <w:p w14:paraId="6F4CA110" w14:textId="020C080E" w:rsidR="00C93F9D" w:rsidRPr="00100F0A" w:rsidRDefault="00C93F9D" w:rsidP="00B30B8D">
            <w:pPr>
              <w:jc w:val="center"/>
              <w:rPr>
                <w:sz w:val="20"/>
                <w:szCs w:val="20"/>
              </w:rPr>
            </w:pPr>
            <w:r w:rsidRPr="00100F0A">
              <w:rPr>
                <w:sz w:val="20"/>
                <w:szCs w:val="20"/>
              </w:rPr>
              <w:t>...</w:t>
            </w:r>
          </w:p>
        </w:tc>
        <w:tc>
          <w:tcPr>
            <w:tcW w:w="708" w:type="dxa"/>
            <w:tcBorders>
              <w:top w:val="dotted" w:sz="4" w:space="0" w:color="B7B7E2"/>
              <w:left w:val="nil"/>
              <w:bottom w:val="single" w:sz="8" w:space="0" w:color="B7B7E2"/>
              <w:right w:val="single" w:sz="8" w:space="0" w:color="B7B7E2"/>
            </w:tcBorders>
          </w:tcPr>
          <w:p w14:paraId="69CBCB69" w14:textId="2089AF57" w:rsidR="00C93F9D" w:rsidRPr="00100F0A" w:rsidRDefault="00C93F9D" w:rsidP="006872A9">
            <w:pPr>
              <w:jc w:val="center"/>
              <w:rPr>
                <w:color w:val="000000" w:themeColor="text1"/>
                <w:sz w:val="20"/>
                <w:szCs w:val="20"/>
              </w:rPr>
            </w:pPr>
            <w:r w:rsidRPr="00100F0A">
              <w:rPr>
                <w:rFonts w:cs="Calibri"/>
                <w:color w:val="000000" w:themeColor="text1"/>
                <w:sz w:val="20"/>
                <w:szCs w:val="20"/>
              </w:rPr>
              <w:t>0</w:t>
            </w:r>
          </w:p>
        </w:tc>
        <w:tc>
          <w:tcPr>
            <w:tcW w:w="426" w:type="dxa"/>
            <w:tcBorders>
              <w:top w:val="dotted" w:sz="4" w:space="0" w:color="B7B7E2"/>
              <w:left w:val="nil"/>
              <w:bottom w:val="single" w:sz="8" w:space="0" w:color="B7B7E2"/>
              <w:right w:val="single" w:sz="8" w:space="0" w:color="B7B7E2"/>
            </w:tcBorders>
          </w:tcPr>
          <w:p w14:paraId="0CEF8219" w14:textId="229DBEC1" w:rsidR="00C93F9D" w:rsidRPr="00100F0A" w:rsidRDefault="00C93F9D" w:rsidP="00B30B8D">
            <w:pPr>
              <w:jc w:val="center"/>
              <w:rPr>
                <w:sz w:val="20"/>
                <w:szCs w:val="20"/>
              </w:rPr>
            </w:pPr>
            <w:r w:rsidRPr="00100F0A">
              <w:rPr>
                <w:sz w:val="20"/>
                <w:szCs w:val="20"/>
              </w:rPr>
              <w:t>...</w:t>
            </w:r>
          </w:p>
        </w:tc>
        <w:tc>
          <w:tcPr>
            <w:tcW w:w="708" w:type="dxa"/>
            <w:tcBorders>
              <w:top w:val="dotted" w:sz="4" w:space="0" w:color="B7B7E2"/>
              <w:left w:val="nil"/>
              <w:bottom w:val="single" w:sz="8" w:space="0" w:color="B7B7E2"/>
              <w:right w:val="single" w:sz="8" w:space="0" w:color="B7B7E2"/>
            </w:tcBorders>
          </w:tcPr>
          <w:p w14:paraId="70B7F700" w14:textId="7B6D8C49" w:rsidR="00C93F9D" w:rsidRPr="00100F0A" w:rsidRDefault="00C93F9D" w:rsidP="006872A9">
            <w:pPr>
              <w:jc w:val="center"/>
              <w:rPr>
                <w:color w:val="000000" w:themeColor="text1"/>
                <w:sz w:val="20"/>
                <w:szCs w:val="20"/>
              </w:rPr>
            </w:pPr>
            <w:r w:rsidRPr="00100F0A">
              <w:rPr>
                <w:rFonts w:cs="Calibri"/>
                <w:color w:val="000000" w:themeColor="text1"/>
                <w:sz w:val="20"/>
                <w:szCs w:val="20"/>
              </w:rPr>
              <w:t>0</w:t>
            </w:r>
          </w:p>
        </w:tc>
      </w:tr>
    </w:tbl>
    <w:p w14:paraId="55EE874D" w14:textId="1A8262DD" w:rsidR="00677328" w:rsidRPr="00100F0A" w:rsidRDefault="00677328" w:rsidP="00677328">
      <w:pPr>
        <w:pStyle w:val="Caption"/>
      </w:pPr>
      <w:bookmarkStart w:id="163" w:name="_Toc13225581"/>
      <w:r w:rsidRPr="00100F0A">
        <w:t xml:space="preserve">Figure </w:t>
      </w:r>
      <w:r w:rsidR="00971D78" w:rsidRPr="00100F0A">
        <w:rPr>
          <w:noProof/>
        </w:rPr>
        <w:fldChar w:fldCharType="begin"/>
      </w:r>
      <w:r w:rsidR="00971D78" w:rsidRPr="00100F0A">
        <w:rPr>
          <w:noProof/>
        </w:rPr>
        <w:instrText xml:space="preserve"> SEQ Figure \* ARABIC </w:instrText>
      </w:r>
      <w:r w:rsidR="00971D78" w:rsidRPr="00100F0A">
        <w:rPr>
          <w:noProof/>
        </w:rPr>
        <w:fldChar w:fldCharType="separate"/>
      </w:r>
      <w:r w:rsidR="00EB634D">
        <w:rPr>
          <w:noProof/>
        </w:rPr>
        <w:t>8</w:t>
      </w:r>
      <w:r w:rsidR="00971D78" w:rsidRPr="00100F0A">
        <w:rPr>
          <w:noProof/>
        </w:rPr>
        <w:fldChar w:fldCharType="end"/>
      </w:r>
      <w:r w:rsidR="00C14F18">
        <w:rPr>
          <w:noProof/>
        </w:rPr>
        <w:t>:</w:t>
      </w:r>
      <w:r w:rsidRPr="00100F0A">
        <w:tab/>
        <w:t xml:space="preserve">Best, high and low national projection estimates of </w:t>
      </w:r>
      <w:r w:rsidR="001B454B">
        <w:t>i</w:t>
      </w:r>
      <w:r w:rsidR="00BD4796" w:rsidRPr="00100F0A">
        <w:t>norganic fluorine (</w:t>
      </w:r>
      <w:r w:rsidR="008637BA">
        <w:t>SPL</w:t>
      </w:r>
      <w:r w:rsidR="00BD4796" w:rsidRPr="00100F0A">
        <w:t>) waste to 2037</w:t>
      </w:r>
      <w:bookmarkEnd w:id="163"/>
    </w:p>
    <w:p w14:paraId="345DF518" w14:textId="74AB7497" w:rsidR="00F23228" w:rsidRPr="00100F0A" w:rsidRDefault="005E0EFD" w:rsidP="00601CB2">
      <w:r w:rsidRPr="00100F0A">
        <w:rPr>
          <w:noProof/>
          <w:lang w:eastAsia="en-AU"/>
        </w:rPr>
        <w:drawing>
          <wp:inline distT="0" distB="0" distL="0" distR="0" wp14:anchorId="70A4A85C" wp14:editId="5DA8E8E9">
            <wp:extent cx="5735955" cy="2115185"/>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5955" cy="2115185"/>
                    </a:xfrm>
                    <a:prstGeom prst="rect">
                      <a:avLst/>
                    </a:prstGeom>
                  </pic:spPr>
                </pic:pic>
              </a:graphicData>
            </a:graphic>
          </wp:inline>
        </w:drawing>
      </w:r>
      <w:r w:rsidR="00BD4796" w:rsidRPr="00100F0A">
        <w:t xml:space="preserve"> </w:t>
      </w:r>
    </w:p>
    <w:p w14:paraId="0522071C" w14:textId="1A58704B" w:rsidR="00EF2745" w:rsidRPr="00100F0A" w:rsidRDefault="00EF2745" w:rsidP="005E0EFD">
      <w:pPr>
        <w:pStyle w:val="Notes"/>
      </w:pPr>
      <w:r w:rsidRPr="00100F0A">
        <w:t xml:space="preserve">The peculiar shape of the high estimate is due to releases of </w:t>
      </w:r>
      <w:r w:rsidR="008637BA">
        <w:t>SPL</w:t>
      </w:r>
      <w:r w:rsidRPr="00100F0A">
        <w:t xml:space="preserve"> from the current large stockpiles</w:t>
      </w:r>
    </w:p>
    <w:p w14:paraId="54C2A82B" w14:textId="741EBDA3" w:rsidR="00D4577B" w:rsidRDefault="00D4577B" w:rsidP="00601CB2"/>
    <w:p w14:paraId="5A5DFC44" w14:textId="4A5CADAE" w:rsidR="00223843" w:rsidRDefault="00223843">
      <w:r>
        <w:br w:type="page"/>
      </w:r>
    </w:p>
    <w:p w14:paraId="7D0BD724" w14:textId="668E50C9" w:rsidR="00601CB2" w:rsidRPr="00100F0A" w:rsidRDefault="00601CB2" w:rsidP="00AD35BF">
      <w:pPr>
        <w:pStyle w:val="Heading3"/>
      </w:pPr>
      <w:r w:rsidRPr="00100F0A">
        <w:t xml:space="preserve">D120 Mercury; mercury compounds </w:t>
      </w:r>
    </w:p>
    <w:p w14:paraId="4A497DBC" w14:textId="348A3386" w:rsidR="00601CB2" w:rsidRPr="00100F0A" w:rsidRDefault="00601CB2" w:rsidP="00601CB2">
      <w:pPr>
        <w:pStyle w:val="BodyText"/>
        <w:rPr>
          <w:rFonts w:cs="Times New Roman"/>
          <w:color w:val="000000"/>
          <w:szCs w:val="20"/>
          <w:lang w:eastAsia="en-AU"/>
        </w:rPr>
      </w:pPr>
      <w:r w:rsidRPr="00100F0A">
        <w:t xml:space="preserve">This group includes only the single NEPM code </w:t>
      </w:r>
      <w:r w:rsidRPr="00100F0A">
        <w:rPr>
          <w:i/>
        </w:rPr>
        <w:t xml:space="preserve">D120 </w:t>
      </w:r>
      <w:r w:rsidRPr="00100F0A">
        <w:rPr>
          <w:rFonts w:cs="Times New Roman"/>
          <w:i/>
          <w:color w:val="000000"/>
          <w:szCs w:val="20"/>
          <w:lang w:eastAsia="en-AU"/>
        </w:rPr>
        <w:t>Mercury; mercury compounds</w:t>
      </w:r>
      <w:r w:rsidRPr="00100F0A">
        <w:rPr>
          <w:rFonts w:cs="Times New Roman"/>
          <w:color w:val="000000"/>
          <w:szCs w:val="20"/>
          <w:lang w:eastAsia="en-AU"/>
        </w:rPr>
        <w:t xml:space="preserve">. While volumes are very small, this waste has been singled out due to its inherent hazard, as evidenced by the </w:t>
      </w:r>
      <w:r w:rsidRPr="00100F0A">
        <w:rPr>
          <w:rFonts w:cs="Times New Roman"/>
          <w:i/>
          <w:color w:val="000000"/>
          <w:szCs w:val="20"/>
          <w:lang w:eastAsia="en-AU"/>
        </w:rPr>
        <w:t>Minamata Convention on Mercury</w:t>
      </w:r>
      <w:r w:rsidRPr="00100F0A">
        <w:rPr>
          <w:rStyle w:val="FootnoteReference"/>
          <w:rFonts w:cs="Times New Roman"/>
          <w:color w:val="000000"/>
          <w:szCs w:val="20"/>
          <w:lang w:eastAsia="en-AU"/>
        </w:rPr>
        <w:footnoteReference w:id="19"/>
      </w:r>
      <w:r w:rsidRPr="00100F0A">
        <w:rPr>
          <w:rFonts w:cs="Times New Roman"/>
          <w:color w:val="000000"/>
          <w:szCs w:val="20"/>
          <w:lang w:eastAsia="en-AU"/>
        </w:rPr>
        <w:t>.</w:t>
      </w:r>
    </w:p>
    <w:p w14:paraId="34E77692" w14:textId="77777777" w:rsidR="0067789D" w:rsidRPr="00100F0A" w:rsidRDefault="0067789D" w:rsidP="00601CB2">
      <w:pPr>
        <w:pStyle w:val="BodyText"/>
        <w:rPr>
          <w:rFonts w:cs="Times New Roman"/>
          <w:color w:val="000000"/>
          <w:szCs w:val="20"/>
          <w:lang w:eastAsia="en-AU"/>
        </w:rPr>
      </w:pPr>
    </w:p>
    <w:p w14:paraId="0069604E" w14:textId="6D2EB95E" w:rsidR="00601CB2" w:rsidRPr="00100F0A" w:rsidRDefault="0067789D" w:rsidP="0067789D">
      <w:pPr>
        <w:pStyle w:val="Heading4"/>
        <w:rPr>
          <w:b w:val="0"/>
        </w:rPr>
      </w:pPr>
      <w:r w:rsidRPr="00100F0A">
        <w:rPr>
          <w:b w:val="0"/>
        </w:rPr>
        <w:t>Mercury from the oil and gas industry</w:t>
      </w:r>
    </w:p>
    <w:p w14:paraId="0659DA5A" w14:textId="193B4EC2" w:rsidR="00341CE4" w:rsidRPr="00100F0A" w:rsidRDefault="00341CE4" w:rsidP="00341CE4">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before="120"/>
        <w:rPr>
          <w:sz w:val="20"/>
          <w:szCs w:val="20"/>
        </w:rPr>
      </w:pPr>
      <w:r w:rsidRPr="00100F0A">
        <w:rPr>
          <w:sz w:val="20"/>
          <w:szCs w:val="20"/>
        </w:rPr>
        <w:t>In addition to the CSG industry in Qld, there has been a longer-standing ‘conventional’ oil and gas exploration and extraction industry presence in Australia, with large operators offshore from the north-west coast of WA.</w:t>
      </w:r>
    </w:p>
    <w:p w14:paraId="401A7042" w14:textId="77777777" w:rsidR="00341CE4" w:rsidRPr="00100F0A" w:rsidRDefault="00341CE4" w:rsidP="00341CE4">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before="120"/>
        <w:rPr>
          <w:sz w:val="20"/>
          <w:szCs w:val="20"/>
        </w:rPr>
      </w:pPr>
      <w:r w:rsidRPr="00100F0A">
        <w:rPr>
          <w:sz w:val="20"/>
          <w:szCs w:val="20"/>
        </w:rPr>
        <w:t>Mercury is present in all hydrocarbon reservoirs at trace levels, and can arise most significantly as waste from mercury removal units (MRUs) in the form of spent mercury adsorbents (usually activated carbon) or contaminated hydrocarbon sludges. Other mercury wastes from the oil and gas sector include process waters, contaminated soils and contaminated worker personal protective equipment (PPE).</w:t>
      </w:r>
    </w:p>
    <w:p w14:paraId="1E287F6F" w14:textId="23FF3D78" w:rsidR="00530CFF" w:rsidRPr="00100F0A" w:rsidRDefault="00341CE4" w:rsidP="00530CFF">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before="120"/>
        <w:rPr>
          <w:sz w:val="20"/>
          <w:szCs w:val="20"/>
        </w:rPr>
      </w:pPr>
      <w:r w:rsidRPr="00100F0A">
        <w:rPr>
          <w:sz w:val="20"/>
          <w:szCs w:val="20"/>
        </w:rPr>
        <w:t xml:space="preserve">Apart from the obvious environmental and worker health and safety concerns about mercury, there is a specific risk that mercury entrained petroleum feedstock can damage metal components of processing plant equipment (particularly aluminium), through a form of corrosion, which can lead to catastrophic equipment failure. The latter is the likely reason for the use of MRUs over the long-term, but with the </w:t>
      </w:r>
      <w:r w:rsidRPr="00100F0A">
        <w:rPr>
          <w:i/>
          <w:sz w:val="20"/>
          <w:szCs w:val="20"/>
        </w:rPr>
        <w:t>Minamata Convention coming into force in August 2016</w:t>
      </w:r>
      <w:r w:rsidRPr="00100F0A">
        <w:rPr>
          <w:sz w:val="20"/>
          <w:szCs w:val="20"/>
        </w:rPr>
        <w:t xml:space="preserve"> and Australia very close to ratification of it, historically stored or otherwise managed MRU residues will come under increased regulatory scrutiny for more environmentally sound management.</w:t>
      </w:r>
    </w:p>
    <w:p w14:paraId="2516F59A" w14:textId="77777777" w:rsidR="00530CFF" w:rsidRPr="00100F0A" w:rsidRDefault="00530CFF" w:rsidP="00530CFF">
      <w:pPr>
        <w:pStyle w:val="BodyText"/>
      </w:pPr>
    </w:p>
    <w:p w14:paraId="71C3E282" w14:textId="77777777" w:rsidR="005624C1" w:rsidRPr="00100F0A" w:rsidRDefault="005624C1" w:rsidP="00601CB2">
      <w:pPr>
        <w:pStyle w:val="BodyText"/>
        <w:rPr>
          <w:b/>
        </w:rPr>
      </w:pPr>
    </w:p>
    <w:p w14:paraId="65A03CFE" w14:textId="77777777" w:rsidR="00601CB2" w:rsidRPr="00100F0A" w:rsidRDefault="00601CB2" w:rsidP="00931F74">
      <w:pPr>
        <w:pStyle w:val="Heading3-nonumber"/>
      </w:pPr>
      <w:r w:rsidRPr="00100F0A">
        <w:t>Summary analysis</w:t>
      </w:r>
    </w:p>
    <w:tbl>
      <w:tblPr>
        <w:tblW w:w="0" w:type="auto"/>
        <w:tblBorders>
          <w:top w:val="single" w:sz="8" w:space="0" w:color="B7B7E2"/>
          <w:left w:val="single" w:sz="8" w:space="0" w:color="B7B7E2"/>
          <w:bottom w:val="single" w:sz="8" w:space="0" w:color="B7B7E2"/>
          <w:right w:val="single" w:sz="8" w:space="0" w:color="B7B7E2"/>
          <w:insideH w:val="single" w:sz="8" w:space="0" w:color="B7B7E2"/>
          <w:insideV w:val="single" w:sz="8" w:space="0" w:color="B7B7E2"/>
        </w:tblBorders>
        <w:tblCellMar>
          <w:left w:w="0" w:type="dxa"/>
          <w:right w:w="0" w:type="dxa"/>
        </w:tblCellMar>
        <w:tblLook w:val="04A0" w:firstRow="1" w:lastRow="0" w:firstColumn="1" w:lastColumn="0" w:noHBand="0" w:noVBand="1"/>
      </w:tblPr>
      <w:tblGrid>
        <w:gridCol w:w="1817"/>
        <w:gridCol w:w="2284"/>
        <w:gridCol w:w="2834"/>
        <w:gridCol w:w="2077"/>
      </w:tblGrid>
      <w:tr w:rsidR="008B271A" w:rsidRPr="00100F0A" w14:paraId="3A34F4A4" w14:textId="77777777" w:rsidTr="00E75491">
        <w:trPr>
          <w:tblHeader/>
        </w:trPr>
        <w:tc>
          <w:tcPr>
            <w:tcW w:w="1817" w:type="dxa"/>
            <w:shd w:val="clear" w:color="auto" w:fill="B7B7E2"/>
            <w:tcMar>
              <w:top w:w="0" w:type="dxa"/>
              <w:left w:w="108" w:type="dxa"/>
              <w:bottom w:w="0" w:type="dxa"/>
              <w:right w:w="108" w:type="dxa"/>
            </w:tcMar>
            <w:vAlign w:val="center"/>
            <w:hideMark/>
          </w:tcPr>
          <w:p w14:paraId="116A4D1C" w14:textId="77777777" w:rsidR="009B0B9F" w:rsidRPr="00100F0A" w:rsidRDefault="009B0B9F" w:rsidP="004E3BDC">
            <w:pPr>
              <w:spacing w:after="144"/>
              <w:rPr>
                <w:rFonts w:eastAsia="Times New Roman" w:cs="Times New Roman"/>
                <w:sz w:val="20"/>
                <w:szCs w:val="20"/>
              </w:rPr>
            </w:pPr>
            <w:r w:rsidRPr="00100F0A">
              <w:rPr>
                <w:rFonts w:eastAsia="Times New Roman" w:cs="Times New Roman"/>
                <w:b/>
                <w:bCs/>
                <w:color w:val="FFFFFF"/>
                <w:sz w:val="20"/>
                <w:szCs w:val="20"/>
              </w:rPr>
              <w:t> Industry sources</w:t>
            </w:r>
          </w:p>
        </w:tc>
        <w:tc>
          <w:tcPr>
            <w:tcW w:w="2284" w:type="dxa"/>
            <w:shd w:val="clear" w:color="auto" w:fill="B7B7E2"/>
            <w:tcMar>
              <w:top w:w="0" w:type="dxa"/>
              <w:left w:w="108" w:type="dxa"/>
              <w:bottom w:w="0" w:type="dxa"/>
              <w:right w:w="108" w:type="dxa"/>
            </w:tcMar>
            <w:hideMark/>
          </w:tcPr>
          <w:p w14:paraId="361CDE93" w14:textId="77777777" w:rsidR="009B0B9F" w:rsidRPr="00100F0A" w:rsidRDefault="009B0B9F" w:rsidP="004E3BDC">
            <w:pPr>
              <w:spacing w:after="144"/>
              <w:rPr>
                <w:rFonts w:eastAsia="Times New Roman" w:cs="Times New Roman"/>
                <w:sz w:val="20"/>
                <w:szCs w:val="20"/>
              </w:rPr>
            </w:pPr>
            <w:r w:rsidRPr="00100F0A">
              <w:rPr>
                <w:rFonts w:eastAsia="Times New Roman" w:cs="Times New Roman"/>
                <w:b/>
                <w:bCs/>
                <w:color w:val="FFFFFF"/>
                <w:sz w:val="20"/>
                <w:szCs w:val="20"/>
              </w:rPr>
              <w:t> Considerations</w:t>
            </w:r>
          </w:p>
        </w:tc>
        <w:tc>
          <w:tcPr>
            <w:tcW w:w="2835" w:type="dxa"/>
            <w:shd w:val="clear" w:color="auto" w:fill="B7B7E2"/>
            <w:tcMar>
              <w:top w:w="0" w:type="dxa"/>
              <w:left w:w="108" w:type="dxa"/>
              <w:bottom w:w="0" w:type="dxa"/>
              <w:right w:w="108" w:type="dxa"/>
            </w:tcMar>
            <w:hideMark/>
          </w:tcPr>
          <w:p w14:paraId="0C93781C" w14:textId="77777777" w:rsidR="009B0B9F" w:rsidRPr="00100F0A" w:rsidRDefault="009B0B9F" w:rsidP="004E3BDC">
            <w:pPr>
              <w:spacing w:after="144"/>
              <w:rPr>
                <w:rFonts w:eastAsia="Times New Roman" w:cs="Times New Roman"/>
                <w:sz w:val="20"/>
                <w:szCs w:val="20"/>
              </w:rPr>
            </w:pPr>
            <w:r w:rsidRPr="00100F0A">
              <w:rPr>
                <w:rFonts w:eastAsia="Times New Roman" w:cs="Times New Roman"/>
                <w:b/>
                <w:bCs/>
                <w:color w:val="FFFFFF"/>
                <w:sz w:val="20"/>
                <w:szCs w:val="20"/>
              </w:rPr>
              <w:t> Comments</w:t>
            </w:r>
          </w:p>
        </w:tc>
        <w:tc>
          <w:tcPr>
            <w:tcW w:w="2077" w:type="dxa"/>
            <w:shd w:val="clear" w:color="auto" w:fill="B7B7E2"/>
            <w:tcMar>
              <w:top w:w="0" w:type="dxa"/>
              <w:left w:w="108" w:type="dxa"/>
              <w:bottom w:w="0" w:type="dxa"/>
              <w:right w:w="108" w:type="dxa"/>
            </w:tcMar>
            <w:hideMark/>
          </w:tcPr>
          <w:p w14:paraId="10738153" w14:textId="77777777" w:rsidR="009B0B9F" w:rsidRPr="00100F0A" w:rsidRDefault="009B0B9F" w:rsidP="004E3BDC">
            <w:pPr>
              <w:spacing w:after="144"/>
              <w:rPr>
                <w:rFonts w:eastAsia="Times New Roman" w:cs="Times New Roman"/>
                <w:sz w:val="20"/>
                <w:szCs w:val="20"/>
              </w:rPr>
            </w:pPr>
            <w:r w:rsidRPr="00100F0A">
              <w:rPr>
                <w:rFonts w:eastAsia="Times New Roman" w:cs="Times New Roman"/>
                <w:b/>
                <w:bCs/>
                <w:color w:val="FFFFFF"/>
                <w:sz w:val="20"/>
                <w:szCs w:val="20"/>
              </w:rPr>
              <w:t> Approach</w:t>
            </w:r>
          </w:p>
        </w:tc>
      </w:tr>
      <w:tr w:rsidR="008B271A" w:rsidRPr="00100F0A" w14:paraId="01AA6F3A" w14:textId="77777777" w:rsidTr="00E75491">
        <w:trPr>
          <w:trHeight w:val="2014"/>
        </w:trPr>
        <w:tc>
          <w:tcPr>
            <w:tcW w:w="1817" w:type="dxa"/>
            <w:tcMar>
              <w:top w:w="0" w:type="dxa"/>
              <w:left w:w="108" w:type="dxa"/>
              <w:bottom w:w="0" w:type="dxa"/>
              <w:right w:w="108" w:type="dxa"/>
            </w:tcMar>
            <w:hideMark/>
          </w:tcPr>
          <w:p w14:paraId="36EDF425" w14:textId="4521FBB5" w:rsidR="009B0B9F" w:rsidRPr="00100F0A" w:rsidRDefault="009B0B9F" w:rsidP="00512118">
            <w:pPr>
              <w:pStyle w:val="ListParagraph"/>
              <w:numPr>
                <w:ilvl w:val="0"/>
                <w:numId w:val="33"/>
              </w:numPr>
              <w:ind w:left="357" w:hanging="357"/>
              <w:rPr>
                <w:color w:val="000000"/>
                <w:sz w:val="20"/>
              </w:rPr>
            </w:pPr>
            <w:r w:rsidRPr="00100F0A">
              <w:rPr>
                <w:color w:val="000000"/>
                <w:sz w:val="20"/>
              </w:rPr>
              <w:t>Oil &amp; gas extraction</w:t>
            </w:r>
          </w:p>
          <w:p w14:paraId="61BC0ED3" w14:textId="42767C06" w:rsidR="009B0B9F" w:rsidRPr="00100F0A" w:rsidRDefault="009B0B9F" w:rsidP="00512118">
            <w:pPr>
              <w:pStyle w:val="ListParagraph"/>
              <w:numPr>
                <w:ilvl w:val="0"/>
                <w:numId w:val="33"/>
              </w:numPr>
              <w:ind w:left="357" w:hanging="357"/>
              <w:rPr>
                <w:color w:val="000000"/>
                <w:sz w:val="20"/>
              </w:rPr>
            </w:pPr>
            <w:r w:rsidRPr="00100F0A">
              <w:rPr>
                <w:color w:val="000000"/>
                <w:sz w:val="20"/>
              </w:rPr>
              <w:t>Petroleum refining</w:t>
            </w:r>
          </w:p>
          <w:p w14:paraId="06919743" w14:textId="383549E0" w:rsidR="009B0B9F" w:rsidRPr="00100F0A" w:rsidRDefault="009B0B9F" w:rsidP="00512118">
            <w:pPr>
              <w:pStyle w:val="ListParagraph"/>
              <w:numPr>
                <w:ilvl w:val="0"/>
                <w:numId w:val="33"/>
              </w:numPr>
              <w:ind w:left="357" w:hanging="357"/>
              <w:rPr>
                <w:color w:val="000000"/>
                <w:sz w:val="20"/>
              </w:rPr>
            </w:pPr>
            <w:r w:rsidRPr="00100F0A">
              <w:rPr>
                <w:color w:val="000000"/>
                <w:sz w:val="20"/>
              </w:rPr>
              <w:t>Mining</w:t>
            </w:r>
          </w:p>
          <w:p w14:paraId="1C9A06DB" w14:textId="7DB8B48F" w:rsidR="009B0B9F" w:rsidRPr="00100F0A" w:rsidRDefault="009B0B9F" w:rsidP="00512118">
            <w:pPr>
              <w:pStyle w:val="ListParagraph"/>
              <w:numPr>
                <w:ilvl w:val="0"/>
                <w:numId w:val="33"/>
              </w:numPr>
              <w:ind w:left="357" w:hanging="357"/>
              <w:rPr>
                <w:color w:val="000000"/>
                <w:sz w:val="20"/>
              </w:rPr>
            </w:pPr>
            <w:r w:rsidRPr="00100F0A">
              <w:rPr>
                <w:color w:val="000000"/>
                <w:sz w:val="20"/>
              </w:rPr>
              <w:t>Lighting, electricity supply, chemical manufacturing, dentistry</w:t>
            </w:r>
          </w:p>
        </w:tc>
        <w:tc>
          <w:tcPr>
            <w:tcW w:w="2284" w:type="dxa"/>
            <w:tcMar>
              <w:top w:w="0" w:type="dxa"/>
              <w:left w:w="108" w:type="dxa"/>
              <w:bottom w:w="0" w:type="dxa"/>
              <w:right w:w="108" w:type="dxa"/>
            </w:tcMar>
          </w:tcPr>
          <w:p w14:paraId="5C05B9C7" w14:textId="78EA667B" w:rsidR="008B271A" w:rsidRPr="00100F0A" w:rsidRDefault="009B0B9F" w:rsidP="008B271A">
            <w:pPr>
              <w:spacing w:after="60"/>
              <w:rPr>
                <w:rFonts w:eastAsia="Times New Roman" w:cs="Times New Roman"/>
                <w:sz w:val="20"/>
                <w:szCs w:val="20"/>
              </w:rPr>
            </w:pPr>
            <w:r w:rsidRPr="00100F0A">
              <w:rPr>
                <w:rFonts w:eastAsia="Times New Roman" w:cs="Times New Roman"/>
                <w:sz w:val="20"/>
                <w:szCs w:val="20"/>
              </w:rPr>
              <w:t>No specific pre-existing projections were identified</w:t>
            </w:r>
            <w:r w:rsidR="008B271A" w:rsidRPr="00100F0A">
              <w:rPr>
                <w:rFonts w:eastAsia="Times New Roman" w:cs="Times New Roman"/>
                <w:sz w:val="20"/>
                <w:szCs w:val="20"/>
              </w:rPr>
              <w:t>.</w:t>
            </w:r>
          </w:p>
          <w:p w14:paraId="37F0102D" w14:textId="536A6D86" w:rsidR="009B0B9F" w:rsidRPr="00100F0A" w:rsidRDefault="008B271A" w:rsidP="004E3BDC">
            <w:pPr>
              <w:spacing w:after="60"/>
              <w:rPr>
                <w:rFonts w:eastAsia="Times New Roman" w:cs="Times New Roman"/>
                <w:sz w:val="20"/>
                <w:szCs w:val="20"/>
              </w:rPr>
            </w:pPr>
            <w:r w:rsidRPr="00100F0A">
              <w:rPr>
                <w:rFonts w:eastAsia="Times New Roman" w:cs="Times New Roman"/>
                <w:sz w:val="20"/>
                <w:szCs w:val="20"/>
              </w:rPr>
              <w:t>Trend unreliable due to contaminated soil classified as D120 in NSW (instead of N120), and a one-off stockpile clearance.</w:t>
            </w:r>
          </w:p>
          <w:p w14:paraId="62B4E64D" w14:textId="5FDEBBB5" w:rsidR="008B271A" w:rsidRPr="00100F0A" w:rsidRDefault="008B271A" w:rsidP="004E3BDC">
            <w:pPr>
              <w:spacing w:after="60"/>
              <w:rPr>
                <w:rFonts w:eastAsia="Times New Roman" w:cs="Times New Roman"/>
                <w:sz w:val="20"/>
                <w:szCs w:val="20"/>
              </w:rPr>
            </w:pPr>
            <w:r w:rsidRPr="00100F0A">
              <w:rPr>
                <w:rFonts w:eastAsia="Times New Roman" w:cs="Times New Roman"/>
                <w:sz w:val="20"/>
                <w:szCs w:val="20"/>
              </w:rPr>
              <w:t>Minamata Convention came into force in 2017.</w:t>
            </w:r>
          </w:p>
        </w:tc>
        <w:tc>
          <w:tcPr>
            <w:tcW w:w="2835" w:type="dxa"/>
            <w:tcMar>
              <w:top w:w="0" w:type="dxa"/>
              <w:left w:w="108" w:type="dxa"/>
              <w:bottom w:w="0" w:type="dxa"/>
              <w:right w:w="108" w:type="dxa"/>
            </w:tcMar>
          </w:tcPr>
          <w:p w14:paraId="542D9DF2" w14:textId="511A3B6A" w:rsidR="009B0B9F" w:rsidRPr="00100F0A" w:rsidRDefault="008B271A" w:rsidP="004E3BDC">
            <w:pPr>
              <w:spacing w:after="60"/>
              <w:rPr>
                <w:rFonts w:eastAsia="Times New Roman" w:cs="Times New Roman"/>
                <w:sz w:val="20"/>
                <w:szCs w:val="20"/>
              </w:rPr>
            </w:pPr>
            <w:r w:rsidRPr="00100F0A">
              <w:rPr>
                <w:rFonts w:eastAsia="Times New Roman" w:cs="Times New Roman"/>
                <w:sz w:val="20"/>
                <w:szCs w:val="20"/>
              </w:rPr>
              <w:t>2015 projections incorrectly assumed major driver was fluoro lamps.</w:t>
            </w:r>
          </w:p>
          <w:p w14:paraId="2EC6D3BF" w14:textId="32F2792C" w:rsidR="008B271A" w:rsidRPr="00100F0A" w:rsidRDefault="00E75491" w:rsidP="004E3BDC">
            <w:pPr>
              <w:spacing w:after="60"/>
              <w:rPr>
                <w:rFonts w:eastAsia="Times New Roman" w:cs="Times New Roman"/>
                <w:sz w:val="20"/>
                <w:szCs w:val="20"/>
              </w:rPr>
            </w:pPr>
            <w:r w:rsidRPr="00100F0A">
              <w:rPr>
                <w:rFonts w:eastAsia="Times New Roman" w:cs="Times New Roman"/>
                <w:sz w:val="20"/>
                <w:szCs w:val="20"/>
              </w:rPr>
              <w:t xml:space="preserve">Oil &amp; gas processing </w:t>
            </w:r>
            <w:r w:rsidR="008B271A" w:rsidRPr="00100F0A">
              <w:rPr>
                <w:rFonts w:eastAsia="Times New Roman" w:cs="Times New Roman"/>
                <w:sz w:val="20"/>
                <w:szCs w:val="20"/>
              </w:rPr>
              <w:t>mercury recov</w:t>
            </w:r>
            <w:r w:rsidRPr="00100F0A">
              <w:rPr>
                <w:rFonts w:eastAsia="Times New Roman" w:cs="Times New Roman"/>
                <w:sz w:val="20"/>
                <w:szCs w:val="20"/>
              </w:rPr>
              <w:t>ery unit (MRU) spent absorbents is</w:t>
            </w:r>
            <w:r w:rsidR="008B271A" w:rsidRPr="00100F0A">
              <w:rPr>
                <w:rFonts w:eastAsia="Times New Roman" w:cs="Times New Roman"/>
                <w:sz w:val="20"/>
                <w:szCs w:val="20"/>
              </w:rPr>
              <w:t xml:space="preserve"> major source – not clear </w:t>
            </w:r>
            <w:r w:rsidRPr="00100F0A">
              <w:rPr>
                <w:rFonts w:eastAsia="Times New Roman" w:cs="Times New Roman"/>
                <w:sz w:val="20"/>
                <w:szCs w:val="20"/>
              </w:rPr>
              <w:t>if this</w:t>
            </w:r>
            <w:r w:rsidR="008B271A" w:rsidRPr="00100F0A">
              <w:rPr>
                <w:rFonts w:eastAsia="Times New Roman" w:cs="Times New Roman"/>
                <w:sz w:val="20"/>
                <w:szCs w:val="20"/>
              </w:rPr>
              <w:t xml:space="preserve"> comes through tracking systems</w:t>
            </w:r>
          </w:p>
          <w:p w14:paraId="3B67F507" w14:textId="7DFB2661" w:rsidR="008B271A" w:rsidRPr="00100F0A" w:rsidRDefault="008B271A" w:rsidP="004E3BDC">
            <w:pPr>
              <w:spacing w:after="60"/>
              <w:rPr>
                <w:rFonts w:eastAsia="Times New Roman" w:cs="Times New Roman"/>
                <w:sz w:val="20"/>
                <w:szCs w:val="20"/>
              </w:rPr>
            </w:pPr>
            <w:r w:rsidRPr="00100F0A">
              <w:rPr>
                <w:rFonts w:eastAsia="Times New Roman" w:cs="Times New Roman"/>
                <w:sz w:val="20"/>
                <w:szCs w:val="20"/>
              </w:rPr>
              <w:t>Assume large scale on-site stockpiling for Oil &amp; gas processing mercury</w:t>
            </w:r>
          </w:p>
        </w:tc>
        <w:tc>
          <w:tcPr>
            <w:tcW w:w="2077" w:type="dxa"/>
            <w:tcMar>
              <w:top w:w="0" w:type="dxa"/>
              <w:left w:w="108" w:type="dxa"/>
              <w:bottom w:w="0" w:type="dxa"/>
              <w:right w:w="108" w:type="dxa"/>
            </w:tcMar>
            <w:hideMark/>
          </w:tcPr>
          <w:p w14:paraId="12433B2D" w14:textId="11D9E96A" w:rsidR="008B271A" w:rsidRPr="00100F0A" w:rsidRDefault="008B271A" w:rsidP="004E3BDC">
            <w:pPr>
              <w:spacing w:after="60"/>
              <w:rPr>
                <w:rFonts w:eastAsia="Times New Roman" w:cs="Times New Roman"/>
                <w:sz w:val="20"/>
                <w:szCs w:val="20"/>
              </w:rPr>
            </w:pPr>
            <w:r w:rsidRPr="00100F0A">
              <w:rPr>
                <w:rFonts w:eastAsia="Times New Roman" w:cs="Times New Roman"/>
                <w:sz w:val="20"/>
                <w:szCs w:val="20"/>
              </w:rPr>
              <w:t>Assume Minamata drives arisings growth but at lower rate - with reducing stockpiling behaviour.</w:t>
            </w:r>
          </w:p>
          <w:p w14:paraId="15750392" w14:textId="4598C584" w:rsidR="008B271A" w:rsidRPr="00100F0A" w:rsidRDefault="008B271A" w:rsidP="004E3BDC">
            <w:pPr>
              <w:spacing w:after="60"/>
              <w:rPr>
                <w:rFonts w:eastAsia="Times New Roman" w:cs="Times New Roman"/>
                <w:sz w:val="20"/>
                <w:szCs w:val="20"/>
              </w:rPr>
            </w:pPr>
            <w:r w:rsidRPr="00100F0A">
              <w:rPr>
                <w:rFonts w:eastAsia="Times New Roman" w:cs="Times New Roman"/>
                <w:sz w:val="20"/>
                <w:szCs w:val="20"/>
              </w:rPr>
              <w:t xml:space="preserve">Assume stockpiles cleared over </w:t>
            </w:r>
            <w:r w:rsidR="0026508D">
              <w:rPr>
                <w:rFonts w:eastAsia="Times New Roman" w:cs="Times New Roman"/>
                <w:sz w:val="20"/>
                <w:szCs w:val="20"/>
              </w:rPr>
              <w:t>seven</w:t>
            </w:r>
            <w:r w:rsidR="0026508D" w:rsidRPr="00100F0A">
              <w:rPr>
                <w:rFonts w:eastAsia="Times New Roman" w:cs="Times New Roman"/>
                <w:sz w:val="20"/>
                <w:szCs w:val="20"/>
              </w:rPr>
              <w:t xml:space="preserve"> </w:t>
            </w:r>
            <w:r w:rsidRPr="00100F0A">
              <w:rPr>
                <w:rFonts w:eastAsia="Times New Roman" w:cs="Times New Roman"/>
                <w:sz w:val="20"/>
                <w:szCs w:val="20"/>
              </w:rPr>
              <w:t>years, starting immediately, due to Minamata.</w:t>
            </w:r>
          </w:p>
          <w:p w14:paraId="3ED16207" w14:textId="1BDE9D49" w:rsidR="008B271A" w:rsidRPr="00100F0A" w:rsidRDefault="008B271A" w:rsidP="004E3BDC">
            <w:pPr>
              <w:spacing w:after="60"/>
              <w:rPr>
                <w:rFonts w:eastAsia="Times New Roman" w:cs="Times New Roman"/>
                <w:sz w:val="20"/>
                <w:szCs w:val="20"/>
              </w:rPr>
            </w:pPr>
            <w:r w:rsidRPr="00100F0A">
              <w:rPr>
                <w:rFonts w:eastAsia="Times New Roman" w:cs="Times New Roman"/>
                <w:sz w:val="20"/>
                <w:szCs w:val="20"/>
              </w:rPr>
              <w:t>High case - assume larger stockpile.</w:t>
            </w:r>
          </w:p>
        </w:tc>
      </w:tr>
    </w:tbl>
    <w:p w14:paraId="22C1B6D8" w14:textId="1614E81B" w:rsidR="00344C95" w:rsidRDefault="00344C95" w:rsidP="00601CB2">
      <w:pPr>
        <w:pStyle w:val="BodyText"/>
        <w:rPr>
          <w:b/>
          <w:sz w:val="16"/>
          <w:szCs w:val="16"/>
        </w:rPr>
      </w:pPr>
    </w:p>
    <w:p w14:paraId="3B19032A" w14:textId="499B344E" w:rsidR="00223843" w:rsidRDefault="00223843">
      <w:pPr>
        <w:rPr>
          <w:b/>
          <w:sz w:val="16"/>
          <w:szCs w:val="16"/>
        </w:rPr>
      </w:pPr>
      <w:r>
        <w:rPr>
          <w:b/>
          <w:sz w:val="16"/>
          <w:szCs w:val="16"/>
        </w:rPr>
        <w:br w:type="page"/>
      </w:r>
    </w:p>
    <w:p w14:paraId="62326A34" w14:textId="77777777" w:rsidR="00223843" w:rsidRPr="00100F0A" w:rsidRDefault="00223843" w:rsidP="00601CB2">
      <w:pPr>
        <w:pStyle w:val="BodyText"/>
        <w:rPr>
          <w:b/>
          <w:sz w:val="16"/>
          <w:szCs w:val="16"/>
        </w:rPr>
      </w:pPr>
    </w:p>
    <w:p w14:paraId="4634849C" w14:textId="628C4392" w:rsidR="00344C95" w:rsidRPr="00100F0A" w:rsidRDefault="00601CB2" w:rsidP="00E75491">
      <w:pPr>
        <w:pStyle w:val="Caption"/>
        <w:spacing w:before="120"/>
      </w:pPr>
      <w:bookmarkStart w:id="164" w:name="_Toc425849296"/>
      <w:bookmarkStart w:id="165" w:name="_Toc13225631"/>
      <w:r w:rsidRPr="00100F0A">
        <w:t xml:space="preserve">Table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12</w:t>
      </w:r>
      <w:r w:rsidR="00B404A6" w:rsidRPr="00100F0A">
        <w:rPr>
          <w:noProof/>
        </w:rPr>
        <w:fldChar w:fldCharType="end"/>
      </w:r>
      <w:r w:rsidR="00C14F18">
        <w:rPr>
          <w:noProof/>
        </w:rPr>
        <w:t>:</w:t>
      </w:r>
      <w:r w:rsidR="00D11FEE" w:rsidRPr="00100F0A">
        <w:tab/>
      </w:r>
      <w:r w:rsidRPr="00100F0A">
        <w:t>Best, high and low projected rates of chan</w:t>
      </w:r>
      <w:r w:rsidR="00E75491" w:rsidRPr="00100F0A">
        <w:t>ge for mercury; mercury c</w:t>
      </w:r>
      <w:r w:rsidR="00100F0A" w:rsidRPr="00100F0A">
        <w:t>om</w:t>
      </w:r>
      <w:r w:rsidR="00E75491" w:rsidRPr="00100F0A">
        <w:t>p</w:t>
      </w:r>
      <w:r w:rsidR="00100F0A" w:rsidRPr="00100F0A">
        <w:t>oun</w:t>
      </w:r>
      <w:r w:rsidR="00E75491" w:rsidRPr="00100F0A">
        <w:t>d</w:t>
      </w:r>
      <w:r w:rsidRPr="00100F0A">
        <w:t>s waste to 203</w:t>
      </w:r>
      <w:bookmarkEnd w:id="164"/>
      <w:r w:rsidR="008B271A" w:rsidRPr="00100F0A">
        <w:t>7</w:t>
      </w:r>
      <w:bookmarkEnd w:id="165"/>
    </w:p>
    <w:tbl>
      <w:tblPr>
        <w:tblW w:w="9062" w:type="dxa"/>
        <w:tblCellMar>
          <w:left w:w="0" w:type="dxa"/>
          <w:right w:w="0" w:type="dxa"/>
        </w:tblCellMar>
        <w:tblLook w:val="04A0" w:firstRow="1" w:lastRow="0" w:firstColumn="1" w:lastColumn="0" w:noHBand="0" w:noVBand="1"/>
      </w:tblPr>
      <w:tblGrid>
        <w:gridCol w:w="586"/>
        <w:gridCol w:w="1105"/>
        <w:gridCol w:w="4395"/>
        <w:gridCol w:w="708"/>
        <w:gridCol w:w="426"/>
        <w:gridCol w:w="708"/>
        <w:gridCol w:w="426"/>
        <w:gridCol w:w="708"/>
      </w:tblGrid>
      <w:tr w:rsidR="00344C95" w:rsidRPr="00100F0A" w14:paraId="4A8D9D70" w14:textId="77777777" w:rsidTr="004E3BDC">
        <w:trPr>
          <w:tblHeader/>
        </w:trPr>
        <w:tc>
          <w:tcPr>
            <w:tcW w:w="586" w:type="dxa"/>
            <w:tcBorders>
              <w:top w:val="single" w:sz="8" w:space="0" w:color="B7B7E2"/>
              <w:left w:val="single" w:sz="8" w:space="0" w:color="B7B7E2"/>
              <w:bottom w:val="single" w:sz="8" w:space="0" w:color="B7B7E2"/>
              <w:right w:val="single" w:sz="8" w:space="0" w:color="B7B7E2"/>
            </w:tcBorders>
            <w:shd w:val="clear" w:color="auto" w:fill="B7B7E2"/>
            <w:tcMar>
              <w:top w:w="0" w:type="dxa"/>
              <w:left w:w="108" w:type="dxa"/>
              <w:bottom w:w="0" w:type="dxa"/>
              <w:right w:w="108" w:type="dxa"/>
            </w:tcMar>
            <w:vAlign w:val="center"/>
            <w:hideMark/>
          </w:tcPr>
          <w:p w14:paraId="6EBE2D89" w14:textId="77777777" w:rsidR="00344C95" w:rsidRPr="00100F0A" w:rsidRDefault="00344C95" w:rsidP="004E3BDC">
            <w:pPr>
              <w:spacing w:after="144"/>
              <w:rPr>
                <w:rFonts w:eastAsia="Times New Roman" w:cs="Times New Roman"/>
              </w:rPr>
            </w:pPr>
            <w:r w:rsidRPr="00100F0A">
              <w:rPr>
                <w:rFonts w:eastAsia="Times New Roman" w:cs="Times New Roman"/>
                <w:b/>
                <w:bCs/>
                <w:color w:val="FFFFFF"/>
                <w:sz w:val="20"/>
                <w:szCs w:val="20"/>
              </w:rPr>
              <w:t> </w:t>
            </w:r>
          </w:p>
        </w:tc>
        <w:tc>
          <w:tcPr>
            <w:tcW w:w="1105"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10E5C46D" w14:textId="77777777" w:rsidR="00344C95" w:rsidRPr="00100F0A" w:rsidRDefault="00344C95" w:rsidP="004E3BDC">
            <w:pPr>
              <w:spacing w:after="144"/>
              <w:rPr>
                <w:rFonts w:eastAsia="Times New Roman" w:cs="Times New Roman"/>
              </w:rPr>
            </w:pPr>
            <w:r w:rsidRPr="00100F0A">
              <w:rPr>
                <w:rFonts w:eastAsia="Times New Roman" w:cs="Times New Roman"/>
                <w:b/>
                <w:bCs/>
                <w:color w:val="FFFFFF"/>
                <w:sz w:val="20"/>
                <w:szCs w:val="20"/>
              </w:rPr>
              <w:t> Applies to</w:t>
            </w:r>
          </w:p>
        </w:tc>
        <w:tc>
          <w:tcPr>
            <w:tcW w:w="4395"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59AD538D" w14:textId="77777777" w:rsidR="00344C95" w:rsidRPr="00100F0A" w:rsidRDefault="00344C95" w:rsidP="004E3BDC">
            <w:pPr>
              <w:spacing w:after="144"/>
              <w:rPr>
                <w:rFonts w:eastAsia="Times New Roman" w:cs="Times New Roman"/>
              </w:rPr>
            </w:pPr>
            <w:r w:rsidRPr="00100F0A">
              <w:rPr>
                <w:rFonts w:eastAsia="Times New Roman" w:cs="Times New Roman"/>
                <w:b/>
                <w:bCs/>
                <w:color w:val="FFFFFF"/>
                <w:sz w:val="20"/>
                <w:szCs w:val="20"/>
              </w:rPr>
              <w:t> Approach</w:t>
            </w:r>
          </w:p>
        </w:tc>
        <w:tc>
          <w:tcPr>
            <w:tcW w:w="708"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696B2CC6" w14:textId="77777777" w:rsidR="00344C95" w:rsidRPr="00100F0A" w:rsidRDefault="00344C95" w:rsidP="004E3BDC">
            <w:pPr>
              <w:spacing w:after="144"/>
              <w:jc w:val="right"/>
              <w:rPr>
                <w:rFonts w:eastAsia="Times New Roman" w:cs="Times New Roman"/>
                <w:sz w:val="20"/>
                <w:szCs w:val="20"/>
              </w:rPr>
            </w:pPr>
            <w:r w:rsidRPr="00100F0A">
              <w:rPr>
                <w:rFonts w:eastAsia="Times New Roman" w:cs="Times New Roman"/>
                <w:b/>
                <w:bCs/>
                <w:color w:val="FFFFFF"/>
                <w:sz w:val="20"/>
                <w:szCs w:val="20"/>
              </w:rPr>
              <w:t> 2018</w:t>
            </w:r>
          </w:p>
        </w:tc>
        <w:tc>
          <w:tcPr>
            <w:tcW w:w="426" w:type="dxa"/>
            <w:tcBorders>
              <w:top w:val="single" w:sz="8" w:space="0" w:color="B7B7E2"/>
              <w:left w:val="nil"/>
              <w:bottom w:val="single" w:sz="8" w:space="0" w:color="B7B7E2"/>
              <w:right w:val="single" w:sz="8" w:space="0" w:color="B7B7E2"/>
            </w:tcBorders>
            <w:shd w:val="clear" w:color="auto" w:fill="B7B7E2"/>
          </w:tcPr>
          <w:p w14:paraId="4FA19EFD" w14:textId="77777777" w:rsidR="00344C95" w:rsidRPr="00100F0A" w:rsidRDefault="00344C95" w:rsidP="004E3BDC">
            <w:pPr>
              <w:spacing w:after="144"/>
              <w:jc w:val="center"/>
              <w:rPr>
                <w:rFonts w:eastAsia="Times New Roman" w:cs="Times New Roman"/>
                <w:b/>
                <w:bCs/>
                <w:color w:val="FFFFFF" w:themeColor="background1"/>
                <w:sz w:val="20"/>
                <w:szCs w:val="20"/>
              </w:rPr>
            </w:pPr>
            <w:r w:rsidRPr="00100F0A">
              <w:rPr>
                <w:color w:val="FFFFFF" w:themeColor="background1"/>
                <w:sz w:val="20"/>
              </w:rPr>
              <w:t>...</w:t>
            </w:r>
          </w:p>
        </w:tc>
        <w:tc>
          <w:tcPr>
            <w:tcW w:w="708" w:type="dxa"/>
            <w:tcBorders>
              <w:top w:val="single" w:sz="8" w:space="0" w:color="B7B7E2"/>
              <w:left w:val="nil"/>
              <w:bottom w:val="single" w:sz="8" w:space="0" w:color="B7B7E2"/>
              <w:right w:val="single" w:sz="8" w:space="0" w:color="B7B7E2"/>
            </w:tcBorders>
            <w:shd w:val="clear" w:color="auto" w:fill="B7B7E2"/>
          </w:tcPr>
          <w:p w14:paraId="065D41CE" w14:textId="77777777" w:rsidR="00344C95" w:rsidRPr="00100F0A" w:rsidRDefault="00344C95" w:rsidP="004E3BDC">
            <w:pPr>
              <w:spacing w:after="144"/>
              <w:jc w:val="right"/>
              <w:rPr>
                <w:rFonts w:eastAsia="Times New Roman" w:cs="Times New Roman"/>
                <w:b/>
                <w:bCs/>
                <w:color w:val="FFFFFF" w:themeColor="background1"/>
                <w:sz w:val="20"/>
                <w:szCs w:val="20"/>
              </w:rPr>
            </w:pPr>
            <w:r w:rsidRPr="00100F0A">
              <w:rPr>
                <w:rFonts w:eastAsia="Times New Roman" w:cs="Times New Roman"/>
                <w:b/>
                <w:bCs/>
                <w:color w:val="FFFFFF" w:themeColor="background1"/>
                <w:sz w:val="20"/>
                <w:szCs w:val="20"/>
              </w:rPr>
              <w:t>2027</w:t>
            </w:r>
          </w:p>
        </w:tc>
        <w:tc>
          <w:tcPr>
            <w:tcW w:w="426" w:type="dxa"/>
            <w:tcBorders>
              <w:top w:val="single" w:sz="8" w:space="0" w:color="B7B7E2"/>
              <w:left w:val="nil"/>
              <w:bottom w:val="single" w:sz="8" w:space="0" w:color="B7B7E2"/>
              <w:right w:val="single" w:sz="8" w:space="0" w:color="B7B7E2"/>
            </w:tcBorders>
            <w:shd w:val="clear" w:color="auto" w:fill="B7B7E2"/>
          </w:tcPr>
          <w:p w14:paraId="42B232E9" w14:textId="77777777" w:rsidR="00344C95" w:rsidRPr="00100F0A" w:rsidRDefault="00344C95" w:rsidP="004E3BDC">
            <w:pPr>
              <w:spacing w:after="144"/>
              <w:jc w:val="right"/>
              <w:rPr>
                <w:rFonts w:eastAsia="Times New Roman" w:cs="Times New Roman"/>
                <w:b/>
                <w:bCs/>
                <w:color w:val="FFFFFF" w:themeColor="background1"/>
                <w:sz w:val="20"/>
                <w:szCs w:val="20"/>
              </w:rPr>
            </w:pPr>
            <w:r w:rsidRPr="00100F0A">
              <w:rPr>
                <w:color w:val="FFFFFF" w:themeColor="background1"/>
                <w:sz w:val="20"/>
              </w:rPr>
              <w:t>...</w:t>
            </w:r>
          </w:p>
        </w:tc>
        <w:tc>
          <w:tcPr>
            <w:tcW w:w="708" w:type="dxa"/>
            <w:tcBorders>
              <w:top w:val="single" w:sz="8" w:space="0" w:color="B7B7E2"/>
              <w:left w:val="nil"/>
              <w:bottom w:val="single" w:sz="8" w:space="0" w:color="B7B7E2"/>
              <w:right w:val="single" w:sz="8" w:space="0" w:color="B7B7E2"/>
            </w:tcBorders>
            <w:shd w:val="clear" w:color="auto" w:fill="B7B7E2"/>
          </w:tcPr>
          <w:p w14:paraId="4957DB87" w14:textId="77777777" w:rsidR="00344C95" w:rsidRPr="00100F0A" w:rsidRDefault="00344C95" w:rsidP="004E3BDC">
            <w:pPr>
              <w:spacing w:after="144"/>
              <w:jc w:val="right"/>
              <w:rPr>
                <w:rFonts w:eastAsia="Times New Roman" w:cs="Times New Roman"/>
                <w:b/>
                <w:bCs/>
                <w:color w:val="FFFFFF" w:themeColor="background1"/>
                <w:sz w:val="20"/>
                <w:szCs w:val="20"/>
              </w:rPr>
            </w:pPr>
            <w:r w:rsidRPr="00100F0A">
              <w:rPr>
                <w:rFonts w:eastAsia="Times New Roman" w:cs="Times New Roman"/>
                <w:b/>
                <w:bCs/>
                <w:color w:val="FFFFFF" w:themeColor="background1"/>
                <w:sz w:val="20"/>
                <w:szCs w:val="20"/>
              </w:rPr>
              <w:t>2037</w:t>
            </w:r>
          </w:p>
        </w:tc>
      </w:tr>
      <w:tr w:rsidR="00344C95" w:rsidRPr="00100F0A" w14:paraId="14FE80BA" w14:textId="77777777" w:rsidTr="004E3BDC">
        <w:tc>
          <w:tcPr>
            <w:tcW w:w="9062" w:type="dxa"/>
            <w:gridSpan w:val="8"/>
            <w:tcBorders>
              <w:top w:val="single" w:sz="8" w:space="0" w:color="B7B7E2"/>
              <w:left w:val="single" w:sz="8" w:space="0" w:color="B7B7E2"/>
              <w:bottom w:val="dotted" w:sz="4" w:space="0" w:color="B7B7E2"/>
              <w:right w:val="single" w:sz="8" w:space="0" w:color="B7B7E2"/>
            </w:tcBorders>
            <w:tcMar>
              <w:top w:w="0" w:type="dxa"/>
              <w:left w:w="108" w:type="dxa"/>
              <w:bottom w:w="0" w:type="dxa"/>
              <w:right w:w="108" w:type="dxa"/>
            </w:tcMar>
          </w:tcPr>
          <w:p w14:paraId="35DDB1E5" w14:textId="77777777" w:rsidR="00344C95" w:rsidRPr="00100F0A" w:rsidRDefault="00344C95" w:rsidP="004E3BDC">
            <w:pPr>
              <w:spacing w:after="60"/>
              <w:rPr>
                <w:iCs/>
                <w:color w:val="4D4DB8"/>
                <w:sz w:val="20"/>
                <w:szCs w:val="18"/>
              </w:rPr>
            </w:pPr>
            <w:r w:rsidRPr="00100F0A">
              <w:rPr>
                <w:iCs/>
                <w:color w:val="4D4DB8"/>
                <w:sz w:val="20"/>
                <w:szCs w:val="18"/>
              </w:rPr>
              <w:t>Arisings</w:t>
            </w:r>
          </w:p>
        </w:tc>
      </w:tr>
      <w:tr w:rsidR="005F67D6" w:rsidRPr="00100F0A" w14:paraId="1182E437" w14:textId="77777777" w:rsidTr="009B0B9F">
        <w:tc>
          <w:tcPr>
            <w:tcW w:w="586" w:type="dxa"/>
            <w:tcBorders>
              <w:top w:val="single" w:sz="8" w:space="0" w:color="B7B7E2"/>
              <w:left w:val="single" w:sz="8" w:space="0" w:color="B7B7E2"/>
              <w:bottom w:val="dotted" w:sz="4" w:space="0" w:color="B7B7E2"/>
              <w:right w:val="single" w:sz="8" w:space="0" w:color="B7B7E2"/>
            </w:tcBorders>
            <w:tcMar>
              <w:top w:w="0" w:type="dxa"/>
              <w:left w:w="108" w:type="dxa"/>
              <w:bottom w:w="0" w:type="dxa"/>
              <w:right w:w="108" w:type="dxa"/>
            </w:tcMar>
            <w:hideMark/>
          </w:tcPr>
          <w:p w14:paraId="029D0D95" w14:textId="77777777" w:rsidR="005F67D6" w:rsidRPr="00100F0A" w:rsidRDefault="005F67D6" w:rsidP="005F67D6">
            <w:pPr>
              <w:spacing w:after="60"/>
              <w:rPr>
                <w:rFonts w:eastAsia="Times New Roman" w:cs="Times New Roman"/>
                <w:sz w:val="20"/>
              </w:rPr>
            </w:pPr>
            <w:r w:rsidRPr="00100F0A">
              <w:rPr>
                <w:sz w:val="20"/>
              </w:rPr>
              <w:t>Best</w:t>
            </w:r>
          </w:p>
        </w:tc>
        <w:tc>
          <w:tcPr>
            <w:tcW w:w="1105" w:type="dxa"/>
            <w:vMerge w:val="restart"/>
            <w:tcBorders>
              <w:top w:val="single" w:sz="8" w:space="0" w:color="B7B7E2"/>
              <w:left w:val="nil"/>
              <w:right w:val="single" w:sz="4" w:space="0" w:color="B7B7E2"/>
            </w:tcBorders>
            <w:tcMar>
              <w:top w:w="0" w:type="dxa"/>
              <w:left w:w="108" w:type="dxa"/>
              <w:bottom w:w="0" w:type="dxa"/>
              <w:right w:w="108" w:type="dxa"/>
            </w:tcMar>
            <w:vAlign w:val="center"/>
          </w:tcPr>
          <w:p w14:paraId="5E1EAE78" w14:textId="054DCECC" w:rsidR="005F67D6" w:rsidRPr="00100F0A" w:rsidRDefault="005F67D6" w:rsidP="005F67D6">
            <w:pPr>
              <w:spacing w:after="60"/>
              <w:rPr>
                <w:sz w:val="20"/>
              </w:rPr>
            </w:pPr>
            <w:r w:rsidRPr="00100F0A">
              <w:rPr>
                <w:sz w:val="20"/>
                <w:szCs w:val="20"/>
              </w:rPr>
              <w:t>ACT, NSW, NT, Qld, SA, Tas, Vic, WA</w:t>
            </w:r>
          </w:p>
        </w:tc>
        <w:tc>
          <w:tcPr>
            <w:tcW w:w="4395" w:type="dxa"/>
            <w:tcBorders>
              <w:top w:val="single" w:sz="8" w:space="0" w:color="B7B7E2"/>
              <w:left w:val="single" w:sz="4" w:space="0" w:color="B7B7E2"/>
              <w:bottom w:val="dotted" w:sz="4" w:space="0" w:color="B7B7E2"/>
              <w:right w:val="single" w:sz="4" w:space="0" w:color="B7B7E2"/>
            </w:tcBorders>
            <w:tcMar>
              <w:top w:w="0" w:type="dxa"/>
              <w:left w:w="108" w:type="dxa"/>
              <w:bottom w:w="0" w:type="dxa"/>
              <w:right w:w="108" w:type="dxa"/>
            </w:tcMar>
          </w:tcPr>
          <w:p w14:paraId="5A182B47" w14:textId="0434C877" w:rsidR="005F67D6" w:rsidRPr="00100F0A" w:rsidRDefault="005F67D6" w:rsidP="009B0B9F">
            <w:pPr>
              <w:rPr>
                <w:rFonts w:eastAsia="Times New Roman" w:cs="Times New Roman"/>
                <w:sz w:val="20"/>
                <w:szCs w:val="20"/>
              </w:rPr>
            </w:pPr>
            <w:r w:rsidRPr="00100F0A">
              <w:rPr>
                <w:rFonts w:cs="Calibri"/>
                <w:color w:val="000000"/>
                <w:sz w:val="20"/>
                <w:szCs w:val="20"/>
              </w:rPr>
              <w:t>Minamata drives more D120 to market, assume economic growth</w:t>
            </w:r>
          </w:p>
        </w:tc>
        <w:tc>
          <w:tcPr>
            <w:tcW w:w="708" w:type="dxa"/>
            <w:tcBorders>
              <w:top w:val="single" w:sz="8" w:space="0" w:color="B7B7E2"/>
              <w:left w:val="single" w:sz="4" w:space="0" w:color="B7B7E2"/>
              <w:bottom w:val="dotted" w:sz="4" w:space="0" w:color="B7B7E2"/>
              <w:right w:val="single" w:sz="8" w:space="0" w:color="B7B7E2"/>
            </w:tcBorders>
            <w:tcMar>
              <w:top w:w="0" w:type="dxa"/>
              <w:left w:w="108" w:type="dxa"/>
              <w:bottom w:w="0" w:type="dxa"/>
              <w:right w:w="108" w:type="dxa"/>
            </w:tcMar>
            <w:hideMark/>
          </w:tcPr>
          <w:p w14:paraId="6C413308" w14:textId="26C96E9B" w:rsidR="005F67D6" w:rsidRPr="00100F0A" w:rsidRDefault="005F67D6" w:rsidP="00827AF8">
            <w:pPr>
              <w:spacing w:after="60"/>
              <w:jc w:val="center"/>
              <w:rPr>
                <w:rFonts w:eastAsia="Times New Roman" w:cs="Times New Roman"/>
                <w:sz w:val="20"/>
                <w:szCs w:val="20"/>
              </w:rPr>
            </w:pPr>
            <w:r w:rsidRPr="00100F0A">
              <w:rPr>
                <w:rFonts w:cs="Calibri"/>
                <w:bCs/>
                <w:sz w:val="20"/>
                <w:szCs w:val="20"/>
              </w:rPr>
              <w:t>2.8%</w:t>
            </w:r>
          </w:p>
        </w:tc>
        <w:tc>
          <w:tcPr>
            <w:tcW w:w="426" w:type="dxa"/>
            <w:tcBorders>
              <w:top w:val="single" w:sz="8" w:space="0" w:color="B7B7E2"/>
              <w:left w:val="nil"/>
              <w:bottom w:val="dotted" w:sz="4" w:space="0" w:color="B7B7E2"/>
              <w:right w:val="single" w:sz="8" w:space="0" w:color="B7B7E2"/>
            </w:tcBorders>
          </w:tcPr>
          <w:p w14:paraId="1C4FBDDC" w14:textId="77777777" w:rsidR="005F67D6" w:rsidRPr="00100F0A" w:rsidRDefault="005F67D6" w:rsidP="00827AF8">
            <w:pPr>
              <w:spacing w:after="60"/>
              <w:jc w:val="center"/>
              <w:rPr>
                <w:rFonts w:eastAsia="Times New Roman" w:cs="Times New Roman"/>
                <w:sz w:val="20"/>
                <w:szCs w:val="20"/>
              </w:rPr>
            </w:pPr>
            <w:r w:rsidRPr="00100F0A">
              <w:rPr>
                <w:sz w:val="20"/>
                <w:szCs w:val="20"/>
              </w:rPr>
              <w:t>...</w:t>
            </w:r>
          </w:p>
        </w:tc>
        <w:tc>
          <w:tcPr>
            <w:tcW w:w="708" w:type="dxa"/>
            <w:tcBorders>
              <w:top w:val="single" w:sz="8" w:space="0" w:color="B7B7E2"/>
              <w:left w:val="nil"/>
              <w:bottom w:val="dotted" w:sz="4" w:space="0" w:color="B7B7E2"/>
              <w:right w:val="single" w:sz="8" w:space="0" w:color="B7B7E2"/>
            </w:tcBorders>
          </w:tcPr>
          <w:p w14:paraId="3A334F74" w14:textId="7F03FC96" w:rsidR="005F67D6" w:rsidRPr="00100F0A" w:rsidRDefault="005F67D6" w:rsidP="00827AF8">
            <w:pPr>
              <w:spacing w:after="60"/>
              <w:jc w:val="center"/>
              <w:rPr>
                <w:rFonts w:cs="Calibri"/>
                <w:bCs/>
                <w:color w:val="000000" w:themeColor="text1"/>
                <w:sz w:val="20"/>
                <w:szCs w:val="20"/>
              </w:rPr>
            </w:pPr>
            <w:r w:rsidRPr="00100F0A">
              <w:rPr>
                <w:rFonts w:cs="Calibri"/>
                <w:color w:val="000000" w:themeColor="text1"/>
                <w:sz w:val="20"/>
                <w:szCs w:val="20"/>
              </w:rPr>
              <w:t>2.8%</w:t>
            </w:r>
          </w:p>
        </w:tc>
        <w:tc>
          <w:tcPr>
            <w:tcW w:w="426" w:type="dxa"/>
            <w:tcBorders>
              <w:top w:val="single" w:sz="8" w:space="0" w:color="B7B7E2"/>
              <w:left w:val="nil"/>
              <w:bottom w:val="dotted" w:sz="4" w:space="0" w:color="B7B7E2"/>
              <w:right w:val="single" w:sz="8" w:space="0" w:color="B7B7E2"/>
            </w:tcBorders>
          </w:tcPr>
          <w:p w14:paraId="5D7BE743" w14:textId="77777777" w:rsidR="005F67D6" w:rsidRPr="00100F0A" w:rsidRDefault="005F67D6" w:rsidP="00827AF8">
            <w:pPr>
              <w:spacing w:after="60"/>
              <w:jc w:val="center"/>
              <w:rPr>
                <w:rFonts w:cs="Calibri"/>
                <w:color w:val="000000" w:themeColor="text1"/>
                <w:sz w:val="20"/>
                <w:szCs w:val="20"/>
              </w:rPr>
            </w:pPr>
            <w:r w:rsidRPr="00100F0A">
              <w:rPr>
                <w:sz w:val="20"/>
                <w:szCs w:val="20"/>
              </w:rPr>
              <w:t>...</w:t>
            </w:r>
          </w:p>
        </w:tc>
        <w:tc>
          <w:tcPr>
            <w:tcW w:w="708" w:type="dxa"/>
            <w:tcBorders>
              <w:top w:val="single" w:sz="8" w:space="0" w:color="B7B7E2"/>
              <w:left w:val="nil"/>
              <w:bottom w:val="dotted" w:sz="4" w:space="0" w:color="B7B7E2"/>
              <w:right w:val="single" w:sz="8" w:space="0" w:color="B7B7E2"/>
            </w:tcBorders>
          </w:tcPr>
          <w:p w14:paraId="7563D22C" w14:textId="27376697" w:rsidR="005F67D6" w:rsidRPr="00100F0A" w:rsidRDefault="005F67D6" w:rsidP="00827AF8">
            <w:pPr>
              <w:spacing w:after="60"/>
              <w:jc w:val="center"/>
              <w:rPr>
                <w:rFonts w:cs="Calibri"/>
                <w:color w:val="000000" w:themeColor="text1"/>
                <w:sz w:val="20"/>
                <w:szCs w:val="20"/>
              </w:rPr>
            </w:pPr>
            <w:r w:rsidRPr="00100F0A">
              <w:rPr>
                <w:rFonts w:cs="Calibri"/>
                <w:color w:val="000000" w:themeColor="text1"/>
                <w:sz w:val="20"/>
                <w:szCs w:val="20"/>
              </w:rPr>
              <w:t>2.8%</w:t>
            </w:r>
          </w:p>
        </w:tc>
      </w:tr>
      <w:tr w:rsidR="005F67D6" w:rsidRPr="00100F0A" w14:paraId="764BA28B" w14:textId="77777777" w:rsidTr="009B0B9F">
        <w:tc>
          <w:tcPr>
            <w:tcW w:w="586" w:type="dxa"/>
            <w:tcBorders>
              <w:top w:val="dotted" w:sz="4" w:space="0" w:color="B7B7E2"/>
              <w:left w:val="single" w:sz="8" w:space="0" w:color="B7B7E2"/>
              <w:bottom w:val="dotted" w:sz="4" w:space="0" w:color="B7B7E2"/>
              <w:right w:val="single" w:sz="8" w:space="0" w:color="B7B7E2"/>
            </w:tcBorders>
            <w:tcMar>
              <w:top w:w="0" w:type="dxa"/>
              <w:left w:w="108" w:type="dxa"/>
              <w:bottom w:w="0" w:type="dxa"/>
              <w:right w:w="108" w:type="dxa"/>
            </w:tcMar>
            <w:hideMark/>
          </w:tcPr>
          <w:p w14:paraId="6579B9C4" w14:textId="77777777" w:rsidR="005F67D6" w:rsidRPr="00100F0A" w:rsidRDefault="005F67D6" w:rsidP="005F67D6">
            <w:pPr>
              <w:spacing w:after="60"/>
              <w:rPr>
                <w:rFonts w:eastAsia="Times New Roman" w:cs="Times New Roman"/>
                <w:sz w:val="20"/>
              </w:rPr>
            </w:pPr>
            <w:r w:rsidRPr="00100F0A">
              <w:rPr>
                <w:sz w:val="20"/>
              </w:rPr>
              <w:t>High</w:t>
            </w:r>
          </w:p>
        </w:tc>
        <w:tc>
          <w:tcPr>
            <w:tcW w:w="1105" w:type="dxa"/>
            <w:vMerge/>
            <w:tcBorders>
              <w:left w:val="nil"/>
              <w:right w:val="single" w:sz="4" w:space="0" w:color="B7B7E2"/>
            </w:tcBorders>
            <w:tcMar>
              <w:top w:w="0" w:type="dxa"/>
              <w:left w:w="108" w:type="dxa"/>
              <w:bottom w:w="0" w:type="dxa"/>
              <w:right w:w="108" w:type="dxa"/>
            </w:tcMar>
          </w:tcPr>
          <w:p w14:paraId="09D87F5B" w14:textId="77777777" w:rsidR="005F67D6" w:rsidRPr="00100F0A" w:rsidRDefault="005F67D6" w:rsidP="005F67D6">
            <w:pPr>
              <w:spacing w:after="60"/>
              <w:rPr>
                <w:sz w:val="20"/>
              </w:rPr>
            </w:pPr>
          </w:p>
        </w:tc>
        <w:tc>
          <w:tcPr>
            <w:tcW w:w="4395"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tcPr>
          <w:p w14:paraId="519A6FCB" w14:textId="447B9497" w:rsidR="005F67D6" w:rsidRPr="00100F0A" w:rsidRDefault="005F67D6" w:rsidP="009B0B9F">
            <w:pPr>
              <w:rPr>
                <w:rFonts w:eastAsia="Times New Roman" w:cs="Times New Roman"/>
                <w:sz w:val="20"/>
                <w:szCs w:val="20"/>
              </w:rPr>
            </w:pPr>
            <w:r w:rsidRPr="00100F0A">
              <w:rPr>
                <w:rFonts w:cs="Calibri"/>
                <w:color w:val="000000"/>
                <w:sz w:val="20"/>
                <w:szCs w:val="20"/>
              </w:rPr>
              <w:t>Av. projected ann. growth in oil &amp; gas production 2018-23, then economic growth</w:t>
            </w:r>
          </w:p>
        </w:tc>
        <w:tc>
          <w:tcPr>
            <w:tcW w:w="708" w:type="dxa"/>
            <w:tcBorders>
              <w:top w:val="dotted" w:sz="4" w:space="0" w:color="B7B7E2"/>
              <w:left w:val="single" w:sz="4" w:space="0" w:color="B7B7E2"/>
              <w:bottom w:val="dotted" w:sz="4" w:space="0" w:color="B7B7E2"/>
              <w:right w:val="single" w:sz="8" w:space="0" w:color="B7B7E2"/>
            </w:tcBorders>
            <w:tcMar>
              <w:top w:w="0" w:type="dxa"/>
              <w:left w:w="108" w:type="dxa"/>
              <w:bottom w:w="0" w:type="dxa"/>
              <w:right w:w="108" w:type="dxa"/>
            </w:tcMar>
            <w:hideMark/>
          </w:tcPr>
          <w:p w14:paraId="2CBF9F41" w14:textId="0DE22CB9" w:rsidR="005F67D6" w:rsidRPr="00100F0A" w:rsidRDefault="005F67D6" w:rsidP="00827AF8">
            <w:pPr>
              <w:spacing w:after="60"/>
              <w:jc w:val="center"/>
              <w:rPr>
                <w:rFonts w:eastAsia="Times New Roman" w:cs="Times New Roman"/>
                <w:sz w:val="20"/>
                <w:szCs w:val="20"/>
              </w:rPr>
            </w:pPr>
            <w:r w:rsidRPr="00100F0A">
              <w:rPr>
                <w:rFonts w:cs="Calibri"/>
                <w:bCs/>
                <w:sz w:val="20"/>
                <w:szCs w:val="20"/>
              </w:rPr>
              <w:t>5.3%</w:t>
            </w:r>
          </w:p>
        </w:tc>
        <w:tc>
          <w:tcPr>
            <w:tcW w:w="426" w:type="dxa"/>
            <w:tcBorders>
              <w:top w:val="dotted" w:sz="4" w:space="0" w:color="B7B7E2"/>
              <w:left w:val="nil"/>
              <w:bottom w:val="dotted" w:sz="4" w:space="0" w:color="B7B7E2"/>
              <w:right w:val="single" w:sz="8" w:space="0" w:color="B7B7E2"/>
            </w:tcBorders>
          </w:tcPr>
          <w:p w14:paraId="4E4D58A7" w14:textId="77777777" w:rsidR="005F67D6" w:rsidRPr="00100F0A" w:rsidRDefault="005F67D6" w:rsidP="00827AF8">
            <w:pPr>
              <w:spacing w:after="60"/>
              <w:jc w:val="center"/>
              <w:rPr>
                <w:rFonts w:eastAsia="Times New Roman" w:cs="Times New Roman"/>
                <w:sz w:val="20"/>
                <w:szCs w:val="20"/>
              </w:rPr>
            </w:pPr>
            <w:r w:rsidRPr="00100F0A">
              <w:rPr>
                <w:sz w:val="20"/>
                <w:szCs w:val="20"/>
              </w:rPr>
              <w:t>...</w:t>
            </w:r>
          </w:p>
        </w:tc>
        <w:tc>
          <w:tcPr>
            <w:tcW w:w="708" w:type="dxa"/>
            <w:tcBorders>
              <w:top w:val="dotted" w:sz="4" w:space="0" w:color="B7B7E2"/>
              <w:left w:val="nil"/>
              <w:bottom w:val="dotted" w:sz="4" w:space="0" w:color="B7B7E2"/>
              <w:right w:val="single" w:sz="8" w:space="0" w:color="B7B7E2"/>
            </w:tcBorders>
          </w:tcPr>
          <w:p w14:paraId="084EE8EC" w14:textId="6A25AE7A" w:rsidR="005F67D6" w:rsidRPr="00100F0A" w:rsidRDefault="005F67D6" w:rsidP="00827AF8">
            <w:pPr>
              <w:spacing w:after="60"/>
              <w:jc w:val="center"/>
              <w:rPr>
                <w:rFonts w:cs="Calibri"/>
                <w:bCs/>
                <w:color w:val="000000" w:themeColor="text1"/>
                <w:sz w:val="20"/>
                <w:szCs w:val="20"/>
              </w:rPr>
            </w:pPr>
            <w:r w:rsidRPr="00100F0A">
              <w:rPr>
                <w:rFonts w:cs="Calibri"/>
                <w:color w:val="000000" w:themeColor="text1"/>
                <w:sz w:val="20"/>
                <w:szCs w:val="20"/>
              </w:rPr>
              <w:t>2.8%</w:t>
            </w:r>
          </w:p>
        </w:tc>
        <w:tc>
          <w:tcPr>
            <w:tcW w:w="426" w:type="dxa"/>
            <w:tcBorders>
              <w:top w:val="dotted" w:sz="4" w:space="0" w:color="B7B7E2"/>
              <w:left w:val="nil"/>
              <w:bottom w:val="dotted" w:sz="4" w:space="0" w:color="B7B7E2"/>
              <w:right w:val="single" w:sz="8" w:space="0" w:color="B7B7E2"/>
            </w:tcBorders>
          </w:tcPr>
          <w:p w14:paraId="564A4893" w14:textId="77777777" w:rsidR="005F67D6" w:rsidRPr="00100F0A" w:rsidRDefault="005F67D6" w:rsidP="00827AF8">
            <w:pPr>
              <w:spacing w:after="60"/>
              <w:jc w:val="center"/>
              <w:rPr>
                <w:rFonts w:cs="Calibri"/>
                <w:color w:val="000000" w:themeColor="text1"/>
                <w:sz w:val="20"/>
                <w:szCs w:val="20"/>
              </w:rPr>
            </w:pPr>
            <w:r w:rsidRPr="00100F0A">
              <w:rPr>
                <w:sz w:val="20"/>
                <w:szCs w:val="20"/>
              </w:rPr>
              <w:t>...</w:t>
            </w:r>
          </w:p>
        </w:tc>
        <w:tc>
          <w:tcPr>
            <w:tcW w:w="708" w:type="dxa"/>
            <w:tcBorders>
              <w:top w:val="dotted" w:sz="4" w:space="0" w:color="B7B7E2"/>
              <w:left w:val="nil"/>
              <w:bottom w:val="dotted" w:sz="4" w:space="0" w:color="B7B7E2"/>
              <w:right w:val="single" w:sz="8" w:space="0" w:color="B7B7E2"/>
            </w:tcBorders>
          </w:tcPr>
          <w:p w14:paraId="7ACF1AFF" w14:textId="05756C08" w:rsidR="005F67D6" w:rsidRPr="00100F0A" w:rsidRDefault="005F67D6" w:rsidP="00827AF8">
            <w:pPr>
              <w:spacing w:after="60"/>
              <w:jc w:val="center"/>
              <w:rPr>
                <w:rFonts w:cs="Calibri"/>
                <w:color w:val="000000" w:themeColor="text1"/>
                <w:sz w:val="20"/>
                <w:szCs w:val="20"/>
              </w:rPr>
            </w:pPr>
            <w:r w:rsidRPr="00100F0A">
              <w:rPr>
                <w:rFonts w:cs="Calibri"/>
                <w:color w:val="000000" w:themeColor="text1"/>
                <w:sz w:val="20"/>
                <w:szCs w:val="20"/>
              </w:rPr>
              <w:t>2.8%</w:t>
            </w:r>
          </w:p>
        </w:tc>
      </w:tr>
      <w:tr w:rsidR="005F67D6" w:rsidRPr="00100F0A" w14:paraId="3E19E871" w14:textId="77777777" w:rsidTr="009B0B9F">
        <w:tc>
          <w:tcPr>
            <w:tcW w:w="586" w:type="dxa"/>
            <w:tcBorders>
              <w:top w:val="dotted" w:sz="4" w:space="0" w:color="B7B7E2"/>
              <w:left w:val="single" w:sz="8" w:space="0" w:color="B7B7E2"/>
              <w:bottom w:val="single" w:sz="4" w:space="0" w:color="B7B7E2"/>
              <w:right w:val="single" w:sz="8" w:space="0" w:color="B7B7E2"/>
            </w:tcBorders>
            <w:tcMar>
              <w:top w:w="0" w:type="dxa"/>
              <w:left w:w="108" w:type="dxa"/>
              <w:bottom w:w="0" w:type="dxa"/>
              <w:right w:w="108" w:type="dxa"/>
            </w:tcMar>
            <w:hideMark/>
          </w:tcPr>
          <w:p w14:paraId="4EA79CB7" w14:textId="77777777" w:rsidR="005F67D6" w:rsidRPr="00100F0A" w:rsidRDefault="005F67D6" w:rsidP="005F67D6">
            <w:pPr>
              <w:spacing w:after="60"/>
              <w:rPr>
                <w:rFonts w:eastAsia="Times New Roman" w:cs="Times New Roman"/>
                <w:sz w:val="20"/>
              </w:rPr>
            </w:pPr>
            <w:r w:rsidRPr="00100F0A">
              <w:rPr>
                <w:sz w:val="20"/>
              </w:rPr>
              <w:t>Low</w:t>
            </w:r>
          </w:p>
        </w:tc>
        <w:tc>
          <w:tcPr>
            <w:tcW w:w="1105" w:type="dxa"/>
            <w:vMerge/>
            <w:tcBorders>
              <w:left w:val="nil"/>
              <w:bottom w:val="single" w:sz="8" w:space="0" w:color="B7B7E2"/>
              <w:right w:val="single" w:sz="4" w:space="0" w:color="B7B7E2"/>
            </w:tcBorders>
            <w:tcMar>
              <w:top w:w="0" w:type="dxa"/>
              <w:left w:w="108" w:type="dxa"/>
              <w:bottom w:w="0" w:type="dxa"/>
              <w:right w:w="108" w:type="dxa"/>
            </w:tcMar>
          </w:tcPr>
          <w:p w14:paraId="0F33F9D1" w14:textId="77777777" w:rsidR="005F67D6" w:rsidRPr="00100F0A" w:rsidRDefault="005F67D6" w:rsidP="005F67D6">
            <w:pPr>
              <w:spacing w:after="60"/>
              <w:rPr>
                <w:sz w:val="20"/>
              </w:rPr>
            </w:pPr>
          </w:p>
        </w:tc>
        <w:tc>
          <w:tcPr>
            <w:tcW w:w="4395" w:type="dxa"/>
            <w:tcBorders>
              <w:top w:val="dotted" w:sz="4" w:space="0" w:color="B7B7E2"/>
              <w:left w:val="single" w:sz="4" w:space="0" w:color="B7B7E2"/>
              <w:bottom w:val="single" w:sz="8" w:space="0" w:color="B7B7E2"/>
              <w:right w:val="single" w:sz="4" w:space="0" w:color="B7B7E2"/>
            </w:tcBorders>
            <w:tcMar>
              <w:top w:w="0" w:type="dxa"/>
              <w:left w:w="108" w:type="dxa"/>
              <w:bottom w:w="0" w:type="dxa"/>
              <w:right w:w="108" w:type="dxa"/>
            </w:tcMar>
          </w:tcPr>
          <w:p w14:paraId="58037887" w14:textId="523646FC" w:rsidR="005F67D6" w:rsidRPr="00100F0A" w:rsidRDefault="00C34F48" w:rsidP="009B0B9F">
            <w:pPr>
              <w:rPr>
                <w:rFonts w:eastAsia="Times New Roman" w:cs="Times New Roman"/>
                <w:sz w:val="20"/>
                <w:szCs w:val="20"/>
              </w:rPr>
            </w:pPr>
            <w:r>
              <w:rPr>
                <w:rFonts w:cs="Calibri"/>
                <w:color w:val="000000"/>
                <w:sz w:val="20"/>
                <w:szCs w:val="20"/>
              </w:rPr>
              <w:t>20-year average</w:t>
            </w:r>
            <w:r w:rsidR="005F67D6" w:rsidRPr="00100F0A">
              <w:rPr>
                <w:rFonts w:cs="Calibri"/>
                <w:color w:val="000000"/>
                <w:sz w:val="20"/>
                <w:szCs w:val="20"/>
              </w:rPr>
              <w:t xml:space="preserve"> annual population growth </w:t>
            </w:r>
          </w:p>
        </w:tc>
        <w:tc>
          <w:tcPr>
            <w:tcW w:w="708" w:type="dxa"/>
            <w:tcBorders>
              <w:top w:val="dotted" w:sz="4" w:space="0" w:color="B7B7E2"/>
              <w:left w:val="single" w:sz="4" w:space="0" w:color="B7B7E2"/>
              <w:bottom w:val="single" w:sz="4" w:space="0" w:color="B7B7E2"/>
              <w:right w:val="single" w:sz="8" w:space="0" w:color="B7B7E2"/>
            </w:tcBorders>
            <w:tcMar>
              <w:top w:w="0" w:type="dxa"/>
              <w:left w:w="108" w:type="dxa"/>
              <w:bottom w:w="0" w:type="dxa"/>
              <w:right w:w="108" w:type="dxa"/>
            </w:tcMar>
            <w:hideMark/>
          </w:tcPr>
          <w:p w14:paraId="1833B653" w14:textId="2DF492FD" w:rsidR="005F67D6" w:rsidRPr="00100F0A" w:rsidRDefault="005F67D6" w:rsidP="00827AF8">
            <w:pPr>
              <w:spacing w:after="60"/>
              <w:jc w:val="center"/>
              <w:rPr>
                <w:rFonts w:eastAsia="Times New Roman" w:cs="Times New Roman"/>
                <w:sz w:val="20"/>
                <w:szCs w:val="20"/>
              </w:rPr>
            </w:pPr>
            <w:r w:rsidRPr="00100F0A">
              <w:rPr>
                <w:rFonts w:cs="Calibri"/>
                <w:bCs/>
                <w:sz w:val="20"/>
                <w:szCs w:val="20"/>
              </w:rPr>
              <w:t>1.4%</w:t>
            </w:r>
          </w:p>
        </w:tc>
        <w:tc>
          <w:tcPr>
            <w:tcW w:w="426" w:type="dxa"/>
            <w:tcBorders>
              <w:top w:val="dotted" w:sz="4" w:space="0" w:color="B7B7E2"/>
              <w:left w:val="nil"/>
              <w:bottom w:val="single" w:sz="4" w:space="0" w:color="B7B7E2"/>
              <w:right w:val="single" w:sz="8" w:space="0" w:color="B7B7E2"/>
            </w:tcBorders>
          </w:tcPr>
          <w:p w14:paraId="12E65B7B" w14:textId="77777777" w:rsidR="005F67D6" w:rsidRPr="00100F0A" w:rsidRDefault="005F67D6" w:rsidP="00827AF8">
            <w:pPr>
              <w:spacing w:after="60"/>
              <w:jc w:val="center"/>
              <w:rPr>
                <w:rFonts w:eastAsia="Times New Roman" w:cs="Times New Roman"/>
                <w:sz w:val="20"/>
                <w:szCs w:val="20"/>
              </w:rPr>
            </w:pPr>
            <w:r w:rsidRPr="00100F0A">
              <w:rPr>
                <w:sz w:val="20"/>
                <w:szCs w:val="20"/>
              </w:rPr>
              <w:t>...</w:t>
            </w:r>
          </w:p>
        </w:tc>
        <w:tc>
          <w:tcPr>
            <w:tcW w:w="708" w:type="dxa"/>
            <w:tcBorders>
              <w:top w:val="dotted" w:sz="4" w:space="0" w:color="B7B7E2"/>
              <w:left w:val="nil"/>
              <w:bottom w:val="single" w:sz="4" w:space="0" w:color="B7B7E2"/>
              <w:right w:val="single" w:sz="8" w:space="0" w:color="B7B7E2"/>
            </w:tcBorders>
          </w:tcPr>
          <w:p w14:paraId="2A50428B" w14:textId="1495D3BA" w:rsidR="005F67D6" w:rsidRPr="00100F0A" w:rsidRDefault="005F67D6" w:rsidP="00827AF8">
            <w:pPr>
              <w:spacing w:after="60"/>
              <w:jc w:val="center"/>
              <w:rPr>
                <w:rFonts w:cs="Calibri"/>
                <w:bCs/>
                <w:color w:val="000000" w:themeColor="text1"/>
                <w:sz w:val="20"/>
                <w:szCs w:val="20"/>
              </w:rPr>
            </w:pPr>
            <w:r w:rsidRPr="00100F0A">
              <w:rPr>
                <w:rFonts w:cs="Calibri"/>
                <w:color w:val="000000" w:themeColor="text1"/>
                <w:sz w:val="20"/>
                <w:szCs w:val="20"/>
              </w:rPr>
              <w:t>1.4%</w:t>
            </w:r>
          </w:p>
        </w:tc>
        <w:tc>
          <w:tcPr>
            <w:tcW w:w="426" w:type="dxa"/>
            <w:tcBorders>
              <w:top w:val="dotted" w:sz="4" w:space="0" w:color="B7B7E2"/>
              <w:left w:val="nil"/>
              <w:bottom w:val="single" w:sz="4" w:space="0" w:color="B7B7E2"/>
              <w:right w:val="single" w:sz="8" w:space="0" w:color="B7B7E2"/>
            </w:tcBorders>
          </w:tcPr>
          <w:p w14:paraId="6415A590" w14:textId="77777777" w:rsidR="005F67D6" w:rsidRPr="00100F0A" w:rsidRDefault="005F67D6" w:rsidP="00827AF8">
            <w:pPr>
              <w:spacing w:after="60"/>
              <w:jc w:val="center"/>
              <w:rPr>
                <w:rFonts w:cs="Calibri"/>
                <w:bCs/>
                <w:color w:val="000000" w:themeColor="text1"/>
                <w:sz w:val="20"/>
                <w:szCs w:val="20"/>
              </w:rPr>
            </w:pPr>
            <w:r w:rsidRPr="00100F0A">
              <w:rPr>
                <w:sz w:val="20"/>
                <w:szCs w:val="20"/>
              </w:rPr>
              <w:t>...</w:t>
            </w:r>
          </w:p>
        </w:tc>
        <w:tc>
          <w:tcPr>
            <w:tcW w:w="708" w:type="dxa"/>
            <w:tcBorders>
              <w:top w:val="dotted" w:sz="4" w:space="0" w:color="B7B7E2"/>
              <w:left w:val="nil"/>
              <w:bottom w:val="single" w:sz="4" w:space="0" w:color="B7B7E2"/>
              <w:right w:val="single" w:sz="8" w:space="0" w:color="B7B7E2"/>
            </w:tcBorders>
          </w:tcPr>
          <w:p w14:paraId="2D7D61B3" w14:textId="0B962E29" w:rsidR="005F67D6" w:rsidRPr="00100F0A" w:rsidRDefault="005F67D6" w:rsidP="00827AF8">
            <w:pPr>
              <w:spacing w:after="60"/>
              <w:jc w:val="center"/>
              <w:rPr>
                <w:rFonts w:cs="Calibri"/>
                <w:bCs/>
                <w:color w:val="000000" w:themeColor="text1"/>
                <w:sz w:val="20"/>
                <w:szCs w:val="20"/>
              </w:rPr>
            </w:pPr>
            <w:r w:rsidRPr="00100F0A">
              <w:rPr>
                <w:rFonts w:cs="Calibri"/>
                <w:color w:val="000000" w:themeColor="text1"/>
                <w:sz w:val="20"/>
                <w:szCs w:val="20"/>
              </w:rPr>
              <w:t>1.4%</w:t>
            </w:r>
          </w:p>
        </w:tc>
      </w:tr>
      <w:tr w:rsidR="00344C95" w:rsidRPr="00100F0A" w14:paraId="3D64A9EF" w14:textId="77777777" w:rsidTr="004E3BDC">
        <w:tc>
          <w:tcPr>
            <w:tcW w:w="7928" w:type="dxa"/>
            <w:gridSpan w:val="6"/>
            <w:tcBorders>
              <w:top w:val="single" w:sz="4" w:space="0" w:color="B7B7E2"/>
              <w:left w:val="single" w:sz="8" w:space="0" w:color="B7B7E2"/>
              <w:bottom w:val="dotted" w:sz="4" w:space="0" w:color="B7B7E2"/>
              <w:right w:val="single" w:sz="8" w:space="0" w:color="B7B7E2"/>
            </w:tcBorders>
            <w:tcMar>
              <w:top w:w="0" w:type="dxa"/>
              <w:left w:w="108" w:type="dxa"/>
              <w:bottom w:w="0" w:type="dxa"/>
              <w:right w:w="108" w:type="dxa"/>
            </w:tcMar>
          </w:tcPr>
          <w:p w14:paraId="02F71DC8" w14:textId="77777777" w:rsidR="00344C95" w:rsidRPr="00100F0A" w:rsidRDefault="00344C95" w:rsidP="00827AF8">
            <w:pPr>
              <w:spacing w:after="60"/>
              <w:jc w:val="center"/>
              <w:rPr>
                <w:sz w:val="20"/>
                <w:szCs w:val="20"/>
              </w:rPr>
            </w:pPr>
            <w:r w:rsidRPr="00100F0A">
              <w:rPr>
                <w:iCs/>
                <w:color w:val="4D4DB8"/>
                <w:sz w:val="20"/>
                <w:szCs w:val="18"/>
              </w:rPr>
              <w:t>On-site storage releases (absolute tonnes pa)</w:t>
            </w:r>
          </w:p>
        </w:tc>
        <w:tc>
          <w:tcPr>
            <w:tcW w:w="426" w:type="dxa"/>
            <w:tcBorders>
              <w:top w:val="single" w:sz="4" w:space="0" w:color="B7B7E2"/>
              <w:left w:val="single" w:sz="8" w:space="0" w:color="B7B7E2"/>
              <w:bottom w:val="dotted" w:sz="4" w:space="0" w:color="B7B7E2"/>
              <w:right w:val="single" w:sz="8" w:space="0" w:color="B7B7E2"/>
            </w:tcBorders>
          </w:tcPr>
          <w:p w14:paraId="5D3E3641" w14:textId="77777777" w:rsidR="00344C95" w:rsidRPr="00100F0A" w:rsidRDefault="00344C95" w:rsidP="00827AF8">
            <w:pPr>
              <w:spacing w:after="60"/>
              <w:jc w:val="center"/>
              <w:rPr>
                <w:iCs/>
                <w:color w:val="4D4DB8"/>
                <w:sz w:val="20"/>
                <w:szCs w:val="18"/>
              </w:rPr>
            </w:pPr>
          </w:p>
        </w:tc>
        <w:tc>
          <w:tcPr>
            <w:tcW w:w="708" w:type="dxa"/>
            <w:tcBorders>
              <w:top w:val="single" w:sz="4" w:space="0" w:color="B7B7E2"/>
              <w:left w:val="single" w:sz="8" w:space="0" w:color="B7B7E2"/>
              <w:bottom w:val="dotted" w:sz="4" w:space="0" w:color="B7B7E2"/>
              <w:right w:val="single" w:sz="8" w:space="0" w:color="B7B7E2"/>
            </w:tcBorders>
          </w:tcPr>
          <w:p w14:paraId="36B44916" w14:textId="77777777" w:rsidR="00344C95" w:rsidRPr="00100F0A" w:rsidRDefault="00344C95" w:rsidP="00827AF8">
            <w:pPr>
              <w:spacing w:after="60"/>
              <w:jc w:val="center"/>
              <w:rPr>
                <w:iCs/>
                <w:color w:val="4D4DB8"/>
                <w:sz w:val="20"/>
                <w:szCs w:val="18"/>
              </w:rPr>
            </w:pPr>
          </w:p>
        </w:tc>
      </w:tr>
      <w:tr w:rsidR="009B0B9F" w:rsidRPr="00100F0A" w14:paraId="11940ADE" w14:textId="77777777" w:rsidTr="009B0B9F">
        <w:tc>
          <w:tcPr>
            <w:tcW w:w="586" w:type="dxa"/>
            <w:tcBorders>
              <w:top w:val="single" w:sz="4" w:space="0" w:color="B7B7E2"/>
              <w:left w:val="single" w:sz="4" w:space="0" w:color="B7B7E2"/>
              <w:bottom w:val="dotted" w:sz="4" w:space="0" w:color="B7B7E2"/>
              <w:right w:val="single" w:sz="4" w:space="0" w:color="B7B7E2"/>
            </w:tcBorders>
            <w:tcMar>
              <w:top w:w="0" w:type="dxa"/>
              <w:left w:w="108" w:type="dxa"/>
              <w:bottom w:w="0" w:type="dxa"/>
              <w:right w:w="108" w:type="dxa"/>
            </w:tcMar>
            <w:hideMark/>
          </w:tcPr>
          <w:p w14:paraId="59D8009A" w14:textId="77777777" w:rsidR="009B0B9F" w:rsidRPr="00100F0A" w:rsidRDefault="009B0B9F" w:rsidP="009B0B9F">
            <w:pPr>
              <w:spacing w:after="60"/>
              <w:rPr>
                <w:rFonts w:eastAsia="Times New Roman" w:cs="Times New Roman"/>
                <w:sz w:val="20"/>
              </w:rPr>
            </w:pPr>
            <w:r w:rsidRPr="00100F0A">
              <w:rPr>
                <w:sz w:val="20"/>
              </w:rPr>
              <w:t>Best</w:t>
            </w:r>
          </w:p>
        </w:tc>
        <w:tc>
          <w:tcPr>
            <w:tcW w:w="1105" w:type="dxa"/>
            <w:vMerge w:val="restart"/>
            <w:tcBorders>
              <w:top w:val="single" w:sz="8" w:space="0" w:color="B7B7E2"/>
              <w:left w:val="single" w:sz="4" w:space="0" w:color="B7B7E2"/>
              <w:right w:val="single" w:sz="8" w:space="0" w:color="B7B7E2"/>
            </w:tcBorders>
            <w:tcMar>
              <w:top w:w="0" w:type="dxa"/>
              <w:left w:w="108" w:type="dxa"/>
              <w:bottom w:w="0" w:type="dxa"/>
              <w:right w:w="108" w:type="dxa"/>
            </w:tcMar>
            <w:vAlign w:val="center"/>
          </w:tcPr>
          <w:p w14:paraId="4E9BF86C" w14:textId="429F5AC9" w:rsidR="009B0B9F" w:rsidRPr="00100F0A" w:rsidRDefault="009B0B9F" w:rsidP="009B0B9F">
            <w:pPr>
              <w:spacing w:after="60"/>
              <w:rPr>
                <w:sz w:val="20"/>
              </w:rPr>
            </w:pPr>
            <w:r w:rsidRPr="00100F0A">
              <w:rPr>
                <w:sz w:val="20"/>
                <w:szCs w:val="20"/>
              </w:rPr>
              <w:t>NT, Qld, SA, Vic, WA</w:t>
            </w:r>
          </w:p>
        </w:tc>
        <w:tc>
          <w:tcPr>
            <w:tcW w:w="4395" w:type="dxa"/>
            <w:tcBorders>
              <w:top w:val="single" w:sz="8" w:space="0" w:color="B7B7E2"/>
              <w:left w:val="nil"/>
              <w:bottom w:val="dotted" w:sz="4" w:space="0" w:color="B7B7E2"/>
              <w:right w:val="single" w:sz="4" w:space="0" w:color="B7B7E2"/>
            </w:tcBorders>
            <w:tcMar>
              <w:top w:w="0" w:type="dxa"/>
              <w:left w:w="108" w:type="dxa"/>
              <w:bottom w:w="0" w:type="dxa"/>
              <w:right w:w="108" w:type="dxa"/>
            </w:tcMar>
          </w:tcPr>
          <w:p w14:paraId="50963754" w14:textId="5353DE98" w:rsidR="009B0B9F" w:rsidRPr="00100F0A" w:rsidRDefault="009B0B9F" w:rsidP="009B0B9F">
            <w:pPr>
              <w:rPr>
                <w:rFonts w:eastAsia="Times New Roman" w:cs="Times New Roman"/>
                <w:sz w:val="20"/>
                <w:szCs w:val="20"/>
              </w:rPr>
            </w:pPr>
            <w:r w:rsidRPr="00100F0A">
              <w:rPr>
                <w:rFonts w:cs="Calibri"/>
                <w:color w:val="000000"/>
                <w:sz w:val="20"/>
                <w:szCs w:val="20"/>
              </w:rPr>
              <w:t xml:space="preserve">Best estimate stockpile takes </w:t>
            </w:r>
            <w:r w:rsidR="00F323D9">
              <w:rPr>
                <w:rFonts w:cs="Calibri"/>
                <w:color w:val="000000"/>
                <w:sz w:val="20"/>
                <w:szCs w:val="20"/>
              </w:rPr>
              <w:t>seven</w:t>
            </w:r>
            <w:r w:rsidRPr="00100F0A">
              <w:rPr>
                <w:rFonts w:cs="Calibri"/>
                <w:color w:val="000000"/>
                <w:sz w:val="20"/>
                <w:szCs w:val="20"/>
              </w:rPr>
              <w:t xml:space="preserve"> y</w:t>
            </w:r>
            <w:r w:rsidR="00F323D9">
              <w:rPr>
                <w:rFonts w:cs="Calibri"/>
                <w:color w:val="000000"/>
                <w:sz w:val="20"/>
                <w:szCs w:val="20"/>
              </w:rPr>
              <w:t>ea</w:t>
            </w:r>
            <w:r w:rsidRPr="00100F0A">
              <w:rPr>
                <w:rFonts w:cs="Calibri"/>
                <w:color w:val="000000"/>
                <w:sz w:val="20"/>
                <w:szCs w:val="20"/>
              </w:rPr>
              <w:t>rs to clear</w:t>
            </w:r>
          </w:p>
        </w:tc>
        <w:tc>
          <w:tcPr>
            <w:tcW w:w="708" w:type="dxa"/>
            <w:tcBorders>
              <w:top w:val="single" w:sz="4" w:space="0" w:color="B7B7E2"/>
              <w:left w:val="single" w:sz="4" w:space="0" w:color="B7B7E2"/>
              <w:bottom w:val="dotted" w:sz="4" w:space="0" w:color="B7B7E2"/>
              <w:right w:val="single" w:sz="4" w:space="0" w:color="B7B7E2"/>
            </w:tcBorders>
            <w:tcMar>
              <w:top w:w="0" w:type="dxa"/>
              <w:left w:w="108" w:type="dxa"/>
              <w:bottom w:w="0" w:type="dxa"/>
              <w:right w:w="108" w:type="dxa"/>
            </w:tcMar>
          </w:tcPr>
          <w:p w14:paraId="2DD5612A" w14:textId="193C08CD" w:rsidR="009B0B9F" w:rsidRPr="00100F0A" w:rsidRDefault="009B0B9F" w:rsidP="00827AF8">
            <w:pPr>
              <w:spacing w:after="60"/>
              <w:jc w:val="center"/>
              <w:rPr>
                <w:rFonts w:eastAsia="Times New Roman" w:cs="Times New Roman"/>
                <w:color w:val="000000" w:themeColor="text1"/>
                <w:sz w:val="20"/>
                <w:szCs w:val="20"/>
              </w:rPr>
            </w:pPr>
            <w:r w:rsidRPr="00100F0A">
              <w:rPr>
                <w:rFonts w:cs="Calibri"/>
                <w:sz w:val="20"/>
                <w:szCs w:val="20"/>
              </w:rPr>
              <w:t>84</w:t>
            </w:r>
          </w:p>
        </w:tc>
        <w:tc>
          <w:tcPr>
            <w:tcW w:w="426" w:type="dxa"/>
            <w:tcBorders>
              <w:top w:val="single" w:sz="4" w:space="0" w:color="B7B7E2"/>
              <w:left w:val="single" w:sz="4" w:space="0" w:color="B7B7E2"/>
              <w:bottom w:val="dotted" w:sz="4" w:space="0" w:color="B7B7E2"/>
              <w:right w:val="single" w:sz="4" w:space="0" w:color="B7B7E2"/>
            </w:tcBorders>
          </w:tcPr>
          <w:p w14:paraId="6DFD6551" w14:textId="77777777" w:rsidR="009B0B9F" w:rsidRPr="00100F0A" w:rsidRDefault="009B0B9F" w:rsidP="00827AF8">
            <w:pPr>
              <w:spacing w:after="60"/>
              <w:jc w:val="center"/>
              <w:rPr>
                <w:rFonts w:eastAsia="Times New Roman" w:cs="Times New Roman"/>
                <w:sz w:val="20"/>
                <w:szCs w:val="20"/>
              </w:rPr>
            </w:pPr>
            <w:r w:rsidRPr="00100F0A">
              <w:rPr>
                <w:sz w:val="20"/>
                <w:szCs w:val="20"/>
              </w:rPr>
              <w:t>...</w:t>
            </w:r>
          </w:p>
        </w:tc>
        <w:tc>
          <w:tcPr>
            <w:tcW w:w="708" w:type="dxa"/>
            <w:tcBorders>
              <w:top w:val="single" w:sz="4" w:space="0" w:color="B7B7E2"/>
              <w:left w:val="single" w:sz="4" w:space="0" w:color="B7B7E2"/>
              <w:bottom w:val="dotted" w:sz="4" w:space="0" w:color="B7B7E2"/>
              <w:right w:val="single" w:sz="4" w:space="0" w:color="B7B7E2"/>
            </w:tcBorders>
          </w:tcPr>
          <w:p w14:paraId="2D24C532" w14:textId="4A67D83B" w:rsidR="009B0B9F" w:rsidRPr="00100F0A" w:rsidRDefault="009B0B9F" w:rsidP="00827AF8">
            <w:pPr>
              <w:spacing w:after="60"/>
              <w:jc w:val="center"/>
              <w:rPr>
                <w:rFonts w:eastAsia="Times New Roman" w:cs="Times New Roman"/>
                <w:color w:val="000000" w:themeColor="text1"/>
                <w:sz w:val="20"/>
                <w:szCs w:val="20"/>
              </w:rPr>
            </w:pPr>
          </w:p>
        </w:tc>
        <w:tc>
          <w:tcPr>
            <w:tcW w:w="426" w:type="dxa"/>
            <w:tcBorders>
              <w:top w:val="single" w:sz="4" w:space="0" w:color="B7B7E2"/>
              <w:left w:val="single" w:sz="4" w:space="0" w:color="B7B7E2"/>
              <w:bottom w:val="dotted" w:sz="4" w:space="0" w:color="B7B7E2"/>
              <w:right w:val="single" w:sz="4" w:space="0" w:color="B7B7E2"/>
            </w:tcBorders>
          </w:tcPr>
          <w:p w14:paraId="76ADD0E0" w14:textId="77777777" w:rsidR="009B0B9F" w:rsidRPr="00100F0A" w:rsidRDefault="009B0B9F" w:rsidP="00827AF8">
            <w:pPr>
              <w:spacing w:after="60"/>
              <w:jc w:val="center"/>
              <w:rPr>
                <w:sz w:val="20"/>
                <w:szCs w:val="20"/>
              </w:rPr>
            </w:pPr>
            <w:r w:rsidRPr="00100F0A">
              <w:rPr>
                <w:sz w:val="20"/>
                <w:szCs w:val="20"/>
              </w:rPr>
              <w:t>...</w:t>
            </w:r>
          </w:p>
        </w:tc>
        <w:tc>
          <w:tcPr>
            <w:tcW w:w="708" w:type="dxa"/>
            <w:tcBorders>
              <w:top w:val="single" w:sz="4" w:space="0" w:color="B7B7E2"/>
              <w:left w:val="single" w:sz="4" w:space="0" w:color="B7B7E2"/>
              <w:bottom w:val="dotted" w:sz="4" w:space="0" w:color="B7B7E2"/>
              <w:right w:val="single" w:sz="4" w:space="0" w:color="B7B7E2"/>
            </w:tcBorders>
          </w:tcPr>
          <w:p w14:paraId="053306AF" w14:textId="1478A87C" w:rsidR="009B0B9F" w:rsidRPr="00100F0A" w:rsidRDefault="009B0B9F" w:rsidP="00827AF8">
            <w:pPr>
              <w:spacing w:after="60"/>
              <w:jc w:val="center"/>
              <w:rPr>
                <w:color w:val="000000" w:themeColor="text1"/>
                <w:sz w:val="20"/>
                <w:szCs w:val="20"/>
              </w:rPr>
            </w:pPr>
            <w:r w:rsidRPr="00100F0A">
              <w:rPr>
                <w:rFonts w:cs="Calibri"/>
                <w:color w:val="000000" w:themeColor="text1"/>
                <w:sz w:val="20"/>
                <w:szCs w:val="20"/>
              </w:rPr>
              <w:t>0</w:t>
            </w:r>
          </w:p>
        </w:tc>
      </w:tr>
      <w:tr w:rsidR="009B0B9F" w:rsidRPr="00100F0A" w14:paraId="283913A2" w14:textId="77777777" w:rsidTr="009B0B9F">
        <w:tc>
          <w:tcPr>
            <w:tcW w:w="586"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hideMark/>
          </w:tcPr>
          <w:p w14:paraId="7771AF53" w14:textId="77777777" w:rsidR="009B0B9F" w:rsidRPr="00100F0A" w:rsidRDefault="009B0B9F" w:rsidP="009B0B9F">
            <w:pPr>
              <w:spacing w:after="60"/>
              <w:rPr>
                <w:rFonts w:eastAsia="Times New Roman" w:cs="Times New Roman"/>
                <w:sz w:val="20"/>
              </w:rPr>
            </w:pPr>
            <w:r w:rsidRPr="00100F0A">
              <w:rPr>
                <w:sz w:val="20"/>
              </w:rPr>
              <w:t>High</w:t>
            </w:r>
          </w:p>
        </w:tc>
        <w:tc>
          <w:tcPr>
            <w:tcW w:w="1105" w:type="dxa"/>
            <w:vMerge/>
            <w:tcBorders>
              <w:left w:val="single" w:sz="4" w:space="0" w:color="B7B7E2"/>
              <w:right w:val="single" w:sz="8" w:space="0" w:color="B7B7E2"/>
            </w:tcBorders>
            <w:tcMar>
              <w:top w:w="0" w:type="dxa"/>
              <w:left w:w="108" w:type="dxa"/>
              <w:bottom w:w="0" w:type="dxa"/>
              <w:right w:w="108" w:type="dxa"/>
            </w:tcMar>
          </w:tcPr>
          <w:p w14:paraId="5F600AB2" w14:textId="77777777" w:rsidR="009B0B9F" w:rsidRPr="00100F0A" w:rsidRDefault="009B0B9F" w:rsidP="009B0B9F">
            <w:pPr>
              <w:spacing w:after="60"/>
              <w:rPr>
                <w:sz w:val="20"/>
              </w:rPr>
            </w:pPr>
          </w:p>
        </w:tc>
        <w:tc>
          <w:tcPr>
            <w:tcW w:w="4395" w:type="dxa"/>
            <w:tcBorders>
              <w:top w:val="dotted" w:sz="4" w:space="0" w:color="B7B7E2"/>
              <w:left w:val="nil"/>
              <w:bottom w:val="dotted" w:sz="4" w:space="0" w:color="B7B7E2"/>
              <w:right w:val="single" w:sz="4" w:space="0" w:color="B7B7E2"/>
            </w:tcBorders>
            <w:tcMar>
              <w:top w:w="0" w:type="dxa"/>
              <w:left w:w="108" w:type="dxa"/>
              <w:bottom w:w="0" w:type="dxa"/>
              <w:right w:w="108" w:type="dxa"/>
            </w:tcMar>
          </w:tcPr>
          <w:p w14:paraId="02873F23" w14:textId="538F494E" w:rsidR="009B0B9F" w:rsidRPr="00100F0A" w:rsidRDefault="009B0B9F" w:rsidP="009B0B9F">
            <w:pPr>
              <w:rPr>
                <w:rFonts w:eastAsia="Times New Roman" w:cs="Times New Roman"/>
                <w:sz w:val="20"/>
                <w:szCs w:val="20"/>
              </w:rPr>
            </w:pPr>
            <w:r w:rsidRPr="00100F0A">
              <w:rPr>
                <w:rFonts w:cs="Calibri"/>
                <w:color w:val="000000"/>
                <w:sz w:val="20"/>
                <w:szCs w:val="20"/>
              </w:rPr>
              <w:t xml:space="preserve">High estimate stockpile takes </w:t>
            </w:r>
            <w:r w:rsidR="00F323D9">
              <w:rPr>
                <w:rFonts w:cs="Calibri"/>
                <w:color w:val="000000"/>
                <w:sz w:val="20"/>
                <w:szCs w:val="20"/>
              </w:rPr>
              <w:t>seven</w:t>
            </w:r>
            <w:r w:rsidRPr="00100F0A">
              <w:rPr>
                <w:rFonts w:cs="Calibri"/>
                <w:color w:val="000000"/>
                <w:sz w:val="20"/>
                <w:szCs w:val="20"/>
              </w:rPr>
              <w:t xml:space="preserve"> y</w:t>
            </w:r>
            <w:r w:rsidR="00F323D9">
              <w:rPr>
                <w:rFonts w:cs="Calibri"/>
                <w:color w:val="000000"/>
                <w:sz w:val="20"/>
                <w:szCs w:val="20"/>
              </w:rPr>
              <w:t>ea</w:t>
            </w:r>
            <w:r w:rsidRPr="00100F0A">
              <w:rPr>
                <w:rFonts w:cs="Calibri"/>
                <w:color w:val="000000"/>
                <w:sz w:val="20"/>
                <w:szCs w:val="20"/>
              </w:rPr>
              <w:t>rs to clear</w:t>
            </w:r>
          </w:p>
        </w:tc>
        <w:tc>
          <w:tcPr>
            <w:tcW w:w="708"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tcPr>
          <w:p w14:paraId="198DC77B" w14:textId="09B1D71D" w:rsidR="009B0B9F" w:rsidRPr="00100F0A" w:rsidRDefault="009B0B9F" w:rsidP="00827AF8">
            <w:pPr>
              <w:spacing w:after="60"/>
              <w:jc w:val="center"/>
              <w:rPr>
                <w:rFonts w:eastAsia="Times New Roman" w:cs="Times New Roman"/>
                <w:color w:val="000000" w:themeColor="text1"/>
                <w:sz w:val="20"/>
                <w:szCs w:val="20"/>
              </w:rPr>
            </w:pPr>
            <w:r w:rsidRPr="00100F0A">
              <w:rPr>
                <w:rFonts w:cs="Calibri"/>
                <w:sz w:val="20"/>
                <w:szCs w:val="20"/>
              </w:rPr>
              <w:t>126</w:t>
            </w:r>
          </w:p>
        </w:tc>
        <w:tc>
          <w:tcPr>
            <w:tcW w:w="426" w:type="dxa"/>
            <w:tcBorders>
              <w:top w:val="dotted" w:sz="4" w:space="0" w:color="B7B7E2"/>
              <w:left w:val="single" w:sz="4" w:space="0" w:color="B7B7E2"/>
              <w:bottom w:val="dotted" w:sz="4" w:space="0" w:color="B7B7E2"/>
              <w:right w:val="single" w:sz="4" w:space="0" w:color="B7B7E2"/>
            </w:tcBorders>
          </w:tcPr>
          <w:p w14:paraId="6F2A8224" w14:textId="77777777" w:rsidR="009B0B9F" w:rsidRPr="00100F0A" w:rsidRDefault="009B0B9F" w:rsidP="00827AF8">
            <w:pPr>
              <w:spacing w:after="60"/>
              <w:jc w:val="center"/>
              <w:rPr>
                <w:rFonts w:eastAsia="Times New Roman" w:cs="Times New Roman"/>
                <w:sz w:val="20"/>
                <w:szCs w:val="20"/>
              </w:rPr>
            </w:pPr>
            <w:r w:rsidRPr="00100F0A">
              <w:rPr>
                <w:sz w:val="20"/>
                <w:szCs w:val="20"/>
              </w:rPr>
              <w:t>...</w:t>
            </w:r>
          </w:p>
        </w:tc>
        <w:tc>
          <w:tcPr>
            <w:tcW w:w="708" w:type="dxa"/>
            <w:tcBorders>
              <w:top w:val="dotted" w:sz="4" w:space="0" w:color="B7B7E2"/>
              <w:left w:val="single" w:sz="4" w:space="0" w:color="B7B7E2"/>
              <w:bottom w:val="dotted" w:sz="4" w:space="0" w:color="B7B7E2"/>
              <w:right w:val="single" w:sz="4" w:space="0" w:color="B7B7E2"/>
            </w:tcBorders>
          </w:tcPr>
          <w:p w14:paraId="4CCF825C" w14:textId="0CDF22E8" w:rsidR="009B0B9F" w:rsidRPr="00100F0A" w:rsidRDefault="009B0B9F" w:rsidP="00827AF8">
            <w:pPr>
              <w:spacing w:after="60"/>
              <w:jc w:val="center"/>
              <w:rPr>
                <w:rFonts w:eastAsia="Times New Roman" w:cs="Times New Roman"/>
                <w:color w:val="000000" w:themeColor="text1"/>
                <w:sz w:val="20"/>
                <w:szCs w:val="20"/>
              </w:rPr>
            </w:pPr>
          </w:p>
        </w:tc>
        <w:tc>
          <w:tcPr>
            <w:tcW w:w="426" w:type="dxa"/>
            <w:tcBorders>
              <w:top w:val="dotted" w:sz="4" w:space="0" w:color="B7B7E2"/>
              <w:left w:val="single" w:sz="4" w:space="0" w:color="B7B7E2"/>
              <w:bottom w:val="dotted" w:sz="4" w:space="0" w:color="B7B7E2"/>
              <w:right w:val="single" w:sz="4" w:space="0" w:color="B7B7E2"/>
            </w:tcBorders>
          </w:tcPr>
          <w:p w14:paraId="4FC8D0D2" w14:textId="77777777" w:rsidR="009B0B9F" w:rsidRPr="00100F0A" w:rsidRDefault="009B0B9F" w:rsidP="00827AF8">
            <w:pPr>
              <w:spacing w:after="60"/>
              <w:jc w:val="center"/>
              <w:rPr>
                <w:sz w:val="20"/>
                <w:szCs w:val="20"/>
              </w:rPr>
            </w:pPr>
            <w:r w:rsidRPr="00100F0A">
              <w:rPr>
                <w:sz w:val="20"/>
                <w:szCs w:val="20"/>
              </w:rPr>
              <w:t>...</w:t>
            </w:r>
          </w:p>
        </w:tc>
        <w:tc>
          <w:tcPr>
            <w:tcW w:w="708" w:type="dxa"/>
            <w:tcBorders>
              <w:top w:val="dotted" w:sz="4" w:space="0" w:color="B7B7E2"/>
              <w:left w:val="single" w:sz="4" w:space="0" w:color="B7B7E2"/>
              <w:bottom w:val="dotted" w:sz="4" w:space="0" w:color="B7B7E2"/>
              <w:right w:val="single" w:sz="4" w:space="0" w:color="B7B7E2"/>
            </w:tcBorders>
          </w:tcPr>
          <w:p w14:paraId="65FFFA7A" w14:textId="77777777" w:rsidR="009B0B9F" w:rsidRPr="00100F0A" w:rsidRDefault="009B0B9F" w:rsidP="00827AF8">
            <w:pPr>
              <w:spacing w:after="60"/>
              <w:jc w:val="center"/>
              <w:rPr>
                <w:color w:val="000000" w:themeColor="text1"/>
                <w:sz w:val="20"/>
                <w:szCs w:val="20"/>
              </w:rPr>
            </w:pPr>
            <w:r w:rsidRPr="00100F0A">
              <w:rPr>
                <w:rFonts w:cs="Calibri"/>
                <w:color w:val="000000" w:themeColor="text1"/>
                <w:sz w:val="20"/>
                <w:szCs w:val="20"/>
              </w:rPr>
              <w:t>0</w:t>
            </w:r>
          </w:p>
        </w:tc>
      </w:tr>
      <w:tr w:rsidR="009B0B9F" w:rsidRPr="00100F0A" w14:paraId="35045C5E" w14:textId="77777777" w:rsidTr="009B0B9F">
        <w:tc>
          <w:tcPr>
            <w:tcW w:w="586" w:type="dxa"/>
            <w:tcBorders>
              <w:top w:val="dotted" w:sz="4" w:space="0" w:color="B7B7E2"/>
              <w:left w:val="single" w:sz="4" w:space="0" w:color="B7B7E2"/>
              <w:bottom w:val="single" w:sz="4" w:space="0" w:color="B7B7E2"/>
              <w:right w:val="single" w:sz="4" w:space="0" w:color="B7B7E2"/>
            </w:tcBorders>
            <w:tcMar>
              <w:top w:w="0" w:type="dxa"/>
              <w:left w:w="108" w:type="dxa"/>
              <w:bottom w:w="0" w:type="dxa"/>
              <w:right w:w="108" w:type="dxa"/>
            </w:tcMar>
            <w:hideMark/>
          </w:tcPr>
          <w:p w14:paraId="30B2E440" w14:textId="77777777" w:rsidR="009B0B9F" w:rsidRPr="00100F0A" w:rsidRDefault="009B0B9F" w:rsidP="009B0B9F">
            <w:pPr>
              <w:spacing w:after="60"/>
              <w:rPr>
                <w:rFonts w:eastAsia="Times New Roman" w:cs="Times New Roman"/>
                <w:sz w:val="20"/>
              </w:rPr>
            </w:pPr>
            <w:r w:rsidRPr="00100F0A">
              <w:rPr>
                <w:sz w:val="20"/>
              </w:rPr>
              <w:t>Low</w:t>
            </w:r>
          </w:p>
        </w:tc>
        <w:tc>
          <w:tcPr>
            <w:tcW w:w="1105" w:type="dxa"/>
            <w:vMerge/>
            <w:tcBorders>
              <w:left w:val="single" w:sz="4" w:space="0" w:color="B7B7E2"/>
              <w:bottom w:val="single" w:sz="8" w:space="0" w:color="B7B7E2"/>
              <w:right w:val="single" w:sz="8" w:space="0" w:color="B7B7E2"/>
            </w:tcBorders>
            <w:tcMar>
              <w:top w:w="0" w:type="dxa"/>
              <w:left w:w="108" w:type="dxa"/>
              <w:bottom w:w="0" w:type="dxa"/>
              <w:right w:w="108" w:type="dxa"/>
            </w:tcMar>
          </w:tcPr>
          <w:p w14:paraId="59EB4024" w14:textId="77777777" w:rsidR="009B0B9F" w:rsidRPr="00100F0A" w:rsidRDefault="009B0B9F" w:rsidP="009B0B9F">
            <w:pPr>
              <w:spacing w:after="60"/>
              <w:rPr>
                <w:sz w:val="20"/>
              </w:rPr>
            </w:pPr>
          </w:p>
        </w:tc>
        <w:tc>
          <w:tcPr>
            <w:tcW w:w="4395" w:type="dxa"/>
            <w:tcBorders>
              <w:top w:val="dotted" w:sz="4" w:space="0" w:color="B7B7E2"/>
              <w:left w:val="nil"/>
              <w:bottom w:val="single" w:sz="8" w:space="0" w:color="B7B7E2"/>
              <w:right w:val="single" w:sz="4" w:space="0" w:color="B7B7E2"/>
            </w:tcBorders>
            <w:tcMar>
              <w:top w:w="0" w:type="dxa"/>
              <w:left w:w="108" w:type="dxa"/>
              <w:bottom w:w="0" w:type="dxa"/>
              <w:right w:w="108" w:type="dxa"/>
            </w:tcMar>
          </w:tcPr>
          <w:p w14:paraId="31089D90" w14:textId="242F73C5" w:rsidR="009B0B9F" w:rsidRPr="00100F0A" w:rsidRDefault="009B0B9F" w:rsidP="009B0B9F">
            <w:pPr>
              <w:rPr>
                <w:rFonts w:eastAsia="Times New Roman" w:cs="Times New Roman"/>
                <w:sz w:val="20"/>
                <w:szCs w:val="20"/>
              </w:rPr>
            </w:pPr>
            <w:r w:rsidRPr="00100F0A">
              <w:rPr>
                <w:rFonts w:cs="Calibri"/>
                <w:color w:val="000000"/>
                <w:sz w:val="20"/>
                <w:szCs w:val="20"/>
              </w:rPr>
              <w:t>Best estimate stockpile takes 10 years to clear</w:t>
            </w:r>
          </w:p>
        </w:tc>
        <w:tc>
          <w:tcPr>
            <w:tcW w:w="708" w:type="dxa"/>
            <w:tcBorders>
              <w:top w:val="dotted" w:sz="4" w:space="0" w:color="B7B7E2"/>
              <w:left w:val="single" w:sz="4" w:space="0" w:color="B7B7E2"/>
              <w:bottom w:val="single" w:sz="4" w:space="0" w:color="B7B7E2"/>
              <w:right w:val="single" w:sz="4" w:space="0" w:color="B7B7E2"/>
            </w:tcBorders>
            <w:tcMar>
              <w:top w:w="0" w:type="dxa"/>
              <w:left w:w="108" w:type="dxa"/>
              <w:bottom w:w="0" w:type="dxa"/>
              <w:right w:w="108" w:type="dxa"/>
            </w:tcMar>
          </w:tcPr>
          <w:p w14:paraId="32917A26" w14:textId="46EDEC15" w:rsidR="009B0B9F" w:rsidRPr="00100F0A" w:rsidRDefault="009B0B9F" w:rsidP="00827AF8">
            <w:pPr>
              <w:spacing w:after="60"/>
              <w:jc w:val="center"/>
              <w:rPr>
                <w:rFonts w:eastAsia="Times New Roman" w:cs="Times New Roman"/>
                <w:color w:val="000000" w:themeColor="text1"/>
                <w:sz w:val="20"/>
                <w:szCs w:val="20"/>
              </w:rPr>
            </w:pPr>
            <w:r w:rsidRPr="00100F0A">
              <w:rPr>
                <w:rFonts w:cs="Calibri"/>
                <w:sz w:val="20"/>
                <w:szCs w:val="20"/>
              </w:rPr>
              <w:t>59</w:t>
            </w:r>
          </w:p>
        </w:tc>
        <w:tc>
          <w:tcPr>
            <w:tcW w:w="426" w:type="dxa"/>
            <w:tcBorders>
              <w:top w:val="dotted" w:sz="4" w:space="0" w:color="B7B7E2"/>
              <w:left w:val="single" w:sz="4" w:space="0" w:color="B7B7E2"/>
              <w:bottom w:val="single" w:sz="4" w:space="0" w:color="B7B7E2"/>
              <w:right w:val="single" w:sz="4" w:space="0" w:color="B7B7E2"/>
            </w:tcBorders>
          </w:tcPr>
          <w:p w14:paraId="1207DFAB" w14:textId="77777777" w:rsidR="009B0B9F" w:rsidRPr="00100F0A" w:rsidRDefault="009B0B9F" w:rsidP="00827AF8">
            <w:pPr>
              <w:spacing w:after="60"/>
              <w:jc w:val="center"/>
              <w:rPr>
                <w:rFonts w:eastAsia="Times New Roman" w:cs="Times New Roman"/>
                <w:sz w:val="20"/>
                <w:szCs w:val="20"/>
              </w:rPr>
            </w:pPr>
            <w:r w:rsidRPr="00100F0A">
              <w:rPr>
                <w:sz w:val="20"/>
                <w:szCs w:val="20"/>
              </w:rPr>
              <w:t>...</w:t>
            </w:r>
          </w:p>
        </w:tc>
        <w:tc>
          <w:tcPr>
            <w:tcW w:w="708" w:type="dxa"/>
            <w:tcBorders>
              <w:top w:val="dotted" w:sz="4" w:space="0" w:color="B7B7E2"/>
              <w:left w:val="single" w:sz="4" w:space="0" w:color="B7B7E2"/>
              <w:bottom w:val="single" w:sz="4" w:space="0" w:color="B7B7E2"/>
              <w:right w:val="single" w:sz="4" w:space="0" w:color="B7B7E2"/>
            </w:tcBorders>
          </w:tcPr>
          <w:p w14:paraId="531C711F" w14:textId="3E5D7A21" w:rsidR="009B0B9F" w:rsidRPr="00100F0A" w:rsidRDefault="009B0B9F" w:rsidP="00827AF8">
            <w:pPr>
              <w:spacing w:after="60"/>
              <w:jc w:val="center"/>
              <w:rPr>
                <w:rFonts w:eastAsia="Times New Roman" w:cs="Times New Roman"/>
                <w:color w:val="000000" w:themeColor="text1"/>
                <w:sz w:val="20"/>
                <w:szCs w:val="20"/>
              </w:rPr>
            </w:pPr>
            <w:r w:rsidRPr="00100F0A">
              <w:rPr>
                <w:rFonts w:cs="Calibri"/>
                <w:color w:val="000000" w:themeColor="text1"/>
                <w:sz w:val="20"/>
                <w:szCs w:val="20"/>
              </w:rPr>
              <w:t>59</w:t>
            </w:r>
          </w:p>
        </w:tc>
        <w:tc>
          <w:tcPr>
            <w:tcW w:w="426" w:type="dxa"/>
            <w:tcBorders>
              <w:top w:val="dotted" w:sz="4" w:space="0" w:color="B7B7E2"/>
              <w:left w:val="single" w:sz="4" w:space="0" w:color="B7B7E2"/>
              <w:bottom w:val="single" w:sz="4" w:space="0" w:color="B7B7E2"/>
              <w:right w:val="single" w:sz="4" w:space="0" w:color="B7B7E2"/>
            </w:tcBorders>
          </w:tcPr>
          <w:p w14:paraId="052C8F7A" w14:textId="77777777" w:rsidR="009B0B9F" w:rsidRPr="00100F0A" w:rsidRDefault="009B0B9F" w:rsidP="00827AF8">
            <w:pPr>
              <w:spacing w:after="60"/>
              <w:jc w:val="center"/>
              <w:rPr>
                <w:sz w:val="20"/>
                <w:szCs w:val="20"/>
              </w:rPr>
            </w:pPr>
            <w:r w:rsidRPr="00100F0A">
              <w:rPr>
                <w:sz w:val="20"/>
                <w:szCs w:val="20"/>
              </w:rPr>
              <w:t>...</w:t>
            </w:r>
          </w:p>
        </w:tc>
        <w:tc>
          <w:tcPr>
            <w:tcW w:w="708" w:type="dxa"/>
            <w:tcBorders>
              <w:top w:val="dotted" w:sz="4" w:space="0" w:color="B7B7E2"/>
              <w:left w:val="single" w:sz="4" w:space="0" w:color="B7B7E2"/>
              <w:bottom w:val="single" w:sz="4" w:space="0" w:color="B7B7E2"/>
              <w:right w:val="single" w:sz="4" w:space="0" w:color="B7B7E2"/>
            </w:tcBorders>
          </w:tcPr>
          <w:p w14:paraId="1988ED4D" w14:textId="77777777" w:rsidR="009B0B9F" w:rsidRPr="00100F0A" w:rsidRDefault="009B0B9F" w:rsidP="00827AF8">
            <w:pPr>
              <w:spacing w:after="60"/>
              <w:jc w:val="center"/>
              <w:rPr>
                <w:color w:val="000000" w:themeColor="text1"/>
                <w:sz w:val="20"/>
                <w:szCs w:val="20"/>
              </w:rPr>
            </w:pPr>
            <w:r w:rsidRPr="00100F0A">
              <w:rPr>
                <w:rFonts w:cs="Calibri"/>
                <w:color w:val="000000" w:themeColor="text1"/>
                <w:sz w:val="20"/>
                <w:szCs w:val="20"/>
              </w:rPr>
              <w:t>0</w:t>
            </w:r>
          </w:p>
        </w:tc>
      </w:tr>
    </w:tbl>
    <w:p w14:paraId="6AB9A364" w14:textId="77777777" w:rsidR="00344C95" w:rsidRPr="00100F0A" w:rsidRDefault="00344C95" w:rsidP="00601CB2">
      <w:pPr>
        <w:pStyle w:val="BodyText"/>
        <w:rPr>
          <w:sz w:val="16"/>
          <w:szCs w:val="16"/>
        </w:rPr>
      </w:pPr>
    </w:p>
    <w:p w14:paraId="3869FC85" w14:textId="1A9C48C7" w:rsidR="00601CB2" w:rsidRPr="00100F0A" w:rsidRDefault="00601CB2" w:rsidP="00E75491">
      <w:pPr>
        <w:pStyle w:val="Caption"/>
        <w:spacing w:before="120"/>
      </w:pPr>
      <w:bookmarkStart w:id="166" w:name="_Toc425849226"/>
      <w:bookmarkStart w:id="167" w:name="_Toc13225582"/>
      <w:r w:rsidRPr="00100F0A">
        <w:t xml:space="preserve">Figure </w:t>
      </w:r>
      <w:r w:rsidR="00971D78" w:rsidRPr="00100F0A">
        <w:rPr>
          <w:noProof/>
        </w:rPr>
        <w:fldChar w:fldCharType="begin"/>
      </w:r>
      <w:r w:rsidR="00971D78" w:rsidRPr="00100F0A">
        <w:rPr>
          <w:noProof/>
        </w:rPr>
        <w:instrText xml:space="preserve"> SEQ Figure \* ARABIC </w:instrText>
      </w:r>
      <w:r w:rsidR="00971D78" w:rsidRPr="00100F0A">
        <w:rPr>
          <w:noProof/>
        </w:rPr>
        <w:fldChar w:fldCharType="separate"/>
      </w:r>
      <w:r w:rsidR="00EB634D">
        <w:rPr>
          <w:noProof/>
        </w:rPr>
        <w:t>9</w:t>
      </w:r>
      <w:r w:rsidR="00971D78" w:rsidRPr="00100F0A">
        <w:rPr>
          <w:noProof/>
        </w:rPr>
        <w:fldChar w:fldCharType="end"/>
      </w:r>
      <w:r w:rsidR="00C14F18">
        <w:rPr>
          <w:noProof/>
        </w:rPr>
        <w:t>:</w:t>
      </w:r>
      <w:r w:rsidR="00D11FEE" w:rsidRPr="00100F0A">
        <w:tab/>
      </w:r>
      <w:r w:rsidRPr="00100F0A">
        <w:t>Best, high and low national projection estimates of mercury</w:t>
      </w:r>
      <w:r w:rsidR="001B454B">
        <w:t>,</w:t>
      </w:r>
      <w:r w:rsidRPr="00100F0A">
        <w:t xml:space="preserve"> mercury </w:t>
      </w:r>
      <w:r w:rsidR="00E75491" w:rsidRPr="00100F0A">
        <w:t>c</w:t>
      </w:r>
      <w:r w:rsidR="00100F0A" w:rsidRPr="00100F0A">
        <w:t>ompound</w:t>
      </w:r>
      <w:r w:rsidRPr="00100F0A">
        <w:t>s waste to 203</w:t>
      </w:r>
      <w:bookmarkEnd w:id="166"/>
      <w:r w:rsidR="008B271A" w:rsidRPr="00100F0A">
        <w:t>7</w:t>
      </w:r>
      <w:bookmarkEnd w:id="167"/>
    </w:p>
    <w:p w14:paraId="70E0C8E0" w14:textId="54E71130" w:rsidR="008B271A" w:rsidRPr="00100F0A" w:rsidRDefault="008A2A5F" w:rsidP="008B271A">
      <w:pPr>
        <w:pStyle w:val="BodyText"/>
      </w:pPr>
      <w:r w:rsidRPr="00100F0A">
        <w:rPr>
          <w:noProof/>
          <w:lang w:eastAsia="en-AU"/>
        </w:rPr>
        <w:drawing>
          <wp:inline distT="0" distB="0" distL="0" distR="0" wp14:anchorId="3F8B2F5C" wp14:editId="33FC29B5">
            <wp:extent cx="5735955" cy="2115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5955" cy="2115185"/>
                    </a:xfrm>
                    <a:prstGeom prst="rect">
                      <a:avLst/>
                    </a:prstGeom>
                  </pic:spPr>
                </pic:pic>
              </a:graphicData>
            </a:graphic>
          </wp:inline>
        </w:drawing>
      </w:r>
    </w:p>
    <w:p w14:paraId="03504652" w14:textId="77777777" w:rsidR="00D4577B" w:rsidRPr="00100F0A" w:rsidRDefault="00D4577B" w:rsidP="008B271A">
      <w:pPr>
        <w:pStyle w:val="BodyText"/>
      </w:pPr>
    </w:p>
    <w:p w14:paraId="7F6DF977" w14:textId="59023163" w:rsidR="00341CE4" w:rsidRPr="00100F0A" w:rsidRDefault="00341CE4">
      <w:pPr>
        <w:rPr>
          <w:rFonts w:eastAsiaTheme="majorEastAsia" w:cstheme="majorBidi"/>
          <w:b/>
          <w:color w:val="4D4DB8"/>
          <w:sz w:val="24"/>
          <w:szCs w:val="26"/>
        </w:rPr>
      </w:pPr>
    </w:p>
    <w:p w14:paraId="62B4AB47" w14:textId="442D99A7" w:rsidR="00601CB2" w:rsidRPr="00100F0A" w:rsidRDefault="00601CB2" w:rsidP="00AD35BF">
      <w:pPr>
        <w:pStyle w:val="Heading3"/>
      </w:pPr>
      <w:r w:rsidRPr="00100F0A">
        <w:t xml:space="preserve">D220 Lead; lead compounds </w:t>
      </w:r>
    </w:p>
    <w:p w14:paraId="481BB2BC" w14:textId="6E46E085" w:rsidR="00601CB2" w:rsidRPr="00100F0A" w:rsidRDefault="00601CB2" w:rsidP="00601CB2">
      <w:pPr>
        <w:pStyle w:val="BodyText"/>
        <w:rPr>
          <w:rFonts w:cs="Times New Roman"/>
          <w:color w:val="000000"/>
          <w:szCs w:val="20"/>
          <w:lang w:eastAsia="en-AU"/>
        </w:rPr>
      </w:pPr>
      <w:r w:rsidRPr="00100F0A">
        <w:t xml:space="preserve">This group includes only the single NEPM code </w:t>
      </w:r>
      <w:r w:rsidRPr="00100F0A">
        <w:rPr>
          <w:i/>
        </w:rPr>
        <w:t xml:space="preserve">D220 </w:t>
      </w:r>
      <w:r w:rsidRPr="00100F0A">
        <w:rPr>
          <w:rFonts w:cs="Times New Roman"/>
          <w:i/>
          <w:color w:val="000000"/>
          <w:szCs w:val="20"/>
          <w:lang w:eastAsia="en-AU"/>
        </w:rPr>
        <w:t>Lead; lead compounds</w:t>
      </w:r>
      <w:r w:rsidRPr="00100F0A">
        <w:rPr>
          <w:rFonts w:cs="Times New Roman"/>
          <w:color w:val="000000"/>
          <w:szCs w:val="20"/>
          <w:lang w:eastAsia="en-AU"/>
        </w:rPr>
        <w:t xml:space="preserve">. </w:t>
      </w:r>
      <w:r w:rsidR="00FE5D39" w:rsidRPr="00100F0A">
        <w:rPr>
          <w:rFonts w:cs="Times New Roman"/>
          <w:color w:val="000000"/>
          <w:szCs w:val="20"/>
          <w:lang w:eastAsia="en-AU"/>
        </w:rPr>
        <w:t>The</w:t>
      </w:r>
      <w:r w:rsidR="00FE0E37" w:rsidRPr="00100F0A">
        <w:rPr>
          <w:rFonts w:cs="Times New Roman"/>
          <w:color w:val="000000"/>
          <w:szCs w:val="20"/>
          <w:lang w:eastAsia="en-AU"/>
        </w:rPr>
        <w:t xml:space="preserve"> majority </w:t>
      </w:r>
      <w:r w:rsidR="00FE5D39" w:rsidRPr="00100F0A">
        <w:rPr>
          <w:rFonts w:cs="Times New Roman"/>
          <w:color w:val="000000"/>
          <w:szCs w:val="20"/>
          <w:lang w:eastAsia="en-AU"/>
        </w:rPr>
        <w:t>arising in</w:t>
      </w:r>
      <w:r w:rsidR="00FE0E37" w:rsidRPr="00100F0A">
        <w:rPr>
          <w:rFonts w:cs="Times New Roman"/>
          <w:color w:val="000000"/>
          <w:szCs w:val="20"/>
          <w:lang w:eastAsia="en-AU"/>
        </w:rPr>
        <w:t xml:space="preserve"> </w:t>
      </w:r>
      <w:r w:rsidR="00FE5D39" w:rsidRPr="00100F0A">
        <w:rPr>
          <w:rFonts w:cs="Times New Roman"/>
          <w:color w:val="000000"/>
          <w:szCs w:val="20"/>
          <w:lang w:eastAsia="en-AU"/>
        </w:rPr>
        <w:t xml:space="preserve">Australia </w:t>
      </w:r>
      <w:r w:rsidR="00FE0E37" w:rsidRPr="00100F0A">
        <w:rPr>
          <w:rFonts w:cs="Times New Roman"/>
          <w:color w:val="000000"/>
          <w:szCs w:val="20"/>
          <w:lang w:eastAsia="en-AU"/>
        </w:rPr>
        <w:t xml:space="preserve">is </w:t>
      </w:r>
      <w:r w:rsidR="00223843">
        <w:rPr>
          <w:rFonts w:cs="Times New Roman"/>
          <w:color w:val="000000"/>
          <w:szCs w:val="20"/>
          <w:lang w:eastAsia="en-AU"/>
        </w:rPr>
        <w:t xml:space="preserve">a </w:t>
      </w:r>
      <w:r w:rsidR="00FE0E37" w:rsidRPr="00100F0A">
        <w:rPr>
          <w:rFonts w:cs="Times New Roman"/>
          <w:color w:val="000000"/>
          <w:szCs w:val="20"/>
          <w:lang w:eastAsia="en-AU"/>
        </w:rPr>
        <w:t xml:space="preserve">lead-rich by-product from </w:t>
      </w:r>
      <w:r w:rsidR="00FE5D39" w:rsidRPr="00100F0A">
        <w:rPr>
          <w:rFonts w:cs="Times New Roman"/>
          <w:color w:val="000000"/>
          <w:szCs w:val="20"/>
          <w:lang w:eastAsia="en-AU"/>
        </w:rPr>
        <w:t xml:space="preserve">zinc refining. </w:t>
      </w:r>
      <w:r w:rsidRPr="00100F0A">
        <w:rPr>
          <w:rFonts w:cs="Times New Roman"/>
          <w:color w:val="000000"/>
          <w:szCs w:val="20"/>
          <w:lang w:eastAsia="en-AU"/>
        </w:rPr>
        <w:t xml:space="preserve">A </w:t>
      </w:r>
      <w:r w:rsidR="00FE5D39" w:rsidRPr="00100F0A">
        <w:rPr>
          <w:rFonts w:cs="Times New Roman"/>
          <w:color w:val="000000"/>
          <w:szCs w:val="20"/>
          <w:lang w:eastAsia="en-AU"/>
        </w:rPr>
        <w:t xml:space="preserve">further </w:t>
      </w:r>
      <w:r w:rsidRPr="00100F0A">
        <w:rPr>
          <w:rFonts w:cs="Times New Roman"/>
          <w:color w:val="000000"/>
          <w:szCs w:val="20"/>
          <w:lang w:eastAsia="en-AU"/>
        </w:rPr>
        <w:t xml:space="preserve">significant component is from end of life </w:t>
      </w:r>
      <w:r w:rsidR="00FE5D39" w:rsidRPr="00100F0A">
        <w:rPr>
          <w:rFonts w:cs="Times New Roman"/>
          <w:color w:val="000000"/>
          <w:szCs w:val="20"/>
          <w:lang w:eastAsia="en-AU"/>
        </w:rPr>
        <w:t xml:space="preserve">(used) </w:t>
      </w:r>
      <w:r w:rsidRPr="00100F0A">
        <w:rPr>
          <w:rFonts w:cs="Times New Roman"/>
          <w:color w:val="000000"/>
          <w:szCs w:val="20"/>
          <w:lang w:eastAsia="en-AU"/>
        </w:rPr>
        <w:t>lead acid ba</w:t>
      </w:r>
      <w:r w:rsidR="00FE5D39" w:rsidRPr="00100F0A">
        <w:rPr>
          <w:rFonts w:cs="Times New Roman"/>
          <w:color w:val="000000"/>
          <w:szCs w:val="20"/>
          <w:lang w:eastAsia="en-AU"/>
        </w:rPr>
        <w:t>tteries (ULABs), while l</w:t>
      </w:r>
      <w:r w:rsidRPr="00100F0A">
        <w:rPr>
          <w:rFonts w:cs="Times New Roman"/>
          <w:color w:val="000000"/>
          <w:szCs w:val="20"/>
          <w:lang w:eastAsia="en-AU"/>
        </w:rPr>
        <w:t>eaded glass from the e-waste recycling industry, where CRT glass co</w:t>
      </w:r>
      <w:r w:rsidR="00FE5D39" w:rsidRPr="00100F0A">
        <w:rPr>
          <w:rFonts w:cs="Times New Roman"/>
          <w:color w:val="000000"/>
          <w:szCs w:val="20"/>
          <w:lang w:eastAsia="en-AU"/>
        </w:rPr>
        <w:t>ntains large quantities of lead, make up most of the remainder.</w:t>
      </w:r>
    </w:p>
    <w:p w14:paraId="69A4BE5F" w14:textId="77777777" w:rsidR="00601CB2" w:rsidRPr="00100F0A" w:rsidRDefault="00601CB2" w:rsidP="00601CB2">
      <w:pPr>
        <w:pStyle w:val="BodyText"/>
        <w:rPr>
          <w:rFonts w:cs="Times New Roman"/>
          <w:color w:val="000000"/>
          <w:szCs w:val="20"/>
          <w:lang w:eastAsia="en-AU"/>
        </w:rPr>
      </w:pPr>
    </w:p>
    <w:p w14:paraId="4F8C4694" w14:textId="08697893" w:rsidR="00601CB2" w:rsidRPr="00100F0A" w:rsidRDefault="00601CB2" w:rsidP="00601CB2">
      <w:pPr>
        <w:pStyle w:val="BodyText"/>
        <w:rPr>
          <w:rFonts w:cs="Times New Roman"/>
          <w:color w:val="000000"/>
          <w:szCs w:val="20"/>
          <w:lang w:eastAsia="en-AU"/>
        </w:rPr>
      </w:pPr>
      <w:r w:rsidRPr="00100F0A">
        <w:rPr>
          <w:rFonts w:cs="Times New Roman"/>
          <w:color w:val="000000"/>
          <w:szCs w:val="20"/>
          <w:lang w:eastAsia="en-AU"/>
        </w:rPr>
        <w:t>Australia has the world’s largest deposits of both lead and zinc and as a result, both are mined and used locally and exported</w:t>
      </w:r>
      <w:r w:rsidRPr="00100F0A">
        <w:rPr>
          <w:rStyle w:val="FootnoteReference"/>
          <w:rFonts w:cs="Times New Roman"/>
          <w:color w:val="000000"/>
          <w:szCs w:val="20"/>
          <w:lang w:eastAsia="en-AU"/>
        </w:rPr>
        <w:footnoteReference w:id="20"/>
      </w:r>
      <w:r w:rsidRPr="00100F0A">
        <w:rPr>
          <w:rFonts w:cs="Times New Roman"/>
          <w:color w:val="000000"/>
          <w:szCs w:val="20"/>
          <w:lang w:eastAsia="en-AU"/>
        </w:rPr>
        <w:t>.</w:t>
      </w:r>
    </w:p>
    <w:p w14:paraId="514347CA" w14:textId="33FE9349" w:rsidR="004E3BDC" w:rsidRDefault="004E3BDC" w:rsidP="00601CB2">
      <w:pPr>
        <w:pStyle w:val="BodyText"/>
        <w:rPr>
          <w:rFonts w:cs="Times New Roman"/>
          <w:color w:val="000000"/>
          <w:szCs w:val="20"/>
          <w:lang w:eastAsia="en-AU"/>
        </w:rPr>
      </w:pPr>
    </w:p>
    <w:p w14:paraId="48652CCA" w14:textId="6C740FFB" w:rsidR="00223843" w:rsidRDefault="00223843">
      <w:pPr>
        <w:rPr>
          <w:rFonts w:cs="Times New Roman"/>
          <w:color w:val="000000"/>
          <w:szCs w:val="20"/>
          <w:lang w:eastAsia="en-AU"/>
        </w:rPr>
      </w:pPr>
      <w:r>
        <w:rPr>
          <w:rFonts w:cs="Times New Roman"/>
          <w:color w:val="000000"/>
          <w:szCs w:val="20"/>
          <w:lang w:eastAsia="en-AU"/>
        </w:rPr>
        <w:br w:type="page"/>
      </w:r>
    </w:p>
    <w:p w14:paraId="3B95FEC7" w14:textId="77777777" w:rsidR="00223843" w:rsidRPr="00100F0A" w:rsidRDefault="00223843" w:rsidP="00601CB2">
      <w:pPr>
        <w:pStyle w:val="BodyText"/>
        <w:rPr>
          <w:rFonts w:cs="Times New Roman"/>
          <w:color w:val="000000"/>
          <w:szCs w:val="20"/>
          <w:lang w:eastAsia="en-AU"/>
        </w:rPr>
      </w:pPr>
    </w:p>
    <w:p w14:paraId="537C8AE2" w14:textId="1A00451F" w:rsidR="00601CB2" w:rsidRPr="00100F0A" w:rsidRDefault="00601CB2" w:rsidP="00931F74">
      <w:pPr>
        <w:pStyle w:val="Heading3-nonumber"/>
      </w:pPr>
      <w:r w:rsidRPr="00100F0A">
        <w:t>Summary analysis</w:t>
      </w:r>
    </w:p>
    <w:tbl>
      <w:tblPr>
        <w:tblW w:w="0" w:type="auto"/>
        <w:tblBorders>
          <w:top w:val="single" w:sz="8" w:space="0" w:color="B7B7E2"/>
          <w:left w:val="single" w:sz="8" w:space="0" w:color="B7B7E2"/>
          <w:bottom w:val="single" w:sz="8" w:space="0" w:color="B7B7E2"/>
          <w:right w:val="single" w:sz="8" w:space="0" w:color="B7B7E2"/>
          <w:insideH w:val="single" w:sz="8" w:space="0" w:color="B7B7E2"/>
          <w:insideV w:val="single" w:sz="8" w:space="0" w:color="B7B7E2"/>
        </w:tblBorders>
        <w:tblCellMar>
          <w:left w:w="0" w:type="dxa"/>
          <w:right w:w="0" w:type="dxa"/>
        </w:tblCellMar>
        <w:tblLook w:val="04A0" w:firstRow="1" w:lastRow="0" w:firstColumn="1" w:lastColumn="0" w:noHBand="0" w:noVBand="1"/>
      </w:tblPr>
      <w:tblGrid>
        <w:gridCol w:w="1293"/>
        <w:gridCol w:w="2241"/>
        <w:gridCol w:w="1985"/>
        <w:gridCol w:w="3493"/>
      </w:tblGrid>
      <w:tr w:rsidR="004E3BDC" w:rsidRPr="00100F0A" w14:paraId="5371B181" w14:textId="77777777" w:rsidTr="004E3BDC">
        <w:trPr>
          <w:tblHeader/>
        </w:trPr>
        <w:tc>
          <w:tcPr>
            <w:tcW w:w="1293" w:type="dxa"/>
            <w:shd w:val="clear" w:color="auto" w:fill="B7B7E2"/>
            <w:tcMar>
              <w:top w:w="0" w:type="dxa"/>
              <w:left w:w="108" w:type="dxa"/>
              <w:bottom w:w="0" w:type="dxa"/>
              <w:right w:w="108" w:type="dxa"/>
            </w:tcMar>
            <w:vAlign w:val="center"/>
            <w:hideMark/>
          </w:tcPr>
          <w:p w14:paraId="0DC94371" w14:textId="77777777" w:rsidR="004E3BDC" w:rsidRPr="00100F0A" w:rsidRDefault="004E3BDC" w:rsidP="004E3BDC">
            <w:pPr>
              <w:spacing w:after="144"/>
              <w:rPr>
                <w:rFonts w:eastAsia="Times New Roman" w:cs="Times New Roman"/>
                <w:sz w:val="20"/>
                <w:szCs w:val="20"/>
              </w:rPr>
            </w:pPr>
            <w:r w:rsidRPr="00100F0A">
              <w:rPr>
                <w:rFonts w:eastAsia="Times New Roman" w:cs="Times New Roman"/>
                <w:b/>
                <w:bCs/>
                <w:color w:val="FFFFFF"/>
                <w:sz w:val="20"/>
                <w:szCs w:val="20"/>
              </w:rPr>
              <w:t> Industry sources</w:t>
            </w:r>
          </w:p>
        </w:tc>
        <w:tc>
          <w:tcPr>
            <w:tcW w:w="2241" w:type="dxa"/>
            <w:shd w:val="clear" w:color="auto" w:fill="B7B7E2"/>
            <w:tcMar>
              <w:top w:w="0" w:type="dxa"/>
              <w:left w:w="108" w:type="dxa"/>
              <w:bottom w:w="0" w:type="dxa"/>
              <w:right w:w="108" w:type="dxa"/>
            </w:tcMar>
            <w:hideMark/>
          </w:tcPr>
          <w:p w14:paraId="7D2CFED8" w14:textId="77777777" w:rsidR="004E3BDC" w:rsidRPr="00100F0A" w:rsidRDefault="004E3BDC" w:rsidP="004E3BDC">
            <w:pPr>
              <w:spacing w:after="144"/>
              <w:rPr>
                <w:rFonts w:eastAsia="Times New Roman" w:cs="Times New Roman"/>
                <w:sz w:val="20"/>
                <w:szCs w:val="20"/>
              </w:rPr>
            </w:pPr>
            <w:r w:rsidRPr="00100F0A">
              <w:rPr>
                <w:rFonts w:eastAsia="Times New Roman" w:cs="Times New Roman"/>
                <w:b/>
                <w:bCs/>
                <w:color w:val="FFFFFF"/>
                <w:sz w:val="20"/>
                <w:szCs w:val="20"/>
              </w:rPr>
              <w:t> Considerations</w:t>
            </w:r>
          </w:p>
        </w:tc>
        <w:tc>
          <w:tcPr>
            <w:tcW w:w="1985" w:type="dxa"/>
            <w:shd w:val="clear" w:color="auto" w:fill="B7B7E2"/>
            <w:tcMar>
              <w:top w:w="0" w:type="dxa"/>
              <w:left w:w="108" w:type="dxa"/>
              <w:bottom w:w="0" w:type="dxa"/>
              <w:right w:w="108" w:type="dxa"/>
            </w:tcMar>
            <w:hideMark/>
          </w:tcPr>
          <w:p w14:paraId="42399888" w14:textId="77777777" w:rsidR="004E3BDC" w:rsidRPr="00100F0A" w:rsidRDefault="004E3BDC" w:rsidP="004E3BDC">
            <w:pPr>
              <w:spacing w:after="144"/>
              <w:rPr>
                <w:rFonts w:eastAsia="Times New Roman" w:cs="Times New Roman"/>
                <w:sz w:val="20"/>
                <w:szCs w:val="20"/>
              </w:rPr>
            </w:pPr>
            <w:r w:rsidRPr="00100F0A">
              <w:rPr>
                <w:rFonts w:eastAsia="Times New Roman" w:cs="Times New Roman"/>
                <w:b/>
                <w:bCs/>
                <w:color w:val="FFFFFF"/>
                <w:sz w:val="20"/>
                <w:szCs w:val="20"/>
              </w:rPr>
              <w:t> Comments</w:t>
            </w:r>
          </w:p>
        </w:tc>
        <w:tc>
          <w:tcPr>
            <w:tcW w:w="3494" w:type="dxa"/>
            <w:shd w:val="clear" w:color="auto" w:fill="B7B7E2"/>
            <w:tcMar>
              <w:top w:w="0" w:type="dxa"/>
              <w:left w:w="108" w:type="dxa"/>
              <w:bottom w:w="0" w:type="dxa"/>
              <w:right w:w="108" w:type="dxa"/>
            </w:tcMar>
            <w:hideMark/>
          </w:tcPr>
          <w:p w14:paraId="369D812F" w14:textId="77777777" w:rsidR="004E3BDC" w:rsidRPr="00100F0A" w:rsidRDefault="004E3BDC" w:rsidP="004E3BDC">
            <w:pPr>
              <w:spacing w:after="144"/>
              <w:rPr>
                <w:rFonts w:eastAsia="Times New Roman" w:cs="Times New Roman"/>
                <w:sz w:val="20"/>
                <w:szCs w:val="20"/>
              </w:rPr>
            </w:pPr>
            <w:r w:rsidRPr="00100F0A">
              <w:rPr>
                <w:rFonts w:eastAsia="Times New Roman" w:cs="Times New Roman"/>
                <w:b/>
                <w:bCs/>
                <w:color w:val="FFFFFF"/>
                <w:sz w:val="20"/>
                <w:szCs w:val="20"/>
              </w:rPr>
              <w:t> Approach</w:t>
            </w:r>
          </w:p>
        </w:tc>
      </w:tr>
      <w:tr w:rsidR="004E3BDC" w:rsidRPr="00100F0A" w14:paraId="76934647" w14:textId="77777777" w:rsidTr="004E3BDC">
        <w:trPr>
          <w:trHeight w:val="2014"/>
        </w:trPr>
        <w:tc>
          <w:tcPr>
            <w:tcW w:w="1293" w:type="dxa"/>
            <w:tcMar>
              <w:top w:w="0" w:type="dxa"/>
              <w:left w:w="108" w:type="dxa"/>
              <w:bottom w:w="0" w:type="dxa"/>
              <w:right w:w="108" w:type="dxa"/>
            </w:tcMar>
            <w:hideMark/>
          </w:tcPr>
          <w:p w14:paraId="42404072" w14:textId="77777777" w:rsidR="004E3BDC" w:rsidRPr="00100F0A" w:rsidRDefault="004E3BDC" w:rsidP="004E3BDC">
            <w:pPr>
              <w:pStyle w:val="Bullet1"/>
              <w:spacing w:before="0"/>
              <w:ind w:left="284" w:hanging="284"/>
              <w:rPr>
                <w:sz w:val="20"/>
              </w:rPr>
            </w:pPr>
            <w:r w:rsidRPr="00100F0A">
              <w:rPr>
                <w:sz w:val="20"/>
              </w:rPr>
              <w:t>Zinc refining</w:t>
            </w:r>
          </w:p>
          <w:p w14:paraId="35F5225E" w14:textId="77777777" w:rsidR="004E3BDC" w:rsidRPr="00100F0A" w:rsidRDefault="004E3BDC" w:rsidP="004E3BDC">
            <w:pPr>
              <w:pStyle w:val="Bullet1"/>
              <w:spacing w:before="0"/>
              <w:ind w:left="284" w:hanging="284"/>
              <w:rPr>
                <w:sz w:val="20"/>
              </w:rPr>
            </w:pPr>
            <w:r w:rsidRPr="00100F0A">
              <w:rPr>
                <w:sz w:val="20"/>
              </w:rPr>
              <w:t>Lead acid batteries</w:t>
            </w:r>
          </w:p>
          <w:p w14:paraId="7BE086EC" w14:textId="18343888" w:rsidR="004E3BDC" w:rsidRPr="00100F0A" w:rsidRDefault="004E3BDC" w:rsidP="00A307F3">
            <w:pPr>
              <w:pStyle w:val="Bullet1"/>
              <w:spacing w:before="0"/>
              <w:ind w:left="284" w:hanging="284"/>
              <w:rPr>
                <w:color w:val="000000"/>
                <w:sz w:val="20"/>
              </w:rPr>
            </w:pPr>
            <w:r w:rsidRPr="00100F0A">
              <w:rPr>
                <w:sz w:val="20"/>
              </w:rPr>
              <w:t>e-waste recycling</w:t>
            </w:r>
          </w:p>
        </w:tc>
        <w:tc>
          <w:tcPr>
            <w:tcW w:w="2241" w:type="dxa"/>
            <w:tcMar>
              <w:top w:w="0" w:type="dxa"/>
              <w:left w:w="108" w:type="dxa"/>
              <w:bottom w:w="0" w:type="dxa"/>
              <w:right w:w="108" w:type="dxa"/>
            </w:tcMar>
          </w:tcPr>
          <w:p w14:paraId="74ABF626" w14:textId="302039B1" w:rsidR="004E3BDC" w:rsidRPr="00100F0A" w:rsidRDefault="004E3BDC" w:rsidP="004E3BDC">
            <w:pPr>
              <w:rPr>
                <w:color w:val="000000"/>
                <w:sz w:val="20"/>
              </w:rPr>
            </w:pPr>
            <w:r w:rsidRPr="00100F0A">
              <w:rPr>
                <w:color w:val="000000"/>
                <w:sz w:val="20"/>
              </w:rPr>
              <w:t xml:space="preserve">Tas </w:t>
            </w:r>
            <w:r w:rsidR="00D9242C">
              <w:rPr>
                <w:color w:val="000000"/>
                <w:sz w:val="20"/>
              </w:rPr>
              <w:t>lead</w:t>
            </w:r>
            <w:r w:rsidRPr="00100F0A">
              <w:rPr>
                <w:color w:val="000000"/>
                <w:sz w:val="20"/>
              </w:rPr>
              <w:t xml:space="preserve"> waste (going to SA) swamps all else &amp; is likely to trend with Zn production estimates.</w:t>
            </w:r>
          </w:p>
          <w:p w14:paraId="040EFC3B" w14:textId="5F51FA04" w:rsidR="004E3BDC" w:rsidRPr="00100F0A" w:rsidRDefault="004E3BDC" w:rsidP="004E3BDC">
            <w:pPr>
              <w:rPr>
                <w:color w:val="000000"/>
                <w:sz w:val="20"/>
              </w:rPr>
            </w:pPr>
            <w:r w:rsidRPr="00100F0A">
              <w:rPr>
                <w:color w:val="000000"/>
                <w:sz w:val="20"/>
              </w:rPr>
              <w:t xml:space="preserve">Tas </w:t>
            </w:r>
            <w:r w:rsidR="00D9242C">
              <w:rPr>
                <w:color w:val="000000"/>
                <w:sz w:val="20"/>
              </w:rPr>
              <w:t>lead</w:t>
            </w:r>
            <w:r w:rsidRPr="00100F0A">
              <w:rPr>
                <w:color w:val="000000"/>
                <w:sz w:val="20"/>
              </w:rPr>
              <w:t xml:space="preserve"> waste is likely to be arisings of lead sulphate leach concentrate (LSLC), plus stockpile releases of jarosite.</w:t>
            </w:r>
          </w:p>
          <w:p w14:paraId="05B63D64" w14:textId="4DEF109D" w:rsidR="004E3BDC" w:rsidRPr="00100F0A" w:rsidRDefault="004E3BDC" w:rsidP="004E3BDC">
            <w:pPr>
              <w:spacing w:after="60"/>
              <w:rPr>
                <w:rFonts w:eastAsia="Times New Roman" w:cs="Times New Roman"/>
                <w:sz w:val="20"/>
                <w:szCs w:val="20"/>
              </w:rPr>
            </w:pPr>
            <w:r w:rsidRPr="00100F0A">
              <w:rPr>
                <w:sz w:val="20"/>
              </w:rPr>
              <w:t>No sufficiently credible pre-existing projections were identified, although Zn $ forecast 2018-2030 is instructive for LSLC</w:t>
            </w:r>
          </w:p>
        </w:tc>
        <w:tc>
          <w:tcPr>
            <w:tcW w:w="1985" w:type="dxa"/>
            <w:tcMar>
              <w:top w:w="0" w:type="dxa"/>
              <w:left w:w="108" w:type="dxa"/>
              <w:bottom w:w="0" w:type="dxa"/>
              <w:right w:w="108" w:type="dxa"/>
            </w:tcMar>
          </w:tcPr>
          <w:p w14:paraId="5FCF62BA" w14:textId="77777777" w:rsidR="004E3BDC" w:rsidRPr="00100F0A" w:rsidRDefault="004E3BDC" w:rsidP="004E3BDC">
            <w:pPr>
              <w:rPr>
                <w:color w:val="000000"/>
                <w:sz w:val="20"/>
                <w:szCs w:val="20"/>
              </w:rPr>
            </w:pPr>
            <w:r w:rsidRPr="00100F0A">
              <w:rPr>
                <w:color w:val="000000"/>
                <w:sz w:val="20"/>
                <w:szCs w:val="20"/>
              </w:rPr>
              <w:t>ULABs should trend with population (car usage growth).</w:t>
            </w:r>
          </w:p>
          <w:p w14:paraId="320B58A8" w14:textId="77777777" w:rsidR="004E3BDC" w:rsidRPr="00100F0A" w:rsidRDefault="004E3BDC" w:rsidP="004E3BDC">
            <w:pPr>
              <w:rPr>
                <w:color w:val="000000"/>
                <w:sz w:val="20"/>
                <w:szCs w:val="20"/>
              </w:rPr>
            </w:pPr>
            <w:r w:rsidRPr="00100F0A">
              <w:rPr>
                <w:color w:val="000000"/>
                <w:sz w:val="20"/>
                <w:szCs w:val="20"/>
              </w:rPr>
              <w:t>NSW has tracking exemption for ULABs for reuse – therefore NSW tracking data under-reports</w:t>
            </w:r>
          </w:p>
          <w:p w14:paraId="7854EBC3" w14:textId="77777777" w:rsidR="004E3BDC" w:rsidRPr="00100F0A" w:rsidRDefault="004E3BDC" w:rsidP="004E3BDC">
            <w:pPr>
              <w:rPr>
                <w:color w:val="000000"/>
                <w:sz w:val="20"/>
                <w:szCs w:val="20"/>
              </w:rPr>
            </w:pPr>
          </w:p>
          <w:p w14:paraId="7B4CF509" w14:textId="6CE583A9" w:rsidR="004E3BDC" w:rsidRPr="00100F0A" w:rsidRDefault="004E3BDC" w:rsidP="004E3BDC">
            <w:pPr>
              <w:spacing w:after="60"/>
              <w:rPr>
                <w:rFonts w:eastAsia="Times New Roman" w:cs="Times New Roman"/>
                <w:sz w:val="20"/>
                <w:szCs w:val="20"/>
              </w:rPr>
            </w:pPr>
            <w:r w:rsidRPr="00100F0A">
              <w:rPr>
                <w:color w:val="000000"/>
                <w:sz w:val="20"/>
                <w:szCs w:val="20"/>
              </w:rPr>
              <w:t>Total jarosite stockpile was 200,000t in 2012; assume all has been processed 2012-2017 (EPA Tas 2009, TT2012)</w:t>
            </w:r>
          </w:p>
        </w:tc>
        <w:tc>
          <w:tcPr>
            <w:tcW w:w="3494" w:type="dxa"/>
            <w:tcMar>
              <w:top w:w="0" w:type="dxa"/>
              <w:left w:w="108" w:type="dxa"/>
              <w:bottom w:w="0" w:type="dxa"/>
              <w:right w:w="108" w:type="dxa"/>
            </w:tcMar>
            <w:hideMark/>
          </w:tcPr>
          <w:p w14:paraId="3C244FFE" w14:textId="66F14690" w:rsidR="004E3BDC" w:rsidRPr="00100F0A" w:rsidRDefault="004E3BDC" w:rsidP="004E3BDC">
            <w:pPr>
              <w:spacing w:after="60"/>
              <w:rPr>
                <w:rFonts w:eastAsia="Times New Roman" w:cs="Times New Roman"/>
                <w:sz w:val="20"/>
                <w:szCs w:val="20"/>
              </w:rPr>
            </w:pPr>
            <w:r w:rsidRPr="00100F0A">
              <w:rPr>
                <w:rFonts w:eastAsia="Times New Roman" w:cs="Times New Roman"/>
                <w:sz w:val="20"/>
                <w:szCs w:val="20"/>
                <w:u w:val="single"/>
              </w:rPr>
              <w:t xml:space="preserve">Tas </w:t>
            </w:r>
            <w:r w:rsidR="00D9242C">
              <w:rPr>
                <w:rFonts w:eastAsia="Times New Roman" w:cs="Times New Roman"/>
                <w:sz w:val="20"/>
                <w:szCs w:val="20"/>
                <w:u w:val="single"/>
              </w:rPr>
              <w:t>Lead</w:t>
            </w:r>
            <w:r w:rsidRPr="00100F0A">
              <w:rPr>
                <w:rFonts w:eastAsia="Times New Roman" w:cs="Times New Roman"/>
                <w:sz w:val="20"/>
                <w:szCs w:val="20"/>
                <w:u w:val="single"/>
              </w:rPr>
              <w:t xml:space="preserve"> projection</w:t>
            </w:r>
            <w:r w:rsidRPr="00100F0A">
              <w:rPr>
                <w:rFonts w:eastAsia="Times New Roman" w:cs="Times New Roman"/>
                <w:sz w:val="20"/>
                <w:szCs w:val="20"/>
              </w:rPr>
              <w:t>: assume only LSLC (not jarosite stockpile releases) arise going forward, at average 2012-14 reported LSLC production.</w:t>
            </w:r>
          </w:p>
          <w:p w14:paraId="581D9D09" w14:textId="77777777" w:rsidR="004E3BDC" w:rsidRPr="00100F0A" w:rsidRDefault="004E3BDC" w:rsidP="004E3BDC">
            <w:pPr>
              <w:spacing w:after="60"/>
              <w:rPr>
                <w:rFonts w:eastAsia="Times New Roman" w:cs="Times New Roman"/>
                <w:sz w:val="20"/>
                <w:szCs w:val="20"/>
              </w:rPr>
            </w:pPr>
            <w:r w:rsidRPr="00100F0A">
              <w:rPr>
                <w:rFonts w:eastAsia="Times New Roman" w:cs="Times New Roman"/>
                <w:sz w:val="20"/>
                <w:szCs w:val="20"/>
              </w:rPr>
              <w:t>Low case: Growth follows Nyrstar Hobart Zn production trend (Nyrstar 2017)</w:t>
            </w:r>
          </w:p>
          <w:p w14:paraId="031E5357" w14:textId="77777777" w:rsidR="004E3BDC" w:rsidRPr="00100F0A" w:rsidRDefault="004E3BDC" w:rsidP="004E3BDC">
            <w:pPr>
              <w:spacing w:after="60"/>
              <w:rPr>
                <w:rFonts w:eastAsia="Times New Roman" w:cs="Times New Roman"/>
                <w:sz w:val="20"/>
                <w:szCs w:val="20"/>
              </w:rPr>
            </w:pPr>
            <w:r w:rsidRPr="00100F0A">
              <w:rPr>
                <w:rFonts w:eastAsia="Times New Roman" w:cs="Times New Roman"/>
                <w:sz w:val="20"/>
                <w:szCs w:val="20"/>
              </w:rPr>
              <w:t>Best case: Growth follows world zinc price forecast for 2018-2030 (WB 2017)</w:t>
            </w:r>
          </w:p>
          <w:p w14:paraId="3D6FE7C1" w14:textId="77777777" w:rsidR="004E3BDC" w:rsidRPr="00100F0A" w:rsidRDefault="004E3BDC" w:rsidP="004E3BDC">
            <w:pPr>
              <w:spacing w:after="60"/>
              <w:rPr>
                <w:rFonts w:eastAsia="Times New Roman" w:cs="Times New Roman"/>
                <w:sz w:val="20"/>
                <w:szCs w:val="20"/>
              </w:rPr>
            </w:pPr>
            <w:r w:rsidRPr="00100F0A">
              <w:rPr>
                <w:rFonts w:eastAsia="Times New Roman" w:cs="Times New Roman"/>
                <w:sz w:val="20"/>
                <w:szCs w:val="20"/>
              </w:rPr>
              <w:t>High case: 200kt jarosite stockpile available and will be released at additional 20kt pa</w:t>
            </w:r>
          </w:p>
          <w:p w14:paraId="091AA4F8" w14:textId="77777777" w:rsidR="004E3BDC" w:rsidRPr="00100F0A" w:rsidRDefault="004E3BDC" w:rsidP="004E3BDC">
            <w:pPr>
              <w:spacing w:after="60"/>
              <w:rPr>
                <w:rFonts w:eastAsia="Times New Roman" w:cs="Times New Roman"/>
                <w:sz w:val="20"/>
                <w:szCs w:val="20"/>
              </w:rPr>
            </w:pPr>
            <w:r w:rsidRPr="00100F0A">
              <w:rPr>
                <w:rFonts w:eastAsia="Times New Roman" w:cs="Times New Roman"/>
                <w:sz w:val="20"/>
                <w:szCs w:val="20"/>
                <w:u w:val="single"/>
              </w:rPr>
              <w:t>ULABs projection</w:t>
            </w:r>
            <w:r w:rsidRPr="00100F0A">
              <w:rPr>
                <w:rFonts w:eastAsia="Times New Roman" w:cs="Times New Roman"/>
                <w:sz w:val="20"/>
                <w:szCs w:val="20"/>
              </w:rPr>
              <w:t xml:space="preserve"> (all jurisdictions): </w:t>
            </w:r>
            <w:r w:rsidRPr="00100F0A">
              <w:rPr>
                <w:rFonts w:eastAsia="Times New Roman" w:cs="Times New Roman"/>
                <w:sz w:val="20"/>
                <w:szCs w:val="20"/>
              </w:rPr>
              <w:tab/>
            </w:r>
          </w:p>
          <w:p w14:paraId="1E46FCC8" w14:textId="77777777" w:rsidR="004E3BDC" w:rsidRPr="00100F0A" w:rsidRDefault="004E3BDC" w:rsidP="004E3BDC">
            <w:pPr>
              <w:spacing w:after="60"/>
              <w:rPr>
                <w:rFonts w:eastAsia="Times New Roman" w:cs="Times New Roman"/>
                <w:sz w:val="20"/>
                <w:szCs w:val="20"/>
              </w:rPr>
            </w:pPr>
            <w:r w:rsidRPr="00100F0A">
              <w:rPr>
                <w:rFonts w:eastAsia="Times New Roman" w:cs="Times New Roman"/>
                <w:sz w:val="20"/>
                <w:szCs w:val="20"/>
              </w:rPr>
              <w:t>In line with pop growth (as surrogate for vehicle usage growth).</w:t>
            </w:r>
          </w:p>
          <w:p w14:paraId="54DB27D0" w14:textId="64B1FFF5" w:rsidR="004E3BDC" w:rsidRPr="00100F0A" w:rsidRDefault="004E3BDC" w:rsidP="004E3BDC">
            <w:pPr>
              <w:spacing w:after="60"/>
              <w:rPr>
                <w:rFonts w:eastAsia="Times New Roman" w:cs="Times New Roman"/>
                <w:sz w:val="20"/>
                <w:szCs w:val="20"/>
              </w:rPr>
            </w:pPr>
            <w:r w:rsidRPr="00100F0A">
              <w:rPr>
                <w:rFonts w:eastAsia="Times New Roman" w:cs="Times New Roman"/>
                <w:sz w:val="20"/>
                <w:szCs w:val="20"/>
              </w:rPr>
              <w:t>China has signalled withdrawal from lead acid battery manufacture in favour of newer technologies (low case).</w:t>
            </w:r>
          </w:p>
        </w:tc>
      </w:tr>
    </w:tbl>
    <w:p w14:paraId="19708C76" w14:textId="77777777" w:rsidR="004E3BDC" w:rsidRPr="00100F0A" w:rsidRDefault="004E3BDC" w:rsidP="00601CB2">
      <w:pPr>
        <w:pStyle w:val="BodyText"/>
        <w:rPr>
          <w:b/>
        </w:rPr>
      </w:pPr>
    </w:p>
    <w:p w14:paraId="03C6ED20" w14:textId="0E197E34" w:rsidR="00601CB2" w:rsidRPr="00100F0A" w:rsidRDefault="00601CB2" w:rsidP="003B62B1">
      <w:pPr>
        <w:pStyle w:val="Caption"/>
      </w:pPr>
      <w:bookmarkStart w:id="168" w:name="_Toc425849297"/>
      <w:bookmarkStart w:id="169" w:name="_Toc13225632"/>
      <w:r w:rsidRPr="00100F0A">
        <w:t xml:space="preserve">Table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13</w:t>
      </w:r>
      <w:r w:rsidR="00B404A6" w:rsidRPr="00100F0A">
        <w:rPr>
          <w:noProof/>
        </w:rPr>
        <w:fldChar w:fldCharType="end"/>
      </w:r>
      <w:r w:rsidR="00C14F18">
        <w:rPr>
          <w:noProof/>
        </w:rPr>
        <w:t>:</w:t>
      </w:r>
      <w:r w:rsidR="00D11FEE" w:rsidRPr="00100F0A">
        <w:tab/>
      </w:r>
      <w:r w:rsidRPr="00100F0A">
        <w:t>Best, high and low projected rates of change for lead</w:t>
      </w:r>
      <w:r w:rsidR="001B454B">
        <w:t>,</w:t>
      </w:r>
      <w:r w:rsidRPr="00100F0A">
        <w:t xml:space="preserve"> lead compounds waste to 203</w:t>
      </w:r>
      <w:bookmarkEnd w:id="168"/>
      <w:r w:rsidR="003B62B1" w:rsidRPr="00100F0A">
        <w:t>7</w:t>
      </w:r>
      <w:bookmarkEnd w:id="169"/>
    </w:p>
    <w:tbl>
      <w:tblPr>
        <w:tblW w:w="9062" w:type="dxa"/>
        <w:tblCellMar>
          <w:left w:w="0" w:type="dxa"/>
          <w:right w:w="0" w:type="dxa"/>
        </w:tblCellMar>
        <w:tblLook w:val="04A0" w:firstRow="1" w:lastRow="0" w:firstColumn="1" w:lastColumn="0" w:noHBand="0" w:noVBand="1"/>
      </w:tblPr>
      <w:tblGrid>
        <w:gridCol w:w="587"/>
        <w:gridCol w:w="1102"/>
        <w:gridCol w:w="4348"/>
        <w:gridCol w:w="773"/>
        <w:gridCol w:w="422"/>
        <w:gridCol w:w="704"/>
        <w:gridCol w:w="422"/>
        <w:gridCol w:w="704"/>
      </w:tblGrid>
      <w:tr w:rsidR="004E3BDC" w:rsidRPr="00100F0A" w14:paraId="5B857B25" w14:textId="77777777" w:rsidTr="003B62B1">
        <w:trPr>
          <w:tblHeader/>
        </w:trPr>
        <w:tc>
          <w:tcPr>
            <w:tcW w:w="587" w:type="dxa"/>
            <w:tcBorders>
              <w:top w:val="single" w:sz="8" w:space="0" w:color="B7B7E2"/>
              <w:left w:val="single" w:sz="8" w:space="0" w:color="B7B7E2"/>
              <w:bottom w:val="single" w:sz="8" w:space="0" w:color="B7B7E2"/>
              <w:right w:val="single" w:sz="8" w:space="0" w:color="B7B7E2"/>
            </w:tcBorders>
            <w:shd w:val="clear" w:color="auto" w:fill="B7B7E2"/>
            <w:tcMar>
              <w:top w:w="0" w:type="dxa"/>
              <w:left w:w="108" w:type="dxa"/>
              <w:bottom w:w="0" w:type="dxa"/>
              <w:right w:w="108" w:type="dxa"/>
            </w:tcMar>
            <w:vAlign w:val="center"/>
            <w:hideMark/>
          </w:tcPr>
          <w:p w14:paraId="75A76602" w14:textId="77777777" w:rsidR="004E3BDC" w:rsidRPr="00100F0A" w:rsidRDefault="004E3BDC" w:rsidP="004E3BDC">
            <w:pPr>
              <w:spacing w:after="144"/>
              <w:rPr>
                <w:rFonts w:eastAsia="Times New Roman" w:cs="Times New Roman"/>
              </w:rPr>
            </w:pPr>
            <w:r w:rsidRPr="00100F0A">
              <w:rPr>
                <w:rFonts w:eastAsia="Times New Roman" w:cs="Times New Roman"/>
                <w:b/>
                <w:bCs/>
                <w:color w:val="FFFFFF"/>
                <w:sz w:val="20"/>
                <w:szCs w:val="20"/>
              </w:rPr>
              <w:t> </w:t>
            </w:r>
          </w:p>
        </w:tc>
        <w:tc>
          <w:tcPr>
            <w:tcW w:w="1102"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32014BF2" w14:textId="77777777" w:rsidR="004E3BDC" w:rsidRPr="00100F0A" w:rsidRDefault="004E3BDC" w:rsidP="004E3BDC">
            <w:pPr>
              <w:spacing w:after="144"/>
              <w:rPr>
                <w:rFonts w:eastAsia="Times New Roman" w:cs="Times New Roman"/>
              </w:rPr>
            </w:pPr>
            <w:r w:rsidRPr="00100F0A">
              <w:rPr>
                <w:rFonts w:eastAsia="Times New Roman" w:cs="Times New Roman"/>
                <w:b/>
                <w:bCs/>
                <w:color w:val="FFFFFF"/>
                <w:sz w:val="20"/>
                <w:szCs w:val="20"/>
              </w:rPr>
              <w:t> Applies to</w:t>
            </w:r>
          </w:p>
        </w:tc>
        <w:tc>
          <w:tcPr>
            <w:tcW w:w="4348"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76CB4812" w14:textId="77777777" w:rsidR="004E3BDC" w:rsidRPr="00100F0A" w:rsidRDefault="004E3BDC" w:rsidP="004E3BDC">
            <w:pPr>
              <w:spacing w:after="144"/>
              <w:rPr>
                <w:rFonts w:eastAsia="Times New Roman" w:cs="Times New Roman"/>
              </w:rPr>
            </w:pPr>
            <w:r w:rsidRPr="00100F0A">
              <w:rPr>
                <w:rFonts w:eastAsia="Times New Roman" w:cs="Times New Roman"/>
                <w:b/>
                <w:bCs/>
                <w:color w:val="FFFFFF"/>
                <w:sz w:val="20"/>
                <w:szCs w:val="20"/>
              </w:rPr>
              <w:t> Approach</w:t>
            </w:r>
          </w:p>
        </w:tc>
        <w:tc>
          <w:tcPr>
            <w:tcW w:w="773"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6F98CD7A" w14:textId="77777777" w:rsidR="004E3BDC" w:rsidRPr="00100F0A" w:rsidRDefault="004E3BDC" w:rsidP="004E3BDC">
            <w:pPr>
              <w:spacing w:after="144"/>
              <w:jc w:val="right"/>
              <w:rPr>
                <w:rFonts w:eastAsia="Times New Roman" w:cs="Times New Roman"/>
                <w:sz w:val="20"/>
                <w:szCs w:val="20"/>
              </w:rPr>
            </w:pPr>
            <w:r w:rsidRPr="00100F0A">
              <w:rPr>
                <w:rFonts w:eastAsia="Times New Roman" w:cs="Times New Roman"/>
                <w:b/>
                <w:bCs/>
                <w:color w:val="FFFFFF"/>
                <w:sz w:val="20"/>
                <w:szCs w:val="20"/>
              </w:rPr>
              <w:t> 2018</w:t>
            </w:r>
          </w:p>
        </w:tc>
        <w:tc>
          <w:tcPr>
            <w:tcW w:w="422" w:type="dxa"/>
            <w:tcBorders>
              <w:top w:val="single" w:sz="8" w:space="0" w:color="B7B7E2"/>
              <w:left w:val="nil"/>
              <w:bottom w:val="single" w:sz="8" w:space="0" w:color="B7B7E2"/>
              <w:right w:val="single" w:sz="8" w:space="0" w:color="B7B7E2"/>
            </w:tcBorders>
            <w:shd w:val="clear" w:color="auto" w:fill="B7B7E2"/>
          </w:tcPr>
          <w:p w14:paraId="540FB3BC" w14:textId="77777777" w:rsidR="004E3BDC" w:rsidRPr="00100F0A" w:rsidRDefault="004E3BDC" w:rsidP="004E3BDC">
            <w:pPr>
              <w:spacing w:after="144"/>
              <w:jc w:val="center"/>
              <w:rPr>
                <w:rFonts w:eastAsia="Times New Roman" w:cs="Times New Roman"/>
                <w:b/>
                <w:bCs/>
                <w:color w:val="FFFFFF" w:themeColor="background1"/>
                <w:sz w:val="20"/>
                <w:szCs w:val="20"/>
              </w:rPr>
            </w:pPr>
            <w:r w:rsidRPr="00100F0A">
              <w:rPr>
                <w:color w:val="FFFFFF" w:themeColor="background1"/>
                <w:sz w:val="20"/>
              </w:rPr>
              <w:t>...</w:t>
            </w:r>
          </w:p>
        </w:tc>
        <w:tc>
          <w:tcPr>
            <w:tcW w:w="704" w:type="dxa"/>
            <w:tcBorders>
              <w:top w:val="single" w:sz="8" w:space="0" w:color="B7B7E2"/>
              <w:left w:val="nil"/>
              <w:bottom w:val="single" w:sz="8" w:space="0" w:color="B7B7E2"/>
              <w:right w:val="single" w:sz="8" w:space="0" w:color="B7B7E2"/>
            </w:tcBorders>
            <w:shd w:val="clear" w:color="auto" w:fill="B7B7E2"/>
          </w:tcPr>
          <w:p w14:paraId="796F1B38" w14:textId="4F42714F" w:rsidR="004E3BDC" w:rsidRPr="00100F0A" w:rsidRDefault="004E3BDC" w:rsidP="004E3BDC">
            <w:pPr>
              <w:spacing w:after="144"/>
              <w:jc w:val="right"/>
              <w:rPr>
                <w:rFonts w:eastAsia="Times New Roman" w:cs="Times New Roman"/>
                <w:b/>
                <w:bCs/>
                <w:color w:val="FFFFFF" w:themeColor="background1"/>
                <w:sz w:val="20"/>
                <w:szCs w:val="20"/>
              </w:rPr>
            </w:pPr>
            <w:r w:rsidRPr="00100F0A">
              <w:rPr>
                <w:rFonts w:eastAsia="Times New Roman" w:cs="Times New Roman"/>
                <w:b/>
                <w:bCs/>
                <w:color w:val="FFFFFF" w:themeColor="background1"/>
                <w:sz w:val="20"/>
                <w:szCs w:val="20"/>
              </w:rPr>
              <w:t>2028</w:t>
            </w:r>
          </w:p>
        </w:tc>
        <w:tc>
          <w:tcPr>
            <w:tcW w:w="422" w:type="dxa"/>
            <w:tcBorders>
              <w:top w:val="single" w:sz="8" w:space="0" w:color="B7B7E2"/>
              <w:left w:val="nil"/>
              <w:bottom w:val="single" w:sz="8" w:space="0" w:color="B7B7E2"/>
              <w:right w:val="single" w:sz="8" w:space="0" w:color="B7B7E2"/>
            </w:tcBorders>
            <w:shd w:val="clear" w:color="auto" w:fill="B7B7E2"/>
          </w:tcPr>
          <w:p w14:paraId="36743113" w14:textId="77777777" w:rsidR="004E3BDC" w:rsidRPr="00100F0A" w:rsidRDefault="004E3BDC" w:rsidP="004E3BDC">
            <w:pPr>
              <w:spacing w:after="144"/>
              <w:jc w:val="right"/>
              <w:rPr>
                <w:rFonts w:eastAsia="Times New Roman" w:cs="Times New Roman"/>
                <w:b/>
                <w:bCs/>
                <w:color w:val="FFFFFF" w:themeColor="background1"/>
                <w:sz w:val="20"/>
                <w:szCs w:val="20"/>
              </w:rPr>
            </w:pPr>
            <w:r w:rsidRPr="00100F0A">
              <w:rPr>
                <w:color w:val="FFFFFF" w:themeColor="background1"/>
                <w:sz w:val="20"/>
              </w:rPr>
              <w:t>...</w:t>
            </w:r>
          </w:p>
        </w:tc>
        <w:tc>
          <w:tcPr>
            <w:tcW w:w="704" w:type="dxa"/>
            <w:tcBorders>
              <w:top w:val="single" w:sz="8" w:space="0" w:color="B7B7E2"/>
              <w:left w:val="nil"/>
              <w:bottom w:val="single" w:sz="8" w:space="0" w:color="B7B7E2"/>
              <w:right w:val="single" w:sz="8" w:space="0" w:color="B7B7E2"/>
            </w:tcBorders>
            <w:shd w:val="clear" w:color="auto" w:fill="B7B7E2"/>
          </w:tcPr>
          <w:p w14:paraId="228B77F3" w14:textId="77777777" w:rsidR="004E3BDC" w:rsidRPr="00100F0A" w:rsidRDefault="004E3BDC" w:rsidP="004E3BDC">
            <w:pPr>
              <w:spacing w:after="144"/>
              <w:jc w:val="right"/>
              <w:rPr>
                <w:rFonts w:eastAsia="Times New Roman" w:cs="Times New Roman"/>
                <w:b/>
                <w:bCs/>
                <w:color w:val="FFFFFF" w:themeColor="background1"/>
                <w:sz w:val="20"/>
                <w:szCs w:val="20"/>
              </w:rPr>
            </w:pPr>
            <w:r w:rsidRPr="00100F0A">
              <w:rPr>
                <w:rFonts w:eastAsia="Times New Roman" w:cs="Times New Roman"/>
                <w:b/>
                <w:bCs/>
                <w:color w:val="FFFFFF" w:themeColor="background1"/>
                <w:sz w:val="20"/>
                <w:szCs w:val="20"/>
              </w:rPr>
              <w:t>2037</w:t>
            </w:r>
          </w:p>
        </w:tc>
      </w:tr>
      <w:tr w:rsidR="004E3BDC" w:rsidRPr="00100F0A" w14:paraId="594C9539" w14:textId="77777777" w:rsidTr="004E3BDC">
        <w:tc>
          <w:tcPr>
            <w:tcW w:w="9062" w:type="dxa"/>
            <w:gridSpan w:val="8"/>
            <w:tcBorders>
              <w:top w:val="single" w:sz="8" w:space="0" w:color="B7B7E2"/>
              <w:left w:val="single" w:sz="8" w:space="0" w:color="B7B7E2"/>
              <w:bottom w:val="dotted" w:sz="4" w:space="0" w:color="B7B7E2"/>
              <w:right w:val="single" w:sz="8" w:space="0" w:color="B7B7E2"/>
            </w:tcBorders>
            <w:tcMar>
              <w:top w:w="0" w:type="dxa"/>
              <w:left w:w="108" w:type="dxa"/>
              <w:bottom w:w="0" w:type="dxa"/>
              <w:right w:w="108" w:type="dxa"/>
            </w:tcMar>
          </w:tcPr>
          <w:p w14:paraId="2AD21A6D" w14:textId="77777777" w:rsidR="004E3BDC" w:rsidRPr="00100F0A" w:rsidRDefault="004E3BDC" w:rsidP="004E3BDC">
            <w:pPr>
              <w:spacing w:after="60"/>
              <w:rPr>
                <w:iCs/>
                <w:color w:val="4D4DB8"/>
                <w:sz w:val="20"/>
                <w:szCs w:val="18"/>
              </w:rPr>
            </w:pPr>
            <w:r w:rsidRPr="00100F0A">
              <w:rPr>
                <w:iCs/>
                <w:color w:val="4D4DB8"/>
                <w:sz w:val="20"/>
                <w:szCs w:val="18"/>
              </w:rPr>
              <w:t>Arisings</w:t>
            </w:r>
          </w:p>
        </w:tc>
      </w:tr>
      <w:tr w:rsidR="003B62B1" w:rsidRPr="00100F0A" w14:paraId="2FA6B9C7" w14:textId="77777777" w:rsidTr="003B62B1">
        <w:tc>
          <w:tcPr>
            <w:tcW w:w="587" w:type="dxa"/>
            <w:tcBorders>
              <w:top w:val="single" w:sz="8" w:space="0" w:color="B7B7E2"/>
              <w:left w:val="single" w:sz="8" w:space="0" w:color="B7B7E2"/>
              <w:bottom w:val="dotted" w:sz="4" w:space="0" w:color="B7B7E2"/>
              <w:right w:val="single" w:sz="8" w:space="0" w:color="B7B7E2"/>
            </w:tcBorders>
            <w:tcMar>
              <w:top w:w="0" w:type="dxa"/>
              <w:left w:w="108" w:type="dxa"/>
              <w:bottom w:w="0" w:type="dxa"/>
              <w:right w:w="108" w:type="dxa"/>
            </w:tcMar>
            <w:hideMark/>
          </w:tcPr>
          <w:p w14:paraId="6A058C70" w14:textId="77777777" w:rsidR="003B62B1" w:rsidRPr="00100F0A" w:rsidRDefault="003B62B1" w:rsidP="003B62B1">
            <w:pPr>
              <w:spacing w:after="60"/>
              <w:rPr>
                <w:rFonts w:eastAsia="Times New Roman" w:cs="Times New Roman"/>
                <w:sz w:val="20"/>
              </w:rPr>
            </w:pPr>
            <w:r w:rsidRPr="00100F0A">
              <w:rPr>
                <w:sz w:val="20"/>
              </w:rPr>
              <w:t>Best</w:t>
            </w:r>
          </w:p>
        </w:tc>
        <w:tc>
          <w:tcPr>
            <w:tcW w:w="1102" w:type="dxa"/>
            <w:vMerge w:val="restart"/>
            <w:tcBorders>
              <w:top w:val="single" w:sz="8" w:space="0" w:color="B7B7E2"/>
              <w:left w:val="nil"/>
              <w:right w:val="single" w:sz="4" w:space="0" w:color="B7B7E2"/>
            </w:tcBorders>
            <w:tcMar>
              <w:top w:w="0" w:type="dxa"/>
              <w:left w:w="108" w:type="dxa"/>
              <w:bottom w:w="0" w:type="dxa"/>
              <w:right w:w="108" w:type="dxa"/>
            </w:tcMar>
            <w:vAlign w:val="center"/>
          </w:tcPr>
          <w:p w14:paraId="71E991A1" w14:textId="76A4E092" w:rsidR="003B62B1" w:rsidRPr="00100F0A" w:rsidRDefault="003B62B1" w:rsidP="003B62B1">
            <w:pPr>
              <w:spacing w:after="60"/>
              <w:rPr>
                <w:sz w:val="20"/>
              </w:rPr>
            </w:pPr>
            <w:r w:rsidRPr="00100F0A">
              <w:rPr>
                <w:sz w:val="20"/>
                <w:szCs w:val="20"/>
              </w:rPr>
              <w:t>Tas</w:t>
            </w:r>
          </w:p>
        </w:tc>
        <w:tc>
          <w:tcPr>
            <w:tcW w:w="4348" w:type="dxa"/>
            <w:tcBorders>
              <w:top w:val="single" w:sz="8" w:space="0" w:color="B7B7E2"/>
              <w:left w:val="single" w:sz="4" w:space="0" w:color="B7B7E2"/>
              <w:bottom w:val="dotted" w:sz="4" w:space="0" w:color="B7B7E2"/>
              <w:right w:val="single" w:sz="4" w:space="0" w:color="B7B7E2"/>
            </w:tcBorders>
            <w:tcMar>
              <w:top w:w="0" w:type="dxa"/>
              <w:left w:w="108" w:type="dxa"/>
              <w:bottom w:w="0" w:type="dxa"/>
              <w:right w:w="108" w:type="dxa"/>
            </w:tcMar>
          </w:tcPr>
          <w:p w14:paraId="2884D1BD" w14:textId="50AE80EB" w:rsidR="003B62B1" w:rsidRPr="00100F0A" w:rsidRDefault="003B62B1" w:rsidP="006872A9">
            <w:pPr>
              <w:jc w:val="center"/>
              <w:rPr>
                <w:rFonts w:eastAsia="Times New Roman" w:cs="Times New Roman"/>
                <w:sz w:val="20"/>
                <w:szCs w:val="20"/>
              </w:rPr>
            </w:pPr>
            <w:r w:rsidRPr="00100F0A">
              <w:rPr>
                <w:rFonts w:cs="Calibri"/>
                <w:color w:val="000000"/>
                <w:sz w:val="20"/>
                <w:szCs w:val="20"/>
              </w:rPr>
              <w:t>World Bank forecast Zn price growth (2018-2030)</w:t>
            </w:r>
          </w:p>
        </w:tc>
        <w:tc>
          <w:tcPr>
            <w:tcW w:w="773" w:type="dxa"/>
            <w:tcBorders>
              <w:top w:val="single" w:sz="8" w:space="0" w:color="B7B7E2"/>
              <w:left w:val="single" w:sz="4" w:space="0" w:color="B7B7E2"/>
              <w:bottom w:val="dotted" w:sz="4" w:space="0" w:color="B7B7E2"/>
              <w:right w:val="single" w:sz="8" w:space="0" w:color="B7B7E2"/>
            </w:tcBorders>
            <w:tcMar>
              <w:top w:w="0" w:type="dxa"/>
              <w:left w:w="108" w:type="dxa"/>
              <w:bottom w:w="0" w:type="dxa"/>
              <w:right w:w="108" w:type="dxa"/>
            </w:tcMar>
            <w:hideMark/>
          </w:tcPr>
          <w:p w14:paraId="0A6F0A11" w14:textId="6D9BED6F" w:rsidR="003B62B1" w:rsidRPr="003C162F" w:rsidRDefault="003B62B1" w:rsidP="006872A9">
            <w:pPr>
              <w:spacing w:after="60"/>
              <w:jc w:val="center"/>
              <w:rPr>
                <w:rFonts w:eastAsia="Times New Roman" w:cs="Times New Roman"/>
                <w:sz w:val="20"/>
                <w:szCs w:val="20"/>
              </w:rPr>
            </w:pPr>
            <w:r w:rsidRPr="00B30B8D">
              <w:rPr>
                <w:rFonts w:cs="Calibri"/>
                <w:bCs/>
                <w:sz w:val="20"/>
                <w:szCs w:val="20"/>
              </w:rPr>
              <w:t>-1.7%</w:t>
            </w:r>
          </w:p>
        </w:tc>
        <w:tc>
          <w:tcPr>
            <w:tcW w:w="422" w:type="dxa"/>
            <w:tcBorders>
              <w:top w:val="single" w:sz="8" w:space="0" w:color="B7B7E2"/>
              <w:left w:val="nil"/>
              <w:bottom w:val="dotted" w:sz="4" w:space="0" w:color="B7B7E2"/>
              <w:right w:val="single" w:sz="8" w:space="0" w:color="B7B7E2"/>
            </w:tcBorders>
          </w:tcPr>
          <w:p w14:paraId="60E1EFD0" w14:textId="77777777" w:rsidR="003B62B1" w:rsidRPr="004C0905" w:rsidRDefault="003B62B1" w:rsidP="00B30B8D">
            <w:pPr>
              <w:spacing w:after="60"/>
              <w:jc w:val="center"/>
              <w:rPr>
                <w:rFonts w:eastAsia="Times New Roman" w:cs="Times New Roman"/>
                <w:sz w:val="20"/>
                <w:szCs w:val="20"/>
              </w:rPr>
            </w:pPr>
            <w:r w:rsidRPr="004C0905">
              <w:rPr>
                <w:sz w:val="20"/>
                <w:szCs w:val="20"/>
              </w:rPr>
              <w:t>...</w:t>
            </w:r>
          </w:p>
        </w:tc>
        <w:tc>
          <w:tcPr>
            <w:tcW w:w="704" w:type="dxa"/>
            <w:tcBorders>
              <w:top w:val="single" w:sz="8" w:space="0" w:color="B7B7E2"/>
              <w:left w:val="nil"/>
              <w:bottom w:val="dotted" w:sz="4" w:space="0" w:color="B7B7E2"/>
              <w:right w:val="single" w:sz="8" w:space="0" w:color="B7B7E2"/>
            </w:tcBorders>
          </w:tcPr>
          <w:p w14:paraId="56B9DCE5" w14:textId="330F3864" w:rsidR="003B62B1" w:rsidRPr="004C0905" w:rsidRDefault="003B62B1" w:rsidP="006872A9">
            <w:pPr>
              <w:spacing w:after="60"/>
              <w:jc w:val="center"/>
              <w:rPr>
                <w:rFonts w:cs="Calibri"/>
                <w:bCs/>
                <w:color w:val="000000" w:themeColor="text1"/>
                <w:sz w:val="20"/>
                <w:szCs w:val="20"/>
              </w:rPr>
            </w:pPr>
            <w:r w:rsidRPr="004C0905">
              <w:rPr>
                <w:rFonts w:cs="Calibri"/>
                <w:color w:val="000000" w:themeColor="text1"/>
                <w:sz w:val="20"/>
                <w:szCs w:val="20"/>
              </w:rPr>
              <w:t>-1.7%</w:t>
            </w:r>
          </w:p>
        </w:tc>
        <w:tc>
          <w:tcPr>
            <w:tcW w:w="422" w:type="dxa"/>
            <w:tcBorders>
              <w:top w:val="single" w:sz="8" w:space="0" w:color="B7B7E2"/>
              <w:left w:val="nil"/>
              <w:bottom w:val="dotted" w:sz="4" w:space="0" w:color="B7B7E2"/>
              <w:right w:val="single" w:sz="8" w:space="0" w:color="B7B7E2"/>
            </w:tcBorders>
          </w:tcPr>
          <w:p w14:paraId="335C3155" w14:textId="77777777" w:rsidR="003B62B1" w:rsidRPr="004C0905" w:rsidRDefault="003B62B1" w:rsidP="00B30B8D">
            <w:pPr>
              <w:spacing w:after="60"/>
              <w:jc w:val="center"/>
              <w:rPr>
                <w:rFonts w:cs="Calibri"/>
                <w:color w:val="000000" w:themeColor="text1"/>
                <w:sz w:val="20"/>
                <w:szCs w:val="20"/>
              </w:rPr>
            </w:pPr>
            <w:r w:rsidRPr="004C0905">
              <w:rPr>
                <w:sz w:val="20"/>
                <w:szCs w:val="20"/>
              </w:rPr>
              <w:t>...</w:t>
            </w:r>
          </w:p>
        </w:tc>
        <w:tc>
          <w:tcPr>
            <w:tcW w:w="704" w:type="dxa"/>
            <w:tcBorders>
              <w:top w:val="single" w:sz="8" w:space="0" w:color="B7B7E2"/>
              <w:left w:val="nil"/>
              <w:bottom w:val="dotted" w:sz="4" w:space="0" w:color="B7B7E2"/>
              <w:right w:val="single" w:sz="8" w:space="0" w:color="B7B7E2"/>
            </w:tcBorders>
          </w:tcPr>
          <w:p w14:paraId="72DD522F" w14:textId="373174C8" w:rsidR="003B62B1" w:rsidRPr="004C0905" w:rsidRDefault="003B62B1" w:rsidP="006872A9">
            <w:pPr>
              <w:spacing w:after="60"/>
              <w:jc w:val="center"/>
              <w:rPr>
                <w:rFonts w:cs="Calibri"/>
                <w:color w:val="000000" w:themeColor="text1"/>
                <w:sz w:val="20"/>
                <w:szCs w:val="20"/>
              </w:rPr>
            </w:pPr>
            <w:r w:rsidRPr="004C0905">
              <w:rPr>
                <w:rFonts w:cs="Calibri"/>
                <w:color w:val="000000" w:themeColor="text1"/>
                <w:sz w:val="20"/>
                <w:szCs w:val="20"/>
              </w:rPr>
              <w:t>-1.7%</w:t>
            </w:r>
          </w:p>
        </w:tc>
      </w:tr>
      <w:tr w:rsidR="003B62B1" w:rsidRPr="00100F0A" w14:paraId="07697DDF" w14:textId="77777777" w:rsidTr="003B62B1">
        <w:tc>
          <w:tcPr>
            <w:tcW w:w="587" w:type="dxa"/>
            <w:tcBorders>
              <w:top w:val="dotted" w:sz="4" w:space="0" w:color="B7B7E2"/>
              <w:left w:val="single" w:sz="8" w:space="0" w:color="B7B7E2"/>
              <w:bottom w:val="dotted" w:sz="4" w:space="0" w:color="B7B7E2"/>
              <w:right w:val="single" w:sz="8" w:space="0" w:color="B7B7E2"/>
            </w:tcBorders>
            <w:tcMar>
              <w:top w:w="0" w:type="dxa"/>
              <w:left w:w="108" w:type="dxa"/>
              <w:bottom w:w="0" w:type="dxa"/>
              <w:right w:w="108" w:type="dxa"/>
            </w:tcMar>
            <w:hideMark/>
          </w:tcPr>
          <w:p w14:paraId="2A31E5EE" w14:textId="77777777" w:rsidR="003B62B1" w:rsidRPr="00100F0A" w:rsidRDefault="003B62B1" w:rsidP="003B62B1">
            <w:pPr>
              <w:spacing w:after="60"/>
              <w:rPr>
                <w:rFonts w:eastAsia="Times New Roman" w:cs="Times New Roman"/>
                <w:sz w:val="20"/>
              </w:rPr>
            </w:pPr>
            <w:r w:rsidRPr="00100F0A">
              <w:rPr>
                <w:sz w:val="20"/>
              </w:rPr>
              <w:t>High</w:t>
            </w:r>
          </w:p>
        </w:tc>
        <w:tc>
          <w:tcPr>
            <w:tcW w:w="1102" w:type="dxa"/>
            <w:vMerge/>
            <w:tcBorders>
              <w:left w:val="nil"/>
              <w:right w:val="single" w:sz="4" w:space="0" w:color="B7B7E2"/>
            </w:tcBorders>
            <w:tcMar>
              <w:top w:w="0" w:type="dxa"/>
              <w:left w:w="108" w:type="dxa"/>
              <w:bottom w:w="0" w:type="dxa"/>
              <w:right w:w="108" w:type="dxa"/>
            </w:tcMar>
          </w:tcPr>
          <w:p w14:paraId="574E9EBF" w14:textId="77777777" w:rsidR="003B62B1" w:rsidRPr="00100F0A" w:rsidRDefault="003B62B1" w:rsidP="003B62B1">
            <w:pPr>
              <w:spacing w:after="60"/>
              <w:rPr>
                <w:sz w:val="20"/>
              </w:rPr>
            </w:pPr>
          </w:p>
        </w:tc>
        <w:tc>
          <w:tcPr>
            <w:tcW w:w="4348"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tcPr>
          <w:p w14:paraId="7E2CE391" w14:textId="51949781" w:rsidR="003B62B1" w:rsidRPr="00100F0A" w:rsidRDefault="003B62B1" w:rsidP="006872A9">
            <w:pPr>
              <w:jc w:val="center"/>
              <w:rPr>
                <w:rFonts w:eastAsia="Times New Roman" w:cs="Times New Roman"/>
                <w:sz w:val="20"/>
                <w:szCs w:val="20"/>
              </w:rPr>
            </w:pPr>
            <w:r w:rsidRPr="00100F0A">
              <w:rPr>
                <w:rFonts w:cs="Calibri"/>
                <w:color w:val="000000"/>
                <w:sz w:val="20"/>
                <w:szCs w:val="20"/>
              </w:rPr>
              <w:t>Flat trend</w:t>
            </w:r>
          </w:p>
        </w:tc>
        <w:tc>
          <w:tcPr>
            <w:tcW w:w="773" w:type="dxa"/>
            <w:tcBorders>
              <w:top w:val="dotted" w:sz="4" w:space="0" w:color="B7B7E2"/>
              <w:left w:val="single" w:sz="4" w:space="0" w:color="B7B7E2"/>
              <w:bottom w:val="dotted" w:sz="4" w:space="0" w:color="B7B7E2"/>
              <w:right w:val="single" w:sz="8" w:space="0" w:color="B7B7E2"/>
            </w:tcBorders>
            <w:tcMar>
              <w:top w:w="0" w:type="dxa"/>
              <w:left w:w="108" w:type="dxa"/>
              <w:bottom w:w="0" w:type="dxa"/>
              <w:right w:w="108" w:type="dxa"/>
            </w:tcMar>
            <w:hideMark/>
          </w:tcPr>
          <w:p w14:paraId="1B233E3E" w14:textId="56EA6EBE" w:rsidR="003B62B1" w:rsidRPr="003C162F" w:rsidRDefault="003B62B1" w:rsidP="006872A9">
            <w:pPr>
              <w:spacing w:after="60"/>
              <w:jc w:val="center"/>
              <w:rPr>
                <w:rFonts w:eastAsia="Times New Roman" w:cs="Times New Roman"/>
                <w:sz w:val="20"/>
                <w:szCs w:val="20"/>
              </w:rPr>
            </w:pPr>
            <w:r w:rsidRPr="00B30B8D">
              <w:rPr>
                <w:rFonts w:cs="Calibri"/>
                <w:bCs/>
                <w:sz w:val="20"/>
                <w:szCs w:val="20"/>
              </w:rPr>
              <w:t>0.0%</w:t>
            </w:r>
          </w:p>
        </w:tc>
        <w:tc>
          <w:tcPr>
            <w:tcW w:w="422" w:type="dxa"/>
            <w:tcBorders>
              <w:top w:val="dotted" w:sz="4" w:space="0" w:color="B7B7E2"/>
              <w:left w:val="nil"/>
              <w:bottom w:val="dotted" w:sz="4" w:space="0" w:color="B7B7E2"/>
              <w:right w:val="single" w:sz="8" w:space="0" w:color="B7B7E2"/>
            </w:tcBorders>
          </w:tcPr>
          <w:p w14:paraId="3217A113" w14:textId="77777777" w:rsidR="003B62B1" w:rsidRPr="004C0905" w:rsidRDefault="003B62B1" w:rsidP="00B30B8D">
            <w:pPr>
              <w:spacing w:after="60"/>
              <w:jc w:val="center"/>
              <w:rPr>
                <w:rFonts w:eastAsia="Times New Roman" w:cs="Times New Roman"/>
                <w:sz w:val="20"/>
                <w:szCs w:val="20"/>
              </w:rPr>
            </w:pPr>
            <w:r w:rsidRPr="004C0905">
              <w:rPr>
                <w:sz w:val="20"/>
                <w:szCs w:val="20"/>
              </w:rPr>
              <w:t>...</w:t>
            </w:r>
          </w:p>
        </w:tc>
        <w:tc>
          <w:tcPr>
            <w:tcW w:w="704" w:type="dxa"/>
            <w:tcBorders>
              <w:top w:val="dotted" w:sz="4" w:space="0" w:color="B7B7E2"/>
              <w:left w:val="nil"/>
              <w:bottom w:val="dotted" w:sz="4" w:space="0" w:color="B7B7E2"/>
              <w:right w:val="single" w:sz="8" w:space="0" w:color="B7B7E2"/>
            </w:tcBorders>
          </w:tcPr>
          <w:p w14:paraId="4F8B137E" w14:textId="2DACE26C" w:rsidR="003B62B1" w:rsidRPr="004C0905" w:rsidRDefault="003B62B1" w:rsidP="006872A9">
            <w:pPr>
              <w:spacing w:after="60"/>
              <w:jc w:val="center"/>
              <w:rPr>
                <w:rFonts w:cs="Calibri"/>
                <w:bCs/>
                <w:color w:val="000000" w:themeColor="text1"/>
                <w:sz w:val="20"/>
                <w:szCs w:val="20"/>
              </w:rPr>
            </w:pPr>
            <w:r w:rsidRPr="004C0905">
              <w:rPr>
                <w:rFonts w:cs="Calibri"/>
                <w:color w:val="000000" w:themeColor="text1"/>
                <w:sz w:val="20"/>
                <w:szCs w:val="20"/>
              </w:rPr>
              <w:t>0.0%</w:t>
            </w:r>
          </w:p>
        </w:tc>
        <w:tc>
          <w:tcPr>
            <w:tcW w:w="422" w:type="dxa"/>
            <w:tcBorders>
              <w:top w:val="dotted" w:sz="4" w:space="0" w:color="B7B7E2"/>
              <w:left w:val="nil"/>
              <w:bottom w:val="dotted" w:sz="4" w:space="0" w:color="B7B7E2"/>
              <w:right w:val="single" w:sz="8" w:space="0" w:color="B7B7E2"/>
            </w:tcBorders>
          </w:tcPr>
          <w:p w14:paraId="2577AE74" w14:textId="77777777" w:rsidR="003B62B1" w:rsidRPr="004C0905" w:rsidRDefault="003B62B1" w:rsidP="00B30B8D">
            <w:pPr>
              <w:spacing w:after="60"/>
              <w:jc w:val="center"/>
              <w:rPr>
                <w:rFonts w:cs="Calibri"/>
                <w:color w:val="000000" w:themeColor="text1"/>
                <w:sz w:val="20"/>
                <w:szCs w:val="20"/>
              </w:rPr>
            </w:pPr>
            <w:r w:rsidRPr="004C0905">
              <w:rPr>
                <w:sz w:val="20"/>
                <w:szCs w:val="20"/>
              </w:rPr>
              <w:t>...</w:t>
            </w:r>
          </w:p>
        </w:tc>
        <w:tc>
          <w:tcPr>
            <w:tcW w:w="704" w:type="dxa"/>
            <w:tcBorders>
              <w:top w:val="dotted" w:sz="4" w:space="0" w:color="B7B7E2"/>
              <w:left w:val="nil"/>
              <w:bottom w:val="dotted" w:sz="4" w:space="0" w:color="B7B7E2"/>
              <w:right w:val="single" w:sz="8" w:space="0" w:color="B7B7E2"/>
            </w:tcBorders>
          </w:tcPr>
          <w:p w14:paraId="7B6C5E45" w14:textId="37808CC3" w:rsidR="003B62B1" w:rsidRPr="004C0905" w:rsidRDefault="003B62B1" w:rsidP="006872A9">
            <w:pPr>
              <w:spacing w:after="60"/>
              <w:jc w:val="center"/>
              <w:rPr>
                <w:rFonts w:cs="Calibri"/>
                <w:color w:val="000000" w:themeColor="text1"/>
                <w:sz w:val="20"/>
                <w:szCs w:val="20"/>
              </w:rPr>
            </w:pPr>
            <w:r w:rsidRPr="004C0905">
              <w:rPr>
                <w:rFonts w:cs="Calibri"/>
                <w:color w:val="000000" w:themeColor="text1"/>
                <w:sz w:val="20"/>
                <w:szCs w:val="20"/>
              </w:rPr>
              <w:t>0.0%</w:t>
            </w:r>
          </w:p>
        </w:tc>
      </w:tr>
      <w:tr w:rsidR="003B62B1" w:rsidRPr="00100F0A" w14:paraId="528FB993" w14:textId="77777777" w:rsidTr="003B62B1">
        <w:tc>
          <w:tcPr>
            <w:tcW w:w="587" w:type="dxa"/>
            <w:tcBorders>
              <w:top w:val="dotted" w:sz="4" w:space="0" w:color="B7B7E2"/>
              <w:left w:val="single" w:sz="8" w:space="0" w:color="B7B7E2"/>
              <w:bottom w:val="single" w:sz="4" w:space="0" w:color="B7B7E2"/>
              <w:right w:val="single" w:sz="8" w:space="0" w:color="B7B7E2"/>
            </w:tcBorders>
            <w:tcMar>
              <w:top w:w="0" w:type="dxa"/>
              <w:left w:w="108" w:type="dxa"/>
              <w:bottom w:w="0" w:type="dxa"/>
              <w:right w:w="108" w:type="dxa"/>
            </w:tcMar>
            <w:hideMark/>
          </w:tcPr>
          <w:p w14:paraId="750E90C7" w14:textId="77777777" w:rsidR="003B62B1" w:rsidRPr="00100F0A" w:rsidRDefault="003B62B1" w:rsidP="003B62B1">
            <w:pPr>
              <w:spacing w:after="60"/>
              <w:rPr>
                <w:rFonts w:eastAsia="Times New Roman" w:cs="Times New Roman"/>
                <w:sz w:val="20"/>
              </w:rPr>
            </w:pPr>
            <w:r w:rsidRPr="00100F0A">
              <w:rPr>
                <w:sz w:val="20"/>
              </w:rPr>
              <w:t>Low</w:t>
            </w:r>
          </w:p>
        </w:tc>
        <w:tc>
          <w:tcPr>
            <w:tcW w:w="1102" w:type="dxa"/>
            <w:vMerge/>
            <w:tcBorders>
              <w:left w:val="nil"/>
              <w:bottom w:val="single" w:sz="8" w:space="0" w:color="B7B7E2"/>
              <w:right w:val="single" w:sz="4" w:space="0" w:color="B7B7E2"/>
            </w:tcBorders>
            <w:tcMar>
              <w:top w:w="0" w:type="dxa"/>
              <w:left w:w="108" w:type="dxa"/>
              <w:bottom w:w="0" w:type="dxa"/>
              <w:right w:w="108" w:type="dxa"/>
            </w:tcMar>
          </w:tcPr>
          <w:p w14:paraId="4AD5080C" w14:textId="77777777" w:rsidR="003B62B1" w:rsidRPr="00100F0A" w:rsidRDefault="003B62B1" w:rsidP="003B62B1">
            <w:pPr>
              <w:spacing w:after="60"/>
              <w:rPr>
                <w:sz w:val="20"/>
              </w:rPr>
            </w:pPr>
          </w:p>
        </w:tc>
        <w:tc>
          <w:tcPr>
            <w:tcW w:w="4348" w:type="dxa"/>
            <w:tcBorders>
              <w:top w:val="dotted" w:sz="4" w:space="0" w:color="B7B7E2"/>
              <w:left w:val="single" w:sz="4" w:space="0" w:color="B7B7E2"/>
              <w:bottom w:val="single" w:sz="8" w:space="0" w:color="B7B7E2"/>
              <w:right w:val="single" w:sz="4" w:space="0" w:color="B7B7E2"/>
            </w:tcBorders>
            <w:tcMar>
              <w:top w:w="0" w:type="dxa"/>
              <w:left w:w="108" w:type="dxa"/>
              <w:bottom w:w="0" w:type="dxa"/>
              <w:right w:w="108" w:type="dxa"/>
            </w:tcMar>
          </w:tcPr>
          <w:p w14:paraId="69A2819C" w14:textId="4C850B6D" w:rsidR="003B62B1" w:rsidRPr="00100F0A" w:rsidRDefault="003B62B1" w:rsidP="006872A9">
            <w:pPr>
              <w:jc w:val="center"/>
              <w:rPr>
                <w:rFonts w:eastAsia="Times New Roman" w:cs="Times New Roman"/>
                <w:sz w:val="20"/>
                <w:szCs w:val="20"/>
              </w:rPr>
            </w:pPr>
            <w:r w:rsidRPr="00100F0A">
              <w:rPr>
                <w:rFonts w:cs="Calibri"/>
                <w:color w:val="000000"/>
                <w:sz w:val="20"/>
                <w:szCs w:val="20"/>
              </w:rPr>
              <w:t>Nyrstar Hobart Zn production trend (Nyrstar 2017)</w:t>
            </w:r>
          </w:p>
        </w:tc>
        <w:tc>
          <w:tcPr>
            <w:tcW w:w="773" w:type="dxa"/>
            <w:tcBorders>
              <w:top w:val="dotted" w:sz="4" w:space="0" w:color="B7B7E2"/>
              <w:left w:val="single" w:sz="4" w:space="0" w:color="B7B7E2"/>
              <w:bottom w:val="single" w:sz="4" w:space="0" w:color="B7B7E2"/>
              <w:right w:val="single" w:sz="8" w:space="0" w:color="B7B7E2"/>
            </w:tcBorders>
            <w:tcMar>
              <w:top w:w="0" w:type="dxa"/>
              <w:left w:w="108" w:type="dxa"/>
              <w:bottom w:w="0" w:type="dxa"/>
              <w:right w:w="108" w:type="dxa"/>
            </w:tcMar>
            <w:hideMark/>
          </w:tcPr>
          <w:p w14:paraId="1A5321EE" w14:textId="017A573E" w:rsidR="003B62B1" w:rsidRPr="003C162F" w:rsidRDefault="003B62B1" w:rsidP="006872A9">
            <w:pPr>
              <w:spacing w:after="60"/>
              <w:jc w:val="center"/>
              <w:rPr>
                <w:rFonts w:eastAsia="Times New Roman" w:cs="Times New Roman"/>
                <w:sz w:val="20"/>
                <w:szCs w:val="20"/>
              </w:rPr>
            </w:pPr>
            <w:r w:rsidRPr="00B30B8D">
              <w:rPr>
                <w:rFonts w:cs="Calibri"/>
                <w:bCs/>
                <w:sz w:val="20"/>
                <w:szCs w:val="20"/>
              </w:rPr>
              <w:t>-2.2%</w:t>
            </w:r>
          </w:p>
        </w:tc>
        <w:tc>
          <w:tcPr>
            <w:tcW w:w="422" w:type="dxa"/>
            <w:tcBorders>
              <w:top w:val="dotted" w:sz="4" w:space="0" w:color="B7B7E2"/>
              <w:left w:val="nil"/>
              <w:bottom w:val="single" w:sz="4" w:space="0" w:color="B7B7E2"/>
              <w:right w:val="single" w:sz="8" w:space="0" w:color="B7B7E2"/>
            </w:tcBorders>
          </w:tcPr>
          <w:p w14:paraId="02495C4A" w14:textId="77777777" w:rsidR="003B62B1" w:rsidRPr="004C0905" w:rsidRDefault="003B62B1" w:rsidP="00B30B8D">
            <w:pPr>
              <w:spacing w:after="60"/>
              <w:jc w:val="center"/>
              <w:rPr>
                <w:rFonts w:eastAsia="Times New Roman" w:cs="Times New Roman"/>
                <w:sz w:val="20"/>
                <w:szCs w:val="20"/>
              </w:rPr>
            </w:pPr>
            <w:r w:rsidRPr="004C0905">
              <w:rPr>
                <w:sz w:val="20"/>
                <w:szCs w:val="20"/>
              </w:rPr>
              <w:t>...</w:t>
            </w:r>
          </w:p>
        </w:tc>
        <w:tc>
          <w:tcPr>
            <w:tcW w:w="704" w:type="dxa"/>
            <w:tcBorders>
              <w:top w:val="dotted" w:sz="4" w:space="0" w:color="B7B7E2"/>
              <w:left w:val="nil"/>
              <w:bottom w:val="single" w:sz="4" w:space="0" w:color="B7B7E2"/>
              <w:right w:val="single" w:sz="8" w:space="0" w:color="B7B7E2"/>
            </w:tcBorders>
          </w:tcPr>
          <w:p w14:paraId="53663888" w14:textId="5CA419F5" w:rsidR="003B62B1" w:rsidRPr="004C0905" w:rsidRDefault="003B62B1" w:rsidP="006872A9">
            <w:pPr>
              <w:spacing w:after="60"/>
              <w:jc w:val="center"/>
              <w:rPr>
                <w:rFonts w:cs="Calibri"/>
                <w:bCs/>
                <w:color w:val="000000" w:themeColor="text1"/>
                <w:sz w:val="20"/>
                <w:szCs w:val="20"/>
              </w:rPr>
            </w:pPr>
            <w:r w:rsidRPr="004C0905">
              <w:rPr>
                <w:rFonts w:cs="Calibri"/>
                <w:color w:val="000000" w:themeColor="text1"/>
                <w:sz w:val="20"/>
                <w:szCs w:val="20"/>
              </w:rPr>
              <w:t>-2.2%</w:t>
            </w:r>
          </w:p>
        </w:tc>
        <w:tc>
          <w:tcPr>
            <w:tcW w:w="422" w:type="dxa"/>
            <w:tcBorders>
              <w:top w:val="dotted" w:sz="4" w:space="0" w:color="B7B7E2"/>
              <w:left w:val="nil"/>
              <w:bottom w:val="single" w:sz="4" w:space="0" w:color="B7B7E2"/>
              <w:right w:val="single" w:sz="8" w:space="0" w:color="B7B7E2"/>
            </w:tcBorders>
          </w:tcPr>
          <w:p w14:paraId="13939559" w14:textId="77777777" w:rsidR="003B62B1" w:rsidRPr="004C0905" w:rsidRDefault="003B62B1" w:rsidP="00B30B8D">
            <w:pPr>
              <w:spacing w:after="60"/>
              <w:jc w:val="center"/>
              <w:rPr>
                <w:rFonts w:cs="Calibri"/>
                <w:bCs/>
                <w:color w:val="000000" w:themeColor="text1"/>
                <w:sz w:val="20"/>
                <w:szCs w:val="20"/>
              </w:rPr>
            </w:pPr>
            <w:r w:rsidRPr="004C0905">
              <w:rPr>
                <w:sz w:val="20"/>
                <w:szCs w:val="20"/>
              </w:rPr>
              <w:t>...</w:t>
            </w:r>
          </w:p>
        </w:tc>
        <w:tc>
          <w:tcPr>
            <w:tcW w:w="704" w:type="dxa"/>
            <w:tcBorders>
              <w:top w:val="dotted" w:sz="4" w:space="0" w:color="B7B7E2"/>
              <w:left w:val="nil"/>
              <w:bottom w:val="single" w:sz="4" w:space="0" w:color="B7B7E2"/>
              <w:right w:val="single" w:sz="8" w:space="0" w:color="B7B7E2"/>
            </w:tcBorders>
          </w:tcPr>
          <w:p w14:paraId="1FD53CF1" w14:textId="23E4833C" w:rsidR="003B62B1" w:rsidRPr="004C0905" w:rsidRDefault="003B62B1" w:rsidP="006872A9">
            <w:pPr>
              <w:spacing w:after="60"/>
              <w:jc w:val="center"/>
              <w:rPr>
                <w:rFonts w:cs="Calibri"/>
                <w:bCs/>
                <w:color w:val="000000" w:themeColor="text1"/>
                <w:sz w:val="20"/>
                <w:szCs w:val="20"/>
              </w:rPr>
            </w:pPr>
            <w:r w:rsidRPr="004C0905">
              <w:rPr>
                <w:rFonts w:cs="Calibri"/>
                <w:color w:val="000000" w:themeColor="text1"/>
                <w:sz w:val="20"/>
                <w:szCs w:val="20"/>
              </w:rPr>
              <w:t>-2.2%</w:t>
            </w:r>
          </w:p>
        </w:tc>
      </w:tr>
      <w:tr w:rsidR="003B62B1" w:rsidRPr="00100F0A" w14:paraId="5D8B4A8E" w14:textId="77777777" w:rsidTr="003B62B1">
        <w:tc>
          <w:tcPr>
            <w:tcW w:w="587" w:type="dxa"/>
            <w:tcBorders>
              <w:top w:val="dotted" w:sz="4" w:space="0" w:color="B7B7E2"/>
              <w:left w:val="single" w:sz="8" w:space="0" w:color="B7B7E2"/>
              <w:bottom w:val="dotted" w:sz="4" w:space="0" w:color="B7B7E2"/>
              <w:right w:val="single" w:sz="8" w:space="0" w:color="B7B7E2"/>
            </w:tcBorders>
            <w:tcMar>
              <w:top w:w="0" w:type="dxa"/>
              <w:left w:w="108" w:type="dxa"/>
              <w:bottom w:w="0" w:type="dxa"/>
              <w:right w:w="108" w:type="dxa"/>
            </w:tcMar>
          </w:tcPr>
          <w:p w14:paraId="358FB93D" w14:textId="3740395B" w:rsidR="003B62B1" w:rsidRPr="00100F0A" w:rsidRDefault="003B62B1" w:rsidP="003B62B1">
            <w:pPr>
              <w:spacing w:after="60"/>
              <w:rPr>
                <w:sz w:val="20"/>
              </w:rPr>
            </w:pPr>
            <w:r w:rsidRPr="00100F0A">
              <w:rPr>
                <w:sz w:val="20"/>
              </w:rPr>
              <w:t>Best</w:t>
            </w:r>
          </w:p>
        </w:tc>
        <w:tc>
          <w:tcPr>
            <w:tcW w:w="1102" w:type="dxa"/>
            <w:vMerge w:val="restart"/>
            <w:tcBorders>
              <w:left w:val="nil"/>
              <w:bottom w:val="dotted" w:sz="4" w:space="0" w:color="B7B7E2"/>
              <w:right w:val="single" w:sz="4" w:space="0" w:color="B7B7E2"/>
            </w:tcBorders>
            <w:tcMar>
              <w:top w:w="0" w:type="dxa"/>
              <w:left w:w="108" w:type="dxa"/>
              <w:bottom w:w="0" w:type="dxa"/>
              <w:right w:w="108" w:type="dxa"/>
            </w:tcMar>
          </w:tcPr>
          <w:p w14:paraId="65C2243C" w14:textId="2D086E08" w:rsidR="003B62B1" w:rsidRPr="00100F0A" w:rsidRDefault="003B62B1" w:rsidP="003B62B1">
            <w:pPr>
              <w:spacing w:after="60"/>
              <w:rPr>
                <w:sz w:val="20"/>
              </w:rPr>
            </w:pPr>
            <w:r w:rsidRPr="00100F0A">
              <w:rPr>
                <w:sz w:val="20"/>
              </w:rPr>
              <w:t>ACT, NSW, NT, Qld, SA, Vic, WA</w:t>
            </w:r>
          </w:p>
        </w:tc>
        <w:tc>
          <w:tcPr>
            <w:tcW w:w="4348"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tcPr>
          <w:p w14:paraId="63F51226" w14:textId="5AD7E6F3" w:rsidR="003B62B1" w:rsidRPr="00100F0A" w:rsidRDefault="00C34F48" w:rsidP="006872A9">
            <w:pPr>
              <w:jc w:val="center"/>
              <w:rPr>
                <w:rFonts w:cs="Calibri"/>
                <w:color w:val="000000"/>
                <w:sz w:val="20"/>
                <w:szCs w:val="20"/>
              </w:rPr>
            </w:pPr>
            <w:r>
              <w:rPr>
                <w:rFonts w:cs="Calibri"/>
                <w:color w:val="000000"/>
                <w:sz w:val="20"/>
                <w:szCs w:val="20"/>
              </w:rPr>
              <w:t>20-year average</w:t>
            </w:r>
            <w:r w:rsidR="003B62B1" w:rsidRPr="00100F0A">
              <w:rPr>
                <w:rFonts w:cs="Calibri"/>
                <w:color w:val="000000"/>
                <w:sz w:val="20"/>
                <w:szCs w:val="20"/>
              </w:rPr>
              <w:t xml:space="preserve"> annual population growth</w:t>
            </w:r>
          </w:p>
        </w:tc>
        <w:tc>
          <w:tcPr>
            <w:tcW w:w="773" w:type="dxa"/>
            <w:tcBorders>
              <w:top w:val="dotted" w:sz="4" w:space="0" w:color="B7B7E2"/>
              <w:left w:val="single" w:sz="4" w:space="0" w:color="B7B7E2"/>
              <w:bottom w:val="dotted" w:sz="4" w:space="0" w:color="B7B7E2"/>
              <w:right w:val="single" w:sz="8" w:space="0" w:color="B7B7E2"/>
            </w:tcBorders>
            <w:tcMar>
              <w:top w:w="0" w:type="dxa"/>
              <w:left w:w="108" w:type="dxa"/>
              <w:bottom w:w="0" w:type="dxa"/>
              <w:right w:w="108" w:type="dxa"/>
            </w:tcMar>
          </w:tcPr>
          <w:p w14:paraId="4BC61B6A" w14:textId="4D7191CE" w:rsidR="003B62B1" w:rsidRPr="003C162F" w:rsidRDefault="003B62B1" w:rsidP="006872A9">
            <w:pPr>
              <w:spacing w:after="60"/>
              <w:jc w:val="center"/>
              <w:rPr>
                <w:rFonts w:cs="Calibri"/>
                <w:bCs/>
                <w:sz w:val="20"/>
                <w:szCs w:val="20"/>
              </w:rPr>
            </w:pPr>
            <w:r w:rsidRPr="00B30B8D">
              <w:rPr>
                <w:rFonts w:cs="Calibri"/>
                <w:bCs/>
                <w:sz w:val="20"/>
                <w:szCs w:val="20"/>
              </w:rPr>
              <w:t>1.4%</w:t>
            </w:r>
          </w:p>
        </w:tc>
        <w:tc>
          <w:tcPr>
            <w:tcW w:w="422" w:type="dxa"/>
            <w:tcBorders>
              <w:top w:val="dotted" w:sz="4" w:space="0" w:color="B7B7E2"/>
              <w:left w:val="nil"/>
              <w:bottom w:val="dotted" w:sz="4" w:space="0" w:color="B7B7E2"/>
              <w:right w:val="single" w:sz="8" w:space="0" w:color="B7B7E2"/>
            </w:tcBorders>
          </w:tcPr>
          <w:p w14:paraId="0A1682A9" w14:textId="263BCB35" w:rsidR="003B62B1" w:rsidRPr="004C0905" w:rsidRDefault="003B62B1" w:rsidP="00B30B8D">
            <w:pPr>
              <w:spacing w:after="60"/>
              <w:jc w:val="center"/>
              <w:rPr>
                <w:sz w:val="20"/>
                <w:szCs w:val="20"/>
              </w:rPr>
            </w:pPr>
            <w:r w:rsidRPr="004C0905">
              <w:rPr>
                <w:sz w:val="20"/>
                <w:szCs w:val="20"/>
              </w:rPr>
              <w:t>...</w:t>
            </w:r>
          </w:p>
        </w:tc>
        <w:tc>
          <w:tcPr>
            <w:tcW w:w="704" w:type="dxa"/>
            <w:tcBorders>
              <w:top w:val="dotted" w:sz="4" w:space="0" w:color="B7B7E2"/>
              <w:left w:val="nil"/>
              <w:bottom w:val="dotted" w:sz="4" w:space="0" w:color="B7B7E2"/>
              <w:right w:val="single" w:sz="8" w:space="0" w:color="B7B7E2"/>
            </w:tcBorders>
          </w:tcPr>
          <w:p w14:paraId="1C9F3602" w14:textId="1E84C577" w:rsidR="003B62B1" w:rsidRPr="004C0905" w:rsidRDefault="003B62B1" w:rsidP="006872A9">
            <w:pPr>
              <w:spacing w:after="60"/>
              <w:jc w:val="center"/>
              <w:rPr>
                <w:rFonts w:cs="Calibri"/>
                <w:color w:val="000000" w:themeColor="text1"/>
                <w:sz w:val="20"/>
                <w:szCs w:val="20"/>
              </w:rPr>
            </w:pPr>
            <w:r w:rsidRPr="004C0905">
              <w:rPr>
                <w:rFonts w:cs="Calibri"/>
                <w:color w:val="000000" w:themeColor="text1"/>
                <w:sz w:val="20"/>
                <w:szCs w:val="20"/>
              </w:rPr>
              <w:t>1.4%</w:t>
            </w:r>
          </w:p>
        </w:tc>
        <w:tc>
          <w:tcPr>
            <w:tcW w:w="422" w:type="dxa"/>
            <w:tcBorders>
              <w:top w:val="dotted" w:sz="4" w:space="0" w:color="B7B7E2"/>
              <w:left w:val="nil"/>
              <w:bottom w:val="dotted" w:sz="4" w:space="0" w:color="B7B7E2"/>
              <w:right w:val="single" w:sz="8" w:space="0" w:color="B7B7E2"/>
            </w:tcBorders>
          </w:tcPr>
          <w:p w14:paraId="22E7AF70" w14:textId="65A154C7" w:rsidR="003B62B1" w:rsidRPr="004C0905" w:rsidRDefault="003B62B1" w:rsidP="00B30B8D">
            <w:pPr>
              <w:spacing w:after="60"/>
              <w:jc w:val="center"/>
              <w:rPr>
                <w:sz w:val="20"/>
                <w:szCs w:val="20"/>
              </w:rPr>
            </w:pPr>
            <w:r w:rsidRPr="004C0905">
              <w:rPr>
                <w:sz w:val="20"/>
                <w:szCs w:val="20"/>
              </w:rPr>
              <w:t>...</w:t>
            </w:r>
          </w:p>
        </w:tc>
        <w:tc>
          <w:tcPr>
            <w:tcW w:w="704" w:type="dxa"/>
            <w:tcBorders>
              <w:top w:val="dotted" w:sz="4" w:space="0" w:color="B7B7E2"/>
              <w:left w:val="nil"/>
              <w:bottom w:val="dotted" w:sz="4" w:space="0" w:color="B7B7E2"/>
              <w:right w:val="single" w:sz="8" w:space="0" w:color="B7B7E2"/>
            </w:tcBorders>
          </w:tcPr>
          <w:p w14:paraId="2D4224D2" w14:textId="108B5B9B" w:rsidR="003B62B1" w:rsidRPr="004C0905" w:rsidRDefault="003B62B1" w:rsidP="006872A9">
            <w:pPr>
              <w:spacing w:after="60"/>
              <w:jc w:val="center"/>
              <w:rPr>
                <w:rFonts w:cs="Calibri"/>
                <w:color w:val="000000" w:themeColor="text1"/>
                <w:sz w:val="20"/>
                <w:szCs w:val="20"/>
              </w:rPr>
            </w:pPr>
            <w:r w:rsidRPr="004C0905">
              <w:rPr>
                <w:rFonts w:cs="Calibri"/>
                <w:color w:val="000000" w:themeColor="text1"/>
                <w:sz w:val="20"/>
                <w:szCs w:val="20"/>
              </w:rPr>
              <w:t>1.4%</w:t>
            </w:r>
          </w:p>
        </w:tc>
      </w:tr>
      <w:tr w:rsidR="003B62B1" w:rsidRPr="00100F0A" w14:paraId="6FA63C0F" w14:textId="77777777" w:rsidTr="003B62B1">
        <w:tc>
          <w:tcPr>
            <w:tcW w:w="587" w:type="dxa"/>
            <w:tcBorders>
              <w:top w:val="dotted" w:sz="4" w:space="0" w:color="B7B7E2"/>
              <w:left w:val="single" w:sz="8" w:space="0" w:color="B7B7E2"/>
              <w:bottom w:val="dotted" w:sz="4" w:space="0" w:color="B7B7E2"/>
              <w:right w:val="single" w:sz="8" w:space="0" w:color="B7B7E2"/>
            </w:tcBorders>
            <w:tcMar>
              <w:top w:w="0" w:type="dxa"/>
              <w:left w:w="108" w:type="dxa"/>
              <w:bottom w:w="0" w:type="dxa"/>
              <w:right w:w="108" w:type="dxa"/>
            </w:tcMar>
          </w:tcPr>
          <w:p w14:paraId="43B80141" w14:textId="35E520E4" w:rsidR="003B62B1" w:rsidRPr="00100F0A" w:rsidRDefault="003B62B1" w:rsidP="003B62B1">
            <w:pPr>
              <w:spacing w:after="60"/>
              <w:rPr>
                <w:sz w:val="20"/>
              </w:rPr>
            </w:pPr>
            <w:r w:rsidRPr="00100F0A">
              <w:rPr>
                <w:sz w:val="20"/>
              </w:rPr>
              <w:t>High</w:t>
            </w:r>
          </w:p>
        </w:tc>
        <w:tc>
          <w:tcPr>
            <w:tcW w:w="1102" w:type="dxa"/>
            <w:vMerge/>
            <w:tcBorders>
              <w:top w:val="dotted" w:sz="4" w:space="0" w:color="B7B7E2"/>
              <w:left w:val="nil"/>
              <w:bottom w:val="dotted" w:sz="4" w:space="0" w:color="B7B7E2"/>
              <w:right w:val="single" w:sz="4" w:space="0" w:color="B7B7E2"/>
            </w:tcBorders>
            <w:tcMar>
              <w:top w:w="0" w:type="dxa"/>
              <w:left w:w="108" w:type="dxa"/>
              <w:bottom w:w="0" w:type="dxa"/>
              <w:right w:w="108" w:type="dxa"/>
            </w:tcMar>
          </w:tcPr>
          <w:p w14:paraId="0514E206" w14:textId="77777777" w:rsidR="003B62B1" w:rsidRPr="00100F0A" w:rsidRDefault="003B62B1" w:rsidP="003B62B1">
            <w:pPr>
              <w:spacing w:after="60"/>
              <w:rPr>
                <w:sz w:val="20"/>
              </w:rPr>
            </w:pPr>
          </w:p>
        </w:tc>
        <w:tc>
          <w:tcPr>
            <w:tcW w:w="4348"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tcPr>
          <w:p w14:paraId="0D2FB7A1" w14:textId="223A8E37" w:rsidR="003B62B1" w:rsidRPr="00100F0A" w:rsidRDefault="00C34F48" w:rsidP="006872A9">
            <w:pPr>
              <w:jc w:val="center"/>
              <w:rPr>
                <w:rFonts w:cs="Calibri"/>
                <w:color w:val="000000"/>
                <w:sz w:val="20"/>
                <w:szCs w:val="20"/>
              </w:rPr>
            </w:pPr>
            <w:r>
              <w:rPr>
                <w:rFonts w:cs="Calibri"/>
                <w:color w:val="000000"/>
                <w:sz w:val="20"/>
                <w:szCs w:val="20"/>
              </w:rPr>
              <w:t>20-year average</w:t>
            </w:r>
            <w:r w:rsidR="003B62B1" w:rsidRPr="00100F0A">
              <w:rPr>
                <w:rFonts w:cs="Calibri"/>
                <w:color w:val="000000"/>
                <w:sz w:val="20"/>
                <w:szCs w:val="20"/>
              </w:rPr>
              <w:t xml:space="preserve"> annual economic growth</w:t>
            </w:r>
          </w:p>
        </w:tc>
        <w:tc>
          <w:tcPr>
            <w:tcW w:w="773" w:type="dxa"/>
            <w:tcBorders>
              <w:top w:val="dotted" w:sz="4" w:space="0" w:color="B7B7E2"/>
              <w:left w:val="single" w:sz="4" w:space="0" w:color="B7B7E2"/>
              <w:bottom w:val="dotted" w:sz="4" w:space="0" w:color="B7B7E2"/>
              <w:right w:val="single" w:sz="8" w:space="0" w:color="B7B7E2"/>
            </w:tcBorders>
            <w:tcMar>
              <w:top w:w="0" w:type="dxa"/>
              <w:left w:w="108" w:type="dxa"/>
              <w:bottom w:w="0" w:type="dxa"/>
              <w:right w:w="108" w:type="dxa"/>
            </w:tcMar>
          </w:tcPr>
          <w:p w14:paraId="7AA45ED8" w14:textId="18F37317" w:rsidR="003B62B1" w:rsidRPr="003C162F" w:rsidRDefault="003B62B1" w:rsidP="006872A9">
            <w:pPr>
              <w:spacing w:after="60"/>
              <w:jc w:val="center"/>
              <w:rPr>
                <w:rFonts w:cs="Calibri"/>
                <w:bCs/>
                <w:sz w:val="20"/>
                <w:szCs w:val="20"/>
              </w:rPr>
            </w:pPr>
            <w:r w:rsidRPr="00B30B8D">
              <w:rPr>
                <w:rFonts w:cs="Calibri"/>
                <w:bCs/>
                <w:sz w:val="20"/>
                <w:szCs w:val="20"/>
              </w:rPr>
              <w:t>2.8%</w:t>
            </w:r>
          </w:p>
        </w:tc>
        <w:tc>
          <w:tcPr>
            <w:tcW w:w="422" w:type="dxa"/>
            <w:tcBorders>
              <w:top w:val="dotted" w:sz="4" w:space="0" w:color="B7B7E2"/>
              <w:left w:val="nil"/>
              <w:bottom w:val="dotted" w:sz="4" w:space="0" w:color="B7B7E2"/>
              <w:right w:val="single" w:sz="8" w:space="0" w:color="B7B7E2"/>
            </w:tcBorders>
          </w:tcPr>
          <w:p w14:paraId="0ED78FFD" w14:textId="5EEF8273" w:rsidR="003B62B1" w:rsidRPr="004C0905" w:rsidRDefault="003B62B1" w:rsidP="00B30B8D">
            <w:pPr>
              <w:spacing w:after="60"/>
              <w:jc w:val="center"/>
              <w:rPr>
                <w:sz w:val="20"/>
                <w:szCs w:val="20"/>
              </w:rPr>
            </w:pPr>
            <w:r w:rsidRPr="004C0905">
              <w:rPr>
                <w:sz w:val="20"/>
                <w:szCs w:val="20"/>
              </w:rPr>
              <w:t>...</w:t>
            </w:r>
          </w:p>
        </w:tc>
        <w:tc>
          <w:tcPr>
            <w:tcW w:w="704" w:type="dxa"/>
            <w:tcBorders>
              <w:top w:val="dotted" w:sz="4" w:space="0" w:color="B7B7E2"/>
              <w:left w:val="nil"/>
              <w:bottom w:val="dotted" w:sz="4" w:space="0" w:color="B7B7E2"/>
              <w:right w:val="single" w:sz="8" w:space="0" w:color="B7B7E2"/>
            </w:tcBorders>
          </w:tcPr>
          <w:p w14:paraId="7EBB98C6" w14:textId="66982A90" w:rsidR="003B62B1" w:rsidRPr="004C0905" w:rsidRDefault="003B62B1" w:rsidP="006872A9">
            <w:pPr>
              <w:spacing w:after="60"/>
              <w:jc w:val="center"/>
              <w:rPr>
                <w:rFonts w:cs="Calibri"/>
                <w:color w:val="000000" w:themeColor="text1"/>
                <w:sz w:val="20"/>
                <w:szCs w:val="20"/>
              </w:rPr>
            </w:pPr>
            <w:r w:rsidRPr="004C0905">
              <w:rPr>
                <w:rFonts w:cs="Calibri"/>
                <w:color w:val="000000" w:themeColor="text1"/>
                <w:sz w:val="20"/>
                <w:szCs w:val="20"/>
              </w:rPr>
              <w:t>2.8%</w:t>
            </w:r>
          </w:p>
        </w:tc>
        <w:tc>
          <w:tcPr>
            <w:tcW w:w="422" w:type="dxa"/>
            <w:tcBorders>
              <w:top w:val="dotted" w:sz="4" w:space="0" w:color="B7B7E2"/>
              <w:left w:val="nil"/>
              <w:bottom w:val="dotted" w:sz="4" w:space="0" w:color="B7B7E2"/>
              <w:right w:val="single" w:sz="8" w:space="0" w:color="B7B7E2"/>
            </w:tcBorders>
          </w:tcPr>
          <w:p w14:paraId="7DE0E926" w14:textId="793E4CFA" w:rsidR="003B62B1" w:rsidRPr="004C0905" w:rsidRDefault="003B62B1" w:rsidP="00B30B8D">
            <w:pPr>
              <w:spacing w:after="60"/>
              <w:jc w:val="center"/>
              <w:rPr>
                <w:sz w:val="20"/>
                <w:szCs w:val="20"/>
              </w:rPr>
            </w:pPr>
            <w:r w:rsidRPr="004C0905">
              <w:rPr>
                <w:sz w:val="20"/>
                <w:szCs w:val="20"/>
              </w:rPr>
              <w:t>...</w:t>
            </w:r>
          </w:p>
        </w:tc>
        <w:tc>
          <w:tcPr>
            <w:tcW w:w="704" w:type="dxa"/>
            <w:tcBorders>
              <w:top w:val="dotted" w:sz="4" w:space="0" w:color="B7B7E2"/>
              <w:left w:val="nil"/>
              <w:bottom w:val="dotted" w:sz="4" w:space="0" w:color="B7B7E2"/>
              <w:right w:val="single" w:sz="8" w:space="0" w:color="B7B7E2"/>
            </w:tcBorders>
          </w:tcPr>
          <w:p w14:paraId="385D5582" w14:textId="4D4615BC" w:rsidR="003B62B1" w:rsidRPr="004C0905" w:rsidRDefault="003B62B1" w:rsidP="006872A9">
            <w:pPr>
              <w:spacing w:after="60"/>
              <w:jc w:val="center"/>
              <w:rPr>
                <w:rFonts w:cs="Calibri"/>
                <w:color w:val="000000" w:themeColor="text1"/>
                <w:sz w:val="20"/>
                <w:szCs w:val="20"/>
              </w:rPr>
            </w:pPr>
            <w:r w:rsidRPr="004C0905">
              <w:rPr>
                <w:rFonts w:cs="Calibri"/>
                <w:color w:val="000000" w:themeColor="text1"/>
                <w:sz w:val="20"/>
                <w:szCs w:val="20"/>
              </w:rPr>
              <w:t>2.8%</w:t>
            </w:r>
          </w:p>
        </w:tc>
      </w:tr>
      <w:tr w:rsidR="003B62B1" w:rsidRPr="00100F0A" w14:paraId="5762DF11" w14:textId="77777777" w:rsidTr="003B62B1">
        <w:tc>
          <w:tcPr>
            <w:tcW w:w="587" w:type="dxa"/>
            <w:tcBorders>
              <w:top w:val="dotted" w:sz="4" w:space="0" w:color="B7B7E2"/>
              <w:left w:val="single" w:sz="8" w:space="0" w:color="B7B7E2"/>
              <w:bottom w:val="single" w:sz="4" w:space="0" w:color="B7B7E2"/>
              <w:right w:val="single" w:sz="8" w:space="0" w:color="B7B7E2"/>
            </w:tcBorders>
            <w:tcMar>
              <w:top w:w="0" w:type="dxa"/>
              <w:left w:w="108" w:type="dxa"/>
              <w:bottom w:w="0" w:type="dxa"/>
              <w:right w:w="108" w:type="dxa"/>
            </w:tcMar>
          </w:tcPr>
          <w:p w14:paraId="575AF180" w14:textId="322B9396" w:rsidR="003B62B1" w:rsidRPr="00100F0A" w:rsidRDefault="003B62B1" w:rsidP="003B62B1">
            <w:pPr>
              <w:spacing w:after="60"/>
              <w:rPr>
                <w:sz w:val="20"/>
              </w:rPr>
            </w:pPr>
            <w:r w:rsidRPr="00100F0A">
              <w:rPr>
                <w:sz w:val="20"/>
              </w:rPr>
              <w:t>Low</w:t>
            </w:r>
          </w:p>
        </w:tc>
        <w:tc>
          <w:tcPr>
            <w:tcW w:w="1102" w:type="dxa"/>
            <w:vMerge/>
            <w:tcBorders>
              <w:top w:val="dotted" w:sz="4" w:space="0" w:color="B7B7E2"/>
              <w:left w:val="nil"/>
              <w:bottom w:val="single" w:sz="8" w:space="0" w:color="B7B7E2"/>
              <w:right w:val="single" w:sz="4" w:space="0" w:color="B7B7E2"/>
            </w:tcBorders>
            <w:tcMar>
              <w:top w:w="0" w:type="dxa"/>
              <w:left w:w="108" w:type="dxa"/>
              <w:bottom w:w="0" w:type="dxa"/>
              <w:right w:w="108" w:type="dxa"/>
            </w:tcMar>
          </w:tcPr>
          <w:p w14:paraId="56EFA4A0" w14:textId="77777777" w:rsidR="003B62B1" w:rsidRPr="00100F0A" w:rsidRDefault="003B62B1" w:rsidP="003B62B1">
            <w:pPr>
              <w:spacing w:after="60"/>
              <w:rPr>
                <w:sz w:val="20"/>
              </w:rPr>
            </w:pPr>
          </w:p>
        </w:tc>
        <w:tc>
          <w:tcPr>
            <w:tcW w:w="4348" w:type="dxa"/>
            <w:tcBorders>
              <w:top w:val="dotted" w:sz="4" w:space="0" w:color="B7B7E2"/>
              <w:left w:val="single" w:sz="4" w:space="0" w:color="B7B7E2"/>
              <w:bottom w:val="single" w:sz="8" w:space="0" w:color="B7B7E2"/>
              <w:right w:val="single" w:sz="4" w:space="0" w:color="B7B7E2"/>
            </w:tcBorders>
            <w:tcMar>
              <w:top w:w="0" w:type="dxa"/>
              <w:left w:w="108" w:type="dxa"/>
              <w:bottom w:w="0" w:type="dxa"/>
              <w:right w:w="108" w:type="dxa"/>
            </w:tcMar>
          </w:tcPr>
          <w:p w14:paraId="428B61E5" w14:textId="43B196D0" w:rsidR="003B62B1" w:rsidRPr="00100F0A" w:rsidRDefault="003B62B1" w:rsidP="006872A9">
            <w:pPr>
              <w:jc w:val="center"/>
              <w:rPr>
                <w:rFonts w:cs="Calibri"/>
                <w:color w:val="000000"/>
                <w:sz w:val="20"/>
                <w:szCs w:val="20"/>
              </w:rPr>
            </w:pPr>
            <w:r w:rsidRPr="00100F0A">
              <w:rPr>
                <w:rFonts w:cs="Calibri"/>
                <w:color w:val="000000"/>
                <w:sz w:val="20"/>
                <w:szCs w:val="20"/>
              </w:rPr>
              <w:t>Flat trend 10</w:t>
            </w:r>
            <w:r w:rsidR="001B454B">
              <w:rPr>
                <w:rFonts w:cs="Calibri"/>
                <w:color w:val="000000"/>
                <w:sz w:val="20"/>
                <w:szCs w:val="20"/>
              </w:rPr>
              <w:t xml:space="preserve"> </w:t>
            </w:r>
            <w:r w:rsidRPr="00100F0A">
              <w:rPr>
                <w:rFonts w:cs="Calibri"/>
                <w:color w:val="000000"/>
                <w:sz w:val="20"/>
                <w:szCs w:val="20"/>
              </w:rPr>
              <w:t>yrs, decline 10 yrs due to replacement of battery technology</w:t>
            </w:r>
          </w:p>
        </w:tc>
        <w:tc>
          <w:tcPr>
            <w:tcW w:w="773" w:type="dxa"/>
            <w:tcBorders>
              <w:top w:val="dotted" w:sz="4" w:space="0" w:color="B7B7E2"/>
              <w:left w:val="single" w:sz="4" w:space="0" w:color="B7B7E2"/>
              <w:bottom w:val="single" w:sz="4" w:space="0" w:color="B7B7E2"/>
              <w:right w:val="single" w:sz="8" w:space="0" w:color="B7B7E2"/>
            </w:tcBorders>
            <w:tcMar>
              <w:top w:w="0" w:type="dxa"/>
              <w:left w:w="108" w:type="dxa"/>
              <w:bottom w:w="0" w:type="dxa"/>
              <w:right w:w="108" w:type="dxa"/>
            </w:tcMar>
          </w:tcPr>
          <w:p w14:paraId="78376AE0" w14:textId="4E9303D5" w:rsidR="003B62B1" w:rsidRPr="003C162F" w:rsidRDefault="003B62B1" w:rsidP="006872A9">
            <w:pPr>
              <w:spacing w:after="60"/>
              <w:jc w:val="center"/>
              <w:rPr>
                <w:rFonts w:cs="Calibri"/>
                <w:bCs/>
                <w:sz w:val="20"/>
                <w:szCs w:val="20"/>
              </w:rPr>
            </w:pPr>
            <w:r w:rsidRPr="00B30B8D">
              <w:rPr>
                <w:rFonts w:cs="Calibri"/>
                <w:bCs/>
                <w:sz w:val="20"/>
                <w:szCs w:val="20"/>
              </w:rPr>
              <w:t>0.0%</w:t>
            </w:r>
          </w:p>
        </w:tc>
        <w:tc>
          <w:tcPr>
            <w:tcW w:w="422" w:type="dxa"/>
            <w:tcBorders>
              <w:top w:val="dotted" w:sz="4" w:space="0" w:color="B7B7E2"/>
              <w:left w:val="nil"/>
              <w:bottom w:val="single" w:sz="4" w:space="0" w:color="B7B7E2"/>
              <w:right w:val="single" w:sz="8" w:space="0" w:color="B7B7E2"/>
            </w:tcBorders>
          </w:tcPr>
          <w:p w14:paraId="010C07AB" w14:textId="256C5995" w:rsidR="003B62B1" w:rsidRPr="004C0905" w:rsidRDefault="003B62B1" w:rsidP="00B30B8D">
            <w:pPr>
              <w:spacing w:after="60"/>
              <w:jc w:val="center"/>
              <w:rPr>
                <w:sz w:val="20"/>
                <w:szCs w:val="20"/>
              </w:rPr>
            </w:pPr>
            <w:r w:rsidRPr="004C0905">
              <w:rPr>
                <w:sz w:val="20"/>
                <w:szCs w:val="20"/>
              </w:rPr>
              <w:t>...</w:t>
            </w:r>
          </w:p>
        </w:tc>
        <w:tc>
          <w:tcPr>
            <w:tcW w:w="704" w:type="dxa"/>
            <w:tcBorders>
              <w:top w:val="dotted" w:sz="4" w:space="0" w:color="B7B7E2"/>
              <w:left w:val="nil"/>
              <w:bottom w:val="single" w:sz="4" w:space="0" w:color="B7B7E2"/>
              <w:right w:val="single" w:sz="8" w:space="0" w:color="B7B7E2"/>
            </w:tcBorders>
          </w:tcPr>
          <w:p w14:paraId="458EDB00" w14:textId="76A5C953" w:rsidR="003B62B1" w:rsidRPr="004C0905" w:rsidRDefault="003B62B1" w:rsidP="006872A9">
            <w:pPr>
              <w:spacing w:after="60"/>
              <w:jc w:val="center"/>
              <w:rPr>
                <w:rFonts w:cs="Calibri"/>
                <w:color w:val="000000" w:themeColor="text1"/>
                <w:sz w:val="20"/>
                <w:szCs w:val="20"/>
              </w:rPr>
            </w:pPr>
            <w:r w:rsidRPr="004C0905">
              <w:rPr>
                <w:rFonts w:cs="Calibri"/>
                <w:bCs/>
                <w:color w:val="000000" w:themeColor="text1"/>
                <w:sz w:val="20"/>
                <w:szCs w:val="20"/>
              </w:rPr>
              <w:t>-2.0%</w:t>
            </w:r>
          </w:p>
        </w:tc>
        <w:tc>
          <w:tcPr>
            <w:tcW w:w="422" w:type="dxa"/>
            <w:tcBorders>
              <w:top w:val="dotted" w:sz="4" w:space="0" w:color="B7B7E2"/>
              <w:left w:val="nil"/>
              <w:bottom w:val="single" w:sz="4" w:space="0" w:color="B7B7E2"/>
              <w:right w:val="single" w:sz="8" w:space="0" w:color="B7B7E2"/>
            </w:tcBorders>
          </w:tcPr>
          <w:p w14:paraId="14746B77" w14:textId="661C083B" w:rsidR="003B62B1" w:rsidRPr="004C0905" w:rsidRDefault="003B62B1" w:rsidP="00B30B8D">
            <w:pPr>
              <w:spacing w:after="60"/>
              <w:jc w:val="center"/>
              <w:rPr>
                <w:sz w:val="20"/>
                <w:szCs w:val="20"/>
              </w:rPr>
            </w:pPr>
            <w:r w:rsidRPr="004C0905">
              <w:rPr>
                <w:sz w:val="20"/>
                <w:szCs w:val="20"/>
              </w:rPr>
              <w:t>...</w:t>
            </w:r>
          </w:p>
        </w:tc>
        <w:tc>
          <w:tcPr>
            <w:tcW w:w="704" w:type="dxa"/>
            <w:tcBorders>
              <w:top w:val="dotted" w:sz="4" w:space="0" w:color="B7B7E2"/>
              <w:left w:val="nil"/>
              <w:bottom w:val="single" w:sz="4" w:space="0" w:color="B7B7E2"/>
              <w:right w:val="single" w:sz="8" w:space="0" w:color="B7B7E2"/>
            </w:tcBorders>
          </w:tcPr>
          <w:p w14:paraId="514B78B7" w14:textId="14BCB1A1" w:rsidR="003B62B1" w:rsidRPr="00B30B8D" w:rsidRDefault="003B62B1" w:rsidP="006872A9">
            <w:pPr>
              <w:spacing w:after="60"/>
              <w:jc w:val="center"/>
              <w:rPr>
                <w:rFonts w:cs="Calibri"/>
                <w:color w:val="000000" w:themeColor="text1"/>
                <w:sz w:val="20"/>
                <w:szCs w:val="20"/>
              </w:rPr>
            </w:pPr>
            <w:r w:rsidRPr="006872A9">
              <w:rPr>
                <w:rFonts w:cs="Calibri"/>
                <w:bCs/>
                <w:color w:val="000000" w:themeColor="text1"/>
                <w:sz w:val="20"/>
                <w:szCs w:val="20"/>
              </w:rPr>
              <w:t>-2.0%</w:t>
            </w:r>
          </w:p>
        </w:tc>
      </w:tr>
      <w:tr w:rsidR="004E3BDC" w:rsidRPr="00100F0A" w14:paraId="798799BD" w14:textId="77777777" w:rsidTr="003B62B1">
        <w:trPr>
          <w:trHeight w:val="331"/>
        </w:trPr>
        <w:tc>
          <w:tcPr>
            <w:tcW w:w="7936" w:type="dxa"/>
            <w:gridSpan w:val="6"/>
            <w:tcBorders>
              <w:top w:val="single" w:sz="4" w:space="0" w:color="B7B7E2"/>
              <w:left w:val="single" w:sz="8" w:space="0" w:color="B7B7E2"/>
              <w:bottom w:val="dotted" w:sz="4" w:space="0" w:color="B7B7E2"/>
              <w:right w:val="single" w:sz="8" w:space="0" w:color="B7B7E2"/>
            </w:tcBorders>
            <w:tcMar>
              <w:top w:w="0" w:type="dxa"/>
              <w:left w:w="108" w:type="dxa"/>
              <w:bottom w:w="0" w:type="dxa"/>
              <w:right w:w="108" w:type="dxa"/>
            </w:tcMar>
          </w:tcPr>
          <w:p w14:paraId="6ECF15F0" w14:textId="77777777" w:rsidR="004E3BDC" w:rsidRPr="00100F0A" w:rsidRDefault="004E3BDC" w:rsidP="00B30B8D">
            <w:pPr>
              <w:spacing w:after="60"/>
              <w:rPr>
                <w:sz w:val="20"/>
                <w:szCs w:val="20"/>
              </w:rPr>
            </w:pPr>
            <w:r w:rsidRPr="00100F0A">
              <w:rPr>
                <w:iCs/>
                <w:color w:val="4D4DB8"/>
                <w:sz w:val="20"/>
                <w:szCs w:val="18"/>
              </w:rPr>
              <w:t>On-site storage releases (absolute tonnes pa)</w:t>
            </w:r>
          </w:p>
        </w:tc>
        <w:tc>
          <w:tcPr>
            <w:tcW w:w="422" w:type="dxa"/>
            <w:tcBorders>
              <w:top w:val="single" w:sz="4" w:space="0" w:color="B7B7E2"/>
              <w:left w:val="single" w:sz="8" w:space="0" w:color="B7B7E2"/>
              <w:bottom w:val="dotted" w:sz="4" w:space="0" w:color="B7B7E2"/>
              <w:right w:val="single" w:sz="8" w:space="0" w:color="B7B7E2"/>
            </w:tcBorders>
          </w:tcPr>
          <w:p w14:paraId="19899AB7" w14:textId="77777777" w:rsidR="004E3BDC" w:rsidRPr="00100F0A" w:rsidRDefault="004E3BDC" w:rsidP="006872A9">
            <w:pPr>
              <w:spacing w:after="60"/>
              <w:jc w:val="center"/>
              <w:rPr>
                <w:iCs/>
                <w:color w:val="4D4DB8"/>
                <w:sz w:val="20"/>
                <w:szCs w:val="18"/>
              </w:rPr>
            </w:pPr>
          </w:p>
        </w:tc>
        <w:tc>
          <w:tcPr>
            <w:tcW w:w="704" w:type="dxa"/>
            <w:tcBorders>
              <w:top w:val="single" w:sz="4" w:space="0" w:color="B7B7E2"/>
              <w:left w:val="single" w:sz="8" w:space="0" w:color="B7B7E2"/>
              <w:bottom w:val="dotted" w:sz="4" w:space="0" w:color="B7B7E2"/>
              <w:right w:val="single" w:sz="8" w:space="0" w:color="B7B7E2"/>
            </w:tcBorders>
          </w:tcPr>
          <w:p w14:paraId="4F012224" w14:textId="77777777" w:rsidR="004E3BDC" w:rsidRPr="00100F0A" w:rsidRDefault="004E3BDC" w:rsidP="006872A9">
            <w:pPr>
              <w:spacing w:after="60"/>
              <w:jc w:val="center"/>
              <w:rPr>
                <w:iCs/>
                <w:color w:val="4D4DB8"/>
                <w:sz w:val="20"/>
                <w:szCs w:val="18"/>
              </w:rPr>
            </w:pPr>
          </w:p>
        </w:tc>
      </w:tr>
      <w:tr w:rsidR="003B62B1" w:rsidRPr="00100F0A" w14:paraId="72F9FD92" w14:textId="77777777" w:rsidTr="003B62B1">
        <w:tc>
          <w:tcPr>
            <w:tcW w:w="587" w:type="dxa"/>
            <w:tcBorders>
              <w:top w:val="single" w:sz="4" w:space="0" w:color="B7B7E2"/>
              <w:left w:val="single" w:sz="4" w:space="0" w:color="B7B7E2"/>
              <w:bottom w:val="dotted" w:sz="4" w:space="0" w:color="B7B7E2"/>
              <w:right w:val="single" w:sz="4" w:space="0" w:color="B7B7E2"/>
            </w:tcBorders>
            <w:tcMar>
              <w:top w:w="0" w:type="dxa"/>
              <w:left w:w="108" w:type="dxa"/>
              <w:bottom w:w="0" w:type="dxa"/>
              <w:right w:w="108" w:type="dxa"/>
            </w:tcMar>
            <w:hideMark/>
          </w:tcPr>
          <w:p w14:paraId="6221DF9E" w14:textId="77777777" w:rsidR="003B62B1" w:rsidRPr="00100F0A" w:rsidRDefault="003B62B1" w:rsidP="003B62B1">
            <w:pPr>
              <w:spacing w:after="60"/>
              <w:rPr>
                <w:rFonts w:eastAsia="Times New Roman" w:cs="Times New Roman"/>
                <w:sz w:val="20"/>
              </w:rPr>
            </w:pPr>
            <w:r w:rsidRPr="00100F0A">
              <w:rPr>
                <w:sz w:val="20"/>
              </w:rPr>
              <w:t>Best</w:t>
            </w:r>
          </w:p>
        </w:tc>
        <w:tc>
          <w:tcPr>
            <w:tcW w:w="1102" w:type="dxa"/>
            <w:vMerge w:val="restart"/>
            <w:tcBorders>
              <w:top w:val="single" w:sz="8" w:space="0" w:color="B7B7E2"/>
              <w:left w:val="single" w:sz="4" w:space="0" w:color="B7B7E2"/>
              <w:right w:val="single" w:sz="8" w:space="0" w:color="B7B7E2"/>
            </w:tcBorders>
            <w:tcMar>
              <w:top w:w="0" w:type="dxa"/>
              <w:left w:w="108" w:type="dxa"/>
              <w:bottom w:w="0" w:type="dxa"/>
              <w:right w:w="108" w:type="dxa"/>
            </w:tcMar>
            <w:vAlign w:val="center"/>
          </w:tcPr>
          <w:p w14:paraId="488CA942" w14:textId="3A51B1EC" w:rsidR="003B62B1" w:rsidRPr="00100F0A" w:rsidRDefault="003B62B1" w:rsidP="003B62B1">
            <w:pPr>
              <w:spacing w:after="60"/>
              <w:rPr>
                <w:sz w:val="20"/>
              </w:rPr>
            </w:pPr>
            <w:r w:rsidRPr="00100F0A">
              <w:rPr>
                <w:sz w:val="20"/>
                <w:szCs w:val="20"/>
              </w:rPr>
              <w:t>Tas</w:t>
            </w:r>
          </w:p>
        </w:tc>
        <w:tc>
          <w:tcPr>
            <w:tcW w:w="4348" w:type="dxa"/>
            <w:tcBorders>
              <w:top w:val="single" w:sz="8" w:space="0" w:color="B7B7E2"/>
              <w:left w:val="nil"/>
              <w:bottom w:val="dotted" w:sz="4" w:space="0" w:color="B7B7E2"/>
              <w:right w:val="single" w:sz="4" w:space="0" w:color="B7B7E2"/>
            </w:tcBorders>
            <w:tcMar>
              <w:top w:w="0" w:type="dxa"/>
              <w:left w:w="108" w:type="dxa"/>
              <w:bottom w:w="0" w:type="dxa"/>
              <w:right w:w="108" w:type="dxa"/>
            </w:tcMar>
          </w:tcPr>
          <w:p w14:paraId="5746224A" w14:textId="374FC7EB" w:rsidR="003B62B1" w:rsidRPr="00100F0A" w:rsidRDefault="003B62B1" w:rsidP="006872A9">
            <w:pPr>
              <w:jc w:val="center"/>
              <w:rPr>
                <w:rFonts w:eastAsia="Times New Roman" w:cs="Times New Roman"/>
                <w:sz w:val="20"/>
                <w:szCs w:val="20"/>
              </w:rPr>
            </w:pPr>
          </w:p>
        </w:tc>
        <w:tc>
          <w:tcPr>
            <w:tcW w:w="773" w:type="dxa"/>
            <w:tcBorders>
              <w:top w:val="single" w:sz="4" w:space="0" w:color="B7B7E2"/>
              <w:left w:val="single" w:sz="4" w:space="0" w:color="B7B7E2"/>
              <w:bottom w:val="dotted" w:sz="4" w:space="0" w:color="B7B7E2"/>
              <w:right w:val="single" w:sz="4" w:space="0" w:color="B7B7E2"/>
            </w:tcBorders>
            <w:tcMar>
              <w:top w:w="0" w:type="dxa"/>
              <w:left w:w="108" w:type="dxa"/>
              <w:bottom w:w="0" w:type="dxa"/>
              <w:right w:w="108" w:type="dxa"/>
            </w:tcMar>
          </w:tcPr>
          <w:p w14:paraId="389E5E81" w14:textId="0EF37C96" w:rsidR="003B62B1" w:rsidRPr="00100F0A" w:rsidRDefault="003B62B1" w:rsidP="006872A9">
            <w:pPr>
              <w:spacing w:after="60"/>
              <w:jc w:val="center"/>
              <w:rPr>
                <w:rFonts w:eastAsia="Times New Roman" w:cs="Times New Roman"/>
                <w:color w:val="000000" w:themeColor="text1"/>
                <w:sz w:val="20"/>
                <w:szCs w:val="20"/>
              </w:rPr>
            </w:pPr>
          </w:p>
        </w:tc>
        <w:tc>
          <w:tcPr>
            <w:tcW w:w="422" w:type="dxa"/>
            <w:tcBorders>
              <w:top w:val="single" w:sz="4" w:space="0" w:color="B7B7E2"/>
              <w:left w:val="single" w:sz="4" w:space="0" w:color="B7B7E2"/>
              <w:bottom w:val="dotted" w:sz="4" w:space="0" w:color="B7B7E2"/>
              <w:right w:val="single" w:sz="4" w:space="0" w:color="B7B7E2"/>
            </w:tcBorders>
          </w:tcPr>
          <w:p w14:paraId="2E9C4ABD" w14:textId="77777777" w:rsidR="003B62B1" w:rsidRPr="00100F0A" w:rsidRDefault="003B62B1" w:rsidP="00B30B8D">
            <w:pPr>
              <w:spacing w:after="60"/>
              <w:jc w:val="center"/>
              <w:rPr>
                <w:rFonts w:eastAsia="Times New Roman" w:cs="Times New Roman"/>
                <w:sz w:val="20"/>
                <w:szCs w:val="20"/>
              </w:rPr>
            </w:pPr>
            <w:r w:rsidRPr="00100F0A">
              <w:rPr>
                <w:sz w:val="20"/>
                <w:szCs w:val="20"/>
              </w:rPr>
              <w:t>...</w:t>
            </w:r>
          </w:p>
        </w:tc>
        <w:tc>
          <w:tcPr>
            <w:tcW w:w="704" w:type="dxa"/>
            <w:tcBorders>
              <w:top w:val="single" w:sz="4" w:space="0" w:color="B7B7E2"/>
              <w:left w:val="single" w:sz="4" w:space="0" w:color="B7B7E2"/>
              <w:bottom w:val="dotted" w:sz="4" w:space="0" w:color="B7B7E2"/>
              <w:right w:val="single" w:sz="4" w:space="0" w:color="B7B7E2"/>
            </w:tcBorders>
          </w:tcPr>
          <w:p w14:paraId="3CEC0043" w14:textId="77777777" w:rsidR="003B62B1" w:rsidRPr="00100F0A" w:rsidRDefault="003B62B1" w:rsidP="006872A9">
            <w:pPr>
              <w:spacing w:after="60"/>
              <w:jc w:val="center"/>
              <w:rPr>
                <w:rFonts w:eastAsia="Times New Roman" w:cs="Times New Roman"/>
                <w:color w:val="000000" w:themeColor="text1"/>
                <w:sz w:val="20"/>
                <w:szCs w:val="20"/>
              </w:rPr>
            </w:pPr>
          </w:p>
        </w:tc>
        <w:tc>
          <w:tcPr>
            <w:tcW w:w="422" w:type="dxa"/>
            <w:tcBorders>
              <w:top w:val="single" w:sz="4" w:space="0" w:color="B7B7E2"/>
              <w:left w:val="single" w:sz="4" w:space="0" w:color="B7B7E2"/>
              <w:bottom w:val="dotted" w:sz="4" w:space="0" w:color="B7B7E2"/>
              <w:right w:val="single" w:sz="4" w:space="0" w:color="B7B7E2"/>
            </w:tcBorders>
          </w:tcPr>
          <w:p w14:paraId="44D2EEBE" w14:textId="77777777" w:rsidR="003B62B1" w:rsidRPr="00100F0A" w:rsidRDefault="003B62B1" w:rsidP="00B30B8D">
            <w:pPr>
              <w:spacing w:after="60"/>
              <w:jc w:val="center"/>
              <w:rPr>
                <w:sz w:val="20"/>
                <w:szCs w:val="20"/>
              </w:rPr>
            </w:pPr>
            <w:r w:rsidRPr="00100F0A">
              <w:rPr>
                <w:sz w:val="20"/>
                <w:szCs w:val="20"/>
              </w:rPr>
              <w:t>...</w:t>
            </w:r>
          </w:p>
        </w:tc>
        <w:tc>
          <w:tcPr>
            <w:tcW w:w="704" w:type="dxa"/>
            <w:tcBorders>
              <w:top w:val="single" w:sz="4" w:space="0" w:color="B7B7E2"/>
              <w:left w:val="single" w:sz="4" w:space="0" w:color="B7B7E2"/>
              <w:bottom w:val="dotted" w:sz="4" w:space="0" w:color="B7B7E2"/>
              <w:right w:val="single" w:sz="4" w:space="0" w:color="B7B7E2"/>
            </w:tcBorders>
          </w:tcPr>
          <w:p w14:paraId="6B1DD825" w14:textId="7DCE4F30" w:rsidR="003B62B1" w:rsidRPr="00100F0A" w:rsidRDefault="003B62B1" w:rsidP="006872A9">
            <w:pPr>
              <w:spacing w:after="60"/>
              <w:jc w:val="center"/>
              <w:rPr>
                <w:color w:val="000000" w:themeColor="text1"/>
                <w:sz w:val="20"/>
                <w:szCs w:val="20"/>
              </w:rPr>
            </w:pPr>
          </w:p>
        </w:tc>
      </w:tr>
      <w:tr w:rsidR="003B62B1" w:rsidRPr="00100F0A" w14:paraId="10C74926" w14:textId="77777777" w:rsidTr="003B62B1">
        <w:tc>
          <w:tcPr>
            <w:tcW w:w="587"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hideMark/>
          </w:tcPr>
          <w:p w14:paraId="7B81CD3C" w14:textId="77777777" w:rsidR="003B62B1" w:rsidRPr="00100F0A" w:rsidRDefault="003B62B1" w:rsidP="003B62B1">
            <w:pPr>
              <w:spacing w:after="60"/>
              <w:rPr>
                <w:rFonts w:eastAsia="Times New Roman" w:cs="Times New Roman"/>
                <w:sz w:val="20"/>
              </w:rPr>
            </w:pPr>
            <w:r w:rsidRPr="00100F0A">
              <w:rPr>
                <w:sz w:val="20"/>
              </w:rPr>
              <w:t>High</w:t>
            </w:r>
          </w:p>
        </w:tc>
        <w:tc>
          <w:tcPr>
            <w:tcW w:w="1102" w:type="dxa"/>
            <w:vMerge/>
            <w:tcBorders>
              <w:left w:val="single" w:sz="4" w:space="0" w:color="B7B7E2"/>
              <w:right w:val="single" w:sz="8" w:space="0" w:color="B7B7E2"/>
            </w:tcBorders>
            <w:tcMar>
              <w:top w:w="0" w:type="dxa"/>
              <w:left w:w="108" w:type="dxa"/>
              <w:bottom w:w="0" w:type="dxa"/>
              <w:right w:w="108" w:type="dxa"/>
            </w:tcMar>
          </w:tcPr>
          <w:p w14:paraId="3DAB7919" w14:textId="77777777" w:rsidR="003B62B1" w:rsidRPr="00100F0A" w:rsidRDefault="003B62B1" w:rsidP="003B62B1">
            <w:pPr>
              <w:spacing w:after="60"/>
              <w:rPr>
                <w:sz w:val="20"/>
              </w:rPr>
            </w:pPr>
          </w:p>
        </w:tc>
        <w:tc>
          <w:tcPr>
            <w:tcW w:w="4348" w:type="dxa"/>
            <w:tcBorders>
              <w:top w:val="dotted" w:sz="4" w:space="0" w:color="B7B7E2"/>
              <w:left w:val="nil"/>
              <w:bottom w:val="dotted" w:sz="4" w:space="0" w:color="B7B7E2"/>
              <w:right w:val="single" w:sz="4" w:space="0" w:color="B7B7E2"/>
            </w:tcBorders>
            <w:tcMar>
              <w:top w:w="0" w:type="dxa"/>
              <w:left w:w="108" w:type="dxa"/>
              <w:bottom w:w="0" w:type="dxa"/>
              <w:right w:w="108" w:type="dxa"/>
            </w:tcMar>
          </w:tcPr>
          <w:p w14:paraId="7651891F" w14:textId="6D56ED47" w:rsidR="003B62B1" w:rsidRPr="00100F0A" w:rsidRDefault="003B62B1" w:rsidP="006872A9">
            <w:pPr>
              <w:jc w:val="center"/>
              <w:rPr>
                <w:rFonts w:cs="Calibri"/>
                <w:color w:val="000000"/>
                <w:sz w:val="20"/>
                <w:szCs w:val="20"/>
              </w:rPr>
            </w:pPr>
            <w:r w:rsidRPr="00100F0A">
              <w:rPr>
                <w:rFonts w:cs="Calibri"/>
                <w:color w:val="000000"/>
                <w:sz w:val="20"/>
                <w:szCs w:val="20"/>
              </w:rPr>
              <w:t>200</w:t>
            </w:r>
            <w:r w:rsidR="001B454B">
              <w:rPr>
                <w:rFonts w:cs="Calibri"/>
                <w:color w:val="000000"/>
                <w:sz w:val="20"/>
                <w:szCs w:val="20"/>
              </w:rPr>
              <w:t xml:space="preserve"> </w:t>
            </w:r>
            <w:r w:rsidRPr="00100F0A">
              <w:rPr>
                <w:rFonts w:cs="Calibri"/>
                <w:color w:val="000000"/>
                <w:sz w:val="20"/>
                <w:szCs w:val="20"/>
              </w:rPr>
              <w:t>kt historical jarosite stockpile will be released at additional 20</w:t>
            </w:r>
            <w:r w:rsidR="001B454B">
              <w:rPr>
                <w:rFonts w:cs="Calibri"/>
                <w:color w:val="000000"/>
                <w:sz w:val="20"/>
                <w:szCs w:val="20"/>
              </w:rPr>
              <w:t xml:space="preserve"> </w:t>
            </w:r>
            <w:r w:rsidRPr="00100F0A">
              <w:rPr>
                <w:rFonts w:cs="Calibri"/>
                <w:color w:val="000000"/>
                <w:sz w:val="20"/>
                <w:szCs w:val="20"/>
              </w:rPr>
              <w:t>kt pa</w:t>
            </w:r>
          </w:p>
        </w:tc>
        <w:tc>
          <w:tcPr>
            <w:tcW w:w="773"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tcPr>
          <w:p w14:paraId="310670AF" w14:textId="1C92931D" w:rsidR="003B62B1" w:rsidRPr="00100F0A" w:rsidRDefault="003B62B1" w:rsidP="006872A9">
            <w:pPr>
              <w:spacing w:after="60"/>
              <w:jc w:val="center"/>
              <w:rPr>
                <w:rFonts w:eastAsia="Times New Roman" w:cs="Times New Roman"/>
                <w:color w:val="000000" w:themeColor="text1"/>
                <w:sz w:val="20"/>
                <w:szCs w:val="20"/>
              </w:rPr>
            </w:pPr>
            <w:r w:rsidRPr="00100F0A">
              <w:rPr>
                <w:rFonts w:cs="Calibri"/>
                <w:sz w:val="20"/>
                <w:szCs w:val="20"/>
              </w:rPr>
              <w:t>20,000</w:t>
            </w:r>
          </w:p>
        </w:tc>
        <w:tc>
          <w:tcPr>
            <w:tcW w:w="422" w:type="dxa"/>
            <w:tcBorders>
              <w:top w:val="dotted" w:sz="4" w:space="0" w:color="B7B7E2"/>
              <w:left w:val="single" w:sz="4" w:space="0" w:color="B7B7E2"/>
              <w:bottom w:val="dotted" w:sz="4" w:space="0" w:color="B7B7E2"/>
              <w:right w:val="single" w:sz="4" w:space="0" w:color="B7B7E2"/>
            </w:tcBorders>
          </w:tcPr>
          <w:p w14:paraId="5F1DBE51" w14:textId="77777777" w:rsidR="003B62B1" w:rsidRPr="00100F0A" w:rsidRDefault="003B62B1" w:rsidP="00B30B8D">
            <w:pPr>
              <w:spacing w:after="60"/>
              <w:jc w:val="center"/>
              <w:rPr>
                <w:rFonts w:eastAsia="Times New Roman" w:cs="Times New Roman"/>
                <w:sz w:val="20"/>
                <w:szCs w:val="20"/>
              </w:rPr>
            </w:pPr>
            <w:r w:rsidRPr="00100F0A">
              <w:rPr>
                <w:sz w:val="20"/>
                <w:szCs w:val="20"/>
              </w:rPr>
              <w:t>...</w:t>
            </w:r>
          </w:p>
        </w:tc>
        <w:tc>
          <w:tcPr>
            <w:tcW w:w="704" w:type="dxa"/>
            <w:tcBorders>
              <w:top w:val="dotted" w:sz="4" w:space="0" w:color="B7B7E2"/>
              <w:left w:val="single" w:sz="4" w:space="0" w:color="B7B7E2"/>
              <w:bottom w:val="dotted" w:sz="4" w:space="0" w:color="B7B7E2"/>
              <w:right w:val="single" w:sz="4" w:space="0" w:color="B7B7E2"/>
            </w:tcBorders>
          </w:tcPr>
          <w:p w14:paraId="131B13FA" w14:textId="404005CC" w:rsidR="003B62B1" w:rsidRPr="00100F0A" w:rsidRDefault="003B62B1" w:rsidP="006872A9">
            <w:pPr>
              <w:spacing w:after="60"/>
              <w:jc w:val="center"/>
              <w:rPr>
                <w:rFonts w:eastAsia="Times New Roman" w:cs="Times New Roman"/>
                <w:color w:val="000000" w:themeColor="text1"/>
                <w:sz w:val="20"/>
                <w:szCs w:val="20"/>
              </w:rPr>
            </w:pPr>
            <w:r w:rsidRPr="00100F0A">
              <w:rPr>
                <w:rFonts w:eastAsia="Times New Roman" w:cs="Times New Roman"/>
                <w:color w:val="000000" w:themeColor="text1"/>
                <w:sz w:val="20"/>
                <w:szCs w:val="20"/>
              </w:rPr>
              <w:t>0</w:t>
            </w:r>
          </w:p>
        </w:tc>
        <w:tc>
          <w:tcPr>
            <w:tcW w:w="422" w:type="dxa"/>
            <w:tcBorders>
              <w:top w:val="dotted" w:sz="4" w:space="0" w:color="B7B7E2"/>
              <w:left w:val="single" w:sz="4" w:space="0" w:color="B7B7E2"/>
              <w:bottom w:val="dotted" w:sz="4" w:space="0" w:color="B7B7E2"/>
              <w:right w:val="single" w:sz="4" w:space="0" w:color="B7B7E2"/>
            </w:tcBorders>
          </w:tcPr>
          <w:p w14:paraId="10DA1C8A" w14:textId="77777777" w:rsidR="003B62B1" w:rsidRPr="00100F0A" w:rsidRDefault="003B62B1" w:rsidP="00B30B8D">
            <w:pPr>
              <w:spacing w:after="60"/>
              <w:jc w:val="center"/>
              <w:rPr>
                <w:sz w:val="20"/>
                <w:szCs w:val="20"/>
              </w:rPr>
            </w:pPr>
            <w:r w:rsidRPr="00100F0A">
              <w:rPr>
                <w:sz w:val="20"/>
                <w:szCs w:val="20"/>
              </w:rPr>
              <w:t>...</w:t>
            </w:r>
          </w:p>
        </w:tc>
        <w:tc>
          <w:tcPr>
            <w:tcW w:w="704" w:type="dxa"/>
            <w:tcBorders>
              <w:top w:val="dotted" w:sz="4" w:space="0" w:color="B7B7E2"/>
              <w:left w:val="single" w:sz="4" w:space="0" w:color="B7B7E2"/>
              <w:bottom w:val="dotted" w:sz="4" w:space="0" w:color="B7B7E2"/>
              <w:right w:val="single" w:sz="4" w:space="0" w:color="B7B7E2"/>
            </w:tcBorders>
          </w:tcPr>
          <w:p w14:paraId="1A858EE3" w14:textId="77777777" w:rsidR="003B62B1" w:rsidRPr="00100F0A" w:rsidRDefault="003B62B1" w:rsidP="006872A9">
            <w:pPr>
              <w:spacing w:after="60"/>
              <w:jc w:val="center"/>
              <w:rPr>
                <w:color w:val="000000" w:themeColor="text1"/>
                <w:sz w:val="20"/>
                <w:szCs w:val="20"/>
              </w:rPr>
            </w:pPr>
            <w:r w:rsidRPr="00100F0A">
              <w:rPr>
                <w:rFonts w:cs="Calibri"/>
                <w:color w:val="000000" w:themeColor="text1"/>
                <w:sz w:val="20"/>
                <w:szCs w:val="20"/>
              </w:rPr>
              <w:t>0</w:t>
            </w:r>
          </w:p>
        </w:tc>
      </w:tr>
      <w:tr w:rsidR="003B62B1" w:rsidRPr="00100F0A" w14:paraId="35DE5CED" w14:textId="77777777" w:rsidTr="003B62B1">
        <w:tc>
          <w:tcPr>
            <w:tcW w:w="587" w:type="dxa"/>
            <w:tcBorders>
              <w:top w:val="dotted" w:sz="4" w:space="0" w:color="B7B7E2"/>
              <w:left w:val="single" w:sz="4" w:space="0" w:color="B7B7E2"/>
              <w:bottom w:val="single" w:sz="4" w:space="0" w:color="B7B7E2"/>
              <w:right w:val="single" w:sz="4" w:space="0" w:color="B7B7E2"/>
            </w:tcBorders>
            <w:tcMar>
              <w:top w:w="0" w:type="dxa"/>
              <w:left w:w="108" w:type="dxa"/>
              <w:bottom w:w="0" w:type="dxa"/>
              <w:right w:w="108" w:type="dxa"/>
            </w:tcMar>
            <w:hideMark/>
          </w:tcPr>
          <w:p w14:paraId="484DF080" w14:textId="77777777" w:rsidR="003B62B1" w:rsidRPr="00100F0A" w:rsidRDefault="003B62B1" w:rsidP="003B62B1">
            <w:pPr>
              <w:spacing w:after="60"/>
              <w:rPr>
                <w:rFonts w:eastAsia="Times New Roman" w:cs="Times New Roman"/>
                <w:sz w:val="20"/>
              </w:rPr>
            </w:pPr>
            <w:r w:rsidRPr="00100F0A">
              <w:rPr>
                <w:sz w:val="20"/>
              </w:rPr>
              <w:t>Low</w:t>
            </w:r>
          </w:p>
        </w:tc>
        <w:tc>
          <w:tcPr>
            <w:tcW w:w="1102" w:type="dxa"/>
            <w:vMerge/>
            <w:tcBorders>
              <w:left w:val="single" w:sz="4" w:space="0" w:color="B7B7E2"/>
              <w:bottom w:val="single" w:sz="8" w:space="0" w:color="B7B7E2"/>
              <w:right w:val="single" w:sz="8" w:space="0" w:color="B7B7E2"/>
            </w:tcBorders>
            <w:tcMar>
              <w:top w:w="0" w:type="dxa"/>
              <w:left w:w="108" w:type="dxa"/>
              <w:bottom w:w="0" w:type="dxa"/>
              <w:right w:w="108" w:type="dxa"/>
            </w:tcMar>
          </w:tcPr>
          <w:p w14:paraId="71103317" w14:textId="77777777" w:rsidR="003B62B1" w:rsidRPr="00100F0A" w:rsidRDefault="003B62B1" w:rsidP="003B62B1">
            <w:pPr>
              <w:spacing w:after="60"/>
              <w:rPr>
                <w:sz w:val="20"/>
              </w:rPr>
            </w:pPr>
          </w:p>
        </w:tc>
        <w:tc>
          <w:tcPr>
            <w:tcW w:w="4348" w:type="dxa"/>
            <w:tcBorders>
              <w:top w:val="dotted" w:sz="4" w:space="0" w:color="B7B7E2"/>
              <w:left w:val="nil"/>
              <w:bottom w:val="single" w:sz="8" w:space="0" w:color="B7B7E2"/>
              <w:right w:val="single" w:sz="4" w:space="0" w:color="B7B7E2"/>
            </w:tcBorders>
            <w:tcMar>
              <w:top w:w="0" w:type="dxa"/>
              <w:left w:w="108" w:type="dxa"/>
              <w:bottom w:w="0" w:type="dxa"/>
              <w:right w:w="108" w:type="dxa"/>
            </w:tcMar>
          </w:tcPr>
          <w:p w14:paraId="1584FC55" w14:textId="161ED14A" w:rsidR="003B62B1" w:rsidRPr="00100F0A" w:rsidRDefault="003B62B1" w:rsidP="006872A9">
            <w:pPr>
              <w:jc w:val="center"/>
              <w:rPr>
                <w:rFonts w:eastAsia="Times New Roman" w:cs="Times New Roman"/>
                <w:sz w:val="20"/>
                <w:szCs w:val="20"/>
              </w:rPr>
            </w:pPr>
          </w:p>
        </w:tc>
        <w:tc>
          <w:tcPr>
            <w:tcW w:w="773" w:type="dxa"/>
            <w:tcBorders>
              <w:top w:val="dotted" w:sz="4" w:space="0" w:color="B7B7E2"/>
              <w:left w:val="single" w:sz="4" w:space="0" w:color="B7B7E2"/>
              <w:bottom w:val="single" w:sz="4" w:space="0" w:color="B7B7E2"/>
              <w:right w:val="single" w:sz="4" w:space="0" w:color="B7B7E2"/>
            </w:tcBorders>
            <w:tcMar>
              <w:top w:w="0" w:type="dxa"/>
              <w:left w:w="108" w:type="dxa"/>
              <w:bottom w:w="0" w:type="dxa"/>
              <w:right w:w="108" w:type="dxa"/>
            </w:tcMar>
          </w:tcPr>
          <w:p w14:paraId="29D10FD6" w14:textId="2DFF43DC" w:rsidR="003B62B1" w:rsidRPr="00100F0A" w:rsidRDefault="003B62B1" w:rsidP="006872A9">
            <w:pPr>
              <w:spacing w:after="60"/>
              <w:jc w:val="center"/>
              <w:rPr>
                <w:rFonts w:eastAsia="Times New Roman" w:cs="Times New Roman"/>
                <w:color w:val="000000" w:themeColor="text1"/>
                <w:sz w:val="20"/>
                <w:szCs w:val="20"/>
              </w:rPr>
            </w:pPr>
          </w:p>
        </w:tc>
        <w:tc>
          <w:tcPr>
            <w:tcW w:w="422" w:type="dxa"/>
            <w:tcBorders>
              <w:top w:val="dotted" w:sz="4" w:space="0" w:color="B7B7E2"/>
              <w:left w:val="single" w:sz="4" w:space="0" w:color="B7B7E2"/>
              <w:bottom w:val="single" w:sz="4" w:space="0" w:color="B7B7E2"/>
              <w:right w:val="single" w:sz="4" w:space="0" w:color="B7B7E2"/>
            </w:tcBorders>
          </w:tcPr>
          <w:p w14:paraId="54595F1B" w14:textId="77777777" w:rsidR="003B62B1" w:rsidRPr="00100F0A" w:rsidRDefault="003B62B1" w:rsidP="00B30B8D">
            <w:pPr>
              <w:spacing w:after="60"/>
              <w:jc w:val="center"/>
              <w:rPr>
                <w:rFonts w:eastAsia="Times New Roman" w:cs="Times New Roman"/>
                <w:sz w:val="20"/>
                <w:szCs w:val="20"/>
              </w:rPr>
            </w:pPr>
            <w:r w:rsidRPr="00100F0A">
              <w:rPr>
                <w:sz w:val="20"/>
                <w:szCs w:val="20"/>
              </w:rPr>
              <w:t>...</w:t>
            </w:r>
          </w:p>
        </w:tc>
        <w:tc>
          <w:tcPr>
            <w:tcW w:w="704" w:type="dxa"/>
            <w:tcBorders>
              <w:top w:val="dotted" w:sz="4" w:space="0" w:color="B7B7E2"/>
              <w:left w:val="single" w:sz="4" w:space="0" w:color="B7B7E2"/>
              <w:bottom w:val="single" w:sz="4" w:space="0" w:color="B7B7E2"/>
              <w:right w:val="single" w:sz="4" w:space="0" w:color="B7B7E2"/>
            </w:tcBorders>
          </w:tcPr>
          <w:p w14:paraId="03A26AE6" w14:textId="6AB1C0D8" w:rsidR="003B62B1" w:rsidRPr="00100F0A" w:rsidRDefault="003B62B1" w:rsidP="006872A9">
            <w:pPr>
              <w:spacing w:after="60"/>
              <w:jc w:val="center"/>
              <w:rPr>
                <w:rFonts w:eastAsia="Times New Roman" w:cs="Times New Roman"/>
                <w:color w:val="000000" w:themeColor="text1"/>
                <w:sz w:val="20"/>
                <w:szCs w:val="20"/>
              </w:rPr>
            </w:pPr>
          </w:p>
        </w:tc>
        <w:tc>
          <w:tcPr>
            <w:tcW w:w="422" w:type="dxa"/>
            <w:tcBorders>
              <w:top w:val="dotted" w:sz="4" w:space="0" w:color="B7B7E2"/>
              <w:left w:val="single" w:sz="4" w:space="0" w:color="B7B7E2"/>
              <w:bottom w:val="single" w:sz="4" w:space="0" w:color="B7B7E2"/>
              <w:right w:val="single" w:sz="4" w:space="0" w:color="B7B7E2"/>
            </w:tcBorders>
          </w:tcPr>
          <w:p w14:paraId="08EBB61A" w14:textId="77777777" w:rsidR="003B62B1" w:rsidRPr="00100F0A" w:rsidRDefault="003B62B1" w:rsidP="00B30B8D">
            <w:pPr>
              <w:spacing w:after="60"/>
              <w:jc w:val="center"/>
              <w:rPr>
                <w:sz w:val="20"/>
                <w:szCs w:val="20"/>
              </w:rPr>
            </w:pPr>
            <w:r w:rsidRPr="00100F0A">
              <w:rPr>
                <w:sz w:val="20"/>
                <w:szCs w:val="20"/>
              </w:rPr>
              <w:t>...</w:t>
            </w:r>
          </w:p>
        </w:tc>
        <w:tc>
          <w:tcPr>
            <w:tcW w:w="704" w:type="dxa"/>
            <w:tcBorders>
              <w:top w:val="dotted" w:sz="4" w:space="0" w:color="B7B7E2"/>
              <w:left w:val="single" w:sz="4" w:space="0" w:color="B7B7E2"/>
              <w:bottom w:val="single" w:sz="4" w:space="0" w:color="B7B7E2"/>
              <w:right w:val="single" w:sz="4" w:space="0" w:color="B7B7E2"/>
            </w:tcBorders>
          </w:tcPr>
          <w:p w14:paraId="55B5ADEE" w14:textId="6EC0E3F7" w:rsidR="003B62B1" w:rsidRPr="00100F0A" w:rsidRDefault="003B62B1" w:rsidP="006872A9">
            <w:pPr>
              <w:spacing w:after="60"/>
              <w:jc w:val="center"/>
              <w:rPr>
                <w:color w:val="000000" w:themeColor="text1"/>
                <w:sz w:val="20"/>
                <w:szCs w:val="20"/>
              </w:rPr>
            </w:pPr>
          </w:p>
        </w:tc>
      </w:tr>
    </w:tbl>
    <w:p w14:paraId="520A84B7" w14:textId="045BF608" w:rsidR="004E3BDC" w:rsidRDefault="004E3BDC" w:rsidP="00601CB2">
      <w:pPr>
        <w:pStyle w:val="BodyText"/>
      </w:pPr>
    </w:p>
    <w:p w14:paraId="56FA4D4C" w14:textId="5B7445E2" w:rsidR="00223843" w:rsidRDefault="00223843">
      <w:r>
        <w:br w:type="page"/>
      </w:r>
    </w:p>
    <w:p w14:paraId="16A9D0D0" w14:textId="77777777" w:rsidR="00223843" w:rsidRPr="00100F0A" w:rsidRDefault="00223843" w:rsidP="00601CB2">
      <w:pPr>
        <w:pStyle w:val="BodyText"/>
      </w:pPr>
    </w:p>
    <w:p w14:paraId="0183A4B1" w14:textId="0D6B2A40" w:rsidR="00601CB2" w:rsidRPr="00100F0A" w:rsidRDefault="00601CB2" w:rsidP="00273FA6">
      <w:pPr>
        <w:pStyle w:val="Caption"/>
      </w:pPr>
      <w:bookmarkStart w:id="170" w:name="_Toc425849227"/>
      <w:bookmarkStart w:id="171" w:name="_Toc13225583"/>
      <w:r w:rsidRPr="00100F0A">
        <w:t xml:space="preserve">Figure </w:t>
      </w:r>
      <w:r w:rsidR="00971D78" w:rsidRPr="00100F0A">
        <w:rPr>
          <w:noProof/>
        </w:rPr>
        <w:fldChar w:fldCharType="begin"/>
      </w:r>
      <w:r w:rsidR="00971D78" w:rsidRPr="00100F0A">
        <w:rPr>
          <w:noProof/>
        </w:rPr>
        <w:instrText xml:space="preserve"> SEQ Figure \* ARABIC </w:instrText>
      </w:r>
      <w:r w:rsidR="00971D78" w:rsidRPr="00100F0A">
        <w:rPr>
          <w:noProof/>
        </w:rPr>
        <w:fldChar w:fldCharType="separate"/>
      </w:r>
      <w:r w:rsidR="00EB634D">
        <w:rPr>
          <w:noProof/>
        </w:rPr>
        <w:t>10</w:t>
      </w:r>
      <w:r w:rsidR="00971D78" w:rsidRPr="00100F0A">
        <w:rPr>
          <w:noProof/>
        </w:rPr>
        <w:fldChar w:fldCharType="end"/>
      </w:r>
      <w:r w:rsidR="00C14F18">
        <w:rPr>
          <w:noProof/>
        </w:rPr>
        <w:t>:</w:t>
      </w:r>
      <w:r w:rsidR="00D11FEE" w:rsidRPr="00100F0A">
        <w:tab/>
      </w:r>
      <w:r w:rsidRPr="00100F0A">
        <w:t>Best, high and low national projection estimates of lead</w:t>
      </w:r>
      <w:r w:rsidR="001B454B">
        <w:t>,</w:t>
      </w:r>
      <w:r w:rsidRPr="00100F0A">
        <w:t xml:space="preserve"> lead compounds waste to 203</w:t>
      </w:r>
      <w:bookmarkEnd w:id="170"/>
      <w:r w:rsidR="00DD164D" w:rsidRPr="00100F0A">
        <w:t>7</w:t>
      </w:r>
      <w:bookmarkEnd w:id="171"/>
    </w:p>
    <w:p w14:paraId="2A7C8411" w14:textId="084E8BAE" w:rsidR="00601CB2" w:rsidRPr="00100F0A" w:rsidRDefault="007F205C" w:rsidP="00601CB2">
      <w:r w:rsidRPr="00100F0A">
        <w:rPr>
          <w:noProof/>
          <w:lang w:eastAsia="en-AU"/>
        </w:rPr>
        <w:drawing>
          <wp:inline distT="0" distB="0" distL="0" distR="0" wp14:anchorId="48513CEB" wp14:editId="6BD8D047">
            <wp:extent cx="5735955" cy="2115185"/>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5955" cy="2115185"/>
                    </a:xfrm>
                    <a:prstGeom prst="rect">
                      <a:avLst/>
                    </a:prstGeom>
                  </pic:spPr>
                </pic:pic>
              </a:graphicData>
            </a:graphic>
          </wp:inline>
        </w:drawing>
      </w:r>
    </w:p>
    <w:p w14:paraId="6B19AFCC" w14:textId="77777777" w:rsidR="00D4577B" w:rsidRPr="00100F0A" w:rsidRDefault="00D4577B"/>
    <w:p w14:paraId="70580FF1" w14:textId="596D9132" w:rsidR="003B62B1" w:rsidRPr="00100F0A" w:rsidRDefault="003B62B1" w:rsidP="003B62B1">
      <w:pPr>
        <w:pStyle w:val="Heading3"/>
      </w:pPr>
      <w:r w:rsidRPr="00100F0A">
        <w:t xml:space="preserve">D230 Zinc compounds </w:t>
      </w:r>
    </w:p>
    <w:p w14:paraId="1002355D" w14:textId="6FF2E078" w:rsidR="003B62B1" w:rsidRPr="00100F0A" w:rsidRDefault="003B62B1" w:rsidP="003B62B1">
      <w:pPr>
        <w:rPr>
          <w:rFonts w:eastAsia="Times New Roman" w:cs="Calibri"/>
        </w:rPr>
      </w:pPr>
      <w:r w:rsidRPr="00100F0A">
        <w:rPr>
          <w:rFonts w:eastAsia="Times New Roman" w:cs="Calibri"/>
          <w:iCs/>
        </w:rPr>
        <w:t>This group comprises the single NEPM code</w:t>
      </w:r>
      <w:r w:rsidRPr="00100F0A">
        <w:rPr>
          <w:rFonts w:eastAsia="Times New Roman" w:cs="Calibri"/>
          <w:i/>
          <w:iCs/>
        </w:rPr>
        <w:t xml:space="preserve"> D230 zinc compounds</w:t>
      </w:r>
      <w:r w:rsidRPr="00100F0A">
        <w:rPr>
          <w:rFonts w:eastAsia="Times New Roman" w:cs="Calibri"/>
          <w:iCs/>
        </w:rPr>
        <w:t xml:space="preserve">, </w:t>
      </w:r>
      <w:r w:rsidRPr="00100F0A">
        <w:rPr>
          <w:rFonts w:eastAsia="Times New Roman" w:cs="Calibri"/>
        </w:rPr>
        <w:t xml:space="preserve">previously not provided as its own waste group in </w:t>
      </w:r>
      <w:r w:rsidRPr="00100F0A">
        <w:rPr>
          <w:rFonts w:eastAsia="Times New Roman" w:cs="Calibri"/>
          <w:iCs/>
        </w:rPr>
        <w:t>2015</w:t>
      </w:r>
      <w:r w:rsidRPr="00100F0A">
        <w:rPr>
          <w:rFonts w:eastAsia="Times New Roman" w:cs="Calibri"/>
        </w:rPr>
        <w:t xml:space="preserve">, but presented within the broader group ‘Other D – Other inorganic compounds’. </w:t>
      </w:r>
      <w:r w:rsidRPr="00100F0A">
        <w:rPr>
          <w:rFonts w:eastAsia="Times New Roman" w:cs="Calibri"/>
          <w:iCs/>
        </w:rPr>
        <w:t xml:space="preserve">D230 was separated out because of the significant tonnage </w:t>
      </w:r>
      <w:r w:rsidR="00F07D53" w:rsidRPr="00100F0A">
        <w:rPr>
          <w:rFonts w:eastAsia="Times New Roman" w:cs="Calibri"/>
          <w:iCs/>
        </w:rPr>
        <w:t xml:space="preserve">it has </w:t>
      </w:r>
      <w:r w:rsidRPr="00100F0A">
        <w:rPr>
          <w:rFonts w:eastAsia="Times New Roman" w:cs="Calibri"/>
          <w:iCs/>
        </w:rPr>
        <w:t>generated</w:t>
      </w:r>
      <w:r w:rsidR="00F07D53" w:rsidRPr="00100F0A">
        <w:rPr>
          <w:rFonts w:eastAsia="Times New Roman" w:cs="Calibri"/>
          <w:iCs/>
        </w:rPr>
        <w:t xml:space="preserve"> in recent years</w:t>
      </w:r>
      <w:r w:rsidRPr="00100F0A">
        <w:rPr>
          <w:rFonts w:eastAsia="Times New Roman" w:cs="Calibri"/>
          <w:i/>
          <w:iCs/>
        </w:rPr>
        <w:t>.</w:t>
      </w:r>
    </w:p>
    <w:p w14:paraId="254B9618" w14:textId="77777777" w:rsidR="003B62B1" w:rsidRPr="00100F0A" w:rsidRDefault="003B62B1" w:rsidP="0048293B">
      <w:pPr>
        <w:shd w:val="clear" w:color="auto" w:fill="FFFFFF" w:themeFill="background1"/>
        <w:rPr>
          <w:rFonts w:eastAsia="Times New Roman" w:cs="Calibri"/>
        </w:rPr>
      </w:pPr>
    </w:p>
    <w:p w14:paraId="40D85DB0" w14:textId="1BAC0DAA" w:rsidR="003B62B1" w:rsidRPr="00100F0A" w:rsidRDefault="003B62B1" w:rsidP="0048293B">
      <w:pPr>
        <w:pStyle w:val="BodyText"/>
        <w:shd w:val="clear" w:color="auto" w:fill="FFFFFF" w:themeFill="background1"/>
      </w:pPr>
      <w:r w:rsidRPr="00100F0A">
        <w:rPr>
          <w:rFonts w:eastAsia="Times New Roman" w:cs="Calibri"/>
        </w:rPr>
        <w:t xml:space="preserve">The vast majority of this waste </w:t>
      </w:r>
      <w:r w:rsidR="00F07D53" w:rsidRPr="00100F0A">
        <w:rPr>
          <w:rFonts w:eastAsia="Times New Roman" w:cs="Calibri"/>
        </w:rPr>
        <w:t>(87</w:t>
      </w:r>
      <w:r w:rsidR="00DE2B9A" w:rsidRPr="00100F0A">
        <w:rPr>
          <w:rFonts w:eastAsia="Times New Roman" w:cs="Calibri"/>
        </w:rPr>
        <w:t>%) was generated in Tas and accepted into management infrastructure in SA in 2016-17</w:t>
      </w:r>
      <w:r w:rsidR="00F07D53" w:rsidRPr="00100F0A">
        <w:rPr>
          <w:rFonts w:eastAsia="Times New Roman" w:cs="Calibri"/>
        </w:rPr>
        <w:t>, while a further 12% is produced and managed within SA.</w:t>
      </w:r>
    </w:p>
    <w:p w14:paraId="478EF36B" w14:textId="77777777" w:rsidR="003B62B1" w:rsidRPr="00100F0A" w:rsidRDefault="003B62B1" w:rsidP="0048293B">
      <w:pPr>
        <w:pStyle w:val="Heading3-nonumber"/>
        <w:shd w:val="clear" w:color="auto" w:fill="FFFFFF" w:themeFill="background1"/>
      </w:pPr>
      <w:r w:rsidRPr="00100F0A">
        <w:t>Summary analysis</w:t>
      </w:r>
    </w:p>
    <w:tbl>
      <w:tblPr>
        <w:tblW w:w="0" w:type="auto"/>
        <w:tblBorders>
          <w:top w:val="single" w:sz="8" w:space="0" w:color="B7B7E2"/>
          <w:left w:val="single" w:sz="8" w:space="0" w:color="B7B7E2"/>
          <w:bottom w:val="single" w:sz="8" w:space="0" w:color="B7B7E2"/>
          <w:right w:val="single" w:sz="8" w:space="0" w:color="B7B7E2"/>
          <w:insideH w:val="single" w:sz="8" w:space="0" w:color="B7B7E2"/>
          <w:insideV w:val="single" w:sz="8" w:space="0" w:color="B7B7E2"/>
        </w:tblBorders>
        <w:tblCellMar>
          <w:left w:w="0" w:type="dxa"/>
          <w:right w:w="0" w:type="dxa"/>
        </w:tblCellMar>
        <w:tblLook w:val="04A0" w:firstRow="1" w:lastRow="0" w:firstColumn="1" w:lastColumn="0" w:noHBand="0" w:noVBand="1"/>
      </w:tblPr>
      <w:tblGrid>
        <w:gridCol w:w="1769"/>
        <w:gridCol w:w="2865"/>
        <w:gridCol w:w="1452"/>
        <w:gridCol w:w="2926"/>
      </w:tblGrid>
      <w:tr w:rsidR="00DD164D" w:rsidRPr="00100F0A" w14:paraId="132A1791" w14:textId="77777777" w:rsidTr="00DD164D">
        <w:trPr>
          <w:tblHeader/>
        </w:trPr>
        <w:tc>
          <w:tcPr>
            <w:tcW w:w="1769" w:type="dxa"/>
            <w:shd w:val="clear" w:color="auto" w:fill="B7B7E2"/>
            <w:tcMar>
              <w:top w:w="0" w:type="dxa"/>
              <w:left w:w="108" w:type="dxa"/>
              <w:bottom w:w="0" w:type="dxa"/>
              <w:right w:w="108" w:type="dxa"/>
            </w:tcMar>
            <w:vAlign w:val="center"/>
            <w:hideMark/>
          </w:tcPr>
          <w:p w14:paraId="521D187A" w14:textId="77777777" w:rsidR="003B62B1" w:rsidRPr="00100F0A" w:rsidRDefault="003B62B1" w:rsidP="0048293B">
            <w:pPr>
              <w:spacing w:after="144"/>
              <w:rPr>
                <w:rFonts w:eastAsia="Times New Roman" w:cs="Times New Roman"/>
                <w:b/>
                <w:bCs/>
                <w:color w:val="FFFFFF"/>
                <w:sz w:val="20"/>
                <w:szCs w:val="20"/>
              </w:rPr>
            </w:pPr>
            <w:r w:rsidRPr="00100F0A">
              <w:rPr>
                <w:rFonts w:eastAsia="Times New Roman" w:cs="Times New Roman"/>
                <w:b/>
                <w:bCs/>
                <w:color w:val="FFFFFF"/>
                <w:sz w:val="20"/>
                <w:szCs w:val="20"/>
              </w:rPr>
              <w:t> Industry sources</w:t>
            </w:r>
          </w:p>
        </w:tc>
        <w:tc>
          <w:tcPr>
            <w:tcW w:w="2865" w:type="dxa"/>
            <w:shd w:val="clear" w:color="auto" w:fill="B7B7E2"/>
            <w:tcMar>
              <w:top w:w="0" w:type="dxa"/>
              <w:left w:w="108" w:type="dxa"/>
              <w:bottom w:w="0" w:type="dxa"/>
              <w:right w:w="108" w:type="dxa"/>
            </w:tcMar>
            <w:hideMark/>
          </w:tcPr>
          <w:p w14:paraId="4140DA89" w14:textId="77777777" w:rsidR="003B62B1" w:rsidRPr="00100F0A" w:rsidRDefault="003B62B1" w:rsidP="0048293B">
            <w:pPr>
              <w:spacing w:after="144"/>
              <w:rPr>
                <w:rFonts w:eastAsia="Times New Roman" w:cs="Times New Roman"/>
                <w:b/>
                <w:bCs/>
                <w:color w:val="FFFFFF"/>
                <w:sz w:val="20"/>
                <w:szCs w:val="20"/>
              </w:rPr>
            </w:pPr>
            <w:r w:rsidRPr="00100F0A">
              <w:rPr>
                <w:rFonts w:eastAsia="Times New Roman" w:cs="Times New Roman"/>
                <w:b/>
                <w:bCs/>
                <w:color w:val="FFFFFF"/>
                <w:sz w:val="20"/>
                <w:szCs w:val="20"/>
              </w:rPr>
              <w:t> Considerations</w:t>
            </w:r>
          </w:p>
        </w:tc>
        <w:tc>
          <w:tcPr>
            <w:tcW w:w="1452" w:type="dxa"/>
            <w:shd w:val="clear" w:color="auto" w:fill="B7B7E2"/>
            <w:tcMar>
              <w:top w:w="0" w:type="dxa"/>
              <w:left w:w="108" w:type="dxa"/>
              <w:bottom w:w="0" w:type="dxa"/>
              <w:right w:w="108" w:type="dxa"/>
            </w:tcMar>
            <w:hideMark/>
          </w:tcPr>
          <w:p w14:paraId="700C87EB" w14:textId="77777777" w:rsidR="003B62B1" w:rsidRPr="00100F0A" w:rsidRDefault="003B62B1" w:rsidP="0048293B">
            <w:pPr>
              <w:spacing w:after="144"/>
              <w:rPr>
                <w:rFonts w:eastAsia="Times New Roman" w:cs="Times New Roman"/>
                <w:b/>
                <w:bCs/>
                <w:color w:val="FFFFFF"/>
                <w:sz w:val="20"/>
                <w:szCs w:val="20"/>
              </w:rPr>
            </w:pPr>
            <w:r w:rsidRPr="00100F0A">
              <w:rPr>
                <w:rFonts w:eastAsia="Times New Roman" w:cs="Times New Roman"/>
                <w:b/>
                <w:bCs/>
                <w:color w:val="FFFFFF"/>
                <w:sz w:val="20"/>
                <w:szCs w:val="20"/>
              </w:rPr>
              <w:t> Comments</w:t>
            </w:r>
          </w:p>
        </w:tc>
        <w:tc>
          <w:tcPr>
            <w:tcW w:w="2927" w:type="dxa"/>
            <w:shd w:val="clear" w:color="auto" w:fill="B7B7E2"/>
            <w:tcMar>
              <w:top w:w="0" w:type="dxa"/>
              <w:left w:w="108" w:type="dxa"/>
              <w:bottom w:w="0" w:type="dxa"/>
              <w:right w:w="108" w:type="dxa"/>
            </w:tcMar>
            <w:hideMark/>
          </w:tcPr>
          <w:p w14:paraId="2BC72D85" w14:textId="77777777" w:rsidR="003B62B1" w:rsidRPr="00100F0A" w:rsidRDefault="003B62B1" w:rsidP="0048293B">
            <w:pPr>
              <w:spacing w:after="144"/>
              <w:rPr>
                <w:rFonts w:eastAsia="Times New Roman" w:cs="Times New Roman"/>
                <w:b/>
                <w:bCs/>
                <w:color w:val="FFFFFF"/>
                <w:sz w:val="20"/>
                <w:szCs w:val="20"/>
              </w:rPr>
            </w:pPr>
            <w:r w:rsidRPr="00100F0A">
              <w:rPr>
                <w:rFonts w:eastAsia="Times New Roman" w:cs="Times New Roman"/>
                <w:b/>
                <w:bCs/>
                <w:color w:val="FFFFFF"/>
                <w:sz w:val="20"/>
                <w:szCs w:val="20"/>
              </w:rPr>
              <w:t> Approach</w:t>
            </w:r>
          </w:p>
        </w:tc>
      </w:tr>
      <w:tr w:rsidR="00DD164D" w:rsidRPr="00100F0A" w14:paraId="5232085B" w14:textId="77777777" w:rsidTr="00DD164D">
        <w:trPr>
          <w:trHeight w:val="2014"/>
        </w:trPr>
        <w:tc>
          <w:tcPr>
            <w:tcW w:w="1769" w:type="dxa"/>
            <w:tcMar>
              <w:top w:w="0" w:type="dxa"/>
              <w:left w:w="108" w:type="dxa"/>
              <w:bottom w:w="0" w:type="dxa"/>
              <w:right w:w="108" w:type="dxa"/>
            </w:tcMar>
          </w:tcPr>
          <w:p w14:paraId="4F5FAB21" w14:textId="1C734DCA" w:rsidR="003B62B1" w:rsidRPr="00100F0A" w:rsidRDefault="00F07D53" w:rsidP="0048293B">
            <w:pPr>
              <w:pStyle w:val="ListParagraph"/>
              <w:numPr>
                <w:ilvl w:val="0"/>
                <w:numId w:val="33"/>
              </w:numPr>
              <w:shd w:val="clear" w:color="auto" w:fill="FFFFFF" w:themeFill="background1"/>
              <w:ind w:left="357" w:hanging="357"/>
              <w:rPr>
                <w:color w:val="000000"/>
                <w:sz w:val="20"/>
              </w:rPr>
            </w:pPr>
            <w:r w:rsidRPr="00100F0A">
              <w:rPr>
                <w:color w:val="000000"/>
                <w:sz w:val="20"/>
              </w:rPr>
              <w:t>Zn refining</w:t>
            </w:r>
          </w:p>
          <w:p w14:paraId="50D6DDC2" w14:textId="2F3EE6E9" w:rsidR="00F07D53" w:rsidRPr="00100F0A" w:rsidRDefault="00F07D53" w:rsidP="0048293B">
            <w:pPr>
              <w:pStyle w:val="ListParagraph"/>
              <w:numPr>
                <w:ilvl w:val="0"/>
                <w:numId w:val="33"/>
              </w:numPr>
              <w:shd w:val="clear" w:color="auto" w:fill="FFFFFF" w:themeFill="background1"/>
              <w:ind w:left="357" w:hanging="357"/>
              <w:rPr>
                <w:color w:val="000000"/>
                <w:sz w:val="20"/>
              </w:rPr>
            </w:pPr>
            <w:r w:rsidRPr="00100F0A">
              <w:rPr>
                <w:color w:val="000000"/>
                <w:sz w:val="20"/>
              </w:rPr>
              <w:t>Iron &amp; steel manufacturing</w:t>
            </w:r>
          </w:p>
        </w:tc>
        <w:tc>
          <w:tcPr>
            <w:tcW w:w="2865" w:type="dxa"/>
            <w:tcMar>
              <w:top w:w="0" w:type="dxa"/>
              <w:left w:w="108" w:type="dxa"/>
              <w:bottom w:w="0" w:type="dxa"/>
              <w:right w:w="108" w:type="dxa"/>
            </w:tcMar>
          </w:tcPr>
          <w:p w14:paraId="35523F59" w14:textId="2A787ECA" w:rsidR="00DD164D" w:rsidRPr="00100F0A" w:rsidRDefault="00DD164D" w:rsidP="0048293B">
            <w:pPr>
              <w:shd w:val="clear" w:color="auto" w:fill="FFFFFF" w:themeFill="background1"/>
              <w:spacing w:after="60"/>
              <w:rPr>
                <w:rFonts w:eastAsia="Times New Roman" w:cs="Times New Roman"/>
                <w:sz w:val="20"/>
                <w:szCs w:val="20"/>
              </w:rPr>
            </w:pPr>
            <w:r w:rsidRPr="00100F0A">
              <w:rPr>
                <w:rFonts w:eastAsia="Times New Roman" w:cs="Times New Roman"/>
                <w:sz w:val="20"/>
                <w:szCs w:val="20"/>
              </w:rPr>
              <w:t xml:space="preserve">Zn waste from Tas appears to be </w:t>
            </w:r>
            <w:r w:rsidRPr="00100F0A">
              <w:rPr>
                <w:rFonts w:eastAsia="Times New Roman" w:cs="Times New Roman"/>
                <w:i/>
                <w:sz w:val="20"/>
                <w:szCs w:val="20"/>
              </w:rPr>
              <w:t>paragoethite</w:t>
            </w:r>
            <w:r w:rsidRPr="00100F0A">
              <w:rPr>
                <w:rFonts w:eastAsia="Times New Roman" w:cs="Times New Roman"/>
                <w:sz w:val="20"/>
                <w:szCs w:val="20"/>
              </w:rPr>
              <w:t>, a by-product of Nyrstar Hobart's zinc refining process.</w:t>
            </w:r>
          </w:p>
          <w:p w14:paraId="2DB7076E" w14:textId="0DADA67B" w:rsidR="00DD164D" w:rsidRPr="00100F0A" w:rsidRDefault="00DD164D" w:rsidP="0048293B">
            <w:pPr>
              <w:shd w:val="clear" w:color="auto" w:fill="FFFFFF" w:themeFill="background1"/>
              <w:rPr>
                <w:rFonts w:eastAsia="Times New Roman" w:cs="Times New Roman"/>
                <w:sz w:val="20"/>
                <w:szCs w:val="20"/>
              </w:rPr>
            </w:pPr>
            <w:r w:rsidRPr="00100F0A">
              <w:rPr>
                <w:sz w:val="20"/>
              </w:rPr>
              <w:t>No sufficiently credible pre-existing projections were identified</w:t>
            </w:r>
            <w:r w:rsidRPr="00100F0A">
              <w:rPr>
                <w:rFonts w:eastAsia="Times New Roman" w:cs="Times New Roman"/>
                <w:sz w:val="20"/>
                <w:szCs w:val="20"/>
              </w:rPr>
              <w:t>, but Zn $ forecast 2018-2030 is instructive, and paragoethite is produced at ~29% of zinc production (Nyrstar 2015)</w:t>
            </w:r>
          </w:p>
        </w:tc>
        <w:tc>
          <w:tcPr>
            <w:tcW w:w="1452" w:type="dxa"/>
            <w:tcMar>
              <w:top w:w="0" w:type="dxa"/>
              <w:left w:w="108" w:type="dxa"/>
              <w:bottom w:w="0" w:type="dxa"/>
              <w:right w:w="108" w:type="dxa"/>
            </w:tcMar>
          </w:tcPr>
          <w:p w14:paraId="09C49304" w14:textId="1A4AF996" w:rsidR="003B62B1" w:rsidRPr="00100F0A" w:rsidRDefault="00DD164D" w:rsidP="0048293B">
            <w:pPr>
              <w:shd w:val="clear" w:color="auto" w:fill="FFFFFF" w:themeFill="background1"/>
              <w:spacing w:after="60"/>
              <w:rPr>
                <w:rFonts w:eastAsia="Times New Roman" w:cs="Times New Roman"/>
                <w:sz w:val="20"/>
                <w:szCs w:val="20"/>
              </w:rPr>
            </w:pPr>
            <w:r w:rsidRPr="00100F0A">
              <w:rPr>
                <w:rFonts w:eastAsia="Times New Roman" w:cs="Times New Roman"/>
                <w:sz w:val="20"/>
                <w:szCs w:val="20"/>
              </w:rPr>
              <w:t>Paragoethite is rich in Zn and is routinely sent to Nyrstar Port Pirie’s lead smelter, presumably due to its relatively high lead content as well.</w:t>
            </w:r>
          </w:p>
        </w:tc>
        <w:tc>
          <w:tcPr>
            <w:tcW w:w="2927" w:type="dxa"/>
            <w:tcMar>
              <w:top w:w="0" w:type="dxa"/>
              <w:left w:w="108" w:type="dxa"/>
              <w:bottom w:w="0" w:type="dxa"/>
              <w:right w:w="108" w:type="dxa"/>
            </w:tcMar>
          </w:tcPr>
          <w:p w14:paraId="4FFCA2DB" w14:textId="4FC6DC94" w:rsidR="00DD164D" w:rsidRPr="00100F0A" w:rsidRDefault="00DD164D" w:rsidP="0048293B">
            <w:pPr>
              <w:shd w:val="clear" w:color="auto" w:fill="FFFFFF" w:themeFill="background1"/>
              <w:rPr>
                <w:sz w:val="20"/>
              </w:rPr>
            </w:pPr>
            <w:r w:rsidRPr="00100F0A">
              <w:rPr>
                <w:sz w:val="20"/>
                <w:u w:val="single"/>
              </w:rPr>
              <w:t>Tas paragoethite projection</w:t>
            </w:r>
            <w:r w:rsidRPr="00100F0A">
              <w:rPr>
                <w:sz w:val="20"/>
              </w:rPr>
              <w:t xml:space="preserve">: </w:t>
            </w:r>
            <w:r w:rsidRPr="00100F0A">
              <w:rPr>
                <w:sz w:val="20"/>
              </w:rPr>
              <w:tab/>
            </w:r>
          </w:p>
          <w:p w14:paraId="2A00980E" w14:textId="0F1AFF70" w:rsidR="00DD164D" w:rsidRPr="00100F0A" w:rsidRDefault="00DD164D" w:rsidP="0048293B">
            <w:pPr>
              <w:shd w:val="clear" w:color="auto" w:fill="FFFFFF" w:themeFill="background1"/>
              <w:rPr>
                <w:sz w:val="20"/>
              </w:rPr>
            </w:pPr>
            <w:r w:rsidRPr="00100F0A">
              <w:rPr>
                <w:sz w:val="20"/>
              </w:rPr>
              <w:t>Low case: Growth follows Nyrstar Hobart Zn production trend (Nyrstar 2017)</w:t>
            </w:r>
          </w:p>
          <w:p w14:paraId="73D62B86" w14:textId="4B642EC6" w:rsidR="00DD164D" w:rsidRPr="00100F0A" w:rsidRDefault="00DD164D" w:rsidP="0048293B">
            <w:pPr>
              <w:shd w:val="clear" w:color="auto" w:fill="FFFFFF" w:themeFill="background1"/>
              <w:rPr>
                <w:sz w:val="20"/>
              </w:rPr>
            </w:pPr>
            <w:r w:rsidRPr="00100F0A">
              <w:rPr>
                <w:sz w:val="20"/>
              </w:rPr>
              <w:t>Best case: Growth follows observed Nyrstar Hobart paragoethite trend of 29% (Nyrstar 2015)</w:t>
            </w:r>
          </w:p>
          <w:p w14:paraId="7A5096BB" w14:textId="46431759" w:rsidR="00DD164D" w:rsidRPr="00100F0A" w:rsidRDefault="00DD164D" w:rsidP="0048293B">
            <w:pPr>
              <w:shd w:val="clear" w:color="auto" w:fill="FFFFFF" w:themeFill="background1"/>
              <w:rPr>
                <w:sz w:val="20"/>
              </w:rPr>
            </w:pPr>
            <w:r w:rsidRPr="00100F0A">
              <w:rPr>
                <w:sz w:val="20"/>
              </w:rPr>
              <w:t>High case: Flat trend</w:t>
            </w:r>
            <w:r w:rsidRPr="00100F0A">
              <w:rPr>
                <w:sz w:val="20"/>
              </w:rPr>
              <w:tab/>
            </w:r>
            <w:r w:rsidRPr="00100F0A">
              <w:rPr>
                <w:sz w:val="20"/>
              </w:rPr>
              <w:tab/>
            </w:r>
          </w:p>
          <w:p w14:paraId="37F87876" w14:textId="00B3893C" w:rsidR="003B62B1" w:rsidRPr="00100F0A" w:rsidRDefault="00DD164D" w:rsidP="0048293B">
            <w:pPr>
              <w:shd w:val="clear" w:color="auto" w:fill="FFFFFF" w:themeFill="background1"/>
              <w:spacing w:after="60"/>
              <w:rPr>
                <w:rFonts w:eastAsia="Times New Roman" w:cs="Times New Roman"/>
                <w:sz w:val="20"/>
                <w:szCs w:val="20"/>
              </w:rPr>
            </w:pPr>
            <w:r w:rsidRPr="00100F0A">
              <w:rPr>
                <w:sz w:val="20"/>
                <w:u w:val="single"/>
              </w:rPr>
              <w:t>Other states' Zn waste</w:t>
            </w:r>
            <w:r w:rsidRPr="00100F0A">
              <w:rPr>
                <w:sz w:val="20"/>
              </w:rPr>
              <w:t>: Generic industry projections</w:t>
            </w:r>
          </w:p>
        </w:tc>
      </w:tr>
    </w:tbl>
    <w:p w14:paraId="33893500" w14:textId="3D8EC8C8" w:rsidR="00DD164D" w:rsidRPr="00100F0A" w:rsidRDefault="00DD164D" w:rsidP="0048293B">
      <w:pPr>
        <w:pStyle w:val="Caption"/>
        <w:shd w:val="clear" w:color="auto" w:fill="FFFFFF" w:themeFill="background1"/>
      </w:pPr>
      <w:bookmarkStart w:id="172" w:name="_Toc13225633"/>
      <w:r w:rsidRPr="00100F0A">
        <w:t xml:space="preserve">Table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14</w:t>
      </w:r>
      <w:r w:rsidR="00B404A6" w:rsidRPr="00100F0A">
        <w:rPr>
          <w:noProof/>
        </w:rPr>
        <w:fldChar w:fldCharType="end"/>
      </w:r>
      <w:r w:rsidR="00C14F18">
        <w:rPr>
          <w:noProof/>
        </w:rPr>
        <w:t>:</w:t>
      </w:r>
      <w:r w:rsidRPr="00100F0A">
        <w:tab/>
        <w:t>Best, high and low projected rates of change for zinc compounds waste to 2037</w:t>
      </w:r>
      <w:bookmarkEnd w:id="172"/>
    </w:p>
    <w:tbl>
      <w:tblPr>
        <w:tblW w:w="8976" w:type="dxa"/>
        <w:tblCellMar>
          <w:left w:w="0" w:type="dxa"/>
          <w:right w:w="0" w:type="dxa"/>
        </w:tblCellMar>
        <w:tblLook w:val="04A0" w:firstRow="1" w:lastRow="0" w:firstColumn="1" w:lastColumn="0" w:noHBand="0" w:noVBand="1"/>
      </w:tblPr>
      <w:tblGrid>
        <w:gridCol w:w="587"/>
        <w:gridCol w:w="1246"/>
        <w:gridCol w:w="5244"/>
        <w:gridCol w:w="773"/>
        <w:gridCol w:w="422"/>
        <w:gridCol w:w="704"/>
      </w:tblGrid>
      <w:tr w:rsidR="00DD164D" w:rsidRPr="00100F0A" w14:paraId="604F0FD9" w14:textId="77777777" w:rsidTr="009604EB">
        <w:trPr>
          <w:tblHeader/>
        </w:trPr>
        <w:tc>
          <w:tcPr>
            <w:tcW w:w="587" w:type="dxa"/>
            <w:tcBorders>
              <w:top w:val="single" w:sz="8" w:space="0" w:color="B7B7E2"/>
              <w:left w:val="single" w:sz="8" w:space="0" w:color="B7B7E2"/>
              <w:bottom w:val="single" w:sz="8" w:space="0" w:color="B7B7E2"/>
              <w:right w:val="single" w:sz="8" w:space="0" w:color="B7B7E2"/>
            </w:tcBorders>
            <w:shd w:val="clear" w:color="auto" w:fill="B7B7E2"/>
            <w:tcMar>
              <w:top w:w="0" w:type="dxa"/>
              <w:left w:w="108" w:type="dxa"/>
              <w:bottom w:w="0" w:type="dxa"/>
              <w:right w:w="108" w:type="dxa"/>
            </w:tcMar>
            <w:vAlign w:val="center"/>
            <w:hideMark/>
          </w:tcPr>
          <w:p w14:paraId="31C31CF0" w14:textId="77777777" w:rsidR="00DD164D" w:rsidRPr="00100F0A" w:rsidRDefault="00DD164D" w:rsidP="0048293B">
            <w:pPr>
              <w:spacing w:after="144"/>
              <w:rPr>
                <w:rFonts w:eastAsia="Times New Roman" w:cs="Times New Roman"/>
                <w:b/>
                <w:bCs/>
                <w:color w:val="FFFFFF"/>
                <w:sz w:val="20"/>
                <w:szCs w:val="20"/>
              </w:rPr>
            </w:pPr>
            <w:r w:rsidRPr="00100F0A">
              <w:rPr>
                <w:rFonts w:eastAsia="Times New Roman" w:cs="Times New Roman"/>
                <w:b/>
                <w:bCs/>
                <w:color w:val="FFFFFF"/>
                <w:sz w:val="20"/>
                <w:szCs w:val="20"/>
              </w:rPr>
              <w:t> </w:t>
            </w:r>
          </w:p>
        </w:tc>
        <w:tc>
          <w:tcPr>
            <w:tcW w:w="1246"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2539F828" w14:textId="77777777" w:rsidR="00DD164D" w:rsidRPr="00100F0A" w:rsidRDefault="00DD164D" w:rsidP="0048293B">
            <w:pPr>
              <w:spacing w:after="144"/>
              <w:rPr>
                <w:rFonts w:eastAsia="Times New Roman" w:cs="Times New Roman"/>
                <w:b/>
                <w:bCs/>
                <w:color w:val="FFFFFF"/>
                <w:sz w:val="20"/>
                <w:szCs w:val="20"/>
              </w:rPr>
            </w:pPr>
            <w:r w:rsidRPr="00100F0A">
              <w:rPr>
                <w:rFonts w:eastAsia="Times New Roman" w:cs="Times New Roman"/>
                <w:b/>
                <w:bCs/>
                <w:color w:val="FFFFFF"/>
                <w:sz w:val="20"/>
                <w:szCs w:val="20"/>
              </w:rPr>
              <w:t> Applies to</w:t>
            </w:r>
          </w:p>
        </w:tc>
        <w:tc>
          <w:tcPr>
            <w:tcW w:w="5244"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3BF1EF9F" w14:textId="77777777" w:rsidR="00DD164D" w:rsidRPr="00100F0A" w:rsidRDefault="00DD164D" w:rsidP="0048293B">
            <w:pPr>
              <w:spacing w:after="144"/>
              <w:rPr>
                <w:rFonts w:eastAsia="Times New Roman" w:cs="Times New Roman"/>
                <w:b/>
                <w:bCs/>
                <w:color w:val="FFFFFF"/>
                <w:sz w:val="20"/>
                <w:szCs w:val="20"/>
              </w:rPr>
            </w:pPr>
            <w:r w:rsidRPr="00100F0A">
              <w:rPr>
                <w:rFonts w:eastAsia="Times New Roman" w:cs="Times New Roman"/>
                <w:b/>
                <w:bCs/>
                <w:color w:val="FFFFFF"/>
                <w:sz w:val="20"/>
                <w:szCs w:val="20"/>
              </w:rPr>
              <w:t> Approach</w:t>
            </w:r>
          </w:p>
        </w:tc>
        <w:tc>
          <w:tcPr>
            <w:tcW w:w="773"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4B827F7A" w14:textId="14813F40" w:rsidR="00DD164D" w:rsidRPr="00100F0A" w:rsidRDefault="00DD164D" w:rsidP="006872A9">
            <w:pPr>
              <w:spacing w:after="144"/>
              <w:jc w:val="center"/>
              <w:rPr>
                <w:rFonts w:eastAsia="Times New Roman" w:cs="Times New Roman"/>
                <w:b/>
                <w:bCs/>
                <w:color w:val="FFFFFF"/>
                <w:sz w:val="20"/>
                <w:szCs w:val="20"/>
              </w:rPr>
            </w:pPr>
            <w:r w:rsidRPr="00100F0A">
              <w:rPr>
                <w:rFonts w:eastAsia="Times New Roman" w:cs="Times New Roman"/>
                <w:b/>
                <w:bCs/>
                <w:color w:val="FFFFFF"/>
                <w:sz w:val="20"/>
                <w:szCs w:val="20"/>
              </w:rPr>
              <w:t>2018</w:t>
            </w:r>
          </w:p>
        </w:tc>
        <w:tc>
          <w:tcPr>
            <w:tcW w:w="422" w:type="dxa"/>
            <w:tcBorders>
              <w:top w:val="single" w:sz="8" w:space="0" w:color="B7B7E2"/>
              <w:left w:val="nil"/>
              <w:bottom w:val="single" w:sz="8" w:space="0" w:color="B7B7E2"/>
              <w:right w:val="single" w:sz="8" w:space="0" w:color="B7B7E2"/>
            </w:tcBorders>
            <w:shd w:val="clear" w:color="auto" w:fill="B7B7E2"/>
          </w:tcPr>
          <w:p w14:paraId="6861478E" w14:textId="77777777" w:rsidR="00DD164D" w:rsidRPr="00100F0A" w:rsidRDefault="00DD164D" w:rsidP="00B30B8D">
            <w:pPr>
              <w:spacing w:after="144"/>
              <w:jc w:val="center"/>
              <w:rPr>
                <w:rFonts w:eastAsia="Times New Roman" w:cs="Times New Roman"/>
                <w:b/>
                <w:bCs/>
                <w:color w:val="FFFFFF"/>
                <w:sz w:val="20"/>
                <w:szCs w:val="20"/>
              </w:rPr>
            </w:pPr>
            <w:r w:rsidRPr="00100F0A">
              <w:rPr>
                <w:rFonts w:eastAsia="Times New Roman" w:cs="Times New Roman"/>
                <w:b/>
                <w:bCs/>
                <w:color w:val="FFFFFF"/>
                <w:sz w:val="20"/>
                <w:szCs w:val="20"/>
              </w:rPr>
              <w:t>...</w:t>
            </w:r>
          </w:p>
        </w:tc>
        <w:tc>
          <w:tcPr>
            <w:tcW w:w="704" w:type="dxa"/>
            <w:tcBorders>
              <w:top w:val="single" w:sz="8" w:space="0" w:color="B7B7E2"/>
              <w:left w:val="nil"/>
              <w:bottom w:val="single" w:sz="8" w:space="0" w:color="B7B7E2"/>
              <w:right w:val="single" w:sz="8" w:space="0" w:color="B7B7E2"/>
            </w:tcBorders>
            <w:shd w:val="clear" w:color="auto" w:fill="B7B7E2"/>
          </w:tcPr>
          <w:p w14:paraId="3470A3F7" w14:textId="77777777" w:rsidR="00DD164D" w:rsidRPr="00100F0A" w:rsidRDefault="00DD164D" w:rsidP="006872A9">
            <w:pPr>
              <w:spacing w:after="144"/>
              <w:jc w:val="center"/>
              <w:rPr>
                <w:rFonts w:eastAsia="Times New Roman" w:cs="Times New Roman"/>
                <w:b/>
                <w:bCs/>
                <w:color w:val="FFFFFF"/>
                <w:sz w:val="20"/>
                <w:szCs w:val="20"/>
              </w:rPr>
            </w:pPr>
            <w:r w:rsidRPr="00100F0A">
              <w:rPr>
                <w:rFonts w:eastAsia="Times New Roman" w:cs="Times New Roman"/>
                <w:b/>
                <w:bCs/>
                <w:color w:val="FFFFFF"/>
                <w:sz w:val="20"/>
                <w:szCs w:val="20"/>
              </w:rPr>
              <w:t>2037</w:t>
            </w:r>
          </w:p>
        </w:tc>
      </w:tr>
      <w:tr w:rsidR="00DD164D" w:rsidRPr="00100F0A" w14:paraId="3F8A025F" w14:textId="77777777" w:rsidTr="009604EB">
        <w:tc>
          <w:tcPr>
            <w:tcW w:w="587" w:type="dxa"/>
            <w:tcBorders>
              <w:top w:val="single" w:sz="8" w:space="0" w:color="B7B7E2"/>
              <w:left w:val="single" w:sz="8" w:space="0" w:color="B7B7E2"/>
              <w:bottom w:val="dotted" w:sz="4" w:space="0" w:color="B7B7E2"/>
              <w:right w:val="single" w:sz="8" w:space="0" w:color="B7B7E2"/>
            </w:tcBorders>
            <w:tcMar>
              <w:top w:w="0" w:type="dxa"/>
              <w:left w:w="108" w:type="dxa"/>
              <w:bottom w:w="0" w:type="dxa"/>
              <w:right w:w="108" w:type="dxa"/>
            </w:tcMar>
            <w:hideMark/>
          </w:tcPr>
          <w:p w14:paraId="7C58F5AD" w14:textId="77777777" w:rsidR="00DD164D" w:rsidRPr="00100F0A" w:rsidRDefault="00DD164D" w:rsidP="0048293B">
            <w:pPr>
              <w:shd w:val="clear" w:color="auto" w:fill="FFFFFF" w:themeFill="background1"/>
              <w:spacing w:after="60"/>
              <w:rPr>
                <w:rFonts w:eastAsia="Times New Roman" w:cs="Times New Roman"/>
                <w:sz w:val="20"/>
              </w:rPr>
            </w:pPr>
            <w:r w:rsidRPr="00100F0A">
              <w:rPr>
                <w:sz w:val="20"/>
              </w:rPr>
              <w:t>Best</w:t>
            </w:r>
          </w:p>
        </w:tc>
        <w:tc>
          <w:tcPr>
            <w:tcW w:w="1246" w:type="dxa"/>
            <w:vMerge w:val="restart"/>
            <w:tcBorders>
              <w:top w:val="single" w:sz="8" w:space="0" w:color="B7B7E2"/>
              <w:left w:val="nil"/>
              <w:right w:val="single" w:sz="4" w:space="0" w:color="B7B7E2"/>
            </w:tcBorders>
            <w:tcMar>
              <w:top w:w="0" w:type="dxa"/>
              <w:left w:w="108" w:type="dxa"/>
              <w:bottom w:w="0" w:type="dxa"/>
              <w:right w:w="108" w:type="dxa"/>
            </w:tcMar>
            <w:vAlign w:val="center"/>
          </w:tcPr>
          <w:p w14:paraId="7BD5D7A5" w14:textId="77777777" w:rsidR="00DD164D" w:rsidRPr="00100F0A" w:rsidRDefault="00DD164D" w:rsidP="0048293B">
            <w:pPr>
              <w:shd w:val="clear" w:color="auto" w:fill="FFFFFF" w:themeFill="background1"/>
              <w:spacing w:after="60"/>
              <w:rPr>
                <w:sz w:val="20"/>
              </w:rPr>
            </w:pPr>
            <w:r w:rsidRPr="00100F0A">
              <w:rPr>
                <w:sz w:val="20"/>
                <w:szCs w:val="20"/>
              </w:rPr>
              <w:t>Tas</w:t>
            </w:r>
          </w:p>
        </w:tc>
        <w:tc>
          <w:tcPr>
            <w:tcW w:w="5244" w:type="dxa"/>
            <w:tcBorders>
              <w:top w:val="single" w:sz="8" w:space="0" w:color="B7B7E2"/>
              <w:left w:val="single" w:sz="4" w:space="0" w:color="B7B7E2"/>
              <w:bottom w:val="dotted" w:sz="4" w:space="0" w:color="B7B7E2"/>
              <w:right w:val="single" w:sz="4" w:space="0" w:color="B7B7E2"/>
            </w:tcBorders>
            <w:tcMar>
              <w:top w:w="0" w:type="dxa"/>
              <w:left w:w="108" w:type="dxa"/>
              <w:bottom w:w="0" w:type="dxa"/>
              <w:right w:w="108" w:type="dxa"/>
            </w:tcMar>
          </w:tcPr>
          <w:p w14:paraId="55BEC110" w14:textId="4446DF87" w:rsidR="00DD164D" w:rsidRPr="00100F0A" w:rsidRDefault="00DD164D" w:rsidP="0048293B">
            <w:pPr>
              <w:shd w:val="clear" w:color="auto" w:fill="FFFFFF" w:themeFill="background1"/>
              <w:rPr>
                <w:rFonts w:eastAsia="Times New Roman" w:cs="Times New Roman"/>
                <w:sz w:val="20"/>
                <w:szCs w:val="20"/>
              </w:rPr>
            </w:pPr>
            <w:r w:rsidRPr="00100F0A">
              <w:rPr>
                <w:rFonts w:cs="Calibri"/>
                <w:color w:val="000000"/>
                <w:sz w:val="20"/>
                <w:szCs w:val="20"/>
              </w:rPr>
              <w:t>Nyrstar Hobart paragoethite trend (2011-17)</w:t>
            </w:r>
          </w:p>
        </w:tc>
        <w:tc>
          <w:tcPr>
            <w:tcW w:w="773" w:type="dxa"/>
            <w:tcBorders>
              <w:top w:val="single" w:sz="8" w:space="0" w:color="B7B7E2"/>
              <w:left w:val="single" w:sz="4" w:space="0" w:color="B7B7E2"/>
              <w:bottom w:val="dotted" w:sz="4" w:space="0" w:color="B7B7E2"/>
              <w:right w:val="single" w:sz="8" w:space="0" w:color="B7B7E2"/>
            </w:tcBorders>
            <w:tcMar>
              <w:top w:w="0" w:type="dxa"/>
              <w:left w:w="108" w:type="dxa"/>
              <w:bottom w:w="0" w:type="dxa"/>
              <w:right w:w="108" w:type="dxa"/>
            </w:tcMar>
            <w:hideMark/>
          </w:tcPr>
          <w:p w14:paraId="120160DA" w14:textId="62F6F34E" w:rsidR="00DD164D" w:rsidRPr="00100F0A" w:rsidRDefault="00DD164D" w:rsidP="006872A9">
            <w:pPr>
              <w:shd w:val="clear" w:color="auto" w:fill="FFFFFF" w:themeFill="background1"/>
              <w:spacing w:after="60"/>
              <w:jc w:val="center"/>
              <w:rPr>
                <w:rFonts w:eastAsia="Times New Roman" w:cs="Times New Roman"/>
                <w:color w:val="000000" w:themeColor="text1"/>
                <w:sz w:val="20"/>
                <w:szCs w:val="20"/>
              </w:rPr>
            </w:pPr>
            <w:r w:rsidRPr="00100F0A">
              <w:rPr>
                <w:rFonts w:cs="Calibri"/>
                <w:bCs/>
                <w:color w:val="000000" w:themeColor="text1"/>
                <w:sz w:val="20"/>
                <w:szCs w:val="20"/>
              </w:rPr>
              <w:t>-1.4%</w:t>
            </w:r>
          </w:p>
        </w:tc>
        <w:tc>
          <w:tcPr>
            <w:tcW w:w="422" w:type="dxa"/>
            <w:tcBorders>
              <w:top w:val="single" w:sz="8" w:space="0" w:color="B7B7E2"/>
              <w:left w:val="nil"/>
              <w:bottom w:val="dotted" w:sz="4" w:space="0" w:color="B7B7E2"/>
              <w:right w:val="single" w:sz="8" w:space="0" w:color="B7B7E2"/>
            </w:tcBorders>
          </w:tcPr>
          <w:p w14:paraId="59ED3D19" w14:textId="77777777" w:rsidR="00DD164D" w:rsidRPr="00100F0A" w:rsidRDefault="00DD164D" w:rsidP="00B30B8D">
            <w:pPr>
              <w:shd w:val="clear" w:color="auto" w:fill="FFFFFF" w:themeFill="background1"/>
              <w:spacing w:after="60"/>
              <w:jc w:val="center"/>
              <w:rPr>
                <w:rFonts w:eastAsia="Times New Roman" w:cs="Times New Roman"/>
                <w:sz w:val="20"/>
                <w:szCs w:val="20"/>
              </w:rPr>
            </w:pPr>
            <w:r w:rsidRPr="00100F0A">
              <w:rPr>
                <w:sz w:val="20"/>
                <w:szCs w:val="20"/>
              </w:rPr>
              <w:t>...</w:t>
            </w:r>
          </w:p>
        </w:tc>
        <w:tc>
          <w:tcPr>
            <w:tcW w:w="704" w:type="dxa"/>
            <w:tcBorders>
              <w:top w:val="single" w:sz="8" w:space="0" w:color="B7B7E2"/>
              <w:left w:val="nil"/>
              <w:bottom w:val="dotted" w:sz="4" w:space="0" w:color="B7B7E2"/>
              <w:right w:val="single" w:sz="8" w:space="0" w:color="B7B7E2"/>
            </w:tcBorders>
          </w:tcPr>
          <w:p w14:paraId="634740B3" w14:textId="52525555" w:rsidR="00DD164D" w:rsidRPr="00100F0A" w:rsidRDefault="00DD164D" w:rsidP="006872A9">
            <w:pPr>
              <w:shd w:val="clear" w:color="auto" w:fill="FFFFFF" w:themeFill="background1"/>
              <w:spacing w:after="60"/>
              <w:jc w:val="center"/>
              <w:rPr>
                <w:rFonts w:cs="Calibri"/>
                <w:color w:val="000000" w:themeColor="text1"/>
                <w:sz w:val="20"/>
                <w:szCs w:val="20"/>
              </w:rPr>
            </w:pPr>
            <w:r w:rsidRPr="00100F0A">
              <w:rPr>
                <w:rFonts w:cs="Calibri"/>
                <w:color w:val="000000" w:themeColor="text1"/>
                <w:sz w:val="20"/>
                <w:szCs w:val="20"/>
              </w:rPr>
              <w:t>-1.4%</w:t>
            </w:r>
          </w:p>
        </w:tc>
      </w:tr>
      <w:tr w:rsidR="00DD164D" w:rsidRPr="00100F0A" w14:paraId="1046D5BC" w14:textId="77777777" w:rsidTr="009604EB">
        <w:tc>
          <w:tcPr>
            <w:tcW w:w="587" w:type="dxa"/>
            <w:tcBorders>
              <w:top w:val="dotted" w:sz="4" w:space="0" w:color="B7B7E2"/>
              <w:left w:val="single" w:sz="8" w:space="0" w:color="B7B7E2"/>
              <w:bottom w:val="dotted" w:sz="4" w:space="0" w:color="B7B7E2"/>
              <w:right w:val="single" w:sz="8" w:space="0" w:color="B7B7E2"/>
            </w:tcBorders>
            <w:tcMar>
              <w:top w:w="0" w:type="dxa"/>
              <w:left w:w="108" w:type="dxa"/>
              <w:bottom w:w="0" w:type="dxa"/>
              <w:right w:w="108" w:type="dxa"/>
            </w:tcMar>
            <w:hideMark/>
          </w:tcPr>
          <w:p w14:paraId="2C89CD35" w14:textId="77777777" w:rsidR="00DD164D" w:rsidRPr="00100F0A" w:rsidRDefault="00DD164D" w:rsidP="0048293B">
            <w:pPr>
              <w:shd w:val="clear" w:color="auto" w:fill="FFFFFF" w:themeFill="background1"/>
              <w:spacing w:after="60"/>
              <w:rPr>
                <w:rFonts w:eastAsia="Times New Roman" w:cs="Times New Roman"/>
                <w:sz w:val="20"/>
              </w:rPr>
            </w:pPr>
            <w:r w:rsidRPr="00100F0A">
              <w:rPr>
                <w:sz w:val="20"/>
              </w:rPr>
              <w:t>High</w:t>
            </w:r>
          </w:p>
        </w:tc>
        <w:tc>
          <w:tcPr>
            <w:tcW w:w="1246" w:type="dxa"/>
            <w:vMerge/>
            <w:tcBorders>
              <w:left w:val="nil"/>
              <w:right w:val="single" w:sz="4" w:space="0" w:color="B7B7E2"/>
            </w:tcBorders>
            <w:tcMar>
              <w:top w:w="0" w:type="dxa"/>
              <w:left w:w="108" w:type="dxa"/>
              <w:bottom w:w="0" w:type="dxa"/>
              <w:right w:w="108" w:type="dxa"/>
            </w:tcMar>
          </w:tcPr>
          <w:p w14:paraId="3D9223CD" w14:textId="77777777" w:rsidR="00DD164D" w:rsidRPr="00100F0A" w:rsidRDefault="00DD164D" w:rsidP="0048293B">
            <w:pPr>
              <w:shd w:val="clear" w:color="auto" w:fill="FFFFFF" w:themeFill="background1"/>
              <w:spacing w:after="60"/>
              <w:rPr>
                <w:sz w:val="20"/>
              </w:rPr>
            </w:pPr>
          </w:p>
        </w:tc>
        <w:tc>
          <w:tcPr>
            <w:tcW w:w="5244"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tcPr>
          <w:p w14:paraId="2A743622" w14:textId="2FC63B84" w:rsidR="00DD164D" w:rsidRPr="00100F0A" w:rsidRDefault="00DD164D" w:rsidP="0048293B">
            <w:pPr>
              <w:shd w:val="clear" w:color="auto" w:fill="FFFFFF" w:themeFill="background1"/>
              <w:rPr>
                <w:rFonts w:eastAsia="Times New Roman" w:cs="Times New Roman"/>
                <w:sz w:val="20"/>
                <w:szCs w:val="20"/>
              </w:rPr>
            </w:pPr>
            <w:r w:rsidRPr="00100F0A">
              <w:rPr>
                <w:rFonts w:cs="Calibri"/>
                <w:color w:val="000000"/>
                <w:sz w:val="20"/>
                <w:szCs w:val="20"/>
              </w:rPr>
              <w:t>Flat trend</w:t>
            </w:r>
          </w:p>
        </w:tc>
        <w:tc>
          <w:tcPr>
            <w:tcW w:w="773" w:type="dxa"/>
            <w:tcBorders>
              <w:top w:val="dotted" w:sz="4" w:space="0" w:color="B7B7E2"/>
              <w:left w:val="single" w:sz="4" w:space="0" w:color="B7B7E2"/>
              <w:bottom w:val="dotted" w:sz="4" w:space="0" w:color="B7B7E2"/>
              <w:right w:val="single" w:sz="8" w:space="0" w:color="B7B7E2"/>
            </w:tcBorders>
            <w:tcMar>
              <w:top w:w="0" w:type="dxa"/>
              <w:left w:w="108" w:type="dxa"/>
              <w:bottom w:w="0" w:type="dxa"/>
              <w:right w:w="108" w:type="dxa"/>
            </w:tcMar>
            <w:hideMark/>
          </w:tcPr>
          <w:p w14:paraId="474D74D7" w14:textId="6BFBC38A" w:rsidR="00DD164D" w:rsidRPr="00100F0A" w:rsidRDefault="00DD164D" w:rsidP="006872A9">
            <w:pPr>
              <w:shd w:val="clear" w:color="auto" w:fill="FFFFFF" w:themeFill="background1"/>
              <w:spacing w:after="60"/>
              <w:jc w:val="center"/>
              <w:rPr>
                <w:rFonts w:eastAsia="Times New Roman" w:cs="Times New Roman"/>
                <w:color w:val="000000" w:themeColor="text1"/>
                <w:sz w:val="20"/>
                <w:szCs w:val="20"/>
              </w:rPr>
            </w:pPr>
            <w:r w:rsidRPr="00100F0A">
              <w:rPr>
                <w:rFonts w:cs="Calibri"/>
                <w:bCs/>
                <w:color w:val="000000" w:themeColor="text1"/>
                <w:sz w:val="20"/>
                <w:szCs w:val="20"/>
              </w:rPr>
              <w:t>0.0%</w:t>
            </w:r>
          </w:p>
        </w:tc>
        <w:tc>
          <w:tcPr>
            <w:tcW w:w="422" w:type="dxa"/>
            <w:tcBorders>
              <w:top w:val="dotted" w:sz="4" w:space="0" w:color="B7B7E2"/>
              <w:left w:val="nil"/>
              <w:bottom w:val="dotted" w:sz="4" w:space="0" w:color="B7B7E2"/>
              <w:right w:val="single" w:sz="8" w:space="0" w:color="B7B7E2"/>
            </w:tcBorders>
          </w:tcPr>
          <w:p w14:paraId="018848AE" w14:textId="77777777" w:rsidR="00DD164D" w:rsidRPr="00100F0A" w:rsidRDefault="00DD164D" w:rsidP="00B30B8D">
            <w:pPr>
              <w:shd w:val="clear" w:color="auto" w:fill="FFFFFF" w:themeFill="background1"/>
              <w:spacing w:after="60"/>
              <w:jc w:val="center"/>
              <w:rPr>
                <w:rFonts w:eastAsia="Times New Roman" w:cs="Times New Roman"/>
                <w:sz w:val="20"/>
                <w:szCs w:val="20"/>
              </w:rPr>
            </w:pPr>
            <w:r w:rsidRPr="00100F0A">
              <w:rPr>
                <w:sz w:val="20"/>
                <w:szCs w:val="20"/>
              </w:rPr>
              <w:t>...</w:t>
            </w:r>
          </w:p>
        </w:tc>
        <w:tc>
          <w:tcPr>
            <w:tcW w:w="704" w:type="dxa"/>
            <w:tcBorders>
              <w:top w:val="dotted" w:sz="4" w:space="0" w:color="B7B7E2"/>
              <w:left w:val="nil"/>
              <w:bottom w:val="dotted" w:sz="4" w:space="0" w:color="B7B7E2"/>
              <w:right w:val="single" w:sz="8" w:space="0" w:color="B7B7E2"/>
            </w:tcBorders>
          </w:tcPr>
          <w:p w14:paraId="4EF7B77B" w14:textId="16685C28" w:rsidR="00DD164D" w:rsidRPr="00100F0A" w:rsidRDefault="00DD164D" w:rsidP="006872A9">
            <w:pPr>
              <w:shd w:val="clear" w:color="auto" w:fill="FFFFFF" w:themeFill="background1"/>
              <w:spacing w:after="60"/>
              <w:jc w:val="center"/>
              <w:rPr>
                <w:rFonts w:cs="Calibri"/>
                <w:color w:val="000000" w:themeColor="text1"/>
                <w:sz w:val="20"/>
                <w:szCs w:val="20"/>
              </w:rPr>
            </w:pPr>
            <w:r w:rsidRPr="00100F0A">
              <w:rPr>
                <w:rFonts w:cs="Calibri"/>
                <w:color w:val="000000" w:themeColor="text1"/>
                <w:sz w:val="20"/>
                <w:szCs w:val="20"/>
              </w:rPr>
              <w:t>0.0%</w:t>
            </w:r>
          </w:p>
        </w:tc>
      </w:tr>
      <w:tr w:rsidR="00DD164D" w:rsidRPr="00100F0A" w14:paraId="0EE2C3CE" w14:textId="77777777" w:rsidTr="009604EB">
        <w:tc>
          <w:tcPr>
            <w:tcW w:w="587" w:type="dxa"/>
            <w:tcBorders>
              <w:top w:val="dotted" w:sz="4" w:space="0" w:color="B7B7E2"/>
              <w:left w:val="single" w:sz="8" w:space="0" w:color="B7B7E2"/>
              <w:bottom w:val="single" w:sz="4" w:space="0" w:color="B7B7E2"/>
              <w:right w:val="single" w:sz="8" w:space="0" w:color="B7B7E2"/>
            </w:tcBorders>
            <w:tcMar>
              <w:top w:w="0" w:type="dxa"/>
              <w:left w:w="108" w:type="dxa"/>
              <w:bottom w:w="0" w:type="dxa"/>
              <w:right w:w="108" w:type="dxa"/>
            </w:tcMar>
            <w:hideMark/>
          </w:tcPr>
          <w:p w14:paraId="08823DEE" w14:textId="77777777" w:rsidR="00DD164D" w:rsidRPr="00100F0A" w:rsidRDefault="00DD164D" w:rsidP="0048293B">
            <w:pPr>
              <w:shd w:val="clear" w:color="auto" w:fill="FFFFFF" w:themeFill="background1"/>
              <w:spacing w:after="60"/>
              <w:rPr>
                <w:rFonts w:eastAsia="Times New Roman" w:cs="Times New Roman"/>
                <w:sz w:val="20"/>
              </w:rPr>
            </w:pPr>
            <w:r w:rsidRPr="00100F0A">
              <w:rPr>
                <w:sz w:val="20"/>
              </w:rPr>
              <w:t>Low</w:t>
            </w:r>
          </w:p>
        </w:tc>
        <w:tc>
          <w:tcPr>
            <w:tcW w:w="1246" w:type="dxa"/>
            <w:vMerge/>
            <w:tcBorders>
              <w:left w:val="nil"/>
              <w:bottom w:val="single" w:sz="8" w:space="0" w:color="B7B7E2"/>
              <w:right w:val="single" w:sz="4" w:space="0" w:color="B7B7E2"/>
            </w:tcBorders>
            <w:tcMar>
              <w:top w:w="0" w:type="dxa"/>
              <w:left w:w="108" w:type="dxa"/>
              <w:bottom w:w="0" w:type="dxa"/>
              <w:right w:w="108" w:type="dxa"/>
            </w:tcMar>
          </w:tcPr>
          <w:p w14:paraId="078E8285" w14:textId="77777777" w:rsidR="00DD164D" w:rsidRPr="00100F0A" w:rsidRDefault="00DD164D" w:rsidP="0048293B">
            <w:pPr>
              <w:shd w:val="clear" w:color="auto" w:fill="FFFFFF" w:themeFill="background1"/>
              <w:spacing w:after="60"/>
              <w:rPr>
                <w:sz w:val="20"/>
              </w:rPr>
            </w:pPr>
          </w:p>
        </w:tc>
        <w:tc>
          <w:tcPr>
            <w:tcW w:w="5244" w:type="dxa"/>
            <w:tcBorders>
              <w:top w:val="dotted" w:sz="4" w:space="0" w:color="B7B7E2"/>
              <w:left w:val="single" w:sz="4" w:space="0" w:color="B7B7E2"/>
              <w:bottom w:val="single" w:sz="8" w:space="0" w:color="B7B7E2"/>
              <w:right w:val="single" w:sz="4" w:space="0" w:color="B7B7E2"/>
            </w:tcBorders>
            <w:tcMar>
              <w:top w:w="0" w:type="dxa"/>
              <w:left w:w="108" w:type="dxa"/>
              <w:bottom w:w="0" w:type="dxa"/>
              <w:right w:w="108" w:type="dxa"/>
            </w:tcMar>
          </w:tcPr>
          <w:p w14:paraId="0131DE7E" w14:textId="2B2B3AF1" w:rsidR="00DD164D" w:rsidRPr="00100F0A" w:rsidRDefault="00DD164D" w:rsidP="0048293B">
            <w:pPr>
              <w:shd w:val="clear" w:color="auto" w:fill="FFFFFF" w:themeFill="background1"/>
              <w:rPr>
                <w:rFonts w:eastAsia="Times New Roman" w:cs="Times New Roman"/>
                <w:sz w:val="20"/>
                <w:szCs w:val="20"/>
              </w:rPr>
            </w:pPr>
            <w:r w:rsidRPr="00100F0A">
              <w:rPr>
                <w:rFonts w:cs="Calibri"/>
                <w:color w:val="000000"/>
                <w:sz w:val="20"/>
                <w:szCs w:val="20"/>
              </w:rPr>
              <w:t>Nyrstar Hobart Zn production trend (Nyrstar 2017)</w:t>
            </w:r>
          </w:p>
        </w:tc>
        <w:tc>
          <w:tcPr>
            <w:tcW w:w="773" w:type="dxa"/>
            <w:tcBorders>
              <w:top w:val="dotted" w:sz="4" w:space="0" w:color="B7B7E2"/>
              <w:left w:val="single" w:sz="4" w:space="0" w:color="B7B7E2"/>
              <w:bottom w:val="single" w:sz="4" w:space="0" w:color="B7B7E2"/>
              <w:right w:val="single" w:sz="8" w:space="0" w:color="B7B7E2"/>
            </w:tcBorders>
            <w:tcMar>
              <w:top w:w="0" w:type="dxa"/>
              <w:left w:w="108" w:type="dxa"/>
              <w:bottom w:w="0" w:type="dxa"/>
              <w:right w:w="108" w:type="dxa"/>
            </w:tcMar>
            <w:hideMark/>
          </w:tcPr>
          <w:p w14:paraId="713147C2" w14:textId="19CD3194" w:rsidR="00DD164D" w:rsidRPr="00100F0A" w:rsidRDefault="00DD164D" w:rsidP="006872A9">
            <w:pPr>
              <w:shd w:val="clear" w:color="auto" w:fill="FFFFFF" w:themeFill="background1"/>
              <w:spacing w:after="60"/>
              <w:jc w:val="center"/>
              <w:rPr>
                <w:rFonts w:eastAsia="Times New Roman" w:cs="Times New Roman"/>
                <w:color w:val="000000" w:themeColor="text1"/>
                <w:sz w:val="20"/>
                <w:szCs w:val="20"/>
              </w:rPr>
            </w:pPr>
            <w:r w:rsidRPr="00100F0A">
              <w:rPr>
                <w:rFonts w:cs="Calibri"/>
                <w:bCs/>
                <w:color w:val="000000" w:themeColor="text1"/>
                <w:sz w:val="20"/>
                <w:szCs w:val="20"/>
              </w:rPr>
              <w:t>-2.2%</w:t>
            </w:r>
          </w:p>
        </w:tc>
        <w:tc>
          <w:tcPr>
            <w:tcW w:w="422" w:type="dxa"/>
            <w:tcBorders>
              <w:top w:val="dotted" w:sz="4" w:space="0" w:color="B7B7E2"/>
              <w:left w:val="nil"/>
              <w:bottom w:val="single" w:sz="4" w:space="0" w:color="B7B7E2"/>
              <w:right w:val="single" w:sz="8" w:space="0" w:color="B7B7E2"/>
            </w:tcBorders>
          </w:tcPr>
          <w:p w14:paraId="0A9AE254" w14:textId="77777777" w:rsidR="00DD164D" w:rsidRPr="00100F0A" w:rsidRDefault="00DD164D" w:rsidP="00B30B8D">
            <w:pPr>
              <w:shd w:val="clear" w:color="auto" w:fill="FFFFFF" w:themeFill="background1"/>
              <w:spacing w:after="60"/>
              <w:jc w:val="center"/>
              <w:rPr>
                <w:rFonts w:eastAsia="Times New Roman" w:cs="Times New Roman"/>
                <w:sz w:val="20"/>
                <w:szCs w:val="20"/>
              </w:rPr>
            </w:pPr>
            <w:r w:rsidRPr="00100F0A">
              <w:rPr>
                <w:sz w:val="20"/>
                <w:szCs w:val="20"/>
              </w:rPr>
              <w:t>...</w:t>
            </w:r>
          </w:p>
        </w:tc>
        <w:tc>
          <w:tcPr>
            <w:tcW w:w="704" w:type="dxa"/>
            <w:tcBorders>
              <w:top w:val="dotted" w:sz="4" w:space="0" w:color="B7B7E2"/>
              <w:left w:val="nil"/>
              <w:bottom w:val="single" w:sz="4" w:space="0" w:color="B7B7E2"/>
              <w:right w:val="single" w:sz="8" w:space="0" w:color="B7B7E2"/>
            </w:tcBorders>
          </w:tcPr>
          <w:p w14:paraId="77EB09C5" w14:textId="003F7778" w:rsidR="00DD164D" w:rsidRPr="00100F0A" w:rsidRDefault="00DD164D" w:rsidP="006872A9">
            <w:pPr>
              <w:shd w:val="clear" w:color="auto" w:fill="FFFFFF" w:themeFill="background1"/>
              <w:spacing w:after="60"/>
              <w:jc w:val="center"/>
              <w:rPr>
                <w:rFonts w:cs="Calibri"/>
                <w:bCs/>
                <w:color w:val="000000" w:themeColor="text1"/>
                <w:sz w:val="20"/>
                <w:szCs w:val="20"/>
              </w:rPr>
            </w:pPr>
            <w:r w:rsidRPr="00100F0A">
              <w:rPr>
                <w:rFonts w:cs="Calibri"/>
                <w:bCs/>
                <w:color w:val="000000" w:themeColor="text1"/>
                <w:sz w:val="20"/>
                <w:szCs w:val="20"/>
              </w:rPr>
              <w:t>-2.2%</w:t>
            </w:r>
          </w:p>
        </w:tc>
      </w:tr>
      <w:tr w:rsidR="00DD164D" w:rsidRPr="00100F0A" w14:paraId="63804385" w14:textId="77777777" w:rsidTr="009604EB">
        <w:tc>
          <w:tcPr>
            <w:tcW w:w="587" w:type="dxa"/>
            <w:tcBorders>
              <w:top w:val="dotted" w:sz="4" w:space="0" w:color="B7B7E2"/>
              <w:left w:val="single" w:sz="8" w:space="0" w:color="B7B7E2"/>
              <w:bottom w:val="dotted" w:sz="4" w:space="0" w:color="B7B7E2"/>
              <w:right w:val="single" w:sz="8" w:space="0" w:color="B7B7E2"/>
            </w:tcBorders>
            <w:tcMar>
              <w:top w:w="0" w:type="dxa"/>
              <w:left w:w="108" w:type="dxa"/>
              <w:bottom w:w="0" w:type="dxa"/>
              <w:right w:w="108" w:type="dxa"/>
            </w:tcMar>
          </w:tcPr>
          <w:p w14:paraId="2C7E70CE" w14:textId="77777777" w:rsidR="00DD164D" w:rsidRPr="00100F0A" w:rsidRDefault="00DD164D" w:rsidP="0048293B">
            <w:pPr>
              <w:shd w:val="clear" w:color="auto" w:fill="FFFFFF" w:themeFill="background1"/>
              <w:spacing w:after="60"/>
              <w:rPr>
                <w:sz w:val="20"/>
              </w:rPr>
            </w:pPr>
            <w:r w:rsidRPr="00100F0A">
              <w:rPr>
                <w:sz w:val="20"/>
              </w:rPr>
              <w:t>Best</w:t>
            </w:r>
          </w:p>
        </w:tc>
        <w:tc>
          <w:tcPr>
            <w:tcW w:w="1246" w:type="dxa"/>
            <w:vMerge w:val="restart"/>
            <w:tcBorders>
              <w:left w:val="nil"/>
              <w:bottom w:val="dotted" w:sz="4" w:space="0" w:color="B7B7E2"/>
              <w:right w:val="single" w:sz="4" w:space="0" w:color="B7B7E2"/>
            </w:tcBorders>
            <w:tcMar>
              <w:top w:w="0" w:type="dxa"/>
              <w:left w:w="108" w:type="dxa"/>
              <w:bottom w:w="0" w:type="dxa"/>
              <w:right w:w="108" w:type="dxa"/>
            </w:tcMar>
          </w:tcPr>
          <w:p w14:paraId="09BA66CE" w14:textId="77777777" w:rsidR="00DD164D" w:rsidRPr="00100F0A" w:rsidRDefault="00DD164D" w:rsidP="0048293B">
            <w:pPr>
              <w:shd w:val="clear" w:color="auto" w:fill="FFFFFF" w:themeFill="background1"/>
              <w:spacing w:after="60"/>
              <w:rPr>
                <w:sz w:val="20"/>
              </w:rPr>
            </w:pPr>
            <w:r w:rsidRPr="00100F0A">
              <w:rPr>
                <w:sz w:val="20"/>
              </w:rPr>
              <w:t>ACT, NSW, NT, Qld, SA, Vic, WA</w:t>
            </w:r>
          </w:p>
        </w:tc>
        <w:tc>
          <w:tcPr>
            <w:tcW w:w="5244"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tcPr>
          <w:p w14:paraId="4F06A9C1" w14:textId="1B213BBD" w:rsidR="00DD164D" w:rsidRPr="00100F0A" w:rsidRDefault="00C34F48" w:rsidP="0048293B">
            <w:pPr>
              <w:shd w:val="clear" w:color="auto" w:fill="FFFFFF" w:themeFill="background1"/>
              <w:rPr>
                <w:rFonts w:cs="Calibri"/>
                <w:color w:val="000000"/>
                <w:sz w:val="20"/>
                <w:szCs w:val="20"/>
              </w:rPr>
            </w:pPr>
            <w:r>
              <w:rPr>
                <w:rFonts w:cs="Calibri"/>
                <w:color w:val="000000"/>
                <w:sz w:val="20"/>
                <w:szCs w:val="20"/>
              </w:rPr>
              <w:t>20-year average</w:t>
            </w:r>
            <w:r w:rsidR="00DD164D" w:rsidRPr="00100F0A">
              <w:rPr>
                <w:rFonts w:cs="Calibri"/>
                <w:color w:val="000000"/>
                <w:sz w:val="20"/>
                <w:szCs w:val="20"/>
              </w:rPr>
              <w:t xml:space="preserve"> annual population growth </w:t>
            </w:r>
          </w:p>
        </w:tc>
        <w:tc>
          <w:tcPr>
            <w:tcW w:w="773" w:type="dxa"/>
            <w:tcBorders>
              <w:top w:val="dotted" w:sz="4" w:space="0" w:color="B7B7E2"/>
              <w:left w:val="single" w:sz="4" w:space="0" w:color="B7B7E2"/>
              <w:bottom w:val="dotted" w:sz="4" w:space="0" w:color="B7B7E2"/>
              <w:right w:val="single" w:sz="8" w:space="0" w:color="B7B7E2"/>
            </w:tcBorders>
            <w:tcMar>
              <w:top w:w="0" w:type="dxa"/>
              <w:left w:w="108" w:type="dxa"/>
              <w:bottom w:w="0" w:type="dxa"/>
              <w:right w:w="108" w:type="dxa"/>
            </w:tcMar>
          </w:tcPr>
          <w:p w14:paraId="4DAB1E70" w14:textId="71EEF803" w:rsidR="00DD164D" w:rsidRPr="00100F0A" w:rsidRDefault="00DD164D" w:rsidP="006872A9">
            <w:pPr>
              <w:shd w:val="clear" w:color="auto" w:fill="FFFFFF" w:themeFill="background1"/>
              <w:spacing w:after="60"/>
              <w:jc w:val="center"/>
              <w:rPr>
                <w:rFonts w:cs="Calibri"/>
                <w:bCs/>
                <w:color w:val="000000" w:themeColor="text1"/>
                <w:sz w:val="20"/>
                <w:szCs w:val="20"/>
              </w:rPr>
            </w:pPr>
            <w:r w:rsidRPr="00100F0A">
              <w:rPr>
                <w:rFonts w:cs="Calibri"/>
                <w:bCs/>
                <w:color w:val="000000" w:themeColor="text1"/>
                <w:sz w:val="20"/>
                <w:szCs w:val="20"/>
              </w:rPr>
              <w:t>1.4%</w:t>
            </w:r>
          </w:p>
        </w:tc>
        <w:tc>
          <w:tcPr>
            <w:tcW w:w="422" w:type="dxa"/>
            <w:tcBorders>
              <w:top w:val="dotted" w:sz="4" w:space="0" w:color="B7B7E2"/>
              <w:left w:val="nil"/>
              <w:bottom w:val="dotted" w:sz="4" w:space="0" w:color="B7B7E2"/>
              <w:right w:val="single" w:sz="8" w:space="0" w:color="B7B7E2"/>
            </w:tcBorders>
          </w:tcPr>
          <w:p w14:paraId="38BB99E9" w14:textId="77777777" w:rsidR="00DD164D" w:rsidRPr="00100F0A" w:rsidRDefault="00DD164D" w:rsidP="00B30B8D">
            <w:pPr>
              <w:shd w:val="clear" w:color="auto" w:fill="FFFFFF" w:themeFill="background1"/>
              <w:spacing w:after="60"/>
              <w:jc w:val="center"/>
              <w:rPr>
                <w:sz w:val="20"/>
                <w:szCs w:val="20"/>
              </w:rPr>
            </w:pPr>
            <w:r w:rsidRPr="00100F0A">
              <w:rPr>
                <w:sz w:val="20"/>
                <w:szCs w:val="20"/>
              </w:rPr>
              <w:t>...</w:t>
            </w:r>
          </w:p>
        </w:tc>
        <w:tc>
          <w:tcPr>
            <w:tcW w:w="704" w:type="dxa"/>
            <w:tcBorders>
              <w:top w:val="dotted" w:sz="4" w:space="0" w:color="B7B7E2"/>
              <w:left w:val="nil"/>
              <w:bottom w:val="dotted" w:sz="4" w:space="0" w:color="B7B7E2"/>
              <w:right w:val="single" w:sz="8" w:space="0" w:color="B7B7E2"/>
            </w:tcBorders>
          </w:tcPr>
          <w:p w14:paraId="4CEE0D47" w14:textId="5A48B5EB" w:rsidR="00DD164D" w:rsidRPr="00100F0A" w:rsidRDefault="00DD164D" w:rsidP="006872A9">
            <w:pPr>
              <w:shd w:val="clear" w:color="auto" w:fill="FFFFFF" w:themeFill="background1"/>
              <w:spacing w:after="60"/>
              <w:jc w:val="center"/>
              <w:rPr>
                <w:rFonts w:cs="Calibri"/>
                <w:color w:val="000000" w:themeColor="text1"/>
                <w:sz w:val="20"/>
                <w:szCs w:val="20"/>
              </w:rPr>
            </w:pPr>
            <w:r w:rsidRPr="00100F0A">
              <w:rPr>
                <w:rFonts w:cs="Calibri"/>
                <w:color w:val="000000" w:themeColor="text1"/>
                <w:sz w:val="20"/>
                <w:szCs w:val="20"/>
              </w:rPr>
              <w:t>1.4%</w:t>
            </w:r>
          </w:p>
        </w:tc>
      </w:tr>
      <w:tr w:rsidR="00DD164D" w:rsidRPr="00100F0A" w14:paraId="604C938C" w14:textId="77777777" w:rsidTr="009604EB">
        <w:tc>
          <w:tcPr>
            <w:tcW w:w="587" w:type="dxa"/>
            <w:tcBorders>
              <w:top w:val="dotted" w:sz="4" w:space="0" w:color="B7B7E2"/>
              <w:left w:val="single" w:sz="8" w:space="0" w:color="B7B7E2"/>
              <w:bottom w:val="dotted" w:sz="4" w:space="0" w:color="B7B7E2"/>
              <w:right w:val="single" w:sz="8" w:space="0" w:color="B7B7E2"/>
            </w:tcBorders>
            <w:tcMar>
              <w:top w:w="0" w:type="dxa"/>
              <w:left w:w="108" w:type="dxa"/>
              <w:bottom w:w="0" w:type="dxa"/>
              <w:right w:w="108" w:type="dxa"/>
            </w:tcMar>
          </w:tcPr>
          <w:p w14:paraId="4AAB2047" w14:textId="77777777" w:rsidR="00DD164D" w:rsidRPr="00100F0A" w:rsidRDefault="00DD164D" w:rsidP="0048293B">
            <w:pPr>
              <w:shd w:val="clear" w:color="auto" w:fill="FFFFFF" w:themeFill="background1"/>
              <w:spacing w:after="60"/>
              <w:rPr>
                <w:sz w:val="20"/>
              </w:rPr>
            </w:pPr>
            <w:r w:rsidRPr="00100F0A">
              <w:rPr>
                <w:sz w:val="20"/>
              </w:rPr>
              <w:t>High</w:t>
            </w:r>
          </w:p>
        </w:tc>
        <w:tc>
          <w:tcPr>
            <w:tcW w:w="1246" w:type="dxa"/>
            <w:vMerge/>
            <w:tcBorders>
              <w:top w:val="dotted" w:sz="4" w:space="0" w:color="B7B7E2"/>
              <w:left w:val="nil"/>
              <w:bottom w:val="dotted" w:sz="4" w:space="0" w:color="B7B7E2"/>
              <w:right w:val="single" w:sz="4" w:space="0" w:color="B7B7E2"/>
            </w:tcBorders>
            <w:tcMar>
              <w:top w:w="0" w:type="dxa"/>
              <w:left w:w="108" w:type="dxa"/>
              <w:bottom w:w="0" w:type="dxa"/>
              <w:right w:w="108" w:type="dxa"/>
            </w:tcMar>
          </w:tcPr>
          <w:p w14:paraId="22023144" w14:textId="77777777" w:rsidR="00DD164D" w:rsidRPr="00100F0A" w:rsidRDefault="00DD164D" w:rsidP="0048293B">
            <w:pPr>
              <w:shd w:val="clear" w:color="auto" w:fill="FFFFFF" w:themeFill="background1"/>
              <w:spacing w:after="60"/>
              <w:rPr>
                <w:sz w:val="20"/>
              </w:rPr>
            </w:pPr>
          </w:p>
        </w:tc>
        <w:tc>
          <w:tcPr>
            <w:tcW w:w="5244"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tcPr>
          <w:p w14:paraId="4928BFA4" w14:textId="6B5B27AF" w:rsidR="00DD164D" w:rsidRPr="00100F0A" w:rsidRDefault="00C34F48" w:rsidP="0048293B">
            <w:pPr>
              <w:shd w:val="clear" w:color="auto" w:fill="FFFFFF" w:themeFill="background1"/>
              <w:rPr>
                <w:rFonts w:cs="Calibri"/>
                <w:color w:val="000000"/>
                <w:sz w:val="20"/>
                <w:szCs w:val="20"/>
              </w:rPr>
            </w:pPr>
            <w:r>
              <w:rPr>
                <w:rFonts w:cs="Calibri"/>
                <w:color w:val="000000"/>
                <w:sz w:val="20"/>
                <w:szCs w:val="20"/>
              </w:rPr>
              <w:t>20-year average</w:t>
            </w:r>
            <w:r w:rsidR="00DD164D" w:rsidRPr="00100F0A">
              <w:rPr>
                <w:rFonts w:cs="Calibri"/>
                <w:color w:val="000000"/>
                <w:sz w:val="20"/>
                <w:szCs w:val="20"/>
              </w:rPr>
              <w:t xml:space="preserve"> economic growth</w:t>
            </w:r>
          </w:p>
        </w:tc>
        <w:tc>
          <w:tcPr>
            <w:tcW w:w="773" w:type="dxa"/>
            <w:tcBorders>
              <w:top w:val="dotted" w:sz="4" w:space="0" w:color="B7B7E2"/>
              <w:left w:val="single" w:sz="4" w:space="0" w:color="B7B7E2"/>
              <w:bottom w:val="dotted" w:sz="4" w:space="0" w:color="B7B7E2"/>
              <w:right w:val="single" w:sz="8" w:space="0" w:color="B7B7E2"/>
            </w:tcBorders>
            <w:tcMar>
              <w:top w:w="0" w:type="dxa"/>
              <w:left w:w="108" w:type="dxa"/>
              <w:bottom w:w="0" w:type="dxa"/>
              <w:right w:w="108" w:type="dxa"/>
            </w:tcMar>
          </w:tcPr>
          <w:p w14:paraId="3B4CCA6C" w14:textId="56C2D9A2" w:rsidR="00DD164D" w:rsidRPr="00100F0A" w:rsidRDefault="00DD164D" w:rsidP="006872A9">
            <w:pPr>
              <w:shd w:val="clear" w:color="auto" w:fill="FFFFFF" w:themeFill="background1"/>
              <w:spacing w:after="60"/>
              <w:jc w:val="center"/>
              <w:rPr>
                <w:rFonts w:cs="Calibri"/>
                <w:bCs/>
                <w:color w:val="000000" w:themeColor="text1"/>
                <w:sz w:val="20"/>
                <w:szCs w:val="20"/>
              </w:rPr>
            </w:pPr>
            <w:r w:rsidRPr="00100F0A">
              <w:rPr>
                <w:rFonts w:cs="Calibri"/>
                <w:bCs/>
                <w:color w:val="000000" w:themeColor="text1"/>
                <w:sz w:val="20"/>
                <w:szCs w:val="20"/>
              </w:rPr>
              <w:t>2.8%</w:t>
            </w:r>
          </w:p>
        </w:tc>
        <w:tc>
          <w:tcPr>
            <w:tcW w:w="422" w:type="dxa"/>
            <w:tcBorders>
              <w:top w:val="dotted" w:sz="4" w:space="0" w:color="B7B7E2"/>
              <w:left w:val="nil"/>
              <w:bottom w:val="dotted" w:sz="4" w:space="0" w:color="B7B7E2"/>
              <w:right w:val="single" w:sz="8" w:space="0" w:color="B7B7E2"/>
            </w:tcBorders>
          </w:tcPr>
          <w:p w14:paraId="0BFE74E4" w14:textId="77777777" w:rsidR="00DD164D" w:rsidRPr="00100F0A" w:rsidRDefault="00DD164D" w:rsidP="00B30B8D">
            <w:pPr>
              <w:shd w:val="clear" w:color="auto" w:fill="FFFFFF" w:themeFill="background1"/>
              <w:spacing w:after="60"/>
              <w:jc w:val="center"/>
              <w:rPr>
                <w:sz w:val="20"/>
                <w:szCs w:val="20"/>
              </w:rPr>
            </w:pPr>
            <w:r w:rsidRPr="00100F0A">
              <w:rPr>
                <w:sz w:val="20"/>
                <w:szCs w:val="20"/>
              </w:rPr>
              <w:t>...</w:t>
            </w:r>
          </w:p>
        </w:tc>
        <w:tc>
          <w:tcPr>
            <w:tcW w:w="704" w:type="dxa"/>
            <w:tcBorders>
              <w:top w:val="dotted" w:sz="4" w:space="0" w:color="B7B7E2"/>
              <w:left w:val="nil"/>
              <w:bottom w:val="dotted" w:sz="4" w:space="0" w:color="B7B7E2"/>
              <w:right w:val="single" w:sz="8" w:space="0" w:color="B7B7E2"/>
            </w:tcBorders>
          </w:tcPr>
          <w:p w14:paraId="2A823589" w14:textId="38CB3EAC" w:rsidR="00DD164D" w:rsidRPr="00100F0A" w:rsidRDefault="00DD164D" w:rsidP="006872A9">
            <w:pPr>
              <w:shd w:val="clear" w:color="auto" w:fill="FFFFFF" w:themeFill="background1"/>
              <w:spacing w:after="60"/>
              <w:jc w:val="center"/>
              <w:rPr>
                <w:rFonts w:cs="Calibri"/>
                <w:color w:val="000000" w:themeColor="text1"/>
                <w:sz w:val="20"/>
                <w:szCs w:val="20"/>
              </w:rPr>
            </w:pPr>
            <w:r w:rsidRPr="00100F0A">
              <w:rPr>
                <w:rFonts w:cs="Calibri"/>
                <w:color w:val="000000" w:themeColor="text1"/>
                <w:sz w:val="20"/>
                <w:szCs w:val="20"/>
              </w:rPr>
              <w:t>2.8%</w:t>
            </w:r>
          </w:p>
        </w:tc>
      </w:tr>
      <w:tr w:rsidR="00DD164D" w:rsidRPr="00100F0A" w14:paraId="3A39AF29" w14:textId="77777777" w:rsidTr="009604EB">
        <w:tc>
          <w:tcPr>
            <w:tcW w:w="587" w:type="dxa"/>
            <w:tcBorders>
              <w:top w:val="dotted" w:sz="4" w:space="0" w:color="B7B7E2"/>
              <w:left w:val="single" w:sz="8" w:space="0" w:color="B7B7E2"/>
              <w:bottom w:val="single" w:sz="4" w:space="0" w:color="B7B7E2"/>
              <w:right w:val="single" w:sz="8" w:space="0" w:color="B7B7E2"/>
            </w:tcBorders>
            <w:tcMar>
              <w:top w:w="0" w:type="dxa"/>
              <w:left w:w="108" w:type="dxa"/>
              <w:bottom w:w="0" w:type="dxa"/>
              <w:right w:w="108" w:type="dxa"/>
            </w:tcMar>
          </w:tcPr>
          <w:p w14:paraId="74C54656" w14:textId="77777777" w:rsidR="00DD164D" w:rsidRPr="00100F0A" w:rsidRDefault="00DD164D" w:rsidP="0048293B">
            <w:pPr>
              <w:shd w:val="clear" w:color="auto" w:fill="FFFFFF" w:themeFill="background1"/>
              <w:spacing w:after="60"/>
              <w:rPr>
                <w:sz w:val="20"/>
              </w:rPr>
            </w:pPr>
            <w:r w:rsidRPr="00100F0A">
              <w:rPr>
                <w:sz w:val="20"/>
              </w:rPr>
              <w:t>Low</w:t>
            </w:r>
          </w:p>
        </w:tc>
        <w:tc>
          <w:tcPr>
            <w:tcW w:w="1246" w:type="dxa"/>
            <w:vMerge/>
            <w:tcBorders>
              <w:top w:val="dotted" w:sz="4" w:space="0" w:color="B7B7E2"/>
              <w:left w:val="nil"/>
              <w:bottom w:val="single" w:sz="8" w:space="0" w:color="B7B7E2"/>
              <w:right w:val="single" w:sz="4" w:space="0" w:color="B7B7E2"/>
            </w:tcBorders>
            <w:tcMar>
              <w:top w:w="0" w:type="dxa"/>
              <w:left w:w="108" w:type="dxa"/>
              <w:bottom w:w="0" w:type="dxa"/>
              <w:right w:w="108" w:type="dxa"/>
            </w:tcMar>
          </w:tcPr>
          <w:p w14:paraId="4F284156" w14:textId="77777777" w:rsidR="00DD164D" w:rsidRPr="00100F0A" w:rsidRDefault="00DD164D" w:rsidP="0048293B">
            <w:pPr>
              <w:shd w:val="clear" w:color="auto" w:fill="FFFFFF" w:themeFill="background1"/>
              <w:spacing w:after="60"/>
              <w:rPr>
                <w:sz w:val="20"/>
              </w:rPr>
            </w:pPr>
          </w:p>
        </w:tc>
        <w:tc>
          <w:tcPr>
            <w:tcW w:w="5244" w:type="dxa"/>
            <w:tcBorders>
              <w:top w:val="dotted" w:sz="4" w:space="0" w:color="B7B7E2"/>
              <w:left w:val="single" w:sz="4" w:space="0" w:color="B7B7E2"/>
              <w:bottom w:val="single" w:sz="8" w:space="0" w:color="B7B7E2"/>
              <w:right w:val="single" w:sz="4" w:space="0" w:color="B7B7E2"/>
            </w:tcBorders>
            <w:tcMar>
              <w:top w:w="0" w:type="dxa"/>
              <w:left w:w="108" w:type="dxa"/>
              <w:bottom w:w="0" w:type="dxa"/>
              <w:right w:w="108" w:type="dxa"/>
            </w:tcMar>
          </w:tcPr>
          <w:p w14:paraId="565F4FE4" w14:textId="28F06E21" w:rsidR="00DD164D" w:rsidRPr="00100F0A" w:rsidRDefault="00DD164D" w:rsidP="0048293B">
            <w:pPr>
              <w:shd w:val="clear" w:color="auto" w:fill="FFFFFF" w:themeFill="background1"/>
              <w:rPr>
                <w:rFonts w:cs="Calibri"/>
                <w:color w:val="000000"/>
                <w:sz w:val="20"/>
                <w:szCs w:val="20"/>
              </w:rPr>
            </w:pPr>
            <w:r w:rsidRPr="00100F0A">
              <w:rPr>
                <w:rFonts w:cs="Calibri"/>
                <w:color w:val="000000"/>
                <w:sz w:val="20"/>
                <w:szCs w:val="20"/>
              </w:rPr>
              <w:t>Flat trend</w:t>
            </w:r>
          </w:p>
        </w:tc>
        <w:tc>
          <w:tcPr>
            <w:tcW w:w="773" w:type="dxa"/>
            <w:tcBorders>
              <w:top w:val="dotted" w:sz="4" w:space="0" w:color="B7B7E2"/>
              <w:left w:val="single" w:sz="4" w:space="0" w:color="B7B7E2"/>
              <w:bottom w:val="single" w:sz="4" w:space="0" w:color="B7B7E2"/>
              <w:right w:val="single" w:sz="8" w:space="0" w:color="B7B7E2"/>
            </w:tcBorders>
            <w:tcMar>
              <w:top w:w="0" w:type="dxa"/>
              <w:left w:w="108" w:type="dxa"/>
              <w:bottom w:w="0" w:type="dxa"/>
              <w:right w:w="108" w:type="dxa"/>
            </w:tcMar>
          </w:tcPr>
          <w:p w14:paraId="2188BAE4" w14:textId="59A9A393" w:rsidR="00DD164D" w:rsidRPr="00100F0A" w:rsidRDefault="00DD164D" w:rsidP="006872A9">
            <w:pPr>
              <w:shd w:val="clear" w:color="auto" w:fill="FFFFFF" w:themeFill="background1"/>
              <w:spacing w:after="60"/>
              <w:jc w:val="center"/>
              <w:rPr>
                <w:rFonts w:cs="Calibri"/>
                <w:bCs/>
                <w:color w:val="000000" w:themeColor="text1"/>
                <w:sz w:val="20"/>
                <w:szCs w:val="20"/>
              </w:rPr>
            </w:pPr>
            <w:r w:rsidRPr="00100F0A">
              <w:rPr>
                <w:rFonts w:cs="Calibri"/>
                <w:bCs/>
                <w:color w:val="000000" w:themeColor="text1"/>
                <w:sz w:val="20"/>
                <w:szCs w:val="20"/>
              </w:rPr>
              <w:t>0.0%</w:t>
            </w:r>
          </w:p>
        </w:tc>
        <w:tc>
          <w:tcPr>
            <w:tcW w:w="422" w:type="dxa"/>
            <w:tcBorders>
              <w:top w:val="dotted" w:sz="4" w:space="0" w:color="B7B7E2"/>
              <w:left w:val="nil"/>
              <w:bottom w:val="single" w:sz="4" w:space="0" w:color="B7B7E2"/>
              <w:right w:val="single" w:sz="8" w:space="0" w:color="B7B7E2"/>
            </w:tcBorders>
          </w:tcPr>
          <w:p w14:paraId="1576873C" w14:textId="77777777" w:rsidR="00DD164D" w:rsidRPr="00100F0A" w:rsidRDefault="00DD164D" w:rsidP="00B30B8D">
            <w:pPr>
              <w:shd w:val="clear" w:color="auto" w:fill="FFFFFF" w:themeFill="background1"/>
              <w:spacing w:after="60"/>
              <w:jc w:val="center"/>
              <w:rPr>
                <w:sz w:val="20"/>
                <w:szCs w:val="20"/>
              </w:rPr>
            </w:pPr>
            <w:r w:rsidRPr="00100F0A">
              <w:rPr>
                <w:sz w:val="20"/>
                <w:szCs w:val="20"/>
              </w:rPr>
              <w:t>...</w:t>
            </w:r>
          </w:p>
        </w:tc>
        <w:tc>
          <w:tcPr>
            <w:tcW w:w="704" w:type="dxa"/>
            <w:tcBorders>
              <w:top w:val="dotted" w:sz="4" w:space="0" w:color="B7B7E2"/>
              <w:left w:val="nil"/>
              <w:bottom w:val="single" w:sz="4" w:space="0" w:color="B7B7E2"/>
              <w:right w:val="single" w:sz="8" w:space="0" w:color="B7B7E2"/>
            </w:tcBorders>
          </w:tcPr>
          <w:p w14:paraId="72BC3B3E" w14:textId="1704F4D0" w:rsidR="00DD164D" w:rsidRPr="00100F0A" w:rsidRDefault="00DD164D" w:rsidP="006872A9">
            <w:pPr>
              <w:shd w:val="clear" w:color="auto" w:fill="FFFFFF" w:themeFill="background1"/>
              <w:spacing w:after="60"/>
              <w:jc w:val="center"/>
              <w:rPr>
                <w:rFonts w:cs="Calibri"/>
                <w:color w:val="000000" w:themeColor="text1"/>
                <w:sz w:val="20"/>
                <w:szCs w:val="20"/>
              </w:rPr>
            </w:pPr>
            <w:r w:rsidRPr="00100F0A">
              <w:rPr>
                <w:rFonts w:cs="Calibri"/>
                <w:color w:val="000000" w:themeColor="text1"/>
                <w:sz w:val="20"/>
                <w:szCs w:val="20"/>
              </w:rPr>
              <w:t>0.0%</w:t>
            </w:r>
          </w:p>
        </w:tc>
      </w:tr>
    </w:tbl>
    <w:p w14:paraId="6ECA4A06" w14:textId="6216A6A9" w:rsidR="00DD164D" w:rsidRPr="00100F0A" w:rsidRDefault="00DD164D" w:rsidP="0048293B">
      <w:pPr>
        <w:pStyle w:val="Caption"/>
        <w:shd w:val="clear" w:color="auto" w:fill="FFFFFF" w:themeFill="background1"/>
      </w:pPr>
      <w:bookmarkStart w:id="173" w:name="_Toc13225584"/>
      <w:r w:rsidRPr="00100F0A">
        <w:t xml:space="preserve">Figure </w:t>
      </w:r>
      <w:r w:rsidR="00B404A6" w:rsidRPr="00100F0A">
        <w:rPr>
          <w:noProof/>
        </w:rPr>
        <w:fldChar w:fldCharType="begin"/>
      </w:r>
      <w:r w:rsidR="00B404A6" w:rsidRPr="00100F0A">
        <w:rPr>
          <w:noProof/>
        </w:rPr>
        <w:instrText xml:space="preserve"> SEQ Figure \* ARABIC </w:instrText>
      </w:r>
      <w:r w:rsidR="00B404A6" w:rsidRPr="00100F0A">
        <w:rPr>
          <w:noProof/>
        </w:rPr>
        <w:fldChar w:fldCharType="separate"/>
      </w:r>
      <w:r w:rsidR="00EB634D">
        <w:rPr>
          <w:noProof/>
        </w:rPr>
        <w:t>11</w:t>
      </w:r>
      <w:r w:rsidR="00B404A6" w:rsidRPr="00100F0A">
        <w:rPr>
          <w:noProof/>
        </w:rPr>
        <w:fldChar w:fldCharType="end"/>
      </w:r>
      <w:r w:rsidR="00C14F18">
        <w:rPr>
          <w:noProof/>
        </w:rPr>
        <w:t>:</w:t>
      </w:r>
      <w:r w:rsidRPr="00100F0A">
        <w:tab/>
        <w:t>Best, high and low national projection estimates</w:t>
      </w:r>
      <w:r w:rsidR="001B454B">
        <w:t xml:space="preserve"> of</w:t>
      </w:r>
      <w:r w:rsidRPr="00100F0A">
        <w:t xml:space="preserve"> zinc compounds waste to 2037</w:t>
      </w:r>
      <w:bookmarkEnd w:id="173"/>
    </w:p>
    <w:p w14:paraId="6186C4C9" w14:textId="79C67135" w:rsidR="00DD164D" w:rsidRPr="00100F0A" w:rsidRDefault="00904356" w:rsidP="0048293B">
      <w:pPr>
        <w:shd w:val="clear" w:color="auto" w:fill="FFFFFF" w:themeFill="background1"/>
      </w:pPr>
      <w:r w:rsidRPr="00100F0A">
        <w:rPr>
          <w:noProof/>
          <w:lang w:eastAsia="en-AU"/>
        </w:rPr>
        <w:drawing>
          <wp:inline distT="0" distB="0" distL="0" distR="0" wp14:anchorId="4CF1F278" wp14:editId="77BB3797">
            <wp:extent cx="5735955" cy="2106295"/>
            <wp:effectExtent l="0" t="0" r="0" b="825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5955" cy="2106295"/>
                    </a:xfrm>
                    <a:prstGeom prst="rect">
                      <a:avLst/>
                    </a:prstGeom>
                  </pic:spPr>
                </pic:pic>
              </a:graphicData>
            </a:graphic>
          </wp:inline>
        </w:drawing>
      </w:r>
    </w:p>
    <w:p w14:paraId="5BE4A2BB" w14:textId="77777777" w:rsidR="00905944" w:rsidRPr="00100F0A" w:rsidRDefault="00905944" w:rsidP="0048293B">
      <w:pPr>
        <w:shd w:val="clear" w:color="auto" w:fill="FFFFFF" w:themeFill="background1"/>
      </w:pPr>
    </w:p>
    <w:p w14:paraId="7A92C905" w14:textId="44EBEB6F" w:rsidR="00EB2024" w:rsidRPr="00100F0A" w:rsidRDefault="00EB2024" w:rsidP="00EB2024">
      <w:pPr>
        <w:pStyle w:val="Heading3"/>
      </w:pPr>
      <w:bookmarkStart w:id="174" w:name="_Toc425849298"/>
      <w:r w:rsidRPr="00100F0A">
        <w:t xml:space="preserve">D300 Non-toxic salts </w:t>
      </w:r>
    </w:p>
    <w:p w14:paraId="6C36C6D1" w14:textId="1BE07DA9" w:rsidR="00EB2024" w:rsidRPr="00100F0A" w:rsidRDefault="00EB2024" w:rsidP="00EB2024">
      <w:pPr>
        <w:pStyle w:val="BodyText"/>
        <w:rPr>
          <w:rFonts w:cs="Times New Roman"/>
          <w:color w:val="000000"/>
          <w:szCs w:val="20"/>
          <w:lang w:eastAsia="en-AU"/>
        </w:rPr>
      </w:pPr>
      <w:r w:rsidRPr="00100F0A">
        <w:t xml:space="preserve">This group includes only the single NEPM code </w:t>
      </w:r>
      <w:r w:rsidRPr="00100F0A">
        <w:rPr>
          <w:i/>
        </w:rPr>
        <w:t xml:space="preserve">D300 </w:t>
      </w:r>
      <w:r w:rsidRPr="00100F0A">
        <w:rPr>
          <w:rFonts w:cs="Times New Roman"/>
          <w:i/>
          <w:color w:val="000000"/>
          <w:szCs w:val="20"/>
          <w:lang w:eastAsia="en-AU"/>
        </w:rPr>
        <w:t>Non-toxic salts</w:t>
      </w:r>
      <w:r w:rsidRPr="00100F0A">
        <w:rPr>
          <w:rFonts w:cs="Times New Roman"/>
          <w:color w:val="000000"/>
          <w:szCs w:val="20"/>
          <w:lang w:eastAsia="en-AU"/>
        </w:rPr>
        <w:t xml:space="preserve">. </w:t>
      </w:r>
      <w:r w:rsidRPr="00100F0A">
        <w:t xml:space="preserve">The main source of this waste is the CSG extraction industry’s brine, waters and sludges, some of which is from reverse osmosis desalination. There is also aluminium dross/salt cake waste produced from aluminium smelting and recycling, as well as significant volumes of salt waste that presents as furnace slags from other types of metals smelting and refining, including ULAB smelting. The </w:t>
      </w:r>
      <w:r w:rsidRPr="00100F0A">
        <w:rPr>
          <w:rFonts w:cs="Times New Roman"/>
          <w:color w:val="000000"/>
          <w:szCs w:val="20"/>
          <w:lang w:eastAsia="en-AU"/>
        </w:rPr>
        <w:t>CSG wastes are discussed in the breakout box below.</w:t>
      </w:r>
    </w:p>
    <w:p w14:paraId="0C761F76" w14:textId="77777777" w:rsidR="00EB2024" w:rsidRPr="00100F0A" w:rsidRDefault="00EB2024" w:rsidP="00EB2024">
      <w:pPr>
        <w:pStyle w:val="BodyText"/>
        <w:rPr>
          <w:rFonts w:cs="Times New Roman"/>
          <w:color w:val="000000"/>
          <w:szCs w:val="20"/>
          <w:lang w:eastAsia="en-AU"/>
        </w:rPr>
      </w:pPr>
    </w:p>
    <w:p w14:paraId="2AA1BC1F" w14:textId="77777777" w:rsidR="00EB2024" w:rsidRPr="00100F0A" w:rsidRDefault="00EB2024" w:rsidP="00EB2024">
      <w:pPr>
        <w:pStyle w:val="Heading4"/>
        <w:rPr>
          <w:b w:val="0"/>
        </w:rPr>
      </w:pPr>
      <w:r w:rsidRPr="00100F0A">
        <w:rPr>
          <w:b w:val="0"/>
        </w:rPr>
        <w:t>CSG brine wastes</w:t>
      </w:r>
    </w:p>
    <w:p w14:paraId="19BACB54" w14:textId="77EE28DE" w:rsidR="00EB2024" w:rsidRPr="00100F0A" w:rsidRDefault="00EB2024" w:rsidP="00EB2024">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before="120"/>
        <w:rPr>
          <w:sz w:val="20"/>
          <w:szCs w:val="20"/>
        </w:rPr>
      </w:pPr>
      <w:r w:rsidRPr="00100F0A">
        <w:rPr>
          <w:sz w:val="20"/>
          <w:szCs w:val="20"/>
        </w:rPr>
        <w:t>CSG mining occurs predominantly in Qld, in the Bowen and Surat Basins. CSG in Qld is usually liquefied to allow easier transport, such as by ship, which means it is also referred to as LNG. The CSG industry is often placed within the ANZSIC category Oil and gas extraction.</w:t>
      </w:r>
    </w:p>
    <w:p w14:paraId="2E1715BB" w14:textId="77777777" w:rsidR="00EB2024" w:rsidRPr="00100F0A" w:rsidRDefault="00EB2024" w:rsidP="00EB2024">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before="120"/>
        <w:rPr>
          <w:sz w:val="20"/>
          <w:szCs w:val="20"/>
        </w:rPr>
      </w:pPr>
      <w:r w:rsidRPr="00100F0A">
        <w:rPr>
          <w:sz w:val="20"/>
          <w:szCs w:val="20"/>
        </w:rPr>
        <w:t>The CSG extraction process produces a range of wastes, but in volume terms there are three (all salty) wastes that are the most prevalent:</w:t>
      </w:r>
    </w:p>
    <w:p w14:paraId="46A973F6" w14:textId="55DE1480" w:rsidR="00EB2024" w:rsidRPr="00100F0A" w:rsidRDefault="00EB2024" w:rsidP="00EB2024">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before="120"/>
        <w:rPr>
          <w:sz w:val="20"/>
          <w:szCs w:val="20"/>
        </w:rPr>
      </w:pPr>
      <w:r w:rsidRPr="00100F0A">
        <w:t xml:space="preserve">- </w:t>
      </w:r>
      <w:r w:rsidRPr="00100F0A">
        <w:rPr>
          <w:sz w:val="20"/>
          <w:szCs w:val="20"/>
        </w:rPr>
        <w:t xml:space="preserve">extraction waters, otherwise known as co-produced water or </w:t>
      </w:r>
      <w:r w:rsidR="001B454B">
        <w:rPr>
          <w:sz w:val="20"/>
          <w:szCs w:val="20"/>
        </w:rPr>
        <w:t>C</w:t>
      </w:r>
      <w:r w:rsidRPr="00100F0A">
        <w:rPr>
          <w:sz w:val="20"/>
          <w:szCs w:val="20"/>
        </w:rPr>
        <w:t>SG water</w:t>
      </w:r>
    </w:p>
    <w:p w14:paraId="6DD273B7" w14:textId="77777777" w:rsidR="00EB2024" w:rsidRPr="00100F0A" w:rsidRDefault="00EB2024" w:rsidP="00EB2024">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before="120"/>
        <w:rPr>
          <w:sz w:val="20"/>
          <w:szCs w:val="20"/>
        </w:rPr>
      </w:pPr>
      <w:r w:rsidRPr="00100F0A">
        <w:rPr>
          <w:sz w:val="20"/>
          <w:szCs w:val="20"/>
        </w:rPr>
        <w:t>- brine solutions, sludges and salts, produced as a concentrated waste product from reverse osmosis desalination of salty extraction waters</w:t>
      </w:r>
    </w:p>
    <w:p w14:paraId="3DAE1B08" w14:textId="77777777" w:rsidR="00EB2024" w:rsidRPr="00100F0A" w:rsidRDefault="00EB2024" w:rsidP="00EB2024">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before="120"/>
        <w:rPr>
          <w:sz w:val="20"/>
          <w:szCs w:val="20"/>
        </w:rPr>
      </w:pPr>
      <w:r w:rsidRPr="00100F0A">
        <w:rPr>
          <w:sz w:val="20"/>
          <w:szCs w:val="20"/>
        </w:rPr>
        <w:t>- drilling muds (a combination waste of drilling fluids and earth materials), which arise from the drilling of a well.</w:t>
      </w:r>
    </w:p>
    <w:p w14:paraId="5B4FDCF1" w14:textId="77777777" w:rsidR="00EB2024" w:rsidRPr="00100F0A" w:rsidRDefault="00EB2024" w:rsidP="00EB2024">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before="120"/>
        <w:rPr>
          <w:sz w:val="20"/>
          <w:szCs w:val="20"/>
        </w:rPr>
      </w:pPr>
      <w:r w:rsidRPr="00100F0A">
        <w:rPr>
          <w:sz w:val="20"/>
          <w:szCs w:val="20"/>
        </w:rPr>
        <w:t>Drilling muds are nominally captured in waste tracking systems as C100 alkalis (and also D300 non-toxic salts), reverse osmosis brine waste as D300 non-toxic salts and extraction waters are typically not tracked as hazardous waste.</w:t>
      </w:r>
    </w:p>
    <w:p w14:paraId="21DBFDFE" w14:textId="05645C62" w:rsidR="00EB2024" w:rsidRPr="00100F0A" w:rsidRDefault="00EB2024" w:rsidP="00EB2024">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before="120"/>
        <w:rPr>
          <w:sz w:val="20"/>
          <w:szCs w:val="20"/>
        </w:rPr>
      </w:pPr>
      <w:r w:rsidRPr="00100F0A">
        <w:rPr>
          <w:sz w:val="20"/>
          <w:szCs w:val="20"/>
        </w:rPr>
        <w:t>Water is extracted as part of the CSG mining process because the gas – methane – is in the coal seam and held there at great pressure by water and other sediment layers. To release the gas, the water needs to be pumped out of this coal seam and up to the surface in a process known as dewatering. The water that is pumped out as part of the CSG mining process is very salty and contains a range of petroleum and mineral based chemical compounds, such as heavy metals and hydrocarbons.</w:t>
      </w:r>
    </w:p>
    <w:p w14:paraId="0FABB718" w14:textId="5141E558" w:rsidR="00EB2024" w:rsidRPr="00100F0A" w:rsidRDefault="00EB2024" w:rsidP="00EB2024">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before="120"/>
        <w:rPr>
          <w:sz w:val="20"/>
          <w:szCs w:val="20"/>
        </w:rPr>
      </w:pPr>
      <w:r w:rsidRPr="00100F0A">
        <w:rPr>
          <w:sz w:val="20"/>
          <w:szCs w:val="20"/>
        </w:rPr>
        <w:t>CSG wastes are interesting as an emerging waste because</w:t>
      </w:r>
      <w:r w:rsidR="001B454B">
        <w:rPr>
          <w:sz w:val="20"/>
          <w:szCs w:val="20"/>
        </w:rPr>
        <w:t>,</w:t>
      </w:r>
      <w:r w:rsidRPr="00100F0A">
        <w:rPr>
          <w:sz w:val="20"/>
          <w:szCs w:val="20"/>
        </w:rPr>
        <w:t xml:space="preserve"> a) very large tonnages are involved</w:t>
      </w:r>
      <w:r w:rsidR="001B454B">
        <w:rPr>
          <w:sz w:val="20"/>
          <w:szCs w:val="20"/>
        </w:rPr>
        <w:t>,</w:t>
      </w:r>
      <w:r w:rsidRPr="00100F0A">
        <w:rPr>
          <w:sz w:val="20"/>
          <w:szCs w:val="20"/>
        </w:rPr>
        <w:t xml:space="preserve"> and b) salty waters, brines or solid salts are a difficult problem for the waste industry, which often relies on landfill. Water penetrating a landfill will mobilise any stored salt in the leachate stream, which creates a risk of groundwater infiltration, especially given the volumes to be managed. Consequently, landfill design is critical for this form of management to be successful. The enormous volumes also mean that treatment to reduce the salt levels, such as reverse osmosis, are expensive and energy-intensive.</w:t>
      </w:r>
    </w:p>
    <w:p w14:paraId="499BC193" w14:textId="77777777" w:rsidR="00EB2024" w:rsidRPr="00100F0A" w:rsidRDefault="00EB2024" w:rsidP="00EB2024">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before="120"/>
        <w:rPr>
          <w:sz w:val="20"/>
          <w:szCs w:val="20"/>
        </w:rPr>
      </w:pPr>
      <w:r w:rsidRPr="00100F0A">
        <w:rPr>
          <w:sz w:val="20"/>
          <w:szCs w:val="20"/>
        </w:rPr>
        <w:t xml:space="preserve">Qld’s </w:t>
      </w:r>
      <w:r w:rsidRPr="00100F0A">
        <w:rPr>
          <w:i/>
          <w:sz w:val="20"/>
          <w:szCs w:val="20"/>
        </w:rPr>
        <w:t>Coal Seam Gas Water (CSG) Management Policy 2012</w:t>
      </w:r>
      <w:r w:rsidRPr="00100F0A">
        <w:rPr>
          <w:sz w:val="20"/>
          <w:szCs w:val="20"/>
        </w:rPr>
        <w:t xml:space="preserve"> and associated guidance that followed it effectively banned the practice of placing extraction waters in evaporation ponds or dams, in a form of indefinite storage. Since 2014, the industry has installed significant reverse osmosis desalination capacity to treat large volumes of extraction waters, which then allows various forms of reuse of desalinated water, leaving behind a salt brine or solid salt waste as a by-product.</w:t>
      </w:r>
    </w:p>
    <w:p w14:paraId="775E0488" w14:textId="65F0C2F6" w:rsidR="00EB2024" w:rsidRPr="00100F0A" w:rsidRDefault="00EB2024" w:rsidP="00EB2024">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before="120"/>
        <w:rPr>
          <w:sz w:val="20"/>
          <w:szCs w:val="20"/>
        </w:rPr>
      </w:pPr>
      <w:r w:rsidRPr="00100F0A">
        <w:rPr>
          <w:sz w:val="20"/>
          <w:szCs w:val="20"/>
        </w:rPr>
        <w:t xml:space="preserve">Because of these management difficulties, large quantities of these reverse osmosis wastes are temporarily stored on site in brine ponds, awaiting a more definitive management fate. These volumes are very large, but because they do not leave the treatment </w:t>
      </w:r>
      <w:r w:rsidR="00C34F48" w:rsidRPr="00100F0A">
        <w:rPr>
          <w:sz w:val="20"/>
          <w:szCs w:val="20"/>
        </w:rPr>
        <w:t>site,</w:t>
      </w:r>
      <w:r w:rsidRPr="00100F0A">
        <w:rPr>
          <w:sz w:val="20"/>
          <w:szCs w:val="20"/>
        </w:rPr>
        <w:t xml:space="preserve"> they do not typically show up in hazardous waste tracking data.</w:t>
      </w:r>
    </w:p>
    <w:p w14:paraId="6CE0D754" w14:textId="7A61DB79" w:rsidR="00EB2024" w:rsidRPr="00100F0A" w:rsidRDefault="00EB2024" w:rsidP="00EB2024">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before="120"/>
        <w:rPr>
          <w:sz w:val="20"/>
          <w:szCs w:val="20"/>
          <w:lang w:eastAsia="en-AU"/>
        </w:rPr>
      </w:pPr>
      <w:r w:rsidRPr="00100F0A">
        <w:rPr>
          <w:sz w:val="20"/>
          <w:szCs w:val="20"/>
        </w:rPr>
        <w:t>Considering the management</w:t>
      </w:r>
      <w:r w:rsidR="001B454B">
        <w:rPr>
          <w:sz w:val="20"/>
          <w:szCs w:val="20"/>
        </w:rPr>
        <w:t xml:space="preserve"> </w:t>
      </w:r>
      <w:r w:rsidRPr="00100F0A">
        <w:rPr>
          <w:sz w:val="20"/>
          <w:szCs w:val="20"/>
        </w:rPr>
        <w:t>difficulty and tonnages, CSG waste is a current and future waste management concern and hence an area of focus for this report.</w:t>
      </w:r>
    </w:p>
    <w:p w14:paraId="08B1B086" w14:textId="77777777" w:rsidR="00EB2024" w:rsidRPr="00100F0A" w:rsidRDefault="00EB2024" w:rsidP="00EB2024">
      <w:pPr>
        <w:pStyle w:val="BodyText"/>
      </w:pPr>
    </w:p>
    <w:p w14:paraId="23CDB3A9" w14:textId="77777777" w:rsidR="00EB2024" w:rsidRPr="00100F0A" w:rsidRDefault="00EB2024" w:rsidP="00EB2024">
      <w:pPr>
        <w:pStyle w:val="Heading3-nonumber"/>
      </w:pPr>
      <w:r w:rsidRPr="00100F0A">
        <w:t>Summary analysis</w:t>
      </w:r>
    </w:p>
    <w:tbl>
      <w:tblPr>
        <w:tblW w:w="0" w:type="auto"/>
        <w:tblBorders>
          <w:top w:val="single" w:sz="8" w:space="0" w:color="B7B7E2"/>
          <w:left w:val="single" w:sz="8" w:space="0" w:color="B7B7E2"/>
          <w:bottom w:val="single" w:sz="8" w:space="0" w:color="B7B7E2"/>
          <w:right w:val="single" w:sz="8" w:space="0" w:color="B7B7E2"/>
          <w:insideH w:val="single" w:sz="8" w:space="0" w:color="B7B7E2"/>
          <w:insideV w:val="single" w:sz="8" w:space="0" w:color="B7B7E2"/>
        </w:tblBorders>
        <w:tblCellMar>
          <w:left w:w="0" w:type="dxa"/>
          <w:right w:w="0" w:type="dxa"/>
        </w:tblCellMar>
        <w:tblLook w:val="04A0" w:firstRow="1" w:lastRow="0" w:firstColumn="1" w:lastColumn="0" w:noHBand="0" w:noVBand="1"/>
      </w:tblPr>
      <w:tblGrid>
        <w:gridCol w:w="1691"/>
        <w:gridCol w:w="3543"/>
        <w:gridCol w:w="1985"/>
        <w:gridCol w:w="1793"/>
      </w:tblGrid>
      <w:tr w:rsidR="00EB2024" w:rsidRPr="00100F0A" w14:paraId="714523A6" w14:textId="77777777" w:rsidTr="00EB2024">
        <w:trPr>
          <w:tblHeader/>
        </w:trPr>
        <w:tc>
          <w:tcPr>
            <w:tcW w:w="1691" w:type="dxa"/>
            <w:shd w:val="clear" w:color="auto" w:fill="B7B7E2"/>
            <w:tcMar>
              <w:top w:w="0" w:type="dxa"/>
              <w:left w:w="108" w:type="dxa"/>
              <w:bottom w:w="0" w:type="dxa"/>
              <w:right w:w="108" w:type="dxa"/>
            </w:tcMar>
            <w:vAlign w:val="center"/>
            <w:hideMark/>
          </w:tcPr>
          <w:p w14:paraId="25722FF7" w14:textId="77777777" w:rsidR="00EB2024" w:rsidRPr="00100F0A" w:rsidRDefault="00EB2024" w:rsidP="00EB2024">
            <w:pPr>
              <w:spacing w:after="144"/>
              <w:rPr>
                <w:rFonts w:eastAsia="Times New Roman" w:cs="Times New Roman"/>
                <w:sz w:val="20"/>
                <w:szCs w:val="20"/>
              </w:rPr>
            </w:pPr>
            <w:r w:rsidRPr="00100F0A">
              <w:rPr>
                <w:rFonts w:eastAsia="Times New Roman" w:cs="Times New Roman"/>
                <w:b/>
                <w:bCs/>
                <w:color w:val="FFFFFF"/>
                <w:sz w:val="20"/>
                <w:szCs w:val="20"/>
              </w:rPr>
              <w:t> Industry sources</w:t>
            </w:r>
          </w:p>
        </w:tc>
        <w:tc>
          <w:tcPr>
            <w:tcW w:w="3544" w:type="dxa"/>
            <w:shd w:val="clear" w:color="auto" w:fill="B7B7E2"/>
            <w:tcMar>
              <w:top w:w="0" w:type="dxa"/>
              <w:left w:w="108" w:type="dxa"/>
              <w:bottom w:w="0" w:type="dxa"/>
              <w:right w:w="108" w:type="dxa"/>
            </w:tcMar>
            <w:hideMark/>
          </w:tcPr>
          <w:p w14:paraId="28A6DAD8" w14:textId="77777777" w:rsidR="00EB2024" w:rsidRPr="00100F0A" w:rsidRDefault="00EB2024" w:rsidP="00EB2024">
            <w:pPr>
              <w:spacing w:after="144"/>
              <w:rPr>
                <w:rFonts w:eastAsia="Times New Roman" w:cs="Times New Roman"/>
                <w:sz w:val="20"/>
                <w:szCs w:val="20"/>
              </w:rPr>
            </w:pPr>
            <w:r w:rsidRPr="00100F0A">
              <w:rPr>
                <w:rFonts w:eastAsia="Times New Roman" w:cs="Times New Roman"/>
                <w:b/>
                <w:bCs/>
                <w:color w:val="FFFFFF"/>
                <w:sz w:val="20"/>
                <w:szCs w:val="20"/>
              </w:rPr>
              <w:t> Considerations</w:t>
            </w:r>
          </w:p>
        </w:tc>
        <w:tc>
          <w:tcPr>
            <w:tcW w:w="1985" w:type="dxa"/>
            <w:shd w:val="clear" w:color="auto" w:fill="B7B7E2"/>
            <w:tcMar>
              <w:top w:w="0" w:type="dxa"/>
              <w:left w:w="108" w:type="dxa"/>
              <w:bottom w:w="0" w:type="dxa"/>
              <w:right w:w="108" w:type="dxa"/>
            </w:tcMar>
            <w:hideMark/>
          </w:tcPr>
          <w:p w14:paraId="24264838" w14:textId="77777777" w:rsidR="00EB2024" w:rsidRPr="00100F0A" w:rsidRDefault="00EB2024" w:rsidP="00EB2024">
            <w:pPr>
              <w:spacing w:after="144"/>
              <w:rPr>
                <w:rFonts w:eastAsia="Times New Roman" w:cs="Times New Roman"/>
                <w:sz w:val="20"/>
                <w:szCs w:val="20"/>
              </w:rPr>
            </w:pPr>
            <w:r w:rsidRPr="00100F0A">
              <w:rPr>
                <w:rFonts w:eastAsia="Times New Roman" w:cs="Times New Roman"/>
                <w:b/>
                <w:bCs/>
                <w:color w:val="FFFFFF"/>
                <w:sz w:val="20"/>
                <w:szCs w:val="20"/>
              </w:rPr>
              <w:t> Comments</w:t>
            </w:r>
          </w:p>
        </w:tc>
        <w:tc>
          <w:tcPr>
            <w:tcW w:w="1793" w:type="dxa"/>
            <w:shd w:val="clear" w:color="auto" w:fill="B7B7E2"/>
            <w:tcMar>
              <w:top w:w="0" w:type="dxa"/>
              <w:left w:w="108" w:type="dxa"/>
              <w:bottom w:w="0" w:type="dxa"/>
              <w:right w:w="108" w:type="dxa"/>
            </w:tcMar>
            <w:hideMark/>
          </w:tcPr>
          <w:p w14:paraId="6BAD4536" w14:textId="77777777" w:rsidR="00EB2024" w:rsidRPr="00100F0A" w:rsidRDefault="00EB2024" w:rsidP="00EB2024">
            <w:pPr>
              <w:spacing w:after="144"/>
              <w:rPr>
                <w:rFonts w:eastAsia="Times New Roman" w:cs="Times New Roman"/>
                <w:sz w:val="20"/>
                <w:szCs w:val="20"/>
              </w:rPr>
            </w:pPr>
            <w:r w:rsidRPr="00100F0A">
              <w:rPr>
                <w:rFonts w:eastAsia="Times New Roman" w:cs="Times New Roman"/>
                <w:b/>
                <w:bCs/>
                <w:color w:val="FFFFFF"/>
                <w:sz w:val="20"/>
                <w:szCs w:val="20"/>
              </w:rPr>
              <w:t> Approach</w:t>
            </w:r>
          </w:p>
        </w:tc>
      </w:tr>
      <w:tr w:rsidR="00EB2024" w:rsidRPr="00100F0A" w14:paraId="4FC8205C" w14:textId="77777777" w:rsidTr="00EB2024">
        <w:trPr>
          <w:trHeight w:val="2014"/>
        </w:trPr>
        <w:tc>
          <w:tcPr>
            <w:tcW w:w="1691" w:type="dxa"/>
            <w:tcMar>
              <w:top w:w="0" w:type="dxa"/>
              <w:left w:w="108" w:type="dxa"/>
              <w:bottom w:w="0" w:type="dxa"/>
              <w:right w:w="108" w:type="dxa"/>
            </w:tcMar>
          </w:tcPr>
          <w:p w14:paraId="04757B0A" w14:textId="77777777" w:rsidR="00EB2024" w:rsidRPr="00100F0A" w:rsidRDefault="00EB2024" w:rsidP="00EB2024">
            <w:pPr>
              <w:pStyle w:val="Bullet1"/>
              <w:spacing w:before="0"/>
              <w:ind w:left="357" w:hanging="357"/>
              <w:rPr>
                <w:sz w:val="20"/>
              </w:rPr>
            </w:pPr>
            <w:r w:rsidRPr="00100F0A">
              <w:rPr>
                <w:sz w:val="20"/>
              </w:rPr>
              <w:t>CSG extraction</w:t>
            </w:r>
          </w:p>
          <w:p w14:paraId="29FDD91E" w14:textId="77777777" w:rsidR="00EB2024" w:rsidRPr="00100F0A" w:rsidRDefault="00EB2024" w:rsidP="00EB2024">
            <w:pPr>
              <w:pStyle w:val="Bullet1"/>
              <w:spacing w:before="0"/>
              <w:ind w:left="357" w:hanging="357"/>
              <w:rPr>
                <w:sz w:val="20"/>
              </w:rPr>
            </w:pPr>
            <w:r w:rsidRPr="00100F0A">
              <w:rPr>
                <w:sz w:val="20"/>
              </w:rPr>
              <w:t>Aluminium dross processing and aluminium recycling</w:t>
            </w:r>
          </w:p>
          <w:p w14:paraId="0A7F2D5E" w14:textId="77777777" w:rsidR="00EB2024" w:rsidRPr="00100F0A" w:rsidRDefault="00EB2024" w:rsidP="00512118">
            <w:pPr>
              <w:pStyle w:val="ListParagraph"/>
              <w:numPr>
                <w:ilvl w:val="0"/>
                <w:numId w:val="33"/>
              </w:numPr>
              <w:ind w:left="357" w:hanging="357"/>
              <w:rPr>
                <w:color w:val="000000"/>
                <w:sz w:val="20"/>
              </w:rPr>
            </w:pPr>
            <w:r w:rsidRPr="00100F0A">
              <w:rPr>
                <w:sz w:val="20"/>
              </w:rPr>
              <w:t>Other metals smelting and refining</w:t>
            </w:r>
          </w:p>
        </w:tc>
        <w:tc>
          <w:tcPr>
            <w:tcW w:w="3544" w:type="dxa"/>
            <w:tcMar>
              <w:top w:w="0" w:type="dxa"/>
              <w:left w:w="108" w:type="dxa"/>
              <w:bottom w:w="0" w:type="dxa"/>
              <w:right w:w="108" w:type="dxa"/>
            </w:tcMar>
          </w:tcPr>
          <w:p w14:paraId="4BFC1DFA" w14:textId="77777777" w:rsidR="00EB2024" w:rsidRPr="00100F0A" w:rsidRDefault="00EB2024" w:rsidP="00EB2024">
            <w:pPr>
              <w:spacing w:after="60"/>
              <w:rPr>
                <w:rFonts w:eastAsia="Times New Roman" w:cs="Times New Roman"/>
                <w:sz w:val="20"/>
                <w:szCs w:val="20"/>
              </w:rPr>
            </w:pPr>
            <w:r w:rsidRPr="00100F0A">
              <w:rPr>
                <w:rFonts w:eastAsia="Times New Roman" w:cs="Times New Roman"/>
                <w:sz w:val="20"/>
                <w:szCs w:val="20"/>
              </w:rPr>
              <w:t>No specific pre-existing projections were identified, although ACIL Tasman (2012) projects CSG production and IBIS World project CSG revenue.</w:t>
            </w:r>
          </w:p>
          <w:p w14:paraId="2216EDD1" w14:textId="46E55026" w:rsidR="00EB2024" w:rsidRPr="00100F0A" w:rsidRDefault="00EB2024" w:rsidP="00EB2024">
            <w:pPr>
              <w:spacing w:after="60"/>
              <w:rPr>
                <w:rFonts w:eastAsia="Times New Roman" w:cs="Times New Roman"/>
                <w:sz w:val="20"/>
                <w:szCs w:val="20"/>
              </w:rPr>
            </w:pPr>
            <w:r w:rsidRPr="00100F0A">
              <w:rPr>
                <w:rFonts w:eastAsia="Times New Roman" w:cs="Times New Roman"/>
                <w:sz w:val="20"/>
                <w:szCs w:val="20"/>
              </w:rPr>
              <w:t>There has been an emergence of reverse osmosis desalination in the industry, due to regulatory phase</w:t>
            </w:r>
            <w:r w:rsidR="00BA2B99">
              <w:rPr>
                <w:rFonts w:eastAsia="Times New Roman" w:cs="Times New Roman"/>
                <w:sz w:val="20"/>
                <w:szCs w:val="20"/>
              </w:rPr>
              <w:t>-</w:t>
            </w:r>
            <w:r w:rsidRPr="00100F0A">
              <w:rPr>
                <w:rFonts w:eastAsia="Times New Roman" w:cs="Times New Roman"/>
                <w:sz w:val="20"/>
                <w:szCs w:val="20"/>
              </w:rPr>
              <w:t>out of the use of evaporation ponds and requirements for water reuse. This has create</w:t>
            </w:r>
            <w:r w:rsidR="00070A4A">
              <w:rPr>
                <w:rFonts w:eastAsia="Times New Roman" w:cs="Times New Roman"/>
                <w:sz w:val="20"/>
                <w:szCs w:val="20"/>
              </w:rPr>
              <w:t>d</w:t>
            </w:r>
            <w:r w:rsidRPr="00100F0A">
              <w:rPr>
                <w:rFonts w:eastAsia="Times New Roman" w:cs="Times New Roman"/>
                <w:sz w:val="20"/>
                <w:szCs w:val="20"/>
              </w:rPr>
              <w:t xml:space="preserve"> many reuse opportunities for large volumes of water, but has also resulted in </w:t>
            </w:r>
            <w:r w:rsidR="00923556">
              <w:rPr>
                <w:rFonts w:eastAsia="Times New Roman" w:cs="Times New Roman"/>
                <w:sz w:val="20"/>
                <w:szCs w:val="20"/>
              </w:rPr>
              <w:t>large</w:t>
            </w:r>
            <w:r w:rsidRPr="00100F0A">
              <w:rPr>
                <w:rFonts w:eastAsia="Times New Roman" w:cs="Times New Roman"/>
                <w:sz w:val="20"/>
                <w:szCs w:val="20"/>
              </w:rPr>
              <w:t xml:space="preserve"> RO salt/brine wastes that are typically stored on</w:t>
            </w:r>
            <w:r w:rsidR="00C45F8C">
              <w:rPr>
                <w:rFonts w:eastAsia="Times New Roman" w:cs="Times New Roman"/>
                <w:sz w:val="20"/>
                <w:szCs w:val="20"/>
              </w:rPr>
              <w:t>-</w:t>
            </w:r>
            <w:r w:rsidRPr="00100F0A">
              <w:rPr>
                <w:rFonts w:eastAsia="Times New Roman" w:cs="Times New Roman"/>
                <w:sz w:val="20"/>
                <w:szCs w:val="20"/>
              </w:rPr>
              <w:t>site, creating a new waste problem.</w:t>
            </w:r>
          </w:p>
          <w:p w14:paraId="64AE3747" w14:textId="59A82334" w:rsidR="00EB2024" w:rsidRPr="00100F0A" w:rsidRDefault="00387CBE" w:rsidP="00EB2024">
            <w:pPr>
              <w:spacing w:after="60"/>
              <w:rPr>
                <w:rFonts w:eastAsia="Times New Roman" w:cs="Times New Roman"/>
                <w:sz w:val="20"/>
                <w:szCs w:val="20"/>
              </w:rPr>
            </w:pPr>
            <w:r w:rsidRPr="00100F0A">
              <w:rPr>
                <w:rFonts w:eastAsia="Times New Roman" w:cs="Times New Roman"/>
                <w:sz w:val="20"/>
                <w:szCs w:val="20"/>
              </w:rPr>
              <w:t>Consequently,</w:t>
            </w:r>
            <w:r w:rsidR="00EB2024" w:rsidRPr="00100F0A">
              <w:rPr>
                <w:rFonts w:eastAsia="Times New Roman" w:cs="Times New Roman"/>
                <w:sz w:val="20"/>
                <w:szCs w:val="20"/>
              </w:rPr>
              <w:t xml:space="preserve"> a </w:t>
            </w:r>
            <w:r w:rsidR="00923556">
              <w:rPr>
                <w:rFonts w:eastAsia="Times New Roman" w:cs="Times New Roman"/>
                <w:sz w:val="20"/>
                <w:szCs w:val="20"/>
              </w:rPr>
              <w:t>large</w:t>
            </w:r>
            <w:r w:rsidR="00EB2024" w:rsidRPr="00100F0A">
              <w:rPr>
                <w:rFonts w:eastAsia="Times New Roman" w:cs="Times New Roman"/>
                <w:sz w:val="20"/>
                <w:szCs w:val="20"/>
              </w:rPr>
              <w:t xml:space="preserve"> stockpile has built up – </w:t>
            </w:r>
            <w:r w:rsidR="00923556">
              <w:rPr>
                <w:rFonts w:eastAsia="Times New Roman" w:cs="Times New Roman"/>
                <w:sz w:val="20"/>
                <w:szCs w:val="20"/>
              </w:rPr>
              <w:t xml:space="preserve">estimated </w:t>
            </w:r>
            <w:r w:rsidR="00EB2024" w:rsidRPr="00100F0A">
              <w:rPr>
                <w:rFonts w:eastAsia="Times New Roman" w:cs="Times New Roman"/>
                <w:sz w:val="20"/>
                <w:szCs w:val="20"/>
              </w:rPr>
              <w:t>9.5</w:t>
            </w:r>
            <w:r w:rsidR="00070A4A">
              <w:rPr>
                <w:rFonts w:eastAsia="Times New Roman" w:cs="Times New Roman"/>
                <w:sz w:val="20"/>
                <w:szCs w:val="20"/>
              </w:rPr>
              <w:t xml:space="preserve"> </w:t>
            </w:r>
            <w:r w:rsidR="00EB2024" w:rsidRPr="00100F0A">
              <w:rPr>
                <w:rFonts w:eastAsia="Times New Roman" w:cs="Times New Roman"/>
                <w:sz w:val="20"/>
                <w:szCs w:val="20"/>
              </w:rPr>
              <w:t>Mt – since around 2014 when the first large-scale RO plant came online.</w:t>
            </w:r>
          </w:p>
          <w:p w14:paraId="0A8B7C28" w14:textId="77777777" w:rsidR="00EB2024" w:rsidRPr="00100F0A" w:rsidRDefault="00EB2024" w:rsidP="00EB2024">
            <w:pPr>
              <w:spacing w:after="60"/>
              <w:rPr>
                <w:rFonts w:eastAsia="Times New Roman" w:cs="Times New Roman"/>
                <w:sz w:val="20"/>
                <w:szCs w:val="20"/>
              </w:rPr>
            </w:pPr>
            <w:r w:rsidRPr="00100F0A">
              <w:rPr>
                <w:rFonts w:eastAsia="Times New Roman" w:cs="Times New Roman"/>
                <w:sz w:val="20"/>
                <w:szCs w:val="20"/>
              </w:rPr>
              <w:t>A stockpile also exists of aluminium and aluminium dross recycling salt cake.</w:t>
            </w:r>
          </w:p>
        </w:tc>
        <w:tc>
          <w:tcPr>
            <w:tcW w:w="1985" w:type="dxa"/>
            <w:tcMar>
              <w:top w:w="0" w:type="dxa"/>
              <w:left w:w="108" w:type="dxa"/>
              <w:bottom w:w="0" w:type="dxa"/>
              <w:right w:w="108" w:type="dxa"/>
            </w:tcMar>
          </w:tcPr>
          <w:p w14:paraId="2426CA72" w14:textId="5E0639DA" w:rsidR="00EB2024" w:rsidRPr="00100F0A" w:rsidRDefault="00EB2024" w:rsidP="00EB2024">
            <w:pPr>
              <w:spacing w:after="60"/>
              <w:rPr>
                <w:rFonts w:eastAsia="Times New Roman" w:cs="Times New Roman"/>
                <w:sz w:val="20"/>
                <w:szCs w:val="20"/>
              </w:rPr>
            </w:pPr>
            <w:r w:rsidRPr="00100F0A">
              <w:rPr>
                <w:rFonts w:eastAsia="Times New Roman" w:cs="Times New Roman"/>
                <w:sz w:val="20"/>
                <w:szCs w:val="20"/>
              </w:rPr>
              <w:t>On</w:t>
            </w:r>
            <w:r w:rsidR="00070A4A">
              <w:rPr>
                <w:rFonts w:eastAsia="Times New Roman" w:cs="Times New Roman"/>
                <w:sz w:val="20"/>
                <w:szCs w:val="20"/>
              </w:rPr>
              <w:t>-</w:t>
            </w:r>
            <w:r w:rsidRPr="00100F0A">
              <w:rPr>
                <w:rFonts w:eastAsia="Times New Roman" w:cs="Times New Roman"/>
                <w:sz w:val="20"/>
                <w:szCs w:val="20"/>
              </w:rPr>
              <w:t>site storages in evaporation ponds are not included in tracking data.</w:t>
            </w:r>
          </w:p>
          <w:p w14:paraId="7F314EED" w14:textId="77777777" w:rsidR="00EB2024" w:rsidRPr="00100F0A" w:rsidRDefault="00EB2024" w:rsidP="00EB2024">
            <w:pPr>
              <w:spacing w:after="60"/>
              <w:rPr>
                <w:sz w:val="20"/>
                <w:szCs w:val="20"/>
              </w:rPr>
            </w:pPr>
            <w:r w:rsidRPr="00100F0A">
              <w:rPr>
                <w:sz w:val="20"/>
                <w:szCs w:val="20"/>
              </w:rPr>
              <w:t>ABC (2014), which was used in the original (2015) set of projections, appears to be a simple extrapolation of CSG well numbers and has been discounted, which has led to a significant flattening in projections of this waste.</w:t>
            </w:r>
          </w:p>
          <w:p w14:paraId="21ADE04C" w14:textId="77777777" w:rsidR="00EB2024" w:rsidRPr="00100F0A" w:rsidRDefault="00EB2024" w:rsidP="00EB2024">
            <w:pPr>
              <w:spacing w:after="60"/>
              <w:rPr>
                <w:rFonts w:eastAsia="Times New Roman" w:cs="Times New Roman"/>
                <w:sz w:val="20"/>
                <w:szCs w:val="20"/>
              </w:rPr>
            </w:pPr>
            <w:r w:rsidRPr="00100F0A">
              <w:rPr>
                <w:color w:val="000000"/>
                <w:sz w:val="20"/>
                <w:szCs w:val="20"/>
              </w:rPr>
              <w:t>Missing Qld data post 15-16 is problematic for near-term trend confidence.</w:t>
            </w:r>
          </w:p>
        </w:tc>
        <w:tc>
          <w:tcPr>
            <w:tcW w:w="1793" w:type="dxa"/>
            <w:tcMar>
              <w:top w:w="0" w:type="dxa"/>
              <w:left w:w="108" w:type="dxa"/>
              <w:bottom w:w="0" w:type="dxa"/>
              <w:right w:w="108" w:type="dxa"/>
            </w:tcMar>
          </w:tcPr>
          <w:p w14:paraId="26828360" w14:textId="77777777" w:rsidR="00EB2024" w:rsidRPr="00100F0A" w:rsidRDefault="00EB2024" w:rsidP="00EB2024">
            <w:pPr>
              <w:spacing w:after="60"/>
              <w:rPr>
                <w:sz w:val="20"/>
              </w:rPr>
            </w:pPr>
            <w:r w:rsidRPr="00100F0A">
              <w:rPr>
                <w:sz w:val="20"/>
              </w:rPr>
              <w:t xml:space="preserve">Base </w:t>
            </w:r>
            <w:r w:rsidRPr="00100F0A">
              <w:rPr>
                <w:sz w:val="20"/>
                <w:u w:val="single"/>
              </w:rPr>
              <w:t>Qld</w:t>
            </w:r>
            <w:r w:rsidRPr="00100F0A">
              <w:rPr>
                <w:sz w:val="20"/>
              </w:rPr>
              <w:t xml:space="preserve"> best on ACIL Tasman (2012) projections of CSG production (as per C100)</w:t>
            </w:r>
          </w:p>
          <w:p w14:paraId="77F6C374" w14:textId="77777777" w:rsidR="00EB2024" w:rsidRPr="00100F0A" w:rsidRDefault="00EB2024" w:rsidP="00EB2024">
            <w:pPr>
              <w:rPr>
                <w:sz w:val="20"/>
              </w:rPr>
            </w:pPr>
            <w:r w:rsidRPr="00100F0A">
              <w:rPr>
                <w:sz w:val="20"/>
                <w:u w:val="single"/>
              </w:rPr>
              <w:t>NSW</w:t>
            </w:r>
            <w:r w:rsidRPr="00100F0A">
              <w:rPr>
                <w:sz w:val="20"/>
              </w:rPr>
              <w:t>: Mostly ULAB smelting slags - use same assumptions as for ULABs</w:t>
            </w:r>
          </w:p>
          <w:p w14:paraId="50B52137" w14:textId="7BFC3D68" w:rsidR="00EB2024" w:rsidRPr="00100F0A" w:rsidRDefault="00EB2024" w:rsidP="00EB2024">
            <w:pPr>
              <w:spacing w:after="60"/>
              <w:rPr>
                <w:rFonts w:eastAsia="Times New Roman" w:cs="Times New Roman"/>
                <w:sz w:val="20"/>
                <w:szCs w:val="20"/>
              </w:rPr>
            </w:pPr>
            <w:r w:rsidRPr="00100F0A">
              <w:rPr>
                <w:sz w:val="20"/>
                <w:u w:val="single"/>
              </w:rPr>
              <w:t>Other</w:t>
            </w:r>
            <w:r w:rsidRPr="00100F0A">
              <w:rPr>
                <w:sz w:val="20"/>
              </w:rPr>
              <w:t>: Assume flat for best, economic growth for high</w:t>
            </w:r>
            <w:r w:rsidR="00070A4A">
              <w:rPr>
                <w:sz w:val="20"/>
              </w:rPr>
              <w:t xml:space="preserve">, </w:t>
            </w:r>
            <w:r w:rsidRPr="00100F0A">
              <w:rPr>
                <w:sz w:val="20"/>
              </w:rPr>
              <w:t>negative for low</w:t>
            </w:r>
          </w:p>
        </w:tc>
      </w:tr>
    </w:tbl>
    <w:p w14:paraId="4B8E3A0B" w14:textId="77777777" w:rsidR="00EB2024" w:rsidRPr="00100F0A" w:rsidRDefault="00EB2024" w:rsidP="00EB2024">
      <w:pPr>
        <w:pStyle w:val="BodyText"/>
        <w:rPr>
          <w:b/>
        </w:rPr>
      </w:pPr>
    </w:p>
    <w:p w14:paraId="2A55A2EC" w14:textId="77777777" w:rsidR="00EB2024" w:rsidRPr="00100F0A" w:rsidRDefault="00EB2024" w:rsidP="00EB2024">
      <w:pPr>
        <w:rPr>
          <w:i/>
          <w:iCs/>
          <w:color w:val="4D4DB8"/>
          <w:szCs w:val="18"/>
        </w:rPr>
      </w:pPr>
      <w:r w:rsidRPr="00100F0A">
        <w:br w:type="page"/>
      </w:r>
    </w:p>
    <w:p w14:paraId="3257F2EE" w14:textId="0C06B05E" w:rsidR="00EB2024" w:rsidRPr="00100F0A" w:rsidRDefault="00EB2024" w:rsidP="00EB2024">
      <w:pPr>
        <w:pStyle w:val="Caption"/>
      </w:pPr>
      <w:bookmarkStart w:id="175" w:name="_Toc13225634"/>
      <w:r w:rsidRPr="00100F0A">
        <w:t xml:space="preserve">Table </w:t>
      </w:r>
      <w:r w:rsidRPr="00100F0A">
        <w:rPr>
          <w:noProof/>
        </w:rPr>
        <w:fldChar w:fldCharType="begin"/>
      </w:r>
      <w:r w:rsidRPr="00100F0A">
        <w:rPr>
          <w:noProof/>
        </w:rPr>
        <w:instrText xml:space="preserve"> SEQ Table \* ARABIC </w:instrText>
      </w:r>
      <w:r w:rsidRPr="00100F0A">
        <w:rPr>
          <w:noProof/>
        </w:rPr>
        <w:fldChar w:fldCharType="separate"/>
      </w:r>
      <w:r w:rsidR="00EB634D">
        <w:rPr>
          <w:noProof/>
        </w:rPr>
        <w:t>15</w:t>
      </w:r>
      <w:r w:rsidRPr="00100F0A">
        <w:rPr>
          <w:noProof/>
        </w:rPr>
        <w:fldChar w:fldCharType="end"/>
      </w:r>
      <w:r w:rsidR="00C14F18">
        <w:rPr>
          <w:noProof/>
        </w:rPr>
        <w:t>:</w:t>
      </w:r>
      <w:r w:rsidRPr="00100F0A">
        <w:tab/>
        <w:t>Best, high and low projected rates of change for non-toxic salt waste to 2037</w:t>
      </w:r>
      <w:bookmarkEnd w:id="175"/>
    </w:p>
    <w:tbl>
      <w:tblPr>
        <w:tblW w:w="9062" w:type="dxa"/>
        <w:tblCellMar>
          <w:left w:w="0" w:type="dxa"/>
          <w:right w:w="0" w:type="dxa"/>
        </w:tblCellMar>
        <w:tblLook w:val="04A0" w:firstRow="1" w:lastRow="0" w:firstColumn="1" w:lastColumn="0" w:noHBand="0" w:noVBand="1"/>
      </w:tblPr>
      <w:tblGrid>
        <w:gridCol w:w="588"/>
        <w:gridCol w:w="1012"/>
        <w:gridCol w:w="3193"/>
        <w:gridCol w:w="719"/>
        <w:gridCol w:w="322"/>
        <w:gridCol w:w="1985"/>
        <w:gridCol w:w="322"/>
        <w:gridCol w:w="921"/>
      </w:tblGrid>
      <w:tr w:rsidR="009C5396" w:rsidRPr="009C5396" w14:paraId="6DF58302" w14:textId="77777777" w:rsidTr="009C5396">
        <w:trPr>
          <w:tblHeader/>
        </w:trPr>
        <w:tc>
          <w:tcPr>
            <w:tcW w:w="588" w:type="dxa"/>
            <w:tcBorders>
              <w:top w:val="single" w:sz="8" w:space="0" w:color="B7B7E2"/>
              <w:left w:val="single" w:sz="8" w:space="0" w:color="B7B7E2"/>
              <w:bottom w:val="single" w:sz="8" w:space="0" w:color="B7B7E2"/>
              <w:right w:val="single" w:sz="8" w:space="0" w:color="B7B7E2"/>
            </w:tcBorders>
            <w:shd w:val="clear" w:color="auto" w:fill="B7B7E2"/>
            <w:tcMar>
              <w:top w:w="0" w:type="dxa"/>
              <w:left w:w="108" w:type="dxa"/>
              <w:bottom w:w="0" w:type="dxa"/>
              <w:right w:w="108" w:type="dxa"/>
            </w:tcMar>
            <w:vAlign w:val="center"/>
            <w:hideMark/>
          </w:tcPr>
          <w:p w14:paraId="730F5AF7" w14:textId="77777777" w:rsidR="00EB2024" w:rsidRPr="006872A9" w:rsidRDefault="00EB2024" w:rsidP="00EB2024">
            <w:pPr>
              <w:spacing w:after="144"/>
              <w:rPr>
                <w:rFonts w:eastAsia="Times New Roman" w:cs="Times New Roman"/>
                <w:sz w:val="20"/>
                <w:szCs w:val="20"/>
              </w:rPr>
            </w:pPr>
            <w:r w:rsidRPr="006872A9">
              <w:rPr>
                <w:rFonts w:eastAsia="Times New Roman" w:cs="Times New Roman"/>
                <w:bCs/>
                <w:color w:val="FFFFFF"/>
                <w:sz w:val="20"/>
                <w:szCs w:val="20"/>
              </w:rPr>
              <w:t> </w:t>
            </w:r>
          </w:p>
        </w:tc>
        <w:tc>
          <w:tcPr>
            <w:tcW w:w="1012"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2F21B303" w14:textId="77777777" w:rsidR="00EB2024" w:rsidRPr="006872A9" w:rsidRDefault="00EB2024" w:rsidP="00EB2024">
            <w:pPr>
              <w:spacing w:after="144"/>
              <w:rPr>
                <w:rFonts w:eastAsia="Times New Roman" w:cs="Times New Roman"/>
                <w:sz w:val="20"/>
                <w:szCs w:val="20"/>
              </w:rPr>
            </w:pPr>
            <w:r w:rsidRPr="006872A9">
              <w:rPr>
                <w:rFonts w:eastAsia="Times New Roman" w:cs="Times New Roman"/>
                <w:bCs/>
                <w:color w:val="FFFFFF"/>
                <w:sz w:val="20"/>
                <w:szCs w:val="20"/>
              </w:rPr>
              <w:t> Applies to</w:t>
            </w:r>
          </w:p>
        </w:tc>
        <w:tc>
          <w:tcPr>
            <w:tcW w:w="3193"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3ADD488A" w14:textId="77777777" w:rsidR="00EB2024" w:rsidRPr="006872A9" w:rsidRDefault="00EB2024" w:rsidP="00EB2024">
            <w:pPr>
              <w:spacing w:after="144"/>
              <w:rPr>
                <w:rFonts w:eastAsia="Times New Roman" w:cs="Times New Roman"/>
                <w:sz w:val="20"/>
                <w:szCs w:val="20"/>
              </w:rPr>
            </w:pPr>
            <w:r w:rsidRPr="006872A9">
              <w:rPr>
                <w:rFonts w:eastAsia="Times New Roman" w:cs="Times New Roman"/>
                <w:bCs/>
                <w:color w:val="FFFFFF"/>
                <w:sz w:val="20"/>
                <w:szCs w:val="20"/>
              </w:rPr>
              <w:t> Approach</w:t>
            </w:r>
          </w:p>
        </w:tc>
        <w:tc>
          <w:tcPr>
            <w:tcW w:w="719"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5634B6CA" w14:textId="50C2D806" w:rsidR="00EB2024" w:rsidRPr="009C5396" w:rsidRDefault="00EB2024" w:rsidP="006872A9">
            <w:pPr>
              <w:spacing w:after="144"/>
              <w:jc w:val="center"/>
              <w:rPr>
                <w:rFonts w:eastAsia="Times New Roman" w:cs="Times New Roman"/>
                <w:sz w:val="20"/>
                <w:szCs w:val="20"/>
              </w:rPr>
            </w:pPr>
            <w:r w:rsidRPr="006872A9">
              <w:rPr>
                <w:rFonts w:eastAsia="Times New Roman" w:cs="Times New Roman"/>
                <w:bCs/>
                <w:color w:val="FFFFFF"/>
                <w:sz w:val="20"/>
                <w:szCs w:val="20"/>
              </w:rPr>
              <w:t>2018</w:t>
            </w:r>
          </w:p>
        </w:tc>
        <w:tc>
          <w:tcPr>
            <w:tcW w:w="322" w:type="dxa"/>
            <w:tcBorders>
              <w:top w:val="single" w:sz="8" w:space="0" w:color="B7B7E2"/>
              <w:left w:val="nil"/>
              <w:bottom w:val="single" w:sz="8" w:space="0" w:color="B7B7E2"/>
              <w:right w:val="single" w:sz="8" w:space="0" w:color="B7B7E2"/>
            </w:tcBorders>
            <w:shd w:val="clear" w:color="auto" w:fill="B7B7E2"/>
          </w:tcPr>
          <w:p w14:paraId="3F55495C" w14:textId="77777777" w:rsidR="00EB2024" w:rsidRPr="006872A9" w:rsidRDefault="00EB2024" w:rsidP="00B30B8D">
            <w:pPr>
              <w:spacing w:after="144"/>
              <w:jc w:val="center"/>
              <w:rPr>
                <w:rFonts w:eastAsia="Times New Roman" w:cs="Times New Roman"/>
                <w:bCs/>
                <w:color w:val="FFFFFF" w:themeColor="background1"/>
                <w:sz w:val="20"/>
                <w:szCs w:val="20"/>
              </w:rPr>
            </w:pPr>
            <w:r w:rsidRPr="009C5396">
              <w:rPr>
                <w:color w:val="FFFFFF" w:themeColor="background1"/>
                <w:sz w:val="20"/>
                <w:szCs w:val="20"/>
              </w:rPr>
              <w:t>...</w:t>
            </w:r>
          </w:p>
        </w:tc>
        <w:tc>
          <w:tcPr>
            <w:tcW w:w="1985" w:type="dxa"/>
            <w:tcBorders>
              <w:top w:val="single" w:sz="8" w:space="0" w:color="B7B7E2"/>
              <w:left w:val="nil"/>
              <w:bottom w:val="single" w:sz="8" w:space="0" w:color="B7B7E2"/>
              <w:right w:val="single" w:sz="8" w:space="0" w:color="B7B7E2"/>
            </w:tcBorders>
            <w:shd w:val="clear" w:color="auto" w:fill="B7B7E2"/>
          </w:tcPr>
          <w:p w14:paraId="45EC306E" w14:textId="225B70A3" w:rsidR="00EB2024" w:rsidRPr="006872A9" w:rsidRDefault="00EB2024" w:rsidP="006872A9">
            <w:pPr>
              <w:spacing w:after="144"/>
              <w:jc w:val="center"/>
              <w:rPr>
                <w:rFonts w:eastAsia="Times New Roman" w:cs="Times New Roman"/>
                <w:bCs/>
                <w:color w:val="FFFFFF" w:themeColor="background1"/>
                <w:sz w:val="20"/>
                <w:szCs w:val="20"/>
              </w:rPr>
            </w:pPr>
            <w:r w:rsidRPr="006872A9">
              <w:rPr>
                <w:rFonts w:eastAsia="Times New Roman" w:cs="Times New Roman"/>
                <w:bCs/>
                <w:color w:val="FFFFFF" w:themeColor="background1"/>
                <w:sz w:val="20"/>
                <w:szCs w:val="20"/>
              </w:rPr>
              <w:t>202</w:t>
            </w:r>
            <w:r w:rsidR="004C0905" w:rsidRPr="006872A9">
              <w:rPr>
                <w:rFonts w:eastAsia="Times New Roman" w:cs="Times New Roman"/>
                <w:bCs/>
                <w:color w:val="FFFFFF" w:themeColor="background1"/>
                <w:sz w:val="20"/>
                <w:szCs w:val="20"/>
              </w:rPr>
              <w:t>3</w:t>
            </w:r>
          </w:p>
        </w:tc>
        <w:tc>
          <w:tcPr>
            <w:tcW w:w="322" w:type="dxa"/>
            <w:tcBorders>
              <w:top w:val="single" w:sz="8" w:space="0" w:color="B7B7E2"/>
              <w:left w:val="nil"/>
              <w:bottom w:val="single" w:sz="8" w:space="0" w:color="B7B7E2"/>
              <w:right w:val="single" w:sz="8" w:space="0" w:color="B7B7E2"/>
            </w:tcBorders>
            <w:shd w:val="clear" w:color="auto" w:fill="B7B7E2"/>
          </w:tcPr>
          <w:p w14:paraId="110AB5EB" w14:textId="77777777" w:rsidR="00EB2024" w:rsidRPr="006872A9" w:rsidRDefault="00EB2024" w:rsidP="006872A9">
            <w:pPr>
              <w:spacing w:after="144"/>
              <w:jc w:val="center"/>
              <w:rPr>
                <w:rFonts w:eastAsia="Times New Roman" w:cs="Times New Roman"/>
                <w:bCs/>
                <w:color w:val="FFFFFF" w:themeColor="background1"/>
                <w:sz w:val="20"/>
                <w:szCs w:val="20"/>
              </w:rPr>
            </w:pPr>
            <w:r w:rsidRPr="009C5396">
              <w:rPr>
                <w:color w:val="FFFFFF" w:themeColor="background1"/>
                <w:sz w:val="20"/>
                <w:szCs w:val="20"/>
              </w:rPr>
              <w:t>...</w:t>
            </w:r>
          </w:p>
        </w:tc>
        <w:tc>
          <w:tcPr>
            <w:tcW w:w="921" w:type="dxa"/>
            <w:tcBorders>
              <w:top w:val="single" w:sz="8" w:space="0" w:color="B7B7E2"/>
              <w:left w:val="nil"/>
              <w:bottom w:val="single" w:sz="8" w:space="0" w:color="B7B7E2"/>
              <w:right w:val="single" w:sz="8" w:space="0" w:color="B7B7E2"/>
            </w:tcBorders>
            <w:shd w:val="clear" w:color="auto" w:fill="B7B7E2"/>
          </w:tcPr>
          <w:p w14:paraId="62F1B68F" w14:textId="77777777" w:rsidR="00EB2024" w:rsidRPr="006872A9" w:rsidRDefault="00EB2024" w:rsidP="006872A9">
            <w:pPr>
              <w:spacing w:after="144"/>
              <w:jc w:val="center"/>
              <w:rPr>
                <w:rFonts w:eastAsia="Times New Roman" w:cs="Times New Roman"/>
                <w:bCs/>
                <w:color w:val="FFFFFF" w:themeColor="background1"/>
                <w:sz w:val="20"/>
                <w:szCs w:val="20"/>
              </w:rPr>
            </w:pPr>
            <w:r w:rsidRPr="006872A9">
              <w:rPr>
                <w:rFonts w:eastAsia="Times New Roman" w:cs="Times New Roman"/>
                <w:bCs/>
                <w:color w:val="FFFFFF" w:themeColor="background1"/>
                <w:sz w:val="20"/>
                <w:szCs w:val="20"/>
              </w:rPr>
              <w:t>2037</w:t>
            </w:r>
          </w:p>
        </w:tc>
      </w:tr>
      <w:tr w:rsidR="00EB2024" w:rsidRPr="009C5396" w14:paraId="3AA2EBD6" w14:textId="77777777" w:rsidTr="00EB2024">
        <w:tc>
          <w:tcPr>
            <w:tcW w:w="9062" w:type="dxa"/>
            <w:gridSpan w:val="8"/>
            <w:tcBorders>
              <w:top w:val="single" w:sz="8" w:space="0" w:color="B7B7E2"/>
              <w:left w:val="single" w:sz="8" w:space="0" w:color="B7B7E2"/>
              <w:bottom w:val="dotted" w:sz="4" w:space="0" w:color="B7B7E2"/>
              <w:right w:val="single" w:sz="8" w:space="0" w:color="B7B7E2"/>
            </w:tcBorders>
            <w:tcMar>
              <w:top w:w="0" w:type="dxa"/>
              <w:left w:w="108" w:type="dxa"/>
              <w:bottom w:w="0" w:type="dxa"/>
              <w:right w:w="108" w:type="dxa"/>
            </w:tcMar>
          </w:tcPr>
          <w:p w14:paraId="7EAFD59D" w14:textId="77777777" w:rsidR="00EB2024" w:rsidRPr="009C5396" w:rsidRDefault="00EB2024" w:rsidP="006872A9">
            <w:pPr>
              <w:spacing w:after="60"/>
              <w:jc w:val="center"/>
              <w:rPr>
                <w:iCs/>
                <w:color w:val="4D4DB8"/>
                <w:sz w:val="20"/>
                <w:szCs w:val="20"/>
              </w:rPr>
            </w:pPr>
            <w:r w:rsidRPr="009C5396">
              <w:rPr>
                <w:iCs/>
                <w:color w:val="4D4DB8"/>
                <w:sz w:val="20"/>
                <w:szCs w:val="20"/>
              </w:rPr>
              <w:t>Arisings</w:t>
            </w:r>
          </w:p>
        </w:tc>
      </w:tr>
      <w:tr w:rsidR="009C5396" w:rsidRPr="009C5396" w14:paraId="18802F15" w14:textId="77777777" w:rsidTr="009C5396">
        <w:tc>
          <w:tcPr>
            <w:tcW w:w="588" w:type="dxa"/>
            <w:tcBorders>
              <w:top w:val="single" w:sz="8" w:space="0" w:color="B7B7E2"/>
              <w:left w:val="single" w:sz="8" w:space="0" w:color="B7B7E2"/>
              <w:bottom w:val="dotted" w:sz="4" w:space="0" w:color="B7B7E2"/>
              <w:right w:val="single" w:sz="8" w:space="0" w:color="B7B7E2"/>
            </w:tcBorders>
            <w:tcMar>
              <w:top w:w="0" w:type="dxa"/>
              <w:left w:w="108" w:type="dxa"/>
              <w:bottom w:w="0" w:type="dxa"/>
              <w:right w:w="108" w:type="dxa"/>
            </w:tcMar>
            <w:hideMark/>
          </w:tcPr>
          <w:p w14:paraId="173E37B4" w14:textId="77777777" w:rsidR="004C0905" w:rsidRPr="009C5396" w:rsidRDefault="004C0905" w:rsidP="004C0905">
            <w:pPr>
              <w:spacing w:after="60"/>
              <w:rPr>
                <w:rFonts w:eastAsia="Times New Roman" w:cs="Times New Roman"/>
                <w:sz w:val="20"/>
                <w:szCs w:val="20"/>
              </w:rPr>
            </w:pPr>
            <w:r w:rsidRPr="009C5396">
              <w:rPr>
                <w:sz w:val="20"/>
                <w:szCs w:val="20"/>
              </w:rPr>
              <w:t>Best</w:t>
            </w:r>
          </w:p>
        </w:tc>
        <w:tc>
          <w:tcPr>
            <w:tcW w:w="1012" w:type="dxa"/>
            <w:vMerge w:val="restart"/>
            <w:tcBorders>
              <w:top w:val="single" w:sz="8" w:space="0" w:color="B7B7E2"/>
              <w:left w:val="nil"/>
              <w:right w:val="single" w:sz="4" w:space="0" w:color="B7B7E2"/>
            </w:tcBorders>
            <w:tcMar>
              <w:top w:w="0" w:type="dxa"/>
              <w:left w:w="108" w:type="dxa"/>
              <w:bottom w:w="0" w:type="dxa"/>
              <w:right w:w="108" w:type="dxa"/>
            </w:tcMar>
            <w:vAlign w:val="center"/>
          </w:tcPr>
          <w:p w14:paraId="48EBA864" w14:textId="77777777" w:rsidR="004C0905" w:rsidRPr="009C5396" w:rsidRDefault="004C0905" w:rsidP="004C0905">
            <w:pPr>
              <w:spacing w:after="60"/>
              <w:rPr>
                <w:sz w:val="20"/>
                <w:szCs w:val="20"/>
              </w:rPr>
            </w:pPr>
            <w:r w:rsidRPr="009C5396">
              <w:rPr>
                <w:sz w:val="20"/>
                <w:szCs w:val="20"/>
              </w:rPr>
              <w:t>Qld</w:t>
            </w:r>
          </w:p>
        </w:tc>
        <w:tc>
          <w:tcPr>
            <w:tcW w:w="3193" w:type="dxa"/>
            <w:tcBorders>
              <w:top w:val="single" w:sz="8" w:space="0" w:color="B7B7E2"/>
              <w:left w:val="single" w:sz="4" w:space="0" w:color="B7B7E2"/>
              <w:bottom w:val="dotted" w:sz="4" w:space="0" w:color="B7B7E2"/>
              <w:right w:val="single" w:sz="4" w:space="0" w:color="B7B7E2"/>
            </w:tcBorders>
            <w:tcMar>
              <w:top w:w="0" w:type="dxa"/>
              <w:left w:w="108" w:type="dxa"/>
              <w:bottom w:w="0" w:type="dxa"/>
              <w:right w:w="108" w:type="dxa"/>
            </w:tcMar>
            <w:vAlign w:val="bottom"/>
          </w:tcPr>
          <w:p w14:paraId="13A7E06B" w14:textId="28FCE286" w:rsidR="004C0905" w:rsidRPr="009C5396" w:rsidRDefault="004C0905" w:rsidP="004C0905">
            <w:pPr>
              <w:rPr>
                <w:rFonts w:eastAsia="Times New Roman" w:cs="Times New Roman"/>
                <w:sz w:val="20"/>
                <w:szCs w:val="20"/>
              </w:rPr>
            </w:pPr>
            <w:r w:rsidRPr="009C5396">
              <w:rPr>
                <w:rFonts w:cs="Calibri"/>
                <w:color w:val="000000"/>
                <w:sz w:val="20"/>
                <w:szCs w:val="20"/>
              </w:rPr>
              <w:t>Based on ACIL Tasman (2012)</w:t>
            </w:r>
          </w:p>
        </w:tc>
        <w:tc>
          <w:tcPr>
            <w:tcW w:w="719" w:type="dxa"/>
            <w:tcBorders>
              <w:top w:val="single" w:sz="8" w:space="0" w:color="B7B7E2"/>
              <w:left w:val="single" w:sz="4" w:space="0" w:color="B7B7E2"/>
              <w:bottom w:val="dotted" w:sz="4" w:space="0" w:color="B7B7E2"/>
              <w:right w:val="single" w:sz="8" w:space="0" w:color="B7B7E2"/>
            </w:tcBorders>
            <w:tcMar>
              <w:top w:w="0" w:type="dxa"/>
              <w:left w:w="108" w:type="dxa"/>
              <w:bottom w:w="0" w:type="dxa"/>
              <w:right w:w="108" w:type="dxa"/>
            </w:tcMar>
            <w:hideMark/>
          </w:tcPr>
          <w:p w14:paraId="2A59256A" w14:textId="77777777" w:rsidR="004C0905" w:rsidRPr="009C5396" w:rsidRDefault="004C0905" w:rsidP="006872A9">
            <w:pPr>
              <w:spacing w:after="60"/>
              <w:jc w:val="center"/>
              <w:rPr>
                <w:rFonts w:eastAsia="Times New Roman" w:cs="Times New Roman"/>
                <w:sz w:val="20"/>
                <w:szCs w:val="20"/>
              </w:rPr>
            </w:pPr>
            <w:r w:rsidRPr="009C5396">
              <w:rPr>
                <w:rFonts w:cs="Calibri"/>
                <w:sz w:val="20"/>
                <w:szCs w:val="20"/>
              </w:rPr>
              <w:t>-0.3%</w:t>
            </w:r>
          </w:p>
        </w:tc>
        <w:tc>
          <w:tcPr>
            <w:tcW w:w="322" w:type="dxa"/>
            <w:tcBorders>
              <w:top w:val="single" w:sz="8" w:space="0" w:color="B7B7E2"/>
              <w:left w:val="nil"/>
              <w:bottom w:val="dotted" w:sz="4" w:space="0" w:color="B7B7E2"/>
              <w:right w:val="single" w:sz="8" w:space="0" w:color="B7B7E2"/>
            </w:tcBorders>
          </w:tcPr>
          <w:p w14:paraId="38FD245B" w14:textId="77777777" w:rsidR="004C0905" w:rsidRPr="009C5396" w:rsidRDefault="004C0905" w:rsidP="00B30B8D">
            <w:pPr>
              <w:spacing w:after="60"/>
              <w:jc w:val="center"/>
              <w:rPr>
                <w:rFonts w:eastAsia="Times New Roman" w:cs="Times New Roman"/>
                <w:sz w:val="20"/>
                <w:szCs w:val="20"/>
              </w:rPr>
            </w:pPr>
            <w:r w:rsidRPr="009C5396">
              <w:rPr>
                <w:sz w:val="20"/>
                <w:szCs w:val="20"/>
              </w:rPr>
              <w:t>...</w:t>
            </w:r>
          </w:p>
        </w:tc>
        <w:tc>
          <w:tcPr>
            <w:tcW w:w="1985" w:type="dxa"/>
            <w:tcBorders>
              <w:top w:val="single" w:sz="8" w:space="0" w:color="B7B7E2"/>
              <w:left w:val="nil"/>
              <w:bottom w:val="dotted" w:sz="4" w:space="0" w:color="B7B7E2"/>
              <w:right w:val="single" w:sz="8" w:space="0" w:color="B7B7E2"/>
            </w:tcBorders>
          </w:tcPr>
          <w:p w14:paraId="62689085" w14:textId="77777777" w:rsidR="004C0905" w:rsidRPr="009C5396" w:rsidRDefault="004C0905" w:rsidP="006872A9">
            <w:pPr>
              <w:spacing w:after="60"/>
              <w:jc w:val="center"/>
              <w:rPr>
                <w:rFonts w:cs="Calibri"/>
                <w:bCs/>
                <w:color w:val="000000" w:themeColor="text1"/>
                <w:sz w:val="20"/>
                <w:szCs w:val="20"/>
              </w:rPr>
            </w:pPr>
            <w:r w:rsidRPr="009C5396">
              <w:rPr>
                <w:rFonts w:cs="Calibri"/>
                <w:color w:val="000000" w:themeColor="text1"/>
                <w:sz w:val="20"/>
                <w:szCs w:val="20"/>
              </w:rPr>
              <w:t>1.5%</w:t>
            </w:r>
          </w:p>
        </w:tc>
        <w:tc>
          <w:tcPr>
            <w:tcW w:w="322" w:type="dxa"/>
            <w:tcBorders>
              <w:top w:val="single" w:sz="8" w:space="0" w:color="B7B7E2"/>
              <w:left w:val="nil"/>
              <w:bottom w:val="dotted" w:sz="4" w:space="0" w:color="B7B7E2"/>
              <w:right w:val="single" w:sz="8" w:space="0" w:color="B7B7E2"/>
            </w:tcBorders>
          </w:tcPr>
          <w:p w14:paraId="607D39DF" w14:textId="77777777" w:rsidR="004C0905" w:rsidRPr="009C5396" w:rsidRDefault="004C0905" w:rsidP="00B30B8D">
            <w:pPr>
              <w:spacing w:after="60"/>
              <w:jc w:val="center"/>
              <w:rPr>
                <w:rFonts w:cs="Calibri"/>
                <w:color w:val="000000" w:themeColor="text1"/>
                <w:sz w:val="20"/>
                <w:szCs w:val="20"/>
              </w:rPr>
            </w:pPr>
            <w:r w:rsidRPr="009C5396">
              <w:rPr>
                <w:sz w:val="20"/>
                <w:szCs w:val="20"/>
              </w:rPr>
              <w:t>...</w:t>
            </w:r>
          </w:p>
        </w:tc>
        <w:tc>
          <w:tcPr>
            <w:tcW w:w="921" w:type="dxa"/>
            <w:tcBorders>
              <w:top w:val="single" w:sz="8" w:space="0" w:color="B7B7E2"/>
              <w:left w:val="nil"/>
              <w:bottom w:val="dotted" w:sz="4" w:space="0" w:color="B7B7E2"/>
              <w:right w:val="single" w:sz="8" w:space="0" w:color="B7B7E2"/>
            </w:tcBorders>
          </w:tcPr>
          <w:p w14:paraId="3F220E02" w14:textId="77777777" w:rsidR="004C0905" w:rsidRPr="009C5396" w:rsidRDefault="004C0905" w:rsidP="006872A9">
            <w:pPr>
              <w:spacing w:after="60"/>
              <w:jc w:val="center"/>
              <w:rPr>
                <w:rFonts w:cs="Calibri"/>
                <w:color w:val="000000" w:themeColor="text1"/>
                <w:sz w:val="20"/>
                <w:szCs w:val="20"/>
              </w:rPr>
            </w:pPr>
            <w:r w:rsidRPr="009C5396">
              <w:rPr>
                <w:rFonts w:cs="Calibri"/>
                <w:color w:val="000000" w:themeColor="text1"/>
                <w:sz w:val="20"/>
                <w:szCs w:val="20"/>
              </w:rPr>
              <w:t>1.8%</w:t>
            </w:r>
          </w:p>
        </w:tc>
      </w:tr>
      <w:tr w:rsidR="009C5396" w:rsidRPr="009C5396" w14:paraId="20923657" w14:textId="77777777" w:rsidTr="009C5396">
        <w:tc>
          <w:tcPr>
            <w:tcW w:w="588" w:type="dxa"/>
            <w:tcBorders>
              <w:top w:val="dotted" w:sz="4" w:space="0" w:color="B7B7E2"/>
              <w:left w:val="single" w:sz="8" w:space="0" w:color="B7B7E2"/>
              <w:bottom w:val="dotted" w:sz="4" w:space="0" w:color="B7B7E2"/>
              <w:right w:val="single" w:sz="8" w:space="0" w:color="B7B7E2"/>
            </w:tcBorders>
            <w:tcMar>
              <w:top w:w="0" w:type="dxa"/>
              <w:left w:w="108" w:type="dxa"/>
              <w:bottom w:w="0" w:type="dxa"/>
              <w:right w:w="108" w:type="dxa"/>
            </w:tcMar>
            <w:hideMark/>
          </w:tcPr>
          <w:p w14:paraId="089AEFA1" w14:textId="77777777" w:rsidR="004C0905" w:rsidRPr="009C5396" w:rsidRDefault="004C0905" w:rsidP="004C0905">
            <w:pPr>
              <w:spacing w:after="60"/>
              <w:rPr>
                <w:rFonts w:eastAsia="Times New Roman" w:cs="Times New Roman"/>
                <w:sz w:val="20"/>
                <w:szCs w:val="20"/>
              </w:rPr>
            </w:pPr>
            <w:r w:rsidRPr="009C5396">
              <w:rPr>
                <w:sz w:val="20"/>
                <w:szCs w:val="20"/>
              </w:rPr>
              <w:t>High</w:t>
            </w:r>
          </w:p>
        </w:tc>
        <w:tc>
          <w:tcPr>
            <w:tcW w:w="1012" w:type="dxa"/>
            <w:vMerge/>
            <w:tcBorders>
              <w:left w:val="nil"/>
              <w:right w:val="single" w:sz="4" w:space="0" w:color="B7B7E2"/>
            </w:tcBorders>
            <w:tcMar>
              <w:top w:w="0" w:type="dxa"/>
              <w:left w:w="108" w:type="dxa"/>
              <w:bottom w:w="0" w:type="dxa"/>
              <w:right w:w="108" w:type="dxa"/>
            </w:tcMar>
          </w:tcPr>
          <w:p w14:paraId="3AE7B367" w14:textId="77777777" w:rsidR="004C0905" w:rsidRPr="006872A9" w:rsidRDefault="004C0905" w:rsidP="004C0905">
            <w:pPr>
              <w:spacing w:after="60"/>
              <w:rPr>
                <w:sz w:val="20"/>
                <w:szCs w:val="20"/>
              </w:rPr>
            </w:pPr>
          </w:p>
        </w:tc>
        <w:tc>
          <w:tcPr>
            <w:tcW w:w="3193"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vAlign w:val="bottom"/>
          </w:tcPr>
          <w:p w14:paraId="65DA4DEF" w14:textId="088B0932" w:rsidR="004C0905" w:rsidRPr="009C5396" w:rsidRDefault="004C0905" w:rsidP="004C0905">
            <w:pPr>
              <w:rPr>
                <w:rFonts w:eastAsia="Times New Roman" w:cs="Times New Roman"/>
                <w:sz w:val="20"/>
                <w:szCs w:val="20"/>
              </w:rPr>
            </w:pPr>
            <w:r w:rsidRPr="009C5396">
              <w:rPr>
                <w:rFonts w:cs="Calibri"/>
                <w:color w:val="000000"/>
                <w:sz w:val="20"/>
                <w:szCs w:val="20"/>
              </w:rPr>
              <w:t xml:space="preserve">20-year average annual economic growth </w:t>
            </w:r>
          </w:p>
        </w:tc>
        <w:tc>
          <w:tcPr>
            <w:tcW w:w="719" w:type="dxa"/>
            <w:tcBorders>
              <w:top w:val="dotted" w:sz="4" w:space="0" w:color="B7B7E2"/>
              <w:left w:val="single" w:sz="4" w:space="0" w:color="B7B7E2"/>
              <w:bottom w:val="dotted" w:sz="4" w:space="0" w:color="B7B7E2"/>
              <w:right w:val="single" w:sz="8" w:space="0" w:color="B7B7E2"/>
            </w:tcBorders>
            <w:tcMar>
              <w:top w:w="0" w:type="dxa"/>
              <w:left w:w="108" w:type="dxa"/>
              <w:bottom w:w="0" w:type="dxa"/>
              <w:right w:w="108" w:type="dxa"/>
            </w:tcMar>
            <w:hideMark/>
          </w:tcPr>
          <w:p w14:paraId="02ECA9A9" w14:textId="77777777" w:rsidR="004C0905" w:rsidRPr="009C5396" w:rsidRDefault="004C0905" w:rsidP="006872A9">
            <w:pPr>
              <w:spacing w:after="60"/>
              <w:jc w:val="center"/>
              <w:rPr>
                <w:rFonts w:eastAsia="Times New Roman" w:cs="Times New Roman"/>
                <w:sz w:val="20"/>
                <w:szCs w:val="20"/>
              </w:rPr>
            </w:pPr>
            <w:r w:rsidRPr="009C5396">
              <w:rPr>
                <w:rFonts w:cs="Calibri"/>
                <w:sz w:val="20"/>
                <w:szCs w:val="20"/>
              </w:rPr>
              <w:t>2.8%</w:t>
            </w:r>
          </w:p>
        </w:tc>
        <w:tc>
          <w:tcPr>
            <w:tcW w:w="322" w:type="dxa"/>
            <w:tcBorders>
              <w:top w:val="dotted" w:sz="4" w:space="0" w:color="B7B7E2"/>
              <w:left w:val="nil"/>
              <w:bottom w:val="dotted" w:sz="4" w:space="0" w:color="B7B7E2"/>
              <w:right w:val="single" w:sz="8" w:space="0" w:color="B7B7E2"/>
            </w:tcBorders>
          </w:tcPr>
          <w:p w14:paraId="4C357815" w14:textId="77777777" w:rsidR="004C0905" w:rsidRPr="009C5396" w:rsidRDefault="004C0905" w:rsidP="00B30B8D">
            <w:pPr>
              <w:spacing w:after="60"/>
              <w:jc w:val="center"/>
              <w:rPr>
                <w:rFonts w:eastAsia="Times New Roman" w:cs="Times New Roman"/>
                <w:sz w:val="20"/>
                <w:szCs w:val="20"/>
              </w:rPr>
            </w:pPr>
            <w:r w:rsidRPr="009C5396">
              <w:rPr>
                <w:sz w:val="20"/>
                <w:szCs w:val="20"/>
              </w:rPr>
              <w:t>...</w:t>
            </w:r>
          </w:p>
        </w:tc>
        <w:tc>
          <w:tcPr>
            <w:tcW w:w="1985" w:type="dxa"/>
            <w:tcBorders>
              <w:top w:val="dotted" w:sz="4" w:space="0" w:color="B7B7E2"/>
              <w:left w:val="nil"/>
              <w:bottom w:val="dotted" w:sz="4" w:space="0" w:color="B7B7E2"/>
              <w:right w:val="single" w:sz="8" w:space="0" w:color="B7B7E2"/>
            </w:tcBorders>
          </w:tcPr>
          <w:p w14:paraId="3A4CA69B" w14:textId="77777777" w:rsidR="004C0905" w:rsidRPr="009C5396" w:rsidRDefault="004C0905" w:rsidP="006872A9">
            <w:pPr>
              <w:spacing w:after="60"/>
              <w:jc w:val="center"/>
              <w:rPr>
                <w:rFonts w:cs="Calibri"/>
                <w:bCs/>
                <w:color w:val="000000" w:themeColor="text1"/>
                <w:sz w:val="20"/>
                <w:szCs w:val="20"/>
              </w:rPr>
            </w:pPr>
            <w:r w:rsidRPr="009C5396">
              <w:rPr>
                <w:rFonts w:cs="Calibri"/>
                <w:color w:val="000000" w:themeColor="text1"/>
                <w:sz w:val="20"/>
                <w:szCs w:val="20"/>
              </w:rPr>
              <w:t>2.8%</w:t>
            </w:r>
          </w:p>
        </w:tc>
        <w:tc>
          <w:tcPr>
            <w:tcW w:w="322" w:type="dxa"/>
            <w:tcBorders>
              <w:top w:val="dotted" w:sz="4" w:space="0" w:color="B7B7E2"/>
              <w:left w:val="nil"/>
              <w:bottom w:val="dotted" w:sz="4" w:space="0" w:color="B7B7E2"/>
              <w:right w:val="single" w:sz="8" w:space="0" w:color="B7B7E2"/>
            </w:tcBorders>
          </w:tcPr>
          <w:p w14:paraId="29A06525" w14:textId="77777777" w:rsidR="004C0905" w:rsidRPr="009C5396" w:rsidRDefault="004C0905" w:rsidP="00B30B8D">
            <w:pPr>
              <w:spacing w:after="60"/>
              <w:jc w:val="center"/>
              <w:rPr>
                <w:rFonts w:cs="Calibri"/>
                <w:color w:val="000000" w:themeColor="text1"/>
                <w:sz w:val="20"/>
                <w:szCs w:val="20"/>
              </w:rPr>
            </w:pPr>
            <w:r w:rsidRPr="009C5396">
              <w:rPr>
                <w:sz w:val="20"/>
                <w:szCs w:val="20"/>
              </w:rPr>
              <w:t>...</w:t>
            </w:r>
          </w:p>
        </w:tc>
        <w:tc>
          <w:tcPr>
            <w:tcW w:w="921" w:type="dxa"/>
            <w:tcBorders>
              <w:top w:val="dotted" w:sz="4" w:space="0" w:color="B7B7E2"/>
              <w:left w:val="nil"/>
              <w:bottom w:val="dotted" w:sz="4" w:space="0" w:color="B7B7E2"/>
              <w:right w:val="single" w:sz="8" w:space="0" w:color="B7B7E2"/>
            </w:tcBorders>
          </w:tcPr>
          <w:p w14:paraId="0955184F" w14:textId="77777777" w:rsidR="004C0905" w:rsidRPr="009C5396" w:rsidRDefault="004C0905" w:rsidP="006872A9">
            <w:pPr>
              <w:spacing w:after="60"/>
              <w:jc w:val="center"/>
              <w:rPr>
                <w:rFonts w:cs="Calibri"/>
                <w:color w:val="000000" w:themeColor="text1"/>
                <w:sz w:val="20"/>
                <w:szCs w:val="20"/>
              </w:rPr>
            </w:pPr>
            <w:r w:rsidRPr="009C5396">
              <w:rPr>
                <w:rFonts w:cs="Calibri"/>
                <w:color w:val="000000" w:themeColor="text1"/>
                <w:sz w:val="20"/>
                <w:szCs w:val="20"/>
              </w:rPr>
              <w:t>2.8%</w:t>
            </w:r>
          </w:p>
        </w:tc>
      </w:tr>
      <w:tr w:rsidR="009C5396" w:rsidRPr="009C5396" w14:paraId="49DFE946" w14:textId="77777777" w:rsidTr="009C5396">
        <w:tc>
          <w:tcPr>
            <w:tcW w:w="588" w:type="dxa"/>
            <w:tcBorders>
              <w:top w:val="dotted" w:sz="4" w:space="0" w:color="B7B7E2"/>
              <w:left w:val="single" w:sz="8" w:space="0" w:color="B7B7E2"/>
              <w:bottom w:val="single" w:sz="4" w:space="0" w:color="B7B7E2"/>
              <w:right w:val="single" w:sz="8" w:space="0" w:color="B7B7E2"/>
            </w:tcBorders>
            <w:tcMar>
              <w:top w:w="0" w:type="dxa"/>
              <w:left w:w="108" w:type="dxa"/>
              <w:bottom w:w="0" w:type="dxa"/>
              <w:right w:w="108" w:type="dxa"/>
            </w:tcMar>
            <w:hideMark/>
          </w:tcPr>
          <w:p w14:paraId="243B5E74" w14:textId="77777777" w:rsidR="004C0905" w:rsidRPr="009C5396" w:rsidRDefault="004C0905" w:rsidP="004C0905">
            <w:pPr>
              <w:spacing w:after="60"/>
              <w:rPr>
                <w:rFonts w:eastAsia="Times New Roman" w:cs="Times New Roman"/>
                <w:sz w:val="20"/>
                <w:szCs w:val="20"/>
              </w:rPr>
            </w:pPr>
            <w:r w:rsidRPr="009C5396">
              <w:rPr>
                <w:sz w:val="20"/>
                <w:szCs w:val="20"/>
              </w:rPr>
              <w:t>Low</w:t>
            </w:r>
          </w:p>
        </w:tc>
        <w:tc>
          <w:tcPr>
            <w:tcW w:w="1012" w:type="dxa"/>
            <w:vMerge/>
            <w:tcBorders>
              <w:left w:val="nil"/>
              <w:bottom w:val="single" w:sz="8" w:space="0" w:color="B7B7E2"/>
              <w:right w:val="single" w:sz="4" w:space="0" w:color="B7B7E2"/>
            </w:tcBorders>
            <w:tcMar>
              <w:top w:w="0" w:type="dxa"/>
              <w:left w:w="108" w:type="dxa"/>
              <w:bottom w:w="0" w:type="dxa"/>
              <w:right w:w="108" w:type="dxa"/>
            </w:tcMar>
          </w:tcPr>
          <w:p w14:paraId="14A3607C" w14:textId="77777777" w:rsidR="004C0905" w:rsidRPr="006872A9" w:rsidRDefault="004C0905" w:rsidP="004C0905">
            <w:pPr>
              <w:spacing w:after="60"/>
              <w:rPr>
                <w:sz w:val="20"/>
                <w:szCs w:val="20"/>
              </w:rPr>
            </w:pPr>
          </w:p>
        </w:tc>
        <w:tc>
          <w:tcPr>
            <w:tcW w:w="3193" w:type="dxa"/>
            <w:tcBorders>
              <w:top w:val="dotted" w:sz="4" w:space="0" w:color="B7B7E2"/>
              <w:left w:val="single" w:sz="4" w:space="0" w:color="B7B7E2"/>
              <w:bottom w:val="single" w:sz="8" w:space="0" w:color="B7B7E2"/>
              <w:right w:val="single" w:sz="4" w:space="0" w:color="B7B7E2"/>
            </w:tcBorders>
            <w:tcMar>
              <w:top w:w="0" w:type="dxa"/>
              <w:left w:w="108" w:type="dxa"/>
              <w:bottom w:w="0" w:type="dxa"/>
              <w:right w:w="108" w:type="dxa"/>
            </w:tcMar>
            <w:vAlign w:val="bottom"/>
          </w:tcPr>
          <w:p w14:paraId="5AB92E71" w14:textId="58EC86D3" w:rsidR="004C0905" w:rsidRPr="009C5396" w:rsidRDefault="004C0905" w:rsidP="004C0905">
            <w:pPr>
              <w:rPr>
                <w:rFonts w:eastAsia="Times New Roman" w:cs="Times New Roman"/>
                <w:sz w:val="20"/>
                <w:szCs w:val="20"/>
              </w:rPr>
            </w:pPr>
            <w:r w:rsidRPr="009C5396">
              <w:rPr>
                <w:rFonts w:cs="Calibri"/>
                <w:color w:val="000000"/>
                <w:sz w:val="20"/>
                <w:szCs w:val="20"/>
              </w:rPr>
              <w:t xml:space="preserve">20-year average annual population growth </w:t>
            </w:r>
          </w:p>
        </w:tc>
        <w:tc>
          <w:tcPr>
            <w:tcW w:w="719" w:type="dxa"/>
            <w:tcBorders>
              <w:top w:val="dotted" w:sz="4" w:space="0" w:color="B7B7E2"/>
              <w:left w:val="single" w:sz="4" w:space="0" w:color="B7B7E2"/>
              <w:bottom w:val="single" w:sz="4" w:space="0" w:color="B7B7E2"/>
              <w:right w:val="single" w:sz="8" w:space="0" w:color="B7B7E2"/>
            </w:tcBorders>
            <w:tcMar>
              <w:top w:w="0" w:type="dxa"/>
              <w:left w:w="108" w:type="dxa"/>
              <w:bottom w:w="0" w:type="dxa"/>
              <w:right w:w="108" w:type="dxa"/>
            </w:tcMar>
            <w:hideMark/>
          </w:tcPr>
          <w:p w14:paraId="0D378423" w14:textId="77777777" w:rsidR="004C0905" w:rsidRPr="009C5396" w:rsidRDefault="004C0905" w:rsidP="006872A9">
            <w:pPr>
              <w:spacing w:after="60"/>
              <w:jc w:val="center"/>
              <w:rPr>
                <w:rFonts w:eastAsia="Times New Roman" w:cs="Times New Roman"/>
                <w:sz w:val="20"/>
                <w:szCs w:val="20"/>
              </w:rPr>
            </w:pPr>
            <w:r w:rsidRPr="009C5396">
              <w:rPr>
                <w:rFonts w:cs="Calibri"/>
                <w:sz w:val="20"/>
                <w:szCs w:val="20"/>
              </w:rPr>
              <w:t>1.4%</w:t>
            </w:r>
          </w:p>
        </w:tc>
        <w:tc>
          <w:tcPr>
            <w:tcW w:w="322" w:type="dxa"/>
            <w:tcBorders>
              <w:top w:val="dotted" w:sz="4" w:space="0" w:color="B7B7E2"/>
              <w:left w:val="nil"/>
              <w:bottom w:val="single" w:sz="4" w:space="0" w:color="B7B7E2"/>
              <w:right w:val="single" w:sz="8" w:space="0" w:color="B7B7E2"/>
            </w:tcBorders>
          </w:tcPr>
          <w:p w14:paraId="25D4F973" w14:textId="77777777" w:rsidR="004C0905" w:rsidRPr="009C5396" w:rsidRDefault="004C0905" w:rsidP="00B30B8D">
            <w:pPr>
              <w:spacing w:after="60"/>
              <w:jc w:val="center"/>
              <w:rPr>
                <w:rFonts w:eastAsia="Times New Roman" w:cs="Times New Roman"/>
                <w:sz w:val="20"/>
                <w:szCs w:val="20"/>
              </w:rPr>
            </w:pPr>
            <w:r w:rsidRPr="009C5396">
              <w:rPr>
                <w:sz w:val="20"/>
                <w:szCs w:val="20"/>
              </w:rPr>
              <w:t>...</w:t>
            </w:r>
          </w:p>
        </w:tc>
        <w:tc>
          <w:tcPr>
            <w:tcW w:w="1985" w:type="dxa"/>
            <w:tcBorders>
              <w:top w:val="dotted" w:sz="4" w:space="0" w:color="B7B7E2"/>
              <w:left w:val="nil"/>
              <w:bottom w:val="single" w:sz="4" w:space="0" w:color="B7B7E2"/>
              <w:right w:val="single" w:sz="8" w:space="0" w:color="B7B7E2"/>
            </w:tcBorders>
          </w:tcPr>
          <w:p w14:paraId="7672763C" w14:textId="77777777" w:rsidR="004C0905" w:rsidRPr="009C5396" w:rsidRDefault="004C0905" w:rsidP="006872A9">
            <w:pPr>
              <w:spacing w:after="60"/>
              <w:jc w:val="center"/>
              <w:rPr>
                <w:rFonts w:cs="Calibri"/>
                <w:bCs/>
                <w:color w:val="000000" w:themeColor="text1"/>
                <w:sz w:val="20"/>
                <w:szCs w:val="20"/>
              </w:rPr>
            </w:pPr>
            <w:r w:rsidRPr="009C5396">
              <w:rPr>
                <w:rFonts w:cs="Calibri"/>
                <w:color w:val="000000" w:themeColor="text1"/>
                <w:sz w:val="20"/>
                <w:szCs w:val="20"/>
              </w:rPr>
              <w:t>1.4%</w:t>
            </w:r>
          </w:p>
        </w:tc>
        <w:tc>
          <w:tcPr>
            <w:tcW w:w="322" w:type="dxa"/>
            <w:tcBorders>
              <w:top w:val="dotted" w:sz="4" w:space="0" w:color="B7B7E2"/>
              <w:left w:val="nil"/>
              <w:bottom w:val="single" w:sz="4" w:space="0" w:color="B7B7E2"/>
              <w:right w:val="single" w:sz="8" w:space="0" w:color="B7B7E2"/>
            </w:tcBorders>
          </w:tcPr>
          <w:p w14:paraId="202EC440" w14:textId="77777777" w:rsidR="004C0905" w:rsidRPr="009C5396" w:rsidRDefault="004C0905" w:rsidP="00B30B8D">
            <w:pPr>
              <w:spacing w:after="60"/>
              <w:jc w:val="center"/>
              <w:rPr>
                <w:rFonts w:cs="Calibri"/>
                <w:bCs/>
                <w:color w:val="000000" w:themeColor="text1"/>
                <w:sz w:val="20"/>
                <w:szCs w:val="20"/>
              </w:rPr>
            </w:pPr>
            <w:r w:rsidRPr="009C5396">
              <w:rPr>
                <w:sz w:val="20"/>
                <w:szCs w:val="20"/>
              </w:rPr>
              <w:t>...</w:t>
            </w:r>
          </w:p>
        </w:tc>
        <w:tc>
          <w:tcPr>
            <w:tcW w:w="921" w:type="dxa"/>
            <w:tcBorders>
              <w:top w:val="dotted" w:sz="4" w:space="0" w:color="B7B7E2"/>
              <w:left w:val="nil"/>
              <w:bottom w:val="single" w:sz="4" w:space="0" w:color="B7B7E2"/>
              <w:right w:val="single" w:sz="8" w:space="0" w:color="B7B7E2"/>
            </w:tcBorders>
          </w:tcPr>
          <w:p w14:paraId="3D2B86D2" w14:textId="77777777" w:rsidR="004C0905" w:rsidRPr="009C5396" w:rsidRDefault="004C0905" w:rsidP="006872A9">
            <w:pPr>
              <w:spacing w:after="60"/>
              <w:jc w:val="center"/>
              <w:rPr>
                <w:rFonts w:cs="Calibri"/>
                <w:bCs/>
                <w:color w:val="000000" w:themeColor="text1"/>
                <w:sz w:val="20"/>
                <w:szCs w:val="20"/>
              </w:rPr>
            </w:pPr>
            <w:r w:rsidRPr="009C5396">
              <w:rPr>
                <w:rFonts w:cs="Calibri"/>
                <w:color w:val="000000" w:themeColor="text1"/>
                <w:sz w:val="20"/>
                <w:szCs w:val="20"/>
              </w:rPr>
              <w:t>1.4%</w:t>
            </w:r>
          </w:p>
        </w:tc>
      </w:tr>
      <w:tr w:rsidR="009C5396" w:rsidRPr="009C5396" w14:paraId="61C0B8B3" w14:textId="77777777" w:rsidTr="009C5396">
        <w:tc>
          <w:tcPr>
            <w:tcW w:w="588" w:type="dxa"/>
            <w:tcBorders>
              <w:top w:val="dotted" w:sz="4" w:space="0" w:color="B7B7E2"/>
              <w:left w:val="single" w:sz="8" w:space="0" w:color="B7B7E2"/>
              <w:bottom w:val="dotted" w:sz="4" w:space="0" w:color="B7B7E2"/>
              <w:right w:val="single" w:sz="8" w:space="0" w:color="B7B7E2"/>
            </w:tcBorders>
            <w:tcMar>
              <w:top w:w="0" w:type="dxa"/>
              <w:left w:w="108" w:type="dxa"/>
              <w:bottom w:w="0" w:type="dxa"/>
              <w:right w:w="108" w:type="dxa"/>
            </w:tcMar>
          </w:tcPr>
          <w:p w14:paraId="2E050B1B" w14:textId="77777777" w:rsidR="004C0905" w:rsidRPr="009C5396" w:rsidRDefault="004C0905" w:rsidP="004C0905">
            <w:pPr>
              <w:spacing w:after="60"/>
              <w:rPr>
                <w:sz w:val="20"/>
                <w:szCs w:val="20"/>
              </w:rPr>
            </w:pPr>
            <w:r w:rsidRPr="009C5396">
              <w:rPr>
                <w:sz w:val="20"/>
                <w:szCs w:val="20"/>
              </w:rPr>
              <w:t>Best</w:t>
            </w:r>
          </w:p>
        </w:tc>
        <w:tc>
          <w:tcPr>
            <w:tcW w:w="1012" w:type="dxa"/>
            <w:vMerge w:val="restart"/>
            <w:tcBorders>
              <w:left w:val="nil"/>
              <w:right w:val="single" w:sz="4" w:space="0" w:color="B7B7E2"/>
            </w:tcBorders>
            <w:tcMar>
              <w:top w:w="0" w:type="dxa"/>
              <w:left w:w="108" w:type="dxa"/>
              <w:bottom w:w="0" w:type="dxa"/>
              <w:right w:w="108" w:type="dxa"/>
            </w:tcMar>
            <w:vAlign w:val="center"/>
          </w:tcPr>
          <w:p w14:paraId="1287DB23" w14:textId="77777777" w:rsidR="004C0905" w:rsidRPr="009C5396" w:rsidRDefault="004C0905" w:rsidP="004C0905">
            <w:pPr>
              <w:spacing w:after="60"/>
              <w:rPr>
                <w:sz w:val="20"/>
                <w:szCs w:val="20"/>
              </w:rPr>
            </w:pPr>
            <w:r w:rsidRPr="009C5396">
              <w:rPr>
                <w:sz w:val="20"/>
                <w:szCs w:val="20"/>
              </w:rPr>
              <w:t>NSW</w:t>
            </w:r>
          </w:p>
        </w:tc>
        <w:tc>
          <w:tcPr>
            <w:tcW w:w="3193"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vAlign w:val="bottom"/>
          </w:tcPr>
          <w:p w14:paraId="00EE7668" w14:textId="04FD2752" w:rsidR="004C0905" w:rsidRPr="009C5396" w:rsidRDefault="004C0905" w:rsidP="004C0905">
            <w:pPr>
              <w:rPr>
                <w:rFonts w:cs="Calibri"/>
                <w:color w:val="000000"/>
                <w:sz w:val="20"/>
                <w:szCs w:val="20"/>
              </w:rPr>
            </w:pPr>
            <w:r w:rsidRPr="009C5396">
              <w:rPr>
                <w:rFonts w:cs="Calibri"/>
                <w:color w:val="000000"/>
                <w:sz w:val="20"/>
                <w:szCs w:val="20"/>
              </w:rPr>
              <w:t xml:space="preserve">20-year average population growth </w:t>
            </w:r>
          </w:p>
        </w:tc>
        <w:tc>
          <w:tcPr>
            <w:tcW w:w="719" w:type="dxa"/>
            <w:tcBorders>
              <w:top w:val="dotted" w:sz="4" w:space="0" w:color="B7B7E2"/>
              <w:left w:val="single" w:sz="4" w:space="0" w:color="B7B7E2"/>
              <w:bottom w:val="dotted" w:sz="4" w:space="0" w:color="B7B7E2"/>
              <w:right w:val="single" w:sz="8" w:space="0" w:color="B7B7E2"/>
            </w:tcBorders>
            <w:tcMar>
              <w:top w:w="0" w:type="dxa"/>
              <w:left w:w="108" w:type="dxa"/>
              <w:bottom w:w="0" w:type="dxa"/>
              <w:right w:w="108" w:type="dxa"/>
            </w:tcMar>
          </w:tcPr>
          <w:p w14:paraId="57411918" w14:textId="77777777" w:rsidR="004C0905" w:rsidRPr="009C5396" w:rsidRDefault="004C0905" w:rsidP="006872A9">
            <w:pPr>
              <w:spacing w:after="60"/>
              <w:jc w:val="center"/>
              <w:rPr>
                <w:rFonts w:cs="Calibri"/>
                <w:bCs/>
                <w:sz w:val="20"/>
                <w:szCs w:val="20"/>
              </w:rPr>
            </w:pPr>
            <w:r w:rsidRPr="009C5396">
              <w:rPr>
                <w:rFonts w:cs="Calibri"/>
                <w:sz w:val="20"/>
                <w:szCs w:val="20"/>
              </w:rPr>
              <w:t>1.4%</w:t>
            </w:r>
          </w:p>
        </w:tc>
        <w:tc>
          <w:tcPr>
            <w:tcW w:w="322" w:type="dxa"/>
            <w:tcBorders>
              <w:top w:val="dotted" w:sz="4" w:space="0" w:color="B7B7E2"/>
              <w:left w:val="nil"/>
              <w:bottom w:val="dotted" w:sz="4" w:space="0" w:color="B7B7E2"/>
              <w:right w:val="single" w:sz="8" w:space="0" w:color="B7B7E2"/>
            </w:tcBorders>
          </w:tcPr>
          <w:p w14:paraId="776C9917" w14:textId="77777777" w:rsidR="004C0905" w:rsidRPr="009C5396" w:rsidRDefault="004C0905" w:rsidP="00B30B8D">
            <w:pPr>
              <w:spacing w:after="60"/>
              <w:jc w:val="center"/>
              <w:rPr>
                <w:sz w:val="20"/>
                <w:szCs w:val="20"/>
              </w:rPr>
            </w:pPr>
          </w:p>
        </w:tc>
        <w:tc>
          <w:tcPr>
            <w:tcW w:w="1985" w:type="dxa"/>
            <w:tcBorders>
              <w:top w:val="dotted" w:sz="4" w:space="0" w:color="B7B7E2"/>
              <w:left w:val="nil"/>
              <w:bottom w:val="dotted" w:sz="4" w:space="0" w:color="B7B7E2"/>
              <w:right w:val="single" w:sz="8" w:space="0" w:color="B7B7E2"/>
            </w:tcBorders>
          </w:tcPr>
          <w:p w14:paraId="1C39F7D3" w14:textId="77777777" w:rsidR="004C0905" w:rsidRPr="009C5396" w:rsidRDefault="004C0905" w:rsidP="006872A9">
            <w:pPr>
              <w:spacing w:after="60"/>
              <w:jc w:val="center"/>
              <w:rPr>
                <w:rFonts w:cs="Calibri"/>
                <w:color w:val="000000" w:themeColor="text1"/>
                <w:sz w:val="20"/>
                <w:szCs w:val="20"/>
              </w:rPr>
            </w:pPr>
            <w:r w:rsidRPr="009C5396">
              <w:rPr>
                <w:rFonts w:cs="Calibri"/>
                <w:color w:val="000000" w:themeColor="text1"/>
                <w:sz w:val="20"/>
                <w:szCs w:val="20"/>
              </w:rPr>
              <w:t>1.4%</w:t>
            </w:r>
          </w:p>
        </w:tc>
        <w:tc>
          <w:tcPr>
            <w:tcW w:w="322" w:type="dxa"/>
            <w:tcBorders>
              <w:top w:val="dotted" w:sz="4" w:space="0" w:color="B7B7E2"/>
              <w:left w:val="nil"/>
              <w:bottom w:val="dotted" w:sz="4" w:space="0" w:color="B7B7E2"/>
              <w:right w:val="single" w:sz="8" w:space="0" w:color="B7B7E2"/>
            </w:tcBorders>
          </w:tcPr>
          <w:p w14:paraId="76E525DA" w14:textId="77777777" w:rsidR="004C0905" w:rsidRPr="009C5396" w:rsidRDefault="004C0905" w:rsidP="00B30B8D">
            <w:pPr>
              <w:spacing w:after="60"/>
              <w:jc w:val="center"/>
              <w:rPr>
                <w:sz w:val="20"/>
                <w:szCs w:val="20"/>
              </w:rPr>
            </w:pPr>
          </w:p>
        </w:tc>
        <w:tc>
          <w:tcPr>
            <w:tcW w:w="921" w:type="dxa"/>
            <w:tcBorders>
              <w:top w:val="dotted" w:sz="4" w:space="0" w:color="B7B7E2"/>
              <w:left w:val="nil"/>
              <w:bottom w:val="dotted" w:sz="4" w:space="0" w:color="B7B7E2"/>
              <w:right w:val="single" w:sz="8" w:space="0" w:color="B7B7E2"/>
            </w:tcBorders>
          </w:tcPr>
          <w:p w14:paraId="4FEA11FB" w14:textId="77777777" w:rsidR="004C0905" w:rsidRPr="009C5396" w:rsidRDefault="004C0905" w:rsidP="006872A9">
            <w:pPr>
              <w:spacing w:after="60"/>
              <w:jc w:val="center"/>
              <w:rPr>
                <w:rFonts w:cs="Calibri"/>
                <w:color w:val="000000" w:themeColor="text1"/>
                <w:sz w:val="20"/>
                <w:szCs w:val="20"/>
              </w:rPr>
            </w:pPr>
            <w:r w:rsidRPr="009C5396">
              <w:rPr>
                <w:rFonts w:cs="Calibri"/>
                <w:color w:val="000000" w:themeColor="text1"/>
                <w:sz w:val="20"/>
                <w:szCs w:val="20"/>
              </w:rPr>
              <w:t>1.4%</w:t>
            </w:r>
          </w:p>
        </w:tc>
      </w:tr>
      <w:tr w:rsidR="009C5396" w:rsidRPr="009C5396" w14:paraId="5A4C6ED1" w14:textId="77777777" w:rsidTr="009C5396">
        <w:tc>
          <w:tcPr>
            <w:tcW w:w="588" w:type="dxa"/>
            <w:tcBorders>
              <w:top w:val="dotted" w:sz="4" w:space="0" w:color="B7B7E2"/>
              <w:left w:val="single" w:sz="8" w:space="0" w:color="B7B7E2"/>
              <w:bottom w:val="dotted" w:sz="4" w:space="0" w:color="B7B7E2"/>
              <w:right w:val="single" w:sz="8" w:space="0" w:color="B7B7E2"/>
            </w:tcBorders>
            <w:tcMar>
              <w:top w:w="0" w:type="dxa"/>
              <w:left w:w="108" w:type="dxa"/>
              <w:bottom w:w="0" w:type="dxa"/>
              <w:right w:w="108" w:type="dxa"/>
            </w:tcMar>
          </w:tcPr>
          <w:p w14:paraId="397AA829" w14:textId="77777777" w:rsidR="004C0905" w:rsidRPr="009C5396" w:rsidRDefault="004C0905" w:rsidP="004C0905">
            <w:pPr>
              <w:spacing w:after="60"/>
              <w:rPr>
                <w:sz w:val="20"/>
                <w:szCs w:val="20"/>
              </w:rPr>
            </w:pPr>
            <w:r w:rsidRPr="009C5396">
              <w:rPr>
                <w:sz w:val="20"/>
                <w:szCs w:val="20"/>
              </w:rPr>
              <w:t>High</w:t>
            </w:r>
          </w:p>
        </w:tc>
        <w:tc>
          <w:tcPr>
            <w:tcW w:w="1012" w:type="dxa"/>
            <w:vMerge/>
            <w:tcBorders>
              <w:left w:val="nil"/>
              <w:right w:val="single" w:sz="4" w:space="0" w:color="B7B7E2"/>
            </w:tcBorders>
            <w:tcMar>
              <w:top w:w="0" w:type="dxa"/>
              <w:left w:w="108" w:type="dxa"/>
              <w:bottom w:w="0" w:type="dxa"/>
              <w:right w:w="108" w:type="dxa"/>
            </w:tcMar>
          </w:tcPr>
          <w:p w14:paraId="3191ED69" w14:textId="77777777" w:rsidR="004C0905" w:rsidRPr="006872A9" w:rsidRDefault="004C0905" w:rsidP="004C0905">
            <w:pPr>
              <w:spacing w:after="60"/>
              <w:rPr>
                <w:sz w:val="20"/>
                <w:szCs w:val="20"/>
              </w:rPr>
            </w:pPr>
          </w:p>
        </w:tc>
        <w:tc>
          <w:tcPr>
            <w:tcW w:w="3193"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vAlign w:val="bottom"/>
          </w:tcPr>
          <w:p w14:paraId="464D97AE" w14:textId="110B589B" w:rsidR="004C0905" w:rsidRPr="009C5396" w:rsidRDefault="004C0905" w:rsidP="004C0905">
            <w:pPr>
              <w:rPr>
                <w:rFonts w:cs="Calibri"/>
                <w:color w:val="000000"/>
                <w:sz w:val="20"/>
                <w:szCs w:val="20"/>
              </w:rPr>
            </w:pPr>
            <w:r w:rsidRPr="009C5396">
              <w:rPr>
                <w:rFonts w:cs="Calibri"/>
                <w:color w:val="000000"/>
                <w:sz w:val="20"/>
                <w:szCs w:val="20"/>
              </w:rPr>
              <w:t xml:space="preserve">20-year average economic growth </w:t>
            </w:r>
          </w:p>
        </w:tc>
        <w:tc>
          <w:tcPr>
            <w:tcW w:w="719" w:type="dxa"/>
            <w:tcBorders>
              <w:top w:val="dotted" w:sz="4" w:space="0" w:color="B7B7E2"/>
              <w:left w:val="single" w:sz="4" w:space="0" w:color="B7B7E2"/>
              <w:bottom w:val="dotted" w:sz="4" w:space="0" w:color="B7B7E2"/>
              <w:right w:val="single" w:sz="8" w:space="0" w:color="B7B7E2"/>
            </w:tcBorders>
            <w:tcMar>
              <w:top w:w="0" w:type="dxa"/>
              <w:left w:w="108" w:type="dxa"/>
              <w:bottom w:w="0" w:type="dxa"/>
              <w:right w:w="108" w:type="dxa"/>
            </w:tcMar>
          </w:tcPr>
          <w:p w14:paraId="29C0D371" w14:textId="77777777" w:rsidR="004C0905" w:rsidRPr="009C5396" w:rsidRDefault="004C0905" w:rsidP="006872A9">
            <w:pPr>
              <w:spacing w:after="60"/>
              <w:jc w:val="center"/>
              <w:rPr>
                <w:rFonts w:cs="Calibri"/>
                <w:bCs/>
                <w:sz w:val="20"/>
                <w:szCs w:val="20"/>
              </w:rPr>
            </w:pPr>
            <w:r w:rsidRPr="009C5396">
              <w:rPr>
                <w:rFonts w:cs="Calibri"/>
                <w:sz w:val="20"/>
                <w:szCs w:val="20"/>
              </w:rPr>
              <w:t>2.8%</w:t>
            </w:r>
          </w:p>
        </w:tc>
        <w:tc>
          <w:tcPr>
            <w:tcW w:w="322" w:type="dxa"/>
            <w:tcBorders>
              <w:top w:val="dotted" w:sz="4" w:space="0" w:color="B7B7E2"/>
              <w:left w:val="nil"/>
              <w:bottom w:val="dotted" w:sz="4" w:space="0" w:color="B7B7E2"/>
              <w:right w:val="single" w:sz="8" w:space="0" w:color="B7B7E2"/>
            </w:tcBorders>
          </w:tcPr>
          <w:p w14:paraId="657C58BC" w14:textId="77777777" w:rsidR="004C0905" w:rsidRPr="009C5396" w:rsidRDefault="004C0905" w:rsidP="00B30B8D">
            <w:pPr>
              <w:spacing w:after="60"/>
              <w:jc w:val="center"/>
              <w:rPr>
                <w:sz w:val="20"/>
                <w:szCs w:val="20"/>
              </w:rPr>
            </w:pPr>
          </w:p>
        </w:tc>
        <w:tc>
          <w:tcPr>
            <w:tcW w:w="1985" w:type="dxa"/>
            <w:tcBorders>
              <w:top w:val="dotted" w:sz="4" w:space="0" w:color="B7B7E2"/>
              <w:left w:val="nil"/>
              <w:bottom w:val="dotted" w:sz="4" w:space="0" w:color="B7B7E2"/>
              <w:right w:val="single" w:sz="8" w:space="0" w:color="B7B7E2"/>
            </w:tcBorders>
          </w:tcPr>
          <w:p w14:paraId="6E651776" w14:textId="77777777" w:rsidR="004C0905" w:rsidRPr="009C5396" w:rsidRDefault="004C0905" w:rsidP="006872A9">
            <w:pPr>
              <w:spacing w:after="60"/>
              <w:jc w:val="center"/>
              <w:rPr>
                <w:rFonts w:cs="Calibri"/>
                <w:color w:val="000000" w:themeColor="text1"/>
                <w:sz w:val="20"/>
                <w:szCs w:val="20"/>
              </w:rPr>
            </w:pPr>
            <w:r w:rsidRPr="009C5396">
              <w:rPr>
                <w:rFonts w:cs="Calibri"/>
                <w:color w:val="000000" w:themeColor="text1"/>
                <w:sz w:val="20"/>
                <w:szCs w:val="20"/>
              </w:rPr>
              <w:t>2.8%</w:t>
            </w:r>
          </w:p>
        </w:tc>
        <w:tc>
          <w:tcPr>
            <w:tcW w:w="322" w:type="dxa"/>
            <w:tcBorders>
              <w:top w:val="dotted" w:sz="4" w:space="0" w:color="B7B7E2"/>
              <w:left w:val="nil"/>
              <w:bottom w:val="dotted" w:sz="4" w:space="0" w:color="B7B7E2"/>
              <w:right w:val="single" w:sz="8" w:space="0" w:color="B7B7E2"/>
            </w:tcBorders>
          </w:tcPr>
          <w:p w14:paraId="3741EAAD" w14:textId="77777777" w:rsidR="004C0905" w:rsidRPr="009C5396" w:rsidRDefault="004C0905" w:rsidP="00B30B8D">
            <w:pPr>
              <w:spacing w:after="60"/>
              <w:jc w:val="center"/>
              <w:rPr>
                <w:sz w:val="20"/>
                <w:szCs w:val="20"/>
              </w:rPr>
            </w:pPr>
          </w:p>
        </w:tc>
        <w:tc>
          <w:tcPr>
            <w:tcW w:w="921" w:type="dxa"/>
            <w:tcBorders>
              <w:top w:val="dotted" w:sz="4" w:space="0" w:color="B7B7E2"/>
              <w:left w:val="nil"/>
              <w:bottom w:val="dotted" w:sz="4" w:space="0" w:color="B7B7E2"/>
              <w:right w:val="single" w:sz="8" w:space="0" w:color="B7B7E2"/>
            </w:tcBorders>
          </w:tcPr>
          <w:p w14:paraId="76D4BC65" w14:textId="77777777" w:rsidR="004C0905" w:rsidRPr="009C5396" w:rsidRDefault="004C0905" w:rsidP="006872A9">
            <w:pPr>
              <w:spacing w:after="60"/>
              <w:jc w:val="center"/>
              <w:rPr>
                <w:rFonts w:cs="Calibri"/>
                <w:color w:val="000000" w:themeColor="text1"/>
                <w:sz w:val="20"/>
                <w:szCs w:val="20"/>
              </w:rPr>
            </w:pPr>
            <w:r w:rsidRPr="009C5396">
              <w:rPr>
                <w:rFonts w:cs="Calibri"/>
                <w:color w:val="000000" w:themeColor="text1"/>
                <w:sz w:val="20"/>
                <w:szCs w:val="20"/>
              </w:rPr>
              <w:t>2.8%</w:t>
            </w:r>
          </w:p>
        </w:tc>
      </w:tr>
      <w:tr w:rsidR="009C5396" w:rsidRPr="009C5396" w14:paraId="6923B484" w14:textId="77777777" w:rsidTr="009C5396">
        <w:tc>
          <w:tcPr>
            <w:tcW w:w="588" w:type="dxa"/>
            <w:tcBorders>
              <w:top w:val="dotted" w:sz="4" w:space="0" w:color="B7B7E2"/>
              <w:left w:val="single" w:sz="8" w:space="0" w:color="B7B7E2"/>
              <w:bottom w:val="single" w:sz="4" w:space="0" w:color="B7B7E2"/>
              <w:right w:val="single" w:sz="8" w:space="0" w:color="B7B7E2"/>
            </w:tcBorders>
            <w:tcMar>
              <w:top w:w="0" w:type="dxa"/>
              <w:left w:w="108" w:type="dxa"/>
              <w:bottom w:w="0" w:type="dxa"/>
              <w:right w:w="108" w:type="dxa"/>
            </w:tcMar>
          </w:tcPr>
          <w:p w14:paraId="41443925" w14:textId="77777777" w:rsidR="004C0905" w:rsidRPr="009C5396" w:rsidRDefault="004C0905" w:rsidP="004C0905">
            <w:pPr>
              <w:spacing w:after="60"/>
              <w:rPr>
                <w:sz w:val="20"/>
                <w:szCs w:val="20"/>
              </w:rPr>
            </w:pPr>
            <w:r w:rsidRPr="009C5396">
              <w:rPr>
                <w:sz w:val="20"/>
                <w:szCs w:val="20"/>
              </w:rPr>
              <w:t>Low</w:t>
            </w:r>
          </w:p>
        </w:tc>
        <w:tc>
          <w:tcPr>
            <w:tcW w:w="1012" w:type="dxa"/>
            <w:vMerge/>
            <w:tcBorders>
              <w:left w:val="nil"/>
              <w:bottom w:val="single" w:sz="8" w:space="0" w:color="B7B7E2"/>
              <w:right w:val="single" w:sz="4" w:space="0" w:color="B7B7E2"/>
            </w:tcBorders>
            <w:tcMar>
              <w:top w:w="0" w:type="dxa"/>
              <w:left w:w="108" w:type="dxa"/>
              <w:bottom w:w="0" w:type="dxa"/>
              <w:right w:w="108" w:type="dxa"/>
            </w:tcMar>
          </w:tcPr>
          <w:p w14:paraId="71510586" w14:textId="77777777" w:rsidR="004C0905" w:rsidRPr="006872A9" w:rsidRDefault="004C0905" w:rsidP="004C0905">
            <w:pPr>
              <w:spacing w:after="60"/>
              <w:rPr>
                <w:sz w:val="20"/>
                <w:szCs w:val="20"/>
              </w:rPr>
            </w:pPr>
          </w:p>
        </w:tc>
        <w:tc>
          <w:tcPr>
            <w:tcW w:w="3193" w:type="dxa"/>
            <w:tcBorders>
              <w:top w:val="dotted" w:sz="4" w:space="0" w:color="B7B7E2"/>
              <w:left w:val="single" w:sz="4" w:space="0" w:color="B7B7E2"/>
              <w:bottom w:val="single" w:sz="8" w:space="0" w:color="B7B7E2"/>
              <w:right w:val="single" w:sz="4" w:space="0" w:color="B7B7E2"/>
            </w:tcBorders>
            <w:tcMar>
              <w:top w:w="0" w:type="dxa"/>
              <w:left w:w="108" w:type="dxa"/>
              <w:bottom w:w="0" w:type="dxa"/>
              <w:right w:w="108" w:type="dxa"/>
            </w:tcMar>
            <w:vAlign w:val="bottom"/>
          </w:tcPr>
          <w:p w14:paraId="4C4DD1A7" w14:textId="7B52DE4A" w:rsidR="004C0905" w:rsidRPr="009C5396" w:rsidRDefault="004C0905" w:rsidP="004C0905">
            <w:pPr>
              <w:rPr>
                <w:rFonts w:cs="Calibri"/>
                <w:color w:val="000000"/>
                <w:sz w:val="20"/>
                <w:szCs w:val="20"/>
              </w:rPr>
            </w:pPr>
            <w:r w:rsidRPr="009C5396">
              <w:rPr>
                <w:rFonts w:cs="Calibri"/>
                <w:color w:val="000000"/>
                <w:sz w:val="20"/>
                <w:szCs w:val="20"/>
              </w:rPr>
              <w:t xml:space="preserve">Flat trend 10yrs, decline 10 yrs due to replacement of battery technology </w:t>
            </w:r>
          </w:p>
        </w:tc>
        <w:tc>
          <w:tcPr>
            <w:tcW w:w="719" w:type="dxa"/>
            <w:tcBorders>
              <w:top w:val="dotted" w:sz="4" w:space="0" w:color="B7B7E2"/>
              <w:left w:val="single" w:sz="4" w:space="0" w:color="B7B7E2"/>
              <w:bottom w:val="single" w:sz="4" w:space="0" w:color="B7B7E2"/>
              <w:right w:val="single" w:sz="8" w:space="0" w:color="B7B7E2"/>
            </w:tcBorders>
            <w:tcMar>
              <w:top w:w="0" w:type="dxa"/>
              <w:left w:w="108" w:type="dxa"/>
              <w:bottom w:w="0" w:type="dxa"/>
              <w:right w:w="108" w:type="dxa"/>
            </w:tcMar>
          </w:tcPr>
          <w:p w14:paraId="6070C3C4" w14:textId="77777777" w:rsidR="004C0905" w:rsidRPr="009C5396" w:rsidRDefault="004C0905" w:rsidP="006872A9">
            <w:pPr>
              <w:spacing w:after="60"/>
              <w:jc w:val="center"/>
              <w:rPr>
                <w:rFonts w:cs="Calibri"/>
                <w:bCs/>
                <w:sz w:val="20"/>
                <w:szCs w:val="20"/>
              </w:rPr>
            </w:pPr>
            <w:r w:rsidRPr="009C5396">
              <w:rPr>
                <w:rFonts w:cs="Calibri"/>
                <w:sz w:val="20"/>
                <w:szCs w:val="20"/>
              </w:rPr>
              <w:t>0.0%</w:t>
            </w:r>
          </w:p>
        </w:tc>
        <w:tc>
          <w:tcPr>
            <w:tcW w:w="322" w:type="dxa"/>
            <w:tcBorders>
              <w:top w:val="dotted" w:sz="4" w:space="0" w:color="B7B7E2"/>
              <w:left w:val="nil"/>
              <w:bottom w:val="single" w:sz="4" w:space="0" w:color="B7B7E2"/>
              <w:right w:val="single" w:sz="8" w:space="0" w:color="B7B7E2"/>
            </w:tcBorders>
          </w:tcPr>
          <w:p w14:paraId="611316B6" w14:textId="77777777" w:rsidR="004C0905" w:rsidRPr="009C5396" w:rsidRDefault="004C0905" w:rsidP="00B30B8D">
            <w:pPr>
              <w:spacing w:after="60"/>
              <w:jc w:val="center"/>
              <w:rPr>
                <w:sz w:val="20"/>
                <w:szCs w:val="20"/>
              </w:rPr>
            </w:pPr>
          </w:p>
        </w:tc>
        <w:tc>
          <w:tcPr>
            <w:tcW w:w="1985" w:type="dxa"/>
            <w:tcBorders>
              <w:top w:val="dotted" w:sz="4" w:space="0" w:color="B7B7E2"/>
              <w:left w:val="nil"/>
              <w:bottom w:val="single" w:sz="4" w:space="0" w:color="B7B7E2"/>
              <w:right w:val="single" w:sz="8" w:space="0" w:color="B7B7E2"/>
            </w:tcBorders>
          </w:tcPr>
          <w:p w14:paraId="345B1C29" w14:textId="77777777" w:rsidR="004C0905" w:rsidRPr="009C5396" w:rsidRDefault="004C0905" w:rsidP="006872A9">
            <w:pPr>
              <w:spacing w:after="60"/>
              <w:jc w:val="center"/>
              <w:rPr>
                <w:rFonts w:cs="Calibri"/>
                <w:color w:val="000000" w:themeColor="text1"/>
                <w:sz w:val="20"/>
                <w:szCs w:val="20"/>
              </w:rPr>
            </w:pPr>
            <w:r w:rsidRPr="009C5396">
              <w:rPr>
                <w:rFonts w:cs="Calibri"/>
                <w:color w:val="000000" w:themeColor="text1"/>
                <w:sz w:val="20"/>
                <w:szCs w:val="20"/>
              </w:rPr>
              <w:t>0.0%</w:t>
            </w:r>
          </w:p>
        </w:tc>
        <w:tc>
          <w:tcPr>
            <w:tcW w:w="322" w:type="dxa"/>
            <w:tcBorders>
              <w:top w:val="dotted" w:sz="4" w:space="0" w:color="B7B7E2"/>
              <w:left w:val="nil"/>
              <w:bottom w:val="single" w:sz="4" w:space="0" w:color="B7B7E2"/>
              <w:right w:val="single" w:sz="8" w:space="0" w:color="B7B7E2"/>
            </w:tcBorders>
          </w:tcPr>
          <w:p w14:paraId="265414C8" w14:textId="77777777" w:rsidR="004C0905" w:rsidRPr="009C5396" w:rsidRDefault="004C0905" w:rsidP="00B30B8D">
            <w:pPr>
              <w:spacing w:after="60"/>
              <w:jc w:val="center"/>
              <w:rPr>
                <w:sz w:val="20"/>
                <w:szCs w:val="20"/>
              </w:rPr>
            </w:pPr>
          </w:p>
        </w:tc>
        <w:tc>
          <w:tcPr>
            <w:tcW w:w="921" w:type="dxa"/>
            <w:tcBorders>
              <w:top w:val="dotted" w:sz="4" w:space="0" w:color="B7B7E2"/>
              <w:left w:val="nil"/>
              <w:bottom w:val="single" w:sz="4" w:space="0" w:color="B7B7E2"/>
              <w:right w:val="single" w:sz="8" w:space="0" w:color="B7B7E2"/>
            </w:tcBorders>
          </w:tcPr>
          <w:p w14:paraId="02AE05DE" w14:textId="77777777" w:rsidR="004C0905" w:rsidRPr="009C5396" w:rsidRDefault="004C0905" w:rsidP="006872A9">
            <w:pPr>
              <w:spacing w:after="60"/>
              <w:jc w:val="center"/>
              <w:rPr>
                <w:rFonts w:cs="Calibri"/>
                <w:color w:val="000000" w:themeColor="text1"/>
                <w:sz w:val="20"/>
                <w:szCs w:val="20"/>
              </w:rPr>
            </w:pPr>
            <w:r w:rsidRPr="009C5396">
              <w:rPr>
                <w:rFonts w:cs="Calibri"/>
                <w:bCs/>
                <w:color w:val="000000" w:themeColor="text1"/>
                <w:sz w:val="20"/>
                <w:szCs w:val="20"/>
              </w:rPr>
              <w:t>-2.0%</w:t>
            </w:r>
          </w:p>
        </w:tc>
      </w:tr>
      <w:tr w:rsidR="009C5396" w:rsidRPr="009C5396" w14:paraId="4D58ABD9" w14:textId="77777777" w:rsidTr="009C5396">
        <w:tc>
          <w:tcPr>
            <w:tcW w:w="588" w:type="dxa"/>
            <w:tcBorders>
              <w:top w:val="dotted" w:sz="4" w:space="0" w:color="B7B7E2"/>
              <w:left w:val="single" w:sz="8" w:space="0" w:color="B7B7E2"/>
              <w:bottom w:val="dotted" w:sz="4" w:space="0" w:color="B7B7E2"/>
              <w:right w:val="single" w:sz="8" w:space="0" w:color="B7B7E2"/>
            </w:tcBorders>
            <w:tcMar>
              <w:top w:w="0" w:type="dxa"/>
              <w:left w:w="108" w:type="dxa"/>
              <w:bottom w:w="0" w:type="dxa"/>
              <w:right w:w="108" w:type="dxa"/>
            </w:tcMar>
          </w:tcPr>
          <w:p w14:paraId="19D125DE" w14:textId="77777777" w:rsidR="004C0905" w:rsidRPr="009C5396" w:rsidRDefault="004C0905" w:rsidP="004C0905">
            <w:pPr>
              <w:spacing w:after="60"/>
              <w:rPr>
                <w:sz w:val="20"/>
                <w:szCs w:val="20"/>
              </w:rPr>
            </w:pPr>
            <w:r w:rsidRPr="009C5396">
              <w:rPr>
                <w:sz w:val="20"/>
                <w:szCs w:val="20"/>
              </w:rPr>
              <w:t>Best</w:t>
            </w:r>
          </w:p>
        </w:tc>
        <w:tc>
          <w:tcPr>
            <w:tcW w:w="1012" w:type="dxa"/>
            <w:vMerge w:val="restart"/>
            <w:tcBorders>
              <w:left w:val="nil"/>
              <w:bottom w:val="dotted" w:sz="4" w:space="0" w:color="B7B7E2"/>
              <w:right w:val="single" w:sz="4" w:space="0" w:color="B7B7E2"/>
            </w:tcBorders>
            <w:tcMar>
              <w:top w:w="0" w:type="dxa"/>
              <w:left w:w="108" w:type="dxa"/>
              <w:bottom w:w="0" w:type="dxa"/>
              <w:right w:w="108" w:type="dxa"/>
            </w:tcMar>
          </w:tcPr>
          <w:p w14:paraId="07A66E13" w14:textId="2C0F2E00" w:rsidR="004C0905" w:rsidRPr="009C5396" w:rsidRDefault="004C0905" w:rsidP="004C0905">
            <w:pPr>
              <w:spacing w:after="60"/>
              <w:rPr>
                <w:sz w:val="20"/>
                <w:szCs w:val="20"/>
              </w:rPr>
            </w:pPr>
            <w:r w:rsidRPr="009C5396">
              <w:rPr>
                <w:sz w:val="20"/>
                <w:szCs w:val="20"/>
              </w:rPr>
              <w:t>ACT, NT, SA, Vic, WA</w:t>
            </w:r>
          </w:p>
        </w:tc>
        <w:tc>
          <w:tcPr>
            <w:tcW w:w="3193"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vAlign w:val="bottom"/>
          </w:tcPr>
          <w:p w14:paraId="16D979C4" w14:textId="3526AEA0" w:rsidR="004C0905" w:rsidRPr="009C5396" w:rsidRDefault="004C0905" w:rsidP="004C0905">
            <w:pPr>
              <w:rPr>
                <w:rFonts w:cs="Calibri"/>
                <w:color w:val="000000"/>
                <w:sz w:val="20"/>
                <w:szCs w:val="20"/>
              </w:rPr>
            </w:pPr>
            <w:r w:rsidRPr="009C5396">
              <w:rPr>
                <w:rFonts w:cs="Calibri"/>
                <w:color w:val="000000"/>
                <w:sz w:val="20"/>
                <w:szCs w:val="20"/>
              </w:rPr>
              <w:t>Flat trend</w:t>
            </w:r>
          </w:p>
        </w:tc>
        <w:tc>
          <w:tcPr>
            <w:tcW w:w="719" w:type="dxa"/>
            <w:tcBorders>
              <w:top w:val="dotted" w:sz="4" w:space="0" w:color="B7B7E2"/>
              <w:left w:val="single" w:sz="4" w:space="0" w:color="B7B7E2"/>
              <w:bottom w:val="dotted" w:sz="4" w:space="0" w:color="B7B7E2"/>
              <w:right w:val="single" w:sz="8" w:space="0" w:color="B7B7E2"/>
            </w:tcBorders>
            <w:tcMar>
              <w:top w:w="0" w:type="dxa"/>
              <w:left w:w="108" w:type="dxa"/>
              <w:bottom w:w="0" w:type="dxa"/>
              <w:right w:w="108" w:type="dxa"/>
            </w:tcMar>
          </w:tcPr>
          <w:p w14:paraId="302103C9" w14:textId="77777777" w:rsidR="004C0905" w:rsidRPr="009C5396" w:rsidRDefault="004C0905" w:rsidP="006872A9">
            <w:pPr>
              <w:spacing w:after="60"/>
              <w:jc w:val="center"/>
              <w:rPr>
                <w:rFonts w:cs="Calibri"/>
                <w:bCs/>
                <w:sz w:val="20"/>
                <w:szCs w:val="20"/>
              </w:rPr>
            </w:pPr>
            <w:r w:rsidRPr="009C5396">
              <w:rPr>
                <w:rFonts w:cs="Calibri"/>
                <w:sz w:val="20"/>
                <w:szCs w:val="20"/>
              </w:rPr>
              <w:t>0.0%</w:t>
            </w:r>
          </w:p>
        </w:tc>
        <w:tc>
          <w:tcPr>
            <w:tcW w:w="322" w:type="dxa"/>
            <w:tcBorders>
              <w:top w:val="dotted" w:sz="4" w:space="0" w:color="B7B7E2"/>
              <w:left w:val="nil"/>
              <w:bottom w:val="dotted" w:sz="4" w:space="0" w:color="B7B7E2"/>
              <w:right w:val="single" w:sz="8" w:space="0" w:color="B7B7E2"/>
            </w:tcBorders>
          </w:tcPr>
          <w:p w14:paraId="7D9AF69B" w14:textId="77777777" w:rsidR="004C0905" w:rsidRPr="009C5396" w:rsidRDefault="004C0905" w:rsidP="00B30B8D">
            <w:pPr>
              <w:spacing w:after="60"/>
              <w:jc w:val="center"/>
              <w:rPr>
                <w:sz w:val="20"/>
                <w:szCs w:val="20"/>
              </w:rPr>
            </w:pPr>
            <w:r w:rsidRPr="009C5396">
              <w:rPr>
                <w:sz w:val="20"/>
                <w:szCs w:val="20"/>
              </w:rPr>
              <w:t>...</w:t>
            </w:r>
          </w:p>
        </w:tc>
        <w:tc>
          <w:tcPr>
            <w:tcW w:w="1985" w:type="dxa"/>
            <w:tcBorders>
              <w:top w:val="dotted" w:sz="4" w:space="0" w:color="B7B7E2"/>
              <w:left w:val="nil"/>
              <w:bottom w:val="dotted" w:sz="4" w:space="0" w:color="B7B7E2"/>
              <w:right w:val="single" w:sz="8" w:space="0" w:color="B7B7E2"/>
            </w:tcBorders>
          </w:tcPr>
          <w:p w14:paraId="3CF3882D" w14:textId="77777777" w:rsidR="004C0905" w:rsidRPr="009C5396" w:rsidRDefault="004C0905" w:rsidP="006872A9">
            <w:pPr>
              <w:spacing w:after="60"/>
              <w:jc w:val="center"/>
              <w:rPr>
                <w:rFonts w:cs="Calibri"/>
                <w:color w:val="000000" w:themeColor="text1"/>
                <w:sz w:val="20"/>
                <w:szCs w:val="20"/>
              </w:rPr>
            </w:pPr>
            <w:r w:rsidRPr="009C5396">
              <w:rPr>
                <w:rFonts w:cs="Calibri"/>
                <w:color w:val="000000" w:themeColor="text1"/>
                <w:sz w:val="20"/>
                <w:szCs w:val="20"/>
              </w:rPr>
              <w:t>0.0%</w:t>
            </w:r>
          </w:p>
        </w:tc>
        <w:tc>
          <w:tcPr>
            <w:tcW w:w="322" w:type="dxa"/>
            <w:tcBorders>
              <w:top w:val="dotted" w:sz="4" w:space="0" w:color="B7B7E2"/>
              <w:left w:val="nil"/>
              <w:bottom w:val="dotted" w:sz="4" w:space="0" w:color="B7B7E2"/>
              <w:right w:val="single" w:sz="8" w:space="0" w:color="B7B7E2"/>
            </w:tcBorders>
          </w:tcPr>
          <w:p w14:paraId="65BC0787" w14:textId="77777777" w:rsidR="004C0905" w:rsidRPr="009C5396" w:rsidRDefault="004C0905" w:rsidP="00B30B8D">
            <w:pPr>
              <w:spacing w:after="60"/>
              <w:jc w:val="center"/>
              <w:rPr>
                <w:sz w:val="20"/>
                <w:szCs w:val="20"/>
              </w:rPr>
            </w:pPr>
            <w:r w:rsidRPr="009C5396">
              <w:rPr>
                <w:sz w:val="20"/>
                <w:szCs w:val="20"/>
              </w:rPr>
              <w:t>...</w:t>
            </w:r>
          </w:p>
        </w:tc>
        <w:tc>
          <w:tcPr>
            <w:tcW w:w="921" w:type="dxa"/>
            <w:tcBorders>
              <w:top w:val="dotted" w:sz="4" w:space="0" w:color="B7B7E2"/>
              <w:left w:val="nil"/>
              <w:bottom w:val="dotted" w:sz="4" w:space="0" w:color="B7B7E2"/>
              <w:right w:val="single" w:sz="8" w:space="0" w:color="B7B7E2"/>
            </w:tcBorders>
          </w:tcPr>
          <w:p w14:paraId="7979B66F" w14:textId="77777777" w:rsidR="004C0905" w:rsidRPr="009C5396" w:rsidRDefault="004C0905" w:rsidP="006872A9">
            <w:pPr>
              <w:spacing w:after="60"/>
              <w:jc w:val="center"/>
              <w:rPr>
                <w:rFonts w:cs="Calibri"/>
                <w:color w:val="000000" w:themeColor="text1"/>
                <w:sz w:val="20"/>
                <w:szCs w:val="20"/>
              </w:rPr>
            </w:pPr>
            <w:r w:rsidRPr="009C5396">
              <w:rPr>
                <w:rFonts w:cs="Calibri"/>
                <w:color w:val="000000" w:themeColor="text1"/>
                <w:sz w:val="20"/>
                <w:szCs w:val="20"/>
              </w:rPr>
              <w:t>0.0%</w:t>
            </w:r>
          </w:p>
        </w:tc>
      </w:tr>
      <w:tr w:rsidR="009C5396" w:rsidRPr="009C5396" w14:paraId="16A1F3D4" w14:textId="77777777" w:rsidTr="009C5396">
        <w:tc>
          <w:tcPr>
            <w:tcW w:w="588" w:type="dxa"/>
            <w:tcBorders>
              <w:top w:val="dotted" w:sz="4" w:space="0" w:color="B7B7E2"/>
              <w:left w:val="single" w:sz="8" w:space="0" w:color="B7B7E2"/>
              <w:bottom w:val="dotted" w:sz="4" w:space="0" w:color="B7B7E2"/>
              <w:right w:val="single" w:sz="8" w:space="0" w:color="B7B7E2"/>
            </w:tcBorders>
            <w:tcMar>
              <w:top w:w="0" w:type="dxa"/>
              <w:left w:w="108" w:type="dxa"/>
              <w:bottom w:w="0" w:type="dxa"/>
              <w:right w:w="108" w:type="dxa"/>
            </w:tcMar>
          </w:tcPr>
          <w:p w14:paraId="5DC5707B" w14:textId="77777777" w:rsidR="004C0905" w:rsidRPr="009C5396" w:rsidRDefault="004C0905" w:rsidP="004C0905">
            <w:pPr>
              <w:spacing w:after="60"/>
              <w:rPr>
                <w:sz w:val="20"/>
                <w:szCs w:val="20"/>
              </w:rPr>
            </w:pPr>
            <w:r w:rsidRPr="009C5396">
              <w:rPr>
                <w:sz w:val="20"/>
                <w:szCs w:val="20"/>
              </w:rPr>
              <w:t>High</w:t>
            </w:r>
          </w:p>
        </w:tc>
        <w:tc>
          <w:tcPr>
            <w:tcW w:w="1012" w:type="dxa"/>
            <w:vMerge/>
            <w:tcBorders>
              <w:top w:val="dotted" w:sz="4" w:space="0" w:color="B7B7E2"/>
              <w:left w:val="nil"/>
              <w:bottom w:val="dotted" w:sz="4" w:space="0" w:color="B7B7E2"/>
              <w:right w:val="single" w:sz="4" w:space="0" w:color="B7B7E2"/>
            </w:tcBorders>
            <w:tcMar>
              <w:top w:w="0" w:type="dxa"/>
              <w:left w:w="108" w:type="dxa"/>
              <w:bottom w:w="0" w:type="dxa"/>
              <w:right w:w="108" w:type="dxa"/>
            </w:tcMar>
          </w:tcPr>
          <w:p w14:paraId="7A7917EA" w14:textId="77777777" w:rsidR="004C0905" w:rsidRPr="006872A9" w:rsidRDefault="004C0905" w:rsidP="004C0905">
            <w:pPr>
              <w:spacing w:after="60"/>
              <w:rPr>
                <w:sz w:val="20"/>
                <w:szCs w:val="20"/>
              </w:rPr>
            </w:pPr>
          </w:p>
        </w:tc>
        <w:tc>
          <w:tcPr>
            <w:tcW w:w="3193"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vAlign w:val="bottom"/>
          </w:tcPr>
          <w:p w14:paraId="1297682B" w14:textId="2805FFC7" w:rsidR="004C0905" w:rsidRPr="009C5396" w:rsidRDefault="004C0905" w:rsidP="004C0905">
            <w:pPr>
              <w:rPr>
                <w:rFonts w:cs="Calibri"/>
                <w:color w:val="000000"/>
                <w:sz w:val="20"/>
                <w:szCs w:val="20"/>
              </w:rPr>
            </w:pPr>
            <w:r w:rsidRPr="009C5396">
              <w:rPr>
                <w:rFonts w:cs="Calibri"/>
                <w:color w:val="000000"/>
                <w:sz w:val="20"/>
                <w:szCs w:val="20"/>
              </w:rPr>
              <w:t xml:space="preserve">20-year average annual population growth </w:t>
            </w:r>
          </w:p>
        </w:tc>
        <w:tc>
          <w:tcPr>
            <w:tcW w:w="719" w:type="dxa"/>
            <w:tcBorders>
              <w:top w:val="dotted" w:sz="4" w:space="0" w:color="B7B7E2"/>
              <w:left w:val="single" w:sz="4" w:space="0" w:color="B7B7E2"/>
              <w:bottom w:val="dotted" w:sz="4" w:space="0" w:color="B7B7E2"/>
              <w:right w:val="single" w:sz="8" w:space="0" w:color="B7B7E2"/>
            </w:tcBorders>
            <w:tcMar>
              <w:top w:w="0" w:type="dxa"/>
              <w:left w:w="108" w:type="dxa"/>
              <w:bottom w:w="0" w:type="dxa"/>
              <w:right w:w="108" w:type="dxa"/>
            </w:tcMar>
          </w:tcPr>
          <w:p w14:paraId="5583EC59" w14:textId="77777777" w:rsidR="004C0905" w:rsidRPr="009C5396" w:rsidRDefault="004C0905" w:rsidP="006872A9">
            <w:pPr>
              <w:spacing w:after="60"/>
              <w:jc w:val="center"/>
              <w:rPr>
                <w:rFonts w:cs="Calibri"/>
                <w:bCs/>
                <w:sz w:val="20"/>
                <w:szCs w:val="20"/>
              </w:rPr>
            </w:pPr>
            <w:r w:rsidRPr="009C5396">
              <w:rPr>
                <w:rFonts w:cs="Calibri"/>
                <w:sz w:val="20"/>
                <w:szCs w:val="20"/>
              </w:rPr>
              <w:t>1.4%</w:t>
            </w:r>
          </w:p>
        </w:tc>
        <w:tc>
          <w:tcPr>
            <w:tcW w:w="322" w:type="dxa"/>
            <w:tcBorders>
              <w:top w:val="dotted" w:sz="4" w:space="0" w:color="B7B7E2"/>
              <w:left w:val="nil"/>
              <w:bottom w:val="dotted" w:sz="4" w:space="0" w:color="B7B7E2"/>
              <w:right w:val="single" w:sz="8" w:space="0" w:color="B7B7E2"/>
            </w:tcBorders>
          </w:tcPr>
          <w:p w14:paraId="410EEB0C" w14:textId="77777777" w:rsidR="004C0905" w:rsidRPr="009C5396" w:rsidRDefault="004C0905" w:rsidP="00B30B8D">
            <w:pPr>
              <w:spacing w:after="60"/>
              <w:jc w:val="center"/>
              <w:rPr>
                <w:sz w:val="20"/>
                <w:szCs w:val="20"/>
              </w:rPr>
            </w:pPr>
            <w:r w:rsidRPr="009C5396">
              <w:rPr>
                <w:sz w:val="20"/>
                <w:szCs w:val="20"/>
              </w:rPr>
              <w:t>...</w:t>
            </w:r>
          </w:p>
        </w:tc>
        <w:tc>
          <w:tcPr>
            <w:tcW w:w="1985" w:type="dxa"/>
            <w:tcBorders>
              <w:top w:val="dotted" w:sz="4" w:space="0" w:color="B7B7E2"/>
              <w:left w:val="nil"/>
              <w:bottom w:val="dotted" w:sz="4" w:space="0" w:color="B7B7E2"/>
              <w:right w:val="single" w:sz="8" w:space="0" w:color="B7B7E2"/>
            </w:tcBorders>
          </w:tcPr>
          <w:p w14:paraId="745C0798" w14:textId="77777777" w:rsidR="004C0905" w:rsidRPr="009C5396" w:rsidRDefault="004C0905" w:rsidP="006872A9">
            <w:pPr>
              <w:spacing w:after="60"/>
              <w:jc w:val="center"/>
              <w:rPr>
                <w:rFonts w:cs="Calibri"/>
                <w:color w:val="000000" w:themeColor="text1"/>
                <w:sz w:val="20"/>
                <w:szCs w:val="20"/>
              </w:rPr>
            </w:pPr>
            <w:r w:rsidRPr="009C5396">
              <w:rPr>
                <w:rFonts w:cs="Calibri"/>
                <w:color w:val="000000" w:themeColor="text1"/>
                <w:sz w:val="20"/>
                <w:szCs w:val="20"/>
              </w:rPr>
              <w:t>1.4%</w:t>
            </w:r>
          </w:p>
        </w:tc>
        <w:tc>
          <w:tcPr>
            <w:tcW w:w="322" w:type="dxa"/>
            <w:tcBorders>
              <w:top w:val="dotted" w:sz="4" w:space="0" w:color="B7B7E2"/>
              <w:left w:val="nil"/>
              <w:bottom w:val="dotted" w:sz="4" w:space="0" w:color="B7B7E2"/>
              <w:right w:val="single" w:sz="8" w:space="0" w:color="B7B7E2"/>
            </w:tcBorders>
          </w:tcPr>
          <w:p w14:paraId="099C4310" w14:textId="77777777" w:rsidR="004C0905" w:rsidRPr="009C5396" w:rsidRDefault="004C0905" w:rsidP="00B30B8D">
            <w:pPr>
              <w:spacing w:after="60"/>
              <w:jc w:val="center"/>
              <w:rPr>
                <w:sz w:val="20"/>
                <w:szCs w:val="20"/>
              </w:rPr>
            </w:pPr>
            <w:r w:rsidRPr="009C5396">
              <w:rPr>
                <w:sz w:val="20"/>
                <w:szCs w:val="20"/>
              </w:rPr>
              <w:t>...</w:t>
            </w:r>
          </w:p>
        </w:tc>
        <w:tc>
          <w:tcPr>
            <w:tcW w:w="921" w:type="dxa"/>
            <w:tcBorders>
              <w:top w:val="dotted" w:sz="4" w:space="0" w:color="B7B7E2"/>
              <w:left w:val="nil"/>
              <w:bottom w:val="dotted" w:sz="4" w:space="0" w:color="B7B7E2"/>
              <w:right w:val="single" w:sz="8" w:space="0" w:color="B7B7E2"/>
            </w:tcBorders>
          </w:tcPr>
          <w:p w14:paraId="4AC58591" w14:textId="77777777" w:rsidR="004C0905" w:rsidRPr="009C5396" w:rsidRDefault="004C0905" w:rsidP="006872A9">
            <w:pPr>
              <w:spacing w:after="60"/>
              <w:jc w:val="center"/>
              <w:rPr>
                <w:rFonts w:cs="Calibri"/>
                <w:color w:val="000000" w:themeColor="text1"/>
                <w:sz w:val="20"/>
                <w:szCs w:val="20"/>
              </w:rPr>
            </w:pPr>
            <w:r w:rsidRPr="009C5396">
              <w:rPr>
                <w:rFonts w:cs="Calibri"/>
                <w:color w:val="000000" w:themeColor="text1"/>
                <w:sz w:val="20"/>
                <w:szCs w:val="20"/>
              </w:rPr>
              <w:t>1.4%</w:t>
            </w:r>
          </w:p>
        </w:tc>
      </w:tr>
      <w:tr w:rsidR="009C5396" w:rsidRPr="009C5396" w14:paraId="3E8C515E" w14:textId="77777777" w:rsidTr="009C5396">
        <w:tc>
          <w:tcPr>
            <w:tcW w:w="588" w:type="dxa"/>
            <w:tcBorders>
              <w:top w:val="dotted" w:sz="4" w:space="0" w:color="B7B7E2"/>
              <w:left w:val="single" w:sz="8" w:space="0" w:color="B7B7E2"/>
              <w:bottom w:val="single" w:sz="4" w:space="0" w:color="B7B7E2"/>
              <w:right w:val="single" w:sz="8" w:space="0" w:color="B7B7E2"/>
            </w:tcBorders>
            <w:tcMar>
              <w:top w:w="0" w:type="dxa"/>
              <w:left w:w="108" w:type="dxa"/>
              <w:bottom w:w="0" w:type="dxa"/>
              <w:right w:w="108" w:type="dxa"/>
            </w:tcMar>
          </w:tcPr>
          <w:p w14:paraId="5E13D1EC" w14:textId="77777777" w:rsidR="004C0905" w:rsidRPr="009C5396" w:rsidRDefault="004C0905" w:rsidP="004C0905">
            <w:pPr>
              <w:spacing w:after="60"/>
              <w:rPr>
                <w:sz w:val="20"/>
                <w:szCs w:val="20"/>
              </w:rPr>
            </w:pPr>
            <w:r w:rsidRPr="009C5396">
              <w:rPr>
                <w:sz w:val="20"/>
                <w:szCs w:val="20"/>
              </w:rPr>
              <w:t>Low</w:t>
            </w:r>
          </w:p>
        </w:tc>
        <w:tc>
          <w:tcPr>
            <w:tcW w:w="1012" w:type="dxa"/>
            <w:vMerge/>
            <w:tcBorders>
              <w:top w:val="dotted" w:sz="4" w:space="0" w:color="B7B7E2"/>
              <w:left w:val="nil"/>
              <w:bottom w:val="single" w:sz="8" w:space="0" w:color="B7B7E2"/>
              <w:right w:val="single" w:sz="4" w:space="0" w:color="B7B7E2"/>
            </w:tcBorders>
            <w:tcMar>
              <w:top w:w="0" w:type="dxa"/>
              <w:left w:w="108" w:type="dxa"/>
              <w:bottom w:w="0" w:type="dxa"/>
              <w:right w:w="108" w:type="dxa"/>
            </w:tcMar>
          </w:tcPr>
          <w:p w14:paraId="396936A2" w14:textId="77777777" w:rsidR="004C0905" w:rsidRPr="006872A9" w:rsidRDefault="004C0905" w:rsidP="004C0905">
            <w:pPr>
              <w:spacing w:after="60"/>
              <w:rPr>
                <w:sz w:val="20"/>
                <w:szCs w:val="20"/>
              </w:rPr>
            </w:pPr>
          </w:p>
        </w:tc>
        <w:tc>
          <w:tcPr>
            <w:tcW w:w="3193" w:type="dxa"/>
            <w:tcBorders>
              <w:top w:val="dotted" w:sz="4" w:space="0" w:color="B7B7E2"/>
              <w:left w:val="single" w:sz="4" w:space="0" w:color="B7B7E2"/>
              <w:bottom w:val="single" w:sz="8" w:space="0" w:color="B7B7E2"/>
              <w:right w:val="single" w:sz="4" w:space="0" w:color="B7B7E2"/>
            </w:tcBorders>
            <w:tcMar>
              <w:top w:w="0" w:type="dxa"/>
              <w:left w:w="108" w:type="dxa"/>
              <w:bottom w:w="0" w:type="dxa"/>
              <w:right w:w="108" w:type="dxa"/>
            </w:tcMar>
            <w:vAlign w:val="bottom"/>
          </w:tcPr>
          <w:p w14:paraId="1461ADE9" w14:textId="09322BFF" w:rsidR="004C0905" w:rsidRPr="009C5396" w:rsidRDefault="004C0905" w:rsidP="004C0905">
            <w:pPr>
              <w:rPr>
                <w:rFonts w:cs="Calibri"/>
                <w:color w:val="000000"/>
                <w:sz w:val="20"/>
                <w:szCs w:val="20"/>
              </w:rPr>
            </w:pPr>
            <w:r w:rsidRPr="009C5396">
              <w:rPr>
                <w:rFonts w:cs="Calibri"/>
                <w:color w:val="000000"/>
                <w:sz w:val="20"/>
                <w:szCs w:val="20"/>
              </w:rPr>
              <w:t>-2% annual decline</w:t>
            </w:r>
          </w:p>
        </w:tc>
        <w:tc>
          <w:tcPr>
            <w:tcW w:w="719" w:type="dxa"/>
            <w:tcBorders>
              <w:top w:val="dotted" w:sz="4" w:space="0" w:color="B7B7E2"/>
              <w:left w:val="single" w:sz="4" w:space="0" w:color="B7B7E2"/>
              <w:bottom w:val="single" w:sz="4" w:space="0" w:color="B7B7E2"/>
              <w:right w:val="single" w:sz="8" w:space="0" w:color="B7B7E2"/>
            </w:tcBorders>
            <w:tcMar>
              <w:top w:w="0" w:type="dxa"/>
              <w:left w:w="108" w:type="dxa"/>
              <w:bottom w:w="0" w:type="dxa"/>
              <w:right w:w="108" w:type="dxa"/>
            </w:tcMar>
          </w:tcPr>
          <w:p w14:paraId="02597AF2" w14:textId="77777777" w:rsidR="004C0905" w:rsidRPr="009C5396" w:rsidRDefault="004C0905" w:rsidP="006872A9">
            <w:pPr>
              <w:spacing w:after="60"/>
              <w:jc w:val="center"/>
              <w:rPr>
                <w:rFonts w:cs="Calibri"/>
                <w:bCs/>
                <w:sz w:val="20"/>
                <w:szCs w:val="20"/>
              </w:rPr>
            </w:pPr>
            <w:r w:rsidRPr="009C5396">
              <w:rPr>
                <w:rFonts w:cs="Calibri"/>
                <w:sz w:val="20"/>
                <w:szCs w:val="20"/>
              </w:rPr>
              <w:t>-2.0%</w:t>
            </w:r>
          </w:p>
        </w:tc>
        <w:tc>
          <w:tcPr>
            <w:tcW w:w="322" w:type="dxa"/>
            <w:tcBorders>
              <w:top w:val="dotted" w:sz="4" w:space="0" w:color="B7B7E2"/>
              <w:left w:val="nil"/>
              <w:bottom w:val="single" w:sz="4" w:space="0" w:color="B7B7E2"/>
              <w:right w:val="single" w:sz="8" w:space="0" w:color="B7B7E2"/>
            </w:tcBorders>
          </w:tcPr>
          <w:p w14:paraId="3DCE4B57" w14:textId="77777777" w:rsidR="004C0905" w:rsidRPr="009C5396" w:rsidRDefault="004C0905" w:rsidP="00B30B8D">
            <w:pPr>
              <w:spacing w:after="60"/>
              <w:jc w:val="center"/>
              <w:rPr>
                <w:sz w:val="20"/>
                <w:szCs w:val="20"/>
              </w:rPr>
            </w:pPr>
            <w:r w:rsidRPr="009C5396">
              <w:rPr>
                <w:sz w:val="20"/>
                <w:szCs w:val="20"/>
              </w:rPr>
              <w:t>...</w:t>
            </w:r>
          </w:p>
        </w:tc>
        <w:tc>
          <w:tcPr>
            <w:tcW w:w="1985" w:type="dxa"/>
            <w:tcBorders>
              <w:top w:val="dotted" w:sz="4" w:space="0" w:color="B7B7E2"/>
              <w:left w:val="nil"/>
              <w:bottom w:val="single" w:sz="4" w:space="0" w:color="B7B7E2"/>
              <w:right w:val="single" w:sz="8" w:space="0" w:color="B7B7E2"/>
            </w:tcBorders>
          </w:tcPr>
          <w:p w14:paraId="2E2D0FA4" w14:textId="77777777" w:rsidR="004C0905" w:rsidRPr="009C5396" w:rsidRDefault="004C0905" w:rsidP="006872A9">
            <w:pPr>
              <w:spacing w:after="60"/>
              <w:jc w:val="center"/>
              <w:rPr>
                <w:rFonts w:cs="Calibri"/>
                <w:color w:val="000000" w:themeColor="text1"/>
                <w:sz w:val="20"/>
                <w:szCs w:val="20"/>
              </w:rPr>
            </w:pPr>
            <w:r w:rsidRPr="009C5396">
              <w:rPr>
                <w:rFonts w:cs="Calibri"/>
                <w:color w:val="000000" w:themeColor="text1"/>
                <w:sz w:val="20"/>
                <w:szCs w:val="20"/>
              </w:rPr>
              <w:t>-2.0%</w:t>
            </w:r>
          </w:p>
        </w:tc>
        <w:tc>
          <w:tcPr>
            <w:tcW w:w="322" w:type="dxa"/>
            <w:tcBorders>
              <w:top w:val="dotted" w:sz="4" w:space="0" w:color="B7B7E2"/>
              <w:left w:val="nil"/>
              <w:bottom w:val="single" w:sz="4" w:space="0" w:color="B7B7E2"/>
              <w:right w:val="single" w:sz="8" w:space="0" w:color="B7B7E2"/>
            </w:tcBorders>
          </w:tcPr>
          <w:p w14:paraId="11BDD88E" w14:textId="77777777" w:rsidR="004C0905" w:rsidRPr="009C5396" w:rsidRDefault="004C0905" w:rsidP="00B30B8D">
            <w:pPr>
              <w:spacing w:after="60"/>
              <w:jc w:val="center"/>
              <w:rPr>
                <w:sz w:val="20"/>
                <w:szCs w:val="20"/>
              </w:rPr>
            </w:pPr>
            <w:r w:rsidRPr="009C5396">
              <w:rPr>
                <w:sz w:val="20"/>
                <w:szCs w:val="20"/>
              </w:rPr>
              <w:t>...</w:t>
            </w:r>
          </w:p>
        </w:tc>
        <w:tc>
          <w:tcPr>
            <w:tcW w:w="921" w:type="dxa"/>
            <w:tcBorders>
              <w:top w:val="dotted" w:sz="4" w:space="0" w:color="B7B7E2"/>
              <w:left w:val="nil"/>
              <w:bottom w:val="single" w:sz="4" w:space="0" w:color="B7B7E2"/>
              <w:right w:val="single" w:sz="8" w:space="0" w:color="B7B7E2"/>
            </w:tcBorders>
          </w:tcPr>
          <w:p w14:paraId="3B29681F" w14:textId="77777777" w:rsidR="004C0905" w:rsidRPr="009C5396" w:rsidRDefault="004C0905" w:rsidP="006872A9">
            <w:pPr>
              <w:spacing w:after="60"/>
              <w:jc w:val="center"/>
              <w:rPr>
                <w:rFonts w:cs="Calibri"/>
                <w:color w:val="000000" w:themeColor="text1"/>
                <w:sz w:val="20"/>
                <w:szCs w:val="20"/>
              </w:rPr>
            </w:pPr>
            <w:r w:rsidRPr="009C5396">
              <w:rPr>
                <w:rFonts w:cs="Calibri"/>
                <w:color w:val="000000" w:themeColor="text1"/>
                <w:sz w:val="20"/>
                <w:szCs w:val="20"/>
              </w:rPr>
              <w:t>-2.0%</w:t>
            </w:r>
          </w:p>
        </w:tc>
      </w:tr>
      <w:tr w:rsidR="00EB2024" w:rsidRPr="009C5396" w14:paraId="0DC9127B" w14:textId="77777777" w:rsidTr="009C5396">
        <w:trPr>
          <w:trHeight w:val="331"/>
        </w:trPr>
        <w:tc>
          <w:tcPr>
            <w:tcW w:w="7819" w:type="dxa"/>
            <w:gridSpan w:val="6"/>
            <w:tcBorders>
              <w:top w:val="single" w:sz="4" w:space="0" w:color="B7B7E2"/>
              <w:left w:val="single" w:sz="8" w:space="0" w:color="B7B7E2"/>
              <w:bottom w:val="dotted" w:sz="4" w:space="0" w:color="B7B7E2"/>
              <w:right w:val="single" w:sz="8" w:space="0" w:color="B7B7E2"/>
            </w:tcBorders>
            <w:tcMar>
              <w:top w:w="0" w:type="dxa"/>
              <w:left w:w="108" w:type="dxa"/>
              <w:bottom w:w="0" w:type="dxa"/>
              <w:right w:w="108" w:type="dxa"/>
            </w:tcMar>
          </w:tcPr>
          <w:p w14:paraId="281A5067" w14:textId="77777777" w:rsidR="00EB2024" w:rsidRPr="009C5396" w:rsidRDefault="00EB2024" w:rsidP="00B30B8D">
            <w:pPr>
              <w:spacing w:after="60"/>
              <w:rPr>
                <w:sz w:val="20"/>
                <w:szCs w:val="20"/>
              </w:rPr>
            </w:pPr>
            <w:r w:rsidRPr="009C5396">
              <w:rPr>
                <w:iCs/>
                <w:color w:val="4D4DB8"/>
                <w:sz w:val="20"/>
                <w:szCs w:val="20"/>
              </w:rPr>
              <w:t>On-site storage releases (absolute tonnes pa)</w:t>
            </w:r>
          </w:p>
        </w:tc>
        <w:tc>
          <w:tcPr>
            <w:tcW w:w="322" w:type="dxa"/>
            <w:tcBorders>
              <w:top w:val="single" w:sz="4" w:space="0" w:color="B7B7E2"/>
              <w:left w:val="single" w:sz="8" w:space="0" w:color="B7B7E2"/>
              <w:bottom w:val="dotted" w:sz="4" w:space="0" w:color="B7B7E2"/>
              <w:right w:val="single" w:sz="8" w:space="0" w:color="B7B7E2"/>
            </w:tcBorders>
          </w:tcPr>
          <w:p w14:paraId="148B3D50" w14:textId="77777777" w:rsidR="00EB2024" w:rsidRPr="009C5396" w:rsidRDefault="00EB2024" w:rsidP="006872A9">
            <w:pPr>
              <w:spacing w:after="60"/>
              <w:jc w:val="center"/>
              <w:rPr>
                <w:iCs/>
                <w:color w:val="4D4DB8"/>
                <w:sz w:val="20"/>
                <w:szCs w:val="20"/>
              </w:rPr>
            </w:pPr>
          </w:p>
        </w:tc>
        <w:tc>
          <w:tcPr>
            <w:tcW w:w="921" w:type="dxa"/>
            <w:tcBorders>
              <w:top w:val="single" w:sz="4" w:space="0" w:color="B7B7E2"/>
              <w:left w:val="single" w:sz="8" w:space="0" w:color="B7B7E2"/>
              <w:bottom w:val="dotted" w:sz="4" w:space="0" w:color="B7B7E2"/>
              <w:right w:val="single" w:sz="8" w:space="0" w:color="B7B7E2"/>
            </w:tcBorders>
          </w:tcPr>
          <w:p w14:paraId="3CBBDAE3" w14:textId="77777777" w:rsidR="00EB2024" w:rsidRPr="009C5396" w:rsidRDefault="00EB2024" w:rsidP="006872A9">
            <w:pPr>
              <w:spacing w:after="60"/>
              <w:jc w:val="center"/>
              <w:rPr>
                <w:iCs/>
                <w:color w:val="4D4DB8"/>
                <w:sz w:val="20"/>
                <w:szCs w:val="20"/>
              </w:rPr>
            </w:pPr>
          </w:p>
        </w:tc>
      </w:tr>
      <w:tr w:rsidR="009C5396" w:rsidRPr="009C5396" w14:paraId="1CE624BB" w14:textId="77777777" w:rsidTr="009C5396">
        <w:tc>
          <w:tcPr>
            <w:tcW w:w="588" w:type="dxa"/>
            <w:tcBorders>
              <w:top w:val="single" w:sz="4" w:space="0" w:color="B7B7E2"/>
              <w:left w:val="single" w:sz="4" w:space="0" w:color="B7B7E2"/>
              <w:bottom w:val="dotted" w:sz="4" w:space="0" w:color="B7B7E2"/>
              <w:right w:val="single" w:sz="4" w:space="0" w:color="B7B7E2"/>
            </w:tcBorders>
            <w:tcMar>
              <w:top w:w="0" w:type="dxa"/>
              <w:left w:w="108" w:type="dxa"/>
              <w:bottom w:w="0" w:type="dxa"/>
              <w:right w:w="108" w:type="dxa"/>
            </w:tcMar>
            <w:hideMark/>
          </w:tcPr>
          <w:p w14:paraId="75D6AE41" w14:textId="77777777" w:rsidR="004C0905" w:rsidRPr="009C5396" w:rsidRDefault="004C0905" w:rsidP="004C0905">
            <w:pPr>
              <w:spacing w:after="60"/>
              <w:rPr>
                <w:rFonts w:eastAsia="Times New Roman" w:cs="Times New Roman"/>
                <w:sz w:val="20"/>
                <w:szCs w:val="20"/>
              </w:rPr>
            </w:pPr>
            <w:r w:rsidRPr="009C5396">
              <w:rPr>
                <w:sz w:val="20"/>
                <w:szCs w:val="20"/>
              </w:rPr>
              <w:t>Best</w:t>
            </w:r>
          </w:p>
        </w:tc>
        <w:tc>
          <w:tcPr>
            <w:tcW w:w="1012" w:type="dxa"/>
            <w:vMerge w:val="restart"/>
            <w:tcBorders>
              <w:top w:val="single" w:sz="8" w:space="0" w:color="B7B7E2"/>
              <w:left w:val="single" w:sz="4" w:space="0" w:color="B7B7E2"/>
              <w:right w:val="single" w:sz="8" w:space="0" w:color="B7B7E2"/>
            </w:tcBorders>
            <w:tcMar>
              <w:top w:w="0" w:type="dxa"/>
              <w:left w:w="108" w:type="dxa"/>
              <w:bottom w:w="0" w:type="dxa"/>
              <w:right w:w="108" w:type="dxa"/>
            </w:tcMar>
            <w:vAlign w:val="center"/>
          </w:tcPr>
          <w:p w14:paraId="47E7EEF2" w14:textId="77777777" w:rsidR="004C0905" w:rsidRPr="009C5396" w:rsidRDefault="004C0905" w:rsidP="004C0905">
            <w:pPr>
              <w:spacing w:after="60"/>
              <w:rPr>
                <w:sz w:val="20"/>
                <w:szCs w:val="20"/>
              </w:rPr>
            </w:pPr>
            <w:r w:rsidRPr="009C5396">
              <w:rPr>
                <w:sz w:val="20"/>
                <w:szCs w:val="20"/>
              </w:rPr>
              <w:t>Vic</w:t>
            </w:r>
          </w:p>
        </w:tc>
        <w:tc>
          <w:tcPr>
            <w:tcW w:w="3193" w:type="dxa"/>
            <w:tcBorders>
              <w:top w:val="single" w:sz="8" w:space="0" w:color="B7B7E2"/>
              <w:left w:val="nil"/>
              <w:bottom w:val="dotted" w:sz="4" w:space="0" w:color="B7B7E2"/>
              <w:right w:val="single" w:sz="4" w:space="0" w:color="B7B7E2"/>
            </w:tcBorders>
            <w:tcMar>
              <w:top w:w="0" w:type="dxa"/>
              <w:left w:w="108" w:type="dxa"/>
              <w:bottom w:w="0" w:type="dxa"/>
              <w:right w:w="108" w:type="dxa"/>
            </w:tcMar>
            <w:vAlign w:val="bottom"/>
          </w:tcPr>
          <w:p w14:paraId="27C69328" w14:textId="64CE79AD" w:rsidR="004C0905" w:rsidRPr="009C5396" w:rsidRDefault="004C0905" w:rsidP="004C0905">
            <w:pPr>
              <w:rPr>
                <w:rFonts w:eastAsia="Times New Roman" w:cs="Times New Roman"/>
                <w:sz w:val="20"/>
                <w:szCs w:val="20"/>
              </w:rPr>
            </w:pPr>
            <w:r w:rsidRPr="009C5396">
              <w:rPr>
                <w:rFonts w:cs="Calibri"/>
                <w:color w:val="000000"/>
                <w:sz w:val="20"/>
                <w:szCs w:val="20"/>
              </w:rPr>
              <w:t>Long-term dross stockpile remains</w:t>
            </w:r>
          </w:p>
        </w:tc>
        <w:tc>
          <w:tcPr>
            <w:tcW w:w="719" w:type="dxa"/>
            <w:tcBorders>
              <w:top w:val="single" w:sz="4" w:space="0" w:color="B7B7E2"/>
              <w:left w:val="single" w:sz="4" w:space="0" w:color="B7B7E2"/>
              <w:bottom w:val="dotted" w:sz="4" w:space="0" w:color="B7B7E2"/>
              <w:right w:val="single" w:sz="4" w:space="0" w:color="B7B7E2"/>
            </w:tcBorders>
            <w:tcMar>
              <w:top w:w="0" w:type="dxa"/>
              <w:left w:w="108" w:type="dxa"/>
              <w:bottom w:w="0" w:type="dxa"/>
              <w:right w:w="108" w:type="dxa"/>
            </w:tcMar>
          </w:tcPr>
          <w:p w14:paraId="080825D3" w14:textId="77777777" w:rsidR="004C0905" w:rsidRPr="009C5396" w:rsidRDefault="004C0905" w:rsidP="006872A9">
            <w:pPr>
              <w:spacing w:after="60"/>
              <w:jc w:val="center"/>
              <w:rPr>
                <w:rFonts w:eastAsia="Times New Roman" w:cs="Times New Roman"/>
                <w:color w:val="000000" w:themeColor="text1"/>
                <w:sz w:val="20"/>
                <w:szCs w:val="20"/>
              </w:rPr>
            </w:pPr>
            <w:r w:rsidRPr="009C5396">
              <w:rPr>
                <w:rFonts w:cs="Calibri"/>
                <w:bCs/>
                <w:color w:val="000000" w:themeColor="text1"/>
                <w:sz w:val="20"/>
                <w:szCs w:val="20"/>
              </w:rPr>
              <w:t>0</w:t>
            </w:r>
          </w:p>
        </w:tc>
        <w:tc>
          <w:tcPr>
            <w:tcW w:w="322" w:type="dxa"/>
            <w:tcBorders>
              <w:top w:val="single" w:sz="4" w:space="0" w:color="B7B7E2"/>
              <w:left w:val="single" w:sz="4" w:space="0" w:color="B7B7E2"/>
              <w:bottom w:val="dotted" w:sz="4" w:space="0" w:color="B7B7E2"/>
              <w:right w:val="single" w:sz="4" w:space="0" w:color="B7B7E2"/>
            </w:tcBorders>
          </w:tcPr>
          <w:p w14:paraId="3B9FBD49" w14:textId="77777777" w:rsidR="004C0905" w:rsidRPr="009C5396" w:rsidRDefault="004C0905" w:rsidP="00B30B8D">
            <w:pPr>
              <w:spacing w:after="60"/>
              <w:jc w:val="center"/>
              <w:rPr>
                <w:rFonts w:eastAsia="Times New Roman" w:cs="Times New Roman"/>
                <w:sz w:val="20"/>
                <w:szCs w:val="20"/>
              </w:rPr>
            </w:pPr>
            <w:r w:rsidRPr="009C5396">
              <w:rPr>
                <w:sz w:val="20"/>
                <w:szCs w:val="20"/>
              </w:rPr>
              <w:t>...</w:t>
            </w:r>
          </w:p>
        </w:tc>
        <w:tc>
          <w:tcPr>
            <w:tcW w:w="1985" w:type="dxa"/>
            <w:tcBorders>
              <w:top w:val="single" w:sz="4" w:space="0" w:color="B7B7E2"/>
              <w:left w:val="single" w:sz="4" w:space="0" w:color="B7B7E2"/>
              <w:bottom w:val="dotted" w:sz="4" w:space="0" w:color="B7B7E2"/>
              <w:right w:val="single" w:sz="4" w:space="0" w:color="B7B7E2"/>
            </w:tcBorders>
          </w:tcPr>
          <w:p w14:paraId="7A2D64BF" w14:textId="77777777" w:rsidR="004C0905" w:rsidRPr="009C5396" w:rsidRDefault="004C0905" w:rsidP="006872A9">
            <w:pPr>
              <w:spacing w:after="60"/>
              <w:jc w:val="center"/>
              <w:rPr>
                <w:rFonts w:eastAsia="Times New Roman" w:cs="Times New Roman"/>
                <w:color w:val="000000" w:themeColor="text1"/>
                <w:sz w:val="20"/>
                <w:szCs w:val="20"/>
              </w:rPr>
            </w:pPr>
            <w:r w:rsidRPr="009C5396">
              <w:rPr>
                <w:rFonts w:cs="Calibri"/>
                <w:bCs/>
                <w:color w:val="000000" w:themeColor="text1"/>
                <w:sz w:val="20"/>
                <w:szCs w:val="20"/>
              </w:rPr>
              <w:t>0</w:t>
            </w:r>
          </w:p>
        </w:tc>
        <w:tc>
          <w:tcPr>
            <w:tcW w:w="322" w:type="dxa"/>
            <w:tcBorders>
              <w:top w:val="single" w:sz="4" w:space="0" w:color="B7B7E2"/>
              <w:left w:val="single" w:sz="4" w:space="0" w:color="B7B7E2"/>
              <w:bottom w:val="dotted" w:sz="4" w:space="0" w:color="B7B7E2"/>
              <w:right w:val="single" w:sz="4" w:space="0" w:color="B7B7E2"/>
            </w:tcBorders>
          </w:tcPr>
          <w:p w14:paraId="3A7EDB50" w14:textId="77777777" w:rsidR="004C0905" w:rsidRPr="009C5396" w:rsidRDefault="004C0905" w:rsidP="00B30B8D">
            <w:pPr>
              <w:spacing w:after="60"/>
              <w:jc w:val="center"/>
              <w:rPr>
                <w:sz w:val="20"/>
                <w:szCs w:val="20"/>
              </w:rPr>
            </w:pPr>
            <w:r w:rsidRPr="009C5396">
              <w:rPr>
                <w:sz w:val="20"/>
                <w:szCs w:val="20"/>
              </w:rPr>
              <w:t>...</w:t>
            </w:r>
          </w:p>
        </w:tc>
        <w:tc>
          <w:tcPr>
            <w:tcW w:w="921" w:type="dxa"/>
            <w:tcBorders>
              <w:top w:val="single" w:sz="4" w:space="0" w:color="B7B7E2"/>
              <w:left w:val="single" w:sz="4" w:space="0" w:color="B7B7E2"/>
              <w:bottom w:val="dotted" w:sz="4" w:space="0" w:color="B7B7E2"/>
              <w:right w:val="single" w:sz="4" w:space="0" w:color="B7B7E2"/>
            </w:tcBorders>
          </w:tcPr>
          <w:p w14:paraId="2FB06381" w14:textId="77777777" w:rsidR="004C0905" w:rsidRPr="009C5396" w:rsidRDefault="004C0905" w:rsidP="006872A9">
            <w:pPr>
              <w:spacing w:after="60"/>
              <w:jc w:val="center"/>
              <w:rPr>
                <w:color w:val="000000" w:themeColor="text1"/>
                <w:sz w:val="20"/>
                <w:szCs w:val="20"/>
              </w:rPr>
            </w:pPr>
            <w:r w:rsidRPr="009C5396">
              <w:rPr>
                <w:rFonts w:cs="Calibri"/>
                <w:bCs/>
                <w:color w:val="000000" w:themeColor="text1"/>
                <w:sz w:val="20"/>
                <w:szCs w:val="20"/>
              </w:rPr>
              <w:t>0</w:t>
            </w:r>
          </w:p>
        </w:tc>
      </w:tr>
      <w:tr w:rsidR="009C5396" w:rsidRPr="009C5396" w14:paraId="67731EB2" w14:textId="77777777" w:rsidTr="009D734D">
        <w:tc>
          <w:tcPr>
            <w:tcW w:w="588"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hideMark/>
          </w:tcPr>
          <w:p w14:paraId="441BDDBE" w14:textId="77777777" w:rsidR="004C0905" w:rsidRPr="009C5396" w:rsidRDefault="004C0905" w:rsidP="004C0905">
            <w:pPr>
              <w:spacing w:after="60"/>
              <w:rPr>
                <w:rFonts w:eastAsia="Times New Roman" w:cs="Times New Roman"/>
                <w:sz w:val="20"/>
                <w:szCs w:val="20"/>
              </w:rPr>
            </w:pPr>
            <w:r w:rsidRPr="009C5396">
              <w:rPr>
                <w:sz w:val="20"/>
                <w:szCs w:val="20"/>
              </w:rPr>
              <w:t>High</w:t>
            </w:r>
          </w:p>
        </w:tc>
        <w:tc>
          <w:tcPr>
            <w:tcW w:w="1012" w:type="dxa"/>
            <w:vMerge/>
            <w:tcBorders>
              <w:left w:val="single" w:sz="4" w:space="0" w:color="B7B7E2"/>
              <w:right w:val="single" w:sz="8" w:space="0" w:color="B7B7E2"/>
            </w:tcBorders>
            <w:tcMar>
              <w:top w:w="0" w:type="dxa"/>
              <w:left w:w="108" w:type="dxa"/>
              <w:bottom w:w="0" w:type="dxa"/>
              <w:right w:w="108" w:type="dxa"/>
            </w:tcMar>
          </w:tcPr>
          <w:p w14:paraId="7C16AA9F" w14:textId="77777777" w:rsidR="004C0905" w:rsidRPr="006872A9" w:rsidRDefault="004C0905" w:rsidP="004C0905">
            <w:pPr>
              <w:spacing w:after="60"/>
              <w:rPr>
                <w:sz w:val="20"/>
                <w:szCs w:val="20"/>
              </w:rPr>
            </w:pPr>
          </w:p>
        </w:tc>
        <w:tc>
          <w:tcPr>
            <w:tcW w:w="3193" w:type="dxa"/>
            <w:tcBorders>
              <w:top w:val="dotted" w:sz="4" w:space="0" w:color="B7B7E2"/>
              <w:left w:val="nil"/>
              <w:bottom w:val="dotted" w:sz="4" w:space="0" w:color="B7B7E2"/>
              <w:right w:val="single" w:sz="4" w:space="0" w:color="B7B7E2"/>
            </w:tcBorders>
            <w:tcMar>
              <w:top w:w="0" w:type="dxa"/>
              <w:left w:w="108" w:type="dxa"/>
              <w:bottom w:w="0" w:type="dxa"/>
              <w:right w:w="108" w:type="dxa"/>
            </w:tcMar>
            <w:vAlign w:val="bottom"/>
          </w:tcPr>
          <w:p w14:paraId="0C9C857C" w14:textId="601EC9D9" w:rsidR="004C0905" w:rsidRPr="009C5396" w:rsidRDefault="004C0905" w:rsidP="004C0905">
            <w:pPr>
              <w:rPr>
                <w:rFonts w:cs="Calibri"/>
                <w:color w:val="000000"/>
                <w:sz w:val="20"/>
                <w:szCs w:val="20"/>
              </w:rPr>
            </w:pPr>
            <w:r w:rsidRPr="009C5396">
              <w:rPr>
                <w:rFonts w:cs="Calibri"/>
                <w:color w:val="000000"/>
                <w:sz w:val="20"/>
                <w:szCs w:val="20"/>
              </w:rPr>
              <w:t>Dross stockpile clears in 5 years, at a linear rate, beginning in 2020</w:t>
            </w:r>
          </w:p>
        </w:tc>
        <w:tc>
          <w:tcPr>
            <w:tcW w:w="719"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tcPr>
          <w:p w14:paraId="6BB992ED" w14:textId="77777777" w:rsidR="004C0905" w:rsidRPr="009C5396" w:rsidRDefault="004C0905" w:rsidP="006872A9">
            <w:pPr>
              <w:spacing w:after="60"/>
              <w:jc w:val="center"/>
              <w:rPr>
                <w:rFonts w:eastAsia="Times New Roman" w:cs="Times New Roman"/>
                <w:color w:val="000000" w:themeColor="text1"/>
                <w:sz w:val="20"/>
                <w:szCs w:val="20"/>
              </w:rPr>
            </w:pPr>
            <w:r w:rsidRPr="009C5396">
              <w:rPr>
                <w:rFonts w:cs="Calibri"/>
                <w:bCs/>
                <w:color w:val="000000" w:themeColor="text1"/>
                <w:sz w:val="20"/>
                <w:szCs w:val="20"/>
              </w:rPr>
              <w:t>0</w:t>
            </w:r>
          </w:p>
        </w:tc>
        <w:tc>
          <w:tcPr>
            <w:tcW w:w="322" w:type="dxa"/>
            <w:tcBorders>
              <w:top w:val="dotted" w:sz="4" w:space="0" w:color="B7B7E2"/>
              <w:left w:val="single" w:sz="4" w:space="0" w:color="B7B7E2"/>
              <w:bottom w:val="dotted" w:sz="4" w:space="0" w:color="B7B7E2"/>
              <w:right w:val="single" w:sz="4" w:space="0" w:color="B7B7E2"/>
            </w:tcBorders>
          </w:tcPr>
          <w:p w14:paraId="494686BB" w14:textId="77777777" w:rsidR="004C0905" w:rsidRPr="009C5396" w:rsidRDefault="004C0905" w:rsidP="00B30B8D">
            <w:pPr>
              <w:spacing w:after="60"/>
              <w:jc w:val="center"/>
              <w:rPr>
                <w:rFonts w:eastAsia="Times New Roman" w:cs="Times New Roman"/>
                <w:sz w:val="20"/>
                <w:szCs w:val="20"/>
              </w:rPr>
            </w:pPr>
            <w:r w:rsidRPr="009C5396">
              <w:rPr>
                <w:sz w:val="20"/>
                <w:szCs w:val="20"/>
              </w:rPr>
              <w:t>...</w:t>
            </w:r>
          </w:p>
        </w:tc>
        <w:tc>
          <w:tcPr>
            <w:tcW w:w="1985" w:type="dxa"/>
            <w:tcBorders>
              <w:top w:val="dotted" w:sz="4" w:space="0" w:color="B7B7E2"/>
              <w:left w:val="single" w:sz="4" w:space="0" w:color="B7B7E2"/>
              <w:bottom w:val="dotted" w:sz="4" w:space="0" w:color="B7B7E2"/>
              <w:right w:val="single" w:sz="4" w:space="0" w:color="B7B7E2"/>
            </w:tcBorders>
            <w:shd w:val="clear" w:color="auto" w:fill="FFFFFF" w:themeFill="background1"/>
          </w:tcPr>
          <w:p w14:paraId="31AB9EDC" w14:textId="50139248" w:rsidR="004C0905" w:rsidRPr="009C5396" w:rsidRDefault="00DC7217" w:rsidP="006872A9">
            <w:pPr>
              <w:spacing w:after="60"/>
              <w:jc w:val="center"/>
              <w:rPr>
                <w:rFonts w:eastAsia="Times New Roman" w:cs="Times New Roman"/>
                <w:color w:val="000000" w:themeColor="text1"/>
                <w:sz w:val="20"/>
                <w:szCs w:val="20"/>
              </w:rPr>
            </w:pPr>
            <w:r w:rsidRPr="009D734D">
              <w:rPr>
                <w:rFonts w:cs="Calibri"/>
                <w:bCs/>
                <w:color w:val="000000" w:themeColor="text1"/>
                <w:sz w:val="20"/>
                <w:szCs w:val="20"/>
                <w:highlight w:val="red"/>
              </w:rPr>
              <w:t>CIC</w:t>
            </w:r>
          </w:p>
        </w:tc>
        <w:tc>
          <w:tcPr>
            <w:tcW w:w="322" w:type="dxa"/>
            <w:tcBorders>
              <w:top w:val="dotted" w:sz="4" w:space="0" w:color="B7B7E2"/>
              <w:left w:val="single" w:sz="4" w:space="0" w:color="B7B7E2"/>
              <w:bottom w:val="dotted" w:sz="4" w:space="0" w:color="B7B7E2"/>
              <w:right w:val="single" w:sz="4" w:space="0" w:color="B7B7E2"/>
            </w:tcBorders>
          </w:tcPr>
          <w:p w14:paraId="1FFA191E" w14:textId="77777777" w:rsidR="004C0905" w:rsidRPr="009C5396" w:rsidRDefault="004C0905" w:rsidP="00B30B8D">
            <w:pPr>
              <w:spacing w:after="60"/>
              <w:jc w:val="center"/>
              <w:rPr>
                <w:sz w:val="20"/>
                <w:szCs w:val="20"/>
              </w:rPr>
            </w:pPr>
            <w:r w:rsidRPr="009C5396">
              <w:rPr>
                <w:sz w:val="20"/>
                <w:szCs w:val="20"/>
              </w:rPr>
              <w:t>...</w:t>
            </w:r>
          </w:p>
        </w:tc>
        <w:tc>
          <w:tcPr>
            <w:tcW w:w="921" w:type="dxa"/>
            <w:tcBorders>
              <w:top w:val="dotted" w:sz="4" w:space="0" w:color="B7B7E2"/>
              <w:left w:val="single" w:sz="4" w:space="0" w:color="B7B7E2"/>
              <w:bottom w:val="dotted" w:sz="4" w:space="0" w:color="B7B7E2"/>
              <w:right w:val="single" w:sz="4" w:space="0" w:color="B7B7E2"/>
            </w:tcBorders>
          </w:tcPr>
          <w:p w14:paraId="58A25A68" w14:textId="77777777" w:rsidR="004C0905" w:rsidRPr="009C5396" w:rsidRDefault="004C0905" w:rsidP="006872A9">
            <w:pPr>
              <w:spacing w:after="60"/>
              <w:jc w:val="center"/>
              <w:rPr>
                <w:color w:val="000000" w:themeColor="text1"/>
                <w:sz w:val="20"/>
                <w:szCs w:val="20"/>
              </w:rPr>
            </w:pPr>
            <w:r w:rsidRPr="009C5396">
              <w:rPr>
                <w:rFonts w:cs="Calibri"/>
                <w:bCs/>
                <w:color w:val="000000" w:themeColor="text1"/>
                <w:sz w:val="20"/>
                <w:szCs w:val="20"/>
              </w:rPr>
              <w:t>0</w:t>
            </w:r>
          </w:p>
        </w:tc>
      </w:tr>
      <w:tr w:rsidR="009C5396" w:rsidRPr="009C5396" w14:paraId="75EC1B0B" w14:textId="77777777" w:rsidTr="009C5396">
        <w:tc>
          <w:tcPr>
            <w:tcW w:w="588"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hideMark/>
          </w:tcPr>
          <w:p w14:paraId="466D877A" w14:textId="77777777" w:rsidR="004C0905" w:rsidRPr="009C5396" w:rsidRDefault="004C0905" w:rsidP="004C0905">
            <w:pPr>
              <w:spacing w:after="60"/>
              <w:rPr>
                <w:rFonts w:eastAsia="Times New Roman" w:cs="Times New Roman"/>
                <w:sz w:val="20"/>
                <w:szCs w:val="20"/>
              </w:rPr>
            </w:pPr>
            <w:r w:rsidRPr="009C5396">
              <w:rPr>
                <w:sz w:val="20"/>
                <w:szCs w:val="20"/>
              </w:rPr>
              <w:t>Low</w:t>
            </w:r>
          </w:p>
        </w:tc>
        <w:tc>
          <w:tcPr>
            <w:tcW w:w="1012" w:type="dxa"/>
            <w:vMerge/>
            <w:tcBorders>
              <w:left w:val="single" w:sz="4" w:space="0" w:color="B7B7E2"/>
              <w:right w:val="single" w:sz="8" w:space="0" w:color="B7B7E2"/>
            </w:tcBorders>
            <w:tcMar>
              <w:top w:w="0" w:type="dxa"/>
              <w:left w:w="108" w:type="dxa"/>
              <w:bottom w:w="0" w:type="dxa"/>
              <w:right w:w="108" w:type="dxa"/>
            </w:tcMar>
          </w:tcPr>
          <w:p w14:paraId="72F333FA" w14:textId="77777777" w:rsidR="004C0905" w:rsidRPr="006872A9" w:rsidRDefault="004C0905" w:rsidP="004C0905">
            <w:pPr>
              <w:spacing w:after="60"/>
              <w:rPr>
                <w:sz w:val="20"/>
                <w:szCs w:val="20"/>
              </w:rPr>
            </w:pPr>
          </w:p>
        </w:tc>
        <w:tc>
          <w:tcPr>
            <w:tcW w:w="3193" w:type="dxa"/>
            <w:tcBorders>
              <w:top w:val="dotted" w:sz="4" w:space="0" w:color="B7B7E2"/>
              <w:left w:val="nil"/>
              <w:bottom w:val="dotted" w:sz="4" w:space="0" w:color="B7B7E2"/>
              <w:right w:val="single" w:sz="4" w:space="0" w:color="B7B7E2"/>
            </w:tcBorders>
            <w:tcMar>
              <w:top w:w="0" w:type="dxa"/>
              <w:left w:w="108" w:type="dxa"/>
              <w:bottom w:w="0" w:type="dxa"/>
              <w:right w:w="108" w:type="dxa"/>
            </w:tcMar>
            <w:vAlign w:val="bottom"/>
          </w:tcPr>
          <w:p w14:paraId="771DE3CB" w14:textId="1832682B" w:rsidR="004C0905" w:rsidRPr="009C5396" w:rsidRDefault="004C0905" w:rsidP="004C0905">
            <w:pPr>
              <w:rPr>
                <w:rFonts w:eastAsia="Times New Roman" w:cs="Times New Roman"/>
                <w:sz w:val="20"/>
                <w:szCs w:val="20"/>
              </w:rPr>
            </w:pPr>
            <w:r w:rsidRPr="009C5396">
              <w:rPr>
                <w:rFonts w:cs="Calibri"/>
                <w:color w:val="000000"/>
                <w:sz w:val="20"/>
                <w:szCs w:val="20"/>
              </w:rPr>
              <w:t>Long-term dross stockpile remains</w:t>
            </w:r>
          </w:p>
        </w:tc>
        <w:tc>
          <w:tcPr>
            <w:tcW w:w="719"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tcPr>
          <w:p w14:paraId="50B8EB31" w14:textId="77777777" w:rsidR="004C0905" w:rsidRPr="009C5396" w:rsidRDefault="004C0905" w:rsidP="006872A9">
            <w:pPr>
              <w:spacing w:after="60"/>
              <w:jc w:val="center"/>
              <w:rPr>
                <w:rFonts w:eastAsia="Times New Roman" w:cs="Times New Roman"/>
                <w:color w:val="000000" w:themeColor="text1"/>
                <w:sz w:val="20"/>
                <w:szCs w:val="20"/>
              </w:rPr>
            </w:pPr>
            <w:r w:rsidRPr="009C5396">
              <w:rPr>
                <w:rFonts w:cs="Calibri"/>
                <w:color w:val="000000" w:themeColor="text1"/>
                <w:sz w:val="20"/>
                <w:szCs w:val="20"/>
              </w:rPr>
              <w:t>0</w:t>
            </w:r>
          </w:p>
        </w:tc>
        <w:tc>
          <w:tcPr>
            <w:tcW w:w="322" w:type="dxa"/>
            <w:tcBorders>
              <w:top w:val="dotted" w:sz="4" w:space="0" w:color="B7B7E2"/>
              <w:left w:val="single" w:sz="4" w:space="0" w:color="B7B7E2"/>
              <w:bottom w:val="dotted" w:sz="4" w:space="0" w:color="B7B7E2"/>
              <w:right w:val="single" w:sz="4" w:space="0" w:color="B7B7E2"/>
            </w:tcBorders>
          </w:tcPr>
          <w:p w14:paraId="612387CC" w14:textId="77777777" w:rsidR="004C0905" w:rsidRPr="009C5396" w:rsidRDefault="004C0905" w:rsidP="00B30B8D">
            <w:pPr>
              <w:spacing w:after="60"/>
              <w:jc w:val="center"/>
              <w:rPr>
                <w:rFonts w:eastAsia="Times New Roman" w:cs="Times New Roman"/>
                <w:sz w:val="20"/>
                <w:szCs w:val="20"/>
              </w:rPr>
            </w:pPr>
            <w:r w:rsidRPr="009C5396">
              <w:rPr>
                <w:sz w:val="20"/>
                <w:szCs w:val="20"/>
              </w:rPr>
              <w:t>...</w:t>
            </w:r>
          </w:p>
        </w:tc>
        <w:tc>
          <w:tcPr>
            <w:tcW w:w="1985" w:type="dxa"/>
            <w:tcBorders>
              <w:top w:val="dotted" w:sz="4" w:space="0" w:color="B7B7E2"/>
              <w:left w:val="single" w:sz="4" w:space="0" w:color="B7B7E2"/>
              <w:bottom w:val="dotted" w:sz="4" w:space="0" w:color="B7B7E2"/>
              <w:right w:val="single" w:sz="4" w:space="0" w:color="B7B7E2"/>
            </w:tcBorders>
          </w:tcPr>
          <w:p w14:paraId="2B1D8483" w14:textId="77777777" w:rsidR="004C0905" w:rsidRPr="009C5396" w:rsidRDefault="004C0905" w:rsidP="006872A9">
            <w:pPr>
              <w:spacing w:after="60"/>
              <w:jc w:val="center"/>
              <w:rPr>
                <w:rFonts w:eastAsia="Times New Roman" w:cs="Times New Roman"/>
                <w:color w:val="000000" w:themeColor="text1"/>
                <w:sz w:val="20"/>
                <w:szCs w:val="20"/>
              </w:rPr>
            </w:pPr>
            <w:r w:rsidRPr="009C5396">
              <w:rPr>
                <w:rFonts w:cs="Calibri"/>
                <w:color w:val="000000" w:themeColor="text1"/>
                <w:sz w:val="20"/>
                <w:szCs w:val="20"/>
              </w:rPr>
              <w:t>0</w:t>
            </w:r>
          </w:p>
        </w:tc>
        <w:tc>
          <w:tcPr>
            <w:tcW w:w="322" w:type="dxa"/>
            <w:tcBorders>
              <w:top w:val="dotted" w:sz="4" w:space="0" w:color="B7B7E2"/>
              <w:left w:val="single" w:sz="4" w:space="0" w:color="B7B7E2"/>
              <w:bottom w:val="dotted" w:sz="4" w:space="0" w:color="B7B7E2"/>
              <w:right w:val="single" w:sz="4" w:space="0" w:color="B7B7E2"/>
            </w:tcBorders>
          </w:tcPr>
          <w:p w14:paraId="2671628B" w14:textId="77777777" w:rsidR="004C0905" w:rsidRPr="009C5396" w:rsidRDefault="004C0905" w:rsidP="00B30B8D">
            <w:pPr>
              <w:spacing w:after="60"/>
              <w:jc w:val="center"/>
              <w:rPr>
                <w:sz w:val="20"/>
                <w:szCs w:val="20"/>
              </w:rPr>
            </w:pPr>
            <w:r w:rsidRPr="009C5396">
              <w:rPr>
                <w:sz w:val="20"/>
                <w:szCs w:val="20"/>
              </w:rPr>
              <w:t>...</w:t>
            </w:r>
          </w:p>
        </w:tc>
        <w:tc>
          <w:tcPr>
            <w:tcW w:w="921" w:type="dxa"/>
            <w:tcBorders>
              <w:top w:val="dotted" w:sz="4" w:space="0" w:color="B7B7E2"/>
              <w:left w:val="single" w:sz="4" w:space="0" w:color="B7B7E2"/>
              <w:bottom w:val="dotted" w:sz="4" w:space="0" w:color="B7B7E2"/>
              <w:right w:val="single" w:sz="4" w:space="0" w:color="B7B7E2"/>
            </w:tcBorders>
          </w:tcPr>
          <w:p w14:paraId="66DE36E0" w14:textId="77777777" w:rsidR="004C0905" w:rsidRPr="009C5396" w:rsidRDefault="004C0905" w:rsidP="006872A9">
            <w:pPr>
              <w:spacing w:after="60"/>
              <w:jc w:val="center"/>
              <w:rPr>
                <w:color w:val="000000" w:themeColor="text1"/>
                <w:sz w:val="20"/>
                <w:szCs w:val="20"/>
              </w:rPr>
            </w:pPr>
            <w:r w:rsidRPr="009C5396">
              <w:rPr>
                <w:rFonts w:cs="Calibri"/>
                <w:color w:val="000000" w:themeColor="text1"/>
                <w:sz w:val="20"/>
                <w:szCs w:val="20"/>
              </w:rPr>
              <w:t>0</w:t>
            </w:r>
          </w:p>
        </w:tc>
      </w:tr>
      <w:tr w:rsidR="00EB2024" w:rsidRPr="009C5396" w14:paraId="71A80F4A" w14:textId="77777777" w:rsidTr="009C5396">
        <w:trPr>
          <w:trHeight w:val="331"/>
        </w:trPr>
        <w:tc>
          <w:tcPr>
            <w:tcW w:w="7819" w:type="dxa"/>
            <w:gridSpan w:val="6"/>
            <w:tcBorders>
              <w:top w:val="single" w:sz="4" w:space="0" w:color="B7B7E2"/>
              <w:left w:val="single" w:sz="8" w:space="0" w:color="B7B7E2"/>
              <w:bottom w:val="dotted" w:sz="4" w:space="0" w:color="B7B7E2"/>
              <w:right w:val="single" w:sz="8" w:space="0" w:color="B7B7E2"/>
            </w:tcBorders>
            <w:tcMar>
              <w:top w:w="0" w:type="dxa"/>
              <w:left w:w="108" w:type="dxa"/>
              <w:bottom w:w="0" w:type="dxa"/>
              <w:right w:w="108" w:type="dxa"/>
            </w:tcMar>
          </w:tcPr>
          <w:p w14:paraId="7DD675DF" w14:textId="77777777" w:rsidR="00EB2024" w:rsidRPr="009C5396" w:rsidRDefault="00EB2024" w:rsidP="00B30B8D">
            <w:pPr>
              <w:spacing w:after="60"/>
              <w:rPr>
                <w:sz w:val="20"/>
                <w:szCs w:val="20"/>
              </w:rPr>
            </w:pPr>
            <w:bookmarkStart w:id="176" w:name="_Hlk531172768"/>
            <w:r w:rsidRPr="009C5396">
              <w:rPr>
                <w:iCs/>
                <w:color w:val="4D4DB8"/>
                <w:sz w:val="20"/>
                <w:szCs w:val="20"/>
              </w:rPr>
              <w:t>On-site storage releases (absolute tonnes pa)</w:t>
            </w:r>
          </w:p>
        </w:tc>
        <w:tc>
          <w:tcPr>
            <w:tcW w:w="322" w:type="dxa"/>
            <w:tcBorders>
              <w:top w:val="single" w:sz="4" w:space="0" w:color="B7B7E2"/>
              <w:left w:val="single" w:sz="8" w:space="0" w:color="B7B7E2"/>
              <w:bottom w:val="dotted" w:sz="4" w:space="0" w:color="B7B7E2"/>
              <w:right w:val="single" w:sz="8" w:space="0" w:color="B7B7E2"/>
            </w:tcBorders>
          </w:tcPr>
          <w:p w14:paraId="2774D609" w14:textId="77777777" w:rsidR="00EB2024" w:rsidRPr="009C5396" w:rsidRDefault="00EB2024" w:rsidP="006872A9">
            <w:pPr>
              <w:spacing w:after="60"/>
              <w:jc w:val="center"/>
              <w:rPr>
                <w:iCs/>
                <w:color w:val="4D4DB8"/>
                <w:sz w:val="20"/>
                <w:szCs w:val="20"/>
              </w:rPr>
            </w:pPr>
          </w:p>
        </w:tc>
        <w:tc>
          <w:tcPr>
            <w:tcW w:w="921" w:type="dxa"/>
            <w:tcBorders>
              <w:top w:val="single" w:sz="4" w:space="0" w:color="B7B7E2"/>
              <w:left w:val="single" w:sz="8" w:space="0" w:color="B7B7E2"/>
              <w:bottom w:val="dotted" w:sz="4" w:space="0" w:color="B7B7E2"/>
              <w:right w:val="single" w:sz="8" w:space="0" w:color="B7B7E2"/>
            </w:tcBorders>
          </w:tcPr>
          <w:p w14:paraId="4843F202" w14:textId="77777777" w:rsidR="00EB2024" w:rsidRPr="009C5396" w:rsidRDefault="00EB2024" w:rsidP="006872A9">
            <w:pPr>
              <w:spacing w:after="60"/>
              <w:jc w:val="center"/>
              <w:rPr>
                <w:iCs/>
                <w:color w:val="4D4DB8"/>
                <w:sz w:val="20"/>
                <w:szCs w:val="20"/>
              </w:rPr>
            </w:pPr>
          </w:p>
        </w:tc>
      </w:tr>
      <w:tr w:rsidR="009C5396" w:rsidRPr="009C5396" w14:paraId="530F3CB9" w14:textId="77777777" w:rsidTr="009C5396">
        <w:tc>
          <w:tcPr>
            <w:tcW w:w="588" w:type="dxa"/>
            <w:tcBorders>
              <w:top w:val="single" w:sz="4" w:space="0" w:color="B7B7E2"/>
              <w:left w:val="single" w:sz="4" w:space="0" w:color="B7B7E2"/>
              <w:bottom w:val="dotted" w:sz="4" w:space="0" w:color="B7B7E2"/>
              <w:right w:val="single" w:sz="4" w:space="0" w:color="B7B7E2"/>
            </w:tcBorders>
            <w:tcMar>
              <w:top w:w="0" w:type="dxa"/>
              <w:left w:w="108" w:type="dxa"/>
              <w:bottom w:w="0" w:type="dxa"/>
              <w:right w:w="108" w:type="dxa"/>
            </w:tcMar>
            <w:hideMark/>
          </w:tcPr>
          <w:p w14:paraId="575F7E8C" w14:textId="77777777" w:rsidR="009C5396" w:rsidRPr="009C5396" w:rsidRDefault="009C5396" w:rsidP="009C5396">
            <w:pPr>
              <w:spacing w:after="60"/>
              <w:rPr>
                <w:rFonts w:eastAsia="Times New Roman" w:cs="Times New Roman"/>
                <w:sz w:val="20"/>
                <w:szCs w:val="20"/>
              </w:rPr>
            </w:pPr>
            <w:r w:rsidRPr="009C5396">
              <w:rPr>
                <w:sz w:val="20"/>
                <w:szCs w:val="20"/>
              </w:rPr>
              <w:t>Best</w:t>
            </w:r>
          </w:p>
        </w:tc>
        <w:tc>
          <w:tcPr>
            <w:tcW w:w="1012" w:type="dxa"/>
            <w:vMerge w:val="restart"/>
            <w:tcBorders>
              <w:top w:val="single" w:sz="8" w:space="0" w:color="B7B7E2"/>
              <w:left w:val="single" w:sz="4" w:space="0" w:color="B7B7E2"/>
              <w:right w:val="single" w:sz="8" w:space="0" w:color="B7B7E2"/>
            </w:tcBorders>
            <w:tcMar>
              <w:top w:w="0" w:type="dxa"/>
              <w:left w:w="108" w:type="dxa"/>
              <w:bottom w:w="0" w:type="dxa"/>
              <w:right w:w="108" w:type="dxa"/>
            </w:tcMar>
            <w:vAlign w:val="center"/>
          </w:tcPr>
          <w:p w14:paraId="058693A9" w14:textId="77777777" w:rsidR="009C5396" w:rsidRPr="009C5396" w:rsidRDefault="009C5396" w:rsidP="009C5396">
            <w:pPr>
              <w:spacing w:after="60"/>
              <w:rPr>
                <w:sz w:val="20"/>
                <w:szCs w:val="20"/>
              </w:rPr>
            </w:pPr>
            <w:r w:rsidRPr="009C5396">
              <w:rPr>
                <w:sz w:val="20"/>
                <w:szCs w:val="20"/>
              </w:rPr>
              <w:t>Qld</w:t>
            </w:r>
          </w:p>
        </w:tc>
        <w:tc>
          <w:tcPr>
            <w:tcW w:w="3193" w:type="dxa"/>
            <w:tcBorders>
              <w:top w:val="single" w:sz="8" w:space="0" w:color="B7B7E2"/>
              <w:left w:val="nil"/>
              <w:bottom w:val="dotted" w:sz="4" w:space="0" w:color="B7B7E2"/>
              <w:right w:val="single" w:sz="4" w:space="0" w:color="B7B7E2"/>
            </w:tcBorders>
            <w:tcMar>
              <w:top w:w="0" w:type="dxa"/>
              <w:left w:w="108" w:type="dxa"/>
              <w:bottom w:w="0" w:type="dxa"/>
              <w:right w:w="108" w:type="dxa"/>
            </w:tcMar>
            <w:vAlign w:val="bottom"/>
          </w:tcPr>
          <w:p w14:paraId="16DB62DC" w14:textId="29AE5A21" w:rsidR="009C5396" w:rsidRPr="009C5396" w:rsidRDefault="009C5396" w:rsidP="009C5396">
            <w:pPr>
              <w:rPr>
                <w:rFonts w:eastAsia="Times New Roman" w:cs="Times New Roman"/>
                <w:sz w:val="20"/>
                <w:szCs w:val="20"/>
              </w:rPr>
            </w:pPr>
            <w:r w:rsidRPr="009C5396">
              <w:rPr>
                <w:color w:val="000000"/>
                <w:sz w:val="20"/>
                <w:szCs w:val="20"/>
              </w:rPr>
              <w:t>CSG salt brines continue to be stockpiled onsite indefinitely</w:t>
            </w:r>
          </w:p>
        </w:tc>
        <w:tc>
          <w:tcPr>
            <w:tcW w:w="719" w:type="dxa"/>
            <w:tcBorders>
              <w:top w:val="single" w:sz="4" w:space="0" w:color="B7B7E2"/>
              <w:left w:val="single" w:sz="4" w:space="0" w:color="B7B7E2"/>
              <w:bottom w:val="dotted" w:sz="4" w:space="0" w:color="B7B7E2"/>
              <w:right w:val="single" w:sz="4" w:space="0" w:color="B7B7E2"/>
            </w:tcBorders>
            <w:tcMar>
              <w:top w:w="0" w:type="dxa"/>
              <w:left w:w="108" w:type="dxa"/>
              <w:bottom w:w="0" w:type="dxa"/>
              <w:right w:w="108" w:type="dxa"/>
            </w:tcMar>
          </w:tcPr>
          <w:p w14:paraId="796C48B1" w14:textId="77777777" w:rsidR="009C5396" w:rsidRPr="009C5396" w:rsidRDefault="009C5396" w:rsidP="006872A9">
            <w:pPr>
              <w:spacing w:after="60"/>
              <w:jc w:val="center"/>
              <w:rPr>
                <w:rFonts w:eastAsia="Times New Roman" w:cs="Times New Roman"/>
                <w:color w:val="000000" w:themeColor="text1"/>
                <w:sz w:val="20"/>
                <w:szCs w:val="20"/>
              </w:rPr>
            </w:pPr>
            <w:r w:rsidRPr="009C5396">
              <w:rPr>
                <w:rFonts w:cs="Calibri"/>
                <w:bCs/>
                <w:color w:val="000000" w:themeColor="text1"/>
                <w:sz w:val="20"/>
                <w:szCs w:val="20"/>
              </w:rPr>
              <w:t>0</w:t>
            </w:r>
          </w:p>
        </w:tc>
        <w:tc>
          <w:tcPr>
            <w:tcW w:w="322" w:type="dxa"/>
            <w:tcBorders>
              <w:top w:val="single" w:sz="4" w:space="0" w:color="B7B7E2"/>
              <w:left w:val="single" w:sz="4" w:space="0" w:color="B7B7E2"/>
              <w:bottom w:val="dotted" w:sz="4" w:space="0" w:color="B7B7E2"/>
              <w:right w:val="single" w:sz="4" w:space="0" w:color="B7B7E2"/>
            </w:tcBorders>
          </w:tcPr>
          <w:p w14:paraId="4A2DA609" w14:textId="77777777" w:rsidR="009C5396" w:rsidRPr="009C5396" w:rsidRDefault="009C5396" w:rsidP="009C5396">
            <w:pPr>
              <w:spacing w:after="60"/>
              <w:jc w:val="center"/>
              <w:rPr>
                <w:rFonts w:eastAsia="Times New Roman" w:cs="Times New Roman"/>
                <w:sz w:val="20"/>
                <w:szCs w:val="20"/>
              </w:rPr>
            </w:pPr>
            <w:r w:rsidRPr="009C5396">
              <w:rPr>
                <w:sz w:val="20"/>
                <w:szCs w:val="20"/>
              </w:rPr>
              <w:t>...</w:t>
            </w:r>
          </w:p>
        </w:tc>
        <w:tc>
          <w:tcPr>
            <w:tcW w:w="1985" w:type="dxa"/>
            <w:tcBorders>
              <w:top w:val="single" w:sz="4" w:space="0" w:color="B7B7E2"/>
              <w:left w:val="single" w:sz="4" w:space="0" w:color="B7B7E2"/>
              <w:bottom w:val="dotted" w:sz="4" w:space="0" w:color="B7B7E2"/>
              <w:right w:val="single" w:sz="4" w:space="0" w:color="B7B7E2"/>
            </w:tcBorders>
            <w:vAlign w:val="bottom"/>
          </w:tcPr>
          <w:p w14:paraId="54478B4C" w14:textId="20C45C43" w:rsidR="009C5396" w:rsidRPr="009C5396" w:rsidRDefault="009C5396" w:rsidP="006872A9">
            <w:pPr>
              <w:spacing w:after="60"/>
              <w:jc w:val="center"/>
              <w:rPr>
                <w:rFonts w:eastAsia="Times New Roman" w:cs="Times New Roman"/>
                <w:color w:val="000000" w:themeColor="text1"/>
                <w:sz w:val="20"/>
                <w:szCs w:val="20"/>
              </w:rPr>
            </w:pPr>
            <w:r w:rsidRPr="006872A9">
              <w:rPr>
                <w:bCs/>
                <w:color w:val="A6A6A6"/>
                <w:sz w:val="20"/>
                <w:szCs w:val="20"/>
              </w:rPr>
              <w:t>0</w:t>
            </w:r>
          </w:p>
        </w:tc>
        <w:tc>
          <w:tcPr>
            <w:tcW w:w="322" w:type="dxa"/>
            <w:tcBorders>
              <w:top w:val="single" w:sz="4" w:space="0" w:color="B7B7E2"/>
              <w:left w:val="single" w:sz="4" w:space="0" w:color="B7B7E2"/>
              <w:bottom w:val="dotted" w:sz="4" w:space="0" w:color="B7B7E2"/>
              <w:right w:val="single" w:sz="4" w:space="0" w:color="B7B7E2"/>
            </w:tcBorders>
          </w:tcPr>
          <w:p w14:paraId="57B7CF41" w14:textId="77777777" w:rsidR="009C5396" w:rsidRPr="009C5396" w:rsidRDefault="009C5396" w:rsidP="009C5396">
            <w:pPr>
              <w:spacing w:after="60"/>
              <w:jc w:val="center"/>
              <w:rPr>
                <w:sz w:val="20"/>
                <w:szCs w:val="20"/>
              </w:rPr>
            </w:pPr>
            <w:r w:rsidRPr="009C5396">
              <w:rPr>
                <w:sz w:val="20"/>
                <w:szCs w:val="20"/>
              </w:rPr>
              <w:t>...</w:t>
            </w:r>
          </w:p>
        </w:tc>
        <w:tc>
          <w:tcPr>
            <w:tcW w:w="921" w:type="dxa"/>
            <w:tcBorders>
              <w:top w:val="single" w:sz="4" w:space="0" w:color="B7B7E2"/>
              <w:left w:val="single" w:sz="4" w:space="0" w:color="B7B7E2"/>
              <w:bottom w:val="dotted" w:sz="4" w:space="0" w:color="B7B7E2"/>
              <w:right w:val="single" w:sz="4" w:space="0" w:color="B7B7E2"/>
            </w:tcBorders>
            <w:vAlign w:val="bottom"/>
          </w:tcPr>
          <w:p w14:paraId="4196D8FD" w14:textId="281439A1" w:rsidR="009C5396" w:rsidRPr="009C5396" w:rsidRDefault="009C5396" w:rsidP="006872A9">
            <w:pPr>
              <w:spacing w:after="60"/>
              <w:jc w:val="center"/>
              <w:rPr>
                <w:color w:val="000000" w:themeColor="text1"/>
                <w:sz w:val="20"/>
                <w:szCs w:val="20"/>
              </w:rPr>
            </w:pPr>
            <w:r w:rsidRPr="006872A9">
              <w:rPr>
                <w:bCs/>
                <w:color w:val="A6A6A6"/>
                <w:sz w:val="20"/>
                <w:szCs w:val="20"/>
              </w:rPr>
              <w:t>0</w:t>
            </w:r>
          </w:p>
        </w:tc>
      </w:tr>
      <w:tr w:rsidR="009C5396" w:rsidRPr="009C5396" w14:paraId="18019743" w14:textId="77777777" w:rsidTr="006872A9">
        <w:tc>
          <w:tcPr>
            <w:tcW w:w="588"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hideMark/>
          </w:tcPr>
          <w:p w14:paraId="0A9964BF" w14:textId="77777777" w:rsidR="009C5396" w:rsidRPr="009C5396" w:rsidRDefault="009C5396" w:rsidP="009C5396">
            <w:pPr>
              <w:spacing w:after="60"/>
              <w:rPr>
                <w:rFonts w:eastAsia="Times New Roman" w:cs="Times New Roman"/>
                <w:sz w:val="20"/>
                <w:szCs w:val="20"/>
              </w:rPr>
            </w:pPr>
            <w:r w:rsidRPr="009C5396">
              <w:rPr>
                <w:sz w:val="20"/>
                <w:szCs w:val="20"/>
              </w:rPr>
              <w:t>High</w:t>
            </w:r>
          </w:p>
        </w:tc>
        <w:tc>
          <w:tcPr>
            <w:tcW w:w="1012" w:type="dxa"/>
            <w:vMerge/>
            <w:tcBorders>
              <w:left w:val="single" w:sz="4" w:space="0" w:color="B7B7E2"/>
              <w:right w:val="single" w:sz="8" w:space="0" w:color="B7B7E2"/>
            </w:tcBorders>
            <w:tcMar>
              <w:top w:w="0" w:type="dxa"/>
              <w:left w:w="108" w:type="dxa"/>
              <w:bottom w:w="0" w:type="dxa"/>
              <w:right w:w="108" w:type="dxa"/>
            </w:tcMar>
          </w:tcPr>
          <w:p w14:paraId="39BA9734" w14:textId="77777777" w:rsidR="009C5396" w:rsidRPr="006872A9" w:rsidRDefault="009C5396" w:rsidP="009C5396">
            <w:pPr>
              <w:spacing w:after="60"/>
              <w:rPr>
                <w:sz w:val="20"/>
                <w:szCs w:val="20"/>
              </w:rPr>
            </w:pPr>
          </w:p>
        </w:tc>
        <w:tc>
          <w:tcPr>
            <w:tcW w:w="3193" w:type="dxa"/>
            <w:tcBorders>
              <w:top w:val="dotted" w:sz="4" w:space="0" w:color="B7B7E2"/>
              <w:left w:val="nil"/>
              <w:bottom w:val="dotted" w:sz="4" w:space="0" w:color="B7B7E2"/>
              <w:right w:val="single" w:sz="4" w:space="0" w:color="B7B7E2"/>
            </w:tcBorders>
            <w:tcMar>
              <w:top w:w="0" w:type="dxa"/>
              <w:left w:w="108" w:type="dxa"/>
              <w:bottom w:w="0" w:type="dxa"/>
              <w:right w:w="108" w:type="dxa"/>
            </w:tcMar>
            <w:vAlign w:val="bottom"/>
          </w:tcPr>
          <w:p w14:paraId="464778FC" w14:textId="2AF38D50" w:rsidR="009C5396" w:rsidRPr="009C5396" w:rsidRDefault="009C5396" w:rsidP="009C5396">
            <w:pPr>
              <w:rPr>
                <w:rFonts w:cs="Calibri"/>
                <w:color w:val="000000"/>
                <w:sz w:val="20"/>
                <w:szCs w:val="20"/>
              </w:rPr>
            </w:pPr>
            <w:r w:rsidRPr="009C5396">
              <w:rPr>
                <w:color w:val="000000"/>
                <w:sz w:val="20"/>
                <w:szCs w:val="20"/>
              </w:rPr>
              <w:t>After 5 yrs CSG salt brines taken to long-term isolation facility. Pre-existing stockpiles remain.</w:t>
            </w:r>
          </w:p>
        </w:tc>
        <w:tc>
          <w:tcPr>
            <w:tcW w:w="719"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tcPr>
          <w:p w14:paraId="3EF9463F" w14:textId="77777777" w:rsidR="009C5396" w:rsidRPr="009C5396" w:rsidRDefault="009C5396" w:rsidP="006872A9">
            <w:pPr>
              <w:spacing w:after="60"/>
              <w:jc w:val="center"/>
              <w:rPr>
                <w:rFonts w:eastAsia="Times New Roman" w:cs="Times New Roman"/>
                <w:color w:val="000000" w:themeColor="text1"/>
                <w:sz w:val="20"/>
                <w:szCs w:val="20"/>
              </w:rPr>
            </w:pPr>
            <w:r w:rsidRPr="009C5396">
              <w:rPr>
                <w:rFonts w:cs="Calibri"/>
                <w:bCs/>
                <w:color w:val="000000" w:themeColor="text1"/>
                <w:sz w:val="20"/>
                <w:szCs w:val="20"/>
              </w:rPr>
              <w:t>0</w:t>
            </w:r>
          </w:p>
        </w:tc>
        <w:tc>
          <w:tcPr>
            <w:tcW w:w="322" w:type="dxa"/>
            <w:tcBorders>
              <w:top w:val="dotted" w:sz="4" w:space="0" w:color="B7B7E2"/>
              <w:left w:val="single" w:sz="4" w:space="0" w:color="B7B7E2"/>
              <w:bottom w:val="dotted" w:sz="4" w:space="0" w:color="B7B7E2"/>
              <w:right w:val="single" w:sz="4" w:space="0" w:color="B7B7E2"/>
            </w:tcBorders>
          </w:tcPr>
          <w:p w14:paraId="7C08AB89" w14:textId="77777777" w:rsidR="009C5396" w:rsidRPr="009C5396" w:rsidRDefault="009C5396" w:rsidP="009C5396">
            <w:pPr>
              <w:spacing w:after="60"/>
              <w:jc w:val="center"/>
              <w:rPr>
                <w:rFonts w:eastAsia="Times New Roman" w:cs="Times New Roman"/>
                <w:sz w:val="20"/>
                <w:szCs w:val="20"/>
              </w:rPr>
            </w:pPr>
            <w:r w:rsidRPr="009C5396">
              <w:rPr>
                <w:sz w:val="20"/>
                <w:szCs w:val="20"/>
              </w:rPr>
              <w:t>...</w:t>
            </w:r>
          </w:p>
        </w:tc>
        <w:tc>
          <w:tcPr>
            <w:tcW w:w="1985" w:type="dxa"/>
            <w:tcBorders>
              <w:top w:val="dotted" w:sz="4" w:space="0" w:color="B7B7E2"/>
              <w:left w:val="single" w:sz="4" w:space="0" w:color="B7B7E2"/>
              <w:bottom w:val="dotted" w:sz="4" w:space="0" w:color="B7B7E2"/>
              <w:right w:val="single" w:sz="4" w:space="0" w:color="B7B7E2"/>
            </w:tcBorders>
            <w:vAlign w:val="center"/>
          </w:tcPr>
          <w:p w14:paraId="73A9A000" w14:textId="70134CC0" w:rsidR="009C5396" w:rsidRPr="009C5396" w:rsidRDefault="009C5396" w:rsidP="006872A9">
            <w:pPr>
              <w:spacing w:after="60"/>
              <w:jc w:val="center"/>
              <w:rPr>
                <w:rFonts w:eastAsia="Times New Roman" w:cs="Times New Roman"/>
                <w:color w:val="000000" w:themeColor="text1"/>
                <w:sz w:val="20"/>
                <w:szCs w:val="20"/>
              </w:rPr>
            </w:pPr>
            <w:r w:rsidRPr="006872A9">
              <w:rPr>
                <w:bCs/>
                <w:sz w:val="20"/>
                <w:szCs w:val="20"/>
              </w:rPr>
              <w:t>2,5</w:t>
            </w:r>
            <w:r w:rsidRPr="009C5396">
              <w:rPr>
                <w:bCs/>
                <w:sz w:val="20"/>
                <w:szCs w:val="20"/>
              </w:rPr>
              <w:t xml:space="preserve"> Mt</w:t>
            </w:r>
          </w:p>
        </w:tc>
        <w:tc>
          <w:tcPr>
            <w:tcW w:w="322" w:type="dxa"/>
            <w:tcBorders>
              <w:top w:val="dotted" w:sz="4" w:space="0" w:color="B7B7E2"/>
              <w:left w:val="single" w:sz="4" w:space="0" w:color="B7B7E2"/>
              <w:bottom w:val="dotted" w:sz="4" w:space="0" w:color="B7B7E2"/>
              <w:right w:val="single" w:sz="4" w:space="0" w:color="B7B7E2"/>
            </w:tcBorders>
          </w:tcPr>
          <w:p w14:paraId="4D6C1C4E" w14:textId="77777777" w:rsidR="009C5396" w:rsidRPr="009C5396" w:rsidRDefault="009C5396" w:rsidP="009C5396">
            <w:pPr>
              <w:spacing w:after="60"/>
              <w:jc w:val="center"/>
              <w:rPr>
                <w:sz w:val="20"/>
                <w:szCs w:val="20"/>
              </w:rPr>
            </w:pPr>
            <w:r w:rsidRPr="009C5396">
              <w:rPr>
                <w:sz w:val="20"/>
                <w:szCs w:val="20"/>
              </w:rPr>
              <w:t>...</w:t>
            </w:r>
          </w:p>
        </w:tc>
        <w:tc>
          <w:tcPr>
            <w:tcW w:w="921" w:type="dxa"/>
            <w:tcBorders>
              <w:top w:val="dotted" w:sz="4" w:space="0" w:color="B7B7E2"/>
              <w:left w:val="single" w:sz="4" w:space="0" w:color="B7B7E2"/>
              <w:bottom w:val="dotted" w:sz="4" w:space="0" w:color="B7B7E2"/>
              <w:right w:val="single" w:sz="4" w:space="0" w:color="B7B7E2"/>
            </w:tcBorders>
            <w:vAlign w:val="center"/>
          </w:tcPr>
          <w:p w14:paraId="4786C35D" w14:textId="133BD036" w:rsidR="009C5396" w:rsidRPr="009C5396" w:rsidRDefault="009C5396" w:rsidP="006872A9">
            <w:pPr>
              <w:spacing w:after="60"/>
              <w:jc w:val="center"/>
              <w:rPr>
                <w:color w:val="000000" w:themeColor="text1"/>
                <w:sz w:val="20"/>
                <w:szCs w:val="20"/>
              </w:rPr>
            </w:pPr>
            <w:r w:rsidRPr="006872A9">
              <w:rPr>
                <w:bCs/>
                <w:sz w:val="20"/>
                <w:szCs w:val="20"/>
              </w:rPr>
              <w:t>3,2 Mt</w:t>
            </w:r>
          </w:p>
        </w:tc>
      </w:tr>
      <w:tr w:rsidR="009C5396" w:rsidRPr="009C5396" w14:paraId="4DB831A8" w14:textId="77777777" w:rsidTr="009C5396">
        <w:tc>
          <w:tcPr>
            <w:tcW w:w="588" w:type="dxa"/>
            <w:tcBorders>
              <w:top w:val="dotted" w:sz="4" w:space="0" w:color="B7B7E2"/>
              <w:left w:val="single" w:sz="4" w:space="0" w:color="B7B7E2"/>
              <w:bottom w:val="single" w:sz="4" w:space="0" w:color="B7B7E2"/>
              <w:right w:val="single" w:sz="4" w:space="0" w:color="B7B7E2"/>
            </w:tcBorders>
            <w:tcMar>
              <w:top w:w="0" w:type="dxa"/>
              <w:left w:w="108" w:type="dxa"/>
              <w:bottom w:w="0" w:type="dxa"/>
              <w:right w:w="108" w:type="dxa"/>
            </w:tcMar>
            <w:hideMark/>
          </w:tcPr>
          <w:p w14:paraId="10149BF7" w14:textId="77777777" w:rsidR="009C5396" w:rsidRPr="009C5396" w:rsidRDefault="009C5396" w:rsidP="009C5396">
            <w:pPr>
              <w:spacing w:after="60"/>
              <w:rPr>
                <w:rFonts w:eastAsia="Times New Roman" w:cs="Times New Roman"/>
                <w:sz w:val="20"/>
                <w:szCs w:val="20"/>
              </w:rPr>
            </w:pPr>
            <w:r w:rsidRPr="009C5396">
              <w:rPr>
                <w:sz w:val="20"/>
                <w:szCs w:val="20"/>
              </w:rPr>
              <w:t>Low</w:t>
            </w:r>
          </w:p>
        </w:tc>
        <w:tc>
          <w:tcPr>
            <w:tcW w:w="1012" w:type="dxa"/>
            <w:vMerge/>
            <w:tcBorders>
              <w:left w:val="single" w:sz="4" w:space="0" w:color="B7B7E2"/>
              <w:bottom w:val="single" w:sz="8" w:space="0" w:color="B7B7E2"/>
              <w:right w:val="single" w:sz="8" w:space="0" w:color="B7B7E2"/>
            </w:tcBorders>
            <w:tcMar>
              <w:top w:w="0" w:type="dxa"/>
              <w:left w:w="108" w:type="dxa"/>
              <w:bottom w:w="0" w:type="dxa"/>
              <w:right w:w="108" w:type="dxa"/>
            </w:tcMar>
          </w:tcPr>
          <w:p w14:paraId="01B0162C" w14:textId="77777777" w:rsidR="009C5396" w:rsidRPr="006872A9" w:rsidRDefault="009C5396" w:rsidP="009C5396">
            <w:pPr>
              <w:spacing w:after="60"/>
              <w:rPr>
                <w:sz w:val="20"/>
                <w:szCs w:val="20"/>
              </w:rPr>
            </w:pPr>
          </w:p>
        </w:tc>
        <w:tc>
          <w:tcPr>
            <w:tcW w:w="3193" w:type="dxa"/>
            <w:tcBorders>
              <w:top w:val="dotted" w:sz="4" w:space="0" w:color="B7B7E2"/>
              <w:left w:val="nil"/>
              <w:bottom w:val="single" w:sz="8" w:space="0" w:color="B7B7E2"/>
              <w:right w:val="single" w:sz="4" w:space="0" w:color="B7B7E2"/>
            </w:tcBorders>
            <w:tcMar>
              <w:top w:w="0" w:type="dxa"/>
              <w:left w:w="108" w:type="dxa"/>
              <w:bottom w:w="0" w:type="dxa"/>
              <w:right w:w="108" w:type="dxa"/>
            </w:tcMar>
            <w:vAlign w:val="bottom"/>
          </w:tcPr>
          <w:p w14:paraId="5B4F3561" w14:textId="78AF6009" w:rsidR="009C5396" w:rsidRPr="009C5396" w:rsidRDefault="009C5396" w:rsidP="009C5396">
            <w:pPr>
              <w:rPr>
                <w:rFonts w:eastAsia="Times New Roman" w:cs="Times New Roman"/>
                <w:sz w:val="20"/>
                <w:szCs w:val="20"/>
              </w:rPr>
            </w:pPr>
            <w:r w:rsidRPr="009C5396">
              <w:rPr>
                <w:color w:val="000000"/>
                <w:sz w:val="20"/>
                <w:szCs w:val="20"/>
              </w:rPr>
              <w:t>CSG salt brines continue to be stockpiled onsite indefinitely</w:t>
            </w:r>
          </w:p>
        </w:tc>
        <w:tc>
          <w:tcPr>
            <w:tcW w:w="719" w:type="dxa"/>
            <w:tcBorders>
              <w:top w:val="dotted" w:sz="4" w:space="0" w:color="B7B7E2"/>
              <w:left w:val="single" w:sz="4" w:space="0" w:color="B7B7E2"/>
              <w:bottom w:val="single" w:sz="4" w:space="0" w:color="B7B7E2"/>
              <w:right w:val="single" w:sz="4" w:space="0" w:color="B7B7E2"/>
            </w:tcBorders>
            <w:tcMar>
              <w:top w:w="0" w:type="dxa"/>
              <w:left w:w="108" w:type="dxa"/>
              <w:bottom w:w="0" w:type="dxa"/>
              <w:right w:w="108" w:type="dxa"/>
            </w:tcMar>
          </w:tcPr>
          <w:p w14:paraId="08BFA834" w14:textId="77777777" w:rsidR="009C5396" w:rsidRPr="009C5396" w:rsidRDefault="009C5396" w:rsidP="006872A9">
            <w:pPr>
              <w:spacing w:after="60"/>
              <w:jc w:val="center"/>
              <w:rPr>
                <w:rFonts w:eastAsia="Times New Roman" w:cs="Times New Roman"/>
                <w:color w:val="000000" w:themeColor="text1"/>
                <w:sz w:val="20"/>
                <w:szCs w:val="20"/>
              </w:rPr>
            </w:pPr>
            <w:r w:rsidRPr="009C5396">
              <w:rPr>
                <w:rFonts w:cs="Calibri"/>
                <w:color w:val="000000" w:themeColor="text1"/>
                <w:sz w:val="20"/>
                <w:szCs w:val="20"/>
              </w:rPr>
              <w:t>0</w:t>
            </w:r>
          </w:p>
        </w:tc>
        <w:tc>
          <w:tcPr>
            <w:tcW w:w="322" w:type="dxa"/>
            <w:tcBorders>
              <w:top w:val="dotted" w:sz="4" w:space="0" w:color="B7B7E2"/>
              <w:left w:val="single" w:sz="4" w:space="0" w:color="B7B7E2"/>
              <w:bottom w:val="single" w:sz="4" w:space="0" w:color="B7B7E2"/>
              <w:right w:val="single" w:sz="4" w:space="0" w:color="B7B7E2"/>
            </w:tcBorders>
          </w:tcPr>
          <w:p w14:paraId="3BA494D4" w14:textId="77777777" w:rsidR="009C5396" w:rsidRPr="009C5396" w:rsidRDefault="009C5396" w:rsidP="009C5396">
            <w:pPr>
              <w:spacing w:after="60"/>
              <w:jc w:val="center"/>
              <w:rPr>
                <w:rFonts w:eastAsia="Times New Roman" w:cs="Times New Roman"/>
                <w:sz w:val="20"/>
                <w:szCs w:val="20"/>
              </w:rPr>
            </w:pPr>
            <w:r w:rsidRPr="009C5396">
              <w:rPr>
                <w:sz w:val="20"/>
                <w:szCs w:val="20"/>
              </w:rPr>
              <w:t>...</w:t>
            </w:r>
          </w:p>
        </w:tc>
        <w:tc>
          <w:tcPr>
            <w:tcW w:w="1985" w:type="dxa"/>
            <w:tcBorders>
              <w:top w:val="dotted" w:sz="4" w:space="0" w:color="B7B7E2"/>
              <w:left w:val="single" w:sz="4" w:space="0" w:color="B7B7E2"/>
              <w:bottom w:val="single" w:sz="4" w:space="0" w:color="B7B7E2"/>
              <w:right w:val="single" w:sz="4" w:space="0" w:color="B7B7E2"/>
            </w:tcBorders>
            <w:vAlign w:val="bottom"/>
          </w:tcPr>
          <w:p w14:paraId="33EE5CDD" w14:textId="7B0430DA" w:rsidR="009C5396" w:rsidRPr="009C5396" w:rsidRDefault="009C5396" w:rsidP="006872A9">
            <w:pPr>
              <w:spacing w:after="60"/>
              <w:jc w:val="center"/>
              <w:rPr>
                <w:rFonts w:eastAsia="Times New Roman" w:cs="Times New Roman"/>
                <w:color w:val="000000" w:themeColor="text1"/>
                <w:sz w:val="20"/>
                <w:szCs w:val="20"/>
              </w:rPr>
            </w:pPr>
            <w:r w:rsidRPr="009C5396">
              <w:rPr>
                <w:color w:val="A6A6A6"/>
                <w:sz w:val="20"/>
                <w:szCs w:val="20"/>
              </w:rPr>
              <w:t>0</w:t>
            </w:r>
          </w:p>
        </w:tc>
        <w:tc>
          <w:tcPr>
            <w:tcW w:w="322" w:type="dxa"/>
            <w:tcBorders>
              <w:top w:val="dotted" w:sz="4" w:space="0" w:color="B7B7E2"/>
              <w:left w:val="single" w:sz="4" w:space="0" w:color="B7B7E2"/>
              <w:bottom w:val="single" w:sz="4" w:space="0" w:color="B7B7E2"/>
              <w:right w:val="single" w:sz="4" w:space="0" w:color="B7B7E2"/>
            </w:tcBorders>
          </w:tcPr>
          <w:p w14:paraId="5A6D4793" w14:textId="77777777" w:rsidR="009C5396" w:rsidRPr="009C5396" w:rsidRDefault="009C5396" w:rsidP="009C5396">
            <w:pPr>
              <w:spacing w:after="60"/>
              <w:jc w:val="center"/>
              <w:rPr>
                <w:sz w:val="20"/>
                <w:szCs w:val="20"/>
              </w:rPr>
            </w:pPr>
            <w:r w:rsidRPr="009C5396">
              <w:rPr>
                <w:sz w:val="20"/>
                <w:szCs w:val="20"/>
              </w:rPr>
              <w:t>...</w:t>
            </w:r>
          </w:p>
        </w:tc>
        <w:tc>
          <w:tcPr>
            <w:tcW w:w="921" w:type="dxa"/>
            <w:tcBorders>
              <w:top w:val="dotted" w:sz="4" w:space="0" w:color="B7B7E2"/>
              <w:left w:val="single" w:sz="4" w:space="0" w:color="B7B7E2"/>
              <w:bottom w:val="single" w:sz="4" w:space="0" w:color="B7B7E2"/>
              <w:right w:val="single" w:sz="4" w:space="0" w:color="B7B7E2"/>
            </w:tcBorders>
            <w:vAlign w:val="bottom"/>
          </w:tcPr>
          <w:p w14:paraId="2D5FC292" w14:textId="6AD31780" w:rsidR="009C5396" w:rsidRPr="009C5396" w:rsidRDefault="009C5396" w:rsidP="006872A9">
            <w:pPr>
              <w:spacing w:after="60"/>
              <w:jc w:val="center"/>
              <w:rPr>
                <w:color w:val="000000" w:themeColor="text1"/>
                <w:sz w:val="20"/>
                <w:szCs w:val="20"/>
              </w:rPr>
            </w:pPr>
            <w:r w:rsidRPr="009C5396">
              <w:rPr>
                <w:color w:val="A6A6A6"/>
                <w:sz w:val="20"/>
                <w:szCs w:val="20"/>
              </w:rPr>
              <w:t>0</w:t>
            </w:r>
          </w:p>
        </w:tc>
      </w:tr>
      <w:bookmarkEnd w:id="176"/>
    </w:tbl>
    <w:p w14:paraId="2E55D2F9" w14:textId="77777777" w:rsidR="00EB2024" w:rsidRPr="00100F0A" w:rsidRDefault="00EB2024" w:rsidP="00EB2024">
      <w:pPr>
        <w:pStyle w:val="BodyText"/>
      </w:pPr>
    </w:p>
    <w:p w14:paraId="138005C8" w14:textId="43F1A772" w:rsidR="00F91F60" w:rsidRPr="00100F0A" w:rsidRDefault="00EB2024" w:rsidP="00611DCF">
      <w:r w:rsidRPr="00100F0A">
        <w:t xml:space="preserve">The standout feature of </w:t>
      </w:r>
      <w:r w:rsidRPr="00100F0A">
        <w:fldChar w:fldCharType="begin"/>
      </w:r>
      <w:r w:rsidRPr="00100F0A">
        <w:instrText xml:space="preserve"> REF _Ref530037539 \h </w:instrText>
      </w:r>
      <w:r w:rsidRPr="00100F0A">
        <w:fldChar w:fldCharType="separate"/>
      </w:r>
      <w:r w:rsidR="00EB634D" w:rsidRPr="00100F0A">
        <w:t xml:space="preserve">Figure </w:t>
      </w:r>
      <w:r w:rsidR="00EB634D">
        <w:rPr>
          <w:noProof/>
        </w:rPr>
        <w:t>12</w:t>
      </w:r>
      <w:r w:rsidRPr="00100F0A">
        <w:fldChar w:fldCharType="end"/>
      </w:r>
      <w:r w:rsidRPr="00100F0A">
        <w:t xml:space="preserve"> overleaf is very large volumes of stockpiled CSG industry salt/brine waste as an output from reverse osmosis desalination of the waters extracted from wells. These dominate all other features of the projection </w:t>
      </w:r>
      <w:r w:rsidR="00C34F48" w:rsidRPr="00100F0A">
        <w:t>graph.</w:t>
      </w:r>
      <w:r w:rsidR="00C34F48">
        <w:t xml:space="preserve"> Under</w:t>
      </w:r>
      <w:r w:rsidR="009C5396">
        <w:t xml:space="preserve"> the </w:t>
      </w:r>
      <w:r w:rsidR="00EB7F2F" w:rsidRPr="00EB7F2F">
        <w:t xml:space="preserve">best and </w:t>
      </w:r>
      <w:r w:rsidR="009C5396">
        <w:t>low</w:t>
      </w:r>
      <w:r w:rsidR="00EB7F2F" w:rsidRPr="00EB7F2F">
        <w:t xml:space="preserve"> </w:t>
      </w:r>
      <w:r w:rsidR="009C5396">
        <w:t>scenarios</w:t>
      </w:r>
      <w:r w:rsidR="00EB7F2F">
        <w:t xml:space="preserve">, it is assumed that </w:t>
      </w:r>
      <w:r w:rsidR="00F144CD">
        <w:t>CSG reverse osmosis brine wastes</w:t>
      </w:r>
      <w:r w:rsidR="00ED2FB5">
        <w:t xml:space="preserve"> are</w:t>
      </w:r>
      <w:r w:rsidR="00F144CD">
        <w:t xml:space="preserve"> </w:t>
      </w:r>
      <w:r w:rsidR="009C5396">
        <w:t xml:space="preserve">permitted to remain </w:t>
      </w:r>
      <w:r w:rsidR="00EB7F2F">
        <w:t xml:space="preserve">stored onsite. </w:t>
      </w:r>
      <w:r w:rsidR="009C5396">
        <w:t xml:space="preserve">Under the </w:t>
      </w:r>
      <w:r w:rsidR="00EB7F2F">
        <w:t>high</w:t>
      </w:r>
      <w:r w:rsidR="009C5396">
        <w:t xml:space="preserve"> scenario</w:t>
      </w:r>
      <w:r w:rsidR="00EB7F2F">
        <w:t>, it is as</w:t>
      </w:r>
      <w:r w:rsidR="00EB7F2F" w:rsidRPr="00EB7F2F">
        <w:t>sume</w:t>
      </w:r>
      <w:r w:rsidR="00EB7F2F">
        <w:t xml:space="preserve">d that </w:t>
      </w:r>
      <w:r w:rsidR="009C5396">
        <w:t xml:space="preserve">after five years </w:t>
      </w:r>
      <w:r w:rsidR="00664BD3">
        <w:t xml:space="preserve">new arisings of </w:t>
      </w:r>
      <w:r w:rsidR="00F144CD">
        <w:t xml:space="preserve">CSG reverse osmosis brine wastes </w:t>
      </w:r>
      <w:r w:rsidR="00664BD3">
        <w:t>are</w:t>
      </w:r>
      <w:r w:rsidR="00EB7F2F">
        <w:t xml:space="preserve"> </w:t>
      </w:r>
      <w:r w:rsidR="00C00AE3">
        <w:t xml:space="preserve">required to be managed offsite and </w:t>
      </w:r>
      <w:r w:rsidR="004206B0">
        <w:t>are</w:t>
      </w:r>
      <w:r w:rsidR="00C00AE3">
        <w:t xml:space="preserve"> </w:t>
      </w:r>
      <w:r w:rsidR="00EB7F2F">
        <w:t xml:space="preserve">sent </w:t>
      </w:r>
      <w:r w:rsidR="00C00AE3">
        <w:t>t</w:t>
      </w:r>
      <w:r w:rsidR="00EB7F2F">
        <w:t>o long-term isolation facilities.</w:t>
      </w:r>
      <w:r w:rsidR="00664BD3">
        <w:t xml:space="preserve"> Historical stockpiles are assumed to remain onsite.</w:t>
      </w:r>
      <w:r w:rsidR="00EB7F2F">
        <w:t xml:space="preserve"> </w:t>
      </w:r>
      <w:r w:rsidR="00ED2FB5">
        <w:t xml:space="preserve">This results in a very large increase (2.5 Mt) in 2023 increasing to 3.2 Mt by 2037. </w:t>
      </w:r>
      <w:r w:rsidR="0020096E">
        <w:t xml:space="preserve">See section </w:t>
      </w:r>
      <w:r w:rsidR="0020096E">
        <w:fldChar w:fldCharType="begin"/>
      </w:r>
      <w:r w:rsidR="0020096E">
        <w:instrText xml:space="preserve"> REF _Ref419908003 \r \h </w:instrText>
      </w:r>
      <w:r w:rsidR="0020096E">
        <w:fldChar w:fldCharType="separate"/>
      </w:r>
      <w:r w:rsidR="00EB634D">
        <w:t>4.3</w:t>
      </w:r>
      <w:r w:rsidR="0020096E">
        <w:fldChar w:fldCharType="end"/>
      </w:r>
      <w:r w:rsidR="0020096E">
        <w:t xml:space="preserve"> for </w:t>
      </w:r>
      <w:r w:rsidR="004206B0">
        <w:t>a</w:t>
      </w:r>
      <w:r w:rsidR="0020096E">
        <w:t xml:space="preserve"> discussion </w:t>
      </w:r>
      <w:r w:rsidR="004206B0">
        <w:t>on</w:t>
      </w:r>
      <w:r w:rsidR="0020096E">
        <w:t xml:space="preserve"> arisings versus infrastructure capacity</w:t>
      </w:r>
      <w:r w:rsidR="004206B0">
        <w:t xml:space="preserve"> for this waste</w:t>
      </w:r>
      <w:r w:rsidR="0020096E">
        <w:t>.</w:t>
      </w:r>
    </w:p>
    <w:p w14:paraId="5F2C7D8E" w14:textId="48D9906B" w:rsidR="00F91F60" w:rsidRPr="00100F0A" w:rsidRDefault="00F91F60" w:rsidP="00F91F60">
      <w:pPr>
        <w:pStyle w:val="BodyText"/>
      </w:pPr>
    </w:p>
    <w:p w14:paraId="5D863EEC" w14:textId="77777777" w:rsidR="00F91F60" w:rsidRPr="00100F0A" w:rsidRDefault="00F91F60" w:rsidP="00F91F60">
      <w:pPr>
        <w:pStyle w:val="BodyText"/>
      </w:pPr>
    </w:p>
    <w:p w14:paraId="3899D486" w14:textId="77777777" w:rsidR="00EB2024" w:rsidRPr="00100F0A" w:rsidRDefault="00EB2024" w:rsidP="00F91F60">
      <w:pPr>
        <w:pStyle w:val="BodyText"/>
      </w:pPr>
    </w:p>
    <w:p w14:paraId="007AE855" w14:textId="02B9C445" w:rsidR="00EB2024" w:rsidRDefault="00EB2024" w:rsidP="00F91F60">
      <w:pPr>
        <w:pStyle w:val="BodyText"/>
      </w:pPr>
    </w:p>
    <w:p w14:paraId="2BAB4B0F" w14:textId="342DD67A" w:rsidR="00664BD3" w:rsidRDefault="00664BD3" w:rsidP="00F91F60">
      <w:pPr>
        <w:pStyle w:val="BodyText"/>
      </w:pPr>
    </w:p>
    <w:p w14:paraId="5D89C63C" w14:textId="19A53E3F" w:rsidR="00664BD3" w:rsidRDefault="00664BD3" w:rsidP="00F91F60">
      <w:pPr>
        <w:pStyle w:val="BodyText"/>
      </w:pPr>
    </w:p>
    <w:p w14:paraId="7351B97F" w14:textId="77777777" w:rsidR="00664BD3" w:rsidRPr="00100F0A" w:rsidRDefault="00664BD3" w:rsidP="00F91F60">
      <w:pPr>
        <w:pStyle w:val="BodyText"/>
      </w:pPr>
    </w:p>
    <w:p w14:paraId="062FBB95" w14:textId="77777777" w:rsidR="00EB2024" w:rsidRPr="00100F0A" w:rsidRDefault="00EB2024" w:rsidP="00F91F60">
      <w:pPr>
        <w:pStyle w:val="BodyText"/>
      </w:pPr>
    </w:p>
    <w:p w14:paraId="703BE72B" w14:textId="77777777" w:rsidR="00EB2024" w:rsidRPr="00100F0A" w:rsidRDefault="00EB2024" w:rsidP="00F91F60">
      <w:pPr>
        <w:pStyle w:val="BodyText"/>
      </w:pPr>
    </w:p>
    <w:p w14:paraId="78BD6AD2" w14:textId="73445BAF" w:rsidR="00EB2024" w:rsidRPr="00100F0A" w:rsidRDefault="00EB2024" w:rsidP="00EB2024">
      <w:pPr>
        <w:pStyle w:val="Caption"/>
      </w:pPr>
      <w:bookmarkStart w:id="177" w:name="_Ref530037539"/>
      <w:bookmarkStart w:id="178" w:name="_Toc13225585"/>
      <w:r w:rsidRPr="00100F0A">
        <w:t xml:space="preserve">Figure </w:t>
      </w:r>
      <w:r w:rsidRPr="00100F0A">
        <w:rPr>
          <w:noProof/>
        </w:rPr>
        <w:fldChar w:fldCharType="begin"/>
      </w:r>
      <w:r w:rsidRPr="00100F0A">
        <w:rPr>
          <w:noProof/>
        </w:rPr>
        <w:instrText xml:space="preserve"> SEQ Figure \* ARABIC </w:instrText>
      </w:r>
      <w:r w:rsidRPr="00100F0A">
        <w:rPr>
          <w:noProof/>
        </w:rPr>
        <w:fldChar w:fldCharType="separate"/>
      </w:r>
      <w:r w:rsidR="00EB634D">
        <w:rPr>
          <w:noProof/>
        </w:rPr>
        <w:t>12</w:t>
      </w:r>
      <w:r w:rsidRPr="00100F0A">
        <w:rPr>
          <w:noProof/>
        </w:rPr>
        <w:fldChar w:fldCharType="end"/>
      </w:r>
      <w:bookmarkEnd w:id="177"/>
      <w:r w:rsidR="00C14F18">
        <w:rPr>
          <w:noProof/>
        </w:rPr>
        <w:t>:</w:t>
      </w:r>
      <w:r w:rsidRPr="00100F0A">
        <w:tab/>
        <w:t>Best, high and low national projection estimates of non-toxic salt waste to 2037</w:t>
      </w:r>
      <w:bookmarkEnd w:id="178"/>
    </w:p>
    <w:p w14:paraId="15B7F792" w14:textId="4CE0ACBD" w:rsidR="00EB2024" w:rsidRPr="00100F0A" w:rsidRDefault="00EB2024" w:rsidP="00EB2024">
      <w:r w:rsidRPr="00100F0A">
        <w:rPr>
          <w:noProof/>
          <w:lang w:eastAsia="en-AU"/>
        </w:rPr>
        <w:drawing>
          <wp:inline distT="0" distB="0" distL="0" distR="0" wp14:anchorId="7F1E81F7" wp14:editId="4AD8A099">
            <wp:extent cx="5735955" cy="37572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5955" cy="3757295"/>
                    </a:xfrm>
                    <a:prstGeom prst="rect">
                      <a:avLst/>
                    </a:prstGeom>
                  </pic:spPr>
                </pic:pic>
              </a:graphicData>
            </a:graphic>
          </wp:inline>
        </w:drawing>
      </w:r>
    </w:p>
    <w:bookmarkEnd w:id="174"/>
    <w:p w14:paraId="5EE82D0F" w14:textId="25A67416" w:rsidR="00601CB2" w:rsidRPr="00100F0A" w:rsidRDefault="00601CB2" w:rsidP="00D4577B">
      <w:pPr>
        <w:pStyle w:val="Heading3"/>
      </w:pPr>
      <w:r w:rsidRPr="00100F0A">
        <w:t>Other D Other inorganic chemicals</w:t>
      </w:r>
    </w:p>
    <w:p w14:paraId="0C1588B2" w14:textId="0AC98D11" w:rsidR="00601CB2" w:rsidRPr="00100F0A" w:rsidRDefault="00601CB2" w:rsidP="00601CB2">
      <w:pPr>
        <w:pStyle w:val="BodyText"/>
      </w:pPr>
      <w:r w:rsidRPr="00100F0A">
        <w:t xml:space="preserve">This group includes waste and wastes contaminated with: </w:t>
      </w:r>
      <w:r w:rsidR="00070A4A">
        <w:t>m</w:t>
      </w:r>
      <w:r w:rsidRPr="00100F0A">
        <w:t>etal carbonyls; inorganic sulphides; perchlorates; chlorates; arsenic</w:t>
      </w:r>
      <w:bookmarkStart w:id="179" w:name="_Ref409359615"/>
      <w:r w:rsidRPr="00100F0A">
        <w:rPr>
          <w:rStyle w:val="FootnoteReference"/>
        </w:rPr>
        <w:footnoteReference w:id="21"/>
      </w:r>
      <w:bookmarkEnd w:id="179"/>
      <w:r w:rsidRPr="00100F0A">
        <w:t>, cadmium</w:t>
      </w:r>
      <w:r w:rsidRPr="00100F0A">
        <w:rPr>
          <w:vertAlign w:val="superscript"/>
        </w:rPr>
        <w:fldChar w:fldCharType="begin"/>
      </w:r>
      <w:r w:rsidRPr="00100F0A">
        <w:rPr>
          <w:vertAlign w:val="superscript"/>
        </w:rPr>
        <w:instrText xml:space="preserve"> NOTEREF _Ref409359615 \h  \* MERGEFORMAT </w:instrText>
      </w:r>
      <w:r w:rsidRPr="00100F0A">
        <w:rPr>
          <w:vertAlign w:val="superscript"/>
        </w:rPr>
      </w:r>
      <w:r w:rsidRPr="00100F0A">
        <w:rPr>
          <w:vertAlign w:val="superscript"/>
        </w:rPr>
        <w:fldChar w:fldCharType="separate"/>
      </w:r>
      <w:r w:rsidR="00EB634D">
        <w:rPr>
          <w:vertAlign w:val="superscript"/>
        </w:rPr>
        <w:t>21</w:t>
      </w:r>
      <w:r w:rsidRPr="00100F0A">
        <w:rPr>
          <w:vertAlign w:val="superscript"/>
        </w:rPr>
        <w:fldChar w:fldCharType="end"/>
      </w:r>
      <w:r w:rsidRPr="00100F0A">
        <w:t>, beryllium</w:t>
      </w:r>
      <w:r w:rsidRPr="00100F0A">
        <w:rPr>
          <w:vertAlign w:val="superscript"/>
        </w:rPr>
        <w:fldChar w:fldCharType="begin"/>
      </w:r>
      <w:r w:rsidRPr="00100F0A">
        <w:rPr>
          <w:vertAlign w:val="superscript"/>
        </w:rPr>
        <w:instrText xml:space="preserve"> NOTEREF _Ref409359615 \h  \* MERGEFORMAT </w:instrText>
      </w:r>
      <w:r w:rsidRPr="00100F0A">
        <w:rPr>
          <w:vertAlign w:val="superscript"/>
        </w:rPr>
      </w:r>
      <w:r w:rsidRPr="00100F0A">
        <w:rPr>
          <w:vertAlign w:val="superscript"/>
        </w:rPr>
        <w:fldChar w:fldCharType="separate"/>
      </w:r>
      <w:r w:rsidR="00EB634D">
        <w:rPr>
          <w:vertAlign w:val="superscript"/>
        </w:rPr>
        <w:t>21</w:t>
      </w:r>
      <w:r w:rsidRPr="00100F0A">
        <w:rPr>
          <w:vertAlign w:val="superscript"/>
        </w:rPr>
        <w:fldChar w:fldCharType="end"/>
      </w:r>
      <w:r w:rsidRPr="00100F0A">
        <w:t>, antimony</w:t>
      </w:r>
      <w:r w:rsidRPr="00100F0A">
        <w:rPr>
          <w:vertAlign w:val="superscript"/>
        </w:rPr>
        <w:fldChar w:fldCharType="begin"/>
      </w:r>
      <w:r w:rsidRPr="00100F0A">
        <w:rPr>
          <w:vertAlign w:val="superscript"/>
        </w:rPr>
        <w:instrText xml:space="preserve"> NOTEREF _Ref409359615 \h  \* MERGEFORMAT </w:instrText>
      </w:r>
      <w:r w:rsidRPr="00100F0A">
        <w:rPr>
          <w:vertAlign w:val="superscript"/>
        </w:rPr>
      </w:r>
      <w:r w:rsidRPr="00100F0A">
        <w:rPr>
          <w:vertAlign w:val="superscript"/>
        </w:rPr>
        <w:fldChar w:fldCharType="separate"/>
      </w:r>
      <w:r w:rsidR="00EB634D">
        <w:rPr>
          <w:vertAlign w:val="superscript"/>
        </w:rPr>
        <w:t>21</w:t>
      </w:r>
      <w:r w:rsidRPr="00100F0A">
        <w:rPr>
          <w:vertAlign w:val="superscript"/>
        </w:rPr>
        <w:fldChar w:fldCharType="end"/>
      </w:r>
      <w:r w:rsidRPr="00100F0A">
        <w:t>, thallium</w:t>
      </w:r>
      <w:r w:rsidRPr="00100F0A">
        <w:rPr>
          <w:vertAlign w:val="superscript"/>
        </w:rPr>
        <w:fldChar w:fldCharType="begin"/>
      </w:r>
      <w:r w:rsidRPr="00100F0A">
        <w:rPr>
          <w:vertAlign w:val="superscript"/>
        </w:rPr>
        <w:instrText xml:space="preserve"> NOTEREF _Ref409359615 \h  \* MERGEFORMAT </w:instrText>
      </w:r>
      <w:r w:rsidRPr="00100F0A">
        <w:rPr>
          <w:vertAlign w:val="superscript"/>
        </w:rPr>
      </w:r>
      <w:r w:rsidRPr="00100F0A">
        <w:rPr>
          <w:vertAlign w:val="superscript"/>
        </w:rPr>
        <w:fldChar w:fldCharType="separate"/>
      </w:r>
      <w:r w:rsidR="00EB634D">
        <w:rPr>
          <w:vertAlign w:val="superscript"/>
        </w:rPr>
        <w:t>21</w:t>
      </w:r>
      <w:r w:rsidRPr="00100F0A">
        <w:rPr>
          <w:vertAlign w:val="superscript"/>
        </w:rPr>
        <w:fldChar w:fldCharType="end"/>
      </w:r>
      <w:r w:rsidRPr="00100F0A">
        <w:t>, selenium</w:t>
      </w:r>
      <w:r w:rsidRPr="00100F0A">
        <w:rPr>
          <w:vertAlign w:val="superscript"/>
        </w:rPr>
        <w:fldChar w:fldCharType="begin"/>
      </w:r>
      <w:r w:rsidRPr="00100F0A">
        <w:rPr>
          <w:vertAlign w:val="superscript"/>
        </w:rPr>
        <w:instrText xml:space="preserve"> NOTEREF _Ref409359615 \h  \* MERGEFORMAT </w:instrText>
      </w:r>
      <w:r w:rsidRPr="00100F0A">
        <w:rPr>
          <w:vertAlign w:val="superscript"/>
        </w:rPr>
      </w:r>
      <w:r w:rsidRPr="00100F0A">
        <w:rPr>
          <w:vertAlign w:val="superscript"/>
        </w:rPr>
        <w:fldChar w:fldCharType="separate"/>
      </w:r>
      <w:r w:rsidR="00EB634D">
        <w:rPr>
          <w:vertAlign w:val="superscript"/>
        </w:rPr>
        <w:t>21</w:t>
      </w:r>
      <w:r w:rsidRPr="00100F0A">
        <w:rPr>
          <w:vertAlign w:val="superscript"/>
        </w:rPr>
        <w:fldChar w:fldCharType="end"/>
      </w:r>
      <w:r w:rsidRPr="00100F0A">
        <w:t xml:space="preserve"> and tellurium</w:t>
      </w:r>
      <w:r w:rsidRPr="00100F0A">
        <w:rPr>
          <w:vertAlign w:val="superscript"/>
        </w:rPr>
        <w:fldChar w:fldCharType="begin"/>
      </w:r>
      <w:r w:rsidRPr="00100F0A">
        <w:rPr>
          <w:vertAlign w:val="superscript"/>
        </w:rPr>
        <w:instrText xml:space="preserve"> NOTEREF _Ref409359615 \h  \* MERGEFORMAT </w:instrText>
      </w:r>
      <w:r w:rsidRPr="00100F0A">
        <w:rPr>
          <w:vertAlign w:val="superscript"/>
        </w:rPr>
      </w:r>
      <w:r w:rsidRPr="00100F0A">
        <w:rPr>
          <w:vertAlign w:val="superscript"/>
        </w:rPr>
        <w:fldChar w:fldCharType="separate"/>
      </w:r>
      <w:r w:rsidR="00EB634D">
        <w:rPr>
          <w:vertAlign w:val="superscript"/>
        </w:rPr>
        <w:t>21</w:t>
      </w:r>
      <w:r w:rsidRPr="00100F0A">
        <w:rPr>
          <w:vertAlign w:val="superscript"/>
        </w:rPr>
        <w:fldChar w:fldCharType="end"/>
      </w:r>
      <w:r w:rsidRPr="00100F0A">
        <w:t>; compounds of copper, cobalt, nickel, vanadium, boron, barium (excl. barium sulphate), ch</w:t>
      </w:r>
      <w:r w:rsidR="00905944" w:rsidRPr="00100F0A">
        <w:t>romium (hexavalent &amp; trivalent) and</w:t>
      </w:r>
      <w:r w:rsidRPr="00100F0A">
        <w:t xml:space="preserve"> phosphorus (excl. mineral phosphates).</w:t>
      </w:r>
    </w:p>
    <w:p w14:paraId="5901F3AC" w14:textId="0899F832" w:rsidR="00601CB2" w:rsidRPr="00100F0A" w:rsidRDefault="00601CB2" w:rsidP="00601CB2">
      <w:pPr>
        <w:pStyle w:val="BodyText"/>
      </w:pPr>
    </w:p>
    <w:p w14:paraId="15D353E8" w14:textId="21E2F658" w:rsidR="00905944" w:rsidRPr="00100F0A" w:rsidRDefault="00905944" w:rsidP="00601CB2">
      <w:pPr>
        <w:pStyle w:val="BodyText"/>
      </w:pPr>
      <w:r w:rsidRPr="00100F0A">
        <w:t>There is limited information on this group – it is a collection of low volume wastes from a variety of traditional manufacturing sources.</w:t>
      </w:r>
    </w:p>
    <w:p w14:paraId="3AEDEE71" w14:textId="77777777" w:rsidR="00601CB2" w:rsidRPr="00100F0A" w:rsidRDefault="00601CB2" w:rsidP="00931F74">
      <w:pPr>
        <w:pStyle w:val="Heading3-nonumber"/>
      </w:pPr>
      <w:r w:rsidRPr="00100F0A">
        <w:t>Summary analysis</w:t>
      </w:r>
    </w:p>
    <w:tbl>
      <w:tblPr>
        <w:tblStyle w:val="BETable11"/>
        <w:tblW w:w="5000" w:type="pct"/>
        <w:tblInd w:w="0" w:type="dxa"/>
        <w:tblBorders>
          <w:top w:val="single" w:sz="4" w:space="0" w:color="AAABD6"/>
          <w:left w:val="single" w:sz="4" w:space="0" w:color="AAABD6"/>
          <w:bottom w:val="single" w:sz="4" w:space="0" w:color="AAABD6"/>
          <w:right w:val="single" w:sz="4" w:space="0" w:color="AAABD6"/>
          <w:insideH w:val="single" w:sz="4" w:space="0" w:color="AAABD6"/>
          <w:insideV w:val="single" w:sz="4" w:space="0" w:color="AAABD6"/>
        </w:tblBorders>
        <w:tblLook w:val="04A0" w:firstRow="1" w:lastRow="0" w:firstColumn="1" w:lastColumn="0" w:noHBand="0" w:noVBand="1"/>
      </w:tblPr>
      <w:tblGrid>
        <w:gridCol w:w="3384"/>
        <w:gridCol w:w="2218"/>
        <w:gridCol w:w="2111"/>
        <w:gridCol w:w="1309"/>
      </w:tblGrid>
      <w:tr w:rsidR="00905944" w:rsidRPr="00100F0A" w14:paraId="4CD8E4F5" w14:textId="77777777" w:rsidTr="009059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2" w:type="pct"/>
            <w:shd w:val="clear" w:color="auto" w:fill="AAABD6"/>
          </w:tcPr>
          <w:p w14:paraId="54E1408A" w14:textId="77777777" w:rsidR="00601CB2" w:rsidRPr="00100F0A" w:rsidRDefault="00601CB2" w:rsidP="002A3A54">
            <w:pPr>
              <w:pStyle w:val="BodyText"/>
              <w:rPr>
                <w:color w:val="FFFFFF" w:themeColor="background1"/>
              </w:rPr>
            </w:pPr>
            <w:r w:rsidRPr="00100F0A">
              <w:rPr>
                <w:color w:val="FFFFFF" w:themeColor="background1"/>
              </w:rPr>
              <w:t>Industry sources</w:t>
            </w:r>
          </w:p>
        </w:tc>
        <w:tc>
          <w:tcPr>
            <w:tcW w:w="1236" w:type="pct"/>
            <w:shd w:val="clear" w:color="auto" w:fill="AAABD6"/>
          </w:tcPr>
          <w:p w14:paraId="6075BFA7" w14:textId="77777777" w:rsidR="00601CB2" w:rsidRPr="00100F0A" w:rsidRDefault="00601CB2"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Considerations</w:t>
            </w:r>
          </w:p>
        </w:tc>
        <w:tc>
          <w:tcPr>
            <w:tcW w:w="1176" w:type="pct"/>
            <w:shd w:val="clear" w:color="auto" w:fill="AAABD6"/>
          </w:tcPr>
          <w:p w14:paraId="20465B7C" w14:textId="77777777" w:rsidR="00601CB2" w:rsidRPr="00100F0A" w:rsidRDefault="00601CB2"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Comments</w:t>
            </w:r>
          </w:p>
        </w:tc>
        <w:tc>
          <w:tcPr>
            <w:tcW w:w="706" w:type="pct"/>
            <w:shd w:val="clear" w:color="auto" w:fill="AAABD6"/>
          </w:tcPr>
          <w:p w14:paraId="46307A84" w14:textId="77777777" w:rsidR="00601CB2" w:rsidRPr="00100F0A" w:rsidRDefault="00601CB2"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r>
      <w:tr w:rsidR="00905944" w:rsidRPr="00100F0A" w14:paraId="004AE653" w14:textId="77777777" w:rsidTr="00905944">
        <w:trPr>
          <w:trHeight w:val="2771"/>
        </w:trPr>
        <w:tc>
          <w:tcPr>
            <w:cnfStyle w:val="001000000000" w:firstRow="0" w:lastRow="0" w:firstColumn="1" w:lastColumn="0" w:oddVBand="0" w:evenVBand="0" w:oddHBand="0" w:evenHBand="0" w:firstRowFirstColumn="0" w:firstRowLastColumn="0" w:lastRowFirstColumn="0" w:lastRowLastColumn="0"/>
            <w:tcW w:w="1882" w:type="pct"/>
          </w:tcPr>
          <w:p w14:paraId="37D45E06" w14:textId="77777777" w:rsidR="00905944" w:rsidRPr="00100F0A" w:rsidRDefault="00905944" w:rsidP="002A3A54">
            <w:pPr>
              <w:pStyle w:val="Bullet1"/>
              <w:spacing w:before="0"/>
              <w:ind w:left="284" w:hanging="284"/>
            </w:pPr>
            <w:r w:rsidRPr="00100F0A">
              <w:t xml:space="preserve">Fossil fuel electricity generation </w:t>
            </w:r>
          </w:p>
          <w:p w14:paraId="6927EFE8" w14:textId="77777777" w:rsidR="00905944" w:rsidRPr="00100F0A" w:rsidRDefault="00905944" w:rsidP="002A3A54">
            <w:pPr>
              <w:pStyle w:val="Bullet1"/>
              <w:spacing w:before="0"/>
              <w:ind w:left="284" w:hanging="284"/>
            </w:pPr>
            <w:r w:rsidRPr="00100F0A">
              <w:t>Motor vehicle parts manufacturing</w:t>
            </w:r>
          </w:p>
          <w:p w14:paraId="3C2B8E6B" w14:textId="77777777" w:rsidR="00905944" w:rsidRPr="00100F0A" w:rsidRDefault="00905944" w:rsidP="002A3A54">
            <w:pPr>
              <w:pStyle w:val="Bullet1"/>
              <w:spacing w:before="0"/>
              <w:ind w:left="284" w:hanging="284"/>
            </w:pPr>
            <w:r w:rsidRPr="00100F0A">
              <w:t>Petroleum refining</w:t>
            </w:r>
          </w:p>
          <w:p w14:paraId="6E03715D" w14:textId="77777777" w:rsidR="00905944" w:rsidRPr="00100F0A" w:rsidRDefault="00905944" w:rsidP="002A3A54">
            <w:pPr>
              <w:pStyle w:val="Bullet1"/>
              <w:spacing w:before="0"/>
              <w:ind w:left="284" w:hanging="284"/>
            </w:pPr>
            <w:r w:rsidRPr="00100F0A">
              <w:t>Leather tanning, fur dressing and leather product manufacturing</w:t>
            </w:r>
          </w:p>
          <w:p w14:paraId="1520FC77" w14:textId="77777777" w:rsidR="00905944" w:rsidRPr="00100F0A" w:rsidRDefault="00905944" w:rsidP="002A3A54">
            <w:pPr>
              <w:pStyle w:val="Bullet1"/>
              <w:spacing w:before="0"/>
              <w:ind w:left="284" w:hanging="284"/>
            </w:pPr>
            <w:r w:rsidRPr="00100F0A">
              <w:t>Chemical product manufacturing</w:t>
            </w:r>
          </w:p>
          <w:p w14:paraId="2D82287D" w14:textId="77777777" w:rsidR="00905944" w:rsidRPr="00100F0A" w:rsidRDefault="00905944" w:rsidP="002A3A54">
            <w:pPr>
              <w:pStyle w:val="Bullet1"/>
              <w:spacing w:before="0"/>
              <w:ind w:left="284" w:hanging="284"/>
            </w:pPr>
            <w:r w:rsidRPr="00100F0A">
              <w:t>Metal coating and finishing</w:t>
            </w:r>
          </w:p>
          <w:p w14:paraId="75581348" w14:textId="77777777" w:rsidR="00905944" w:rsidRPr="00100F0A" w:rsidRDefault="00905944" w:rsidP="002A3A54">
            <w:pPr>
              <w:pStyle w:val="Bullet1"/>
              <w:spacing w:before="0"/>
              <w:ind w:left="284" w:hanging="284"/>
            </w:pPr>
            <w:r w:rsidRPr="00100F0A">
              <w:t>Port and water transport terminal operations</w:t>
            </w:r>
          </w:p>
          <w:p w14:paraId="4EE8A31F" w14:textId="77777777" w:rsidR="00905944" w:rsidRPr="00100F0A" w:rsidRDefault="00905944" w:rsidP="002A3A54">
            <w:pPr>
              <w:pStyle w:val="Bullet1"/>
              <w:spacing w:before="0"/>
              <w:ind w:left="284" w:hanging="284"/>
            </w:pPr>
            <w:r w:rsidRPr="00100F0A">
              <w:t>Professional, scientific and technical services</w:t>
            </w:r>
          </w:p>
        </w:tc>
        <w:tc>
          <w:tcPr>
            <w:tcW w:w="1236" w:type="pct"/>
          </w:tcPr>
          <w:p w14:paraId="526F0937" w14:textId="77777777" w:rsidR="00905944" w:rsidRPr="00100F0A" w:rsidRDefault="00905944" w:rsidP="002A3A54">
            <w:pPr>
              <w:pStyle w:val="BodyText"/>
              <w:cnfStyle w:val="000000000000" w:firstRow="0" w:lastRow="0" w:firstColumn="0" w:lastColumn="0" w:oddVBand="0" w:evenVBand="0" w:oddHBand="0" w:evenHBand="0" w:firstRowFirstColumn="0" w:firstRowLastColumn="0" w:lastRowFirstColumn="0" w:lastRowLastColumn="0"/>
            </w:pPr>
            <w:r w:rsidRPr="00100F0A">
              <w:t>No sufficiently credible pre-existing projections were identified</w:t>
            </w:r>
          </w:p>
          <w:p w14:paraId="1CBD093D" w14:textId="77777777" w:rsidR="00905944" w:rsidRPr="00100F0A" w:rsidRDefault="00905944" w:rsidP="002A3A54">
            <w:pPr>
              <w:cnfStyle w:val="000000000000" w:firstRow="0" w:lastRow="0" w:firstColumn="0" w:lastColumn="0" w:oddVBand="0" w:evenVBand="0" w:oddHBand="0" w:evenHBand="0" w:firstRowFirstColumn="0" w:firstRowLastColumn="0" w:lastRowFirstColumn="0" w:lastRowLastColumn="0"/>
              <w:rPr>
                <w:color w:val="000000"/>
              </w:rPr>
            </w:pPr>
          </w:p>
          <w:p w14:paraId="4DC6C0BD" w14:textId="3A1900F7" w:rsidR="00905944" w:rsidRPr="00100F0A" w:rsidRDefault="00905944" w:rsidP="002A3A54">
            <w:pPr>
              <w:cnfStyle w:val="000000000000" w:firstRow="0" w:lastRow="0" w:firstColumn="0" w:lastColumn="0" w:oddVBand="0" w:evenVBand="0" w:oddHBand="0" w:evenHBand="0" w:firstRowFirstColumn="0" w:firstRowLastColumn="0" w:lastRowFirstColumn="0" w:lastRowLastColumn="0"/>
            </w:pPr>
            <w:r w:rsidRPr="00100F0A">
              <w:rPr>
                <w:color w:val="000000"/>
              </w:rPr>
              <w:t>Historical data set exists</w:t>
            </w:r>
            <w:r w:rsidR="00070A4A">
              <w:rPr>
                <w:color w:val="000000"/>
              </w:rPr>
              <w:t>,</w:t>
            </w:r>
            <w:r w:rsidRPr="00100F0A">
              <w:rPr>
                <w:color w:val="000000"/>
              </w:rPr>
              <w:t xml:space="preserve"> </w:t>
            </w:r>
            <w:r w:rsidR="00EF2745" w:rsidRPr="00100F0A">
              <w:rPr>
                <w:color w:val="000000"/>
              </w:rPr>
              <w:t xml:space="preserve">not </w:t>
            </w:r>
            <w:r w:rsidRPr="00100F0A">
              <w:rPr>
                <w:color w:val="000000"/>
              </w:rPr>
              <w:t>usable for discerning trends.</w:t>
            </w:r>
          </w:p>
        </w:tc>
        <w:tc>
          <w:tcPr>
            <w:tcW w:w="1176" w:type="pct"/>
          </w:tcPr>
          <w:p w14:paraId="5CDD02C0" w14:textId="6F01B862" w:rsidR="00905944" w:rsidRPr="00100F0A" w:rsidRDefault="00EF2745" w:rsidP="002A3A54">
            <w:pPr>
              <w:pStyle w:val="BodyText"/>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D230 (Zn) and D110 (SPL) are high volume wastes that have been split out of this group since the 2015 projections</w:t>
            </w:r>
          </w:p>
        </w:tc>
        <w:tc>
          <w:tcPr>
            <w:tcW w:w="706" w:type="pct"/>
          </w:tcPr>
          <w:p w14:paraId="4609E010" w14:textId="300B86D5" w:rsidR="00905944" w:rsidRPr="00100F0A" w:rsidRDefault="00EF2745" w:rsidP="002A3A54">
            <w:pPr>
              <w:pStyle w:val="BodyText"/>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Assume traditional manufacturing industry decline</w:t>
            </w:r>
          </w:p>
          <w:p w14:paraId="3D1596E7" w14:textId="77777777" w:rsidR="00905944" w:rsidRPr="00100F0A" w:rsidRDefault="00905944" w:rsidP="002A3A54">
            <w:pPr>
              <w:cnfStyle w:val="000000000000" w:firstRow="0" w:lastRow="0" w:firstColumn="0" w:lastColumn="0" w:oddVBand="0" w:evenVBand="0" w:oddHBand="0" w:evenHBand="0" w:firstRowFirstColumn="0" w:firstRowLastColumn="0" w:lastRowFirstColumn="0" w:lastRowLastColumn="0"/>
              <w:rPr>
                <w:color w:val="000000"/>
              </w:rPr>
            </w:pPr>
          </w:p>
        </w:tc>
      </w:tr>
    </w:tbl>
    <w:p w14:paraId="15BA2C6F" w14:textId="5D4A51FC" w:rsidR="00905944" w:rsidRPr="00100F0A" w:rsidRDefault="00905944" w:rsidP="00601CB2">
      <w:pPr>
        <w:pStyle w:val="BodyText"/>
      </w:pPr>
    </w:p>
    <w:p w14:paraId="073815C7" w14:textId="21339E02" w:rsidR="00823B3A" w:rsidRDefault="00823B3A" w:rsidP="00601CB2">
      <w:pPr>
        <w:pStyle w:val="BodyText"/>
      </w:pPr>
    </w:p>
    <w:p w14:paraId="54416DEC" w14:textId="77777777" w:rsidR="00261D49" w:rsidRPr="00100F0A" w:rsidRDefault="00261D49" w:rsidP="00601CB2">
      <w:pPr>
        <w:pStyle w:val="BodyText"/>
      </w:pPr>
    </w:p>
    <w:p w14:paraId="7CF126FC" w14:textId="6F2663B0" w:rsidR="00601CB2" w:rsidRPr="00100F0A" w:rsidRDefault="00601CB2" w:rsidP="00273FA6">
      <w:pPr>
        <w:pStyle w:val="Caption"/>
      </w:pPr>
      <w:bookmarkStart w:id="180" w:name="_Toc425849299"/>
      <w:bookmarkStart w:id="181" w:name="_Toc13225635"/>
      <w:r w:rsidRPr="00100F0A">
        <w:t xml:space="preserve">Table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16</w:t>
      </w:r>
      <w:r w:rsidR="00B404A6" w:rsidRPr="00100F0A">
        <w:rPr>
          <w:noProof/>
        </w:rPr>
        <w:fldChar w:fldCharType="end"/>
      </w:r>
      <w:r w:rsidR="00C14F18">
        <w:rPr>
          <w:noProof/>
        </w:rPr>
        <w:t>:</w:t>
      </w:r>
      <w:r w:rsidR="00D11FEE" w:rsidRPr="00100F0A">
        <w:tab/>
      </w:r>
      <w:r w:rsidRPr="00100F0A">
        <w:t>Best, high and low projected rates of change for other inorganic chemical waste to 203</w:t>
      </w:r>
      <w:bookmarkEnd w:id="180"/>
      <w:r w:rsidR="00905944" w:rsidRPr="00100F0A">
        <w:t>7</w:t>
      </w:r>
      <w:bookmarkEnd w:id="181"/>
    </w:p>
    <w:p w14:paraId="5AD56ED3" w14:textId="2D611FEC" w:rsidR="00601CB2" w:rsidRPr="00100F0A" w:rsidRDefault="00601CB2" w:rsidP="005E702F">
      <w:pPr>
        <w:pStyle w:val="BodyText"/>
      </w:pPr>
    </w:p>
    <w:tbl>
      <w:tblPr>
        <w:tblW w:w="9062" w:type="dxa"/>
        <w:tblCellMar>
          <w:left w:w="0" w:type="dxa"/>
          <w:right w:w="0" w:type="dxa"/>
        </w:tblCellMar>
        <w:tblLook w:val="04A0" w:firstRow="1" w:lastRow="0" w:firstColumn="1" w:lastColumn="0" w:noHBand="0" w:noVBand="1"/>
      </w:tblPr>
      <w:tblGrid>
        <w:gridCol w:w="622"/>
        <w:gridCol w:w="1093"/>
        <w:gridCol w:w="4229"/>
        <w:gridCol w:w="773"/>
        <w:gridCol w:w="413"/>
        <w:gridCol w:w="699"/>
        <w:gridCol w:w="413"/>
        <w:gridCol w:w="820"/>
      </w:tblGrid>
      <w:tr w:rsidR="00A61B21" w:rsidRPr="00100F0A" w14:paraId="21B74347" w14:textId="77777777" w:rsidTr="00BF1072">
        <w:trPr>
          <w:tblHeader/>
        </w:trPr>
        <w:tc>
          <w:tcPr>
            <w:tcW w:w="622" w:type="dxa"/>
            <w:tcBorders>
              <w:top w:val="single" w:sz="8" w:space="0" w:color="B7B7E2"/>
              <w:left w:val="single" w:sz="8" w:space="0" w:color="B7B7E2"/>
              <w:bottom w:val="single" w:sz="8" w:space="0" w:color="B7B7E2"/>
              <w:right w:val="single" w:sz="8" w:space="0" w:color="B7B7E2"/>
            </w:tcBorders>
            <w:shd w:val="clear" w:color="auto" w:fill="B7B7E2"/>
            <w:tcMar>
              <w:top w:w="0" w:type="dxa"/>
              <w:left w:w="108" w:type="dxa"/>
              <w:bottom w:w="0" w:type="dxa"/>
              <w:right w:w="108" w:type="dxa"/>
            </w:tcMar>
            <w:vAlign w:val="center"/>
            <w:hideMark/>
          </w:tcPr>
          <w:p w14:paraId="18DE579F" w14:textId="77777777" w:rsidR="00A61B21" w:rsidRPr="00100F0A" w:rsidRDefault="00A61B21" w:rsidP="002B2606">
            <w:pPr>
              <w:spacing w:after="144"/>
              <w:rPr>
                <w:rFonts w:asciiTheme="minorHAnsi" w:eastAsia="Times New Roman" w:hAnsiTheme="minorHAnsi" w:cstheme="minorHAnsi"/>
                <w:sz w:val="20"/>
                <w:szCs w:val="20"/>
              </w:rPr>
            </w:pPr>
            <w:r w:rsidRPr="00100F0A">
              <w:rPr>
                <w:rFonts w:asciiTheme="minorHAnsi" w:eastAsia="Times New Roman" w:hAnsiTheme="minorHAnsi" w:cstheme="minorHAnsi"/>
                <w:b/>
                <w:bCs/>
                <w:color w:val="FFFFFF"/>
                <w:sz w:val="20"/>
                <w:szCs w:val="20"/>
              </w:rPr>
              <w:t> </w:t>
            </w:r>
          </w:p>
        </w:tc>
        <w:tc>
          <w:tcPr>
            <w:tcW w:w="1093"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24D431E7" w14:textId="77777777" w:rsidR="00A61B21" w:rsidRPr="00100F0A" w:rsidRDefault="00A61B21" w:rsidP="002B2606">
            <w:pPr>
              <w:spacing w:after="144"/>
              <w:rPr>
                <w:rFonts w:asciiTheme="minorHAnsi" w:eastAsia="Times New Roman" w:hAnsiTheme="minorHAnsi" w:cstheme="minorHAnsi"/>
                <w:sz w:val="20"/>
                <w:szCs w:val="20"/>
              </w:rPr>
            </w:pPr>
            <w:r w:rsidRPr="00100F0A">
              <w:rPr>
                <w:rFonts w:asciiTheme="minorHAnsi" w:eastAsia="Times New Roman" w:hAnsiTheme="minorHAnsi" w:cstheme="minorHAnsi"/>
                <w:b/>
                <w:bCs/>
                <w:color w:val="FFFFFF"/>
                <w:sz w:val="20"/>
                <w:szCs w:val="20"/>
              </w:rPr>
              <w:t> Applies to</w:t>
            </w:r>
          </w:p>
        </w:tc>
        <w:tc>
          <w:tcPr>
            <w:tcW w:w="4229"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7B8B2BCD" w14:textId="77777777" w:rsidR="00A61B21" w:rsidRPr="00100F0A" w:rsidRDefault="00A61B21" w:rsidP="002B2606">
            <w:pPr>
              <w:spacing w:after="144"/>
              <w:rPr>
                <w:rFonts w:asciiTheme="minorHAnsi" w:eastAsia="Times New Roman" w:hAnsiTheme="minorHAnsi" w:cstheme="minorHAnsi"/>
                <w:sz w:val="20"/>
                <w:szCs w:val="20"/>
              </w:rPr>
            </w:pPr>
            <w:r w:rsidRPr="00100F0A">
              <w:rPr>
                <w:rFonts w:asciiTheme="minorHAnsi" w:eastAsia="Times New Roman" w:hAnsiTheme="minorHAnsi" w:cstheme="minorHAnsi"/>
                <w:b/>
                <w:bCs/>
                <w:color w:val="FFFFFF"/>
                <w:sz w:val="20"/>
                <w:szCs w:val="20"/>
              </w:rPr>
              <w:t> Approach</w:t>
            </w:r>
          </w:p>
        </w:tc>
        <w:tc>
          <w:tcPr>
            <w:tcW w:w="773"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251C6337" w14:textId="03B2AA47" w:rsidR="00A61B21" w:rsidRPr="00100F0A" w:rsidRDefault="00A61B21" w:rsidP="004206B0">
            <w:pPr>
              <w:spacing w:after="144"/>
              <w:jc w:val="center"/>
              <w:rPr>
                <w:rFonts w:asciiTheme="minorHAnsi" w:eastAsia="Times New Roman" w:hAnsiTheme="minorHAnsi" w:cstheme="minorHAnsi"/>
                <w:sz w:val="20"/>
                <w:szCs w:val="20"/>
              </w:rPr>
            </w:pPr>
            <w:r w:rsidRPr="00100F0A">
              <w:rPr>
                <w:rFonts w:asciiTheme="minorHAnsi" w:eastAsia="Times New Roman" w:hAnsiTheme="minorHAnsi" w:cstheme="minorHAnsi"/>
                <w:b/>
                <w:bCs/>
                <w:color w:val="FFFFFF"/>
                <w:sz w:val="20"/>
                <w:szCs w:val="20"/>
              </w:rPr>
              <w:t>2018</w:t>
            </w:r>
          </w:p>
        </w:tc>
        <w:tc>
          <w:tcPr>
            <w:tcW w:w="413" w:type="dxa"/>
            <w:tcBorders>
              <w:top w:val="single" w:sz="8" w:space="0" w:color="B7B7E2"/>
              <w:left w:val="nil"/>
              <w:bottom w:val="single" w:sz="8" w:space="0" w:color="B7B7E2"/>
              <w:right w:val="single" w:sz="8" w:space="0" w:color="B7B7E2"/>
            </w:tcBorders>
            <w:shd w:val="clear" w:color="auto" w:fill="B7B7E2"/>
          </w:tcPr>
          <w:p w14:paraId="4D1705AE" w14:textId="77777777" w:rsidR="00A61B21" w:rsidRPr="00100F0A" w:rsidRDefault="00A61B21" w:rsidP="00B30B8D">
            <w:pPr>
              <w:spacing w:after="144"/>
              <w:jc w:val="center"/>
              <w:rPr>
                <w:rFonts w:asciiTheme="minorHAnsi" w:eastAsia="Times New Roman" w:hAnsiTheme="minorHAnsi" w:cstheme="minorHAnsi"/>
                <w:b/>
                <w:bCs/>
                <w:color w:val="FFFFFF" w:themeColor="background1"/>
                <w:sz w:val="20"/>
                <w:szCs w:val="20"/>
              </w:rPr>
            </w:pPr>
            <w:r w:rsidRPr="00100F0A">
              <w:rPr>
                <w:rFonts w:asciiTheme="minorHAnsi" w:hAnsiTheme="minorHAnsi" w:cstheme="minorHAnsi"/>
                <w:color w:val="FFFFFF" w:themeColor="background1"/>
                <w:sz w:val="20"/>
                <w:szCs w:val="20"/>
              </w:rPr>
              <w:t>...</w:t>
            </w:r>
          </w:p>
        </w:tc>
        <w:tc>
          <w:tcPr>
            <w:tcW w:w="699" w:type="dxa"/>
            <w:tcBorders>
              <w:top w:val="single" w:sz="8" w:space="0" w:color="B7B7E2"/>
              <w:left w:val="nil"/>
              <w:bottom w:val="single" w:sz="8" w:space="0" w:color="B7B7E2"/>
              <w:right w:val="single" w:sz="8" w:space="0" w:color="B7B7E2"/>
            </w:tcBorders>
            <w:shd w:val="clear" w:color="auto" w:fill="B7B7E2"/>
          </w:tcPr>
          <w:p w14:paraId="0741AFBE" w14:textId="77777777" w:rsidR="00A61B21" w:rsidRPr="00100F0A" w:rsidRDefault="00A61B21" w:rsidP="004206B0">
            <w:pPr>
              <w:spacing w:after="144"/>
              <w:jc w:val="center"/>
              <w:rPr>
                <w:rFonts w:asciiTheme="minorHAnsi" w:eastAsia="Times New Roman" w:hAnsiTheme="minorHAnsi" w:cstheme="minorHAnsi"/>
                <w:b/>
                <w:bCs/>
                <w:color w:val="FFFFFF" w:themeColor="background1"/>
                <w:sz w:val="20"/>
                <w:szCs w:val="20"/>
              </w:rPr>
            </w:pPr>
            <w:r w:rsidRPr="00100F0A">
              <w:rPr>
                <w:rFonts w:asciiTheme="minorHAnsi" w:eastAsia="Times New Roman" w:hAnsiTheme="minorHAnsi" w:cstheme="minorHAnsi"/>
                <w:b/>
                <w:bCs/>
                <w:color w:val="FFFFFF" w:themeColor="background1"/>
                <w:sz w:val="20"/>
                <w:szCs w:val="20"/>
              </w:rPr>
              <w:t>2020</w:t>
            </w:r>
          </w:p>
        </w:tc>
        <w:tc>
          <w:tcPr>
            <w:tcW w:w="413" w:type="dxa"/>
            <w:tcBorders>
              <w:top w:val="single" w:sz="8" w:space="0" w:color="B7B7E2"/>
              <w:left w:val="nil"/>
              <w:bottom w:val="single" w:sz="8" w:space="0" w:color="B7B7E2"/>
              <w:right w:val="single" w:sz="8" w:space="0" w:color="B7B7E2"/>
            </w:tcBorders>
            <w:shd w:val="clear" w:color="auto" w:fill="B7B7E2"/>
          </w:tcPr>
          <w:p w14:paraId="7DFFC318" w14:textId="77777777" w:rsidR="00A61B21" w:rsidRPr="00100F0A" w:rsidRDefault="00A61B21" w:rsidP="004206B0">
            <w:pPr>
              <w:spacing w:after="144"/>
              <w:jc w:val="center"/>
              <w:rPr>
                <w:rFonts w:asciiTheme="minorHAnsi" w:eastAsia="Times New Roman" w:hAnsiTheme="minorHAnsi" w:cstheme="minorHAnsi"/>
                <w:b/>
                <w:bCs/>
                <w:color w:val="FFFFFF" w:themeColor="background1"/>
                <w:sz w:val="20"/>
                <w:szCs w:val="20"/>
              </w:rPr>
            </w:pPr>
            <w:r w:rsidRPr="00100F0A">
              <w:rPr>
                <w:rFonts w:asciiTheme="minorHAnsi" w:hAnsiTheme="minorHAnsi" w:cstheme="minorHAnsi"/>
                <w:color w:val="FFFFFF" w:themeColor="background1"/>
                <w:sz w:val="20"/>
                <w:szCs w:val="20"/>
              </w:rPr>
              <w:t>...</w:t>
            </w:r>
          </w:p>
        </w:tc>
        <w:tc>
          <w:tcPr>
            <w:tcW w:w="820" w:type="dxa"/>
            <w:tcBorders>
              <w:top w:val="single" w:sz="8" w:space="0" w:color="B7B7E2"/>
              <w:left w:val="nil"/>
              <w:bottom w:val="single" w:sz="8" w:space="0" w:color="B7B7E2"/>
              <w:right w:val="single" w:sz="8" w:space="0" w:color="B7B7E2"/>
            </w:tcBorders>
            <w:shd w:val="clear" w:color="auto" w:fill="B7B7E2"/>
          </w:tcPr>
          <w:p w14:paraId="57EC5CF7" w14:textId="77777777" w:rsidR="00A61B21" w:rsidRPr="00100F0A" w:rsidRDefault="00A61B21" w:rsidP="004206B0">
            <w:pPr>
              <w:spacing w:after="144"/>
              <w:jc w:val="center"/>
              <w:rPr>
                <w:rFonts w:asciiTheme="minorHAnsi" w:eastAsia="Times New Roman" w:hAnsiTheme="minorHAnsi" w:cstheme="minorHAnsi"/>
                <w:b/>
                <w:bCs/>
                <w:color w:val="FFFFFF" w:themeColor="background1"/>
                <w:sz w:val="20"/>
                <w:szCs w:val="20"/>
              </w:rPr>
            </w:pPr>
            <w:r w:rsidRPr="00100F0A">
              <w:rPr>
                <w:rFonts w:asciiTheme="minorHAnsi" w:eastAsia="Times New Roman" w:hAnsiTheme="minorHAnsi" w:cstheme="minorHAnsi"/>
                <w:b/>
                <w:bCs/>
                <w:color w:val="FFFFFF" w:themeColor="background1"/>
                <w:sz w:val="20"/>
                <w:szCs w:val="20"/>
              </w:rPr>
              <w:t>2037</w:t>
            </w:r>
          </w:p>
        </w:tc>
      </w:tr>
      <w:tr w:rsidR="00A61B21" w:rsidRPr="00100F0A" w14:paraId="2EE15BB1" w14:textId="77777777" w:rsidTr="002B2606">
        <w:tc>
          <w:tcPr>
            <w:tcW w:w="9062" w:type="dxa"/>
            <w:gridSpan w:val="8"/>
            <w:tcBorders>
              <w:top w:val="single" w:sz="8" w:space="0" w:color="B7B7E2"/>
              <w:left w:val="single" w:sz="8" w:space="0" w:color="B7B7E2"/>
              <w:bottom w:val="dotted" w:sz="4" w:space="0" w:color="B7B7E2"/>
              <w:right w:val="single" w:sz="8" w:space="0" w:color="B7B7E2"/>
            </w:tcBorders>
            <w:tcMar>
              <w:top w:w="0" w:type="dxa"/>
              <w:left w:w="108" w:type="dxa"/>
              <w:bottom w:w="0" w:type="dxa"/>
              <w:right w:w="108" w:type="dxa"/>
            </w:tcMar>
          </w:tcPr>
          <w:p w14:paraId="0E9CC294" w14:textId="77777777" w:rsidR="00A61B21" w:rsidRPr="00100F0A" w:rsidRDefault="00A61B21" w:rsidP="00B30B8D">
            <w:pPr>
              <w:spacing w:after="60"/>
              <w:rPr>
                <w:rFonts w:asciiTheme="minorHAnsi" w:hAnsiTheme="minorHAnsi" w:cstheme="minorHAnsi"/>
                <w:iCs/>
                <w:color w:val="4D4DB8"/>
                <w:sz w:val="20"/>
                <w:szCs w:val="20"/>
              </w:rPr>
            </w:pPr>
            <w:r w:rsidRPr="00100F0A">
              <w:rPr>
                <w:rFonts w:asciiTheme="minorHAnsi" w:hAnsiTheme="minorHAnsi" w:cstheme="minorHAnsi"/>
                <w:iCs/>
                <w:color w:val="4D4DB8"/>
                <w:sz w:val="20"/>
                <w:szCs w:val="20"/>
              </w:rPr>
              <w:t>Arisings</w:t>
            </w:r>
          </w:p>
        </w:tc>
      </w:tr>
      <w:tr w:rsidR="00BF1072" w:rsidRPr="00100F0A" w14:paraId="66465452" w14:textId="77777777" w:rsidTr="00BF1072">
        <w:tc>
          <w:tcPr>
            <w:tcW w:w="622" w:type="dxa"/>
            <w:tcBorders>
              <w:top w:val="single" w:sz="8" w:space="0" w:color="B7B7E2"/>
              <w:left w:val="single" w:sz="8" w:space="0" w:color="B7B7E2"/>
              <w:bottom w:val="dotted" w:sz="4" w:space="0" w:color="B7B7E2"/>
              <w:right w:val="single" w:sz="8" w:space="0" w:color="B7B7E2"/>
            </w:tcBorders>
            <w:tcMar>
              <w:top w:w="0" w:type="dxa"/>
              <w:left w:w="108" w:type="dxa"/>
              <w:bottom w:w="0" w:type="dxa"/>
              <w:right w:w="108" w:type="dxa"/>
            </w:tcMar>
            <w:hideMark/>
          </w:tcPr>
          <w:p w14:paraId="16876A6C" w14:textId="635CB19B" w:rsidR="00BF1072" w:rsidRPr="00100F0A" w:rsidRDefault="00BF1072" w:rsidP="00BF1072">
            <w:pPr>
              <w:spacing w:after="60"/>
              <w:rPr>
                <w:rFonts w:asciiTheme="minorHAnsi" w:eastAsia="Times New Roman" w:hAnsiTheme="minorHAnsi" w:cstheme="minorHAnsi"/>
                <w:sz w:val="20"/>
                <w:szCs w:val="20"/>
              </w:rPr>
            </w:pPr>
            <w:r w:rsidRPr="00100F0A">
              <w:rPr>
                <w:rFonts w:asciiTheme="minorHAnsi" w:hAnsiTheme="minorHAnsi" w:cstheme="minorHAnsi"/>
                <w:sz w:val="20"/>
                <w:szCs w:val="20"/>
              </w:rPr>
              <w:t>Best</w:t>
            </w:r>
          </w:p>
        </w:tc>
        <w:tc>
          <w:tcPr>
            <w:tcW w:w="1093" w:type="dxa"/>
            <w:vMerge w:val="restart"/>
            <w:tcBorders>
              <w:top w:val="single" w:sz="8" w:space="0" w:color="B7B7E2"/>
              <w:left w:val="nil"/>
              <w:right w:val="single" w:sz="4" w:space="0" w:color="B7B7E2"/>
            </w:tcBorders>
            <w:tcMar>
              <w:top w:w="0" w:type="dxa"/>
              <w:left w:w="108" w:type="dxa"/>
              <w:bottom w:w="0" w:type="dxa"/>
              <w:right w:w="108" w:type="dxa"/>
            </w:tcMar>
          </w:tcPr>
          <w:p w14:paraId="35F8B30E" w14:textId="77777777" w:rsidR="00BF1072" w:rsidRPr="00100F0A" w:rsidRDefault="00BF1072" w:rsidP="00BF1072">
            <w:pPr>
              <w:spacing w:after="60"/>
              <w:rPr>
                <w:rFonts w:asciiTheme="minorHAnsi" w:hAnsiTheme="minorHAnsi" w:cstheme="minorHAnsi"/>
                <w:sz w:val="20"/>
                <w:szCs w:val="20"/>
              </w:rPr>
            </w:pPr>
            <w:r w:rsidRPr="00100F0A">
              <w:rPr>
                <w:rFonts w:asciiTheme="minorHAnsi" w:hAnsiTheme="minorHAnsi" w:cstheme="minorHAnsi"/>
                <w:sz w:val="20"/>
                <w:szCs w:val="20"/>
              </w:rPr>
              <w:t>ACT, NSW, NT, Qld, SA, Tas, Vic, WA</w:t>
            </w:r>
          </w:p>
          <w:p w14:paraId="640A71E5" w14:textId="12E6A947" w:rsidR="00BF1072" w:rsidRPr="00100F0A" w:rsidRDefault="00BF1072" w:rsidP="00BF1072">
            <w:pPr>
              <w:spacing w:after="60"/>
              <w:rPr>
                <w:rFonts w:asciiTheme="minorHAnsi" w:hAnsiTheme="minorHAnsi" w:cstheme="minorHAnsi"/>
                <w:sz w:val="20"/>
                <w:szCs w:val="20"/>
              </w:rPr>
            </w:pPr>
          </w:p>
        </w:tc>
        <w:tc>
          <w:tcPr>
            <w:tcW w:w="4229" w:type="dxa"/>
            <w:tcBorders>
              <w:top w:val="single" w:sz="8" w:space="0" w:color="B7B7E2"/>
              <w:left w:val="single" w:sz="4" w:space="0" w:color="B7B7E2"/>
              <w:bottom w:val="dotted" w:sz="4" w:space="0" w:color="B7B7E2"/>
              <w:right w:val="single" w:sz="4" w:space="0" w:color="B7B7E2"/>
            </w:tcBorders>
            <w:tcMar>
              <w:top w:w="0" w:type="dxa"/>
              <w:left w:w="108" w:type="dxa"/>
              <w:bottom w:w="0" w:type="dxa"/>
              <w:right w:w="108" w:type="dxa"/>
            </w:tcMar>
            <w:vAlign w:val="bottom"/>
          </w:tcPr>
          <w:p w14:paraId="7FC05506" w14:textId="1D44809B" w:rsidR="00BF1072" w:rsidRPr="00100F0A" w:rsidRDefault="00BF1072" w:rsidP="00BF1072">
            <w:pPr>
              <w:rPr>
                <w:rFonts w:asciiTheme="minorHAnsi" w:eastAsia="Times New Roman" w:hAnsiTheme="minorHAnsi" w:cstheme="minorHAnsi"/>
                <w:sz w:val="20"/>
                <w:szCs w:val="20"/>
              </w:rPr>
            </w:pPr>
            <w:r w:rsidRPr="00100F0A">
              <w:rPr>
                <w:rFonts w:asciiTheme="minorHAnsi" w:hAnsiTheme="minorHAnsi" w:cstheme="minorHAnsi"/>
                <w:color w:val="000000"/>
                <w:sz w:val="20"/>
                <w:szCs w:val="20"/>
              </w:rPr>
              <w:t>Projected ann</w:t>
            </w:r>
            <w:r w:rsidR="00070A4A">
              <w:rPr>
                <w:rFonts w:asciiTheme="minorHAnsi" w:hAnsiTheme="minorHAnsi" w:cstheme="minorHAnsi"/>
                <w:color w:val="000000"/>
                <w:sz w:val="20"/>
                <w:szCs w:val="20"/>
              </w:rPr>
              <w:t>ual</w:t>
            </w:r>
            <w:r w:rsidRPr="00100F0A">
              <w:rPr>
                <w:rFonts w:asciiTheme="minorHAnsi" w:hAnsiTheme="minorHAnsi" w:cstheme="minorHAnsi"/>
                <w:color w:val="000000"/>
                <w:sz w:val="20"/>
                <w:szCs w:val="20"/>
              </w:rPr>
              <w:t xml:space="preserve"> growth in manufact</w:t>
            </w:r>
            <w:r w:rsidR="00070A4A">
              <w:rPr>
                <w:rFonts w:asciiTheme="minorHAnsi" w:hAnsiTheme="minorHAnsi" w:cstheme="minorHAnsi"/>
                <w:color w:val="000000"/>
                <w:sz w:val="20"/>
                <w:szCs w:val="20"/>
              </w:rPr>
              <w:t>uring</w:t>
            </w:r>
            <w:r w:rsidRPr="00100F0A">
              <w:rPr>
                <w:rFonts w:asciiTheme="minorHAnsi" w:hAnsiTheme="minorHAnsi" w:cstheme="minorHAnsi"/>
                <w:color w:val="000000"/>
                <w:sz w:val="20"/>
                <w:szCs w:val="20"/>
              </w:rPr>
              <w:t xml:space="preserve"> employment 2017-22</w:t>
            </w:r>
          </w:p>
        </w:tc>
        <w:tc>
          <w:tcPr>
            <w:tcW w:w="773" w:type="dxa"/>
            <w:tcBorders>
              <w:top w:val="single" w:sz="8" w:space="0" w:color="B7B7E2"/>
              <w:left w:val="single" w:sz="4" w:space="0" w:color="B7B7E2"/>
              <w:bottom w:val="dotted" w:sz="4" w:space="0" w:color="B7B7E2"/>
              <w:right w:val="single" w:sz="8" w:space="0" w:color="B7B7E2"/>
            </w:tcBorders>
            <w:tcMar>
              <w:top w:w="0" w:type="dxa"/>
              <w:left w:w="108" w:type="dxa"/>
              <w:bottom w:w="0" w:type="dxa"/>
              <w:right w:w="108" w:type="dxa"/>
            </w:tcMar>
            <w:hideMark/>
          </w:tcPr>
          <w:p w14:paraId="108ACA88" w14:textId="41E64C38" w:rsidR="00BF1072" w:rsidRPr="00100F0A" w:rsidRDefault="00BF1072" w:rsidP="004206B0">
            <w:pPr>
              <w:spacing w:after="60"/>
              <w:jc w:val="center"/>
              <w:rPr>
                <w:rFonts w:asciiTheme="minorHAnsi" w:eastAsia="Times New Roman" w:hAnsiTheme="minorHAnsi" w:cstheme="minorHAnsi"/>
                <w:sz w:val="20"/>
                <w:szCs w:val="20"/>
              </w:rPr>
            </w:pPr>
            <w:r w:rsidRPr="00100F0A">
              <w:rPr>
                <w:rFonts w:asciiTheme="minorHAnsi" w:hAnsiTheme="minorHAnsi" w:cstheme="minorHAnsi"/>
                <w:sz w:val="20"/>
                <w:szCs w:val="20"/>
              </w:rPr>
              <w:t>-0.9%</w:t>
            </w:r>
          </w:p>
        </w:tc>
        <w:tc>
          <w:tcPr>
            <w:tcW w:w="413" w:type="dxa"/>
            <w:tcBorders>
              <w:top w:val="single" w:sz="8" w:space="0" w:color="B7B7E2"/>
              <w:left w:val="nil"/>
              <w:bottom w:val="dotted" w:sz="4" w:space="0" w:color="B7B7E2"/>
              <w:right w:val="single" w:sz="8" w:space="0" w:color="B7B7E2"/>
            </w:tcBorders>
          </w:tcPr>
          <w:p w14:paraId="378886EB" w14:textId="77777777" w:rsidR="00BF1072" w:rsidRPr="00100F0A" w:rsidRDefault="00BF1072" w:rsidP="00B30B8D">
            <w:pPr>
              <w:spacing w:after="60"/>
              <w:jc w:val="center"/>
              <w:rPr>
                <w:rFonts w:asciiTheme="minorHAnsi" w:eastAsia="Times New Roman" w:hAnsiTheme="minorHAnsi" w:cstheme="minorHAnsi"/>
                <w:sz w:val="20"/>
                <w:szCs w:val="20"/>
              </w:rPr>
            </w:pPr>
            <w:r w:rsidRPr="00100F0A">
              <w:rPr>
                <w:rFonts w:asciiTheme="minorHAnsi" w:hAnsiTheme="minorHAnsi" w:cstheme="minorHAnsi"/>
                <w:sz w:val="20"/>
                <w:szCs w:val="20"/>
              </w:rPr>
              <w:t>...</w:t>
            </w:r>
          </w:p>
        </w:tc>
        <w:tc>
          <w:tcPr>
            <w:tcW w:w="699" w:type="dxa"/>
            <w:tcBorders>
              <w:top w:val="single" w:sz="8" w:space="0" w:color="B7B7E2"/>
              <w:left w:val="nil"/>
              <w:bottom w:val="dotted" w:sz="4" w:space="0" w:color="B7B7E2"/>
              <w:right w:val="single" w:sz="8" w:space="0" w:color="B7B7E2"/>
            </w:tcBorders>
          </w:tcPr>
          <w:p w14:paraId="0BACB21A" w14:textId="57808600" w:rsidR="00BF1072" w:rsidRPr="00100F0A" w:rsidRDefault="00BF1072" w:rsidP="004206B0">
            <w:pPr>
              <w:spacing w:after="60"/>
              <w:jc w:val="center"/>
              <w:rPr>
                <w:rFonts w:asciiTheme="minorHAnsi" w:hAnsiTheme="minorHAnsi" w:cstheme="minorHAnsi"/>
                <w:bCs/>
                <w:color w:val="000000" w:themeColor="text1"/>
                <w:sz w:val="20"/>
                <w:szCs w:val="20"/>
              </w:rPr>
            </w:pPr>
            <w:r w:rsidRPr="00100F0A">
              <w:rPr>
                <w:rFonts w:asciiTheme="minorHAnsi" w:hAnsiTheme="minorHAnsi" w:cstheme="minorHAnsi"/>
                <w:sz w:val="20"/>
                <w:szCs w:val="20"/>
              </w:rPr>
              <w:t>-0.9%</w:t>
            </w:r>
          </w:p>
        </w:tc>
        <w:tc>
          <w:tcPr>
            <w:tcW w:w="413" w:type="dxa"/>
            <w:tcBorders>
              <w:top w:val="single" w:sz="8" w:space="0" w:color="B7B7E2"/>
              <w:left w:val="nil"/>
              <w:bottom w:val="dotted" w:sz="4" w:space="0" w:color="B7B7E2"/>
              <w:right w:val="single" w:sz="8" w:space="0" w:color="B7B7E2"/>
            </w:tcBorders>
          </w:tcPr>
          <w:p w14:paraId="7B3942EB" w14:textId="77777777" w:rsidR="00BF1072" w:rsidRPr="00100F0A" w:rsidRDefault="00BF1072" w:rsidP="00B30B8D">
            <w:pPr>
              <w:spacing w:after="60"/>
              <w:jc w:val="center"/>
              <w:rPr>
                <w:rFonts w:asciiTheme="minorHAnsi" w:hAnsiTheme="minorHAnsi" w:cstheme="minorHAnsi"/>
                <w:color w:val="000000" w:themeColor="text1"/>
                <w:sz w:val="20"/>
                <w:szCs w:val="20"/>
              </w:rPr>
            </w:pPr>
            <w:r w:rsidRPr="00100F0A">
              <w:rPr>
                <w:rFonts w:asciiTheme="minorHAnsi" w:hAnsiTheme="minorHAnsi" w:cstheme="minorHAnsi"/>
                <w:sz w:val="20"/>
                <w:szCs w:val="20"/>
              </w:rPr>
              <w:t>...</w:t>
            </w:r>
          </w:p>
        </w:tc>
        <w:tc>
          <w:tcPr>
            <w:tcW w:w="820" w:type="dxa"/>
            <w:tcBorders>
              <w:top w:val="single" w:sz="8" w:space="0" w:color="B7B7E2"/>
              <w:left w:val="nil"/>
              <w:bottom w:val="dotted" w:sz="4" w:space="0" w:color="B7B7E2"/>
              <w:right w:val="single" w:sz="8" w:space="0" w:color="B7B7E2"/>
            </w:tcBorders>
          </w:tcPr>
          <w:p w14:paraId="5EC92968" w14:textId="7F3E55CF" w:rsidR="00BF1072" w:rsidRPr="00100F0A" w:rsidRDefault="00BF1072" w:rsidP="004206B0">
            <w:pPr>
              <w:spacing w:after="60"/>
              <w:jc w:val="center"/>
              <w:rPr>
                <w:rFonts w:asciiTheme="minorHAnsi" w:hAnsiTheme="minorHAnsi" w:cstheme="minorHAnsi"/>
                <w:color w:val="000000" w:themeColor="text1"/>
                <w:sz w:val="20"/>
                <w:szCs w:val="20"/>
              </w:rPr>
            </w:pPr>
            <w:r w:rsidRPr="00100F0A">
              <w:rPr>
                <w:rFonts w:asciiTheme="minorHAnsi" w:hAnsiTheme="minorHAnsi" w:cstheme="minorHAnsi"/>
                <w:sz w:val="20"/>
                <w:szCs w:val="20"/>
              </w:rPr>
              <w:t>-0.9%</w:t>
            </w:r>
          </w:p>
        </w:tc>
      </w:tr>
      <w:tr w:rsidR="00BF1072" w:rsidRPr="00100F0A" w14:paraId="358787B6" w14:textId="77777777" w:rsidTr="00BF1072">
        <w:tc>
          <w:tcPr>
            <w:tcW w:w="622" w:type="dxa"/>
            <w:tcBorders>
              <w:top w:val="dotted" w:sz="4" w:space="0" w:color="B7B7E2"/>
              <w:left w:val="single" w:sz="8" w:space="0" w:color="B7B7E2"/>
              <w:bottom w:val="dotted" w:sz="4" w:space="0" w:color="B7B7E2"/>
              <w:right w:val="single" w:sz="8" w:space="0" w:color="B7B7E2"/>
            </w:tcBorders>
            <w:tcMar>
              <w:top w:w="0" w:type="dxa"/>
              <w:left w:w="108" w:type="dxa"/>
              <w:bottom w:w="0" w:type="dxa"/>
              <w:right w:w="108" w:type="dxa"/>
            </w:tcMar>
            <w:hideMark/>
          </w:tcPr>
          <w:p w14:paraId="331DA9F4" w14:textId="1CCA2B2A" w:rsidR="00BF1072" w:rsidRPr="00100F0A" w:rsidRDefault="00BF1072" w:rsidP="00BF1072">
            <w:pPr>
              <w:spacing w:after="60"/>
              <w:rPr>
                <w:rFonts w:asciiTheme="minorHAnsi" w:eastAsia="Times New Roman" w:hAnsiTheme="minorHAnsi" w:cstheme="minorHAnsi"/>
                <w:sz w:val="20"/>
                <w:szCs w:val="20"/>
              </w:rPr>
            </w:pPr>
            <w:r w:rsidRPr="00100F0A">
              <w:rPr>
                <w:rFonts w:asciiTheme="minorHAnsi" w:hAnsiTheme="minorHAnsi" w:cstheme="minorHAnsi"/>
                <w:sz w:val="20"/>
                <w:szCs w:val="20"/>
              </w:rPr>
              <w:t>High</w:t>
            </w:r>
          </w:p>
        </w:tc>
        <w:tc>
          <w:tcPr>
            <w:tcW w:w="1093" w:type="dxa"/>
            <w:vMerge/>
            <w:tcBorders>
              <w:left w:val="nil"/>
              <w:right w:val="single" w:sz="4" w:space="0" w:color="B7B7E2"/>
            </w:tcBorders>
            <w:tcMar>
              <w:top w:w="0" w:type="dxa"/>
              <w:left w:w="108" w:type="dxa"/>
              <w:bottom w:w="0" w:type="dxa"/>
              <w:right w:w="108" w:type="dxa"/>
            </w:tcMar>
          </w:tcPr>
          <w:p w14:paraId="140DB927" w14:textId="77777777" w:rsidR="00BF1072" w:rsidRPr="00100F0A" w:rsidRDefault="00BF1072" w:rsidP="00BF1072">
            <w:pPr>
              <w:spacing w:after="60"/>
              <w:rPr>
                <w:rFonts w:asciiTheme="minorHAnsi" w:hAnsiTheme="minorHAnsi" w:cstheme="minorHAnsi"/>
                <w:sz w:val="20"/>
                <w:szCs w:val="20"/>
              </w:rPr>
            </w:pPr>
          </w:p>
        </w:tc>
        <w:tc>
          <w:tcPr>
            <w:tcW w:w="4229"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vAlign w:val="bottom"/>
          </w:tcPr>
          <w:p w14:paraId="6D84D9E4" w14:textId="1654C505" w:rsidR="00BF1072" w:rsidRPr="00100F0A" w:rsidRDefault="00BF1072" w:rsidP="00BF1072">
            <w:pPr>
              <w:rPr>
                <w:rFonts w:asciiTheme="minorHAnsi" w:eastAsia="Times New Roman" w:hAnsiTheme="minorHAnsi" w:cstheme="minorHAnsi"/>
                <w:sz w:val="20"/>
                <w:szCs w:val="20"/>
              </w:rPr>
            </w:pPr>
            <w:r w:rsidRPr="00100F0A">
              <w:rPr>
                <w:rFonts w:asciiTheme="minorHAnsi" w:hAnsiTheme="minorHAnsi" w:cstheme="minorHAnsi"/>
                <w:color w:val="000000"/>
                <w:sz w:val="20"/>
                <w:szCs w:val="20"/>
              </w:rPr>
              <w:t>Flat trend - traditional industry remains competitive</w:t>
            </w:r>
          </w:p>
        </w:tc>
        <w:tc>
          <w:tcPr>
            <w:tcW w:w="773" w:type="dxa"/>
            <w:tcBorders>
              <w:top w:val="dotted" w:sz="4" w:space="0" w:color="B7B7E2"/>
              <w:left w:val="single" w:sz="4" w:space="0" w:color="B7B7E2"/>
              <w:bottom w:val="dotted" w:sz="4" w:space="0" w:color="B7B7E2"/>
              <w:right w:val="single" w:sz="8" w:space="0" w:color="B7B7E2"/>
            </w:tcBorders>
            <w:tcMar>
              <w:top w:w="0" w:type="dxa"/>
              <w:left w:w="108" w:type="dxa"/>
              <w:bottom w:w="0" w:type="dxa"/>
              <w:right w:w="108" w:type="dxa"/>
            </w:tcMar>
            <w:hideMark/>
          </w:tcPr>
          <w:p w14:paraId="1CA80008" w14:textId="10A811DA" w:rsidR="00BF1072" w:rsidRPr="00100F0A" w:rsidRDefault="00BF1072" w:rsidP="004206B0">
            <w:pPr>
              <w:spacing w:after="60"/>
              <w:jc w:val="center"/>
              <w:rPr>
                <w:rFonts w:asciiTheme="minorHAnsi" w:eastAsia="Times New Roman" w:hAnsiTheme="minorHAnsi" w:cstheme="minorHAnsi"/>
                <w:sz w:val="20"/>
                <w:szCs w:val="20"/>
              </w:rPr>
            </w:pPr>
            <w:r w:rsidRPr="00100F0A">
              <w:rPr>
                <w:rFonts w:asciiTheme="minorHAnsi" w:hAnsiTheme="minorHAnsi" w:cstheme="minorHAnsi"/>
                <w:sz w:val="20"/>
                <w:szCs w:val="20"/>
              </w:rPr>
              <w:t>0.0%</w:t>
            </w:r>
          </w:p>
        </w:tc>
        <w:tc>
          <w:tcPr>
            <w:tcW w:w="413" w:type="dxa"/>
            <w:tcBorders>
              <w:top w:val="dotted" w:sz="4" w:space="0" w:color="B7B7E2"/>
              <w:left w:val="nil"/>
              <w:bottom w:val="dotted" w:sz="4" w:space="0" w:color="B7B7E2"/>
              <w:right w:val="single" w:sz="8" w:space="0" w:color="B7B7E2"/>
            </w:tcBorders>
          </w:tcPr>
          <w:p w14:paraId="741604A6" w14:textId="77777777" w:rsidR="00BF1072" w:rsidRPr="00100F0A" w:rsidRDefault="00BF1072" w:rsidP="00B30B8D">
            <w:pPr>
              <w:spacing w:after="60"/>
              <w:jc w:val="center"/>
              <w:rPr>
                <w:rFonts w:asciiTheme="minorHAnsi" w:eastAsia="Times New Roman" w:hAnsiTheme="minorHAnsi" w:cstheme="minorHAnsi"/>
                <w:sz w:val="20"/>
                <w:szCs w:val="20"/>
              </w:rPr>
            </w:pPr>
            <w:r w:rsidRPr="00100F0A">
              <w:rPr>
                <w:rFonts w:asciiTheme="minorHAnsi" w:hAnsiTheme="minorHAnsi" w:cstheme="minorHAnsi"/>
                <w:sz w:val="20"/>
                <w:szCs w:val="20"/>
              </w:rPr>
              <w:t>...</w:t>
            </w:r>
          </w:p>
        </w:tc>
        <w:tc>
          <w:tcPr>
            <w:tcW w:w="699" w:type="dxa"/>
            <w:tcBorders>
              <w:top w:val="dotted" w:sz="4" w:space="0" w:color="B7B7E2"/>
              <w:left w:val="nil"/>
              <w:bottom w:val="dotted" w:sz="4" w:space="0" w:color="B7B7E2"/>
              <w:right w:val="single" w:sz="8" w:space="0" w:color="B7B7E2"/>
            </w:tcBorders>
          </w:tcPr>
          <w:p w14:paraId="0BBD5B07" w14:textId="78A18FA1" w:rsidR="00BF1072" w:rsidRPr="00100F0A" w:rsidRDefault="00BF1072" w:rsidP="004206B0">
            <w:pPr>
              <w:spacing w:after="60"/>
              <w:jc w:val="center"/>
              <w:rPr>
                <w:rFonts w:asciiTheme="minorHAnsi" w:hAnsiTheme="minorHAnsi" w:cstheme="minorHAnsi"/>
                <w:bCs/>
                <w:color w:val="000000" w:themeColor="text1"/>
                <w:sz w:val="20"/>
                <w:szCs w:val="20"/>
              </w:rPr>
            </w:pPr>
            <w:r w:rsidRPr="00100F0A">
              <w:rPr>
                <w:rFonts w:asciiTheme="minorHAnsi" w:hAnsiTheme="minorHAnsi" w:cstheme="minorHAnsi"/>
                <w:sz w:val="20"/>
                <w:szCs w:val="20"/>
              </w:rPr>
              <w:t>0.0%</w:t>
            </w:r>
          </w:p>
        </w:tc>
        <w:tc>
          <w:tcPr>
            <w:tcW w:w="413" w:type="dxa"/>
            <w:tcBorders>
              <w:top w:val="dotted" w:sz="4" w:space="0" w:color="B7B7E2"/>
              <w:left w:val="nil"/>
              <w:bottom w:val="dotted" w:sz="4" w:space="0" w:color="B7B7E2"/>
              <w:right w:val="single" w:sz="8" w:space="0" w:color="B7B7E2"/>
            </w:tcBorders>
          </w:tcPr>
          <w:p w14:paraId="7A59E5CB" w14:textId="77777777" w:rsidR="00BF1072" w:rsidRPr="00100F0A" w:rsidRDefault="00BF1072" w:rsidP="00B30B8D">
            <w:pPr>
              <w:spacing w:after="60"/>
              <w:jc w:val="center"/>
              <w:rPr>
                <w:rFonts w:asciiTheme="minorHAnsi" w:hAnsiTheme="minorHAnsi" w:cstheme="minorHAnsi"/>
                <w:color w:val="000000" w:themeColor="text1"/>
                <w:sz w:val="20"/>
                <w:szCs w:val="20"/>
              </w:rPr>
            </w:pPr>
            <w:r w:rsidRPr="00100F0A">
              <w:rPr>
                <w:rFonts w:asciiTheme="minorHAnsi" w:hAnsiTheme="minorHAnsi" w:cstheme="minorHAnsi"/>
                <w:sz w:val="20"/>
                <w:szCs w:val="20"/>
              </w:rPr>
              <w:t>...</w:t>
            </w:r>
          </w:p>
        </w:tc>
        <w:tc>
          <w:tcPr>
            <w:tcW w:w="820" w:type="dxa"/>
            <w:tcBorders>
              <w:top w:val="dotted" w:sz="4" w:space="0" w:color="B7B7E2"/>
              <w:left w:val="nil"/>
              <w:bottom w:val="dotted" w:sz="4" w:space="0" w:color="B7B7E2"/>
              <w:right w:val="single" w:sz="8" w:space="0" w:color="B7B7E2"/>
            </w:tcBorders>
          </w:tcPr>
          <w:p w14:paraId="65D19D2C" w14:textId="5A53318C" w:rsidR="00BF1072" w:rsidRPr="00100F0A" w:rsidRDefault="00BF1072" w:rsidP="004206B0">
            <w:pPr>
              <w:spacing w:after="60"/>
              <w:jc w:val="center"/>
              <w:rPr>
                <w:rFonts w:asciiTheme="minorHAnsi" w:hAnsiTheme="minorHAnsi" w:cstheme="minorHAnsi"/>
                <w:color w:val="000000" w:themeColor="text1"/>
                <w:sz w:val="20"/>
                <w:szCs w:val="20"/>
              </w:rPr>
            </w:pPr>
            <w:r w:rsidRPr="00100F0A">
              <w:rPr>
                <w:rFonts w:asciiTheme="minorHAnsi" w:hAnsiTheme="minorHAnsi" w:cstheme="minorHAnsi"/>
                <w:sz w:val="20"/>
                <w:szCs w:val="20"/>
              </w:rPr>
              <w:t>0.0%</w:t>
            </w:r>
          </w:p>
        </w:tc>
      </w:tr>
      <w:tr w:rsidR="00BF1072" w:rsidRPr="00100F0A" w14:paraId="3A30F779" w14:textId="77777777" w:rsidTr="00BF1072">
        <w:tc>
          <w:tcPr>
            <w:tcW w:w="622" w:type="dxa"/>
            <w:tcBorders>
              <w:top w:val="dotted" w:sz="4" w:space="0" w:color="B7B7E2"/>
              <w:left w:val="single" w:sz="8" w:space="0" w:color="B7B7E2"/>
              <w:bottom w:val="single" w:sz="4" w:space="0" w:color="B7B7E2"/>
              <w:right w:val="single" w:sz="8" w:space="0" w:color="B7B7E2"/>
            </w:tcBorders>
            <w:tcMar>
              <w:top w:w="0" w:type="dxa"/>
              <w:left w:w="108" w:type="dxa"/>
              <w:bottom w:w="0" w:type="dxa"/>
              <w:right w:w="108" w:type="dxa"/>
            </w:tcMar>
            <w:hideMark/>
          </w:tcPr>
          <w:p w14:paraId="2B6E2C15" w14:textId="37FE4BA5" w:rsidR="00BF1072" w:rsidRPr="00100F0A" w:rsidRDefault="00BF1072" w:rsidP="00BF1072">
            <w:pPr>
              <w:spacing w:after="60"/>
              <w:rPr>
                <w:rFonts w:asciiTheme="minorHAnsi" w:eastAsia="Times New Roman" w:hAnsiTheme="minorHAnsi" w:cstheme="minorHAnsi"/>
                <w:sz w:val="20"/>
                <w:szCs w:val="20"/>
              </w:rPr>
            </w:pPr>
            <w:r w:rsidRPr="00100F0A">
              <w:rPr>
                <w:rFonts w:asciiTheme="minorHAnsi" w:hAnsiTheme="minorHAnsi" w:cstheme="minorHAnsi"/>
                <w:sz w:val="20"/>
                <w:szCs w:val="20"/>
              </w:rPr>
              <w:t>Low</w:t>
            </w:r>
          </w:p>
        </w:tc>
        <w:tc>
          <w:tcPr>
            <w:tcW w:w="1093" w:type="dxa"/>
            <w:vMerge/>
            <w:tcBorders>
              <w:left w:val="nil"/>
              <w:bottom w:val="single" w:sz="8" w:space="0" w:color="B7B7E2"/>
              <w:right w:val="single" w:sz="4" w:space="0" w:color="B7B7E2"/>
            </w:tcBorders>
            <w:tcMar>
              <w:top w:w="0" w:type="dxa"/>
              <w:left w:w="108" w:type="dxa"/>
              <w:bottom w:w="0" w:type="dxa"/>
              <w:right w:w="108" w:type="dxa"/>
            </w:tcMar>
          </w:tcPr>
          <w:p w14:paraId="3C9DE8BD" w14:textId="77777777" w:rsidR="00BF1072" w:rsidRPr="00100F0A" w:rsidRDefault="00BF1072" w:rsidP="00BF1072">
            <w:pPr>
              <w:spacing w:after="60"/>
              <w:rPr>
                <w:rFonts w:asciiTheme="minorHAnsi" w:hAnsiTheme="minorHAnsi" w:cstheme="minorHAnsi"/>
                <w:sz w:val="20"/>
                <w:szCs w:val="20"/>
              </w:rPr>
            </w:pPr>
          </w:p>
        </w:tc>
        <w:tc>
          <w:tcPr>
            <w:tcW w:w="4229" w:type="dxa"/>
            <w:tcBorders>
              <w:top w:val="dotted" w:sz="4" w:space="0" w:color="B7B7E2"/>
              <w:left w:val="single" w:sz="4" w:space="0" w:color="B7B7E2"/>
              <w:bottom w:val="single" w:sz="8" w:space="0" w:color="B7B7E2"/>
              <w:right w:val="single" w:sz="4" w:space="0" w:color="B7B7E2"/>
            </w:tcBorders>
            <w:tcMar>
              <w:top w:w="0" w:type="dxa"/>
              <w:left w:w="108" w:type="dxa"/>
              <w:bottom w:w="0" w:type="dxa"/>
              <w:right w:w="108" w:type="dxa"/>
            </w:tcMar>
            <w:vAlign w:val="bottom"/>
          </w:tcPr>
          <w:p w14:paraId="10F65C9A" w14:textId="2064C497" w:rsidR="00BF1072" w:rsidRPr="00100F0A" w:rsidRDefault="00BF1072" w:rsidP="00BF1072">
            <w:pPr>
              <w:rPr>
                <w:rFonts w:asciiTheme="minorHAnsi" w:eastAsia="Times New Roman" w:hAnsiTheme="minorHAnsi" w:cstheme="minorHAnsi"/>
                <w:sz w:val="20"/>
                <w:szCs w:val="20"/>
              </w:rPr>
            </w:pPr>
            <w:r w:rsidRPr="00100F0A">
              <w:rPr>
                <w:rFonts w:asciiTheme="minorHAnsi" w:hAnsiTheme="minorHAnsi" w:cstheme="minorHAnsi"/>
                <w:color w:val="000000"/>
                <w:sz w:val="20"/>
                <w:szCs w:val="20"/>
              </w:rPr>
              <w:t xml:space="preserve">Hazwaste from </w:t>
            </w:r>
            <w:r w:rsidR="00387CBE" w:rsidRPr="00100F0A">
              <w:rPr>
                <w:rFonts w:asciiTheme="minorHAnsi" w:hAnsiTheme="minorHAnsi" w:cstheme="minorHAnsi"/>
                <w:color w:val="000000"/>
                <w:sz w:val="20"/>
                <w:szCs w:val="20"/>
              </w:rPr>
              <w:t>traditional</w:t>
            </w:r>
            <w:r w:rsidRPr="00100F0A">
              <w:rPr>
                <w:rFonts w:asciiTheme="minorHAnsi" w:hAnsiTheme="minorHAnsi" w:cstheme="minorHAnsi"/>
                <w:color w:val="000000"/>
                <w:sz w:val="20"/>
                <w:szCs w:val="20"/>
              </w:rPr>
              <w:t xml:space="preserve"> manufacturing declines at double the best estimate</w:t>
            </w:r>
          </w:p>
        </w:tc>
        <w:tc>
          <w:tcPr>
            <w:tcW w:w="773" w:type="dxa"/>
            <w:tcBorders>
              <w:top w:val="dotted" w:sz="4" w:space="0" w:color="B7B7E2"/>
              <w:left w:val="single" w:sz="4" w:space="0" w:color="B7B7E2"/>
              <w:bottom w:val="single" w:sz="4" w:space="0" w:color="B7B7E2"/>
              <w:right w:val="single" w:sz="8" w:space="0" w:color="B7B7E2"/>
            </w:tcBorders>
            <w:tcMar>
              <w:top w:w="0" w:type="dxa"/>
              <w:left w:w="108" w:type="dxa"/>
              <w:bottom w:w="0" w:type="dxa"/>
              <w:right w:w="108" w:type="dxa"/>
            </w:tcMar>
            <w:hideMark/>
          </w:tcPr>
          <w:p w14:paraId="564B2D6D" w14:textId="1159B1A8" w:rsidR="00BF1072" w:rsidRPr="00100F0A" w:rsidRDefault="00BF1072" w:rsidP="004206B0">
            <w:pPr>
              <w:spacing w:after="60"/>
              <w:jc w:val="center"/>
              <w:rPr>
                <w:rFonts w:asciiTheme="minorHAnsi" w:eastAsia="Times New Roman" w:hAnsiTheme="minorHAnsi" w:cstheme="minorHAnsi"/>
                <w:sz w:val="20"/>
                <w:szCs w:val="20"/>
              </w:rPr>
            </w:pPr>
            <w:r w:rsidRPr="00100F0A">
              <w:rPr>
                <w:rFonts w:asciiTheme="minorHAnsi" w:hAnsiTheme="minorHAnsi" w:cstheme="minorHAnsi"/>
                <w:sz w:val="20"/>
                <w:szCs w:val="20"/>
              </w:rPr>
              <w:t>-1.7%</w:t>
            </w:r>
          </w:p>
        </w:tc>
        <w:tc>
          <w:tcPr>
            <w:tcW w:w="413" w:type="dxa"/>
            <w:tcBorders>
              <w:top w:val="dotted" w:sz="4" w:space="0" w:color="B7B7E2"/>
              <w:left w:val="nil"/>
              <w:bottom w:val="single" w:sz="4" w:space="0" w:color="B7B7E2"/>
              <w:right w:val="single" w:sz="8" w:space="0" w:color="B7B7E2"/>
            </w:tcBorders>
          </w:tcPr>
          <w:p w14:paraId="1D1A9241" w14:textId="77777777" w:rsidR="00BF1072" w:rsidRPr="00100F0A" w:rsidRDefault="00BF1072" w:rsidP="00B30B8D">
            <w:pPr>
              <w:spacing w:after="60"/>
              <w:jc w:val="center"/>
              <w:rPr>
                <w:rFonts w:asciiTheme="minorHAnsi" w:eastAsia="Times New Roman" w:hAnsiTheme="minorHAnsi" w:cstheme="minorHAnsi"/>
                <w:sz w:val="20"/>
                <w:szCs w:val="20"/>
              </w:rPr>
            </w:pPr>
            <w:r w:rsidRPr="00100F0A">
              <w:rPr>
                <w:rFonts w:asciiTheme="minorHAnsi" w:hAnsiTheme="minorHAnsi" w:cstheme="minorHAnsi"/>
                <w:sz w:val="20"/>
                <w:szCs w:val="20"/>
              </w:rPr>
              <w:t>...</w:t>
            </w:r>
          </w:p>
        </w:tc>
        <w:tc>
          <w:tcPr>
            <w:tcW w:w="699" w:type="dxa"/>
            <w:tcBorders>
              <w:top w:val="dotted" w:sz="4" w:space="0" w:color="B7B7E2"/>
              <w:left w:val="nil"/>
              <w:bottom w:val="single" w:sz="4" w:space="0" w:color="B7B7E2"/>
              <w:right w:val="single" w:sz="8" w:space="0" w:color="B7B7E2"/>
            </w:tcBorders>
          </w:tcPr>
          <w:p w14:paraId="1F69916C" w14:textId="69100753" w:rsidR="00BF1072" w:rsidRPr="00100F0A" w:rsidRDefault="00BF1072" w:rsidP="004206B0">
            <w:pPr>
              <w:spacing w:after="60"/>
              <w:jc w:val="center"/>
              <w:rPr>
                <w:rFonts w:asciiTheme="minorHAnsi" w:hAnsiTheme="minorHAnsi" w:cstheme="minorHAnsi"/>
                <w:bCs/>
                <w:color w:val="000000" w:themeColor="text1"/>
                <w:sz w:val="20"/>
                <w:szCs w:val="20"/>
              </w:rPr>
            </w:pPr>
            <w:r w:rsidRPr="00100F0A">
              <w:rPr>
                <w:rFonts w:asciiTheme="minorHAnsi" w:hAnsiTheme="minorHAnsi" w:cstheme="minorHAnsi"/>
                <w:sz w:val="20"/>
                <w:szCs w:val="20"/>
              </w:rPr>
              <w:t>-1.7%</w:t>
            </w:r>
          </w:p>
        </w:tc>
        <w:tc>
          <w:tcPr>
            <w:tcW w:w="413" w:type="dxa"/>
            <w:tcBorders>
              <w:top w:val="dotted" w:sz="4" w:space="0" w:color="B7B7E2"/>
              <w:left w:val="nil"/>
              <w:bottom w:val="single" w:sz="4" w:space="0" w:color="B7B7E2"/>
              <w:right w:val="single" w:sz="8" w:space="0" w:color="B7B7E2"/>
            </w:tcBorders>
          </w:tcPr>
          <w:p w14:paraId="2FFC8C7D" w14:textId="77777777" w:rsidR="00BF1072" w:rsidRPr="00100F0A" w:rsidRDefault="00BF1072" w:rsidP="00B30B8D">
            <w:pPr>
              <w:spacing w:after="60"/>
              <w:jc w:val="center"/>
              <w:rPr>
                <w:rFonts w:asciiTheme="minorHAnsi" w:hAnsiTheme="minorHAnsi" w:cstheme="minorHAnsi"/>
                <w:bCs/>
                <w:color w:val="000000" w:themeColor="text1"/>
                <w:sz w:val="20"/>
                <w:szCs w:val="20"/>
              </w:rPr>
            </w:pPr>
            <w:r w:rsidRPr="00100F0A">
              <w:rPr>
                <w:rFonts w:asciiTheme="minorHAnsi" w:hAnsiTheme="minorHAnsi" w:cstheme="minorHAnsi"/>
                <w:sz w:val="20"/>
                <w:szCs w:val="20"/>
              </w:rPr>
              <w:t>...</w:t>
            </w:r>
          </w:p>
        </w:tc>
        <w:tc>
          <w:tcPr>
            <w:tcW w:w="820" w:type="dxa"/>
            <w:tcBorders>
              <w:top w:val="dotted" w:sz="4" w:space="0" w:color="B7B7E2"/>
              <w:left w:val="nil"/>
              <w:bottom w:val="single" w:sz="4" w:space="0" w:color="B7B7E2"/>
              <w:right w:val="single" w:sz="8" w:space="0" w:color="B7B7E2"/>
            </w:tcBorders>
          </w:tcPr>
          <w:p w14:paraId="06A6705B" w14:textId="61933FC2" w:rsidR="00BF1072" w:rsidRPr="00100F0A" w:rsidRDefault="00BF1072" w:rsidP="004206B0">
            <w:pPr>
              <w:spacing w:after="60"/>
              <w:jc w:val="center"/>
              <w:rPr>
                <w:rFonts w:asciiTheme="minorHAnsi" w:hAnsiTheme="minorHAnsi" w:cstheme="minorHAnsi"/>
                <w:bCs/>
                <w:color w:val="000000" w:themeColor="text1"/>
                <w:sz w:val="20"/>
                <w:szCs w:val="20"/>
              </w:rPr>
            </w:pPr>
            <w:r w:rsidRPr="00100F0A">
              <w:rPr>
                <w:rFonts w:asciiTheme="minorHAnsi" w:hAnsiTheme="minorHAnsi" w:cstheme="minorHAnsi"/>
                <w:sz w:val="20"/>
                <w:szCs w:val="20"/>
              </w:rPr>
              <w:t>-1.7%</w:t>
            </w:r>
          </w:p>
        </w:tc>
      </w:tr>
      <w:tr w:rsidR="00A61B21" w:rsidRPr="00100F0A" w14:paraId="2FAB4725" w14:textId="77777777" w:rsidTr="00A61B21">
        <w:trPr>
          <w:trHeight w:val="331"/>
        </w:trPr>
        <w:tc>
          <w:tcPr>
            <w:tcW w:w="7829" w:type="dxa"/>
            <w:gridSpan w:val="6"/>
            <w:tcBorders>
              <w:top w:val="single" w:sz="4" w:space="0" w:color="B7B7E2"/>
              <w:left w:val="single" w:sz="8" w:space="0" w:color="B7B7E2"/>
              <w:bottom w:val="dotted" w:sz="4" w:space="0" w:color="B7B7E2"/>
              <w:right w:val="single" w:sz="8" w:space="0" w:color="B7B7E2"/>
            </w:tcBorders>
            <w:tcMar>
              <w:top w:w="0" w:type="dxa"/>
              <w:left w:w="108" w:type="dxa"/>
              <w:bottom w:w="0" w:type="dxa"/>
              <w:right w:w="108" w:type="dxa"/>
            </w:tcMar>
          </w:tcPr>
          <w:p w14:paraId="5B63BF88" w14:textId="77777777" w:rsidR="00A61B21" w:rsidRPr="00100F0A" w:rsidRDefault="00A61B21" w:rsidP="00B30B8D">
            <w:pPr>
              <w:spacing w:after="60"/>
              <w:rPr>
                <w:rFonts w:asciiTheme="minorHAnsi" w:hAnsiTheme="minorHAnsi" w:cstheme="minorHAnsi"/>
                <w:sz w:val="20"/>
                <w:szCs w:val="20"/>
              </w:rPr>
            </w:pPr>
            <w:r w:rsidRPr="00100F0A">
              <w:rPr>
                <w:rFonts w:asciiTheme="minorHAnsi" w:hAnsiTheme="minorHAnsi" w:cstheme="minorHAnsi"/>
                <w:iCs/>
                <w:color w:val="4D4DB8"/>
                <w:sz w:val="20"/>
                <w:szCs w:val="20"/>
              </w:rPr>
              <w:t>On-site storage releases (absolute tonnes pa)</w:t>
            </w:r>
          </w:p>
        </w:tc>
        <w:tc>
          <w:tcPr>
            <w:tcW w:w="413" w:type="dxa"/>
            <w:tcBorders>
              <w:top w:val="single" w:sz="4" w:space="0" w:color="B7B7E2"/>
              <w:left w:val="single" w:sz="8" w:space="0" w:color="B7B7E2"/>
              <w:bottom w:val="dotted" w:sz="4" w:space="0" w:color="B7B7E2"/>
              <w:right w:val="single" w:sz="8" w:space="0" w:color="B7B7E2"/>
            </w:tcBorders>
          </w:tcPr>
          <w:p w14:paraId="1CB7AD75" w14:textId="77777777" w:rsidR="00A61B21" w:rsidRPr="00100F0A" w:rsidRDefault="00A61B21" w:rsidP="004206B0">
            <w:pPr>
              <w:spacing w:after="60"/>
              <w:jc w:val="center"/>
              <w:rPr>
                <w:rFonts w:asciiTheme="minorHAnsi" w:hAnsiTheme="minorHAnsi" w:cstheme="minorHAnsi"/>
                <w:iCs/>
                <w:color w:val="4D4DB8"/>
                <w:sz w:val="20"/>
                <w:szCs w:val="20"/>
              </w:rPr>
            </w:pPr>
          </w:p>
        </w:tc>
        <w:tc>
          <w:tcPr>
            <w:tcW w:w="820" w:type="dxa"/>
            <w:tcBorders>
              <w:top w:val="single" w:sz="4" w:space="0" w:color="B7B7E2"/>
              <w:left w:val="single" w:sz="8" w:space="0" w:color="B7B7E2"/>
              <w:bottom w:val="dotted" w:sz="4" w:space="0" w:color="B7B7E2"/>
              <w:right w:val="single" w:sz="8" w:space="0" w:color="B7B7E2"/>
            </w:tcBorders>
          </w:tcPr>
          <w:p w14:paraId="4D862E4E" w14:textId="77777777" w:rsidR="00A61B21" w:rsidRPr="00100F0A" w:rsidRDefault="00A61B21" w:rsidP="004206B0">
            <w:pPr>
              <w:spacing w:after="60"/>
              <w:jc w:val="center"/>
              <w:rPr>
                <w:rFonts w:asciiTheme="minorHAnsi" w:hAnsiTheme="minorHAnsi" w:cstheme="minorHAnsi"/>
                <w:iCs/>
                <w:color w:val="4D4DB8"/>
                <w:sz w:val="20"/>
                <w:szCs w:val="20"/>
              </w:rPr>
            </w:pPr>
          </w:p>
        </w:tc>
      </w:tr>
      <w:tr w:rsidR="00BF1072" w:rsidRPr="00100F0A" w14:paraId="125FAADD" w14:textId="77777777" w:rsidTr="002B2606">
        <w:tc>
          <w:tcPr>
            <w:tcW w:w="622" w:type="dxa"/>
            <w:tcBorders>
              <w:top w:val="single" w:sz="4" w:space="0" w:color="B7B7E2"/>
              <w:left w:val="single" w:sz="4" w:space="0" w:color="B7B7E2"/>
              <w:bottom w:val="dotted" w:sz="4" w:space="0" w:color="B7B7E2"/>
              <w:right w:val="single" w:sz="4" w:space="0" w:color="B7B7E2"/>
            </w:tcBorders>
            <w:tcMar>
              <w:top w:w="0" w:type="dxa"/>
              <w:left w:w="108" w:type="dxa"/>
              <w:bottom w:w="0" w:type="dxa"/>
              <w:right w:w="108" w:type="dxa"/>
            </w:tcMar>
            <w:hideMark/>
          </w:tcPr>
          <w:p w14:paraId="58D523FE" w14:textId="005C402A" w:rsidR="00BF1072" w:rsidRPr="00100F0A" w:rsidRDefault="00BF1072" w:rsidP="00BF1072">
            <w:pPr>
              <w:spacing w:after="60"/>
              <w:rPr>
                <w:rFonts w:asciiTheme="minorHAnsi" w:eastAsia="Times New Roman" w:hAnsiTheme="minorHAnsi" w:cstheme="minorHAnsi"/>
                <w:sz w:val="20"/>
                <w:szCs w:val="20"/>
              </w:rPr>
            </w:pPr>
            <w:r w:rsidRPr="00100F0A">
              <w:rPr>
                <w:rFonts w:asciiTheme="minorHAnsi" w:hAnsiTheme="minorHAnsi" w:cstheme="minorHAnsi"/>
                <w:sz w:val="20"/>
                <w:szCs w:val="20"/>
              </w:rPr>
              <w:t>Best</w:t>
            </w:r>
          </w:p>
        </w:tc>
        <w:tc>
          <w:tcPr>
            <w:tcW w:w="1093" w:type="dxa"/>
            <w:vMerge w:val="restart"/>
            <w:tcBorders>
              <w:top w:val="single" w:sz="8" w:space="0" w:color="B7B7E2"/>
              <w:left w:val="single" w:sz="4" w:space="0" w:color="B7B7E2"/>
              <w:right w:val="single" w:sz="8" w:space="0" w:color="B7B7E2"/>
            </w:tcBorders>
            <w:tcMar>
              <w:top w:w="0" w:type="dxa"/>
              <w:left w:w="108" w:type="dxa"/>
              <w:bottom w:w="0" w:type="dxa"/>
              <w:right w:w="108" w:type="dxa"/>
            </w:tcMar>
            <w:vAlign w:val="center"/>
          </w:tcPr>
          <w:p w14:paraId="03D2A10B" w14:textId="65B6AC60" w:rsidR="00BF1072" w:rsidRPr="00100F0A" w:rsidRDefault="00BF1072" w:rsidP="00BF1072">
            <w:pPr>
              <w:spacing w:after="60"/>
              <w:rPr>
                <w:rFonts w:asciiTheme="minorHAnsi" w:hAnsiTheme="minorHAnsi" w:cstheme="minorHAnsi"/>
                <w:sz w:val="20"/>
                <w:szCs w:val="20"/>
              </w:rPr>
            </w:pPr>
            <w:r w:rsidRPr="00100F0A">
              <w:rPr>
                <w:rFonts w:asciiTheme="minorHAnsi" w:hAnsiTheme="minorHAnsi" w:cstheme="minorHAnsi"/>
                <w:sz w:val="20"/>
                <w:szCs w:val="20"/>
              </w:rPr>
              <w:t>Vic</w:t>
            </w:r>
          </w:p>
        </w:tc>
        <w:tc>
          <w:tcPr>
            <w:tcW w:w="4229" w:type="dxa"/>
            <w:tcBorders>
              <w:top w:val="single" w:sz="8" w:space="0" w:color="B7B7E2"/>
              <w:left w:val="nil"/>
              <w:bottom w:val="dotted" w:sz="4" w:space="0" w:color="B7B7E2"/>
              <w:right w:val="single" w:sz="4" w:space="0" w:color="B7B7E2"/>
            </w:tcBorders>
            <w:tcMar>
              <w:top w:w="0" w:type="dxa"/>
              <w:left w:w="108" w:type="dxa"/>
              <w:bottom w:w="0" w:type="dxa"/>
              <w:right w:w="108" w:type="dxa"/>
            </w:tcMar>
            <w:vAlign w:val="bottom"/>
          </w:tcPr>
          <w:p w14:paraId="4278C756" w14:textId="7EB781D5" w:rsidR="00BF1072" w:rsidRPr="00100F0A" w:rsidRDefault="00BF1072" w:rsidP="00BF1072">
            <w:pPr>
              <w:rPr>
                <w:rFonts w:asciiTheme="minorHAnsi" w:eastAsia="Times New Roman" w:hAnsiTheme="minorHAnsi" w:cstheme="minorHAnsi"/>
                <w:sz w:val="20"/>
                <w:szCs w:val="20"/>
              </w:rPr>
            </w:pPr>
            <w:r w:rsidRPr="00100F0A">
              <w:rPr>
                <w:rFonts w:asciiTheme="minorHAnsi" w:hAnsiTheme="minorHAnsi" w:cstheme="minorHAnsi"/>
                <w:color w:val="000000"/>
                <w:sz w:val="20"/>
                <w:szCs w:val="20"/>
              </w:rPr>
              <w:t>Stockpile cleared in 10 years, at a linear rate, (starting 2020)</w:t>
            </w:r>
          </w:p>
        </w:tc>
        <w:tc>
          <w:tcPr>
            <w:tcW w:w="773" w:type="dxa"/>
            <w:tcBorders>
              <w:top w:val="single" w:sz="4" w:space="0" w:color="B7B7E2"/>
              <w:left w:val="single" w:sz="4" w:space="0" w:color="B7B7E2"/>
              <w:bottom w:val="dotted" w:sz="4" w:space="0" w:color="B7B7E2"/>
              <w:right w:val="single" w:sz="4" w:space="0" w:color="B7B7E2"/>
            </w:tcBorders>
            <w:tcMar>
              <w:top w:w="0" w:type="dxa"/>
              <w:left w:w="108" w:type="dxa"/>
              <w:bottom w:w="0" w:type="dxa"/>
              <w:right w:w="108" w:type="dxa"/>
            </w:tcMar>
          </w:tcPr>
          <w:p w14:paraId="2E840BC1" w14:textId="539CAF12" w:rsidR="00BF1072" w:rsidRPr="00100F0A" w:rsidRDefault="00BF1072" w:rsidP="004206B0">
            <w:pPr>
              <w:spacing w:after="60"/>
              <w:jc w:val="center"/>
              <w:rPr>
                <w:rFonts w:asciiTheme="minorHAnsi" w:eastAsia="Times New Roman" w:hAnsiTheme="minorHAnsi" w:cstheme="minorHAnsi"/>
                <w:color w:val="000000" w:themeColor="text1"/>
                <w:sz w:val="20"/>
                <w:szCs w:val="20"/>
              </w:rPr>
            </w:pPr>
            <w:r w:rsidRPr="00100F0A">
              <w:rPr>
                <w:rFonts w:asciiTheme="minorHAnsi" w:hAnsiTheme="minorHAnsi" w:cstheme="minorHAnsi"/>
                <w:sz w:val="20"/>
                <w:szCs w:val="20"/>
              </w:rPr>
              <w:t>1,700</w:t>
            </w:r>
          </w:p>
        </w:tc>
        <w:tc>
          <w:tcPr>
            <w:tcW w:w="413" w:type="dxa"/>
            <w:tcBorders>
              <w:top w:val="single" w:sz="4" w:space="0" w:color="B7B7E2"/>
              <w:left w:val="single" w:sz="4" w:space="0" w:color="B7B7E2"/>
              <w:bottom w:val="dotted" w:sz="4" w:space="0" w:color="B7B7E2"/>
              <w:right w:val="single" w:sz="4" w:space="0" w:color="B7B7E2"/>
            </w:tcBorders>
          </w:tcPr>
          <w:p w14:paraId="1AC3B8F7" w14:textId="77777777" w:rsidR="00BF1072" w:rsidRPr="00100F0A" w:rsidRDefault="00BF1072" w:rsidP="00B30B8D">
            <w:pPr>
              <w:spacing w:after="60"/>
              <w:jc w:val="center"/>
              <w:rPr>
                <w:rFonts w:asciiTheme="minorHAnsi" w:eastAsia="Times New Roman" w:hAnsiTheme="minorHAnsi" w:cstheme="minorHAnsi"/>
                <w:sz w:val="20"/>
                <w:szCs w:val="20"/>
              </w:rPr>
            </w:pPr>
            <w:r w:rsidRPr="00100F0A">
              <w:rPr>
                <w:rFonts w:asciiTheme="minorHAnsi" w:hAnsiTheme="minorHAnsi" w:cstheme="minorHAnsi"/>
                <w:sz w:val="20"/>
                <w:szCs w:val="20"/>
              </w:rPr>
              <w:t>...</w:t>
            </w:r>
          </w:p>
        </w:tc>
        <w:tc>
          <w:tcPr>
            <w:tcW w:w="699" w:type="dxa"/>
            <w:tcBorders>
              <w:top w:val="single" w:sz="4" w:space="0" w:color="B7B7E2"/>
              <w:left w:val="single" w:sz="4" w:space="0" w:color="B7B7E2"/>
              <w:bottom w:val="dotted" w:sz="4" w:space="0" w:color="B7B7E2"/>
              <w:right w:val="single" w:sz="4" w:space="0" w:color="B7B7E2"/>
            </w:tcBorders>
          </w:tcPr>
          <w:p w14:paraId="619BAB01" w14:textId="2429296D" w:rsidR="00BF1072" w:rsidRPr="00100F0A" w:rsidRDefault="00BF1072" w:rsidP="004206B0">
            <w:pPr>
              <w:spacing w:after="60"/>
              <w:jc w:val="center"/>
              <w:rPr>
                <w:rFonts w:asciiTheme="minorHAnsi" w:eastAsia="Times New Roman" w:hAnsiTheme="minorHAnsi" w:cstheme="minorHAnsi"/>
                <w:color w:val="000000" w:themeColor="text1"/>
                <w:sz w:val="20"/>
                <w:szCs w:val="20"/>
              </w:rPr>
            </w:pPr>
            <w:r w:rsidRPr="00100F0A">
              <w:rPr>
                <w:rFonts w:asciiTheme="minorHAnsi" w:hAnsiTheme="minorHAnsi" w:cstheme="minorHAnsi"/>
                <w:sz w:val="20"/>
                <w:szCs w:val="20"/>
              </w:rPr>
              <w:t>1,700</w:t>
            </w:r>
          </w:p>
        </w:tc>
        <w:tc>
          <w:tcPr>
            <w:tcW w:w="413" w:type="dxa"/>
            <w:tcBorders>
              <w:top w:val="single" w:sz="4" w:space="0" w:color="B7B7E2"/>
              <w:left w:val="single" w:sz="4" w:space="0" w:color="B7B7E2"/>
              <w:bottom w:val="dotted" w:sz="4" w:space="0" w:color="B7B7E2"/>
              <w:right w:val="single" w:sz="4" w:space="0" w:color="B7B7E2"/>
            </w:tcBorders>
          </w:tcPr>
          <w:p w14:paraId="2BFC25F3" w14:textId="77777777" w:rsidR="00BF1072" w:rsidRPr="00100F0A" w:rsidRDefault="00BF1072" w:rsidP="00B30B8D">
            <w:pPr>
              <w:spacing w:after="60"/>
              <w:jc w:val="center"/>
              <w:rPr>
                <w:rFonts w:asciiTheme="minorHAnsi" w:hAnsiTheme="minorHAnsi" w:cstheme="minorHAnsi"/>
                <w:sz w:val="20"/>
                <w:szCs w:val="20"/>
              </w:rPr>
            </w:pPr>
            <w:r w:rsidRPr="00100F0A">
              <w:rPr>
                <w:rFonts w:asciiTheme="minorHAnsi" w:hAnsiTheme="minorHAnsi" w:cstheme="minorHAnsi"/>
                <w:sz w:val="20"/>
                <w:szCs w:val="20"/>
              </w:rPr>
              <w:t>...</w:t>
            </w:r>
          </w:p>
        </w:tc>
        <w:tc>
          <w:tcPr>
            <w:tcW w:w="820" w:type="dxa"/>
            <w:tcBorders>
              <w:top w:val="single" w:sz="4" w:space="0" w:color="B7B7E2"/>
              <w:left w:val="single" w:sz="4" w:space="0" w:color="B7B7E2"/>
              <w:bottom w:val="dotted" w:sz="4" w:space="0" w:color="B7B7E2"/>
              <w:right w:val="single" w:sz="4" w:space="0" w:color="B7B7E2"/>
            </w:tcBorders>
          </w:tcPr>
          <w:p w14:paraId="034893ED" w14:textId="77777777" w:rsidR="00BF1072" w:rsidRPr="00100F0A" w:rsidRDefault="00BF1072" w:rsidP="004206B0">
            <w:pPr>
              <w:spacing w:after="60"/>
              <w:jc w:val="center"/>
              <w:rPr>
                <w:rFonts w:asciiTheme="minorHAnsi" w:hAnsiTheme="minorHAnsi" w:cstheme="minorHAnsi"/>
                <w:color w:val="000000" w:themeColor="text1"/>
                <w:sz w:val="20"/>
                <w:szCs w:val="20"/>
              </w:rPr>
            </w:pPr>
            <w:r w:rsidRPr="00100F0A">
              <w:rPr>
                <w:rFonts w:asciiTheme="minorHAnsi" w:hAnsiTheme="minorHAnsi" w:cstheme="minorHAnsi"/>
                <w:bCs/>
                <w:color w:val="000000" w:themeColor="text1"/>
                <w:sz w:val="20"/>
                <w:szCs w:val="20"/>
              </w:rPr>
              <w:t>0</w:t>
            </w:r>
          </w:p>
        </w:tc>
      </w:tr>
      <w:tr w:rsidR="00BF1072" w:rsidRPr="00100F0A" w14:paraId="666EB804" w14:textId="77777777" w:rsidTr="002B2606">
        <w:tc>
          <w:tcPr>
            <w:tcW w:w="622"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hideMark/>
          </w:tcPr>
          <w:p w14:paraId="7B2AA9DD" w14:textId="185F9345" w:rsidR="00BF1072" w:rsidRPr="00100F0A" w:rsidRDefault="00BF1072" w:rsidP="00BF1072">
            <w:pPr>
              <w:spacing w:after="60"/>
              <w:rPr>
                <w:rFonts w:asciiTheme="minorHAnsi" w:eastAsia="Times New Roman" w:hAnsiTheme="minorHAnsi" w:cstheme="minorHAnsi"/>
                <w:sz w:val="20"/>
                <w:szCs w:val="20"/>
              </w:rPr>
            </w:pPr>
            <w:r w:rsidRPr="00100F0A">
              <w:rPr>
                <w:rFonts w:asciiTheme="minorHAnsi" w:hAnsiTheme="minorHAnsi" w:cstheme="minorHAnsi"/>
                <w:sz w:val="20"/>
                <w:szCs w:val="20"/>
              </w:rPr>
              <w:t>High</w:t>
            </w:r>
          </w:p>
        </w:tc>
        <w:tc>
          <w:tcPr>
            <w:tcW w:w="1093" w:type="dxa"/>
            <w:vMerge/>
            <w:tcBorders>
              <w:top w:val="single" w:sz="4" w:space="0" w:color="auto"/>
              <w:left w:val="single" w:sz="4" w:space="0" w:color="B7B7E2"/>
              <w:right w:val="single" w:sz="8" w:space="0" w:color="B7B7E2"/>
            </w:tcBorders>
            <w:tcMar>
              <w:top w:w="0" w:type="dxa"/>
              <w:left w:w="108" w:type="dxa"/>
              <w:bottom w:w="0" w:type="dxa"/>
              <w:right w:w="108" w:type="dxa"/>
            </w:tcMar>
          </w:tcPr>
          <w:p w14:paraId="2EC3825D" w14:textId="77777777" w:rsidR="00BF1072" w:rsidRPr="00100F0A" w:rsidRDefault="00BF1072" w:rsidP="00BF1072">
            <w:pPr>
              <w:spacing w:after="60"/>
              <w:rPr>
                <w:rFonts w:asciiTheme="minorHAnsi" w:hAnsiTheme="minorHAnsi" w:cstheme="minorHAnsi"/>
                <w:sz w:val="20"/>
                <w:szCs w:val="20"/>
              </w:rPr>
            </w:pPr>
          </w:p>
        </w:tc>
        <w:tc>
          <w:tcPr>
            <w:tcW w:w="4229" w:type="dxa"/>
            <w:tcBorders>
              <w:top w:val="dotted" w:sz="4" w:space="0" w:color="B7B7E2"/>
              <w:left w:val="nil"/>
              <w:bottom w:val="dotted" w:sz="4" w:space="0" w:color="B7B7E2"/>
              <w:right w:val="single" w:sz="4" w:space="0" w:color="B7B7E2"/>
            </w:tcBorders>
            <w:tcMar>
              <w:top w:w="0" w:type="dxa"/>
              <w:left w:w="108" w:type="dxa"/>
              <w:bottom w:w="0" w:type="dxa"/>
              <w:right w:w="108" w:type="dxa"/>
            </w:tcMar>
            <w:vAlign w:val="bottom"/>
          </w:tcPr>
          <w:p w14:paraId="1D6D0606" w14:textId="680683F6" w:rsidR="00BF1072" w:rsidRPr="00100F0A" w:rsidRDefault="00BF1072" w:rsidP="00BF1072">
            <w:pPr>
              <w:rPr>
                <w:rFonts w:asciiTheme="minorHAnsi" w:hAnsiTheme="minorHAnsi" w:cstheme="minorHAnsi"/>
                <w:color w:val="000000"/>
                <w:sz w:val="20"/>
                <w:szCs w:val="20"/>
              </w:rPr>
            </w:pPr>
            <w:r w:rsidRPr="00100F0A">
              <w:rPr>
                <w:rFonts w:asciiTheme="minorHAnsi" w:hAnsiTheme="minorHAnsi" w:cstheme="minorHAnsi"/>
                <w:color w:val="000000"/>
                <w:sz w:val="20"/>
                <w:szCs w:val="20"/>
              </w:rPr>
              <w:t xml:space="preserve">Stockpile cleared in </w:t>
            </w:r>
            <w:r w:rsidR="0026508D">
              <w:rPr>
                <w:rFonts w:asciiTheme="minorHAnsi" w:hAnsiTheme="minorHAnsi" w:cstheme="minorHAnsi"/>
                <w:color w:val="000000"/>
                <w:sz w:val="20"/>
                <w:szCs w:val="20"/>
              </w:rPr>
              <w:t>seven</w:t>
            </w:r>
            <w:r w:rsidR="0026508D" w:rsidRPr="00100F0A">
              <w:rPr>
                <w:rFonts w:asciiTheme="minorHAnsi" w:hAnsiTheme="minorHAnsi" w:cstheme="minorHAnsi"/>
                <w:color w:val="000000"/>
                <w:sz w:val="20"/>
                <w:szCs w:val="20"/>
              </w:rPr>
              <w:t xml:space="preserve"> </w:t>
            </w:r>
            <w:r w:rsidRPr="00100F0A">
              <w:rPr>
                <w:rFonts w:asciiTheme="minorHAnsi" w:hAnsiTheme="minorHAnsi" w:cstheme="minorHAnsi"/>
                <w:color w:val="000000"/>
                <w:sz w:val="20"/>
                <w:szCs w:val="20"/>
              </w:rPr>
              <w:t>years, at a linear rate, (starting 2020)</w:t>
            </w:r>
          </w:p>
        </w:tc>
        <w:tc>
          <w:tcPr>
            <w:tcW w:w="773"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tcPr>
          <w:p w14:paraId="7A8CDEA8" w14:textId="22D5BD02" w:rsidR="00BF1072" w:rsidRPr="00100F0A" w:rsidRDefault="00BF1072" w:rsidP="004206B0">
            <w:pPr>
              <w:spacing w:after="60"/>
              <w:jc w:val="center"/>
              <w:rPr>
                <w:rFonts w:asciiTheme="minorHAnsi" w:eastAsia="Times New Roman" w:hAnsiTheme="minorHAnsi" w:cstheme="minorHAnsi"/>
                <w:color w:val="000000" w:themeColor="text1"/>
                <w:sz w:val="20"/>
                <w:szCs w:val="20"/>
              </w:rPr>
            </w:pPr>
            <w:r w:rsidRPr="00100F0A">
              <w:rPr>
                <w:rFonts w:asciiTheme="minorHAnsi" w:hAnsiTheme="minorHAnsi" w:cstheme="minorHAnsi"/>
                <w:sz w:val="20"/>
                <w:szCs w:val="20"/>
              </w:rPr>
              <w:t>2,429</w:t>
            </w:r>
          </w:p>
        </w:tc>
        <w:tc>
          <w:tcPr>
            <w:tcW w:w="413" w:type="dxa"/>
            <w:tcBorders>
              <w:top w:val="dotted" w:sz="4" w:space="0" w:color="B7B7E2"/>
              <w:left w:val="single" w:sz="4" w:space="0" w:color="B7B7E2"/>
              <w:bottom w:val="dotted" w:sz="4" w:space="0" w:color="B7B7E2"/>
              <w:right w:val="single" w:sz="4" w:space="0" w:color="B7B7E2"/>
            </w:tcBorders>
          </w:tcPr>
          <w:p w14:paraId="0946C201" w14:textId="77777777" w:rsidR="00BF1072" w:rsidRPr="00100F0A" w:rsidRDefault="00BF1072" w:rsidP="00B30B8D">
            <w:pPr>
              <w:spacing w:after="60"/>
              <w:jc w:val="center"/>
              <w:rPr>
                <w:rFonts w:asciiTheme="minorHAnsi" w:eastAsia="Times New Roman" w:hAnsiTheme="minorHAnsi" w:cstheme="minorHAnsi"/>
                <w:sz w:val="20"/>
                <w:szCs w:val="20"/>
              </w:rPr>
            </w:pPr>
            <w:r w:rsidRPr="00100F0A">
              <w:rPr>
                <w:rFonts w:asciiTheme="minorHAnsi" w:hAnsiTheme="minorHAnsi" w:cstheme="minorHAnsi"/>
                <w:sz w:val="20"/>
                <w:szCs w:val="20"/>
              </w:rPr>
              <w:t>...</w:t>
            </w:r>
          </w:p>
        </w:tc>
        <w:tc>
          <w:tcPr>
            <w:tcW w:w="699" w:type="dxa"/>
            <w:tcBorders>
              <w:top w:val="dotted" w:sz="4" w:space="0" w:color="B7B7E2"/>
              <w:left w:val="single" w:sz="4" w:space="0" w:color="B7B7E2"/>
              <w:bottom w:val="dotted" w:sz="4" w:space="0" w:color="B7B7E2"/>
              <w:right w:val="single" w:sz="4" w:space="0" w:color="B7B7E2"/>
            </w:tcBorders>
          </w:tcPr>
          <w:p w14:paraId="7A8D5449" w14:textId="5A2708E5" w:rsidR="00BF1072" w:rsidRPr="00100F0A" w:rsidRDefault="00BF1072" w:rsidP="004206B0">
            <w:pPr>
              <w:spacing w:after="60"/>
              <w:jc w:val="center"/>
              <w:rPr>
                <w:rFonts w:asciiTheme="minorHAnsi" w:eastAsia="Times New Roman" w:hAnsiTheme="minorHAnsi" w:cstheme="minorHAnsi"/>
                <w:color w:val="000000" w:themeColor="text1"/>
                <w:sz w:val="20"/>
                <w:szCs w:val="20"/>
              </w:rPr>
            </w:pPr>
            <w:r w:rsidRPr="00100F0A">
              <w:rPr>
                <w:rFonts w:asciiTheme="minorHAnsi" w:hAnsiTheme="minorHAnsi" w:cstheme="minorHAnsi"/>
                <w:sz w:val="20"/>
                <w:szCs w:val="20"/>
              </w:rPr>
              <w:t>2,429</w:t>
            </w:r>
          </w:p>
        </w:tc>
        <w:tc>
          <w:tcPr>
            <w:tcW w:w="413" w:type="dxa"/>
            <w:tcBorders>
              <w:top w:val="dotted" w:sz="4" w:space="0" w:color="B7B7E2"/>
              <w:left w:val="single" w:sz="4" w:space="0" w:color="B7B7E2"/>
              <w:bottom w:val="dotted" w:sz="4" w:space="0" w:color="B7B7E2"/>
              <w:right w:val="single" w:sz="4" w:space="0" w:color="B7B7E2"/>
            </w:tcBorders>
          </w:tcPr>
          <w:p w14:paraId="1AE77001" w14:textId="77777777" w:rsidR="00BF1072" w:rsidRPr="00100F0A" w:rsidRDefault="00BF1072" w:rsidP="00B30B8D">
            <w:pPr>
              <w:spacing w:after="60"/>
              <w:jc w:val="center"/>
              <w:rPr>
                <w:rFonts w:asciiTheme="minorHAnsi" w:hAnsiTheme="minorHAnsi" w:cstheme="minorHAnsi"/>
                <w:sz w:val="20"/>
                <w:szCs w:val="20"/>
              </w:rPr>
            </w:pPr>
            <w:r w:rsidRPr="00100F0A">
              <w:rPr>
                <w:rFonts w:asciiTheme="minorHAnsi" w:hAnsiTheme="minorHAnsi" w:cstheme="minorHAnsi"/>
                <w:sz w:val="20"/>
                <w:szCs w:val="20"/>
              </w:rPr>
              <w:t>...</w:t>
            </w:r>
          </w:p>
        </w:tc>
        <w:tc>
          <w:tcPr>
            <w:tcW w:w="820" w:type="dxa"/>
            <w:tcBorders>
              <w:top w:val="dotted" w:sz="4" w:space="0" w:color="B7B7E2"/>
              <w:left w:val="single" w:sz="4" w:space="0" w:color="B7B7E2"/>
              <w:bottom w:val="dotted" w:sz="4" w:space="0" w:color="B7B7E2"/>
              <w:right w:val="single" w:sz="4" w:space="0" w:color="B7B7E2"/>
            </w:tcBorders>
          </w:tcPr>
          <w:p w14:paraId="3BC09707" w14:textId="77777777" w:rsidR="00BF1072" w:rsidRPr="00100F0A" w:rsidRDefault="00BF1072" w:rsidP="004206B0">
            <w:pPr>
              <w:spacing w:after="60"/>
              <w:jc w:val="center"/>
              <w:rPr>
                <w:rFonts w:asciiTheme="minorHAnsi" w:hAnsiTheme="minorHAnsi" w:cstheme="minorHAnsi"/>
                <w:color w:val="000000" w:themeColor="text1"/>
                <w:sz w:val="20"/>
                <w:szCs w:val="20"/>
              </w:rPr>
            </w:pPr>
            <w:r w:rsidRPr="00100F0A">
              <w:rPr>
                <w:rFonts w:asciiTheme="minorHAnsi" w:hAnsiTheme="minorHAnsi" w:cstheme="minorHAnsi"/>
                <w:bCs/>
                <w:color w:val="000000" w:themeColor="text1"/>
                <w:sz w:val="20"/>
                <w:szCs w:val="20"/>
              </w:rPr>
              <w:t>0</w:t>
            </w:r>
          </w:p>
        </w:tc>
      </w:tr>
      <w:tr w:rsidR="00BF1072" w:rsidRPr="00100F0A" w14:paraId="1F215640" w14:textId="77777777" w:rsidTr="002B2606">
        <w:tc>
          <w:tcPr>
            <w:tcW w:w="622" w:type="dxa"/>
            <w:tcBorders>
              <w:top w:val="dotted" w:sz="4" w:space="0" w:color="B7B7E2"/>
              <w:left w:val="single" w:sz="4" w:space="0" w:color="B7B7E2"/>
              <w:bottom w:val="single" w:sz="8" w:space="0" w:color="B7B7E2"/>
              <w:right w:val="single" w:sz="4" w:space="0" w:color="B7B7E2"/>
            </w:tcBorders>
            <w:tcMar>
              <w:top w:w="0" w:type="dxa"/>
              <w:left w:w="108" w:type="dxa"/>
              <w:bottom w:w="0" w:type="dxa"/>
              <w:right w:w="108" w:type="dxa"/>
            </w:tcMar>
            <w:hideMark/>
          </w:tcPr>
          <w:p w14:paraId="40964E70" w14:textId="3B5109BB" w:rsidR="00BF1072" w:rsidRPr="00100F0A" w:rsidRDefault="00BF1072" w:rsidP="00BF1072">
            <w:pPr>
              <w:spacing w:after="60"/>
              <w:rPr>
                <w:rFonts w:asciiTheme="minorHAnsi" w:eastAsia="Times New Roman" w:hAnsiTheme="minorHAnsi" w:cstheme="minorHAnsi"/>
                <w:sz w:val="20"/>
                <w:szCs w:val="20"/>
              </w:rPr>
            </w:pPr>
            <w:r w:rsidRPr="00100F0A">
              <w:rPr>
                <w:rFonts w:asciiTheme="minorHAnsi" w:hAnsiTheme="minorHAnsi" w:cstheme="minorHAnsi"/>
                <w:sz w:val="20"/>
                <w:szCs w:val="20"/>
              </w:rPr>
              <w:t>Low</w:t>
            </w:r>
          </w:p>
        </w:tc>
        <w:tc>
          <w:tcPr>
            <w:tcW w:w="1093" w:type="dxa"/>
            <w:vMerge/>
            <w:tcBorders>
              <w:top w:val="single" w:sz="4" w:space="0" w:color="auto"/>
              <w:left w:val="single" w:sz="4" w:space="0" w:color="B7B7E2"/>
              <w:bottom w:val="single" w:sz="8" w:space="0" w:color="B7B7E2"/>
              <w:right w:val="single" w:sz="8" w:space="0" w:color="B7B7E2"/>
            </w:tcBorders>
            <w:tcMar>
              <w:top w:w="0" w:type="dxa"/>
              <w:left w:w="108" w:type="dxa"/>
              <w:bottom w:w="0" w:type="dxa"/>
              <w:right w:w="108" w:type="dxa"/>
            </w:tcMar>
          </w:tcPr>
          <w:p w14:paraId="614C087C" w14:textId="77777777" w:rsidR="00BF1072" w:rsidRPr="00100F0A" w:rsidRDefault="00BF1072" w:rsidP="00BF1072">
            <w:pPr>
              <w:spacing w:after="60"/>
              <w:rPr>
                <w:rFonts w:asciiTheme="minorHAnsi" w:hAnsiTheme="minorHAnsi" w:cstheme="minorHAnsi"/>
                <w:sz w:val="20"/>
                <w:szCs w:val="20"/>
              </w:rPr>
            </w:pPr>
          </w:p>
        </w:tc>
        <w:tc>
          <w:tcPr>
            <w:tcW w:w="4229" w:type="dxa"/>
            <w:tcBorders>
              <w:top w:val="dotted" w:sz="4" w:space="0" w:color="B7B7E2"/>
              <w:left w:val="nil"/>
              <w:bottom w:val="single" w:sz="8" w:space="0" w:color="B7B7E2"/>
              <w:right w:val="single" w:sz="4" w:space="0" w:color="B7B7E2"/>
            </w:tcBorders>
            <w:tcMar>
              <w:top w:w="0" w:type="dxa"/>
              <w:left w:w="108" w:type="dxa"/>
              <w:bottom w:w="0" w:type="dxa"/>
              <w:right w:w="108" w:type="dxa"/>
            </w:tcMar>
            <w:vAlign w:val="bottom"/>
          </w:tcPr>
          <w:p w14:paraId="3CEE692B" w14:textId="25EAAC33" w:rsidR="00BF1072" w:rsidRPr="00100F0A" w:rsidRDefault="00BF1072" w:rsidP="00BF1072">
            <w:pPr>
              <w:rPr>
                <w:rFonts w:asciiTheme="minorHAnsi" w:eastAsia="Times New Roman" w:hAnsiTheme="minorHAnsi" w:cstheme="minorHAnsi"/>
                <w:sz w:val="20"/>
                <w:szCs w:val="20"/>
              </w:rPr>
            </w:pPr>
            <w:r w:rsidRPr="00100F0A">
              <w:rPr>
                <w:rFonts w:asciiTheme="minorHAnsi" w:hAnsiTheme="minorHAnsi" w:cstheme="minorHAnsi"/>
                <w:color w:val="000000"/>
                <w:sz w:val="20"/>
                <w:szCs w:val="20"/>
              </w:rPr>
              <w:t>Stockpile remains (status quo)</w:t>
            </w:r>
          </w:p>
        </w:tc>
        <w:tc>
          <w:tcPr>
            <w:tcW w:w="773" w:type="dxa"/>
            <w:tcBorders>
              <w:top w:val="dotted" w:sz="4" w:space="0" w:color="B7B7E2"/>
              <w:left w:val="single" w:sz="4" w:space="0" w:color="B7B7E2"/>
              <w:bottom w:val="single" w:sz="8" w:space="0" w:color="B7B7E2"/>
              <w:right w:val="single" w:sz="4" w:space="0" w:color="B7B7E2"/>
            </w:tcBorders>
            <w:tcMar>
              <w:top w:w="0" w:type="dxa"/>
              <w:left w:w="108" w:type="dxa"/>
              <w:bottom w:w="0" w:type="dxa"/>
              <w:right w:w="108" w:type="dxa"/>
            </w:tcMar>
          </w:tcPr>
          <w:p w14:paraId="21457495" w14:textId="0783D1EB" w:rsidR="00BF1072" w:rsidRPr="00100F0A" w:rsidRDefault="00BF1072" w:rsidP="004206B0">
            <w:pPr>
              <w:spacing w:after="60"/>
              <w:jc w:val="center"/>
              <w:rPr>
                <w:rFonts w:asciiTheme="minorHAnsi" w:eastAsia="Times New Roman" w:hAnsiTheme="minorHAnsi" w:cstheme="minorHAnsi"/>
                <w:color w:val="000000" w:themeColor="text1"/>
                <w:sz w:val="20"/>
                <w:szCs w:val="20"/>
              </w:rPr>
            </w:pPr>
            <w:r w:rsidRPr="00100F0A">
              <w:rPr>
                <w:rFonts w:asciiTheme="minorHAnsi" w:hAnsiTheme="minorHAnsi" w:cstheme="minorHAnsi"/>
                <w:sz w:val="20"/>
                <w:szCs w:val="20"/>
              </w:rPr>
              <w:t>0</w:t>
            </w:r>
          </w:p>
        </w:tc>
        <w:tc>
          <w:tcPr>
            <w:tcW w:w="413" w:type="dxa"/>
            <w:tcBorders>
              <w:top w:val="dotted" w:sz="4" w:space="0" w:color="B7B7E2"/>
              <w:left w:val="single" w:sz="4" w:space="0" w:color="B7B7E2"/>
              <w:bottom w:val="single" w:sz="8" w:space="0" w:color="B7B7E2"/>
              <w:right w:val="single" w:sz="4" w:space="0" w:color="B7B7E2"/>
            </w:tcBorders>
          </w:tcPr>
          <w:p w14:paraId="0096496E" w14:textId="77777777" w:rsidR="00BF1072" w:rsidRPr="00100F0A" w:rsidRDefault="00BF1072" w:rsidP="00B30B8D">
            <w:pPr>
              <w:spacing w:after="60"/>
              <w:jc w:val="center"/>
              <w:rPr>
                <w:rFonts w:asciiTheme="minorHAnsi" w:eastAsia="Times New Roman" w:hAnsiTheme="minorHAnsi" w:cstheme="minorHAnsi"/>
                <w:sz w:val="20"/>
                <w:szCs w:val="20"/>
              </w:rPr>
            </w:pPr>
            <w:r w:rsidRPr="00100F0A">
              <w:rPr>
                <w:rFonts w:asciiTheme="minorHAnsi" w:hAnsiTheme="minorHAnsi" w:cstheme="minorHAnsi"/>
                <w:sz w:val="20"/>
                <w:szCs w:val="20"/>
              </w:rPr>
              <w:t>...</w:t>
            </w:r>
          </w:p>
        </w:tc>
        <w:tc>
          <w:tcPr>
            <w:tcW w:w="699" w:type="dxa"/>
            <w:tcBorders>
              <w:top w:val="dotted" w:sz="4" w:space="0" w:color="B7B7E2"/>
              <w:left w:val="single" w:sz="4" w:space="0" w:color="B7B7E2"/>
              <w:bottom w:val="single" w:sz="8" w:space="0" w:color="B7B7E2"/>
              <w:right w:val="single" w:sz="4" w:space="0" w:color="B7B7E2"/>
            </w:tcBorders>
          </w:tcPr>
          <w:p w14:paraId="208BB783" w14:textId="11CE95A7" w:rsidR="00BF1072" w:rsidRPr="00100F0A" w:rsidRDefault="00BF1072" w:rsidP="004206B0">
            <w:pPr>
              <w:spacing w:after="60"/>
              <w:jc w:val="center"/>
              <w:rPr>
                <w:rFonts w:asciiTheme="minorHAnsi" w:eastAsia="Times New Roman" w:hAnsiTheme="minorHAnsi" w:cstheme="minorHAnsi"/>
                <w:color w:val="000000" w:themeColor="text1"/>
                <w:sz w:val="20"/>
                <w:szCs w:val="20"/>
              </w:rPr>
            </w:pPr>
            <w:r w:rsidRPr="00100F0A">
              <w:rPr>
                <w:rFonts w:asciiTheme="minorHAnsi" w:hAnsiTheme="minorHAnsi" w:cstheme="minorHAnsi"/>
                <w:sz w:val="20"/>
                <w:szCs w:val="20"/>
              </w:rPr>
              <w:t>0</w:t>
            </w:r>
          </w:p>
        </w:tc>
        <w:tc>
          <w:tcPr>
            <w:tcW w:w="413" w:type="dxa"/>
            <w:tcBorders>
              <w:top w:val="dotted" w:sz="4" w:space="0" w:color="B7B7E2"/>
              <w:left w:val="single" w:sz="4" w:space="0" w:color="B7B7E2"/>
              <w:bottom w:val="single" w:sz="8" w:space="0" w:color="B7B7E2"/>
              <w:right w:val="single" w:sz="4" w:space="0" w:color="B7B7E2"/>
            </w:tcBorders>
          </w:tcPr>
          <w:p w14:paraId="2B0BD90F" w14:textId="77777777" w:rsidR="00BF1072" w:rsidRPr="00100F0A" w:rsidRDefault="00BF1072" w:rsidP="00B30B8D">
            <w:pPr>
              <w:spacing w:after="60"/>
              <w:jc w:val="center"/>
              <w:rPr>
                <w:rFonts w:asciiTheme="minorHAnsi" w:hAnsiTheme="minorHAnsi" w:cstheme="minorHAnsi"/>
                <w:sz w:val="20"/>
                <w:szCs w:val="20"/>
              </w:rPr>
            </w:pPr>
            <w:r w:rsidRPr="00100F0A">
              <w:rPr>
                <w:rFonts w:asciiTheme="minorHAnsi" w:hAnsiTheme="minorHAnsi" w:cstheme="minorHAnsi"/>
                <w:sz w:val="20"/>
                <w:szCs w:val="20"/>
              </w:rPr>
              <w:t>...</w:t>
            </w:r>
          </w:p>
        </w:tc>
        <w:tc>
          <w:tcPr>
            <w:tcW w:w="820" w:type="dxa"/>
            <w:tcBorders>
              <w:top w:val="dotted" w:sz="4" w:space="0" w:color="B7B7E2"/>
              <w:left w:val="single" w:sz="4" w:space="0" w:color="B7B7E2"/>
              <w:bottom w:val="single" w:sz="8" w:space="0" w:color="B7B7E2"/>
              <w:right w:val="single" w:sz="4" w:space="0" w:color="B7B7E2"/>
            </w:tcBorders>
          </w:tcPr>
          <w:p w14:paraId="0092E9D6" w14:textId="77777777" w:rsidR="00BF1072" w:rsidRPr="00100F0A" w:rsidRDefault="00BF1072" w:rsidP="004206B0">
            <w:pPr>
              <w:spacing w:after="60"/>
              <w:jc w:val="center"/>
              <w:rPr>
                <w:rFonts w:asciiTheme="minorHAnsi" w:hAnsiTheme="minorHAnsi" w:cstheme="minorHAnsi"/>
                <w:color w:val="000000" w:themeColor="text1"/>
                <w:sz w:val="20"/>
                <w:szCs w:val="20"/>
              </w:rPr>
            </w:pPr>
            <w:r w:rsidRPr="00100F0A">
              <w:rPr>
                <w:rFonts w:asciiTheme="minorHAnsi" w:hAnsiTheme="minorHAnsi" w:cstheme="minorHAnsi"/>
                <w:color w:val="000000" w:themeColor="text1"/>
                <w:sz w:val="20"/>
                <w:szCs w:val="20"/>
              </w:rPr>
              <w:t>0</w:t>
            </w:r>
          </w:p>
        </w:tc>
      </w:tr>
    </w:tbl>
    <w:p w14:paraId="0212734F" w14:textId="77777777" w:rsidR="00A61B21" w:rsidRPr="00100F0A" w:rsidRDefault="00A61B21" w:rsidP="005E702F">
      <w:pPr>
        <w:pStyle w:val="BodyText"/>
      </w:pPr>
    </w:p>
    <w:p w14:paraId="490988DE" w14:textId="337FCBD0" w:rsidR="00601CB2" w:rsidRPr="00100F0A" w:rsidRDefault="00601CB2" w:rsidP="00273FA6">
      <w:pPr>
        <w:pStyle w:val="Caption"/>
      </w:pPr>
      <w:bookmarkStart w:id="182" w:name="_Toc425849229"/>
      <w:bookmarkStart w:id="183" w:name="_Toc13225586"/>
      <w:r w:rsidRPr="00100F0A">
        <w:t xml:space="preserve">Figure </w:t>
      </w:r>
      <w:r w:rsidR="00B404A6" w:rsidRPr="00100F0A">
        <w:rPr>
          <w:noProof/>
        </w:rPr>
        <w:fldChar w:fldCharType="begin"/>
      </w:r>
      <w:r w:rsidR="00B404A6" w:rsidRPr="00100F0A">
        <w:rPr>
          <w:noProof/>
        </w:rPr>
        <w:instrText xml:space="preserve"> SEQ Figure \* ARABIC </w:instrText>
      </w:r>
      <w:r w:rsidR="00B404A6" w:rsidRPr="00100F0A">
        <w:rPr>
          <w:noProof/>
        </w:rPr>
        <w:fldChar w:fldCharType="separate"/>
      </w:r>
      <w:r w:rsidR="00EB634D">
        <w:rPr>
          <w:noProof/>
        </w:rPr>
        <w:t>13</w:t>
      </w:r>
      <w:r w:rsidR="00B404A6" w:rsidRPr="00100F0A">
        <w:rPr>
          <w:noProof/>
        </w:rPr>
        <w:fldChar w:fldCharType="end"/>
      </w:r>
      <w:r w:rsidR="00C14F18">
        <w:rPr>
          <w:noProof/>
        </w:rPr>
        <w:t>:</w:t>
      </w:r>
      <w:r w:rsidR="00D11FEE" w:rsidRPr="00100F0A">
        <w:tab/>
      </w:r>
      <w:r w:rsidRPr="00100F0A">
        <w:t>Best, high and low national projection estimates of other inorganic chemical waste to 203</w:t>
      </w:r>
      <w:bookmarkEnd w:id="182"/>
      <w:r w:rsidR="00905944" w:rsidRPr="00100F0A">
        <w:t>7</w:t>
      </w:r>
      <w:bookmarkEnd w:id="183"/>
    </w:p>
    <w:p w14:paraId="0DD47BED" w14:textId="54FFA490" w:rsidR="00601CB2" w:rsidRPr="00100F0A" w:rsidRDefault="00BF1072" w:rsidP="00601CB2">
      <w:pPr>
        <w:pStyle w:val="BodyText"/>
      </w:pPr>
      <w:r w:rsidRPr="00100F0A">
        <w:rPr>
          <w:noProof/>
          <w:lang w:eastAsia="en-AU"/>
        </w:rPr>
        <w:drawing>
          <wp:inline distT="0" distB="0" distL="0" distR="0" wp14:anchorId="6E5912B5" wp14:editId="3E14876E">
            <wp:extent cx="5735955" cy="210629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5955" cy="2106295"/>
                    </a:xfrm>
                    <a:prstGeom prst="rect">
                      <a:avLst/>
                    </a:prstGeom>
                  </pic:spPr>
                </pic:pic>
              </a:graphicData>
            </a:graphic>
          </wp:inline>
        </w:drawing>
      </w:r>
    </w:p>
    <w:p w14:paraId="442B6BFF" w14:textId="77777777" w:rsidR="00601CB2" w:rsidRPr="00100F0A" w:rsidRDefault="00601CB2" w:rsidP="00601CB2">
      <w:pPr>
        <w:rPr>
          <w:rFonts w:ascii="Arial Rounded MT Bold" w:hAnsi="Arial Rounded MT Bold" w:cs="Arial"/>
          <w:color w:val="0000FF"/>
        </w:rPr>
      </w:pPr>
      <w:r w:rsidRPr="00100F0A">
        <w:br w:type="page"/>
      </w:r>
    </w:p>
    <w:p w14:paraId="50DAF013" w14:textId="22AA9A7E" w:rsidR="00601CB2" w:rsidRPr="00100F0A" w:rsidRDefault="00601CB2" w:rsidP="00AD35BF">
      <w:pPr>
        <w:pStyle w:val="Heading3"/>
      </w:pPr>
      <w:r w:rsidRPr="00100F0A">
        <w:t xml:space="preserve">E Reactive chemicals </w:t>
      </w:r>
    </w:p>
    <w:p w14:paraId="7A38EBF4" w14:textId="77777777" w:rsidR="00601CB2" w:rsidRPr="00100F0A" w:rsidRDefault="00601CB2" w:rsidP="00601CB2">
      <w:pPr>
        <w:pStyle w:val="BodyText"/>
      </w:pPr>
      <w:r w:rsidRPr="00100F0A">
        <w:t xml:space="preserve">This waste group includes only one NEPM 75 code: </w:t>
      </w:r>
      <w:r w:rsidRPr="00100F0A">
        <w:rPr>
          <w:i/>
        </w:rPr>
        <w:t>E100 Waste containing peroxides other than hydrogen peroxide</w:t>
      </w:r>
      <w:r w:rsidRPr="00100F0A">
        <w:t>, although it shares similar strong oxidising properties to D340 Perchlorates and D350 Chlorates, which were not grouped together in this category to preserve NEPM E reporting alignment and because the contributions from D340 and D350 are similarly small.</w:t>
      </w:r>
    </w:p>
    <w:p w14:paraId="74C0F4C9" w14:textId="77777777" w:rsidR="00601CB2" w:rsidRPr="00100F0A" w:rsidRDefault="00601CB2" w:rsidP="00601CB2">
      <w:pPr>
        <w:pStyle w:val="BodyText"/>
      </w:pPr>
    </w:p>
    <w:p w14:paraId="297BBAAF" w14:textId="77777777" w:rsidR="00601CB2" w:rsidRPr="00100F0A" w:rsidRDefault="00601CB2" w:rsidP="00931F74">
      <w:pPr>
        <w:pStyle w:val="Heading3-nonumber"/>
      </w:pPr>
      <w:r w:rsidRPr="00100F0A">
        <w:t>Summary analysis</w:t>
      </w:r>
    </w:p>
    <w:tbl>
      <w:tblPr>
        <w:tblStyle w:val="BETable11"/>
        <w:tblW w:w="4882" w:type="pct"/>
        <w:tblInd w:w="0" w:type="dxa"/>
        <w:tblBorders>
          <w:top w:val="single" w:sz="4" w:space="0" w:color="AAABD6"/>
          <w:left w:val="single" w:sz="4" w:space="0" w:color="AAABD6"/>
          <w:bottom w:val="single" w:sz="4" w:space="0" w:color="AAABD6"/>
          <w:right w:val="single" w:sz="4" w:space="0" w:color="AAABD6"/>
          <w:insideH w:val="dotted" w:sz="4" w:space="0" w:color="AAABD6"/>
          <w:insideV w:val="single" w:sz="4" w:space="0" w:color="AAABD6"/>
        </w:tblBorders>
        <w:tblLook w:val="04A0" w:firstRow="1" w:lastRow="0" w:firstColumn="1" w:lastColumn="0" w:noHBand="0" w:noVBand="1"/>
      </w:tblPr>
      <w:tblGrid>
        <w:gridCol w:w="4106"/>
        <w:gridCol w:w="1766"/>
        <w:gridCol w:w="2937"/>
      </w:tblGrid>
      <w:tr w:rsidR="00167C72" w:rsidRPr="00100F0A" w14:paraId="35370772" w14:textId="77777777" w:rsidTr="00167C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pct"/>
            <w:shd w:val="clear" w:color="auto" w:fill="AAABD6"/>
          </w:tcPr>
          <w:p w14:paraId="0AB58233" w14:textId="77777777" w:rsidR="00601CB2" w:rsidRPr="00100F0A" w:rsidRDefault="00601CB2" w:rsidP="002A3A54">
            <w:pPr>
              <w:pStyle w:val="BodyText"/>
              <w:rPr>
                <w:color w:val="FFFFFF" w:themeColor="background1"/>
              </w:rPr>
            </w:pPr>
            <w:r w:rsidRPr="00100F0A">
              <w:rPr>
                <w:color w:val="FFFFFF" w:themeColor="background1"/>
              </w:rPr>
              <w:t>Industry sources</w:t>
            </w:r>
          </w:p>
        </w:tc>
        <w:tc>
          <w:tcPr>
            <w:tcW w:w="1002" w:type="pct"/>
            <w:shd w:val="clear" w:color="auto" w:fill="AAABD6"/>
          </w:tcPr>
          <w:p w14:paraId="7050A1F6" w14:textId="77777777" w:rsidR="00601CB2" w:rsidRPr="00100F0A" w:rsidRDefault="00601CB2"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Considerations</w:t>
            </w:r>
          </w:p>
        </w:tc>
        <w:tc>
          <w:tcPr>
            <w:tcW w:w="1667" w:type="pct"/>
            <w:shd w:val="clear" w:color="auto" w:fill="AAABD6"/>
          </w:tcPr>
          <w:p w14:paraId="6062467D" w14:textId="77777777" w:rsidR="00601CB2" w:rsidRPr="00100F0A" w:rsidRDefault="00601CB2"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r>
      <w:tr w:rsidR="00167C72" w:rsidRPr="00100F0A" w14:paraId="2987B84E" w14:textId="77777777" w:rsidTr="00167C72">
        <w:trPr>
          <w:trHeight w:val="1629"/>
        </w:trPr>
        <w:tc>
          <w:tcPr>
            <w:cnfStyle w:val="001000000000" w:firstRow="0" w:lastRow="0" w:firstColumn="1" w:lastColumn="0" w:oddVBand="0" w:evenVBand="0" w:oddHBand="0" w:evenHBand="0" w:firstRowFirstColumn="0" w:firstRowLastColumn="0" w:lastRowFirstColumn="0" w:lastRowLastColumn="0"/>
            <w:tcW w:w="2330" w:type="pct"/>
          </w:tcPr>
          <w:p w14:paraId="1B2578AF" w14:textId="77777777" w:rsidR="00167C72" w:rsidRPr="00100F0A" w:rsidRDefault="00167C72" w:rsidP="00E96D3C">
            <w:pPr>
              <w:pStyle w:val="ListParagraph"/>
              <w:numPr>
                <w:ilvl w:val="0"/>
                <w:numId w:val="20"/>
              </w:numPr>
              <w:ind w:left="426"/>
              <w:rPr>
                <w:color w:val="000000"/>
              </w:rPr>
            </w:pPr>
            <w:r w:rsidRPr="00100F0A">
              <w:rPr>
                <w:color w:val="000000"/>
              </w:rPr>
              <w:t>Chemical manufacturing</w:t>
            </w:r>
          </w:p>
          <w:p w14:paraId="07938401" w14:textId="77777777" w:rsidR="00167C72" w:rsidRPr="00100F0A" w:rsidRDefault="00167C72" w:rsidP="00E96D3C">
            <w:pPr>
              <w:pStyle w:val="ListParagraph"/>
              <w:numPr>
                <w:ilvl w:val="0"/>
                <w:numId w:val="20"/>
              </w:numPr>
              <w:ind w:left="426"/>
              <w:rPr>
                <w:color w:val="000000"/>
              </w:rPr>
            </w:pPr>
            <w:r w:rsidRPr="00100F0A">
              <w:rPr>
                <w:color w:val="000000"/>
              </w:rPr>
              <w:t>Metal product manufacturing</w:t>
            </w:r>
          </w:p>
          <w:p w14:paraId="413BD735" w14:textId="77777777" w:rsidR="00167C72" w:rsidRPr="00100F0A" w:rsidRDefault="00167C72" w:rsidP="00E96D3C">
            <w:pPr>
              <w:pStyle w:val="ListParagraph"/>
              <w:numPr>
                <w:ilvl w:val="0"/>
                <w:numId w:val="20"/>
              </w:numPr>
              <w:ind w:left="426"/>
              <w:rPr>
                <w:color w:val="000000"/>
              </w:rPr>
            </w:pPr>
            <w:r w:rsidRPr="00100F0A">
              <w:rPr>
                <w:color w:val="000000"/>
              </w:rPr>
              <w:t>Water supply drainage &amp; sewerage</w:t>
            </w:r>
          </w:p>
          <w:p w14:paraId="2FBBD29D" w14:textId="77777777" w:rsidR="00167C72" w:rsidRPr="00100F0A" w:rsidRDefault="00167C72" w:rsidP="00E96D3C">
            <w:pPr>
              <w:pStyle w:val="ListParagraph"/>
              <w:numPr>
                <w:ilvl w:val="0"/>
                <w:numId w:val="20"/>
              </w:numPr>
              <w:ind w:left="426"/>
              <w:rPr>
                <w:color w:val="000000"/>
              </w:rPr>
            </w:pPr>
            <w:r w:rsidRPr="00100F0A">
              <w:rPr>
                <w:color w:val="000000"/>
              </w:rPr>
              <w:t>Oil and gas extraction</w:t>
            </w:r>
          </w:p>
          <w:p w14:paraId="538B9A04" w14:textId="77777777" w:rsidR="00167C72" w:rsidRPr="00100F0A" w:rsidRDefault="00167C72" w:rsidP="00E96D3C">
            <w:pPr>
              <w:pStyle w:val="ListParagraph"/>
              <w:numPr>
                <w:ilvl w:val="0"/>
                <w:numId w:val="20"/>
              </w:numPr>
              <w:ind w:left="426"/>
              <w:rPr>
                <w:color w:val="000000"/>
              </w:rPr>
            </w:pPr>
            <w:r w:rsidRPr="00100F0A">
              <w:rPr>
                <w:color w:val="000000"/>
              </w:rPr>
              <w:t>Soap and other detergent manufacturing</w:t>
            </w:r>
          </w:p>
          <w:p w14:paraId="2DA06226" w14:textId="77777777" w:rsidR="00167C72" w:rsidRPr="00100F0A" w:rsidRDefault="00167C72" w:rsidP="00E96D3C">
            <w:pPr>
              <w:pStyle w:val="ListParagraph"/>
              <w:numPr>
                <w:ilvl w:val="0"/>
                <w:numId w:val="20"/>
              </w:numPr>
              <w:ind w:left="426"/>
              <w:rPr>
                <w:color w:val="000000"/>
              </w:rPr>
            </w:pPr>
            <w:r w:rsidRPr="00100F0A">
              <w:rPr>
                <w:color w:val="000000"/>
              </w:rPr>
              <w:t>Potato, corn and other crisp manufacturing</w:t>
            </w:r>
          </w:p>
        </w:tc>
        <w:tc>
          <w:tcPr>
            <w:tcW w:w="1002" w:type="pct"/>
          </w:tcPr>
          <w:p w14:paraId="7CE20559" w14:textId="05F590EB" w:rsidR="00167C72" w:rsidRPr="00100F0A" w:rsidRDefault="00167C72" w:rsidP="00167C72">
            <w:pPr>
              <w:pStyle w:val="BodyText"/>
              <w:cnfStyle w:val="000000000000" w:firstRow="0" w:lastRow="0" w:firstColumn="0" w:lastColumn="0" w:oddVBand="0" w:evenVBand="0" w:oddHBand="0" w:evenHBand="0" w:firstRowFirstColumn="0" w:firstRowLastColumn="0" w:lastRowFirstColumn="0" w:lastRowLastColumn="0"/>
            </w:pPr>
            <w:r w:rsidRPr="00100F0A">
              <w:t>No sufficiently credible pre-existing projections were identified</w:t>
            </w:r>
          </w:p>
        </w:tc>
        <w:tc>
          <w:tcPr>
            <w:tcW w:w="1667" w:type="pct"/>
          </w:tcPr>
          <w:p w14:paraId="1F63841D" w14:textId="38C5433D" w:rsidR="00167C72" w:rsidRPr="00100F0A" w:rsidRDefault="00167C72" w:rsidP="00167C72">
            <w:pPr>
              <w:pStyle w:val="BodyText"/>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Assume traditional manufacturing industry decline</w:t>
            </w:r>
          </w:p>
          <w:p w14:paraId="7FBDA59F" w14:textId="77777777" w:rsidR="00167C72" w:rsidRPr="00100F0A" w:rsidRDefault="00167C72" w:rsidP="002A3A54">
            <w:pPr>
              <w:pStyle w:val="BodyText"/>
              <w:cnfStyle w:val="000000000000" w:firstRow="0" w:lastRow="0" w:firstColumn="0" w:lastColumn="0" w:oddVBand="0" w:evenVBand="0" w:oddHBand="0" w:evenHBand="0" w:firstRowFirstColumn="0" w:firstRowLastColumn="0" w:lastRowFirstColumn="0" w:lastRowLastColumn="0"/>
              <w:rPr>
                <w:color w:val="000000"/>
              </w:rPr>
            </w:pPr>
          </w:p>
        </w:tc>
      </w:tr>
    </w:tbl>
    <w:p w14:paraId="5D543538" w14:textId="77777777" w:rsidR="00601CB2" w:rsidRPr="00100F0A" w:rsidRDefault="00601CB2" w:rsidP="00601CB2">
      <w:pPr>
        <w:pStyle w:val="BodyText"/>
      </w:pPr>
    </w:p>
    <w:p w14:paraId="028AA015" w14:textId="6AD8EACA" w:rsidR="00601CB2" w:rsidRPr="00100F0A" w:rsidRDefault="00601CB2" w:rsidP="00273FA6">
      <w:pPr>
        <w:pStyle w:val="Caption"/>
      </w:pPr>
      <w:bookmarkStart w:id="184" w:name="_Toc425849300"/>
      <w:bookmarkStart w:id="185" w:name="_Toc13225636"/>
      <w:r w:rsidRPr="00100F0A">
        <w:t xml:space="preserve">Table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17</w:t>
      </w:r>
      <w:r w:rsidR="00B404A6" w:rsidRPr="00100F0A">
        <w:rPr>
          <w:noProof/>
        </w:rPr>
        <w:fldChar w:fldCharType="end"/>
      </w:r>
      <w:r w:rsidR="00C14F18">
        <w:rPr>
          <w:noProof/>
        </w:rPr>
        <w:t>:</w:t>
      </w:r>
      <w:r w:rsidR="00D11FEE" w:rsidRPr="00100F0A">
        <w:tab/>
      </w:r>
      <w:r w:rsidRPr="00100F0A">
        <w:t>Best, high and low projected rates of change for reactive chemical waste to 203</w:t>
      </w:r>
      <w:bookmarkEnd w:id="184"/>
      <w:r w:rsidR="00167C72" w:rsidRPr="00100F0A">
        <w:t>7</w:t>
      </w:r>
      <w:bookmarkEnd w:id="185"/>
    </w:p>
    <w:tbl>
      <w:tblPr>
        <w:tblStyle w:val="BETable1"/>
        <w:tblW w:w="8727" w:type="dxa"/>
        <w:tblBorders>
          <w:top w:val="single" w:sz="4" w:space="0" w:color="AAABD6"/>
          <w:left w:val="single" w:sz="4" w:space="0" w:color="AAABD6"/>
          <w:bottom w:val="single" w:sz="4" w:space="0" w:color="AAABD6"/>
          <w:right w:val="single" w:sz="4" w:space="0" w:color="AAABD6"/>
          <w:insideH w:val="dotted" w:sz="4" w:space="0" w:color="AAABD6"/>
          <w:insideV w:val="single" w:sz="4" w:space="0" w:color="AAABD6"/>
        </w:tblBorders>
        <w:tblLayout w:type="fixed"/>
        <w:tblLook w:val="04A0" w:firstRow="1" w:lastRow="0" w:firstColumn="1" w:lastColumn="0" w:noHBand="0" w:noVBand="1"/>
      </w:tblPr>
      <w:tblGrid>
        <w:gridCol w:w="1134"/>
        <w:gridCol w:w="1134"/>
        <w:gridCol w:w="4395"/>
        <w:gridCol w:w="803"/>
        <w:gridCol w:w="476"/>
        <w:gridCol w:w="785"/>
      </w:tblGrid>
      <w:tr w:rsidR="00EF2745" w:rsidRPr="00100F0A" w14:paraId="1C688D32" w14:textId="77777777" w:rsidTr="00167C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AABD6"/>
          </w:tcPr>
          <w:p w14:paraId="1B2BE6F9" w14:textId="77777777" w:rsidR="00601CB2" w:rsidRPr="00100F0A" w:rsidRDefault="00601CB2" w:rsidP="002A3A54">
            <w:pPr>
              <w:rPr>
                <w:color w:val="FFFFFF" w:themeColor="background1"/>
              </w:rPr>
            </w:pPr>
          </w:p>
        </w:tc>
        <w:tc>
          <w:tcPr>
            <w:tcW w:w="1134" w:type="dxa"/>
            <w:shd w:val="clear" w:color="auto" w:fill="AAABD6"/>
          </w:tcPr>
          <w:p w14:paraId="7E48B1C7" w14:textId="77777777" w:rsidR="00601CB2" w:rsidRPr="00100F0A" w:rsidRDefault="00601CB2" w:rsidP="002A3A5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Applies to</w:t>
            </w:r>
          </w:p>
        </w:tc>
        <w:tc>
          <w:tcPr>
            <w:tcW w:w="4395" w:type="dxa"/>
            <w:shd w:val="clear" w:color="auto" w:fill="AAABD6"/>
          </w:tcPr>
          <w:p w14:paraId="45D90F89" w14:textId="77777777" w:rsidR="00601CB2" w:rsidRPr="00100F0A" w:rsidRDefault="00601CB2" w:rsidP="002A3A5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c>
          <w:tcPr>
            <w:tcW w:w="803" w:type="dxa"/>
            <w:shd w:val="clear" w:color="auto" w:fill="AAABD6"/>
          </w:tcPr>
          <w:p w14:paraId="3335D882" w14:textId="46040A47" w:rsidR="00601CB2" w:rsidRPr="00100F0A" w:rsidRDefault="00167C72" w:rsidP="004206B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2018</w:t>
            </w:r>
          </w:p>
        </w:tc>
        <w:tc>
          <w:tcPr>
            <w:tcW w:w="476" w:type="dxa"/>
            <w:shd w:val="clear" w:color="auto" w:fill="AAABD6"/>
          </w:tcPr>
          <w:p w14:paraId="33BFAF9F" w14:textId="77777777" w:rsidR="00601CB2" w:rsidRPr="00100F0A" w:rsidRDefault="00601CB2" w:rsidP="00B30B8D">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w:t>
            </w:r>
          </w:p>
        </w:tc>
        <w:tc>
          <w:tcPr>
            <w:tcW w:w="785" w:type="dxa"/>
            <w:shd w:val="clear" w:color="auto" w:fill="AAABD6"/>
          </w:tcPr>
          <w:p w14:paraId="5BC129AC" w14:textId="6DAE3E40" w:rsidR="00601CB2" w:rsidRPr="00100F0A" w:rsidRDefault="00167C72" w:rsidP="004206B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2037</w:t>
            </w:r>
          </w:p>
        </w:tc>
      </w:tr>
      <w:tr w:rsidR="00167C72" w:rsidRPr="00100F0A" w14:paraId="3AD755E1" w14:textId="77777777" w:rsidTr="00167C72">
        <w:tc>
          <w:tcPr>
            <w:cnfStyle w:val="001000000000" w:firstRow="0" w:lastRow="0" w:firstColumn="1" w:lastColumn="0" w:oddVBand="0" w:evenVBand="0" w:oddHBand="0" w:evenHBand="0" w:firstRowFirstColumn="0" w:firstRowLastColumn="0" w:lastRowFirstColumn="0" w:lastRowLastColumn="0"/>
            <w:tcW w:w="1134" w:type="dxa"/>
          </w:tcPr>
          <w:p w14:paraId="71FD653E" w14:textId="77777777" w:rsidR="00167C72" w:rsidRPr="00100F0A" w:rsidRDefault="00167C72" w:rsidP="00167C72">
            <w:r w:rsidRPr="00100F0A">
              <w:t>Best</w:t>
            </w:r>
          </w:p>
        </w:tc>
        <w:tc>
          <w:tcPr>
            <w:tcW w:w="1134" w:type="dxa"/>
            <w:vMerge w:val="restart"/>
            <w:vAlign w:val="center"/>
          </w:tcPr>
          <w:p w14:paraId="2121F090" w14:textId="77777777" w:rsidR="00167C72" w:rsidRPr="00100F0A" w:rsidRDefault="00167C72" w:rsidP="00167C72">
            <w:pPr>
              <w:cnfStyle w:val="000000000000" w:firstRow="0" w:lastRow="0" w:firstColumn="0" w:lastColumn="0" w:oddVBand="0" w:evenVBand="0" w:oddHBand="0" w:evenHBand="0" w:firstRowFirstColumn="0" w:firstRowLastColumn="0" w:lastRowFirstColumn="0" w:lastRowLastColumn="0"/>
            </w:pPr>
            <w:r w:rsidRPr="00100F0A">
              <w:t>ACT, NSW, NT, Qld, SA, Tas, Vic, WA</w:t>
            </w:r>
          </w:p>
        </w:tc>
        <w:tc>
          <w:tcPr>
            <w:tcW w:w="4395" w:type="dxa"/>
            <w:vAlign w:val="bottom"/>
          </w:tcPr>
          <w:p w14:paraId="2E1693AA" w14:textId="1E4DCDA4" w:rsidR="00167C72" w:rsidRPr="00100F0A" w:rsidRDefault="00167C72" w:rsidP="00167C72">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Projected ann</w:t>
            </w:r>
            <w:r w:rsidR="00070A4A">
              <w:rPr>
                <w:rFonts w:cs="Calibri"/>
                <w:color w:val="000000"/>
              </w:rPr>
              <w:t>ual</w:t>
            </w:r>
            <w:r w:rsidRPr="00100F0A">
              <w:rPr>
                <w:rFonts w:cs="Calibri"/>
                <w:color w:val="000000"/>
              </w:rPr>
              <w:t xml:space="preserve"> growth in manufact</w:t>
            </w:r>
            <w:r w:rsidR="00070A4A">
              <w:rPr>
                <w:rFonts w:cs="Calibri"/>
                <w:color w:val="000000"/>
              </w:rPr>
              <w:t xml:space="preserve">uring </w:t>
            </w:r>
            <w:r w:rsidRPr="00100F0A">
              <w:rPr>
                <w:rFonts w:cs="Calibri"/>
                <w:color w:val="000000"/>
              </w:rPr>
              <w:t>employment 2017-22</w:t>
            </w:r>
          </w:p>
        </w:tc>
        <w:tc>
          <w:tcPr>
            <w:tcW w:w="803" w:type="dxa"/>
          </w:tcPr>
          <w:p w14:paraId="332BA1F2" w14:textId="398C2343" w:rsidR="00167C72" w:rsidRPr="00100F0A" w:rsidRDefault="00167C72"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bCs/>
              </w:rPr>
              <w:t>-0.9%</w:t>
            </w:r>
          </w:p>
        </w:tc>
        <w:tc>
          <w:tcPr>
            <w:tcW w:w="476" w:type="dxa"/>
          </w:tcPr>
          <w:p w14:paraId="2BF09BCE" w14:textId="77777777" w:rsidR="00167C72" w:rsidRPr="00100F0A" w:rsidRDefault="00167C72" w:rsidP="00B30B8D">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785" w:type="dxa"/>
          </w:tcPr>
          <w:p w14:paraId="4895EDF9" w14:textId="7A4A47F1" w:rsidR="00167C72" w:rsidRPr="00100F0A" w:rsidRDefault="00167C72"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bCs/>
              </w:rPr>
              <w:t>-0.9%</w:t>
            </w:r>
          </w:p>
        </w:tc>
      </w:tr>
      <w:tr w:rsidR="00167C72" w:rsidRPr="00100F0A" w14:paraId="2E79D325" w14:textId="77777777" w:rsidTr="00167C72">
        <w:tc>
          <w:tcPr>
            <w:cnfStyle w:val="001000000000" w:firstRow="0" w:lastRow="0" w:firstColumn="1" w:lastColumn="0" w:oddVBand="0" w:evenVBand="0" w:oddHBand="0" w:evenHBand="0" w:firstRowFirstColumn="0" w:firstRowLastColumn="0" w:lastRowFirstColumn="0" w:lastRowLastColumn="0"/>
            <w:tcW w:w="1134" w:type="dxa"/>
          </w:tcPr>
          <w:p w14:paraId="72066C35" w14:textId="77777777" w:rsidR="00167C72" w:rsidRPr="00100F0A" w:rsidRDefault="00167C72" w:rsidP="00167C72">
            <w:r w:rsidRPr="00100F0A">
              <w:t>High</w:t>
            </w:r>
          </w:p>
        </w:tc>
        <w:tc>
          <w:tcPr>
            <w:tcW w:w="1134" w:type="dxa"/>
            <w:vMerge/>
            <w:vAlign w:val="center"/>
          </w:tcPr>
          <w:p w14:paraId="7B72146D" w14:textId="77777777" w:rsidR="00167C72" w:rsidRPr="00100F0A" w:rsidRDefault="00167C72" w:rsidP="00167C72">
            <w:pPr>
              <w:cnfStyle w:val="000000000000" w:firstRow="0" w:lastRow="0" w:firstColumn="0" w:lastColumn="0" w:oddVBand="0" w:evenVBand="0" w:oddHBand="0" w:evenHBand="0" w:firstRowFirstColumn="0" w:firstRowLastColumn="0" w:lastRowFirstColumn="0" w:lastRowLastColumn="0"/>
            </w:pPr>
          </w:p>
        </w:tc>
        <w:tc>
          <w:tcPr>
            <w:tcW w:w="4395" w:type="dxa"/>
            <w:vAlign w:val="bottom"/>
          </w:tcPr>
          <w:p w14:paraId="62869E72" w14:textId="0B549B3B" w:rsidR="00167C72" w:rsidRPr="00100F0A" w:rsidRDefault="00167C72" w:rsidP="00167C72">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Flat trend - traditional industry remains competitive</w:t>
            </w:r>
          </w:p>
        </w:tc>
        <w:tc>
          <w:tcPr>
            <w:tcW w:w="803" w:type="dxa"/>
          </w:tcPr>
          <w:p w14:paraId="61795733" w14:textId="18FB9251" w:rsidR="00167C72" w:rsidRPr="00100F0A" w:rsidRDefault="00167C72"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bCs/>
              </w:rPr>
              <w:t>0.0%</w:t>
            </w:r>
          </w:p>
        </w:tc>
        <w:tc>
          <w:tcPr>
            <w:tcW w:w="476" w:type="dxa"/>
          </w:tcPr>
          <w:p w14:paraId="07132CED" w14:textId="77777777" w:rsidR="00167C72" w:rsidRPr="00100F0A" w:rsidRDefault="00167C72" w:rsidP="00B30B8D">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785" w:type="dxa"/>
          </w:tcPr>
          <w:p w14:paraId="05AF3B12" w14:textId="1703E8C8" w:rsidR="00167C72" w:rsidRPr="00100F0A" w:rsidRDefault="00167C72"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bCs/>
              </w:rPr>
              <w:t>0.0%</w:t>
            </w:r>
          </w:p>
        </w:tc>
      </w:tr>
      <w:tr w:rsidR="00167C72" w:rsidRPr="00100F0A" w14:paraId="5293FC17" w14:textId="77777777" w:rsidTr="00167C72">
        <w:tc>
          <w:tcPr>
            <w:cnfStyle w:val="001000000000" w:firstRow="0" w:lastRow="0" w:firstColumn="1" w:lastColumn="0" w:oddVBand="0" w:evenVBand="0" w:oddHBand="0" w:evenHBand="0" w:firstRowFirstColumn="0" w:firstRowLastColumn="0" w:lastRowFirstColumn="0" w:lastRowLastColumn="0"/>
            <w:tcW w:w="1134" w:type="dxa"/>
          </w:tcPr>
          <w:p w14:paraId="12A5EF5C" w14:textId="77777777" w:rsidR="00167C72" w:rsidRPr="00100F0A" w:rsidRDefault="00167C72" w:rsidP="00167C72">
            <w:r w:rsidRPr="00100F0A">
              <w:t>Low</w:t>
            </w:r>
          </w:p>
        </w:tc>
        <w:tc>
          <w:tcPr>
            <w:tcW w:w="1134" w:type="dxa"/>
            <w:vMerge/>
            <w:vAlign w:val="center"/>
          </w:tcPr>
          <w:p w14:paraId="02DC69C0" w14:textId="77777777" w:rsidR="00167C72" w:rsidRPr="00100F0A" w:rsidRDefault="00167C72" w:rsidP="00167C72">
            <w:pPr>
              <w:cnfStyle w:val="000000000000" w:firstRow="0" w:lastRow="0" w:firstColumn="0" w:lastColumn="0" w:oddVBand="0" w:evenVBand="0" w:oddHBand="0" w:evenHBand="0" w:firstRowFirstColumn="0" w:firstRowLastColumn="0" w:lastRowFirstColumn="0" w:lastRowLastColumn="0"/>
            </w:pPr>
          </w:p>
        </w:tc>
        <w:tc>
          <w:tcPr>
            <w:tcW w:w="4395" w:type="dxa"/>
            <w:vAlign w:val="bottom"/>
          </w:tcPr>
          <w:p w14:paraId="5CD1AF9C" w14:textId="319D5F6D" w:rsidR="00167C72" w:rsidRPr="00100F0A" w:rsidRDefault="00167C72" w:rsidP="00167C72">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Hazwaste from traditional manufacturing declines at double the best estimate</w:t>
            </w:r>
          </w:p>
        </w:tc>
        <w:tc>
          <w:tcPr>
            <w:tcW w:w="803" w:type="dxa"/>
          </w:tcPr>
          <w:p w14:paraId="734ACABD" w14:textId="6D7BDF38" w:rsidR="00167C72" w:rsidRPr="00100F0A" w:rsidRDefault="00167C72"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bCs/>
              </w:rPr>
              <w:t>-1.7%</w:t>
            </w:r>
          </w:p>
        </w:tc>
        <w:tc>
          <w:tcPr>
            <w:tcW w:w="476" w:type="dxa"/>
          </w:tcPr>
          <w:p w14:paraId="1750A80D" w14:textId="77777777" w:rsidR="00167C72" w:rsidRPr="00100F0A" w:rsidRDefault="00167C72" w:rsidP="00B30B8D">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785" w:type="dxa"/>
          </w:tcPr>
          <w:p w14:paraId="0C4BCA13" w14:textId="5C736283" w:rsidR="00167C72" w:rsidRPr="00100F0A" w:rsidRDefault="00167C72"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bCs/>
              </w:rPr>
              <w:t>-1.7%</w:t>
            </w:r>
          </w:p>
        </w:tc>
      </w:tr>
    </w:tbl>
    <w:p w14:paraId="123AD93F" w14:textId="77777777" w:rsidR="00601CB2" w:rsidRPr="00100F0A" w:rsidRDefault="00601CB2" w:rsidP="00601CB2">
      <w:pPr>
        <w:pStyle w:val="BodyText"/>
      </w:pPr>
    </w:p>
    <w:p w14:paraId="76AD0606" w14:textId="0355D071" w:rsidR="00601CB2" w:rsidRPr="00100F0A" w:rsidRDefault="00601CB2" w:rsidP="00273FA6">
      <w:pPr>
        <w:pStyle w:val="Caption"/>
      </w:pPr>
      <w:bookmarkStart w:id="186" w:name="_Toc425849230"/>
      <w:bookmarkStart w:id="187" w:name="_Toc13225587"/>
      <w:r w:rsidRPr="00100F0A">
        <w:t xml:space="preserve">Figure </w:t>
      </w:r>
      <w:r w:rsidR="00B404A6" w:rsidRPr="00100F0A">
        <w:rPr>
          <w:noProof/>
        </w:rPr>
        <w:fldChar w:fldCharType="begin"/>
      </w:r>
      <w:r w:rsidR="00B404A6" w:rsidRPr="00100F0A">
        <w:rPr>
          <w:noProof/>
        </w:rPr>
        <w:instrText xml:space="preserve"> SEQ Figure \* ARABIC </w:instrText>
      </w:r>
      <w:r w:rsidR="00B404A6" w:rsidRPr="00100F0A">
        <w:rPr>
          <w:noProof/>
        </w:rPr>
        <w:fldChar w:fldCharType="separate"/>
      </w:r>
      <w:r w:rsidR="00EB634D">
        <w:rPr>
          <w:noProof/>
        </w:rPr>
        <w:t>14</w:t>
      </w:r>
      <w:r w:rsidR="00B404A6" w:rsidRPr="00100F0A">
        <w:rPr>
          <w:noProof/>
        </w:rPr>
        <w:fldChar w:fldCharType="end"/>
      </w:r>
      <w:r w:rsidR="00C14F18">
        <w:rPr>
          <w:noProof/>
        </w:rPr>
        <w:t>:</w:t>
      </w:r>
      <w:r w:rsidR="00D11FEE" w:rsidRPr="00100F0A">
        <w:tab/>
      </w:r>
      <w:r w:rsidRPr="00100F0A">
        <w:t>Best, high and low national projection estimates of reactive chemical waste to 203</w:t>
      </w:r>
      <w:bookmarkEnd w:id="186"/>
      <w:r w:rsidR="00167C72" w:rsidRPr="00100F0A">
        <w:t>7</w:t>
      </w:r>
      <w:bookmarkEnd w:id="187"/>
    </w:p>
    <w:p w14:paraId="66CD0099" w14:textId="2EB2D1C3" w:rsidR="00601CB2" w:rsidRPr="00100F0A" w:rsidRDefault="00EF2745" w:rsidP="00601CB2">
      <w:r w:rsidRPr="00100F0A">
        <w:rPr>
          <w:noProof/>
          <w:lang w:eastAsia="en-AU"/>
        </w:rPr>
        <w:drawing>
          <wp:inline distT="0" distB="0" distL="0" distR="0" wp14:anchorId="1D25F079" wp14:editId="1E02240D">
            <wp:extent cx="5681559" cy="2395929"/>
            <wp:effectExtent l="0" t="0" r="0" b="4445"/>
            <wp:docPr id="55" name="Chart 5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300-00006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19CE77D" w14:textId="77777777" w:rsidR="00601CB2" w:rsidRPr="00100F0A" w:rsidRDefault="00601CB2" w:rsidP="00601CB2"/>
    <w:p w14:paraId="5B69948E" w14:textId="77777777" w:rsidR="00601CB2" w:rsidRPr="00100F0A" w:rsidRDefault="00601CB2" w:rsidP="00601CB2"/>
    <w:p w14:paraId="7C74E5DF" w14:textId="77777777" w:rsidR="00601CB2" w:rsidRPr="00100F0A" w:rsidRDefault="00601CB2" w:rsidP="00601CB2"/>
    <w:p w14:paraId="2BA3977F" w14:textId="77777777" w:rsidR="00601CB2" w:rsidRPr="00100F0A" w:rsidRDefault="00601CB2" w:rsidP="005E702F">
      <w:pPr>
        <w:pStyle w:val="BodyText"/>
      </w:pPr>
      <w:r w:rsidRPr="00100F0A">
        <w:br w:type="page"/>
      </w:r>
    </w:p>
    <w:p w14:paraId="3DF7A3CD" w14:textId="4827B45D" w:rsidR="00601CB2" w:rsidRPr="00100F0A" w:rsidRDefault="00601CB2" w:rsidP="00AD35BF">
      <w:pPr>
        <w:pStyle w:val="Heading3"/>
      </w:pPr>
      <w:r w:rsidRPr="00100F0A">
        <w:t>F Paints, resins, inks, organic sludges</w:t>
      </w:r>
    </w:p>
    <w:p w14:paraId="6053BFF2" w14:textId="77777777" w:rsidR="00601CB2" w:rsidRPr="00100F0A" w:rsidRDefault="00601CB2" w:rsidP="00601CB2">
      <w:pPr>
        <w:pStyle w:val="BodyText"/>
        <w:rPr>
          <w:i/>
        </w:rPr>
      </w:pPr>
      <w:r w:rsidRPr="00100F0A">
        <w:t xml:space="preserve">This group includes: </w:t>
      </w:r>
      <w:r w:rsidRPr="00100F0A">
        <w:rPr>
          <w:i/>
        </w:rPr>
        <w:t>F100 Waste from the production and use of inks, dyes, pigments, paints, lacquers &amp; varnish</w:t>
      </w:r>
      <w:r w:rsidRPr="00100F0A">
        <w:t xml:space="preserve"> and </w:t>
      </w:r>
      <w:r w:rsidRPr="00100F0A">
        <w:rPr>
          <w:i/>
        </w:rPr>
        <w:t xml:space="preserve">F110 Waste from the production &amp; use of resins, latex, plasticisers, glues and adhesives. </w:t>
      </w:r>
    </w:p>
    <w:p w14:paraId="07F783E7" w14:textId="77777777" w:rsidR="00601CB2" w:rsidRPr="00100F0A" w:rsidRDefault="00601CB2" w:rsidP="00601CB2">
      <w:pPr>
        <w:pStyle w:val="BodyText"/>
      </w:pPr>
      <w:r w:rsidRPr="00100F0A">
        <w:t xml:space="preserve"> </w:t>
      </w:r>
    </w:p>
    <w:p w14:paraId="3D8BF85B" w14:textId="77777777" w:rsidR="00601CB2" w:rsidRPr="00100F0A" w:rsidRDefault="00601CB2" w:rsidP="00931F74">
      <w:pPr>
        <w:pStyle w:val="Heading3-nonumber"/>
      </w:pPr>
      <w:r w:rsidRPr="00100F0A">
        <w:t>Summary analysis</w:t>
      </w:r>
    </w:p>
    <w:tbl>
      <w:tblPr>
        <w:tblStyle w:val="BETable11"/>
        <w:tblW w:w="5000" w:type="pct"/>
        <w:tblInd w:w="0" w:type="dxa"/>
        <w:tblBorders>
          <w:top w:val="single" w:sz="4" w:space="0" w:color="AAABD6"/>
          <w:left w:val="single" w:sz="4" w:space="0" w:color="AAABD6"/>
          <w:bottom w:val="single" w:sz="4" w:space="0" w:color="AAABD6"/>
          <w:right w:val="single" w:sz="4" w:space="0" w:color="AAABD6"/>
          <w:insideH w:val="dotted" w:sz="4" w:space="0" w:color="AAABD6"/>
          <w:insideV w:val="single" w:sz="4" w:space="0" w:color="AAABD6"/>
        </w:tblBorders>
        <w:tblLook w:val="04A0" w:firstRow="1" w:lastRow="0" w:firstColumn="1" w:lastColumn="0" w:noHBand="0" w:noVBand="1"/>
      </w:tblPr>
      <w:tblGrid>
        <w:gridCol w:w="2255"/>
        <w:gridCol w:w="2255"/>
        <w:gridCol w:w="2256"/>
        <w:gridCol w:w="2256"/>
      </w:tblGrid>
      <w:tr w:rsidR="00167C72" w:rsidRPr="00100F0A" w14:paraId="6D47F194" w14:textId="77777777" w:rsidTr="008E64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bottom w:val="dotted" w:sz="4" w:space="0" w:color="AAABD6"/>
            </w:tcBorders>
            <w:shd w:val="clear" w:color="auto" w:fill="AAABD6"/>
          </w:tcPr>
          <w:p w14:paraId="3DC380D1" w14:textId="77777777" w:rsidR="00601CB2" w:rsidRPr="00100F0A" w:rsidRDefault="00601CB2" w:rsidP="002A3A54">
            <w:pPr>
              <w:pStyle w:val="BodyText"/>
              <w:rPr>
                <w:color w:val="FFFFFF" w:themeColor="background1"/>
              </w:rPr>
            </w:pPr>
            <w:r w:rsidRPr="00100F0A">
              <w:rPr>
                <w:color w:val="FFFFFF" w:themeColor="background1"/>
              </w:rPr>
              <w:t>Industry sources</w:t>
            </w:r>
          </w:p>
        </w:tc>
        <w:tc>
          <w:tcPr>
            <w:tcW w:w="1250" w:type="pct"/>
            <w:tcBorders>
              <w:bottom w:val="dotted" w:sz="4" w:space="0" w:color="AAABD6"/>
            </w:tcBorders>
            <w:shd w:val="clear" w:color="auto" w:fill="AAABD6"/>
          </w:tcPr>
          <w:p w14:paraId="1031AFE4" w14:textId="77777777" w:rsidR="00601CB2" w:rsidRPr="00100F0A" w:rsidRDefault="00601CB2"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Considerations</w:t>
            </w:r>
          </w:p>
        </w:tc>
        <w:tc>
          <w:tcPr>
            <w:tcW w:w="1250" w:type="pct"/>
            <w:tcBorders>
              <w:bottom w:val="dotted" w:sz="4" w:space="0" w:color="AAABD6"/>
            </w:tcBorders>
            <w:shd w:val="clear" w:color="auto" w:fill="AAABD6"/>
          </w:tcPr>
          <w:p w14:paraId="5D3568C3" w14:textId="77777777" w:rsidR="00601CB2" w:rsidRPr="00100F0A" w:rsidRDefault="00601CB2"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Comments</w:t>
            </w:r>
          </w:p>
        </w:tc>
        <w:tc>
          <w:tcPr>
            <w:tcW w:w="1250" w:type="pct"/>
            <w:tcBorders>
              <w:bottom w:val="dotted" w:sz="4" w:space="0" w:color="AAABD6"/>
            </w:tcBorders>
            <w:shd w:val="clear" w:color="auto" w:fill="AAABD6"/>
          </w:tcPr>
          <w:p w14:paraId="6500DDC0" w14:textId="77777777" w:rsidR="00601CB2" w:rsidRPr="00100F0A" w:rsidRDefault="00601CB2"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r>
      <w:tr w:rsidR="00167C72" w:rsidRPr="00100F0A" w14:paraId="34F23D69" w14:textId="77777777" w:rsidTr="008E6496">
        <w:trPr>
          <w:trHeight w:val="2994"/>
        </w:trPr>
        <w:tc>
          <w:tcPr>
            <w:cnfStyle w:val="001000000000" w:firstRow="0" w:lastRow="0" w:firstColumn="1" w:lastColumn="0" w:oddVBand="0" w:evenVBand="0" w:oddHBand="0" w:evenHBand="0" w:firstRowFirstColumn="0" w:firstRowLastColumn="0" w:lastRowFirstColumn="0" w:lastRowLastColumn="0"/>
            <w:tcW w:w="1250" w:type="pct"/>
            <w:tcBorders>
              <w:top w:val="dotted" w:sz="4" w:space="0" w:color="AAABD6"/>
              <w:bottom w:val="single" w:sz="4" w:space="0" w:color="AAABD6"/>
            </w:tcBorders>
          </w:tcPr>
          <w:p w14:paraId="66AC4976" w14:textId="77777777" w:rsidR="00167C72" w:rsidRPr="00100F0A" w:rsidRDefault="00167C72" w:rsidP="00E96D3C">
            <w:pPr>
              <w:pStyle w:val="ListParagraph"/>
              <w:numPr>
                <w:ilvl w:val="0"/>
                <w:numId w:val="21"/>
              </w:numPr>
              <w:ind w:left="284"/>
              <w:rPr>
                <w:color w:val="000000"/>
              </w:rPr>
            </w:pPr>
            <w:r w:rsidRPr="00100F0A">
              <w:rPr>
                <w:color w:val="000000"/>
              </w:rPr>
              <w:t>Paint ink and resin manufacturing</w:t>
            </w:r>
          </w:p>
          <w:p w14:paraId="7A8B16B2" w14:textId="77777777" w:rsidR="00167C72" w:rsidRPr="00100F0A" w:rsidRDefault="00167C72" w:rsidP="00E96D3C">
            <w:pPr>
              <w:pStyle w:val="ListParagraph"/>
              <w:numPr>
                <w:ilvl w:val="0"/>
                <w:numId w:val="21"/>
              </w:numPr>
              <w:ind w:left="284"/>
              <w:rPr>
                <w:color w:val="000000"/>
              </w:rPr>
            </w:pPr>
            <w:r w:rsidRPr="00100F0A">
              <w:rPr>
                <w:color w:val="000000"/>
              </w:rPr>
              <w:t>Chemical and chemical product manufacturing</w:t>
            </w:r>
          </w:p>
          <w:p w14:paraId="44F29AE8" w14:textId="77777777" w:rsidR="00167C72" w:rsidRPr="00100F0A" w:rsidRDefault="00167C72" w:rsidP="00E96D3C">
            <w:pPr>
              <w:pStyle w:val="ListParagraph"/>
              <w:numPr>
                <w:ilvl w:val="0"/>
                <w:numId w:val="21"/>
              </w:numPr>
              <w:ind w:left="284"/>
              <w:rPr>
                <w:color w:val="000000"/>
              </w:rPr>
            </w:pPr>
            <w:r w:rsidRPr="00100F0A">
              <w:rPr>
                <w:color w:val="000000"/>
              </w:rPr>
              <w:t>Printing</w:t>
            </w:r>
          </w:p>
          <w:p w14:paraId="2A2D9405" w14:textId="616F55E3" w:rsidR="00167C72" w:rsidRPr="00100F0A" w:rsidRDefault="00167C72" w:rsidP="00E96D3C">
            <w:pPr>
              <w:pStyle w:val="ListParagraph"/>
              <w:numPr>
                <w:ilvl w:val="0"/>
                <w:numId w:val="21"/>
              </w:numPr>
              <w:ind w:left="284"/>
              <w:rPr>
                <w:color w:val="000000"/>
              </w:rPr>
            </w:pPr>
            <w:r w:rsidRPr="00100F0A">
              <w:rPr>
                <w:color w:val="000000"/>
              </w:rPr>
              <w:t>Machinery and equipment manufacturing</w:t>
            </w:r>
          </w:p>
          <w:p w14:paraId="0F23AF28" w14:textId="77777777" w:rsidR="00167C72" w:rsidRPr="00100F0A" w:rsidRDefault="00167C72" w:rsidP="00E96D3C">
            <w:pPr>
              <w:pStyle w:val="ListParagraph"/>
              <w:numPr>
                <w:ilvl w:val="0"/>
                <w:numId w:val="21"/>
              </w:numPr>
              <w:ind w:left="284"/>
              <w:rPr>
                <w:color w:val="000000"/>
              </w:rPr>
            </w:pPr>
            <w:r w:rsidRPr="00100F0A">
              <w:rPr>
                <w:color w:val="000000"/>
              </w:rPr>
              <w:t xml:space="preserve">Motor vehicle manufacturing </w:t>
            </w:r>
          </w:p>
          <w:p w14:paraId="388F3032" w14:textId="535EC136" w:rsidR="00167C72" w:rsidRPr="00100F0A" w:rsidRDefault="00167C72" w:rsidP="00E96D3C">
            <w:pPr>
              <w:pStyle w:val="ListParagraph"/>
              <w:numPr>
                <w:ilvl w:val="0"/>
                <w:numId w:val="21"/>
              </w:numPr>
              <w:ind w:left="284"/>
              <w:rPr>
                <w:color w:val="000000"/>
              </w:rPr>
            </w:pPr>
            <w:r w:rsidRPr="00100F0A">
              <w:rPr>
                <w:color w:val="000000"/>
              </w:rPr>
              <w:t>Aircraft manufacturing</w:t>
            </w:r>
          </w:p>
        </w:tc>
        <w:tc>
          <w:tcPr>
            <w:tcW w:w="1250" w:type="pct"/>
            <w:tcBorders>
              <w:top w:val="dotted" w:sz="4" w:space="0" w:color="AAABD6"/>
              <w:bottom w:val="single" w:sz="4" w:space="0" w:color="AAABD6"/>
            </w:tcBorders>
          </w:tcPr>
          <w:p w14:paraId="76936189" w14:textId="363F3318" w:rsidR="00167C72" w:rsidRPr="00100F0A" w:rsidRDefault="00167C72" w:rsidP="002A3A54">
            <w:pPr>
              <w:pStyle w:val="BodyText"/>
              <w:cnfStyle w:val="000000000000" w:firstRow="0" w:lastRow="0" w:firstColumn="0" w:lastColumn="0" w:oddVBand="0" w:evenVBand="0" w:oddHBand="0" w:evenHBand="0" w:firstRowFirstColumn="0" w:firstRowLastColumn="0" w:lastRowFirstColumn="0" w:lastRowLastColumn="0"/>
            </w:pPr>
            <w:r w:rsidRPr="00100F0A">
              <w:t>No sufficiently credible pre-existing projections were identified</w:t>
            </w:r>
          </w:p>
          <w:p w14:paraId="310BA4E9" w14:textId="77777777" w:rsidR="00167C72" w:rsidRPr="00100F0A" w:rsidRDefault="00167C72" w:rsidP="002A3A54">
            <w:pPr>
              <w:pStyle w:val="BodyText"/>
              <w:cnfStyle w:val="000000000000" w:firstRow="0" w:lastRow="0" w:firstColumn="0" w:lastColumn="0" w:oddVBand="0" w:evenVBand="0" w:oddHBand="0" w:evenHBand="0" w:firstRowFirstColumn="0" w:firstRowLastColumn="0" w:lastRowFirstColumn="0" w:lastRowLastColumn="0"/>
              <w:rPr>
                <w:color w:val="000000"/>
              </w:rPr>
            </w:pPr>
          </w:p>
          <w:p w14:paraId="6838BCD6" w14:textId="3197FB5B" w:rsidR="00167C72" w:rsidRPr="00100F0A" w:rsidRDefault="00167C72" w:rsidP="002A3A54">
            <w:pPr>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Historical data shows relatively flat trend, excluding WA 2016-17 data point</w:t>
            </w:r>
          </w:p>
        </w:tc>
        <w:tc>
          <w:tcPr>
            <w:tcW w:w="1250" w:type="pct"/>
            <w:tcBorders>
              <w:top w:val="dotted" w:sz="4" w:space="0" w:color="AAABD6"/>
              <w:bottom w:val="single" w:sz="4" w:space="0" w:color="AAABD6"/>
            </w:tcBorders>
          </w:tcPr>
          <w:p w14:paraId="294332F4" w14:textId="26C246E1" w:rsidR="00167C72" w:rsidRPr="00100F0A" w:rsidRDefault="00167C72" w:rsidP="002A3A54">
            <w:pPr>
              <w:pStyle w:val="BodyText"/>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Main influence in trends is 2016-17 WA F100 data point - almost 10-fold increase in long-term baseline</w:t>
            </w:r>
          </w:p>
          <w:p w14:paraId="0625DD1D" w14:textId="77777777" w:rsidR="00167C72" w:rsidRPr="00100F0A" w:rsidRDefault="00167C72" w:rsidP="002A3A54">
            <w:pPr>
              <w:pStyle w:val="BodyText"/>
              <w:cnfStyle w:val="000000000000" w:firstRow="0" w:lastRow="0" w:firstColumn="0" w:lastColumn="0" w:oddVBand="0" w:evenVBand="0" w:oddHBand="0" w:evenHBand="0" w:firstRowFirstColumn="0" w:firstRowLastColumn="0" w:lastRowFirstColumn="0" w:lastRowLastColumn="0"/>
              <w:rPr>
                <w:color w:val="000000"/>
              </w:rPr>
            </w:pPr>
          </w:p>
          <w:p w14:paraId="63B1534E" w14:textId="12067CF5" w:rsidR="00167C72" w:rsidRPr="00100F0A" w:rsidRDefault="00167C72" w:rsidP="002A3A54">
            <w:pPr>
              <w:pStyle w:val="BodyText"/>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The data record suggests it is a release from storage</w:t>
            </w:r>
          </w:p>
        </w:tc>
        <w:tc>
          <w:tcPr>
            <w:tcW w:w="1250" w:type="pct"/>
            <w:tcBorders>
              <w:top w:val="dotted" w:sz="4" w:space="0" w:color="AAABD6"/>
              <w:bottom w:val="single" w:sz="4" w:space="0" w:color="AAABD6"/>
            </w:tcBorders>
          </w:tcPr>
          <w:p w14:paraId="0B24AE20" w14:textId="2E92B185" w:rsidR="00167C72" w:rsidRPr="00100F0A" w:rsidRDefault="00167C72" w:rsidP="002A3A54">
            <w:pPr>
              <w:pStyle w:val="BodyText"/>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Exclude the apparent WA storage release</w:t>
            </w:r>
          </w:p>
          <w:p w14:paraId="24403660" w14:textId="77777777" w:rsidR="00167C72" w:rsidRPr="00100F0A" w:rsidRDefault="00167C72" w:rsidP="002A3A54">
            <w:pPr>
              <w:pStyle w:val="BodyText"/>
              <w:cnfStyle w:val="000000000000" w:firstRow="0" w:lastRow="0" w:firstColumn="0" w:lastColumn="0" w:oddVBand="0" w:evenVBand="0" w:oddHBand="0" w:evenHBand="0" w:firstRowFirstColumn="0" w:firstRowLastColumn="0" w:lastRowFirstColumn="0" w:lastRowLastColumn="0"/>
              <w:rPr>
                <w:color w:val="000000"/>
              </w:rPr>
            </w:pPr>
          </w:p>
          <w:p w14:paraId="7AC6A211" w14:textId="77777777" w:rsidR="00167C72" w:rsidRPr="00100F0A" w:rsidRDefault="00167C72" w:rsidP="00167C72">
            <w:pPr>
              <w:cnfStyle w:val="000000000000" w:firstRow="0" w:lastRow="0" w:firstColumn="0" w:lastColumn="0" w:oddVBand="0" w:evenVBand="0" w:oddHBand="0" w:evenHBand="0" w:firstRowFirstColumn="0" w:firstRowLastColumn="0" w:lastRowFirstColumn="0" w:lastRowLastColumn="0"/>
            </w:pPr>
            <w:r w:rsidRPr="00100F0A">
              <w:t>Use population growth for the best estimate</w:t>
            </w:r>
          </w:p>
          <w:p w14:paraId="31445DB0" w14:textId="77777777" w:rsidR="00167C72" w:rsidRPr="00100F0A" w:rsidRDefault="00167C72" w:rsidP="00167C72">
            <w:pPr>
              <w:cnfStyle w:val="000000000000" w:firstRow="0" w:lastRow="0" w:firstColumn="0" w:lastColumn="0" w:oddVBand="0" w:evenVBand="0" w:oddHBand="0" w:evenHBand="0" w:firstRowFirstColumn="0" w:firstRowLastColumn="0" w:lastRowFirstColumn="0" w:lastRowLastColumn="0"/>
            </w:pPr>
            <w:r w:rsidRPr="00100F0A">
              <w:t>High = flat</w:t>
            </w:r>
          </w:p>
          <w:p w14:paraId="24D5B0F4" w14:textId="4CB0FE87" w:rsidR="00167C72" w:rsidRPr="00100F0A" w:rsidRDefault="00167C72" w:rsidP="00167C72">
            <w:pPr>
              <w:pStyle w:val="BodyText"/>
              <w:cnfStyle w:val="000000000000" w:firstRow="0" w:lastRow="0" w:firstColumn="0" w:lastColumn="0" w:oddVBand="0" w:evenVBand="0" w:oddHBand="0" w:evenHBand="0" w:firstRowFirstColumn="0" w:firstRowLastColumn="0" w:lastRowFirstColumn="0" w:lastRowLastColumn="0"/>
              <w:rPr>
                <w:color w:val="000000"/>
              </w:rPr>
            </w:pPr>
            <w:r w:rsidRPr="00100F0A">
              <w:t>Low = CAGR</w:t>
            </w:r>
          </w:p>
        </w:tc>
      </w:tr>
    </w:tbl>
    <w:p w14:paraId="44098A46" w14:textId="77777777" w:rsidR="00601CB2" w:rsidRPr="00100F0A" w:rsidRDefault="00601CB2" w:rsidP="00601CB2">
      <w:pPr>
        <w:pStyle w:val="BodyText"/>
        <w:rPr>
          <w:b/>
        </w:rPr>
      </w:pPr>
    </w:p>
    <w:p w14:paraId="3D0A77FF" w14:textId="186F116C" w:rsidR="00601CB2" w:rsidRPr="00100F0A" w:rsidRDefault="00601CB2" w:rsidP="00273FA6">
      <w:pPr>
        <w:pStyle w:val="Caption"/>
      </w:pPr>
      <w:bookmarkStart w:id="188" w:name="_Toc425849301"/>
      <w:bookmarkStart w:id="189" w:name="_Toc13225637"/>
      <w:r w:rsidRPr="00100F0A">
        <w:t xml:space="preserve">Table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18</w:t>
      </w:r>
      <w:r w:rsidR="00B404A6" w:rsidRPr="00100F0A">
        <w:rPr>
          <w:noProof/>
        </w:rPr>
        <w:fldChar w:fldCharType="end"/>
      </w:r>
      <w:r w:rsidR="00C14F18">
        <w:rPr>
          <w:noProof/>
        </w:rPr>
        <w:t>:</w:t>
      </w:r>
      <w:r w:rsidR="00D11FEE" w:rsidRPr="00100F0A">
        <w:tab/>
      </w:r>
      <w:r w:rsidRPr="00100F0A">
        <w:t>Best, high and low projected rates of change for paints, resins, inks and organic sludge waste to 203</w:t>
      </w:r>
      <w:bookmarkEnd w:id="188"/>
      <w:r w:rsidR="00167C72" w:rsidRPr="00100F0A">
        <w:t>7</w:t>
      </w:r>
      <w:bookmarkEnd w:id="189"/>
    </w:p>
    <w:tbl>
      <w:tblPr>
        <w:tblStyle w:val="BETable1"/>
        <w:tblW w:w="8745" w:type="dxa"/>
        <w:tblInd w:w="62" w:type="dxa"/>
        <w:tblBorders>
          <w:top w:val="single" w:sz="4" w:space="0" w:color="AAABD6"/>
          <w:left w:val="single" w:sz="4" w:space="0" w:color="AAABD6"/>
          <w:bottom w:val="single" w:sz="4" w:space="0" w:color="AAABD6"/>
          <w:right w:val="single" w:sz="4" w:space="0" w:color="AAABD6"/>
          <w:insideH w:val="dotted" w:sz="4" w:space="0" w:color="AAABD6"/>
          <w:insideV w:val="single" w:sz="4" w:space="0" w:color="AAABD6"/>
        </w:tblBorders>
        <w:tblLayout w:type="fixed"/>
        <w:tblLook w:val="04A0" w:firstRow="1" w:lastRow="0" w:firstColumn="1" w:lastColumn="0" w:noHBand="0" w:noVBand="1"/>
      </w:tblPr>
      <w:tblGrid>
        <w:gridCol w:w="1134"/>
        <w:gridCol w:w="1134"/>
        <w:gridCol w:w="4395"/>
        <w:gridCol w:w="803"/>
        <w:gridCol w:w="476"/>
        <w:gridCol w:w="803"/>
      </w:tblGrid>
      <w:tr w:rsidR="00167C72" w:rsidRPr="00100F0A" w14:paraId="4DFFFF51" w14:textId="77777777" w:rsidTr="008E64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AABD6"/>
              <w:left w:val="single" w:sz="4" w:space="0" w:color="AAABD6"/>
              <w:bottom w:val="single" w:sz="4" w:space="0" w:color="AAABD6"/>
            </w:tcBorders>
            <w:shd w:val="clear" w:color="auto" w:fill="AAABD6"/>
          </w:tcPr>
          <w:p w14:paraId="55AA3FF0" w14:textId="77777777" w:rsidR="00601CB2" w:rsidRPr="00100F0A" w:rsidRDefault="00601CB2" w:rsidP="002A3A54">
            <w:pPr>
              <w:rPr>
                <w:color w:val="FFFFFF" w:themeColor="background1"/>
              </w:rPr>
            </w:pPr>
          </w:p>
        </w:tc>
        <w:tc>
          <w:tcPr>
            <w:tcW w:w="1134" w:type="dxa"/>
            <w:tcBorders>
              <w:top w:val="single" w:sz="4" w:space="0" w:color="AAABD6"/>
              <w:bottom w:val="single" w:sz="4" w:space="0" w:color="AAABD6"/>
            </w:tcBorders>
            <w:shd w:val="clear" w:color="auto" w:fill="AAABD6"/>
          </w:tcPr>
          <w:p w14:paraId="7F63ACE8" w14:textId="77777777" w:rsidR="00601CB2" w:rsidRPr="00100F0A" w:rsidRDefault="00601CB2" w:rsidP="002A3A5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Applies to</w:t>
            </w:r>
          </w:p>
        </w:tc>
        <w:tc>
          <w:tcPr>
            <w:tcW w:w="4395" w:type="dxa"/>
            <w:tcBorders>
              <w:top w:val="single" w:sz="4" w:space="0" w:color="AAABD6"/>
              <w:bottom w:val="single" w:sz="4" w:space="0" w:color="AAABD6"/>
            </w:tcBorders>
            <w:shd w:val="clear" w:color="auto" w:fill="AAABD6"/>
          </w:tcPr>
          <w:p w14:paraId="2DED2E81" w14:textId="77777777" w:rsidR="00601CB2" w:rsidRPr="00100F0A" w:rsidRDefault="00601CB2" w:rsidP="002A3A5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c>
          <w:tcPr>
            <w:tcW w:w="803" w:type="dxa"/>
            <w:tcBorders>
              <w:top w:val="single" w:sz="4" w:space="0" w:color="AAABD6"/>
              <w:bottom w:val="single" w:sz="4" w:space="0" w:color="AAABD6"/>
            </w:tcBorders>
            <w:shd w:val="clear" w:color="auto" w:fill="AAABD6"/>
          </w:tcPr>
          <w:p w14:paraId="7F1DC5D4" w14:textId="477141D7" w:rsidR="00601CB2" w:rsidRPr="00100F0A" w:rsidRDefault="00167C72" w:rsidP="004206B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2018</w:t>
            </w:r>
          </w:p>
        </w:tc>
        <w:tc>
          <w:tcPr>
            <w:tcW w:w="476" w:type="dxa"/>
            <w:tcBorders>
              <w:top w:val="single" w:sz="4" w:space="0" w:color="AAABD6"/>
              <w:bottom w:val="single" w:sz="4" w:space="0" w:color="AAABD6"/>
            </w:tcBorders>
            <w:shd w:val="clear" w:color="auto" w:fill="AAABD6"/>
          </w:tcPr>
          <w:p w14:paraId="343B5459" w14:textId="77777777" w:rsidR="00601CB2" w:rsidRPr="00100F0A" w:rsidRDefault="00601CB2" w:rsidP="00B30B8D">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w:t>
            </w:r>
          </w:p>
        </w:tc>
        <w:tc>
          <w:tcPr>
            <w:tcW w:w="803" w:type="dxa"/>
            <w:tcBorders>
              <w:top w:val="single" w:sz="4" w:space="0" w:color="AAABD6"/>
              <w:bottom w:val="single" w:sz="4" w:space="0" w:color="AAABD6"/>
              <w:right w:val="single" w:sz="4" w:space="0" w:color="AAABD6"/>
            </w:tcBorders>
            <w:shd w:val="clear" w:color="auto" w:fill="AAABD6"/>
          </w:tcPr>
          <w:p w14:paraId="631F9766" w14:textId="1A90F24B" w:rsidR="00601CB2" w:rsidRPr="00100F0A" w:rsidRDefault="00167C72" w:rsidP="004206B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2037</w:t>
            </w:r>
          </w:p>
        </w:tc>
      </w:tr>
      <w:tr w:rsidR="00167C72" w:rsidRPr="00100F0A" w14:paraId="70F66199" w14:textId="77777777" w:rsidTr="008E6496">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AABD6"/>
            </w:tcBorders>
          </w:tcPr>
          <w:p w14:paraId="70F2A967" w14:textId="77777777" w:rsidR="00167C72" w:rsidRPr="00100F0A" w:rsidRDefault="00167C72" w:rsidP="00167C72">
            <w:r w:rsidRPr="00100F0A">
              <w:t>Best</w:t>
            </w:r>
          </w:p>
        </w:tc>
        <w:tc>
          <w:tcPr>
            <w:tcW w:w="1134" w:type="dxa"/>
            <w:vMerge w:val="restart"/>
            <w:tcBorders>
              <w:top w:val="single" w:sz="4" w:space="0" w:color="AAABD6"/>
            </w:tcBorders>
            <w:vAlign w:val="center"/>
          </w:tcPr>
          <w:p w14:paraId="2859D299" w14:textId="77777777" w:rsidR="00167C72" w:rsidRPr="00100F0A" w:rsidRDefault="00167C72" w:rsidP="00167C72">
            <w:pPr>
              <w:cnfStyle w:val="000000000000" w:firstRow="0" w:lastRow="0" w:firstColumn="0" w:lastColumn="0" w:oddVBand="0" w:evenVBand="0" w:oddHBand="0" w:evenHBand="0" w:firstRowFirstColumn="0" w:firstRowLastColumn="0" w:lastRowFirstColumn="0" w:lastRowLastColumn="0"/>
            </w:pPr>
            <w:r w:rsidRPr="00100F0A">
              <w:t>ACT, NSW, NT, Qld, SA, Tas, Vic, WA</w:t>
            </w:r>
          </w:p>
        </w:tc>
        <w:tc>
          <w:tcPr>
            <w:tcW w:w="4395" w:type="dxa"/>
            <w:tcBorders>
              <w:top w:val="single" w:sz="4" w:space="0" w:color="AAABD6"/>
            </w:tcBorders>
            <w:vAlign w:val="bottom"/>
          </w:tcPr>
          <w:p w14:paraId="18F10CEE" w14:textId="1C370D69" w:rsidR="00167C72" w:rsidRPr="00100F0A" w:rsidRDefault="00167C72" w:rsidP="00167C72">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Flat trend</w:t>
            </w:r>
          </w:p>
        </w:tc>
        <w:tc>
          <w:tcPr>
            <w:tcW w:w="803" w:type="dxa"/>
            <w:tcBorders>
              <w:top w:val="single" w:sz="4" w:space="0" w:color="AAABD6"/>
            </w:tcBorders>
            <w:vAlign w:val="bottom"/>
          </w:tcPr>
          <w:p w14:paraId="7289B5AA" w14:textId="679454CD" w:rsidR="00167C72" w:rsidRPr="00100F0A" w:rsidRDefault="00167C72"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0.0%</w:t>
            </w:r>
          </w:p>
        </w:tc>
        <w:tc>
          <w:tcPr>
            <w:tcW w:w="476" w:type="dxa"/>
            <w:tcBorders>
              <w:top w:val="single" w:sz="4" w:space="0" w:color="AAABD6"/>
            </w:tcBorders>
          </w:tcPr>
          <w:p w14:paraId="280B253C" w14:textId="77777777" w:rsidR="00167C72" w:rsidRPr="00100F0A" w:rsidRDefault="00167C72" w:rsidP="00B30B8D">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803" w:type="dxa"/>
            <w:tcBorders>
              <w:top w:val="single" w:sz="4" w:space="0" w:color="AAABD6"/>
            </w:tcBorders>
            <w:vAlign w:val="bottom"/>
          </w:tcPr>
          <w:p w14:paraId="4EA0269E" w14:textId="5E2664C6" w:rsidR="00167C72" w:rsidRPr="00100F0A" w:rsidRDefault="00167C72"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0.0%</w:t>
            </w:r>
          </w:p>
        </w:tc>
      </w:tr>
      <w:tr w:rsidR="00167C72" w:rsidRPr="00100F0A" w14:paraId="2F73B5B4" w14:textId="77777777" w:rsidTr="008E6496">
        <w:tc>
          <w:tcPr>
            <w:cnfStyle w:val="001000000000" w:firstRow="0" w:lastRow="0" w:firstColumn="1" w:lastColumn="0" w:oddVBand="0" w:evenVBand="0" w:oddHBand="0" w:evenHBand="0" w:firstRowFirstColumn="0" w:firstRowLastColumn="0" w:lastRowFirstColumn="0" w:lastRowLastColumn="0"/>
            <w:tcW w:w="1134" w:type="dxa"/>
          </w:tcPr>
          <w:p w14:paraId="370B217E" w14:textId="77777777" w:rsidR="00167C72" w:rsidRPr="00100F0A" w:rsidRDefault="00167C72" w:rsidP="00167C72">
            <w:r w:rsidRPr="00100F0A">
              <w:t>High</w:t>
            </w:r>
          </w:p>
        </w:tc>
        <w:tc>
          <w:tcPr>
            <w:tcW w:w="1134" w:type="dxa"/>
            <w:vMerge/>
            <w:vAlign w:val="center"/>
          </w:tcPr>
          <w:p w14:paraId="4110C2CE" w14:textId="77777777" w:rsidR="00167C72" w:rsidRPr="00100F0A" w:rsidRDefault="00167C72" w:rsidP="00167C72">
            <w:pPr>
              <w:cnfStyle w:val="000000000000" w:firstRow="0" w:lastRow="0" w:firstColumn="0" w:lastColumn="0" w:oddVBand="0" w:evenVBand="0" w:oddHBand="0" w:evenHBand="0" w:firstRowFirstColumn="0" w:firstRowLastColumn="0" w:lastRowFirstColumn="0" w:lastRowLastColumn="0"/>
            </w:pPr>
          </w:p>
        </w:tc>
        <w:tc>
          <w:tcPr>
            <w:tcW w:w="4395" w:type="dxa"/>
            <w:vAlign w:val="bottom"/>
          </w:tcPr>
          <w:p w14:paraId="3B0E1F1F" w14:textId="79D85C7D" w:rsidR="00167C72" w:rsidRPr="00100F0A" w:rsidRDefault="00C34F48" w:rsidP="00167C72">
            <w:pPr>
              <w:cnfStyle w:val="000000000000" w:firstRow="0" w:lastRow="0" w:firstColumn="0" w:lastColumn="0" w:oddVBand="0" w:evenVBand="0" w:oddHBand="0" w:evenHBand="0" w:firstRowFirstColumn="0" w:firstRowLastColumn="0" w:lastRowFirstColumn="0" w:lastRowLastColumn="0"/>
            </w:pPr>
            <w:r>
              <w:rPr>
                <w:rFonts w:cs="Calibri"/>
                <w:color w:val="000000"/>
              </w:rPr>
              <w:t>20-year average</w:t>
            </w:r>
            <w:r w:rsidR="00167C72" w:rsidRPr="00100F0A">
              <w:rPr>
                <w:rFonts w:cs="Calibri"/>
                <w:color w:val="000000"/>
              </w:rPr>
              <w:t xml:space="preserve"> annual population growth </w:t>
            </w:r>
          </w:p>
        </w:tc>
        <w:tc>
          <w:tcPr>
            <w:tcW w:w="803" w:type="dxa"/>
            <w:vAlign w:val="bottom"/>
          </w:tcPr>
          <w:p w14:paraId="27CCAA46" w14:textId="735D895E" w:rsidR="00167C72" w:rsidRPr="00100F0A" w:rsidRDefault="00167C72"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1.4%</w:t>
            </w:r>
          </w:p>
        </w:tc>
        <w:tc>
          <w:tcPr>
            <w:tcW w:w="476" w:type="dxa"/>
          </w:tcPr>
          <w:p w14:paraId="71AD1A3D" w14:textId="77777777" w:rsidR="00167C72" w:rsidRPr="00100F0A" w:rsidRDefault="00167C72" w:rsidP="00B30B8D">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803" w:type="dxa"/>
            <w:vAlign w:val="bottom"/>
          </w:tcPr>
          <w:p w14:paraId="18D49C0F" w14:textId="2A69FFB2" w:rsidR="00167C72" w:rsidRPr="00100F0A" w:rsidRDefault="00167C72"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1.4%</w:t>
            </w:r>
          </w:p>
        </w:tc>
      </w:tr>
      <w:tr w:rsidR="00167C72" w:rsidRPr="00100F0A" w14:paraId="7A94B278" w14:textId="77777777" w:rsidTr="008E6496">
        <w:tc>
          <w:tcPr>
            <w:cnfStyle w:val="001000000000" w:firstRow="0" w:lastRow="0" w:firstColumn="1" w:lastColumn="0" w:oddVBand="0" w:evenVBand="0" w:oddHBand="0" w:evenHBand="0" w:firstRowFirstColumn="0" w:firstRowLastColumn="0" w:lastRowFirstColumn="0" w:lastRowLastColumn="0"/>
            <w:tcW w:w="1134" w:type="dxa"/>
          </w:tcPr>
          <w:p w14:paraId="050E9475" w14:textId="77777777" w:rsidR="00167C72" w:rsidRPr="00100F0A" w:rsidRDefault="00167C72" w:rsidP="00167C72">
            <w:r w:rsidRPr="00100F0A">
              <w:t>Low</w:t>
            </w:r>
          </w:p>
        </w:tc>
        <w:tc>
          <w:tcPr>
            <w:tcW w:w="1134" w:type="dxa"/>
            <w:vMerge/>
            <w:vAlign w:val="center"/>
          </w:tcPr>
          <w:p w14:paraId="1B620CB8" w14:textId="77777777" w:rsidR="00167C72" w:rsidRPr="00100F0A" w:rsidRDefault="00167C72" w:rsidP="00167C72">
            <w:pPr>
              <w:cnfStyle w:val="000000000000" w:firstRow="0" w:lastRow="0" w:firstColumn="0" w:lastColumn="0" w:oddVBand="0" w:evenVBand="0" w:oddHBand="0" w:evenHBand="0" w:firstRowFirstColumn="0" w:firstRowLastColumn="0" w:lastRowFirstColumn="0" w:lastRowLastColumn="0"/>
            </w:pPr>
          </w:p>
        </w:tc>
        <w:tc>
          <w:tcPr>
            <w:tcW w:w="4395" w:type="dxa"/>
            <w:vAlign w:val="bottom"/>
          </w:tcPr>
          <w:p w14:paraId="1B8EBBDF" w14:textId="5B1F1D95" w:rsidR="00167C72" w:rsidRPr="00100F0A" w:rsidRDefault="00167C72" w:rsidP="00167C72">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National compound average growth rate</w:t>
            </w:r>
          </w:p>
        </w:tc>
        <w:tc>
          <w:tcPr>
            <w:tcW w:w="803" w:type="dxa"/>
            <w:vAlign w:val="bottom"/>
          </w:tcPr>
          <w:p w14:paraId="4DCA295C" w14:textId="53EA5082" w:rsidR="00167C72" w:rsidRPr="00100F0A" w:rsidRDefault="00167C72"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-1.7%</w:t>
            </w:r>
          </w:p>
        </w:tc>
        <w:tc>
          <w:tcPr>
            <w:tcW w:w="476" w:type="dxa"/>
          </w:tcPr>
          <w:p w14:paraId="5FA195F9" w14:textId="77777777" w:rsidR="00167C72" w:rsidRPr="00100F0A" w:rsidRDefault="00167C72" w:rsidP="00B30B8D">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803" w:type="dxa"/>
            <w:vAlign w:val="bottom"/>
          </w:tcPr>
          <w:p w14:paraId="55034C58" w14:textId="2360DF1F" w:rsidR="00167C72" w:rsidRPr="00100F0A" w:rsidRDefault="00167C72"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-1.7%</w:t>
            </w:r>
          </w:p>
        </w:tc>
      </w:tr>
    </w:tbl>
    <w:p w14:paraId="358F9204" w14:textId="77777777" w:rsidR="00601CB2" w:rsidRPr="00100F0A" w:rsidRDefault="00601CB2" w:rsidP="005E702F">
      <w:pPr>
        <w:pStyle w:val="BodyText"/>
      </w:pPr>
    </w:p>
    <w:p w14:paraId="5FE176FF" w14:textId="52058D5C" w:rsidR="00601CB2" w:rsidRPr="00100F0A" w:rsidRDefault="00601CB2" w:rsidP="00273FA6">
      <w:pPr>
        <w:pStyle w:val="Caption"/>
      </w:pPr>
      <w:bookmarkStart w:id="190" w:name="_Toc425849231"/>
      <w:bookmarkStart w:id="191" w:name="_Toc13225588"/>
      <w:r w:rsidRPr="00100F0A">
        <w:t xml:space="preserve">Figure </w:t>
      </w:r>
      <w:r w:rsidR="00B404A6" w:rsidRPr="00100F0A">
        <w:rPr>
          <w:noProof/>
        </w:rPr>
        <w:fldChar w:fldCharType="begin"/>
      </w:r>
      <w:r w:rsidR="00B404A6" w:rsidRPr="00100F0A">
        <w:rPr>
          <w:noProof/>
        </w:rPr>
        <w:instrText xml:space="preserve"> SEQ Figure \* ARABIC </w:instrText>
      </w:r>
      <w:r w:rsidR="00B404A6" w:rsidRPr="00100F0A">
        <w:rPr>
          <w:noProof/>
        </w:rPr>
        <w:fldChar w:fldCharType="separate"/>
      </w:r>
      <w:r w:rsidR="00EB634D">
        <w:rPr>
          <w:noProof/>
        </w:rPr>
        <w:t>15</w:t>
      </w:r>
      <w:r w:rsidR="00B404A6" w:rsidRPr="00100F0A">
        <w:rPr>
          <w:noProof/>
        </w:rPr>
        <w:fldChar w:fldCharType="end"/>
      </w:r>
      <w:r w:rsidR="00C14F18">
        <w:rPr>
          <w:noProof/>
        </w:rPr>
        <w:t>:</w:t>
      </w:r>
      <w:r w:rsidR="00D11FEE" w:rsidRPr="00100F0A">
        <w:tab/>
      </w:r>
      <w:r w:rsidRPr="00100F0A">
        <w:t>Best, high and low national projection estimates of paints, resins, inks and organic sludge waste to 203</w:t>
      </w:r>
      <w:bookmarkEnd w:id="190"/>
      <w:r w:rsidR="00167C72" w:rsidRPr="00100F0A">
        <w:t>7</w:t>
      </w:r>
      <w:bookmarkEnd w:id="191"/>
    </w:p>
    <w:p w14:paraId="679F02C7" w14:textId="3E8D08A9" w:rsidR="00601CB2" w:rsidRPr="00100F0A" w:rsidRDefault="007109C2" w:rsidP="00601CB2">
      <w:pPr>
        <w:rPr>
          <w:rFonts w:ascii="Arial Rounded MT Bold" w:hAnsi="Arial Rounded MT Bold" w:cs="Arial"/>
          <w:color w:val="0000FF"/>
          <w:sz w:val="36"/>
          <w:szCs w:val="36"/>
        </w:rPr>
      </w:pPr>
      <w:r w:rsidRPr="00100F0A">
        <w:rPr>
          <w:noProof/>
          <w:lang w:eastAsia="en-AU"/>
        </w:rPr>
        <w:drawing>
          <wp:inline distT="0" distB="0" distL="0" distR="0" wp14:anchorId="43920559" wp14:editId="493076B0">
            <wp:extent cx="5735955" cy="2101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5955" cy="2101850"/>
                    </a:xfrm>
                    <a:prstGeom prst="rect">
                      <a:avLst/>
                    </a:prstGeom>
                  </pic:spPr>
                </pic:pic>
              </a:graphicData>
            </a:graphic>
          </wp:inline>
        </w:drawing>
      </w:r>
      <w:r w:rsidR="00601CB2" w:rsidRPr="00100F0A">
        <w:br w:type="page"/>
      </w:r>
    </w:p>
    <w:p w14:paraId="5A3A8CF2" w14:textId="21C32FAC" w:rsidR="00601CB2" w:rsidRPr="00100F0A" w:rsidRDefault="00601CB2" w:rsidP="00AD35BF">
      <w:pPr>
        <w:pStyle w:val="Heading3"/>
      </w:pPr>
      <w:r w:rsidRPr="00100F0A">
        <w:t xml:space="preserve">G Organic solvents </w:t>
      </w:r>
    </w:p>
    <w:p w14:paraId="133DF509" w14:textId="77777777" w:rsidR="00601CB2" w:rsidRPr="00100F0A" w:rsidRDefault="00601CB2" w:rsidP="00601CB2">
      <w:pPr>
        <w:pStyle w:val="BodyText"/>
      </w:pPr>
      <w:r w:rsidRPr="00100F0A">
        <w:t xml:space="preserve">This waste group includes: </w:t>
      </w:r>
    </w:p>
    <w:p w14:paraId="4AEE1AEF" w14:textId="21212CD5" w:rsidR="00601CB2" w:rsidRPr="00100F0A" w:rsidRDefault="00601CB2" w:rsidP="00B71967">
      <w:pPr>
        <w:pStyle w:val="Bullet1"/>
        <w:rPr>
          <w:i/>
        </w:rPr>
      </w:pPr>
      <w:r w:rsidRPr="00100F0A">
        <w:rPr>
          <w:i/>
        </w:rPr>
        <w:t>G100 ethers</w:t>
      </w:r>
    </w:p>
    <w:p w14:paraId="2B8C134C" w14:textId="38BE1413" w:rsidR="00601CB2" w:rsidRPr="00100F0A" w:rsidRDefault="00601CB2" w:rsidP="00B71967">
      <w:pPr>
        <w:pStyle w:val="Bullet1"/>
        <w:rPr>
          <w:i/>
        </w:rPr>
      </w:pPr>
      <w:r w:rsidRPr="00100F0A">
        <w:rPr>
          <w:i/>
        </w:rPr>
        <w:t>G110 organic solvents excluding halogenated solvents</w:t>
      </w:r>
    </w:p>
    <w:p w14:paraId="37CD2799" w14:textId="54875586" w:rsidR="00601CB2" w:rsidRPr="00100F0A" w:rsidRDefault="00601CB2" w:rsidP="00B71967">
      <w:pPr>
        <w:pStyle w:val="Bullet1"/>
        <w:rPr>
          <w:i/>
        </w:rPr>
      </w:pPr>
      <w:r w:rsidRPr="00100F0A">
        <w:rPr>
          <w:i/>
        </w:rPr>
        <w:t>G150 halogenated organic solvents</w:t>
      </w:r>
    </w:p>
    <w:p w14:paraId="5474DC04" w14:textId="27CC606C" w:rsidR="00601CB2" w:rsidRPr="00100F0A" w:rsidRDefault="00601CB2" w:rsidP="00B71967">
      <w:pPr>
        <w:pStyle w:val="Bullet1"/>
        <w:rPr>
          <w:i/>
        </w:rPr>
      </w:pPr>
      <w:r w:rsidRPr="00100F0A">
        <w:rPr>
          <w:i/>
        </w:rPr>
        <w:t xml:space="preserve">G160 waste from the production, formulation and use of organic solvents. </w:t>
      </w:r>
    </w:p>
    <w:p w14:paraId="22297194" w14:textId="77777777" w:rsidR="00601CB2" w:rsidRPr="00100F0A" w:rsidRDefault="00601CB2" w:rsidP="00601CB2">
      <w:pPr>
        <w:pStyle w:val="BodyText"/>
      </w:pPr>
    </w:p>
    <w:p w14:paraId="2AF6F25D" w14:textId="369DAA6F" w:rsidR="00601CB2" w:rsidRPr="00100F0A" w:rsidRDefault="00601CB2" w:rsidP="00601CB2">
      <w:pPr>
        <w:pStyle w:val="BodyText"/>
      </w:pPr>
      <w:r w:rsidRPr="00100F0A">
        <w:t>Solvents have three principal areas of use; as cleaning agents, as a raw material or feedstock in the production and manufacture of other substances, and as a carrying and/or dispersion medium i</w:t>
      </w:r>
      <w:r w:rsidR="00B404A6" w:rsidRPr="00100F0A">
        <w:t>n chemical synthetic processes.</w:t>
      </w:r>
    </w:p>
    <w:p w14:paraId="5EBCAB15" w14:textId="77777777" w:rsidR="00601CB2" w:rsidRPr="00100F0A" w:rsidRDefault="00601CB2" w:rsidP="00601CB2">
      <w:pPr>
        <w:pStyle w:val="BodyText"/>
      </w:pPr>
    </w:p>
    <w:p w14:paraId="06FC218B" w14:textId="77777777" w:rsidR="00601CB2" w:rsidRPr="00100F0A" w:rsidRDefault="00601CB2" w:rsidP="00B404A6">
      <w:pPr>
        <w:pStyle w:val="Heading3-nonumber"/>
        <w:spacing w:before="0"/>
      </w:pPr>
      <w:r w:rsidRPr="00100F0A">
        <w:t>Summary analysis</w:t>
      </w:r>
    </w:p>
    <w:tbl>
      <w:tblPr>
        <w:tblStyle w:val="BETable11"/>
        <w:tblW w:w="5000" w:type="pct"/>
        <w:tblInd w:w="0" w:type="dxa"/>
        <w:tblBorders>
          <w:top w:val="single" w:sz="4" w:space="0" w:color="AAABD6"/>
          <w:left w:val="single" w:sz="4" w:space="0" w:color="AAABD6"/>
          <w:bottom w:val="single" w:sz="4" w:space="0" w:color="AAABD6"/>
          <w:right w:val="single" w:sz="4" w:space="0" w:color="AAABD6"/>
          <w:insideH w:val="single" w:sz="4" w:space="0" w:color="AAABD6"/>
          <w:insideV w:val="single" w:sz="4" w:space="0" w:color="AAABD6"/>
        </w:tblBorders>
        <w:tblLook w:val="04A0" w:firstRow="1" w:lastRow="0" w:firstColumn="1" w:lastColumn="0" w:noHBand="0" w:noVBand="1"/>
      </w:tblPr>
      <w:tblGrid>
        <w:gridCol w:w="2256"/>
        <w:gridCol w:w="2254"/>
        <w:gridCol w:w="2256"/>
        <w:gridCol w:w="2256"/>
      </w:tblGrid>
      <w:tr w:rsidR="007368C8" w:rsidRPr="00100F0A" w14:paraId="1F2DF4CC" w14:textId="77777777" w:rsidTr="007368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AAABD6"/>
              <w:left w:val="single" w:sz="4" w:space="0" w:color="AAABD6"/>
              <w:bottom w:val="single" w:sz="4" w:space="0" w:color="AAABD6"/>
            </w:tcBorders>
            <w:shd w:val="clear" w:color="auto" w:fill="AAABD6"/>
          </w:tcPr>
          <w:p w14:paraId="119F8DF7" w14:textId="77777777" w:rsidR="007368C8" w:rsidRPr="00100F0A" w:rsidRDefault="007368C8" w:rsidP="002A3A54">
            <w:pPr>
              <w:pStyle w:val="BodyText"/>
              <w:rPr>
                <w:color w:val="FFFFFF" w:themeColor="background1"/>
              </w:rPr>
            </w:pPr>
            <w:r w:rsidRPr="00100F0A">
              <w:rPr>
                <w:color w:val="FFFFFF" w:themeColor="background1"/>
              </w:rPr>
              <w:t>Industry sources</w:t>
            </w:r>
          </w:p>
        </w:tc>
        <w:tc>
          <w:tcPr>
            <w:tcW w:w="1249" w:type="pct"/>
            <w:tcBorders>
              <w:top w:val="single" w:sz="4" w:space="0" w:color="AAABD6"/>
              <w:bottom w:val="single" w:sz="4" w:space="0" w:color="AAABD6"/>
            </w:tcBorders>
            <w:shd w:val="clear" w:color="auto" w:fill="AAABD6"/>
          </w:tcPr>
          <w:p w14:paraId="3116069C" w14:textId="77777777" w:rsidR="007368C8" w:rsidRPr="00100F0A" w:rsidRDefault="007368C8"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Considerations</w:t>
            </w:r>
          </w:p>
        </w:tc>
        <w:tc>
          <w:tcPr>
            <w:tcW w:w="1250" w:type="pct"/>
            <w:tcBorders>
              <w:top w:val="single" w:sz="4" w:space="0" w:color="AAABD6"/>
              <w:bottom w:val="single" w:sz="4" w:space="0" w:color="AAABD6"/>
            </w:tcBorders>
            <w:shd w:val="clear" w:color="auto" w:fill="AAABD6"/>
          </w:tcPr>
          <w:p w14:paraId="3BCF1547" w14:textId="5439F557" w:rsidR="007368C8" w:rsidRPr="00100F0A" w:rsidRDefault="007368C8"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Comments</w:t>
            </w:r>
          </w:p>
        </w:tc>
        <w:tc>
          <w:tcPr>
            <w:tcW w:w="1250" w:type="pct"/>
            <w:tcBorders>
              <w:top w:val="single" w:sz="4" w:space="0" w:color="AAABD6"/>
              <w:bottom w:val="single" w:sz="4" w:space="0" w:color="AAABD6"/>
              <w:right w:val="single" w:sz="4" w:space="0" w:color="AAABD6"/>
            </w:tcBorders>
            <w:shd w:val="clear" w:color="auto" w:fill="AAABD6"/>
          </w:tcPr>
          <w:p w14:paraId="35086C42" w14:textId="03D27494" w:rsidR="007368C8" w:rsidRPr="00100F0A" w:rsidRDefault="007368C8"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r>
      <w:tr w:rsidR="007368C8" w:rsidRPr="00100F0A" w14:paraId="4347D926" w14:textId="77777777" w:rsidTr="007368C8">
        <w:tc>
          <w:tcPr>
            <w:cnfStyle w:val="001000000000" w:firstRow="0" w:lastRow="0" w:firstColumn="1" w:lastColumn="0" w:oddVBand="0" w:evenVBand="0" w:oddHBand="0" w:evenHBand="0" w:firstRowFirstColumn="0" w:firstRowLastColumn="0" w:lastRowFirstColumn="0" w:lastRowLastColumn="0"/>
            <w:tcW w:w="1250" w:type="pct"/>
            <w:vMerge w:val="restart"/>
            <w:tcBorders>
              <w:top w:val="single" w:sz="4" w:space="0" w:color="AAABD6"/>
            </w:tcBorders>
          </w:tcPr>
          <w:p w14:paraId="1A3C58D2" w14:textId="77777777" w:rsidR="007368C8" w:rsidRPr="00100F0A" w:rsidRDefault="007368C8" w:rsidP="00E96D3C">
            <w:pPr>
              <w:pStyle w:val="ListParagraph"/>
              <w:numPr>
                <w:ilvl w:val="0"/>
                <w:numId w:val="22"/>
              </w:numPr>
              <w:ind w:left="426"/>
              <w:rPr>
                <w:color w:val="000000"/>
              </w:rPr>
            </w:pPr>
            <w:r w:rsidRPr="00100F0A">
              <w:rPr>
                <w:color w:val="000000"/>
              </w:rPr>
              <w:t>Motor vehicle manufacturing</w:t>
            </w:r>
          </w:p>
          <w:p w14:paraId="5DDE484C" w14:textId="08EE81A4" w:rsidR="007368C8" w:rsidRPr="00100F0A" w:rsidRDefault="007368C8" w:rsidP="00E96D3C">
            <w:pPr>
              <w:pStyle w:val="ListParagraph"/>
              <w:numPr>
                <w:ilvl w:val="0"/>
                <w:numId w:val="22"/>
              </w:numPr>
              <w:ind w:left="426"/>
              <w:rPr>
                <w:color w:val="000000"/>
              </w:rPr>
            </w:pPr>
            <w:r w:rsidRPr="00100F0A">
              <w:rPr>
                <w:color w:val="000000"/>
              </w:rPr>
              <w:t xml:space="preserve">Dry cleaning </w:t>
            </w:r>
          </w:p>
          <w:p w14:paraId="33886719" w14:textId="77777777" w:rsidR="007368C8" w:rsidRPr="00100F0A" w:rsidRDefault="007368C8" w:rsidP="00E96D3C">
            <w:pPr>
              <w:pStyle w:val="ListParagraph"/>
              <w:numPr>
                <w:ilvl w:val="0"/>
                <w:numId w:val="22"/>
              </w:numPr>
              <w:ind w:left="426"/>
              <w:rPr>
                <w:color w:val="000000"/>
              </w:rPr>
            </w:pPr>
            <w:r w:rsidRPr="00100F0A">
              <w:rPr>
                <w:color w:val="000000"/>
              </w:rPr>
              <w:t>Chemical and chemical product manufacturing</w:t>
            </w:r>
          </w:p>
          <w:p w14:paraId="483C1B0E" w14:textId="77777777" w:rsidR="007368C8" w:rsidRPr="00100F0A" w:rsidRDefault="007368C8" w:rsidP="00E96D3C">
            <w:pPr>
              <w:pStyle w:val="ListParagraph"/>
              <w:numPr>
                <w:ilvl w:val="0"/>
                <w:numId w:val="22"/>
              </w:numPr>
              <w:ind w:left="426"/>
              <w:rPr>
                <w:color w:val="000000"/>
              </w:rPr>
            </w:pPr>
            <w:r w:rsidRPr="00100F0A">
              <w:rPr>
                <w:color w:val="000000"/>
              </w:rPr>
              <w:t>Printing</w:t>
            </w:r>
          </w:p>
          <w:p w14:paraId="5532E8B4" w14:textId="5EC6A236" w:rsidR="007368C8" w:rsidRPr="00100F0A" w:rsidRDefault="007368C8" w:rsidP="00E96D3C">
            <w:pPr>
              <w:pStyle w:val="ListParagraph"/>
              <w:numPr>
                <w:ilvl w:val="0"/>
                <w:numId w:val="22"/>
              </w:numPr>
              <w:ind w:left="426"/>
              <w:rPr>
                <w:color w:val="000000"/>
              </w:rPr>
            </w:pPr>
            <w:r w:rsidRPr="00100F0A">
              <w:rPr>
                <w:color w:val="000000"/>
              </w:rPr>
              <w:t>Paint manufacturing</w:t>
            </w:r>
          </w:p>
        </w:tc>
        <w:tc>
          <w:tcPr>
            <w:tcW w:w="1249" w:type="pct"/>
            <w:tcBorders>
              <w:top w:val="single" w:sz="4" w:space="0" w:color="AAABD6"/>
              <w:bottom w:val="nil"/>
            </w:tcBorders>
          </w:tcPr>
          <w:p w14:paraId="56D060A0" w14:textId="58089DE5" w:rsidR="007368C8" w:rsidRPr="00100F0A" w:rsidRDefault="007368C8" w:rsidP="002A3A54">
            <w:pPr>
              <w:pStyle w:val="BodyText"/>
              <w:cnfStyle w:val="000000000000" w:firstRow="0" w:lastRow="0" w:firstColumn="0" w:lastColumn="0" w:oddVBand="0" w:evenVBand="0" w:oddHBand="0" w:evenHBand="0" w:firstRowFirstColumn="0" w:firstRowLastColumn="0" w:lastRowFirstColumn="0" w:lastRowLastColumn="0"/>
            </w:pPr>
            <w:r w:rsidRPr="00100F0A">
              <w:t>No sufficiently credible pre-existing projections were identified</w:t>
            </w:r>
          </w:p>
          <w:p w14:paraId="1D16146A" w14:textId="5D9E2DCF" w:rsidR="00A04981" w:rsidRPr="00100F0A" w:rsidRDefault="00A04981" w:rsidP="00A04981">
            <w:pPr>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Large rises and falls in trend data</w:t>
            </w:r>
          </w:p>
        </w:tc>
        <w:tc>
          <w:tcPr>
            <w:tcW w:w="1250" w:type="pct"/>
            <w:tcBorders>
              <w:top w:val="single" w:sz="4" w:space="0" w:color="AAABD6"/>
              <w:bottom w:val="nil"/>
            </w:tcBorders>
          </w:tcPr>
          <w:p w14:paraId="705CF527" w14:textId="70DA1745" w:rsidR="007368C8" w:rsidRPr="00100F0A" w:rsidRDefault="007368C8" w:rsidP="002A3A54">
            <w:pPr>
              <w:pStyle w:val="BodyText"/>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Removing major spike y</w:t>
            </w:r>
            <w:r w:rsidR="00070A4A">
              <w:rPr>
                <w:color w:val="000000"/>
              </w:rPr>
              <w:t>ea</w:t>
            </w:r>
            <w:r w:rsidRPr="00100F0A">
              <w:rPr>
                <w:color w:val="000000"/>
              </w:rPr>
              <w:t>rs from Qld/Vic/WA appears to still show positive trend; negative for NSW</w:t>
            </w:r>
          </w:p>
        </w:tc>
        <w:tc>
          <w:tcPr>
            <w:tcW w:w="1250" w:type="pct"/>
            <w:tcBorders>
              <w:top w:val="single" w:sz="4" w:space="0" w:color="AAABD6"/>
              <w:bottom w:val="nil"/>
            </w:tcBorders>
          </w:tcPr>
          <w:p w14:paraId="705CC0C8" w14:textId="77777777" w:rsidR="007368C8" w:rsidRPr="00100F0A" w:rsidRDefault="007368C8" w:rsidP="007368C8">
            <w:pPr>
              <w:cnfStyle w:val="000000000000" w:firstRow="0" w:lastRow="0" w:firstColumn="0" w:lastColumn="0" w:oddVBand="0" w:evenVBand="0" w:oddHBand="0" w:evenHBand="0" w:firstRowFirstColumn="0" w:firstRowLastColumn="0" w:lastRowFirstColumn="0" w:lastRowLastColumn="0"/>
            </w:pPr>
            <w:r w:rsidRPr="00100F0A">
              <w:t>Use population growth for the best estimate</w:t>
            </w:r>
          </w:p>
          <w:p w14:paraId="315C9FE9" w14:textId="491F62BB" w:rsidR="007368C8" w:rsidRPr="00100F0A" w:rsidRDefault="007368C8" w:rsidP="007368C8">
            <w:pPr>
              <w:cnfStyle w:val="000000000000" w:firstRow="0" w:lastRow="0" w:firstColumn="0" w:lastColumn="0" w:oddVBand="0" w:evenVBand="0" w:oddHBand="0" w:evenHBand="0" w:firstRowFirstColumn="0" w:firstRowLastColumn="0" w:lastRowFirstColumn="0" w:lastRowLastColumn="0"/>
            </w:pPr>
            <w:r w:rsidRPr="00100F0A">
              <w:t>High = economic growth</w:t>
            </w:r>
          </w:p>
          <w:p w14:paraId="7319E3DF" w14:textId="40D23843" w:rsidR="007368C8" w:rsidRPr="00100F0A" w:rsidRDefault="007368C8" w:rsidP="007368C8">
            <w:pPr>
              <w:pStyle w:val="BodyText"/>
              <w:cnfStyle w:val="000000000000" w:firstRow="0" w:lastRow="0" w:firstColumn="0" w:lastColumn="0" w:oddVBand="0" w:evenVBand="0" w:oddHBand="0" w:evenHBand="0" w:firstRowFirstColumn="0" w:firstRowLastColumn="0" w:lastRowFirstColumn="0" w:lastRowLastColumn="0"/>
              <w:rPr>
                <w:color w:val="000000"/>
              </w:rPr>
            </w:pPr>
            <w:r w:rsidRPr="00100F0A">
              <w:t>Low = projected manufacturing growth</w:t>
            </w:r>
          </w:p>
        </w:tc>
      </w:tr>
      <w:tr w:rsidR="007368C8" w:rsidRPr="00100F0A" w14:paraId="68FAF36E" w14:textId="77777777" w:rsidTr="007368C8">
        <w:tc>
          <w:tcPr>
            <w:cnfStyle w:val="001000000000" w:firstRow="0" w:lastRow="0" w:firstColumn="1" w:lastColumn="0" w:oddVBand="0" w:evenVBand="0" w:oddHBand="0" w:evenHBand="0" w:firstRowFirstColumn="0" w:firstRowLastColumn="0" w:lastRowFirstColumn="0" w:lastRowLastColumn="0"/>
            <w:tcW w:w="1250" w:type="pct"/>
            <w:vMerge/>
          </w:tcPr>
          <w:p w14:paraId="36625974" w14:textId="77777777" w:rsidR="007368C8" w:rsidRPr="00100F0A" w:rsidRDefault="007368C8" w:rsidP="002A3A54">
            <w:pPr>
              <w:rPr>
                <w:color w:val="000000"/>
              </w:rPr>
            </w:pPr>
          </w:p>
        </w:tc>
        <w:tc>
          <w:tcPr>
            <w:tcW w:w="1249" w:type="pct"/>
            <w:tcBorders>
              <w:top w:val="nil"/>
            </w:tcBorders>
          </w:tcPr>
          <w:p w14:paraId="760E7807" w14:textId="18505351" w:rsidR="007368C8" w:rsidRPr="00100F0A" w:rsidRDefault="007368C8" w:rsidP="002A3A54">
            <w:pPr>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High storage waste across the board - can lead to storage &amp; release spikes</w:t>
            </w:r>
          </w:p>
        </w:tc>
        <w:tc>
          <w:tcPr>
            <w:tcW w:w="1250" w:type="pct"/>
            <w:tcBorders>
              <w:top w:val="nil"/>
            </w:tcBorders>
          </w:tcPr>
          <w:p w14:paraId="60A7916E" w14:textId="77777777" w:rsidR="007368C8" w:rsidRPr="00100F0A" w:rsidRDefault="007368C8" w:rsidP="002A3A54">
            <w:pPr>
              <w:cnfStyle w:val="000000000000" w:firstRow="0" w:lastRow="0" w:firstColumn="0" w:lastColumn="0" w:oddVBand="0" w:evenVBand="0" w:oddHBand="0" w:evenHBand="0" w:firstRowFirstColumn="0" w:firstRowLastColumn="0" w:lastRowFirstColumn="0" w:lastRowLastColumn="0"/>
              <w:rPr>
                <w:color w:val="000000"/>
              </w:rPr>
            </w:pPr>
          </w:p>
        </w:tc>
        <w:tc>
          <w:tcPr>
            <w:tcW w:w="1250" w:type="pct"/>
            <w:tcBorders>
              <w:top w:val="nil"/>
            </w:tcBorders>
          </w:tcPr>
          <w:p w14:paraId="241F89EC" w14:textId="3935D134" w:rsidR="007368C8" w:rsidRPr="00100F0A" w:rsidRDefault="007368C8" w:rsidP="002A3A54">
            <w:pPr>
              <w:cnfStyle w:val="000000000000" w:firstRow="0" w:lastRow="0" w:firstColumn="0" w:lastColumn="0" w:oddVBand="0" w:evenVBand="0" w:oddHBand="0" w:evenHBand="0" w:firstRowFirstColumn="0" w:firstRowLastColumn="0" w:lastRowFirstColumn="0" w:lastRowLastColumn="0"/>
              <w:rPr>
                <w:color w:val="000000"/>
              </w:rPr>
            </w:pPr>
          </w:p>
        </w:tc>
      </w:tr>
    </w:tbl>
    <w:p w14:paraId="7E59B4D9" w14:textId="77777777" w:rsidR="00601CB2" w:rsidRPr="00100F0A" w:rsidRDefault="00601CB2" w:rsidP="00601CB2">
      <w:pPr>
        <w:pStyle w:val="BodyText"/>
        <w:rPr>
          <w:b/>
        </w:rPr>
      </w:pPr>
    </w:p>
    <w:p w14:paraId="527BECA1" w14:textId="3223FFC4" w:rsidR="00601CB2" w:rsidRPr="00100F0A" w:rsidRDefault="00601CB2" w:rsidP="00B404A6">
      <w:pPr>
        <w:pStyle w:val="Caption"/>
        <w:spacing w:before="120"/>
      </w:pPr>
      <w:bookmarkStart w:id="192" w:name="_Toc425849302"/>
      <w:bookmarkStart w:id="193" w:name="_Toc13225638"/>
      <w:r w:rsidRPr="00100F0A">
        <w:t xml:space="preserve">Table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19</w:t>
      </w:r>
      <w:r w:rsidR="00B404A6" w:rsidRPr="00100F0A">
        <w:rPr>
          <w:noProof/>
        </w:rPr>
        <w:fldChar w:fldCharType="end"/>
      </w:r>
      <w:r w:rsidR="00C14F18">
        <w:rPr>
          <w:noProof/>
        </w:rPr>
        <w:t>:</w:t>
      </w:r>
      <w:r w:rsidR="00D11FEE" w:rsidRPr="00100F0A">
        <w:tab/>
      </w:r>
      <w:r w:rsidRPr="00100F0A">
        <w:t>Best, high and low projected rates of change for organic solvent waste to 203</w:t>
      </w:r>
      <w:bookmarkEnd w:id="192"/>
      <w:r w:rsidR="007368C8" w:rsidRPr="00100F0A">
        <w:t>7</w:t>
      </w:r>
      <w:bookmarkEnd w:id="193"/>
    </w:p>
    <w:tbl>
      <w:tblPr>
        <w:tblStyle w:val="BETable1"/>
        <w:tblW w:w="8745" w:type="dxa"/>
        <w:tblBorders>
          <w:top w:val="single" w:sz="4" w:space="0" w:color="AAABD6"/>
          <w:left w:val="single" w:sz="4" w:space="0" w:color="AAABD6"/>
          <w:bottom w:val="single" w:sz="4" w:space="0" w:color="AAABD6"/>
          <w:right w:val="single" w:sz="4" w:space="0" w:color="AAABD6"/>
          <w:insideH w:val="dotted" w:sz="4" w:space="0" w:color="AAABD6"/>
          <w:insideV w:val="single" w:sz="4" w:space="0" w:color="AAABD6"/>
        </w:tblBorders>
        <w:tblLayout w:type="fixed"/>
        <w:tblLook w:val="04A0" w:firstRow="1" w:lastRow="0" w:firstColumn="1" w:lastColumn="0" w:noHBand="0" w:noVBand="1"/>
      </w:tblPr>
      <w:tblGrid>
        <w:gridCol w:w="1134"/>
        <w:gridCol w:w="1134"/>
        <w:gridCol w:w="4395"/>
        <w:gridCol w:w="803"/>
        <w:gridCol w:w="476"/>
        <w:gridCol w:w="803"/>
      </w:tblGrid>
      <w:tr w:rsidR="00B404A6" w:rsidRPr="00100F0A" w14:paraId="6BCAED58" w14:textId="77777777" w:rsidTr="007368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nil"/>
              <w:left w:val="single" w:sz="4" w:space="0" w:color="AAABD6"/>
              <w:bottom w:val="single" w:sz="4" w:space="0" w:color="AAABD6"/>
            </w:tcBorders>
            <w:shd w:val="clear" w:color="auto" w:fill="AAABD6"/>
          </w:tcPr>
          <w:p w14:paraId="7731C9CE" w14:textId="77777777" w:rsidR="00601CB2" w:rsidRPr="00100F0A" w:rsidRDefault="00601CB2" w:rsidP="002A3A54">
            <w:pPr>
              <w:rPr>
                <w:color w:val="FFFFFF" w:themeColor="background1"/>
              </w:rPr>
            </w:pPr>
          </w:p>
        </w:tc>
        <w:tc>
          <w:tcPr>
            <w:tcW w:w="1134" w:type="dxa"/>
            <w:tcBorders>
              <w:top w:val="nil"/>
              <w:bottom w:val="single" w:sz="4" w:space="0" w:color="AAABD6"/>
            </w:tcBorders>
            <w:shd w:val="clear" w:color="auto" w:fill="AAABD6"/>
          </w:tcPr>
          <w:p w14:paraId="4C17E490" w14:textId="77777777" w:rsidR="00601CB2" w:rsidRPr="00100F0A" w:rsidRDefault="00601CB2" w:rsidP="002A3A5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Applies to</w:t>
            </w:r>
          </w:p>
        </w:tc>
        <w:tc>
          <w:tcPr>
            <w:tcW w:w="4395" w:type="dxa"/>
            <w:tcBorders>
              <w:top w:val="nil"/>
              <w:bottom w:val="single" w:sz="4" w:space="0" w:color="AAABD6"/>
            </w:tcBorders>
            <w:shd w:val="clear" w:color="auto" w:fill="AAABD6"/>
          </w:tcPr>
          <w:p w14:paraId="4BA8448D" w14:textId="77777777" w:rsidR="00601CB2" w:rsidRPr="00100F0A" w:rsidRDefault="00601CB2" w:rsidP="002A3A5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c>
          <w:tcPr>
            <w:tcW w:w="803" w:type="dxa"/>
            <w:tcBorders>
              <w:top w:val="nil"/>
              <w:bottom w:val="single" w:sz="4" w:space="0" w:color="AAABD6"/>
            </w:tcBorders>
            <w:shd w:val="clear" w:color="auto" w:fill="AAABD6"/>
          </w:tcPr>
          <w:p w14:paraId="115A9FB4" w14:textId="15CB0726" w:rsidR="00601CB2" w:rsidRPr="00100F0A" w:rsidRDefault="00601CB2" w:rsidP="004206B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201</w:t>
            </w:r>
            <w:r w:rsidR="00B404A6" w:rsidRPr="00100F0A">
              <w:rPr>
                <w:color w:val="FFFFFF" w:themeColor="background1"/>
              </w:rPr>
              <w:t>8</w:t>
            </w:r>
          </w:p>
        </w:tc>
        <w:tc>
          <w:tcPr>
            <w:tcW w:w="476" w:type="dxa"/>
            <w:tcBorders>
              <w:top w:val="nil"/>
              <w:bottom w:val="single" w:sz="4" w:space="0" w:color="AAABD6"/>
            </w:tcBorders>
            <w:shd w:val="clear" w:color="auto" w:fill="AAABD6"/>
          </w:tcPr>
          <w:p w14:paraId="5CAD84FF" w14:textId="77777777" w:rsidR="00601CB2" w:rsidRPr="00100F0A" w:rsidRDefault="00601CB2" w:rsidP="004206B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w:t>
            </w:r>
          </w:p>
        </w:tc>
        <w:tc>
          <w:tcPr>
            <w:tcW w:w="803" w:type="dxa"/>
            <w:tcBorders>
              <w:top w:val="nil"/>
              <w:bottom w:val="single" w:sz="4" w:space="0" w:color="AAABD6"/>
            </w:tcBorders>
            <w:shd w:val="clear" w:color="auto" w:fill="AAABD6"/>
          </w:tcPr>
          <w:p w14:paraId="07D404DB" w14:textId="3EE77DF8" w:rsidR="00601CB2" w:rsidRPr="00100F0A" w:rsidRDefault="00601CB2" w:rsidP="004206B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203</w:t>
            </w:r>
            <w:r w:rsidR="00B404A6" w:rsidRPr="00100F0A">
              <w:rPr>
                <w:color w:val="FFFFFF" w:themeColor="background1"/>
              </w:rPr>
              <w:t>7</w:t>
            </w:r>
          </w:p>
        </w:tc>
      </w:tr>
      <w:tr w:rsidR="00B404A6" w:rsidRPr="00100F0A" w14:paraId="1D2F87F5" w14:textId="77777777" w:rsidTr="00B404A6">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AABD6"/>
            </w:tcBorders>
          </w:tcPr>
          <w:p w14:paraId="6300341D" w14:textId="77777777" w:rsidR="00B404A6" w:rsidRPr="00100F0A" w:rsidRDefault="00B404A6" w:rsidP="00B404A6">
            <w:r w:rsidRPr="00100F0A">
              <w:t>Best</w:t>
            </w:r>
          </w:p>
        </w:tc>
        <w:tc>
          <w:tcPr>
            <w:tcW w:w="1134" w:type="dxa"/>
            <w:vMerge w:val="restart"/>
            <w:tcBorders>
              <w:top w:val="single" w:sz="4" w:space="0" w:color="AAABD6"/>
            </w:tcBorders>
            <w:vAlign w:val="center"/>
          </w:tcPr>
          <w:p w14:paraId="19DC3326" w14:textId="77777777" w:rsidR="00B404A6" w:rsidRPr="00100F0A" w:rsidRDefault="00B404A6" w:rsidP="00B404A6">
            <w:pPr>
              <w:cnfStyle w:val="000000000000" w:firstRow="0" w:lastRow="0" w:firstColumn="0" w:lastColumn="0" w:oddVBand="0" w:evenVBand="0" w:oddHBand="0" w:evenHBand="0" w:firstRowFirstColumn="0" w:firstRowLastColumn="0" w:lastRowFirstColumn="0" w:lastRowLastColumn="0"/>
            </w:pPr>
            <w:r w:rsidRPr="00100F0A">
              <w:t>ACT, NSW, NT, Qld, SA, Tas, Vic, WA</w:t>
            </w:r>
          </w:p>
        </w:tc>
        <w:tc>
          <w:tcPr>
            <w:tcW w:w="4395" w:type="dxa"/>
            <w:tcBorders>
              <w:top w:val="single" w:sz="4" w:space="0" w:color="AAABD6"/>
            </w:tcBorders>
          </w:tcPr>
          <w:p w14:paraId="2FA300E3" w14:textId="34C6B48A" w:rsidR="00B404A6" w:rsidRPr="00100F0A" w:rsidRDefault="00C34F48" w:rsidP="00B404A6">
            <w:pPr>
              <w:cnfStyle w:val="000000000000" w:firstRow="0" w:lastRow="0" w:firstColumn="0" w:lastColumn="0" w:oddVBand="0" w:evenVBand="0" w:oddHBand="0" w:evenHBand="0" w:firstRowFirstColumn="0" w:firstRowLastColumn="0" w:lastRowFirstColumn="0" w:lastRowLastColumn="0"/>
            </w:pPr>
            <w:r>
              <w:rPr>
                <w:rFonts w:cs="Calibri"/>
                <w:color w:val="000000"/>
              </w:rPr>
              <w:t>20-year average</w:t>
            </w:r>
            <w:r w:rsidR="00B404A6" w:rsidRPr="00100F0A">
              <w:rPr>
                <w:rFonts w:cs="Calibri"/>
                <w:color w:val="000000"/>
              </w:rPr>
              <w:t xml:space="preserve"> annual population growth </w:t>
            </w:r>
          </w:p>
        </w:tc>
        <w:tc>
          <w:tcPr>
            <w:tcW w:w="803" w:type="dxa"/>
            <w:tcBorders>
              <w:top w:val="single" w:sz="4" w:space="0" w:color="AAABD6"/>
            </w:tcBorders>
          </w:tcPr>
          <w:p w14:paraId="1B65D444" w14:textId="0BF17628" w:rsidR="00B404A6" w:rsidRPr="00100F0A" w:rsidRDefault="00B404A6"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1.4%</w:t>
            </w:r>
          </w:p>
        </w:tc>
        <w:tc>
          <w:tcPr>
            <w:tcW w:w="476" w:type="dxa"/>
            <w:tcBorders>
              <w:top w:val="single" w:sz="4" w:space="0" w:color="AAABD6"/>
            </w:tcBorders>
          </w:tcPr>
          <w:p w14:paraId="2C8CF957" w14:textId="77777777" w:rsidR="00B404A6" w:rsidRPr="00100F0A" w:rsidRDefault="00B404A6"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803" w:type="dxa"/>
            <w:tcBorders>
              <w:top w:val="single" w:sz="4" w:space="0" w:color="AAABD6"/>
            </w:tcBorders>
          </w:tcPr>
          <w:p w14:paraId="374640C5" w14:textId="0D2408EE" w:rsidR="00B404A6" w:rsidRPr="00100F0A" w:rsidRDefault="00B404A6"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1.4%</w:t>
            </w:r>
          </w:p>
        </w:tc>
      </w:tr>
      <w:tr w:rsidR="00B404A6" w:rsidRPr="00100F0A" w14:paraId="06DEEC02" w14:textId="77777777" w:rsidTr="00B404A6">
        <w:tc>
          <w:tcPr>
            <w:cnfStyle w:val="001000000000" w:firstRow="0" w:lastRow="0" w:firstColumn="1" w:lastColumn="0" w:oddVBand="0" w:evenVBand="0" w:oddHBand="0" w:evenHBand="0" w:firstRowFirstColumn="0" w:firstRowLastColumn="0" w:lastRowFirstColumn="0" w:lastRowLastColumn="0"/>
            <w:tcW w:w="1134" w:type="dxa"/>
          </w:tcPr>
          <w:p w14:paraId="437F72EF" w14:textId="77777777" w:rsidR="00B404A6" w:rsidRPr="00100F0A" w:rsidRDefault="00B404A6" w:rsidP="00B404A6">
            <w:r w:rsidRPr="00100F0A">
              <w:t>High</w:t>
            </w:r>
          </w:p>
        </w:tc>
        <w:tc>
          <w:tcPr>
            <w:tcW w:w="1134" w:type="dxa"/>
            <w:vMerge/>
            <w:vAlign w:val="center"/>
          </w:tcPr>
          <w:p w14:paraId="0B6905C2" w14:textId="77777777" w:rsidR="00B404A6" w:rsidRPr="00100F0A" w:rsidRDefault="00B404A6" w:rsidP="00B404A6">
            <w:pPr>
              <w:cnfStyle w:val="000000000000" w:firstRow="0" w:lastRow="0" w:firstColumn="0" w:lastColumn="0" w:oddVBand="0" w:evenVBand="0" w:oddHBand="0" w:evenHBand="0" w:firstRowFirstColumn="0" w:firstRowLastColumn="0" w:lastRowFirstColumn="0" w:lastRowLastColumn="0"/>
            </w:pPr>
          </w:p>
        </w:tc>
        <w:tc>
          <w:tcPr>
            <w:tcW w:w="4395" w:type="dxa"/>
          </w:tcPr>
          <w:p w14:paraId="570E892A" w14:textId="6087F329" w:rsidR="00B404A6" w:rsidRPr="00100F0A" w:rsidRDefault="00C34F48" w:rsidP="00B404A6">
            <w:pPr>
              <w:cnfStyle w:val="000000000000" w:firstRow="0" w:lastRow="0" w:firstColumn="0" w:lastColumn="0" w:oddVBand="0" w:evenVBand="0" w:oddHBand="0" w:evenHBand="0" w:firstRowFirstColumn="0" w:firstRowLastColumn="0" w:lastRowFirstColumn="0" w:lastRowLastColumn="0"/>
            </w:pPr>
            <w:r>
              <w:rPr>
                <w:rFonts w:cs="Calibri"/>
                <w:color w:val="000000"/>
              </w:rPr>
              <w:t>20-year average</w:t>
            </w:r>
            <w:r w:rsidR="00B404A6" w:rsidRPr="00100F0A">
              <w:rPr>
                <w:rFonts w:cs="Calibri"/>
                <w:color w:val="000000"/>
              </w:rPr>
              <w:t xml:space="preserve"> annual economic growth </w:t>
            </w:r>
          </w:p>
        </w:tc>
        <w:tc>
          <w:tcPr>
            <w:tcW w:w="803" w:type="dxa"/>
          </w:tcPr>
          <w:p w14:paraId="63B0F81B" w14:textId="69082B17" w:rsidR="00B404A6" w:rsidRPr="00100F0A" w:rsidRDefault="00B404A6"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2.8%</w:t>
            </w:r>
          </w:p>
        </w:tc>
        <w:tc>
          <w:tcPr>
            <w:tcW w:w="476" w:type="dxa"/>
          </w:tcPr>
          <w:p w14:paraId="172B1A93" w14:textId="77777777" w:rsidR="00B404A6" w:rsidRPr="00100F0A" w:rsidRDefault="00B404A6"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803" w:type="dxa"/>
          </w:tcPr>
          <w:p w14:paraId="6BA7290E" w14:textId="0DBFCE7B" w:rsidR="00B404A6" w:rsidRPr="00100F0A" w:rsidRDefault="00B404A6"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2.8%</w:t>
            </w:r>
          </w:p>
        </w:tc>
      </w:tr>
      <w:tr w:rsidR="00B404A6" w:rsidRPr="00100F0A" w14:paraId="2D241E99" w14:textId="77777777" w:rsidTr="00B404A6">
        <w:tc>
          <w:tcPr>
            <w:cnfStyle w:val="001000000000" w:firstRow="0" w:lastRow="0" w:firstColumn="1" w:lastColumn="0" w:oddVBand="0" w:evenVBand="0" w:oddHBand="0" w:evenHBand="0" w:firstRowFirstColumn="0" w:firstRowLastColumn="0" w:lastRowFirstColumn="0" w:lastRowLastColumn="0"/>
            <w:tcW w:w="1134" w:type="dxa"/>
          </w:tcPr>
          <w:p w14:paraId="3110CE30" w14:textId="77777777" w:rsidR="00B404A6" w:rsidRPr="00100F0A" w:rsidRDefault="00B404A6" w:rsidP="00B404A6">
            <w:r w:rsidRPr="00100F0A">
              <w:t>Low</w:t>
            </w:r>
          </w:p>
        </w:tc>
        <w:tc>
          <w:tcPr>
            <w:tcW w:w="1134" w:type="dxa"/>
            <w:vMerge/>
            <w:vAlign w:val="center"/>
          </w:tcPr>
          <w:p w14:paraId="6CC2C986" w14:textId="77777777" w:rsidR="00B404A6" w:rsidRPr="00100F0A" w:rsidRDefault="00B404A6" w:rsidP="00B404A6">
            <w:pPr>
              <w:cnfStyle w:val="000000000000" w:firstRow="0" w:lastRow="0" w:firstColumn="0" w:lastColumn="0" w:oddVBand="0" w:evenVBand="0" w:oddHBand="0" w:evenHBand="0" w:firstRowFirstColumn="0" w:firstRowLastColumn="0" w:lastRowFirstColumn="0" w:lastRowLastColumn="0"/>
            </w:pPr>
          </w:p>
        </w:tc>
        <w:tc>
          <w:tcPr>
            <w:tcW w:w="4395" w:type="dxa"/>
          </w:tcPr>
          <w:p w14:paraId="07B9FB77" w14:textId="519E4CB5" w:rsidR="00B404A6" w:rsidRPr="00100F0A" w:rsidRDefault="00B404A6" w:rsidP="00B404A6">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Projected ann. growth in manufact. employment 2017-22</w:t>
            </w:r>
          </w:p>
        </w:tc>
        <w:tc>
          <w:tcPr>
            <w:tcW w:w="803" w:type="dxa"/>
          </w:tcPr>
          <w:p w14:paraId="04F0B95C" w14:textId="733F22FE" w:rsidR="00B404A6" w:rsidRPr="00100F0A" w:rsidRDefault="00B404A6"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-0.9%</w:t>
            </w:r>
          </w:p>
        </w:tc>
        <w:tc>
          <w:tcPr>
            <w:tcW w:w="476" w:type="dxa"/>
          </w:tcPr>
          <w:p w14:paraId="2203A995" w14:textId="77777777" w:rsidR="00B404A6" w:rsidRPr="00100F0A" w:rsidRDefault="00B404A6"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803" w:type="dxa"/>
          </w:tcPr>
          <w:p w14:paraId="018D8496" w14:textId="3030AB22" w:rsidR="00B404A6" w:rsidRPr="00100F0A" w:rsidRDefault="00B404A6"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-0.9%</w:t>
            </w:r>
          </w:p>
        </w:tc>
      </w:tr>
    </w:tbl>
    <w:p w14:paraId="5DB69E96" w14:textId="77777777" w:rsidR="00601CB2" w:rsidRPr="00100F0A" w:rsidRDefault="00601CB2" w:rsidP="005E702F">
      <w:pPr>
        <w:pStyle w:val="BodyText"/>
      </w:pPr>
    </w:p>
    <w:p w14:paraId="41EEBF04" w14:textId="56725223" w:rsidR="00601CB2" w:rsidRPr="00100F0A" w:rsidRDefault="00601CB2" w:rsidP="00B404A6">
      <w:pPr>
        <w:pStyle w:val="Caption"/>
        <w:spacing w:before="120"/>
      </w:pPr>
      <w:bookmarkStart w:id="194" w:name="_Toc425849232"/>
      <w:bookmarkStart w:id="195" w:name="_Toc13225589"/>
      <w:r w:rsidRPr="00100F0A">
        <w:t xml:space="preserve">Figure </w:t>
      </w:r>
      <w:r w:rsidR="00B404A6" w:rsidRPr="00100F0A">
        <w:rPr>
          <w:noProof/>
        </w:rPr>
        <w:fldChar w:fldCharType="begin"/>
      </w:r>
      <w:r w:rsidR="00B404A6" w:rsidRPr="00100F0A">
        <w:rPr>
          <w:noProof/>
        </w:rPr>
        <w:instrText xml:space="preserve"> SEQ Figure \* ARABIC </w:instrText>
      </w:r>
      <w:r w:rsidR="00B404A6" w:rsidRPr="00100F0A">
        <w:rPr>
          <w:noProof/>
        </w:rPr>
        <w:fldChar w:fldCharType="separate"/>
      </w:r>
      <w:r w:rsidR="00EB634D">
        <w:rPr>
          <w:noProof/>
        </w:rPr>
        <w:t>16</w:t>
      </w:r>
      <w:r w:rsidR="00B404A6" w:rsidRPr="00100F0A">
        <w:rPr>
          <w:noProof/>
        </w:rPr>
        <w:fldChar w:fldCharType="end"/>
      </w:r>
      <w:r w:rsidR="00C14F18">
        <w:rPr>
          <w:noProof/>
        </w:rPr>
        <w:t>:</w:t>
      </w:r>
      <w:r w:rsidR="00D11FEE" w:rsidRPr="00100F0A">
        <w:tab/>
      </w:r>
      <w:r w:rsidRPr="00100F0A">
        <w:t>Best, high and low national projection estimates of organic solvent waste to 203</w:t>
      </w:r>
      <w:bookmarkEnd w:id="194"/>
      <w:r w:rsidR="007368C8" w:rsidRPr="00100F0A">
        <w:t>7</w:t>
      </w:r>
      <w:bookmarkEnd w:id="195"/>
    </w:p>
    <w:p w14:paraId="7F22C86D" w14:textId="4E0D50D8" w:rsidR="00601CB2" w:rsidRPr="00100F0A" w:rsidRDefault="007109C2" w:rsidP="00601CB2">
      <w:pPr>
        <w:rPr>
          <w:rFonts w:ascii="Arial Rounded MT Bold" w:hAnsi="Arial Rounded MT Bold" w:cs="Arial"/>
          <w:color w:val="0000FF"/>
          <w:sz w:val="36"/>
          <w:szCs w:val="36"/>
        </w:rPr>
      </w:pPr>
      <w:r w:rsidRPr="00100F0A">
        <w:rPr>
          <w:noProof/>
          <w:lang w:eastAsia="en-AU"/>
        </w:rPr>
        <w:drawing>
          <wp:inline distT="0" distB="0" distL="0" distR="0" wp14:anchorId="6FE35BA3" wp14:editId="63461A9F">
            <wp:extent cx="5735955" cy="21151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5955" cy="2115185"/>
                    </a:xfrm>
                    <a:prstGeom prst="rect">
                      <a:avLst/>
                    </a:prstGeom>
                  </pic:spPr>
                </pic:pic>
              </a:graphicData>
            </a:graphic>
          </wp:inline>
        </w:drawing>
      </w:r>
      <w:r w:rsidR="00601CB2" w:rsidRPr="00100F0A">
        <w:br w:type="page"/>
      </w:r>
    </w:p>
    <w:p w14:paraId="66E23655" w14:textId="45D10BE7" w:rsidR="00823B3A" w:rsidRPr="00100F0A" w:rsidRDefault="00823B3A" w:rsidP="00823B3A">
      <w:pPr>
        <w:pStyle w:val="Heading3"/>
      </w:pPr>
      <w:r w:rsidRPr="00100F0A">
        <w:t xml:space="preserve">H Pesticides </w:t>
      </w:r>
    </w:p>
    <w:p w14:paraId="0F4B55D7" w14:textId="77777777" w:rsidR="00823B3A" w:rsidRPr="00100F0A" w:rsidRDefault="00823B3A" w:rsidP="00823B3A">
      <w:pPr>
        <w:pStyle w:val="BodyText"/>
      </w:pPr>
      <w:r w:rsidRPr="00100F0A">
        <w:t xml:space="preserve">This group includes three potentially diverse types of waste: </w:t>
      </w:r>
    </w:p>
    <w:p w14:paraId="5828CF5A" w14:textId="77777777" w:rsidR="00823B3A" w:rsidRPr="00100F0A" w:rsidRDefault="00823B3A" w:rsidP="00823B3A">
      <w:pPr>
        <w:pStyle w:val="Bullet1"/>
        <w:rPr>
          <w:i/>
        </w:rPr>
      </w:pPr>
      <w:r w:rsidRPr="00100F0A">
        <w:rPr>
          <w:i/>
        </w:rPr>
        <w:t>H100 waste from the production, formulation and use of biocides &amp; phytopharmaceuticals</w:t>
      </w:r>
    </w:p>
    <w:p w14:paraId="30A79D04" w14:textId="77777777" w:rsidR="00823B3A" w:rsidRPr="00100F0A" w:rsidRDefault="00823B3A" w:rsidP="00823B3A">
      <w:pPr>
        <w:pStyle w:val="Bullet1"/>
        <w:rPr>
          <w:i/>
        </w:rPr>
      </w:pPr>
      <w:r w:rsidRPr="00100F0A">
        <w:rPr>
          <w:i/>
        </w:rPr>
        <w:t>H110 organic phosphorous compounds</w:t>
      </w:r>
    </w:p>
    <w:p w14:paraId="293F7CD2" w14:textId="77777777" w:rsidR="00823B3A" w:rsidRPr="00100F0A" w:rsidRDefault="00823B3A" w:rsidP="00823B3A">
      <w:pPr>
        <w:pStyle w:val="Bullet1"/>
        <w:rPr>
          <w:i/>
        </w:rPr>
      </w:pPr>
      <w:r w:rsidRPr="00100F0A">
        <w:rPr>
          <w:i/>
        </w:rPr>
        <w:t>H170 waste from manufacture, formulation and use of wood-preserving chemicals.</w:t>
      </w:r>
    </w:p>
    <w:p w14:paraId="03A43A04" w14:textId="77777777" w:rsidR="00823B3A" w:rsidRPr="00100F0A" w:rsidRDefault="00823B3A" w:rsidP="00823B3A">
      <w:pPr>
        <w:pStyle w:val="BodyText"/>
      </w:pPr>
    </w:p>
    <w:p w14:paraId="4E5267FF" w14:textId="7FC26ED0" w:rsidR="00823B3A" w:rsidRPr="00100F0A" w:rsidRDefault="00823B3A" w:rsidP="00823B3A">
      <w:pPr>
        <w:pStyle w:val="BodyText"/>
      </w:pPr>
      <w:r w:rsidRPr="00100F0A">
        <w:t>H100 is the major pesticide heading (biocide means pesticide) although it also includes the relatively unrelated phytopharmaceuticals, which are plant</w:t>
      </w:r>
      <w:r w:rsidR="00070A4A">
        <w:t>-</w:t>
      </w:r>
      <w:r w:rsidRPr="00100F0A">
        <w:t xml:space="preserve">derived pharmaceutical products such as alkaloids. </w:t>
      </w:r>
    </w:p>
    <w:p w14:paraId="4A6C727C" w14:textId="5E0DE7E5" w:rsidR="00823B3A" w:rsidRPr="00100F0A" w:rsidRDefault="00823B3A" w:rsidP="00823B3A">
      <w:pPr>
        <w:pStyle w:val="BodyText"/>
      </w:pPr>
      <w:r w:rsidRPr="00100F0A">
        <w:t>H110 includes waste from organic phosphorus compounds used as lubricants, plastici</w:t>
      </w:r>
      <w:r w:rsidR="00070A4A">
        <w:t>s</w:t>
      </w:r>
      <w:r w:rsidRPr="00100F0A">
        <w:t>ers, flame retardants and, most notably, as organophosphate pesticides. H170 is different again in that it covers waste from timber preservation which in Australia has historically been dominated by chromated copper arsenate (CCA) treatment.</w:t>
      </w:r>
    </w:p>
    <w:p w14:paraId="3D70D883" w14:textId="77777777" w:rsidR="00823B3A" w:rsidRPr="00100F0A" w:rsidRDefault="00823B3A" w:rsidP="00823B3A">
      <w:pPr>
        <w:pStyle w:val="BodyText"/>
      </w:pPr>
    </w:p>
    <w:p w14:paraId="2D2EEEC9" w14:textId="77777777" w:rsidR="00823B3A" w:rsidRPr="00100F0A" w:rsidRDefault="00823B3A" w:rsidP="00823B3A">
      <w:pPr>
        <w:pStyle w:val="Heading3-nonumber"/>
      </w:pPr>
      <w:r w:rsidRPr="00100F0A">
        <w:t>Summary analysis</w:t>
      </w:r>
    </w:p>
    <w:tbl>
      <w:tblPr>
        <w:tblStyle w:val="BETable11"/>
        <w:tblW w:w="5000" w:type="pct"/>
        <w:tblInd w:w="0" w:type="dxa"/>
        <w:tblBorders>
          <w:top w:val="single" w:sz="4" w:space="0" w:color="AAABD6"/>
          <w:left w:val="single" w:sz="4" w:space="0" w:color="AAABD6"/>
          <w:right w:val="single" w:sz="4" w:space="0" w:color="AAABD6"/>
          <w:insideH w:val="single" w:sz="4" w:space="0" w:color="AAABD6"/>
          <w:insideV w:val="single" w:sz="4" w:space="0" w:color="AAABD6"/>
        </w:tblBorders>
        <w:tblLook w:val="04A0" w:firstRow="1" w:lastRow="0" w:firstColumn="1" w:lastColumn="0" w:noHBand="0" w:noVBand="1"/>
      </w:tblPr>
      <w:tblGrid>
        <w:gridCol w:w="2258"/>
        <w:gridCol w:w="2558"/>
        <w:gridCol w:w="2409"/>
        <w:gridCol w:w="1797"/>
      </w:tblGrid>
      <w:tr w:rsidR="00823B3A" w:rsidRPr="00100F0A" w14:paraId="74DE4F87" w14:textId="77777777" w:rsidTr="00B179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Borders>
              <w:top w:val="single" w:sz="4" w:space="0" w:color="AAABD6"/>
              <w:left w:val="single" w:sz="4" w:space="0" w:color="AAABD6"/>
              <w:bottom w:val="single" w:sz="4" w:space="0" w:color="AAABD6"/>
            </w:tcBorders>
            <w:shd w:val="clear" w:color="auto" w:fill="AAABD6"/>
          </w:tcPr>
          <w:p w14:paraId="7C8B5CA6" w14:textId="77777777" w:rsidR="00823B3A" w:rsidRPr="00100F0A" w:rsidRDefault="00823B3A" w:rsidP="00B179AD">
            <w:pPr>
              <w:pStyle w:val="BodyText"/>
              <w:rPr>
                <w:color w:val="FFFFFF" w:themeColor="background1"/>
              </w:rPr>
            </w:pPr>
            <w:r w:rsidRPr="00100F0A">
              <w:rPr>
                <w:color w:val="FFFFFF" w:themeColor="background1"/>
              </w:rPr>
              <w:t>Industry sources</w:t>
            </w:r>
          </w:p>
        </w:tc>
        <w:tc>
          <w:tcPr>
            <w:tcW w:w="1417" w:type="pct"/>
            <w:tcBorders>
              <w:top w:val="single" w:sz="4" w:space="0" w:color="AAABD6"/>
              <w:bottom w:val="single" w:sz="4" w:space="0" w:color="AAABD6"/>
            </w:tcBorders>
            <w:shd w:val="clear" w:color="auto" w:fill="AAABD6"/>
          </w:tcPr>
          <w:p w14:paraId="096E3F06" w14:textId="77777777" w:rsidR="00823B3A" w:rsidRPr="00100F0A" w:rsidRDefault="00823B3A" w:rsidP="00B179AD">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Considerations</w:t>
            </w:r>
          </w:p>
        </w:tc>
        <w:tc>
          <w:tcPr>
            <w:tcW w:w="1335" w:type="pct"/>
            <w:tcBorders>
              <w:top w:val="single" w:sz="4" w:space="0" w:color="AAABD6"/>
              <w:bottom w:val="single" w:sz="4" w:space="0" w:color="AAABD6"/>
            </w:tcBorders>
            <w:shd w:val="clear" w:color="auto" w:fill="AAABD6"/>
          </w:tcPr>
          <w:p w14:paraId="65748040" w14:textId="77777777" w:rsidR="00823B3A" w:rsidRPr="00100F0A" w:rsidRDefault="00823B3A" w:rsidP="00B179AD">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Comments</w:t>
            </w:r>
          </w:p>
        </w:tc>
        <w:tc>
          <w:tcPr>
            <w:tcW w:w="996" w:type="pct"/>
            <w:tcBorders>
              <w:top w:val="single" w:sz="4" w:space="0" w:color="AAABD6"/>
              <w:bottom w:val="single" w:sz="4" w:space="0" w:color="AAABD6"/>
              <w:right w:val="single" w:sz="4" w:space="0" w:color="AAABD6"/>
            </w:tcBorders>
            <w:shd w:val="clear" w:color="auto" w:fill="AAABD6"/>
          </w:tcPr>
          <w:p w14:paraId="4169047F" w14:textId="77777777" w:rsidR="00823B3A" w:rsidRPr="00100F0A" w:rsidRDefault="00823B3A" w:rsidP="00B179AD">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r>
      <w:tr w:rsidR="00823B3A" w:rsidRPr="00100F0A" w14:paraId="6DE6AB7E" w14:textId="77777777" w:rsidTr="00B179AD">
        <w:tc>
          <w:tcPr>
            <w:cnfStyle w:val="001000000000" w:firstRow="0" w:lastRow="0" w:firstColumn="1" w:lastColumn="0" w:oddVBand="0" w:evenVBand="0" w:oddHBand="0" w:evenHBand="0" w:firstRowFirstColumn="0" w:firstRowLastColumn="0" w:lastRowFirstColumn="0" w:lastRowLastColumn="0"/>
            <w:tcW w:w="1251" w:type="pct"/>
            <w:vMerge w:val="restart"/>
            <w:tcBorders>
              <w:top w:val="single" w:sz="4" w:space="0" w:color="AAABD6"/>
            </w:tcBorders>
          </w:tcPr>
          <w:p w14:paraId="0F9DF49E" w14:textId="77777777" w:rsidR="00823B3A" w:rsidRPr="00100F0A" w:rsidRDefault="00823B3A" w:rsidP="00B179AD">
            <w:pPr>
              <w:rPr>
                <w:color w:val="000000"/>
              </w:rPr>
            </w:pPr>
            <w:r w:rsidRPr="00100F0A">
              <w:rPr>
                <w:color w:val="000000"/>
              </w:rPr>
              <w:t>Services to agriculture; wood product manufacture; waste sector</w:t>
            </w:r>
          </w:p>
        </w:tc>
        <w:tc>
          <w:tcPr>
            <w:tcW w:w="1417" w:type="pct"/>
            <w:tcBorders>
              <w:top w:val="single" w:sz="4" w:space="0" w:color="AAABD6"/>
              <w:bottom w:val="nil"/>
            </w:tcBorders>
          </w:tcPr>
          <w:p w14:paraId="39BE0D91" w14:textId="5686241E" w:rsidR="00823B3A" w:rsidRPr="00100F0A" w:rsidRDefault="00823B3A" w:rsidP="00B179AD">
            <w:pPr>
              <w:pStyle w:val="BodyText"/>
              <w:cnfStyle w:val="000000000000" w:firstRow="0" w:lastRow="0" w:firstColumn="0" w:lastColumn="0" w:oddVBand="0" w:evenVBand="0" w:oddHBand="0" w:evenHBand="0" w:firstRowFirstColumn="0" w:firstRowLastColumn="0" w:lastRowFirstColumn="0" w:lastRowLastColumn="0"/>
            </w:pPr>
            <w:r w:rsidRPr="00100F0A">
              <w:t>No sufficiently credible pre-existing projections were identified</w:t>
            </w:r>
          </w:p>
        </w:tc>
        <w:tc>
          <w:tcPr>
            <w:tcW w:w="1335" w:type="pct"/>
            <w:tcBorders>
              <w:top w:val="single" w:sz="4" w:space="0" w:color="AAABD6"/>
              <w:bottom w:val="nil"/>
            </w:tcBorders>
          </w:tcPr>
          <w:p w14:paraId="4B1B480B" w14:textId="73246A43" w:rsidR="00823B3A" w:rsidRPr="00100F0A" w:rsidRDefault="00823B3A" w:rsidP="00B179AD">
            <w:pPr>
              <w:pStyle w:val="BodyText"/>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This is a high-storage waste; spikes are consistent with storage releases</w:t>
            </w:r>
          </w:p>
        </w:tc>
        <w:tc>
          <w:tcPr>
            <w:tcW w:w="996" w:type="pct"/>
            <w:tcBorders>
              <w:top w:val="single" w:sz="4" w:space="0" w:color="AAABD6"/>
              <w:bottom w:val="nil"/>
            </w:tcBorders>
          </w:tcPr>
          <w:p w14:paraId="70A7BC10" w14:textId="570D8499" w:rsidR="00823B3A" w:rsidRPr="00100F0A" w:rsidRDefault="00823B3A" w:rsidP="00B179AD">
            <w:pPr>
              <w:pStyle w:val="BodyText"/>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Use causal analysis - Assume default economic growth</w:t>
            </w:r>
          </w:p>
        </w:tc>
      </w:tr>
      <w:tr w:rsidR="00823B3A" w:rsidRPr="00100F0A" w14:paraId="7C992E7C" w14:textId="77777777" w:rsidTr="00B179AD">
        <w:trPr>
          <w:trHeight w:val="1068"/>
        </w:trPr>
        <w:tc>
          <w:tcPr>
            <w:cnfStyle w:val="001000000000" w:firstRow="0" w:lastRow="0" w:firstColumn="1" w:lastColumn="0" w:oddVBand="0" w:evenVBand="0" w:oddHBand="0" w:evenHBand="0" w:firstRowFirstColumn="0" w:firstRowLastColumn="0" w:lastRowFirstColumn="0" w:lastRowLastColumn="0"/>
            <w:tcW w:w="1251" w:type="pct"/>
            <w:vMerge/>
          </w:tcPr>
          <w:p w14:paraId="454E0060" w14:textId="77777777" w:rsidR="00823B3A" w:rsidRPr="00100F0A" w:rsidRDefault="00823B3A" w:rsidP="00B179AD">
            <w:pPr>
              <w:rPr>
                <w:color w:val="000000"/>
              </w:rPr>
            </w:pPr>
          </w:p>
        </w:tc>
        <w:tc>
          <w:tcPr>
            <w:tcW w:w="1417" w:type="pct"/>
            <w:tcBorders>
              <w:top w:val="nil"/>
              <w:bottom w:val="single" w:sz="4" w:space="0" w:color="808080" w:themeColor="background1" w:themeShade="80"/>
            </w:tcBorders>
          </w:tcPr>
          <w:p w14:paraId="5C71499A" w14:textId="3CA4CFF4" w:rsidR="00823B3A" w:rsidRPr="00100F0A" w:rsidRDefault="00823B3A" w:rsidP="00B179AD">
            <w:pPr>
              <w:cnfStyle w:val="000000000000" w:firstRow="0" w:lastRow="0" w:firstColumn="0" w:lastColumn="0" w:oddVBand="0" w:evenVBand="0" w:oddHBand="0" w:evenHBand="0" w:firstRowFirstColumn="0" w:firstRowLastColumn="0" w:lastRowFirstColumn="0" w:lastRowLastColumn="0"/>
            </w:pPr>
            <w:r w:rsidRPr="00100F0A">
              <w:t>No historical data set exists that is adequate for discerning trends (several spikes in data)</w:t>
            </w:r>
          </w:p>
          <w:p w14:paraId="012173EA" w14:textId="77777777" w:rsidR="00823B3A" w:rsidRPr="00100F0A" w:rsidRDefault="00823B3A" w:rsidP="00B179AD">
            <w:pPr>
              <w:cnfStyle w:val="000000000000" w:firstRow="0" w:lastRow="0" w:firstColumn="0" w:lastColumn="0" w:oddVBand="0" w:evenVBand="0" w:oddHBand="0" w:evenHBand="0" w:firstRowFirstColumn="0" w:firstRowLastColumn="0" w:lastRowFirstColumn="0" w:lastRowLastColumn="0"/>
            </w:pPr>
          </w:p>
          <w:p w14:paraId="7B6878C0" w14:textId="19CA8C79" w:rsidR="00823B3A" w:rsidRPr="00100F0A" w:rsidRDefault="00823B3A" w:rsidP="00B179AD">
            <w:pPr>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Dieldrin impregnated timber sleepers are stockpiled in significant volumes in WA</w:t>
            </w:r>
          </w:p>
        </w:tc>
        <w:tc>
          <w:tcPr>
            <w:tcW w:w="1335" w:type="pct"/>
            <w:tcBorders>
              <w:top w:val="nil"/>
              <w:bottom w:val="single" w:sz="4" w:space="0" w:color="808080" w:themeColor="background1" w:themeShade="80"/>
            </w:tcBorders>
          </w:tcPr>
          <w:p w14:paraId="71ED460C" w14:textId="0A7BC6B7" w:rsidR="00823B3A" w:rsidRPr="00100F0A" w:rsidRDefault="00823B3A" w:rsidP="00B179AD">
            <w:pPr>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Spikes aside there is typically growth in the trends, except for NSW</w:t>
            </w:r>
          </w:p>
        </w:tc>
        <w:tc>
          <w:tcPr>
            <w:tcW w:w="996" w:type="pct"/>
            <w:tcBorders>
              <w:top w:val="nil"/>
              <w:bottom w:val="single" w:sz="4" w:space="0" w:color="808080" w:themeColor="background1" w:themeShade="80"/>
            </w:tcBorders>
          </w:tcPr>
          <w:p w14:paraId="36A5401B" w14:textId="77777777" w:rsidR="00823B3A" w:rsidRPr="00100F0A" w:rsidRDefault="00823B3A" w:rsidP="00B179AD">
            <w:pPr>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Stockpile releases are considered in the ‘best’ case (slow release) and the ‘high’ case (cleared via new thermal infrastructure from 2024 onwards)</w:t>
            </w:r>
          </w:p>
        </w:tc>
      </w:tr>
    </w:tbl>
    <w:p w14:paraId="1B9953B8" w14:textId="77777777" w:rsidR="00823B3A" w:rsidRPr="00100F0A" w:rsidRDefault="00823B3A" w:rsidP="00823B3A">
      <w:pPr>
        <w:pStyle w:val="BodyText"/>
      </w:pPr>
    </w:p>
    <w:p w14:paraId="642D794E" w14:textId="5D7321A0" w:rsidR="00823B3A" w:rsidRPr="00100F0A" w:rsidRDefault="00823B3A" w:rsidP="00823B3A">
      <w:pPr>
        <w:pStyle w:val="Caption"/>
      </w:pPr>
      <w:bookmarkStart w:id="196" w:name="_Toc425849303"/>
      <w:bookmarkStart w:id="197" w:name="_Toc13225639"/>
      <w:r w:rsidRPr="00100F0A">
        <w:t xml:space="preserve">Table </w:t>
      </w:r>
      <w:r w:rsidRPr="00100F0A">
        <w:rPr>
          <w:noProof/>
        </w:rPr>
        <w:fldChar w:fldCharType="begin"/>
      </w:r>
      <w:r w:rsidRPr="00100F0A">
        <w:rPr>
          <w:noProof/>
        </w:rPr>
        <w:instrText xml:space="preserve"> SEQ Table \* ARABIC </w:instrText>
      </w:r>
      <w:r w:rsidRPr="00100F0A">
        <w:rPr>
          <w:noProof/>
        </w:rPr>
        <w:fldChar w:fldCharType="separate"/>
      </w:r>
      <w:r w:rsidR="00EB634D">
        <w:rPr>
          <w:noProof/>
        </w:rPr>
        <w:t>20</w:t>
      </w:r>
      <w:r w:rsidRPr="00100F0A">
        <w:rPr>
          <w:noProof/>
        </w:rPr>
        <w:fldChar w:fldCharType="end"/>
      </w:r>
      <w:r w:rsidR="00C14F18">
        <w:rPr>
          <w:noProof/>
        </w:rPr>
        <w:t>:</w:t>
      </w:r>
      <w:r w:rsidRPr="00100F0A">
        <w:tab/>
        <w:t>Best, high and low projected rates of change for pesticide waste to 203</w:t>
      </w:r>
      <w:bookmarkEnd w:id="196"/>
      <w:r w:rsidRPr="00100F0A">
        <w:t>7</w:t>
      </w:r>
      <w:bookmarkEnd w:id="197"/>
    </w:p>
    <w:tbl>
      <w:tblPr>
        <w:tblW w:w="9062" w:type="dxa"/>
        <w:tblCellMar>
          <w:left w:w="0" w:type="dxa"/>
          <w:right w:w="0" w:type="dxa"/>
        </w:tblCellMar>
        <w:tblLook w:val="04A0" w:firstRow="1" w:lastRow="0" w:firstColumn="1" w:lastColumn="0" w:noHBand="0" w:noVBand="1"/>
      </w:tblPr>
      <w:tblGrid>
        <w:gridCol w:w="587"/>
        <w:gridCol w:w="1102"/>
        <w:gridCol w:w="4348"/>
        <w:gridCol w:w="773"/>
        <w:gridCol w:w="422"/>
        <w:gridCol w:w="704"/>
        <w:gridCol w:w="422"/>
        <w:gridCol w:w="704"/>
      </w:tblGrid>
      <w:tr w:rsidR="00823B3A" w:rsidRPr="00100F0A" w14:paraId="6C9B31C7" w14:textId="77777777" w:rsidTr="00B179AD">
        <w:trPr>
          <w:tblHeader/>
        </w:trPr>
        <w:tc>
          <w:tcPr>
            <w:tcW w:w="587" w:type="dxa"/>
            <w:tcBorders>
              <w:top w:val="single" w:sz="8" w:space="0" w:color="B7B7E2"/>
              <w:left w:val="single" w:sz="8" w:space="0" w:color="B7B7E2"/>
              <w:bottom w:val="single" w:sz="8" w:space="0" w:color="B7B7E2"/>
              <w:right w:val="single" w:sz="8" w:space="0" w:color="B7B7E2"/>
            </w:tcBorders>
            <w:shd w:val="clear" w:color="auto" w:fill="B7B7E2"/>
            <w:tcMar>
              <w:top w:w="0" w:type="dxa"/>
              <w:left w:w="108" w:type="dxa"/>
              <w:bottom w:w="0" w:type="dxa"/>
              <w:right w:w="108" w:type="dxa"/>
            </w:tcMar>
            <w:vAlign w:val="center"/>
            <w:hideMark/>
          </w:tcPr>
          <w:p w14:paraId="3F939FC5" w14:textId="77777777" w:rsidR="00823B3A" w:rsidRPr="00100F0A" w:rsidRDefault="00823B3A" w:rsidP="00B179AD">
            <w:pPr>
              <w:spacing w:after="144"/>
              <w:rPr>
                <w:rFonts w:eastAsia="Times New Roman" w:cs="Times New Roman"/>
              </w:rPr>
            </w:pPr>
            <w:r w:rsidRPr="00100F0A">
              <w:rPr>
                <w:rFonts w:eastAsia="Times New Roman" w:cs="Times New Roman"/>
                <w:b/>
                <w:bCs/>
                <w:color w:val="FFFFFF"/>
                <w:sz w:val="20"/>
                <w:szCs w:val="20"/>
              </w:rPr>
              <w:t> </w:t>
            </w:r>
          </w:p>
        </w:tc>
        <w:tc>
          <w:tcPr>
            <w:tcW w:w="1102"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1D651AC4" w14:textId="77777777" w:rsidR="00823B3A" w:rsidRPr="00100F0A" w:rsidRDefault="00823B3A" w:rsidP="00B179AD">
            <w:pPr>
              <w:spacing w:after="144"/>
              <w:rPr>
                <w:rFonts w:eastAsia="Times New Roman" w:cs="Times New Roman"/>
              </w:rPr>
            </w:pPr>
            <w:r w:rsidRPr="00100F0A">
              <w:rPr>
                <w:rFonts w:eastAsia="Times New Roman" w:cs="Times New Roman"/>
                <w:b/>
                <w:bCs/>
                <w:color w:val="FFFFFF"/>
                <w:sz w:val="20"/>
                <w:szCs w:val="20"/>
              </w:rPr>
              <w:t> Applies to</w:t>
            </w:r>
          </w:p>
        </w:tc>
        <w:tc>
          <w:tcPr>
            <w:tcW w:w="4348"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4AC08EA5" w14:textId="77777777" w:rsidR="00823B3A" w:rsidRPr="00100F0A" w:rsidRDefault="00823B3A" w:rsidP="00B179AD">
            <w:pPr>
              <w:spacing w:after="144"/>
              <w:rPr>
                <w:rFonts w:eastAsia="Times New Roman" w:cs="Times New Roman"/>
              </w:rPr>
            </w:pPr>
            <w:r w:rsidRPr="00100F0A">
              <w:rPr>
                <w:rFonts w:eastAsia="Times New Roman" w:cs="Times New Roman"/>
                <w:b/>
                <w:bCs/>
                <w:color w:val="FFFFFF"/>
                <w:sz w:val="20"/>
                <w:szCs w:val="20"/>
              </w:rPr>
              <w:t> Approach</w:t>
            </w:r>
          </w:p>
        </w:tc>
        <w:tc>
          <w:tcPr>
            <w:tcW w:w="773" w:type="dxa"/>
            <w:tcBorders>
              <w:top w:val="single" w:sz="8" w:space="0" w:color="B7B7E2"/>
              <w:left w:val="nil"/>
              <w:bottom w:val="single" w:sz="8" w:space="0" w:color="B7B7E2"/>
              <w:right w:val="single" w:sz="8" w:space="0" w:color="B7B7E2"/>
            </w:tcBorders>
            <w:shd w:val="clear" w:color="auto" w:fill="B7B7E2"/>
            <w:tcMar>
              <w:top w:w="0" w:type="dxa"/>
              <w:left w:w="108" w:type="dxa"/>
              <w:bottom w:w="0" w:type="dxa"/>
              <w:right w:w="108" w:type="dxa"/>
            </w:tcMar>
            <w:hideMark/>
          </w:tcPr>
          <w:p w14:paraId="582D27AE" w14:textId="783B1778" w:rsidR="00823B3A" w:rsidRPr="00100F0A" w:rsidRDefault="00823B3A" w:rsidP="004206B0">
            <w:pPr>
              <w:spacing w:after="144"/>
              <w:jc w:val="center"/>
              <w:rPr>
                <w:rFonts w:eastAsia="Times New Roman" w:cs="Times New Roman"/>
                <w:sz w:val="20"/>
                <w:szCs w:val="20"/>
              </w:rPr>
            </w:pPr>
            <w:r w:rsidRPr="00100F0A">
              <w:rPr>
                <w:rFonts w:eastAsia="Times New Roman" w:cs="Times New Roman"/>
                <w:b/>
                <w:bCs/>
                <w:color w:val="FFFFFF"/>
                <w:sz w:val="20"/>
                <w:szCs w:val="20"/>
              </w:rPr>
              <w:t>2018</w:t>
            </w:r>
          </w:p>
        </w:tc>
        <w:tc>
          <w:tcPr>
            <w:tcW w:w="422" w:type="dxa"/>
            <w:tcBorders>
              <w:top w:val="single" w:sz="8" w:space="0" w:color="B7B7E2"/>
              <w:left w:val="nil"/>
              <w:bottom w:val="single" w:sz="8" w:space="0" w:color="B7B7E2"/>
              <w:right w:val="single" w:sz="8" w:space="0" w:color="B7B7E2"/>
            </w:tcBorders>
            <w:shd w:val="clear" w:color="auto" w:fill="B7B7E2"/>
          </w:tcPr>
          <w:p w14:paraId="575832F3" w14:textId="77777777" w:rsidR="00823B3A" w:rsidRPr="00100F0A" w:rsidRDefault="00823B3A" w:rsidP="00B30B8D">
            <w:pPr>
              <w:spacing w:after="144"/>
              <w:jc w:val="center"/>
              <w:rPr>
                <w:rFonts w:eastAsia="Times New Roman" w:cs="Times New Roman"/>
                <w:b/>
                <w:bCs/>
                <w:color w:val="FFFFFF" w:themeColor="background1"/>
                <w:sz w:val="20"/>
                <w:szCs w:val="20"/>
              </w:rPr>
            </w:pPr>
            <w:r w:rsidRPr="00100F0A">
              <w:rPr>
                <w:color w:val="FFFFFF" w:themeColor="background1"/>
                <w:sz w:val="20"/>
              </w:rPr>
              <w:t>...</w:t>
            </w:r>
          </w:p>
        </w:tc>
        <w:tc>
          <w:tcPr>
            <w:tcW w:w="704" w:type="dxa"/>
            <w:tcBorders>
              <w:top w:val="single" w:sz="8" w:space="0" w:color="B7B7E2"/>
              <w:left w:val="nil"/>
              <w:bottom w:val="single" w:sz="8" w:space="0" w:color="B7B7E2"/>
              <w:right w:val="single" w:sz="8" w:space="0" w:color="B7B7E2"/>
            </w:tcBorders>
            <w:shd w:val="clear" w:color="auto" w:fill="B7B7E2"/>
          </w:tcPr>
          <w:p w14:paraId="6DA76DF7" w14:textId="77777777" w:rsidR="00823B3A" w:rsidRPr="00100F0A" w:rsidRDefault="00823B3A" w:rsidP="004206B0">
            <w:pPr>
              <w:spacing w:after="144"/>
              <w:jc w:val="center"/>
              <w:rPr>
                <w:rFonts w:eastAsia="Times New Roman" w:cs="Times New Roman"/>
                <w:b/>
                <w:bCs/>
                <w:color w:val="FFFFFF" w:themeColor="background1"/>
                <w:sz w:val="20"/>
                <w:szCs w:val="20"/>
              </w:rPr>
            </w:pPr>
            <w:r w:rsidRPr="00100F0A">
              <w:rPr>
                <w:rFonts w:eastAsia="Times New Roman" w:cs="Times New Roman"/>
                <w:b/>
                <w:bCs/>
                <w:color w:val="FFFFFF" w:themeColor="background1"/>
                <w:sz w:val="20"/>
                <w:szCs w:val="20"/>
              </w:rPr>
              <w:t>2024</w:t>
            </w:r>
          </w:p>
        </w:tc>
        <w:tc>
          <w:tcPr>
            <w:tcW w:w="422" w:type="dxa"/>
            <w:tcBorders>
              <w:top w:val="single" w:sz="8" w:space="0" w:color="B7B7E2"/>
              <w:left w:val="nil"/>
              <w:bottom w:val="single" w:sz="8" w:space="0" w:color="B7B7E2"/>
              <w:right w:val="single" w:sz="8" w:space="0" w:color="B7B7E2"/>
            </w:tcBorders>
            <w:shd w:val="clear" w:color="auto" w:fill="B7B7E2"/>
          </w:tcPr>
          <w:p w14:paraId="4B3286D4" w14:textId="77777777" w:rsidR="00823B3A" w:rsidRPr="00100F0A" w:rsidRDefault="00823B3A" w:rsidP="004206B0">
            <w:pPr>
              <w:spacing w:after="144"/>
              <w:jc w:val="center"/>
              <w:rPr>
                <w:rFonts w:eastAsia="Times New Roman" w:cs="Times New Roman"/>
                <w:b/>
                <w:bCs/>
                <w:color w:val="FFFFFF" w:themeColor="background1"/>
                <w:sz w:val="20"/>
                <w:szCs w:val="20"/>
              </w:rPr>
            </w:pPr>
            <w:r w:rsidRPr="00100F0A">
              <w:rPr>
                <w:color w:val="FFFFFF" w:themeColor="background1"/>
                <w:sz w:val="20"/>
              </w:rPr>
              <w:t>...</w:t>
            </w:r>
          </w:p>
        </w:tc>
        <w:tc>
          <w:tcPr>
            <w:tcW w:w="704" w:type="dxa"/>
            <w:tcBorders>
              <w:top w:val="single" w:sz="8" w:space="0" w:color="B7B7E2"/>
              <w:left w:val="nil"/>
              <w:bottom w:val="single" w:sz="8" w:space="0" w:color="B7B7E2"/>
              <w:right w:val="single" w:sz="8" w:space="0" w:color="B7B7E2"/>
            </w:tcBorders>
            <w:shd w:val="clear" w:color="auto" w:fill="B7B7E2"/>
          </w:tcPr>
          <w:p w14:paraId="6C6B54A5" w14:textId="77777777" w:rsidR="00823B3A" w:rsidRPr="00100F0A" w:rsidRDefault="00823B3A" w:rsidP="004206B0">
            <w:pPr>
              <w:spacing w:after="144"/>
              <w:jc w:val="center"/>
              <w:rPr>
                <w:rFonts w:eastAsia="Times New Roman" w:cs="Times New Roman"/>
                <w:b/>
                <w:bCs/>
                <w:color w:val="FFFFFF" w:themeColor="background1"/>
                <w:sz w:val="20"/>
                <w:szCs w:val="20"/>
              </w:rPr>
            </w:pPr>
            <w:r w:rsidRPr="00100F0A">
              <w:rPr>
                <w:rFonts w:eastAsia="Times New Roman" w:cs="Times New Roman"/>
                <w:b/>
                <w:bCs/>
                <w:color w:val="FFFFFF" w:themeColor="background1"/>
                <w:sz w:val="20"/>
                <w:szCs w:val="20"/>
              </w:rPr>
              <w:t>2037</w:t>
            </w:r>
          </w:p>
        </w:tc>
      </w:tr>
      <w:tr w:rsidR="00823B3A" w:rsidRPr="00100F0A" w14:paraId="3BD828C8" w14:textId="77777777" w:rsidTr="00B179AD">
        <w:tc>
          <w:tcPr>
            <w:tcW w:w="9062" w:type="dxa"/>
            <w:gridSpan w:val="8"/>
            <w:tcBorders>
              <w:top w:val="single" w:sz="8" w:space="0" w:color="B7B7E2"/>
              <w:left w:val="single" w:sz="8" w:space="0" w:color="B7B7E2"/>
              <w:bottom w:val="dotted" w:sz="4" w:space="0" w:color="B7B7E2"/>
              <w:right w:val="single" w:sz="8" w:space="0" w:color="B7B7E2"/>
            </w:tcBorders>
            <w:tcMar>
              <w:top w:w="0" w:type="dxa"/>
              <w:left w:w="108" w:type="dxa"/>
              <w:bottom w:w="0" w:type="dxa"/>
              <w:right w:w="108" w:type="dxa"/>
            </w:tcMar>
          </w:tcPr>
          <w:p w14:paraId="18D1989B" w14:textId="77777777" w:rsidR="00823B3A" w:rsidRPr="00100F0A" w:rsidRDefault="00823B3A" w:rsidP="00B30B8D">
            <w:pPr>
              <w:spacing w:after="60"/>
              <w:rPr>
                <w:iCs/>
                <w:color w:val="4D4DB8"/>
                <w:sz w:val="20"/>
                <w:szCs w:val="18"/>
              </w:rPr>
            </w:pPr>
            <w:r w:rsidRPr="00100F0A">
              <w:rPr>
                <w:iCs/>
                <w:color w:val="4D4DB8"/>
                <w:sz w:val="20"/>
                <w:szCs w:val="18"/>
              </w:rPr>
              <w:t>Arisings</w:t>
            </w:r>
          </w:p>
        </w:tc>
      </w:tr>
      <w:tr w:rsidR="00823B3A" w:rsidRPr="00100F0A" w14:paraId="7B7A8D15" w14:textId="77777777" w:rsidTr="00B179AD">
        <w:tc>
          <w:tcPr>
            <w:tcW w:w="587" w:type="dxa"/>
            <w:tcBorders>
              <w:top w:val="single" w:sz="8" w:space="0" w:color="B7B7E2"/>
              <w:left w:val="single" w:sz="8" w:space="0" w:color="B7B7E2"/>
              <w:bottom w:val="dotted" w:sz="4" w:space="0" w:color="B7B7E2"/>
              <w:right w:val="single" w:sz="8" w:space="0" w:color="B7B7E2"/>
            </w:tcBorders>
            <w:tcMar>
              <w:top w:w="0" w:type="dxa"/>
              <w:left w:w="108" w:type="dxa"/>
              <w:bottom w:w="0" w:type="dxa"/>
              <w:right w:w="108" w:type="dxa"/>
            </w:tcMar>
            <w:hideMark/>
          </w:tcPr>
          <w:p w14:paraId="6EA15C84" w14:textId="77777777" w:rsidR="00823B3A" w:rsidRPr="00100F0A" w:rsidRDefault="00823B3A" w:rsidP="00B179AD">
            <w:pPr>
              <w:spacing w:after="60"/>
              <w:rPr>
                <w:rFonts w:eastAsia="Times New Roman" w:cs="Times New Roman"/>
                <w:sz w:val="20"/>
              </w:rPr>
            </w:pPr>
            <w:r w:rsidRPr="00100F0A">
              <w:rPr>
                <w:sz w:val="20"/>
              </w:rPr>
              <w:t>Best</w:t>
            </w:r>
          </w:p>
        </w:tc>
        <w:tc>
          <w:tcPr>
            <w:tcW w:w="1102" w:type="dxa"/>
            <w:vMerge w:val="restart"/>
            <w:tcBorders>
              <w:top w:val="single" w:sz="8" w:space="0" w:color="B7B7E2"/>
              <w:left w:val="nil"/>
              <w:right w:val="single" w:sz="4" w:space="0" w:color="B7B7E2"/>
            </w:tcBorders>
            <w:tcMar>
              <w:top w:w="0" w:type="dxa"/>
              <w:left w:w="108" w:type="dxa"/>
              <w:bottom w:w="0" w:type="dxa"/>
              <w:right w:w="108" w:type="dxa"/>
            </w:tcMar>
            <w:vAlign w:val="center"/>
          </w:tcPr>
          <w:p w14:paraId="3F672851" w14:textId="77777777" w:rsidR="00823B3A" w:rsidRPr="00100F0A" w:rsidRDefault="00823B3A" w:rsidP="00B179AD">
            <w:pPr>
              <w:spacing w:after="60"/>
              <w:rPr>
                <w:sz w:val="20"/>
              </w:rPr>
            </w:pPr>
            <w:r w:rsidRPr="00100F0A">
              <w:rPr>
                <w:sz w:val="20"/>
                <w:szCs w:val="20"/>
              </w:rPr>
              <w:t>ACT, NSW, NT, Qld, SA, Tas, Vic</w:t>
            </w:r>
          </w:p>
        </w:tc>
        <w:tc>
          <w:tcPr>
            <w:tcW w:w="4348" w:type="dxa"/>
            <w:tcBorders>
              <w:top w:val="single" w:sz="8" w:space="0" w:color="B7B7E2"/>
              <w:left w:val="single" w:sz="4" w:space="0" w:color="B7B7E2"/>
              <w:bottom w:val="dotted" w:sz="4" w:space="0" w:color="B7B7E2"/>
              <w:right w:val="single" w:sz="4" w:space="0" w:color="B7B7E2"/>
            </w:tcBorders>
            <w:tcMar>
              <w:top w:w="0" w:type="dxa"/>
              <w:left w:w="108" w:type="dxa"/>
              <w:bottom w:w="0" w:type="dxa"/>
              <w:right w:w="108" w:type="dxa"/>
            </w:tcMar>
          </w:tcPr>
          <w:p w14:paraId="738288B5" w14:textId="77777777" w:rsidR="00823B3A" w:rsidRPr="00100F0A" w:rsidRDefault="00823B3A" w:rsidP="00B179AD">
            <w:pPr>
              <w:rPr>
                <w:rFonts w:eastAsia="Times New Roman" w:cs="Times New Roman"/>
                <w:sz w:val="20"/>
                <w:szCs w:val="20"/>
              </w:rPr>
            </w:pPr>
            <w:r w:rsidRPr="00100F0A">
              <w:rPr>
                <w:rFonts w:cs="Calibri"/>
                <w:color w:val="000000"/>
                <w:sz w:val="20"/>
                <w:szCs w:val="20"/>
              </w:rPr>
              <w:t>Based on ACIL Tasman (2012)</w:t>
            </w:r>
          </w:p>
        </w:tc>
        <w:tc>
          <w:tcPr>
            <w:tcW w:w="773" w:type="dxa"/>
            <w:tcBorders>
              <w:top w:val="single" w:sz="8" w:space="0" w:color="B7B7E2"/>
              <w:left w:val="single" w:sz="4" w:space="0" w:color="B7B7E2"/>
              <w:bottom w:val="dotted" w:sz="4" w:space="0" w:color="B7B7E2"/>
              <w:right w:val="single" w:sz="8" w:space="0" w:color="B7B7E2"/>
            </w:tcBorders>
            <w:tcMar>
              <w:top w:w="0" w:type="dxa"/>
              <w:left w:w="108" w:type="dxa"/>
              <w:bottom w:w="0" w:type="dxa"/>
              <w:right w:w="108" w:type="dxa"/>
            </w:tcMar>
          </w:tcPr>
          <w:p w14:paraId="71C38D6C" w14:textId="77777777" w:rsidR="00823B3A" w:rsidRPr="00100F0A" w:rsidRDefault="00823B3A" w:rsidP="004206B0">
            <w:pPr>
              <w:spacing w:after="60"/>
              <w:jc w:val="center"/>
              <w:rPr>
                <w:rFonts w:eastAsia="Times New Roman" w:cs="Times New Roman"/>
                <w:sz w:val="20"/>
                <w:szCs w:val="20"/>
              </w:rPr>
            </w:pPr>
            <w:r w:rsidRPr="00100F0A">
              <w:rPr>
                <w:rFonts w:cs="Calibri"/>
                <w:sz w:val="20"/>
                <w:szCs w:val="20"/>
              </w:rPr>
              <w:t>1.4%</w:t>
            </w:r>
          </w:p>
        </w:tc>
        <w:tc>
          <w:tcPr>
            <w:tcW w:w="422" w:type="dxa"/>
            <w:tcBorders>
              <w:top w:val="single" w:sz="8" w:space="0" w:color="B7B7E2"/>
              <w:left w:val="nil"/>
              <w:bottom w:val="dotted" w:sz="4" w:space="0" w:color="B7B7E2"/>
              <w:right w:val="single" w:sz="8" w:space="0" w:color="B7B7E2"/>
            </w:tcBorders>
          </w:tcPr>
          <w:p w14:paraId="76156A3B" w14:textId="77777777" w:rsidR="00823B3A" w:rsidRPr="00100F0A" w:rsidRDefault="00823B3A" w:rsidP="00B30B8D">
            <w:pPr>
              <w:spacing w:after="60"/>
              <w:jc w:val="center"/>
              <w:rPr>
                <w:rFonts w:eastAsia="Times New Roman" w:cs="Times New Roman"/>
                <w:sz w:val="20"/>
                <w:szCs w:val="20"/>
              </w:rPr>
            </w:pPr>
            <w:r w:rsidRPr="00100F0A">
              <w:rPr>
                <w:sz w:val="20"/>
                <w:szCs w:val="20"/>
              </w:rPr>
              <w:t>...</w:t>
            </w:r>
          </w:p>
        </w:tc>
        <w:tc>
          <w:tcPr>
            <w:tcW w:w="704" w:type="dxa"/>
            <w:tcBorders>
              <w:top w:val="single" w:sz="8" w:space="0" w:color="B7B7E2"/>
              <w:left w:val="nil"/>
              <w:bottom w:val="dotted" w:sz="4" w:space="0" w:color="B7B7E2"/>
              <w:right w:val="single" w:sz="8" w:space="0" w:color="B7B7E2"/>
            </w:tcBorders>
          </w:tcPr>
          <w:p w14:paraId="2E995F55" w14:textId="77777777" w:rsidR="00823B3A" w:rsidRPr="00100F0A" w:rsidRDefault="00823B3A" w:rsidP="004206B0">
            <w:pPr>
              <w:spacing w:after="60"/>
              <w:jc w:val="center"/>
              <w:rPr>
                <w:rFonts w:cs="Calibri"/>
                <w:bCs/>
                <w:color w:val="000000" w:themeColor="text1"/>
                <w:sz w:val="20"/>
                <w:szCs w:val="20"/>
              </w:rPr>
            </w:pPr>
            <w:r w:rsidRPr="00100F0A">
              <w:rPr>
                <w:rFonts w:cs="Calibri"/>
                <w:color w:val="000000" w:themeColor="text1"/>
                <w:sz w:val="20"/>
                <w:szCs w:val="20"/>
              </w:rPr>
              <w:t>1.4%</w:t>
            </w:r>
          </w:p>
        </w:tc>
        <w:tc>
          <w:tcPr>
            <w:tcW w:w="422" w:type="dxa"/>
            <w:tcBorders>
              <w:top w:val="single" w:sz="8" w:space="0" w:color="B7B7E2"/>
              <w:left w:val="nil"/>
              <w:bottom w:val="dotted" w:sz="4" w:space="0" w:color="B7B7E2"/>
              <w:right w:val="single" w:sz="8" w:space="0" w:color="B7B7E2"/>
            </w:tcBorders>
          </w:tcPr>
          <w:p w14:paraId="4CEB0A22" w14:textId="77777777" w:rsidR="00823B3A" w:rsidRPr="00100F0A" w:rsidRDefault="00823B3A" w:rsidP="00B30B8D">
            <w:pPr>
              <w:spacing w:after="60"/>
              <w:jc w:val="center"/>
              <w:rPr>
                <w:rFonts w:cs="Calibri"/>
                <w:color w:val="000000" w:themeColor="text1"/>
                <w:sz w:val="20"/>
                <w:szCs w:val="20"/>
              </w:rPr>
            </w:pPr>
            <w:r w:rsidRPr="00100F0A">
              <w:rPr>
                <w:sz w:val="20"/>
                <w:szCs w:val="20"/>
              </w:rPr>
              <w:t>...</w:t>
            </w:r>
          </w:p>
        </w:tc>
        <w:tc>
          <w:tcPr>
            <w:tcW w:w="704" w:type="dxa"/>
            <w:tcBorders>
              <w:top w:val="single" w:sz="8" w:space="0" w:color="B7B7E2"/>
              <w:left w:val="nil"/>
              <w:bottom w:val="dotted" w:sz="4" w:space="0" w:color="B7B7E2"/>
              <w:right w:val="single" w:sz="8" w:space="0" w:color="B7B7E2"/>
            </w:tcBorders>
          </w:tcPr>
          <w:p w14:paraId="6FF0946A" w14:textId="77777777" w:rsidR="00823B3A" w:rsidRPr="00100F0A" w:rsidRDefault="00823B3A" w:rsidP="004206B0">
            <w:pPr>
              <w:spacing w:after="60"/>
              <w:jc w:val="center"/>
              <w:rPr>
                <w:rFonts w:cs="Calibri"/>
                <w:color w:val="000000" w:themeColor="text1"/>
                <w:sz w:val="20"/>
                <w:szCs w:val="20"/>
              </w:rPr>
            </w:pPr>
            <w:r w:rsidRPr="00100F0A">
              <w:rPr>
                <w:rFonts w:cs="Calibri"/>
                <w:color w:val="000000" w:themeColor="text1"/>
                <w:sz w:val="20"/>
                <w:szCs w:val="20"/>
              </w:rPr>
              <w:t>1.4%</w:t>
            </w:r>
          </w:p>
        </w:tc>
      </w:tr>
      <w:tr w:rsidR="00823B3A" w:rsidRPr="00100F0A" w14:paraId="001933AE" w14:textId="77777777" w:rsidTr="00B179AD">
        <w:tc>
          <w:tcPr>
            <w:tcW w:w="587" w:type="dxa"/>
            <w:tcBorders>
              <w:top w:val="dotted" w:sz="4" w:space="0" w:color="B7B7E2"/>
              <w:left w:val="single" w:sz="8" w:space="0" w:color="B7B7E2"/>
              <w:bottom w:val="dotted" w:sz="4" w:space="0" w:color="B7B7E2"/>
              <w:right w:val="single" w:sz="8" w:space="0" w:color="B7B7E2"/>
            </w:tcBorders>
            <w:tcMar>
              <w:top w:w="0" w:type="dxa"/>
              <w:left w:w="108" w:type="dxa"/>
              <w:bottom w:w="0" w:type="dxa"/>
              <w:right w:w="108" w:type="dxa"/>
            </w:tcMar>
            <w:hideMark/>
          </w:tcPr>
          <w:p w14:paraId="27835218" w14:textId="77777777" w:rsidR="00823B3A" w:rsidRPr="00100F0A" w:rsidRDefault="00823B3A" w:rsidP="00B179AD">
            <w:pPr>
              <w:spacing w:after="60"/>
              <w:rPr>
                <w:rFonts w:eastAsia="Times New Roman" w:cs="Times New Roman"/>
                <w:sz w:val="20"/>
              </w:rPr>
            </w:pPr>
            <w:r w:rsidRPr="00100F0A">
              <w:rPr>
                <w:sz w:val="20"/>
              </w:rPr>
              <w:t>High</w:t>
            </w:r>
          </w:p>
        </w:tc>
        <w:tc>
          <w:tcPr>
            <w:tcW w:w="1102" w:type="dxa"/>
            <w:vMerge/>
            <w:tcBorders>
              <w:left w:val="nil"/>
              <w:right w:val="single" w:sz="4" w:space="0" w:color="B7B7E2"/>
            </w:tcBorders>
            <w:tcMar>
              <w:top w:w="0" w:type="dxa"/>
              <w:left w:w="108" w:type="dxa"/>
              <w:bottom w:w="0" w:type="dxa"/>
              <w:right w:w="108" w:type="dxa"/>
            </w:tcMar>
          </w:tcPr>
          <w:p w14:paraId="73F1391C" w14:textId="77777777" w:rsidR="00823B3A" w:rsidRPr="00100F0A" w:rsidRDefault="00823B3A" w:rsidP="00B179AD">
            <w:pPr>
              <w:spacing w:after="60"/>
              <w:rPr>
                <w:sz w:val="20"/>
              </w:rPr>
            </w:pPr>
          </w:p>
        </w:tc>
        <w:tc>
          <w:tcPr>
            <w:tcW w:w="4348"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tcPr>
          <w:p w14:paraId="0828D193" w14:textId="3B21355D" w:rsidR="00823B3A" w:rsidRPr="00100F0A" w:rsidRDefault="00C34F48" w:rsidP="00B179AD">
            <w:pPr>
              <w:rPr>
                <w:rFonts w:eastAsia="Times New Roman" w:cs="Times New Roman"/>
                <w:sz w:val="20"/>
                <w:szCs w:val="20"/>
              </w:rPr>
            </w:pPr>
            <w:r>
              <w:rPr>
                <w:rFonts w:cs="Calibri"/>
                <w:color w:val="000000"/>
                <w:sz w:val="20"/>
                <w:szCs w:val="20"/>
              </w:rPr>
              <w:t>20-year average</w:t>
            </w:r>
            <w:r w:rsidR="00823B3A" w:rsidRPr="00100F0A">
              <w:rPr>
                <w:rFonts w:cs="Calibri"/>
                <w:color w:val="000000"/>
                <w:sz w:val="20"/>
                <w:szCs w:val="20"/>
              </w:rPr>
              <w:t xml:space="preserve"> annual economic growth </w:t>
            </w:r>
          </w:p>
        </w:tc>
        <w:tc>
          <w:tcPr>
            <w:tcW w:w="773" w:type="dxa"/>
            <w:tcBorders>
              <w:top w:val="dotted" w:sz="4" w:space="0" w:color="B7B7E2"/>
              <w:left w:val="single" w:sz="4" w:space="0" w:color="B7B7E2"/>
              <w:bottom w:val="dotted" w:sz="4" w:space="0" w:color="B7B7E2"/>
              <w:right w:val="single" w:sz="8" w:space="0" w:color="B7B7E2"/>
            </w:tcBorders>
            <w:tcMar>
              <w:top w:w="0" w:type="dxa"/>
              <w:left w:w="108" w:type="dxa"/>
              <w:bottom w:w="0" w:type="dxa"/>
              <w:right w:w="108" w:type="dxa"/>
            </w:tcMar>
          </w:tcPr>
          <w:p w14:paraId="20FCA52F" w14:textId="77777777" w:rsidR="00823B3A" w:rsidRPr="00100F0A" w:rsidRDefault="00823B3A" w:rsidP="004206B0">
            <w:pPr>
              <w:spacing w:after="60"/>
              <w:jc w:val="center"/>
              <w:rPr>
                <w:rFonts w:eastAsia="Times New Roman" w:cs="Times New Roman"/>
                <w:sz w:val="20"/>
                <w:szCs w:val="20"/>
              </w:rPr>
            </w:pPr>
            <w:r w:rsidRPr="00100F0A">
              <w:rPr>
                <w:rFonts w:cs="Calibri"/>
                <w:sz w:val="20"/>
                <w:szCs w:val="20"/>
              </w:rPr>
              <w:t>2.8%</w:t>
            </w:r>
          </w:p>
        </w:tc>
        <w:tc>
          <w:tcPr>
            <w:tcW w:w="422" w:type="dxa"/>
            <w:tcBorders>
              <w:top w:val="dotted" w:sz="4" w:space="0" w:color="B7B7E2"/>
              <w:left w:val="nil"/>
              <w:bottom w:val="dotted" w:sz="4" w:space="0" w:color="B7B7E2"/>
              <w:right w:val="single" w:sz="8" w:space="0" w:color="B7B7E2"/>
            </w:tcBorders>
          </w:tcPr>
          <w:p w14:paraId="1759B912" w14:textId="77777777" w:rsidR="00823B3A" w:rsidRPr="00100F0A" w:rsidRDefault="00823B3A" w:rsidP="00B30B8D">
            <w:pPr>
              <w:spacing w:after="60"/>
              <w:jc w:val="center"/>
              <w:rPr>
                <w:rFonts w:eastAsia="Times New Roman" w:cs="Times New Roman"/>
                <w:sz w:val="20"/>
                <w:szCs w:val="20"/>
              </w:rPr>
            </w:pPr>
            <w:r w:rsidRPr="00100F0A">
              <w:rPr>
                <w:sz w:val="20"/>
                <w:szCs w:val="20"/>
              </w:rPr>
              <w:t>...</w:t>
            </w:r>
          </w:p>
        </w:tc>
        <w:tc>
          <w:tcPr>
            <w:tcW w:w="704" w:type="dxa"/>
            <w:tcBorders>
              <w:top w:val="dotted" w:sz="4" w:space="0" w:color="B7B7E2"/>
              <w:left w:val="nil"/>
              <w:bottom w:val="dotted" w:sz="4" w:space="0" w:color="B7B7E2"/>
              <w:right w:val="single" w:sz="8" w:space="0" w:color="B7B7E2"/>
            </w:tcBorders>
          </w:tcPr>
          <w:p w14:paraId="681D9578" w14:textId="77777777" w:rsidR="00823B3A" w:rsidRPr="00100F0A" w:rsidRDefault="00823B3A" w:rsidP="004206B0">
            <w:pPr>
              <w:spacing w:after="60"/>
              <w:jc w:val="center"/>
              <w:rPr>
                <w:rFonts w:cs="Calibri"/>
                <w:bCs/>
                <w:color w:val="000000" w:themeColor="text1"/>
                <w:sz w:val="20"/>
                <w:szCs w:val="20"/>
              </w:rPr>
            </w:pPr>
            <w:r w:rsidRPr="00100F0A">
              <w:rPr>
                <w:rFonts w:cs="Calibri"/>
                <w:color w:val="000000" w:themeColor="text1"/>
                <w:sz w:val="20"/>
                <w:szCs w:val="20"/>
              </w:rPr>
              <w:t>2.8%</w:t>
            </w:r>
          </w:p>
        </w:tc>
        <w:tc>
          <w:tcPr>
            <w:tcW w:w="422" w:type="dxa"/>
            <w:tcBorders>
              <w:top w:val="dotted" w:sz="4" w:space="0" w:color="B7B7E2"/>
              <w:left w:val="nil"/>
              <w:bottom w:val="dotted" w:sz="4" w:space="0" w:color="B7B7E2"/>
              <w:right w:val="single" w:sz="8" w:space="0" w:color="B7B7E2"/>
            </w:tcBorders>
          </w:tcPr>
          <w:p w14:paraId="51FC03B2" w14:textId="77777777" w:rsidR="00823B3A" w:rsidRPr="00100F0A" w:rsidRDefault="00823B3A" w:rsidP="00B30B8D">
            <w:pPr>
              <w:spacing w:after="60"/>
              <w:jc w:val="center"/>
              <w:rPr>
                <w:rFonts w:cs="Calibri"/>
                <w:color w:val="000000" w:themeColor="text1"/>
                <w:sz w:val="20"/>
                <w:szCs w:val="20"/>
              </w:rPr>
            </w:pPr>
            <w:r w:rsidRPr="00100F0A">
              <w:rPr>
                <w:sz w:val="20"/>
                <w:szCs w:val="20"/>
              </w:rPr>
              <w:t>...</w:t>
            </w:r>
          </w:p>
        </w:tc>
        <w:tc>
          <w:tcPr>
            <w:tcW w:w="704" w:type="dxa"/>
            <w:tcBorders>
              <w:top w:val="dotted" w:sz="4" w:space="0" w:color="B7B7E2"/>
              <w:left w:val="nil"/>
              <w:bottom w:val="dotted" w:sz="4" w:space="0" w:color="B7B7E2"/>
              <w:right w:val="single" w:sz="8" w:space="0" w:color="B7B7E2"/>
            </w:tcBorders>
          </w:tcPr>
          <w:p w14:paraId="4C269B1B" w14:textId="77777777" w:rsidR="00823B3A" w:rsidRPr="00100F0A" w:rsidRDefault="00823B3A" w:rsidP="004206B0">
            <w:pPr>
              <w:spacing w:after="60"/>
              <w:jc w:val="center"/>
              <w:rPr>
                <w:rFonts w:cs="Calibri"/>
                <w:color w:val="000000" w:themeColor="text1"/>
                <w:sz w:val="20"/>
                <w:szCs w:val="20"/>
              </w:rPr>
            </w:pPr>
            <w:r w:rsidRPr="00100F0A">
              <w:rPr>
                <w:rFonts w:cs="Calibri"/>
                <w:color w:val="000000" w:themeColor="text1"/>
                <w:sz w:val="20"/>
                <w:szCs w:val="20"/>
              </w:rPr>
              <w:t>2.8%</w:t>
            </w:r>
          </w:p>
        </w:tc>
      </w:tr>
      <w:tr w:rsidR="00823B3A" w:rsidRPr="00100F0A" w14:paraId="5E4F16A4" w14:textId="77777777" w:rsidTr="00B179AD">
        <w:tc>
          <w:tcPr>
            <w:tcW w:w="587" w:type="dxa"/>
            <w:tcBorders>
              <w:top w:val="dotted" w:sz="4" w:space="0" w:color="B7B7E2"/>
              <w:left w:val="single" w:sz="8" w:space="0" w:color="B7B7E2"/>
              <w:bottom w:val="single" w:sz="4" w:space="0" w:color="B7B7E2"/>
              <w:right w:val="single" w:sz="8" w:space="0" w:color="B7B7E2"/>
            </w:tcBorders>
            <w:tcMar>
              <w:top w:w="0" w:type="dxa"/>
              <w:left w:w="108" w:type="dxa"/>
              <w:bottom w:w="0" w:type="dxa"/>
              <w:right w:w="108" w:type="dxa"/>
            </w:tcMar>
            <w:hideMark/>
          </w:tcPr>
          <w:p w14:paraId="61E037A8" w14:textId="77777777" w:rsidR="00823B3A" w:rsidRPr="00100F0A" w:rsidRDefault="00823B3A" w:rsidP="00B179AD">
            <w:pPr>
              <w:spacing w:after="60"/>
              <w:rPr>
                <w:rFonts w:eastAsia="Times New Roman" w:cs="Times New Roman"/>
                <w:sz w:val="20"/>
              </w:rPr>
            </w:pPr>
            <w:r w:rsidRPr="00100F0A">
              <w:rPr>
                <w:sz w:val="20"/>
              </w:rPr>
              <w:t>Low</w:t>
            </w:r>
          </w:p>
        </w:tc>
        <w:tc>
          <w:tcPr>
            <w:tcW w:w="1102" w:type="dxa"/>
            <w:vMerge/>
            <w:tcBorders>
              <w:left w:val="nil"/>
              <w:bottom w:val="single" w:sz="8" w:space="0" w:color="B7B7E2"/>
              <w:right w:val="single" w:sz="4" w:space="0" w:color="B7B7E2"/>
            </w:tcBorders>
            <w:tcMar>
              <w:top w:w="0" w:type="dxa"/>
              <w:left w:w="108" w:type="dxa"/>
              <w:bottom w:w="0" w:type="dxa"/>
              <w:right w:w="108" w:type="dxa"/>
            </w:tcMar>
          </w:tcPr>
          <w:p w14:paraId="71C410A1" w14:textId="77777777" w:rsidR="00823B3A" w:rsidRPr="00100F0A" w:rsidRDefault="00823B3A" w:rsidP="00B179AD">
            <w:pPr>
              <w:spacing w:after="60"/>
              <w:rPr>
                <w:sz w:val="20"/>
              </w:rPr>
            </w:pPr>
          </w:p>
        </w:tc>
        <w:tc>
          <w:tcPr>
            <w:tcW w:w="4348" w:type="dxa"/>
            <w:tcBorders>
              <w:top w:val="dotted" w:sz="4" w:space="0" w:color="B7B7E2"/>
              <w:left w:val="single" w:sz="4" w:space="0" w:color="B7B7E2"/>
              <w:bottom w:val="single" w:sz="8" w:space="0" w:color="B7B7E2"/>
              <w:right w:val="single" w:sz="4" w:space="0" w:color="B7B7E2"/>
            </w:tcBorders>
            <w:tcMar>
              <w:top w:w="0" w:type="dxa"/>
              <w:left w:w="108" w:type="dxa"/>
              <w:bottom w:w="0" w:type="dxa"/>
              <w:right w:w="108" w:type="dxa"/>
            </w:tcMar>
          </w:tcPr>
          <w:p w14:paraId="09BEEDD9" w14:textId="684B806B" w:rsidR="00823B3A" w:rsidRPr="00100F0A" w:rsidRDefault="00C34F48" w:rsidP="00B179AD">
            <w:pPr>
              <w:rPr>
                <w:rFonts w:eastAsia="Times New Roman" w:cs="Times New Roman"/>
                <w:sz w:val="20"/>
                <w:szCs w:val="20"/>
              </w:rPr>
            </w:pPr>
            <w:r>
              <w:rPr>
                <w:rFonts w:cs="Calibri"/>
                <w:color w:val="000000"/>
                <w:sz w:val="20"/>
                <w:szCs w:val="20"/>
              </w:rPr>
              <w:t>20-year average</w:t>
            </w:r>
            <w:r w:rsidR="00823B3A" w:rsidRPr="00100F0A">
              <w:rPr>
                <w:rFonts w:cs="Calibri"/>
                <w:color w:val="000000"/>
                <w:sz w:val="20"/>
                <w:szCs w:val="20"/>
              </w:rPr>
              <w:t xml:space="preserve"> annual population growth </w:t>
            </w:r>
          </w:p>
        </w:tc>
        <w:tc>
          <w:tcPr>
            <w:tcW w:w="773" w:type="dxa"/>
            <w:tcBorders>
              <w:top w:val="dotted" w:sz="4" w:space="0" w:color="B7B7E2"/>
              <w:left w:val="single" w:sz="4" w:space="0" w:color="B7B7E2"/>
              <w:bottom w:val="single" w:sz="4" w:space="0" w:color="B7B7E2"/>
              <w:right w:val="single" w:sz="8" w:space="0" w:color="B7B7E2"/>
            </w:tcBorders>
            <w:tcMar>
              <w:top w:w="0" w:type="dxa"/>
              <w:left w:w="108" w:type="dxa"/>
              <w:bottom w:w="0" w:type="dxa"/>
              <w:right w:w="108" w:type="dxa"/>
            </w:tcMar>
          </w:tcPr>
          <w:p w14:paraId="7CB74CF5" w14:textId="77777777" w:rsidR="00823B3A" w:rsidRPr="00100F0A" w:rsidRDefault="00823B3A" w:rsidP="004206B0">
            <w:pPr>
              <w:spacing w:after="60"/>
              <w:jc w:val="center"/>
              <w:rPr>
                <w:rFonts w:eastAsia="Times New Roman" w:cs="Times New Roman"/>
                <w:sz w:val="20"/>
                <w:szCs w:val="20"/>
              </w:rPr>
            </w:pPr>
            <w:r w:rsidRPr="00100F0A">
              <w:rPr>
                <w:rFonts w:cs="Calibri"/>
                <w:sz w:val="20"/>
                <w:szCs w:val="20"/>
              </w:rPr>
              <w:t>0.0%</w:t>
            </w:r>
          </w:p>
        </w:tc>
        <w:tc>
          <w:tcPr>
            <w:tcW w:w="422" w:type="dxa"/>
            <w:tcBorders>
              <w:top w:val="dotted" w:sz="4" w:space="0" w:color="B7B7E2"/>
              <w:left w:val="nil"/>
              <w:bottom w:val="single" w:sz="4" w:space="0" w:color="B7B7E2"/>
              <w:right w:val="single" w:sz="8" w:space="0" w:color="B7B7E2"/>
            </w:tcBorders>
          </w:tcPr>
          <w:p w14:paraId="1F105CE0" w14:textId="77777777" w:rsidR="00823B3A" w:rsidRPr="00100F0A" w:rsidRDefault="00823B3A" w:rsidP="00B30B8D">
            <w:pPr>
              <w:spacing w:after="60"/>
              <w:jc w:val="center"/>
              <w:rPr>
                <w:rFonts w:eastAsia="Times New Roman" w:cs="Times New Roman"/>
                <w:sz w:val="20"/>
                <w:szCs w:val="20"/>
              </w:rPr>
            </w:pPr>
            <w:r w:rsidRPr="00100F0A">
              <w:rPr>
                <w:sz w:val="20"/>
                <w:szCs w:val="20"/>
              </w:rPr>
              <w:t>...</w:t>
            </w:r>
          </w:p>
        </w:tc>
        <w:tc>
          <w:tcPr>
            <w:tcW w:w="704" w:type="dxa"/>
            <w:tcBorders>
              <w:top w:val="dotted" w:sz="4" w:space="0" w:color="B7B7E2"/>
              <w:left w:val="nil"/>
              <w:bottom w:val="single" w:sz="4" w:space="0" w:color="B7B7E2"/>
              <w:right w:val="single" w:sz="8" w:space="0" w:color="B7B7E2"/>
            </w:tcBorders>
          </w:tcPr>
          <w:p w14:paraId="51C7B93E" w14:textId="77777777" w:rsidR="00823B3A" w:rsidRPr="00100F0A" w:rsidRDefault="00823B3A" w:rsidP="004206B0">
            <w:pPr>
              <w:spacing w:after="60"/>
              <w:jc w:val="center"/>
              <w:rPr>
                <w:rFonts w:cs="Calibri"/>
                <w:bCs/>
                <w:color w:val="000000" w:themeColor="text1"/>
                <w:sz w:val="20"/>
                <w:szCs w:val="20"/>
              </w:rPr>
            </w:pPr>
            <w:r w:rsidRPr="00100F0A">
              <w:rPr>
                <w:rFonts w:cs="Calibri"/>
                <w:color w:val="000000" w:themeColor="text1"/>
                <w:sz w:val="20"/>
                <w:szCs w:val="20"/>
              </w:rPr>
              <w:t>0.0%</w:t>
            </w:r>
          </w:p>
        </w:tc>
        <w:tc>
          <w:tcPr>
            <w:tcW w:w="422" w:type="dxa"/>
            <w:tcBorders>
              <w:top w:val="dotted" w:sz="4" w:space="0" w:color="B7B7E2"/>
              <w:left w:val="nil"/>
              <w:bottom w:val="single" w:sz="4" w:space="0" w:color="B7B7E2"/>
              <w:right w:val="single" w:sz="8" w:space="0" w:color="B7B7E2"/>
            </w:tcBorders>
          </w:tcPr>
          <w:p w14:paraId="761A5E61" w14:textId="77777777" w:rsidR="00823B3A" w:rsidRPr="00100F0A" w:rsidRDefault="00823B3A" w:rsidP="00B30B8D">
            <w:pPr>
              <w:spacing w:after="60"/>
              <w:jc w:val="center"/>
              <w:rPr>
                <w:rFonts w:cs="Calibri"/>
                <w:bCs/>
                <w:color w:val="000000" w:themeColor="text1"/>
                <w:sz w:val="20"/>
                <w:szCs w:val="20"/>
              </w:rPr>
            </w:pPr>
            <w:r w:rsidRPr="00100F0A">
              <w:rPr>
                <w:sz w:val="20"/>
                <w:szCs w:val="20"/>
              </w:rPr>
              <w:t>...</w:t>
            </w:r>
          </w:p>
        </w:tc>
        <w:tc>
          <w:tcPr>
            <w:tcW w:w="704" w:type="dxa"/>
            <w:tcBorders>
              <w:top w:val="dotted" w:sz="4" w:space="0" w:color="B7B7E2"/>
              <w:left w:val="nil"/>
              <w:bottom w:val="single" w:sz="4" w:space="0" w:color="B7B7E2"/>
              <w:right w:val="single" w:sz="8" w:space="0" w:color="B7B7E2"/>
            </w:tcBorders>
          </w:tcPr>
          <w:p w14:paraId="6CA3ADCA" w14:textId="77777777" w:rsidR="00823B3A" w:rsidRPr="00100F0A" w:rsidRDefault="00823B3A" w:rsidP="004206B0">
            <w:pPr>
              <w:spacing w:after="60"/>
              <w:jc w:val="center"/>
              <w:rPr>
                <w:rFonts w:cs="Calibri"/>
                <w:bCs/>
                <w:color w:val="000000" w:themeColor="text1"/>
                <w:sz w:val="20"/>
                <w:szCs w:val="20"/>
              </w:rPr>
            </w:pPr>
            <w:r w:rsidRPr="00100F0A">
              <w:rPr>
                <w:rFonts w:cs="Calibri"/>
                <w:color w:val="000000" w:themeColor="text1"/>
                <w:sz w:val="20"/>
                <w:szCs w:val="20"/>
              </w:rPr>
              <w:t>0.0%</w:t>
            </w:r>
          </w:p>
        </w:tc>
      </w:tr>
      <w:tr w:rsidR="00823B3A" w:rsidRPr="00100F0A" w14:paraId="66ADC43F" w14:textId="77777777" w:rsidTr="00B179AD">
        <w:trPr>
          <w:trHeight w:val="331"/>
        </w:trPr>
        <w:tc>
          <w:tcPr>
            <w:tcW w:w="7936" w:type="dxa"/>
            <w:gridSpan w:val="6"/>
            <w:tcBorders>
              <w:top w:val="single" w:sz="4" w:space="0" w:color="B7B7E2"/>
              <w:left w:val="single" w:sz="8" w:space="0" w:color="B7B7E2"/>
              <w:bottom w:val="dotted" w:sz="4" w:space="0" w:color="B7B7E2"/>
              <w:right w:val="single" w:sz="8" w:space="0" w:color="B7B7E2"/>
            </w:tcBorders>
            <w:tcMar>
              <w:top w:w="0" w:type="dxa"/>
              <w:left w:w="108" w:type="dxa"/>
              <w:bottom w:w="0" w:type="dxa"/>
              <w:right w:w="108" w:type="dxa"/>
            </w:tcMar>
          </w:tcPr>
          <w:p w14:paraId="1B247FF3" w14:textId="77777777" w:rsidR="00823B3A" w:rsidRPr="00100F0A" w:rsidRDefault="00823B3A" w:rsidP="00B30B8D">
            <w:pPr>
              <w:spacing w:after="60"/>
              <w:rPr>
                <w:sz w:val="20"/>
                <w:szCs w:val="20"/>
              </w:rPr>
            </w:pPr>
            <w:r w:rsidRPr="00100F0A">
              <w:rPr>
                <w:iCs/>
                <w:color w:val="4D4DB8"/>
                <w:sz w:val="20"/>
                <w:szCs w:val="18"/>
              </w:rPr>
              <w:t>On-site storage releases (absolute tonnes pa)</w:t>
            </w:r>
          </w:p>
        </w:tc>
        <w:tc>
          <w:tcPr>
            <w:tcW w:w="422" w:type="dxa"/>
            <w:tcBorders>
              <w:top w:val="single" w:sz="4" w:space="0" w:color="B7B7E2"/>
              <w:left w:val="single" w:sz="8" w:space="0" w:color="B7B7E2"/>
              <w:bottom w:val="dotted" w:sz="4" w:space="0" w:color="B7B7E2"/>
              <w:right w:val="single" w:sz="8" w:space="0" w:color="B7B7E2"/>
            </w:tcBorders>
          </w:tcPr>
          <w:p w14:paraId="624D561B" w14:textId="77777777" w:rsidR="00823B3A" w:rsidRPr="00100F0A" w:rsidRDefault="00823B3A" w:rsidP="004206B0">
            <w:pPr>
              <w:spacing w:after="60"/>
              <w:jc w:val="center"/>
              <w:rPr>
                <w:iCs/>
                <w:color w:val="4D4DB8"/>
                <w:sz w:val="20"/>
                <w:szCs w:val="18"/>
              </w:rPr>
            </w:pPr>
          </w:p>
        </w:tc>
        <w:tc>
          <w:tcPr>
            <w:tcW w:w="704" w:type="dxa"/>
            <w:tcBorders>
              <w:top w:val="single" w:sz="4" w:space="0" w:color="B7B7E2"/>
              <w:left w:val="single" w:sz="8" w:space="0" w:color="B7B7E2"/>
              <w:bottom w:val="dotted" w:sz="4" w:space="0" w:color="B7B7E2"/>
              <w:right w:val="single" w:sz="8" w:space="0" w:color="B7B7E2"/>
            </w:tcBorders>
          </w:tcPr>
          <w:p w14:paraId="4BED38ED" w14:textId="77777777" w:rsidR="00823B3A" w:rsidRPr="00100F0A" w:rsidRDefault="00823B3A" w:rsidP="004206B0">
            <w:pPr>
              <w:spacing w:after="60"/>
              <w:jc w:val="center"/>
              <w:rPr>
                <w:iCs/>
                <w:color w:val="4D4DB8"/>
                <w:sz w:val="20"/>
                <w:szCs w:val="18"/>
              </w:rPr>
            </w:pPr>
          </w:p>
        </w:tc>
      </w:tr>
      <w:tr w:rsidR="00823B3A" w:rsidRPr="00100F0A" w14:paraId="2016848C" w14:textId="77777777" w:rsidTr="00B179AD">
        <w:tc>
          <w:tcPr>
            <w:tcW w:w="587" w:type="dxa"/>
            <w:tcBorders>
              <w:top w:val="single" w:sz="4" w:space="0" w:color="B7B7E2"/>
              <w:left w:val="single" w:sz="4" w:space="0" w:color="B7B7E2"/>
              <w:bottom w:val="dotted" w:sz="4" w:space="0" w:color="B7B7E2"/>
              <w:right w:val="single" w:sz="4" w:space="0" w:color="B7B7E2"/>
            </w:tcBorders>
            <w:tcMar>
              <w:top w:w="0" w:type="dxa"/>
              <w:left w:w="108" w:type="dxa"/>
              <w:bottom w:w="0" w:type="dxa"/>
              <w:right w:w="108" w:type="dxa"/>
            </w:tcMar>
            <w:hideMark/>
          </w:tcPr>
          <w:p w14:paraId="334E9129" w14:textId="77777777" w:rsidR="00823B3A" w:rsidRPr="00100F0A" w:rsidRDefault="00823B3A" w:rsidP="00B179AD">
            <w:pPr>
              <w:spacing w:after="60"/>
              <w:rPr>
                <w:rFonts w:eastAsia="Times New Roman" w:cs="Times New Roman"/>
                <w:sz w:val="20"/>
              </w:rPr>
            </w:pPr>
            <w:r w:rsidRPr="00100F0A">
              <w:rPr>
                <w:sz w:val="20"/>
              </w:rPr>
              <w:t>Best</w:t>
            </w:r>
          </w:p>
        </w:tc>
        <w:tc>
          <w:tcPr>
            <w:tcW w:w="1102" w:type="dxa"/>
            <w:vMerge w:val="restart"/>
            <w:tcBorders>
              <w:top w:val="single" w:sz="8" w:space="0" w:color="B7B7E2"/>
              <w:left w:val="single" w:sz="4" w:space="0" w:color="B7B7E2"/>
              <w:right w:val="single" w:sz="8" w:space="0" w:color="B7B7E2"/>
            </w:tcBorders>
            <w:tcMar>
              <w:top w:w="0" w:type="dxa"/>
              <w:left w:w="108" w:type="dxa"/>
              <w:bottom w:w="0" w:type="dxa"/>
              <w:right w:w="108" w:type="dxa"/>
            </w:tcMar>
            <w:vAlign w:val="center"/>
          </w:tcPr>
          <w:p w14:paraId="6823976D" w14:textId="77777777" w:rsidR="00823B3A" w:rsidRPr="00100F0A" w:rsidRDefault="00823B3A" w:rsidP="00B179AD">
            <w:pPr>
              <w:spacing w:after="60"/>
              <w:rPr>
                <w:sz w:val="20"/>
              </w:rPr>
            </w:pPr>
            <w:r w:rsidRPr="00100F0A">
              <w:rPr>
                <w:sz w:val="20"/>
                <w:szCs w:val="20"/>
              </w:rPr>
              <w:t>WA</w:t>
            </w:r>
          </w:p>
        </w:tc>
        <w:tc>
          <w:tcPr>
            <w:tcW w:w="4348" w:type="dxa"/>
            <w:tcBorders>
              <w:top w:val="single" w:sz="8" w:space="0" w:color="B7B7E2"/>
              <w:left w:val="nil"/>
              <w:bottom w:val="dotted" w:sz="4" w:space="0" w:color="B7B7E2"/>
              <w:right w:val="single" w:sz="4" w:space="0" w:color="B7B7E2"/>
            </w:tcBorders>
            <w:tcMar>
              <w:top w:w="0" w:type="dxa"/>
              <w:left w:w="108" w:type="dxa"/>
              <w:bottom w:w="0" w:type="dxa"/>
              <w:right w:w="108" w:type="dxa"/>
            </w:tcMar>
            <w:vAlign w:val="bottom"/>
          </w:tcPr>
          <w:p w14:paraId="38752004" w14:textId="271C11F7" w:rsidR="00823B3A" w:rsidRPr="00100F0A" w:rsidRDefault="00823B3A" w:rsidP="00B179AD">
            <w:pPr>
              <w:rPr>
                <w:rFonts w:eastAsia="Times New Roman" w:cs="Times New Roman"/>
                <w:sz w:val="20"/>
                <w:szCs w:val="20"/>
              </w:rPr>
            </w:pPr>
            <w:r w:rsidRPr="00100F0A">
              <w:rPr>
                <w:rFonts w:cs="Calibri"/>
                <w:color w:val="000000"/>
                <w:sz w:val="20"/>
                <w:szCs w:val="20"/>
              </w:rPr>
              <w:t>Stockpile slowly reduced at 2%</w:t>
            </w:r>
            <w:r w:rsidR="00070A4A">
              <w:rPr>
                <w:rFonts w:cs="Calibri"/>
                <w:color w:val="000000"/>
                <w:sz w:val="20"/>
                <w:szCs w:val="20"/>
              </w:rPr>
              <w:t xml:space="preserve"> </w:t>
            </w:r>
            <w:r w:rsidRPr="00100F0A">
              <w:rPr>
                <w:rFonts w:cs="Calibri"/>
                <w:color w:val="000000"/>
                <w:sz w:val="20"/>
                <w:szCs w:val="20"/>
              </w:rPr>
              <w:t>pa, thr</w:t>
            </w:r>
            <w:r w:rsidR="00070A4A">
              <w:rPr>
                <w:rFonts w:cs="Calibri"/>
                <w:color w:val="000000"/>
                <w:sz w:val="20"/>
                <w:szCs w:val="20"/>
              </w:rPr>
              <w:t>o</w:t>
            </w:r>
            <w:r w:rsidRPr="00100F0A">
              <w:rPr>
                <w:rFonts w:cs="Calibri"/>
                <w:color w:val="000000"/>
                <w:sz w:val="20"/>
                <w:szCs w:val="20"/>
              </w:rPr>
              <w:t>u</w:t>
            </w:r>
            <w:r w:rsidR="00070A4A">
              <w:rPr>
                <w:rFonts w:cs="Calibri"/>
                <w:color w:val="000000"/>
                <w:sz w:val="20"/>
                <w:szCs w:val="20"/>
              </w:rPr>
              <w:t>gh</w:t>
            </w:r>
            <w:r w:rsidRPr="00100F0A">
              <w:rPr>
                <w:rFonts w:cs="Calibri"/>
                <w:color w:val="000000"/>
                <w:sz w:val="20"/>
                <w:szCs w:val="20"/>
              </w:rPr>
              <w:t xml:space="preserve"> existing infra</w:t>
            </w:r>
            <w:r w:rsidR="00070A4A">
              <w:rPr>
                <w:rFonts w:cs="Calibri"/>
                <w:color w:val="000000"/>
                <w:sz w:val="20"/>
                <w:szCs w:val="20"/>
              </w:rPr>
              <w:t>structure</w:t>
            </w:r>
            <w:r w:rsidRPr="00100F0A">
              <w:rPr>
                <w:rFonts w:cs="Calibri"/>
                <w:color w:val="000000"/>
                <w:sz w:val="20"/>
                <w:szCs w:val="20"/>
              </w:rPr>
              <w:t>, (starting 2020)</w:t>
            </w:r>
          </w:p>
        </w:tc>
        <w:tc>
          <w:tcPr>
            <w:tcW w:w="773" w:type="dxa"/>
            <w:tcBorders>
              <w:top w:val="single" w:sz="4" w:space="0" w:color="B7B7E2"/>
              <w:left w:val="single" w:sz="4" w:space="0" w:color="B7B7E2"/>
              <w:bottom w:val="dotted" w:sz="4" w:space="0" w:color="B7B7E2"/>
              <w:right w:val="single" w:sz="4" w:space="0" w:color="B7B7E2"/>
            </w:tcBorders>
            <w:tcMar>
              <w:top w:w="0" w:type="dxa"/>
              <w:left w:w="108" w:type="dxa"/>
              <w:bottom w:w="0" w:type="dxa"/>
              <w:right w:w="108" w:type="dxa"/>
            </w:tcMar>
          </w:tcPr>
          <w:p w14:paraId="005A171E" w14:textId="77777777" w:rsidR="00823B3A" w:rsidRPr="00100F0A" w:rsidRDefault="00823B3A" w:rsidP="004206B0">
            <w:pPr>
              <w:spacing w:after="60"/>
              <w:jc w:val="center"/>
              <w:rPr>
                <w:rFonts w:eastAsia="Times New Roman" w:cs="Times New Roman"/>
                <w:color w:val="000000" w:themeColor="text1"/>
                <w:sz w:val="20"/>
                <w:szCs w:val="20"/>
              </w:rPr>
            </w:pPr>
            <w:r w:rsidRPr="00100F0A">
              <w:rPr>
                <w:rFonts w:cs="Calibri"/>
                <w:bCs/>
                <w:color w:val="000000" w:themeColor="text1"/>
                <w:sz w:val="20"/>
                <w:szCs w:val="20"/>
              </w:rPr>
              <w:t>0</w:t>
            </w:r>
          </w:p>
        </w:tc>
        <w:tc>
          <w:tcPr>
            <w:tcW w:w="422" w:type="dxa"/>
            <w:tcBorders>
              <w:top w:val="single" w:sz="4" w:space="0" w:color="B7B7E2"/>
              <w:left w:val="single" w:sz="4" w:space="0" w:color="B7B7E2"/>
              <w:bottom w:val="dotted" w:sz="4" w:space="0" w:color="B7B7E2"/>
              <w:right w:val="single" w:sz="4" w:space="0" w:color="B7B7E2"/>
            </w:tcBorders>
          </w:tcPr>
          <w:p w14:paraId="1B358F53" w14:textId="77777777" w:rsidR="00823B3A" w:rsidRPr="00100F0A" w:rsidRDefault="00823B3A" w:rsidP="00B30B8D">
            <w:pPr>
              <w:spacing w:after="60"/>
              <w:jc w:val="center"/>
              <w:rPr>
                <w:rFonts w:eastAsia="Times New Roman" w:cs="Times New Roman"/>
                <w:sz w:val="20"/>
                <w:szCs w:val="20"/>
              </w:rPr>
            </w:pPr>
            <w:r w:rsidRPr="00100F0A">
              <w:rPr>
                <w:sz w:val="20"/>
                <w:szCs w:val="20"/>
              </w:rPr>
              <w:t>...</w:t>
            </w:r>
          </w:p>
        </w:tc>
        <w:tc>
          <w:tcPr>
            <w:tcW w:w="704" w:type="dxa"/>
            <w:tcBorders>
              <w:top w:val="single" w:sz="4" w:space="0" w:color="B7B7E2"/>
              <w:left w:val="single" w:sz="4" w:space="0" w:color="B7B7E2"/>
              <w:bottom w:val="dotted" w:sz="4" w:space="0" w:color="B7B7E2"/>
              <w:right w:val="single" w:sz="4" w:space="0" w:color="B7B7E2"/>
            </w:tcBorders>
          </w:tcPr>
          <w:p w14:paraId="70C82A2F" w14:textId="77777777" w:rsidR="00823B3A" w:rsidRPr="00100F0A" w:rsidRDefault="00823B3A" w:rsidP="004206B0">
            <w:pPr>
              <w:spacing w:after="60"/>
              <w:jc w:val="center"/>
              <w:rPr>
                <w:rFonts w:eastAsia="Times New Roman" w:cs="Times New Roman"/>
                <w:color w:val="000000" w:themeColor="text1"/>
                <w:sz w:val="20"/>
                <w:szCs w:val="20"/>
              </w:rPr>
            </w:pPr>
            <w:r w:rsidRPr="00100F0A">
              <w:rPr>
                <w:rFonts w:cs="Calibri"/>
                <w:bCs/>
                <w:color w:val="000000" w:themeColor="text1"/>
                <w:sz w:val="20"/>
                <w:szCs w:val="20"/>
              </w:rPr>
              <w:t>1,200</w:t>
            </w:r>
          </w:p>
        </w:tc>
        <w:tc>
          <w:tcPr>
            <w:tcW w:w="422" w:type="dxa"/>
            <w:tcBorders>
              <w:top w:val="single" w:sz="4" w:space="0" w:color="B7B7E2"/>
              <w:left w:val="single" w:sz="4" w:space="0" w:color="B7B7E2"/>
              <w:bottom w:val="dotted" w:sz="4" w:space="0" w:color="B7B7E2"/>
              <w:right w:val="single" w:sz="4" w:space="0" w:color="B7B7E2"/>
            </w:tcBorders>
          </w:tcPr>
          <w:p w14:paraId="4A073CCB" w14:textId="77777777" w:rsidR="00823B3A" w:rsidRPr="00100F0A" w:rsidRDefault="00823B3A" w:rsidP="00B30B8D">
            <w:pPr>
              <w:spacing w:after="60"/>
              <w:jc w:val="center"/>
              <w:rPr>
                <w:sz w:val="20"/>
                <w:szCs w:val="20"/>
              </w:rPr>
            </w:pPr>
            <w:r w:rsidRPr="00100F0A">
              <w:rPr>
                <w:sz w:val="20"/>
                <w:szCs w:val="20"/>
              </w:rPr>
              <w:t>...</w:t>
            </w:r>
          </w:p>
        </w:tc>
        <w:tc>
          <w:tcPr>
            <w:tcW w:w="704" w:type="dxa"/>
            <w:tcBorders>
              <w:top w:val="single" w:sz="4" w:space="0" w:color="B7B7E2"/>
              <w:left w:val="single" w:sz="4" w:space="0" w:color="B7B7E2"/>
              <w:bottom w:val="dotted" w:sz="4" w:space="0" w:color="B7B7E2"/>
              <w:right w:val="single" w:sz="4" w:space="0" w:color="B7B7E2"/>
            </w:tcBorders>
          </w:tcPr>
          <w:p w14:paraId="12B40AFF" w14:textId="77777777" w:rsidR="00823B3A" w:rsidRPr="00100F0A" w:rsidRDefault="00823B3A" w:rsidP="004206B0">
            <w:pPr>
              <w:spacing w:after="60"/>
              <w:jc w:val="center"/>
              <w:rPr>
                <w:color w:val="000000" w:themeColor="text1"/>
                <w:sz w:val="20"/>
                <w:szCs w:val="20"/>
              </w:rPr>
            </w:pPr>
            <w:r w:rsidRPr="00100F0A">
              <w:rPr>
                <w:rFonts w:cs="Calibri"/>
                <w:bCs/>
                <w:color w:val="000000" w:themeColor="text1"/>
                <w:sz w:val="20"/>
                <w:szCs w:val="20"/>
              </w:rPr>
              <w:t>1,200</w:t>
            </w:r>
          </w:p>
        </w:tc>
      </w:tr>
      <w:tr w:rsidR="00823B3A" w:rsidRPr="00100F0A" w14:paraId="269C2AB1" w14:textId="77777777" w:rsidTr="00B179AD">
        <w:tc>
          <w:tcPr>
            <w:tcW w:w="587"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hideMark/>
          </w:tcPr>
          <w:p w14:paraId="1AE7B346" w14:textId="77777777" w:rsidR="00823B3A" w:rsidRPr="00100F0A" w:rsidRDefault="00823B3A" w:rsidP="00B179AD">
            <w:pPr>
              <w:spacing w:after="60"/>
              <w:rPr>
                <w:rFonts w:eastAsia="Times New Roman" w:cs="Times New Roman"/>
                <w:sz w:val="20"/>
              </w:rPr>
            </w:pPr>
            <w:r w:rsidRPr="00100F0A">
              <w:rPr>
                <w:sz w:val="20"/>
              </w:rPr>
              <w:t>High</w:t>
            </w:r>
          </w:p>
        </w:tc>
        <w:tc>
          <w:tcPr>
            <w:tcW w:w="1102" w:type="dxa"/>
            <w:vMerge/>
            <w:tcBorders>
              <w:left w:val="single" w:sz="4" w:space="0" w:color="B7B7E2"/>
              <w:right w:val="single" w:sz="8" w:space="0" w:color="B7B7E2"/>
            </w:tcBorders>
            <w:tcMar>
              <w:top w:w="0" w:type="dxa"/>
              <w:left w:w="108" w:type="dxa"/>
              <w:bottom w:w="0" w:type="dxa"/>
              <w:right w:w="108" w:type="dxa"/>
            </w:tcMar>
          </w:tcPr>
          <w:p w14:paraId="45D531B0" w14:textId="77777777" w:rsidR="00823B3A" w:rsidRPr="00100F0A" w:rsidRDefault="00823B3A" w:rsidP="00B179AD">
            <w:pPr>
              <w:spacing w:after="60"/>
              <w:rPr>
                <w:sz w:val="20"/>
              </w:rPr>
            </w:pPr>
          </w:p>
        </w:tc>
        <w:tc>
          <w:tcPr>
            <w:tcW w:w="4348" w:type="dxa"/>
            <w:tcBorders>
              <w:top w:val="dotted" w:sz="4" w:space="0" w:color="B7B7E2"/>
              <w:left w:val="nil"/>
              <w:bottom w:val="dotted" w:sz="4" w:space="0" w:color="B7B7E2"/>
              <w:right w:val="single" w:sz="4" w:space="0" w:color="B7B7E2"/>
            </w:tcBorders>
            <w:tcMar>
              <w:top w:w="0" w:type="dxa"/>
              <w:left w:w="108" w:type="dxa"/>
              <w:bottom w:w="0" w:type="dxa"/>
              <w:right w:w="108" w:type="dxa"/>
            </w:tcMar>
            <w:vAlign w:val="bottom"/>
          </w:tcPr>
          <w:p w14:paraId="1EDFFBB1" w14:textId="6C5D6901" w:rsidR="00823B3A" w:rsidRPr="00100F0A" w:rsidRDefault="00823B3A" w:rsidP="00B179AD">
            <w:pPr>
              <w:rPr>
                <w:rFonts w:cs="Calibri"/>
                <w:color w:val="000000"/>
                <w:sz w:val="20"/>
                <w:szCs w:val="20"/>
              </w:rPr>
            </w:pPr>
            <w:r w:rsidRPr="00100F0A">
              <w:rPr>
                <w:rFonts w:cs="Calibri"/>
                <w:color w:val="000000"/>
                <w:sz w:val="20"/>
                <w:szCs w:val="20"/>
              </w:rPr>
              <w:t>As for best, but thermal infra</w:t>
            </w:r>
            <w:r w:rsidR="00070A4A">
              <w:rPr>
                <w:rFonts w:cs="Calibri"/>
                <w:color w:val="000000"/>
                <w:sz w:val="20"/>
                <w:szCs w:val="20"/>
              </w:rPr>
              <w:t>structure</w:t>
            </w:r>
            <w:r w:rsidRPr="00100F0A">
              <w:rPr>
                <w:rFonts w:cs="Calibri"/>
                <w:color w:val="000000"/>
                <w:sz w:val="20"/>
                <w:szCs w:val="20"/>
              </w:rPr>
              <w:t xml:space="preserve"> on</w:t>
            </w:r>
            <w:r w:rsidR="00070A4A">
              <w:rPr>
                <w:rFonts w:cs="Calibri"/>
                <w:color w:val="000000"/>
                <w:sz w:val="20"/>
                <w:szCs w:val="20"/>
              </w:rPr>
              <w:t>-</w:t>
            </w:r>
            <w:r w:rsidRPr="00100F0A">
              <w:rPr>
                <w:rFonts w:cs="Calibri"/>
                <w:color w:val="000000"/>
                <w:sz w:val="20"/>
                <w:szCs w:val="20"/>
              </w:rPr>
              <w:t xml:space="preserve">line in 2024 and clears stockpile in </w:t>
            </w:r>
            <w:r w:rsidR="0026508D">
              <w:rPr>
                <w:rFonts w:cs="Calibri"/>
                <w:color w:val="000000"/>
                <w:sz w:val="20"/>
                <w:szCs w:val="20"/>
              </w:rPr>
              <w:t>seven</w:t>
            </w:r>
            <w:r w:rsidRPr="00100F0A">
              <w:rPr>
                <w:rFonts w:cs="Calibri"/>
                <w:color w:val="000000"/>
                <w:sz w:val="20"/>
                <w:szCs w:val="20"/>
              </w:rPr>
              <w:t xml:space="preserve"> years</w:t>
            </w:r>
          </w:p>
        </w:tc>
        <w:tc>
          <w:tcPr>
            <w:tcW w:w="773" w:type="dxa"/>
            <w:tcBorders>
              <w:top w:val="dotted" w:sz="4" w:space="0" w:color="B7B7E2"/>
              <w:left w:val="single" w:sz="4" w:space="0" w:color="B7B7E2"/>
              <w:bottom w:val="dotted" w:sz="4" w:space="0" w:color="B7B7E2"/>
              <w:right w:val="single" w:sz="4" w:space="0" w:color="B7B7E2"/>
            </w:tcBorders>
            <w:tcMar>
              <w:top w:w="0" w:type="dxa"/>
              <w:left w:w="108" w:type="dxa"/>
              <w:bottom w:w="0" w:type="dxa"/>
              <w:right w:w="108" w:type="dxa"/>
            </w:tcMar>
          </w:tcPr>
          <w:p w14:paraId="11C7651C" w14:textId="77777777" w:rsidR="00823B3A" w:rsidRPr="00100F0A" w:rsidRDefault="00823B3A" w:rsidP="004206B0">
            <w:pPr>
              <w:spacing w:after="60"/>
              <w:jc w:val="center"/>
              <w:rPr>
                <w:rFonts w:eastAsia="Times New Roman" w:cs="Times New Roman"/>
                <w:color w:val="000000" w:themeColor="text1"/>
                <w:sz w:val="20"/>
                <w:szCs w:val="20"/>
              </w:rPr>
            </w:pPr>
            <w:r w:rsidRPr="00100F0A">
              <w:rPr>
                <w:rFonts w:cs="Calibri"/>
                <w:bCs/>
                <w:color w:val="000000" w:themeColor="text1"/>
                <w:sz w:val="20"/>
                <w:szCs w:val="20"/>
              </w:rPr>
              <w:t>0</w:t>
            </w:r>
          </w:p>
        </w:tc>
        <w:tc>
          <w:tcPr>
            <w:tcW w:w="422" w:type="dxa"/>
            <w:tcBorders>
              <w:top w:val="dotted" w:sz="4" w:space="0" w:color="B7B7E2"/>
              <w:left w:val="single" w:sz="4" w:space="0" w:color="B7B7E2"/>
              <w:bottom w:val="dotted" w:sz="4" w:space="0" w:color="B7B7E2"/>
              <w:right w:val="single" w:sz="4" w:space="0" w:color="B7B7E2"/>
            </w:tcBorders>
          </w:tcPr>
          <w:p w14:paraId="297E924E" w14:textId="77777777" w:rsidR="00823B3A" w:rsidRPr="00100F0A" w:rsidRDefault="00823B3A" w:rsidP="00B30B8D">
            <w:pPr>
              <w:spacing w:after="60"/>
              <w:jc w:val="center"/>
              <w:rPr>
                <w:rFonts w:eastAsia="Times New Roman" w:cs="Times New Roman"/>
                <w:sz w:val="20"/>
                <w:szCs w:val="20"/>
              </w:rPr>
            </w:pPr>
            <w:r w:rsidRPr="00100F0A">
              <w:rPr>
                <w:sz w:val="20"/>
                <w:szCs w:val="20"/>
              </w:rPr>
              <w:t>...</w:t>
            </w:r>
          </w:p>
        </w:tc>
        <w:tc>
          <w:tcPr>
            <w:tcW w:w="704" w:type="dxa"/>
            <w:tcBorders>
              <w:top w:val="dotted" w:sz="4" w:space="0" w:color="B7B7E2"/>
              <w:left w:val="single" w:sz="4" w:space="0" w:color="B7B7E2"/>
              <w:bottom w:val="dotted" w:sz="4" w:space="0" w:color="B7B7E2"/>
              <w:right w:val="single" w:sz="4" w:space="0" w:color="B7B7E2"/>
            </w:tcBorders>
          </w:tcPr>
          <w:p w14:paraId="77BF7779" w14:textId="77777777" w:rsidR="00823B3A" w:rsidRPr="00100F0A" w:rsidRDefault="00823B3A" w:rsidP="004206B0">
            <w:pPr>
              <w:spacing w:after="60"/>
              <w:jc w:val="center"/>
              <w:rPr>
                <w:rFonts w:eastAsia="Times New Roman" w:cs="Times New Roman"/>
                <w:color w:val="000000" w:themeColor="text1"/>
                <w:sz w:val="20"/>
                <w:szCs w:val="20"/>
              </w:rPr>
            </w:pPr>
            <w:r w:rsidRPr="00100F0A">
              <w:rPr>
                <w:rFonts w:cs="Calibri"/>
                <w:bCs/>
                <w:color w:val="000000" w:themeColor="text1"/>
                <w:sz w:val="20"/>
                <w:szCs w:val="20"/>
              </w:rPr>
              <w:t>8,057</w:t>
            </w:r>
          </w:p>
        </w:tc>
        <w:tc>
          <w:tcPr>
            <w:tcW w:w="422" w:type="dxa"/>
            <w:tcBorders>
              <w:top w:val="dotted" w:sz="4" w:space="0" w:color="B7B7E2"/>
              <w:left w:val="single" w:sz="4" w:space="0" w:color="B7B7E2"/>
              <w:bottom w:val="dotted" w:sz="4" w:space="0" w:color="B7B7E2"/>
              <w:right w:val="single" w:sz="4" w:space="0" w:color="B7B7E2"/>
            </w:tcBorders>
          </w:tcPr>
          <w:p w14:paraId="0757658E" w14:textId="77777777" w:rsidR="00823B3A" w:rsidRPr="00100F0A" w:rsidRDefault="00823B3A" w:rsidP="00B30B8D">
            <w:pPr>
              <w:spacing w:after="60"/>
              <w:jc w:val="center"/>
              <w:rPr>
                <w:sz w:val="20"/>
                <w:szCs w:val="20"/>
              </w:rPr>
            </w:pPr>
            <w:r w:rsidRPr="00100F0A">
              <w:rPr>
                <w:sz w:val="20"/>
                <w:szCs w:val="20"/>
              </w:rPr>
              <w:t>...</w:t>
            </w:r>
          </w:p>
        </w:tc>
        <w:tc>
          <w:tcPr>
            <w:tcW w:w="704" w:type="dxa"/>
            <w:tcBorders>
              <w:top w:val="dotted" w:sz="4" w:space="0" w:color="B7B7E2"/>
              <w:left w:val="single" w:sz="4" w:space="0" w:color="B7B7E2"/>
              <w:bottom w:val="dotted" w:sz="4" w:space="0" w:color="B7B7E2"/>
              <w:right w:val="single" w:sz="4" w:space="0" w:color="B7B7E2"/>
            </w:tcBorders>
          </w:tcPr>
          <w:p w14:paraId="3EDFB128" w14:textId="77777777" w:rsidR="00823B3A" w:rsidRPr="00100F0A" w:rsidRDefault="00823B3A" w:rsidP="004206B0">
            <w:pPr>
              <w:spacing w:after="60"/>
              <w:jc w:val="center"/>
              <w:rPr>
                <w:color w:val="000000" w:themeColor="text1"/>
                <w:sz w:val="20"/>
                <w:szCs w:val="20"/>
              </w:rPr>
            </w:pPr>
            <w:r w:rsidRPr="00100F0A">
              <w:rPr>
                <w:rFonts w:cs="Calibri"/>
                <w:bCs/>
                <w:color w:val="000000" w:themeColor="text1"/>
                <w:sz w:val="20"/>
                <w:szCs w:val="20"/>
              </w:rPr>
              <w:t>0</w:t>
            </w:r>
          </w:p>
        </w:tc>
      </w:tr>
      <w:tr w:rsidR="00823B3A" w:rsidRPr="00100F0A" w14:paraId="79D7B1F7" w14:textId="77777777" w:rsidTr="00B179AD">
        <w:tc>
          <w:tcPr>
            <w:tcW w:w="587" w:type="dxa"/>
            <w:tcBorders>
              <w:top w:val="dotted" w:sz="4" w:space="0" w:color="B7B7E2"/>
              <w:left w:val="single" w:sz="4" w:space="0" w:color="B7B7E2"/>
              <w:bottom w:val="single" w:sz="4" w:space="0" w:color="B7B7E2"/>
              <w:right w:val="single" w:sz="4" w:space="0" w:color="B7B7E2"/>
            </w:tcBorders>
            <w:tcMar>
              <w:top w:w="0" w:type="dxa"/>
              <w:left w:w="108" w:type="dxa"/>
              <w:bottom w:w="0" w:type="dxa"/>
              <w:right w:w="108" w:type="dxa"/>
            </w:tcMar>
            <w:hideMark/>
          </w:tcPr>
          <w:p w14:paraId="501E9600" w14:textId="77777777" w:rsidR="00823B3A" w:rsidRPr="00100F0A" w:rsidRDefault="00823B3A" w:rsidP="00B179AD">
            <w:pPr>
              <w:spacing w:after="60"/>
              <w:rPr>
                <w:rFonts w:eastAsia="Times New Roman" w:cs="Times New Roman"/>
                <w:sz w:val="20"/>
              </w:rPr>
            </w:pPr>
            <w:r w:rsidRPr="00100F0A">
              <w:rPr>
                <w:sz w:val="20"/>
              </w:rPr>
              <w:t>Low</w:t>
            </w:r>
          </w:p>
        </w:tc>
        <w:tc>
          <w:tcPr>
            <w:tcW w:w="1102" w:type="dxa"/>
            <w:vMerge/>
            <w:tcBorders>
              <w:left w:val="single" w:sz="4" w:space="0" w:color="B7B7E2"/>
              <w:bottom w:val="single" w:sz="8" w:space="0" w:color="B7B7E2"/>
              <w:right w:val="single" w:sz="8" w:space="0" w:color="B7B7E2"/>
            </w:tcBorders>
            <w:tcMar>
              <w:top w:w="0" w:type="dxa"/>
              <w:left w:w="108" w:type="dxa"/>
              <w:bottom w:w="0" w:type="dxa"/>
              <w:right w:w="108" w:type="dxa"/>
            </w:tcMar>
          </w:tcPr>
          <w:p w14:paraId="406D65B3" w14:textId="77777777" w:rsidR="00823B3A" w:rsidRPr="00100F0A" w:rsidRDefault="00823B3A" w:rsidP="00B179AD">
            <w:pPr>
              <w:spacing w:after="60"/>
              <w:rPr>
                <w:sz w:val="20"/>
              </w:rPr>
            </w:pPr>
          </w:p>
        </w:tc>
        <w:tc>
          <w:tcPr>
            <w:tcW w:w="4348" w:type="dxa"/>
            <w:tcBorders>
              <w:top w:val="dotted" w:sz="4" w:space="0" w:color="B7B7E2"/>
              <w:left w:val="nil"/>
              <w:bottom w:val="single" w:sz="8" w:space="0" w:color="B7B7E2"/>
              <w:right w:val="single" w:sz="4" w:space="0" w:color="B7B7E2"/>
            </w:tcBorders>
            <w:tcMar>
              <w:top w:w="0" w:type="dxa"/>
              <w:left w:w="108" w:type="dxa"/>
              <w:bottom w:w="0" w:type="dxa"/>
              <w:right w:w="108" w:type="dxa"/>
            </w:tcMar>
            <w:vAlign w:val="bottom"/>
          </w:tcPr>
          <w:p w14:paraId="3FE36CDA" w14:textId="77777777" w:rsidR="00823B3A" w:rsidRPr="00100F0A" w:rsidRDefault="00823B3A" w:rsidP="00B179AD">
            <w:pPr>
              <w:rPr>
                <w:rFonts w:eastAsia="Times New Roman" w:cs="Times New Roman"/>
                <w:sz w:val="20"/>
                <w:szCs w:val="20"/>
              </w:rPr>
            </w:pPr>
            <w:r w:rsidRPr="00100F0A">
              <w:rPr>
                <w:rFonts w:cs="Calibri"/>
                <w:color w:val="000000"/>
                <w:sz w:val="20"/>
                <w:szCs w:val="20"/>
              </w:rPr>
              <w:t>Stockpile remains (status quo)</w:t>
            </w:r>
          </w:p>
        </w:tc>
        <w:tc>
          <w:tcPr>
            <w:tcW w:w="773" w:type="dxa"/>
            <w:tcBorders>
              <w:top w:val="dotted" w:sz="4" w:space="0" w:color="B7B7E2"/>
              <w:left w:val="single" w:sz="4" w:space="0" w:color="B7B7E2"/>
              <w:bottom w:val="single" w:sz="4" w:space="0" w:color="B7B7E2"/>
              <w:right w:val="single" w:sz="4" w:space="0" w:color="B7B7E2"/>
            </w:tcBorders>
            <w:tcMar>
              <w:top w:w="0" w:type="dxa"/>
              <w:left w:w="108" w:type="dxa"/>
              <w:bottom w:w="0" w:type="dxa"/>
              <w:right w:w="108" w:type="dxa"/>
            </w:tcMar>
          </w:tcPr>
          <w:p w14:paraId="12D3C575" w14:textId="77777777" w:rsidR="00823B3A" w:rsidRPr="00100F0A" w:rsidRDefault="00823B3A" w:rsidP="004206B0">
            <w:pPr>
              <w:spacing w:after="60"/>
              <w:jc w:val="center"/>
              <w:rPr>
                <w:rFonts w:eastAsia="Times New Roman" w:cs="Times New Roman"/>
                <w:color w:val="000000" w:themeColor="text1"/>
                <w:sz w:val="20"/>
                <w:szCs w:val="20"/>
              </w:rPr>
            </w:pPr>
            <w:r w:rsidRPr="00100F0A">
              <w:rPr>
                <w:rFonts w:cs="Calibri"/>
                <w:color w:val="000000" w:themeColor="text1"/>
                <w:sz w:val="20"/>
                <w:szCs w:val="20"/>
              </w:rPr>
              <w:t>0</w:t>
            </w:r>
          </w:p>
        </w:tc>
        <w:tc>
          <w:tcPr>
            <w:tcW w:w="422" w:type="dxa"/>
            <w:tcBorders>
              <w:top w:val="dotted" w:sz="4" w:space="0" w:color="B7B7E2"/>
              <w:left w:val="single" w:sz="4" w:space="0" w:color="B7B7E2"/>
              <w:bottom w:val="single" w:sz="4" w:space="0" w:color="B7B7E2"/>
              <w:right w:val="single" w:sz="4" w:space="0" w:color="B7B7E2"/>
            </w:tcBorders>
          </w:tcPr>
          <w:p w14:paraId="614AE04F" w14:textId="77777777" w:rsidR="00823B3A" w:rsidRPr="00100F0A" w:rsidRDefault="00823B3A" w:rsidP="00B30B8D">
            <w:pPr>
              <w:spacing w:after="60"/>
              <w:jc w:val="center"/>
              <w:rPr>
                <w:rFonts w:eastAsia="Times New Roman" w:cs="Times New Roman"/>
                <w:sz w:val="20"/>
                <w:szCs w:val="20"/>
              </w:rPr>
            </w:pPr>
            <w:r w:rsidRPr="00100F0A">
              <w:rPr>
                <w:sz w:val="20"/>
                <w:szCs w:val="20"/>
              </w:rPr>
              <w:t>...</w:t>
            </w:r>
          </w:p>
        </w:tc>
        <w:tc>
          <w:tcPr>
            <w:tcW w:w="704" w:type="dxa"/>
            <w:tcBorders>
              <w:top w:val="dotted" w:sz="4" w:space="0" w:color="B7B7E2"/>
              <w:left w:val="single" w:sz="4" w:space="0" w:color="B7B7E2"/>
              <w:bottom w:val="single" w:sz="4" w:space="0" w:color="B7B7E2"/>
              <w:right w:val="single" w:sz="4" w:space="0" w:color="B7B7E2"/>
            </w:tcBorders>
          </w:tcPr>
          <w:p w14:paraId="108C297E" w14:textId="77777777" w:rsidR="00823B3A" w:rsidRPr="00100F0A" w:rsidRDefault="00823B3A" w:rsidP="004206B0">
            <w:pPr>
              <w:spacing w:after="60"/>
              <w:jc w:val="center"/>
              <w:rPr>
                <w:rFonts w:eastAsia="Times New Roman" w:cs="Times New Roman"/>
                <w:color w:val="000000" w:themeColor="text1"/>
                <w:sz w:val="20"/>
                <w:szCs w:val="20"/>
              </w:rPr>
            </w:pPr>
            <w:r w:rsidRPr="00100F0A">
              <w:rPr>
                <w:rFonts w:cs="Calibri"/>
                <w:color w:val="000000" w:themeColor="text1"/>
                <w:sz w:val="20"/>
                <w:szCs w:val="20"/>
              </w:rPr>
              <w:t>0</w:t>
            </w:r>
          </w:p>
        </w:tc>
        <w:tc>
          <w:tcPr>
            <w:tcW w:w="422" w:type="dxa"/>
            <w:tcBorders>
              <w:top w:val="dotted" w:sz="4" w:space="0" w:color="B7B7E2"/>
              <w:left w:val="single" w:sz="4" w:space="0" w:color="B7B7E2"/>
              <w:bottom w:val="single" w:sz="4" w:space="0" w:color="B7B7E2"/>
              <w:right w:val="single" w:sz="4" w:space="0" w:color="B7B7E2"/>
            </w:tcBorders>
          </w:tcPr>
          <w:p w14:paraId="6C2084BD" w14:textId="77777777" w:rsidR="00823B3A" w:rsidRPr="00100F0A" w:rsidRDefault="00823B3A" w:rsidP="00B30B8D">
            <w:pPr>
              <w:spacing w:after="60"/>
              <w:jc w:val="center"/>
              <w:rPr>
                <w:sz w:val="20"/>
                <w:szCs w:val="20"/>
              </w:rPr>
            </w:pPr>
            <w:r w:rsidRPr="00100F0A">
              <w:rPr>
                <w:sz w:val="20"/>
                <w:szCs w:val="20"/>
              </w:rPr>
              <w:t>...</w:t>
            </w:r>
          </w:p>
        </w:tc>
        <w:tc>
          <w:tcPr>
            <w:tcW w:w="704" w:type="dxa"/>
            <w:tcBorders>
              <w:top w:val="dotted" w:sz="4" w:space="0" w:color="B7B7E2"/>
              <w:left w:val="single" w:sz="4" w:space="0" w:color="B7B7E2"/>
              <w:bottom w:val="single" w:sz="4" w:space="0" w:color="B7B7E2"/>
              <w:right w:val="single" w:sz="4" w:space="0" w:color="B7B7E2"/>
            </w:tcBorders>
          </w:tcPr>
          <w:p w14:paraId="369128D1" w14:textId="77777777" w:rsidR="00823B3A" w:rsidRPr="00100F0A" w:rsidRDefault="00823B3A" w:rsidP="004206B0">
            <w:pPr>
              <w:spacing w:after="60"/>
              <w:jc w:val="center"/>
              <w:rPr>
                <w:color w:val="000000" w:themeColor="text1"/>
                <w:sz w:val="20"/>
                <w:szCs w:val="20"/>
              </w:rPr>
            </w:pPr>
            <w:r w:rsidRPr="00100F0A">
              <w:rPr>
                <w:rFonts w:cs="Calibri"/>
                <w:color w:val="000000" w:themeColor="text1"/>
                <w:sz w:val="20"/>
                <w:szCs w:val="20"/>
              </w:rPr>
              <w:t>0</w:t>
            </w:r>
          </w:p>
        </w:tc>
      </w:tr>
    </w:tbl>
    <w:p w14:paraId="62D33AFA" w14:textId="77777777" w:rsidR="00823B3A" w:rsidRPr="00100F0A" w:rsidRDefault="00823B3A" w:rsidP="00823B3A"/>
    <w:p w14:paraId="5C8A7889" w14:textId="77777777" w:rsidR="00823B3A" w:rsidRPr="00100F0A" w:rsidRDefault="00823B3A" w:rsidP="00823B3A">
      <w:pPr>
        <w:rPr>
          <w:i/>
          <w:iCs/>
          <w:color w:val="4D4DB8"/>
          <w:szCs w:val="18"/>
        </w:rPr>
      </w:pPr>
      <w:bookmarkStart w:id="198" w:name="_Toc425849233"/>
      <w:r w:rsidRPr="00100F0A">
        <w:br w:type="page"/>
      </w:r>
    </w:p>
    <w:p w14:paraId="473F194E" w14:textId="44D00146" w:rsidR="00823B3A" w:rsidRPr="00100F0A" w:rsidRDefault="00823B3A" w:rsidP="00823B3A">
      <w:pPr>
        <w:pStyle w:val="Caption"/>
      </w:pPr>
      <w:bookmarkStart w:id="199" w:name="_Toc13225590"/>
      <w:r w:rsidRPr="00100F0A">
        <w:t xml:space="preserve">Figure </w:t>
      </w:r>
      <w:r w:rsidRPr="00100F0A">
        <w:rPr>
          <w:noProof/>
        </w:rPr>
        <w:fldChar w:fldCharType="begin"/>
      </w:r>
      <w:r w:rsidRPr="00100F0A">
        <w:rPr>
          <w:noProof/>
        </w:rPr>
        <w:instrText xml:space="preserve"> SEQ Figure \* ARABIC </w:instrText>
      </w:r>
      <w:r w:rsidRPr="00100F0A">
        <w:rPr>
          <w:noProof/>
        </w:rPr>
        <w:fldChar w:fldCharType="separate"/>
      </w:r>
      <w:r w:rsidR="00EB634D">
        <w:rPr>
          <w:noProof/>
        </w:rPr>
        <w:t>17</w:t>
      </w:r>
      <w:r w:rsidRPr="00100F0A">
        <w:rPr>
          <w:noProof/>
        </w:rPr>
        <w:fldChar w:fldCharType="end"/>
      </w:r>
      <w:r w:rsidR="00C14F18">
        <w:rPr>
          <w:noProof/>
        </w:rPr>
        <w:t>:</w:t>
      </w:r>
      <w:r w:rsidRPr="00100F0A">
        <w:tab/>
        <w:t>Best, high and low national projection estimates of pesticide waste to 203</w:t>
      </w:r>
      <w:bookmarkEnd w:id="198"/>
      <w:r w:rsidRPr="00100F0A">
        <w:t>7</w:t>
      </w:r>
      <w:bookmarkEnd w:id="199"/>
    </w:p>
    <w:p w14:paraId="134EA660" w14:textId="01BB4D93" w:rsidR="00B71967" w:rsidRPr="00100F0A" w:rsidRDefault="00284242" w:rsidP="00601CB2">
      <w:r w:rsidRPr="00100F0A">
        <w:rPr>
          <w:noProof/>
          <w:lang w:eastAsia="en-AU"/>
        </w:rPr>
        <w:drawing>
          <wp:inline distT="0" distB="0" distL="0" distR="0" wp14:anchorId="099BBFA5" wp14:editId="13783A0E">
            <wp:extent cx="5735955" cy="21062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5955" cy="2106295"/>
                    </a:xfrm>
                    <a:prstGeom prst="rect">
                      <a:avLst/>
                    </a:prstGeom>
                  </pic:spPr>
                </pic:pic>
              </a:graphicData>
            </a:graphic>
          </wp:inline>
        </w:drawing>
      </w:r>
    </w:p>
    <w:p w14:paraId="41B25C6B" w14:textId="02F7262A" w:rsidR="00601CB2" w:rsidRPr="00100F0A" w:rsidRDefault="00601CB2" w:rsidP="00AD35BF">
      <w:pPr>
        <w:pStyle w:val="Heading3"/>
      </w:pPr>
      <w:r w:rsidRPr="00100F0A">
        <w:t>J</w:t>
      </w:r>
      <w:r w:rsidR="00FB5BBC" w:rsidRPr="00100F0A">
        <w:t>100 &amp; J160 Oils</w:t>
      </w:r>
    </w:p>
    <w:p w14:paraId="72904FAE" w14:textId="3CB26181" w:rsidR="00601CB2" w:rsidRPr="00100F0A" w:rsidRDefault="00B71967" w:rsidP="00601CB2">
      <w:pPr>
        <w:pStyle w:val="BodyText"/>
      </w:pPr>
      <w:r w:rsidRPr="00100F0A">
        <w:t>This waste group includes:</w:t>
      </w:r>
    </w:p>
    <w:p w14:paraId="254DCC1C" w14:textId="5E7FDABE" w:rsidR="00601CB2" w:rsidRPr="00100F0A" w:rsidRDefault="00601CB2" w:rsidP="00B71967">
      <w:pPr>
        <w:pStyle w:val="Bullet1"/>
      </w:pPr>
      <w:r w:rsidRPr="00100F0A">
        <w:rPr>
          <w:i/>
        </w:rPr>
        <w:t xml:space="preserve">J100 </w:t>
      </w:r>
      <w:r w:rsidR="00AE1FAA">
        <w:rPr>
          <w:i/>
        </w:rPr>
        <w:t>w</w:t>
      </w:r>
      <w:r w:rsidRPr="00100F0A">
        <w:rPr>
          <w:i/>
        </w:rPr>
        <w:t>aste mineral oils unfit for their original intended use; waste oil/water</w:t>
      </w:r>
      <w:r w:rsidR="00B71967" w:rsidRPr="00100F0A">
        <w:t xml:space="preserve"> (predominantly)</w:t>
      </w:r>
    </w:p>
    <w:p w14:paraId="6361E7A9" w14:textId="69F7A1C9" w:rsidR="00601CB2" w:rsidRPr="00100F0A" w:rsidRDefault="00601CB2" w:rsidP="00B71967">
      <w:pPr>
        <w:pStyle w:val="Bullet1"/>
      </w:pPr>
      <w:r w:rsidRPr="00100F0A">
        <w:rPr>
          <w:rFonts w:eastAsiaTheme="minorHAnsi"/>
          <w:i/>
        </w:rPr>
        <w:t xml:space="preserve">J160 </w:t>
      </w:r>
      <w:r w:rsidR="00AE1FAA">
        <w:rPr>
          <w:rFonts w:eastAsiaTheme="minorHAnsi"/>
          <w:i/>
        </w:rPr>
        <w:t>w</w:t>
      </w:r>
      <w:r w:rsidRPr="00100F0A">
        <w:rPr>
          <w:rFonts w:eastAsiaTheme="minorHAnsi"/>
          <w:i/>
        </w:rPr>
        <w:t>aste tarry residues arising from refining, distillation, and any pyrolytic treatment</w:t>
      </w:r>
      <w:r w:rsidR="00B71967" w:rsidRPr="00100F0A">
        <w:rPr>
          <w:rFonts w:eastAsiaTheme="minorHAnsi"/>
        </w:rPr>
        <w:t xml:space="preserve"> (minor contribution</w:t>
      </w:r>
      <w:r w:rsidRPr="00100F0A">
        <w:rPr>
          <w:rFonts w:eastAsiaTheme="minorHAnsi"/>
        </w:rPr>
        <w:t>).</w:t>
      </w:r>
    </w:p>
    <w:p w14:paraId="3E0124F9" w14:textId="79B73813" w:rsidR="00601CB2" w:rsidRPr="00100F0A" w:rsidRDefault="00601CB2" w:rsidP="00601CB2">
      <w:pPr>
        <w:pStyle w:val="BodyText"/>
        <w:spacing w:before="120"/>
      </w:pPr>
      <w:r w:rsidRPr="00100F0A">
        <w:t xml:space="preserve">J100 is dominated by used oil from vehicles. J160 is produced in the refining of petroleum, re-refining of lubricating oils, production of metallurgical coke or town gas by pyrolysis of coal. </w:t>
      </w:r>
    </w:p>
    <w:p w14:paraId="4CF4317C" w14:textId="5C06890A" w:rsidR="00601CB2" w:rsidRPr="00100F0A" w:rsidRDefault="00601CB2" w:rsidP="00601CB2">
      <w:pPr>
        <w:pStyle w:val="BodyText"/>
        <w:spacing w:before="120"/>
      </w:pPr>
      <w:r w:rsidRPr="00100F0A">
        <w:t>Oil waste arisings are distributed across industries in jurisdictions quite similarly, with differences being more to do with jurisdictional industrial mix variations, such as the prevalence of mining in WA and Q</w:t>
      </w:r>
      <w:r w:rsidR="00B71967" w:rsidRPr="00100F0A">
        <w:t>ld</w:t>
      </w:r>
      <w:r w:rsidR="00FB5BBC" w:rsidRPr="00100F0A">
        <w:t>.</w:t>
      </w:r>
    </w:p>
    <w:p w14:paraId="085190F2" w14:textId="412D655E" w:rsidR="00FB5BBC" w:rsidRPr="00100F0A" w:rsidRDefault="00FB5BBC" w:rsidP="00601CB2">
      <w:pPr>
        <w:pStyle w:val="BodyText"/>
        <w:spacing w:before="120"/>
      </w:pPr>
      <w:r w:rsidRPr="00100F0A">
        <w:t xml:space="preserve">Since the 2015 report, </w:t>
      </w:r>
      <w:r w:rsidRPr="00100F0A">
        <w:rPr>
          <w:i/>
        </w:rPr>
        <w:t>J120 hydrocarbons/water mixtures or emulsions</w:t>
      </w:r>
      <w:r w:rsidRPr="00100F0A">
        <w:t xml:space="preserve"> has been split out into its own group (see Section</w:t>
      </w:r>
      <w:r w:rsidR="00D42A24" w:rsidRPr="00100F0A">
        <w:t xml:space="preserve"> </w:t>
      </w:r>
      <w:r w:rsidR="00D42A24" w:rsidRPr="00100F0A">
        <w:fldChar w:fldCharType="begin"/>
      </w:r>
      <w:r w:rsidR="00D42A24" w:rsidRPr="00100F0A">
        <w:instrText xml:space="preserve"> REF _Ref530003323 \r \h </w:instrText>
      </w:r>
      <w:r w:rsidR="00D42A24" w:rsidRPr="00100F0A">
        <w:fldChar w:fldCharType="separate"/>
      </w:r>
      <w:r w:rsidR="00EB634D">
        <w:t>2.6</w:t>
      </w:r>
      <w:r w:rsidR="00D42A24" w:rsidRPr="00100F0A">
        <w:fldChar w:fldCharType="end"/>
      </w:r>
      <w:r w:rsidRPr="00100F0A">
        <w:t xml:space="preserve">) </w:t>
      </w:r>
      <w:r w:rsidR="00AE1FAA">
        <w:t>due to</w:t>
      </w:r>
      <w:r w:rsidRPr="00100F0A">
        <w:t xml:space="preserve"> the different management and infrastructure used for oils and oily waters.</w:t>
      </w:r>
    </w:p>
    <w:p w14:paraId="4F1B3165" w14:textId="77777777" w:rsidR="00601CB2" w:rsidRPr="00100F0A" w:rsidRDefault="00601CB2" w:rsidP="00601CB2">
      <w:pPr>
        <w:pStyle w:val="BodyText"/>
      </w:pPr>
    </w:p>
    <w:p w14:paraId="65C68808" w14:textId="5A24D3E7" w:rsidR="00601CB2" w:rsidRPr="00100F0A" w:rsidRDefault="00601CB2" w:rsidP="00E4739A">
      <w:pPr>
        <w:pStyle w:val="Heading3-nonumber"/>
      </w:pPr>
      <w:r w:rsidRPr="00100F0A">
        <w:t>Summary analysis</w:t>
      </w:r>
    </w:p>
    <w:tbl>
      <w:tblPr>
        <w:tblStyle w:val="BETable11"/>
        <w:tblW w:w="4941" w:type="pct"/>
        <w:tblInd w:w="5" w:type="dxa"/>
        <w:tblBorders>
          <w:top w:val="single" w:sz="4" w:space="0" w:color="AAABD6"/>
          <w:left w:val="single" w:sz="4" w:space="0" w:color="AAABD6"/>
          <w:right w:val="single" w:sz="4" w:space="0" w:color="AAABD6"/>
          <w:insideH w:val="single" w:sz="4" w:space="0" w:color="AAABD6"/>
          <w:insideV w:val="single" w:sz="4" w:space="0" w:color="AAABD6"/>
        </w:tblBorders>
        <w:tblLook w:val="04A0" w:firstRow="1" w:lastRow="0" w:firstColumn="1" w:lastColumn="0" w:noHBand="0" w:noVBand="1"/>
      </w:tblPr>
      <w:tblGrid>
        <w:gridCol w:w="1980"/>
        <w:gridCol w:w="2546"/>
        <w:gridCol w:w="2691"/>
        <w:gridCol w:w="1699"/>
      </w:tblGrid>
      <w:tr w:rsidR="00FB5BBC" w:rsidRPr="00100F0A" w14:paraId="6612DC9A" w14:textId="77777777" w:rsidTr="004E53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tcBorders>
              <w:top w:val="single" w:sz="4" w:space="0" w:color="AAABD6"/>
              <w:left w:val="single" w:sz="4" w:space="0" w:color="AAABD6"/>
              <w:bottom w:val="single" w:sz="4" w:space="0" w:color="AAABD6"/>
            </w:tcBorders>
            <w:shd w:val="clear" w:color="auto" w:fill="AAABD6"/>
          </w:tcPr>
          <w:p w14:paraId="0C5D86F5" w14:textId="77777777" w:rsidR="00FB5BBC" w:rsidRPr="00100F0A" w:rsidRDefault="00FB5BBC" w:rsidP="002A3A54">
            <w:pPr>
              <w:pStyle w:val="BodyText"/>
              <w:rPr>
                <w:color w:val="FFFFFF" w:themeColor="background1"/>
              </w:rPr>
            </w:pPr>
            <w:r w:rsidRPr="00100F0A">
              <w:rPr>
                <w:color w:val="FFFFFF" w:themeColor="background1"/>
              </w:rPr>
              <w:t>Industry sources</w:t>
            </w:r>
          </w:p>
        </w:tc>
        <w:tc>
          <w:tcPr>
            <w:tcW w:w="1428" w:type="pct"/>
            <w:tcBorders>
              <w:top w:val="single" w:sz="4" w:space="0" w:color="AAABD6"/>
              <w:bottom w:val="single" w:sz="4" w:space="0" w:color="AAABD6"/>
            </w:tcBorders>
            <w:shd w:val="clear" w:color="auto" w:fill="AAABD6"/>
          </w:tcPr>
          <w:p w14:paraId="7B0F15A1" w14:textId="77777777" w:rsidR="00FB5BBC" w:rsidRPr="00100F0A" w:rsidRDefault="00FB5BBC"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Considerations</w:t>
            </w:r>
          </w:p>
        </w:tc>
        <w:tc>
          <w:tcPr>
            <w:tcW w:w="1509" w:type="pct"/>
            <w:tcBorders>
              <w:top w:val="single" w:sz="4" w:space="0" w:color="AAABD6"/>
              <w:bottom w:val="single" w:sz="4" w:space="0" w:color="AAABD6"/>
            </w:tcBorders>
            <w:shd w:val="clear" w:color="auto" w:fill="AAABD6"/>
          </w:tcPr>
          <w:p w14:paraId="6220E84E" w14:textId="0029D709" w:rsidR="00FB5BBC" w:rsidRPr="00100F0A" w:rsidRDefault="00FB5BBC"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Comments</w:t>
            </w:r>
          </w:p>
        </w:tc>
        <w:tc>
          <w:tcPr>
            <w:tcW w:w="953" w:type="pct"/>
            <w:tcBorders>
              <w:top w:val="single" w:sz="4" w:space="0" w:color="AAABD6"/>
              <w:bottom w:val="single" w:sz="4" w:space="0" w:color="AAABD6"/>
              <w:right w:val="single" w:sz="4" w:space="0" w:color="AAABD6"/>
            </w:tcBorders>
            <w:shd w:val="clear" w:color="auto" w:fill="AAABD6"/>
          </w:tcPr>
          <w:p w14:paraId="0CBDBD46" w14:textId="615DAF74" w:rsidR="00FB5BBC" w:rsidRPr="00100F0A" w:rsidRDefault="00FB5BBC"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r>
      <w:tr w:rsidR="00FB5BBC" w:rsidRPr="00100F0A" w14:paraId="05268CDA" w14:textId="77777777" w:rsidTr="004E5333">
        <w:tc>
          <w:tcPr>
            <w:cnfStyle w:val="001000000000" w:firstRow="0" w:lastRow="0" w:firstColumn="1" w:lastColumn="0" w:oddVBand="0" w:evenVBand="0" w:oddHBand="0" w:evenHBand="0" w:firstRowFirstColumn="0" w:firstRowLastColumn="0" w:lastRowFirstColumn="0" w:lastRowLastColumn="0"/>
            <w:tcW w:w="1110" w:type="pct"/>
            <w:tcBorders>
              <w:top w:val="single" w:sz="4" w:space="0" w:color="AAABD6"/>
              <w:bottom w:val="single" w:sz="4" w:space="0" w:color="AAABD6"/>
            </w:tcBorders>
          </w:tcPr>
          <w:p w14:paraId="7CA5E64B" w14:textId="77777777" w:rsidR="00FB5BBC" w:rsidRPr="00100F0A" w:rsidRDefault="00FB5BBC" w:rsidP="00E96D3C">
            <w:pPr>
              <w:pStyle w:val="ListParagraph"/>
              <w:numPr>
                <w:ilvl w:val="0"/>
                <w:numId w:val="23"/>
              </w:numPr>
              <w:ind w:left="426"/>
              <w:rPr>
                <w:color w:val="000000"/>
              </w:rPr>
            </w:pPr>
            <w:r w:rsidRPr="00100F0A">
              <w:rPr>
                <w:color w:val="000000"/>
              </w:rPr>
              <w:t>Mining</w:t>
            </w:r>
          </w:p>
          <w:p w14:paraId="7FBC0481" w14:textId="77777777" w:rsidR="00FB5BBC" w:rsidRPr="00100F0A" w:rsidRDefault="00FB5BBC" w:rsidP="00E96D3C">
            <w:pPr>
              <w:pStyle w:val="ListParagraph"/>
              <w:numPr>
                <w:ilvl w:val="0"/>
                <w:numId w:val="23"/>
              </w:numPr>
              <w:ind w:left="426"/>
              <w:rPr>
                <w:color w:val="000000"/>
              </w:rPr>
            </w:pPr>
            <w:r w:rsidRPr="00100F0A">
              <w:rPr>
                <w:color w:val="000000"/>
              </w:rPr>
              <w:t>Transport</w:t>
            </w:r>
          </w:p>
          <w:p w14:paraId="6B05B642" w14:textId="77777777" w:rsidR="00FB5BBC" w:rsidRPr="00100F0A" w:rsidRDefault="00FB5BBC" w:rsidP="00E96D3C">
            <w:pPr>
              <w:pStyle w:val="ListParagraph"/>
              <w:numPr>
                <w:ilvl w:val="0"/>
                <w:numId w:val="23"/>
              </w:numPr>
              <w:ind w:left="426"/>
              <w:rPr>
                <w:color w:val="000000"/>
              </w:rPr>
            </w:pPr>
            <w:r w:rsidRPr="00100F0A">
              <w:rPr>
                <w:color w:val="000000"/>
              </w:rPr>
              <w:t>Retail (vehicle servicing shops)</w:t>
            </w:r>
          </w:p>
          <w:p w14:paraId="552DE34F" w14:textId="6D33DB23" w:rsidR="00FB5BBC" w:rsidRPr="00100F0A" w:rsidRDefault="00FB5BBC" w:rsidP="00E96D3C">
            <w:pPr>
              <w:pStyle w:val="ListParagraph"/>
              <w:numPr>
                <w:ilvl w:val="0"/>
                <w:numId w:val="23"/>
              </w:numPr>
              <w:ind w:left="426"/>
              <w:rPr>
                <w:color w:val="000000"/>
              </w:rPr>
            </w:pPr>
            <w:r w:rsidRPr="00100F0A">
              <w:rPr>
                <w:color w:val="000000"/>
              </w:rPr>
              <w:t>Waste sector</w:t>
            </w:r>
          </w:p>
        </w:tc>
        <w:tc>
          <w:tcPr>
            <w:tcW w:w="1428" w:type="pct"/>
            <w:tcBorders>
              <w:top w:val="single" w:sz="4" w:space="0" w:color="AAABD6"/>
              <w:bottom w:val="single" w:sz="4" w:space="0" w:color="AAABD6"/>
            </w:tcBorders>
          </w:tcPr>
          <w:p w14:paraId="6D651796" w14:textId="2B84FD08" w:rsidR="00FB5BBC" w:rsidRPr="00100F0A" w:rsidRDefault="00FB5BBC" w:rsidP="002A3A54">
            <w:pPr>
              <w:pStyle w:val="BodyText"/>
              <w:cnfStyle w:val="000000000000" w:firstRow="0" w:lastRow="0" w:firstColumn="0" w:lastColumn="0" w:oddVBand="0" w:evenVBand="0" w:oddHBand="0" w:evenHBand="0" w:firstRowFirstColumn="0" w:firstRowLastColumn="0" w:lastRowFirstColumn="0" w:lastRowLastColumn="0"/>
            </w:pPr>
            <w:r w:rsidRPr="00100F0A">
              <w:t>No sufficiently credible pre-existing projections were identified</w:t>
            </w:r>
          </w:p>
          <w:p w14:paraId="27EBE88F" w14:textId="77777777" w:rsidR="004E5333" w:rsidRPr="00100F0A" w:rsidRDefault="004E5333" w:rsidP="002A3A54">
            <w:pPr>
              <w:pStyle w:val="BodyText"/>
              <w:cnfStyle w:val="000000000000" w:firstRow="0" w:lastRow="0" w:firstColumn="0" w:lastColumn="0" w:oddVBand="0" w:evenVBand="0" w:oddHBand="0" w:evenHBand="0" w:firstRowFirstColumn="0" w:firstRowLastColumn="0" w:lastRowFirstColumn="0" w:lastRowLastColumn="0"/>
            </w:pPr>
          </w:p>
          <w:p w14:paraId="0F84D156" w14:textId="6F059CCE" w:rsidR="00FB5BBC" w:rsidRPr="00100F0A" w:rsidRDefault="00FB5BBC" w:rsidP="002A3A54">
            <w:pPr>
              <w:pStyle w:val="BodyText"/>
              <w:cnfStyle w:val="000000000000" w:firstRow="0" w:lastRow="0" w:firstColumn="0" w:lastColumn="0" w:oddVBand="0" w:evenVBand="0" w:oddHBand="0" w:evenHBand="0" w:firstRowFirstColumn="0" w:firstRowLastColumn="0" w:lastRowFirstColumn="0" w:lastRowLastColumn="0"/>
            </w:pPr>
            <w:r w:rsidRPr="00100F0A">
              <w:t>NSW arisings are under-reported due to their exemption from tracking for re-refined oils</w:t>
            </w:r>
          </w:p>
          <w:p w14:paraId="269EB615" w14:textId="77777777" w:rsidR="004E5333" w:rsidRPr="00100F0A" w:rsidRDefault="004E5333" w:rsidP="002A3A54">
            <w:pPr>
              <w:pStyle w:val="BodyText"/>
              <w:cnfStyle w:val="000000000000" w:firstRow="0" w:lastRow="0" w:firstColumn="0" w:lastColumn="0" w:oddVBand="0" w:evenVBand="0" w:oddHBand="0" w:evenHBand="0" w:firstRowFirstColumn="0" w:firstRowLastColumn="0" w:lastRowFirstColumn="0" w:lastRowLastColumn="0"/>
            </w:pPr>
          </w:p>
          <w:p w14:paraId="5C7625BD" w14:textId="455D80C6" w:rsidR="004E5333" w:rsidRPr="00100F0A" w:rsidRDefault="004E5333" w:rsidP="002A3A54">
            <w:pPr>
              <w:pStyle w:val="BodyText"/>
              <w:cnfStyle w:val="000000000000" w:firstRow="0" w:lastRow="0" w:firstColumn="0" w:lastColumn="0" w:oddVBand="0" w:evenVBand="0" w:oddHBand="0" w:evenHBand="0" w:firstRowFirstColumn="0" w:firstRowLastColumn="0" w:lastRowFirstColumn="0" w:lastRowLastColumn="0"/>
            </w:pPr>
            <w:r w:rsidRPr="00100F0A">
              <w:rPr>
                <w:color w:val="000000"/>
              </w:rPr>
              <w:t>PSO program (DoEE 2017) volume data used to estimate national arisings</w:t>
            </w:r>
          </w:p>
        </w:tc>
        <w:tc>
          <w:tcPr>
            <w:tcW w:w="1509" w:type="pct"/>
            <w:tcBorders>
              <w:top w:val="single" w:sz="4" w:space="0" w:color="AAABD6"/>
              <w:bottom w:val="single" w:sz="4" w:space="0" w:color="AAABD6"/>
            </w:tcBorders>
          </w:tcPr>
          <w:p w14:paraId="1726AD21" w14:textId="46BA2E72" w:rsidR="00FB5BBC" w:rsidRPr="00100F0A" w:rsidRDefault="004E5333" w:rsidP="002A3A54">
            <w:pPr>
              <w:pStyle w:val="BodyText"/>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Consultation suggests mining oils are being increasingly managed on</w:t>
            </w:r>
            <w:r w:rsidR="00AE1FAA">
              <w:rPr>
                <w:color w:val="000000"/>
              </w:rPr>
              <w:t>-</w:t>
            </w:r>
            <w:r w:rsidRPr="00100F0A">
              <w:rPr>
                <w:color w:val="000000"/>
              </w:rPr>
              <w:t xml:space="preserve">site (poorly) - last </w:t>
            </w:r>
            <w:r w:rsidR="0026508D">
              <w:rPr>
                <w:color w:val="000000"/>
              </w:rPr>
              <w:t>five</w:t>
            </w:r>
            <w:r w:rsidR="0026508D" w:rsidRPr="00100F0A">
              <w:rPr>
                <w:color w:val="000000"/>
              </w:rPr>
              <w:t xml:space="preserve"> </w:t>
            </w:r>
            <w:r w:rsidRPr="00100F0A">
              <w:rPr>
                <w:color w:val="000000"/>
              </w:rPr>
              <w:t>years</w:t>
            </w:r>
          </w:p>
          <w:p w14:paraId="18A3B7B1" w14:textId="77777777" w:rsidR="004E5333" w:rsidRPr="00100F0A" w:rsidRDefault="004E5333" w:rsidP="002A3A54">
            <w:pPr>
              <w:pStyle w:val="BodyText"/>
              <w:cnfStyle w:val="000000000000" w:firstRow="0" w:lastRow="0" w:firstColumn="0" w:lastColumn="0" w:oddVBand="0" w:evenVBand="0" w:oddHBand="0" w:evenHBand="0" w:firstRowFirstColumn="0" w:firstRowLastColumn="0" w:lastRowFirstColumn="0" w:lastRowLastColumn="0"/>
              <w:rPr>
                <w:color w:val="000000"/>
              </w:rPr>
            </w:pPr>
          </w:p>
          <w:p w14:paraId="07A32DFF" w14:textId="6F94AACC" w:rsidR="004E5333" w:rsidRPr="00100F0A" w:rsidRDefault="004E5333" w:rsidP="002A3A54">
            <w:pPr>
              <w:pStyle w:val="BodyText"/>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Historical tracking trends (ignoring NSW) generally show growth, also this has slowed since ~2012</w:t>
            </w:r>
          </w:p>
        </w:tc>
        <w:tc>
          <w:tcPr>
            <w:tcW w:w="953" w:type="pct"/>
            <w:tcBorders>
              <w:top w:val="single" w:sz="4" w:space="0" w:color="AAABD6"/>
              <w:bottom w:val="single" w:sz="4" w:space="0" w:color="AAABD6"/>
            </w:tcBorders>
          </w:tcPr>
          <w:p w14:paraId="4A7A0A1E" w14:textId="77777777" w:rsidR="00FB5BBC" w:rsidRPr="00100F0A" w:rsidRDefault="004E5333" w:rsidP="002A3A54">
            <w:pPr>
              <w:pStyle w:val="BodyText"/>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Best: Qld/WA = pop growth; other = econ growth</w:t>
            </w:r>
          </w:p>
          <w:p w14:paraId="5B2655CE" w14:textId="77777777" w:rsidR="004E5333" w:rsidRPr="00100F0A" w:rsidRDefault="004E5333" w:rsidP="002A3A54">
            <w:pPr>
              <w:pStyle w:val="BodyText"/>
              <w:cnfStyle w:val="000000000000" w:firstRow="0" w:lastRow="0" w:firstColumn="0" w:lastColumn="0" w:oddVBand="0" w:evenVBand="0" w:oddHBand="0" w:evenHBand="0" w:firstRowFirstColumn="0" w:firstRowLastColumn="0" w:lastRowFirstColumn="0" w:lastRowLastColumn="0"/>
              <w:rPr>
                <w:color w:val="000000"/>
              </w:rPr>
            </w:pPr>
          </w:p>
          <w:p w14:paraId="2D7FB602" w14:textId="4CA6C0A4" w:rsidR="004E5333" w:rsidRPr="00100F0A" w:rsidRDefault="004E5333" w:rsidP="002A3A54">
            <w:pPr>
              <w:pStyle w:val="BodyText"/>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High: WA/Qld = econ growth; others =</w:t>
            </w:r>
            <w:r w:rsidR="00AE1FAA">
              <w:rPr>
                <w:color w:val="000000"/>
              </w:rPr>
              <w:t xml:space="preserve"> </w:t>
            </w:r>
            <w:r w:rsidRPr="00100F0A">
              <w:rPr>
                <w:color w:val="000000"/>
              </w:rPr>
              <w:t>Vic long-term CAGR</w:t>
            </w:r>
          </w:p>
          <w:p w14:paraId="443A4517" w14:textId="77777777" w:rsidR="004E5333" w:rsidRPr="00100F0A" w:rsidRDefault="004E5333" w:rsidP="002A3A54">
            <w:pPr>
              <w:pStyle w:val="BodyText"/>
              <w:cnfStyle w:val="000000000000" w:firstRow="0" w:lastRow="0" w:firstColumn="0" w:lastColumn="0" w:oddVBand="0" w:evenVBand="0" w:oddHBand="0" w:evenHBand="0" w:firstRowFirstColumn="0" w:firstRowLastColumn="0" w:lastRowFirstColumn="0" w:lastRowLastColumn="0"/>
              <w:rPr>
                <w:color w:val="000000"/>
              </w:rPr>
            </w:pPr>
          </w:p>
          <w:p w14:paraId="3B92ADE9" w14:textId="3ED93982" w:rsidR="004E5333" w:rsidRPr="00100F0A" w:rsidRDefault="004E5333" w:rsidP="002A3A54">
            <w:pPr>
              <w:pStyle w:val="BodyText"/>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Low: assume recent flat growth to continue</w:t>
            </w:r>
          </w:p>
        </w:tc>
      </w:tr>
    </w:tbl>
    <w:p w14:paraId="3B5CCB93" w14:textId="0B8E6693" w:rsidR="00601CB2" w:rsidRPr="00100F0A" w:rsidRDefault="00601CB2" w:rsidP="00601CB2">
      <w:pPr>
        <w:pStyle w:val="BodyText"/>
      </w:pPr>
    </w:p>
    <w:p w14:paraId="7101D217" w14:textId="6DE5C180" w:rsidR="00E4739A" w:rsidRPr="00100F0A" w:rsidRDefault="00E4739A" w:rsidP="00601CB2">
      <w:pPr>
        <w:pStyle w:val="BodyText"/>
      </w:pPr>
    </w:p>
    <w:p w14:paraId="223D432A" w14:textId="302B08E4" w:rsidR="00E4739A" w:rsidRPr="00100F0A" w:rsidRDefault="00E4739A" w:rsidP="00601CB2">
      <w:pPr>
        <w:pStyle w:val="BodyText"/>
      </w:pPr>
    </w:p>
    <w:p w14:paraId="7E00F0C9" w14:textId="7950D7B1" w:rsidR="00E4739A" w:rsidRPr="00100F0A" w:rsidRDefault="00E4739A" w:rsidP="00601CB2">
      <w:pPr>
        <w:pStyle w:val="BodyText"/>
      </w:pPr>
    </w:p>
    <w:p w14:paraId="2D6F9FB5" w14:textId="77777777" w:rsidR="00D42A24" w:rsidRPr="00100F0A" w:rsidRDefault="00D42A24" w:rsidP="00601CB2">
      <w:pPr>
        <w:pStyle w:val="BodyText"/>
      </w:pPr>
    </w:p>
    <w:p w14:paraId="2C03027E" w14:textId="77777777" w:rsidR="00E4739A" w:rsidRPr="00100F0A" w:rsidRDefault="00E4739A" w:rsidP="00601CB2">
      <w:pPr>
        <w:pStyle w:val="BodyText"/>
      </w:pPr>
    </w:p>
    <w:p w14:paraId="71FA8710" w14:textId="4C25BAD4" w:rsidR="00601CB2" w:rsidRPr="00100F0A" w:rsidRDefault="00601CB2" w:rsidP="00273FA6">
      <w:pPr>
        <w:pStyle w:val="Caption"/>
      </w:pPr>
      <w:bookmarkStart w:id="200" w:name="_Toc425849304"/>
      <w:bookmarkStart w:id="201" w:name="_Toc13225640"/>
      <w:r w:rsidRPr="00100F0A">
        <w:t xml:space="preserve">Table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21</w:t>
      </w:r>
      <w:r w:rsidR="00B404A6" w:rsidRPr="00100F0A">
        <w:rPr>
          <w:noProof/>
        </w:rPr>
        <w:fldChar w:fldCharType="end"/>
      </w:r>
      <w:r w:rsidR="00C14F18">
        <w:rPr>
          <w:noProof/>
        </w:rPr>
        <w:t>:</w:t>
      </w:r>
      <w:r w:rsidR="00D11FEE" w:rsidRPr="00100F0A">
        <w:tab/>
      </w:r>
      <w:r w:rsidRPr="00100F0A">
        <w:t>Best, high and low projected rates of change for oil waste to 203</w:t>
      </w:r>
      <w:bookmarkEnd w:id="200"/>
      <w:r w:rsidR="004E5333" w:rsidRPr="00100F0A">
        <w:t>7</w:t>
      </w:r>
      <w:bookmarkEnd w:id="201"/>
    </w:p>
    <w:tbl>
      <w:tblPr>
        <w:tblStyle w:val="BETable1"/>
        <w:tblW w:w="9072" w:type="dxa"/>
        <w:tblBorders>
          <w:top w:val="single" w:sz="4" w:space="0" w:color="AAABD6"/>
          <w:left w:val="single" w:sz="4" w:space="0" w:color="AAABD6"/>
          <w:bottom w:val="single" w:sz="4" w:space="0" w:color="AAABD6"/>
          <w:right w:val="single" w:sz="4" w:space="0" w:color="AAABD6"/>
          <w:insideH w:val="single" w:sz="4" w:space="0" w:color="AAABD6"/>
          <w:insideV w:val="single" w:sz="4" w:space="0" w:color="AAABD6"/>
        </w:tblBorders>
        <w:tblLayout w:type="fixed"/>
        <w:tblLook w:val="04A0" w:firstRow="1" w:lastRow="0" w:firstColumn="1" w:lastColumn="0" w:noHBand="0" w:noVBand="1"/>
      </w:tblPr>
      <w:tblGrid>
        <w:gridCol w:w="709"/>
        <w:gridCol w:w="992"/>
        <w:gridCol w:w="4820"/>
        <w:gridCol w:w="850"/>
        <w:gridCol w:w="567"/>
        <w:gridCol w:w="1134"/>
      </w:tblGrid>
      <w:tr w:rsidR="008A15A0" w:rsidRPr="00100F0A" w14:paraId="242C0425" w14:textId="77777777" w:rsidTr="008A15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bottom w:val="single" w:sz="4" w:space="0" w:color="AAABD6"/>
            </w:tcBorders>
            <w:shd w:val="clear" w:color="auto" w:fill="AAABD6"/>
          </w:tcPr>
          <w:p w14:paraId="331C67A6" w14:textId="77777777" w:rsidR="00601CB2" w:rsidRPr="00100F0A" w:rsidRDefault="00601CB2" w:rsidP="002A3A54">
            <w:pPr>
              <w:rPr>
                <w:color w:val="FFFFFF" w:themeColor="background1"/>
              </w:rPr>
            </w:pPr>
          </w:p>
        </w:tc>
        <w:tc>
          <w:tcPr>
            <w:tcW w:w="992" w:type="dxa"/>
            <w:shd w:val="clear" w:color="auto" w:fill="AAABD6"/>
          </w:tcPr>
          <w:p w14:paraId="63C12870" w14:textId="77777777" w:rsidR="00601CB2" w:rsidRPr="00100F0A" w:rsidRDefault="00601CB2" w:rsidP="002A3A5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Applies to</w:t>
            </w:r>
          </w:p>
        </w:tc>
        <w:tc>
          <w:tcPr>
            <w:tcW w:w="4820" w:type="dxa"/>
            <w:tcBorders>
              <w:bottom w:val="single" w:sz="4" w:space="0" w:color="AAABD6"/>
            </w:tcBorders>
            <w:shd w:val="clear" w:color="auto" w:fill="AAABD6"/>
          </w:tcPr>
          <w:p w14:paraId="0439486D" w14:textId="77777777" w:rsidR="00601CB2" w:rsidRPr="00100F0A" w:rsidRDefault="00601CB2" w:rsidP="002A3A5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c>
          <w:tcPr>
            <w:tcW w:w="850" w:type="dxa"/>
            <w:tcBorders>
              <w:bottom w:val="single" w:sz="4" w:space="0" w:color="AAABD6"/>
            </w:tcBorders>
            <w:shd w:val="clear" w:color="auto" w:fill="AAABD6"/>
          </w:tcPr>
          <w:p w14:paraId="249C3B1E" w14:textId="79758ED2" w:rsidR="00601CB2" w:rsidRPr="00100F0A" w:rsidRDefault="00601CB2" w:rsidP="004206B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201</w:t>
            </w:r>
            <w:r w:rsidR="008A15A0" w:rsidRPr="00100F0A">
              <w:rPr>
                <w:color w:val="FFFFFF" w:themeColor="background1"/>
              </w:rPr>
              <w:t>8</w:t>
            </w:r>
          </w:p>
        </w:tc>
        <w:tc>
          <w:tcPr>
            <w:tcW w:w="567" w:type="dxa"/>
            <w:tcBorders>
              <w:bottom w:val="single" w:sz="4" w:space="0" w:color="AAABD6"/>
            </w:tcBorders>
            <w:shd w:val="clear" w:color="auto" w:fill="AAABD6"/>
          </w:tcPr>
          <w:p w14:paraId="1894A63F" w14:textId="77777777" w:rsidR="00601CB2" w:rsidRPr="00100F0A" w:rsidRDefault="00601CB2" w:rsidP="004206B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w:t>
            </w:r>
          </w:p>
        </w:tc>
        <w:tc>
          <w:tcPr>
            <w:tcW w:w="1134" w:type="dxa"/>
            <w:tcBorders>
              <w:bottom w:val="single" w:sz="4" w:space="0" w:color="AAABD6"/>
            </w:tcBorders>
            <w:shd w:val="clear" w:color="auto" w:fill="AAABD6"/>
          </w:tcPr>
          <w:p w14:paraId="19BA8925" w14:textId="799DE4B0" w:rsidR="00601CB2" w:rsidRPr="00100F0A" w:rsidRDefault="008A15A0" w:rsidP="004206B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2037</w:t>
            </w:r>
          </w:p>
        </w:tc>
      </w:tr>
      <w:tr w:rsidR="008A15A0" w:rsidRPr="00100F0A" w14:paraId="6073EB52" w14:textId="77777777" w:rsidTr="008A15A0">
        <w:tc>
          <w:tcPr>
            <w:cnfStyle w:val="001000000000" w:firstRow="0" w:lastRow="0" w:firstColumn="1" w:lastColumn="0" w:oddVBand="0" w:evenVBand="0" w:oddHBand="0" w:evenHBand="0" w:firstRowFirstColumn="0" w:firstRowLastColumn="0" w:lastRowFirstColumn="0" w:lastRowLastColumn="0"/>
            <w:tcW w:w="709" w:type="dxa"/>
            <w:tcBorders>
              <w:bottom w:val="dotted" w:sz="4" w:space="0" w:color="AAABD6"/>
            </w:tcBorders>
          </w:tcPr>
          <w:p w14:paraId="47A7BFA8" w14:textId="77777777" w:rsidR="008A15A0" w:rsidRPr="00100F0A" w:rsidRDefault="008A15A0" w:rsidP="008A15A0">
            <w:r w:rsidRPr="00100F0A">
              <w:t>Best</w:t>
            </w:r>
          </w:p>
        </w:tc>
        <w:tc>
          <w:tcPr>
            <w:tcW w:w="992" w:type="dxa"/>
            <w:vMerge w:val="restart"/>
            <w:vAlign w:val="center"/>
          </w:tcPr>
          <w:p w14:paraId="09705D10" w14:textId="77777777" w:rsidR="008A15A0" w:rsidRPr="00100F0A" w:rsidRDefault="008A15A0" w:rsidP="008A15A0">
            <w:pPr>
              <w:cnfStyle w:val="000000000000" w:firstRow="0" w:lastRow="0" w:firstColumn="0" w:lastColumn="0" w:oddVBand="0" w:evenVBand="0" w:oddHBand="0" w:evenHBand="0" w:firstRowFirstColumn="0" w:firstRowLastColumn="0" w:lastRowFirstColumn="0" w:lastRowLastColumn="0"/>
            </w:pPr>
            <w:r w:rsidRPr="00100F0A">
              <w:t>Qld, WA</w:t>
            </w:r>
          </w:p>
        </w:tc>
        <w:tc>
          <w:tcPr>
            <w:tcW w:w="4820" w:type="dxa"/>
            <w:tcBorders>
              <w:bottom w:val="dotted" w:sz="4" w:space="0" w:color="AAABD6"/>
            </w:tcBorders>
            <w:vAlign w:val="bottom"/>
          </w:tcPr>
          <w:p w14:paraId="36AED7CD" w14:textId="619A5386" w:rsidR="008A15A0" w:rsidRPr="00100F0A" w:rsidRDefault="00C34F48" w:rsidP="008A15A0">
            <w:pPr>
              <w:cnfStyle w:val="000000000000" w:firstRow="0" w:lastRow="0" w:firstColumn="0" w:lastColumn="0" w:oddVBand="0" w:evenVBand="0" w:oddHBand="0" w:evenHBand="0" w:firstRowFirstColumn="0" w:firstRowLastColumn="0" w:lastRowFirstColumn="0" w:lastRowLastColumn="0"/>
            </w:pPr>
            <w:r>
              <w:rPr>
                <w:rFonts w:cs="Calibri"/>
                <w:color w:val="000000"/>
              </w:rPr>
              <w:t>20-year average</w:t>
            </w:r>
            <w:r w:rsidR="008A15A0" w:rsidRPr="00100F0A">
              <w:rPr>
                <w:rFonts w:cs="Calibri"/>
                <w:color w:val="000000"/>
              </w:rPr>
              <w:t xml:space="preserve"> annual population growth </w:t>
            </w:r>
          </w:p>
        </w:tc>
        <w:tc>
          <w:tcPr>
            <w:tcW w:w="850" w:type="dxa"/>
            <w:tcBorders>
              <w:bottom w:val="dotted" w:sz="4" w:space="0" w:color="AAABD6"/>
            </w:tcBorders>
          </w:tcPr>
          <w:p w14:paraId="6C9994A8" w14:textId="2C9103DA" w:rsidR="008A15A0" w:rsidRPr="00100F0A" w:rsidRDefault="008A15A0"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1.4%</w:t>
            </w:r>
          </w:p>
        </w:tc>
        <w:tc>
          <w:tcPr>
            <w:tcW w:w="567" w:type="dxa"/>
            <w:tcBorders>
              <w:bottom w:val="dotted" w:sz="4" w:space="0" w:color="AAABD6"/>
            </w:tcBorders>
          </w:tcPr>
          <w:p w14:paraId="5AE8F248" w14:textId="77777777" w:rsidR="008A15A0" w:rsidRPr="00100F0A" w:rsidRDefault="008A15A0"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1134" w:type="dxa"/>
            <w:tcBorders>
              <w:bottom w:val="dotted" w:sz="4" w:space="0" w:color="AAABD6"/>
            </w:tcBorders>
          </w:tcPr>
          <w:p w14:paraId="35A39ABC" w14:textId="3105183A" w:rsidR="008A15A0" w:rsidRPr="00100F0A" w:rsidRDefault="008A15A0"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1.4%</w:t>
            </w:r>
          </w:p>
        </w:tc>
      </w:tr>
      <w:tr w:rsidR="008A15A0" w:rsidRPr="00100F0A" w14:paraId="1610B34D" w14:textId="77777777" w:rsidTr="008A15A0">
        <w:tc>
          <w:tcPr>
            <w:cnfStyle w:val="001000000000" w:firstRow="0" w:lastRow="0" w:firstColumn="1" w:lastColumn="0" w:oddVBand="0" w:evenVBand="0" w:oddHBand="0" w:evenHBand="0" w:firstRowFirstColumn="0" w:firstRowLastColumn="0" w:lastRowFirstColumn="0" w:lastRowLastColumn="0"/>
            <w:tcW w:w="709" w:type="dxa"/>
            <w:tcBorders>
              <w:top w:val="dotted" w:sz="4" w:space="0" w:color="AAABD6"/>
              <w:bottom w:val="dotted" w:sz="4" w:space="0" w:color="AAABD6"/>
            </w:tcBorders>
          </w:tcPr>
          <w:p w14:paraId="5A179E80" w14:textId="77777777" w:rsidR="008A15A0" w:rsidRPr="00100F0A" w:rsidRDefault="008A15A0" w:rsidP="008A15A0">
            <w:r w:rsidRPr="00100F0A">
              <w:t>High</w:t>
            </w:r>
          </w:p>
        </w:tc>
        <w:tc>
          <w:tcPr>
            <w:tcW w:w="992" w:type="dxa"/>
            <w:vMerge/>
            <w:vAlign w:val="center"/>
          </w:tcPr>
          <w:p w14:paraId="57287C0D" w14:textId="77777777" w:rsidR="008A15A0" w:rsidRPr="00100F0A" w:rsidRDefault="008A15A0" w:rsidP="008A15A0">
            <w:pPr>
              <w:cnfStyle w:val="000000000000" w:firstRow="0" w:lastRow="0" w:firstColumn="0" w:lastColumn="0" w:oddVBand="0" w:evenVBand="0" w:oddHBand="0" w:evenHBand="0" w:firstRowFirstColumn="0" w:firstRowLastColumn="0" w:lastRowFirstColumn="0" w:lastRowLastColumn="0"/>
            </w:pPr>
          </w:p>
        </w:tc>
        <w:tc>
          <w:tcPr>
            <w:tcW w:w="4820" w:type="dxa"/>
            <w:tcBorders>
              <w:top w:val="dotted" w:sz="4" w:space="0" w:color="AAABD6"/>
              <w:bottom w:val="dotted" w:sz="4" w:space="0" w:color="AAABD6"/>
            </w:tcBorders>
            <w:vAlign w:val="bottom"/>
          </w:tcPr>
          <w:p w14:paraId="472BD99C" w14:textId="5CC2A89A" w:rsidR="008A15A0" w:rsidRPr="00100F0A" w:rsidRDefault="00C34F48" w:rsidP="008A15A0">
            <w:pPr>
              <w:cnfStyle w:val="000000000000" w:firstRow="0" w:lastRow="0" w:firstColumn="0" w:lastColumn="0" w:oddVBand="0" w:evenVBand="0" w:oddHBand="0" w:evenHBand="0" w:firstRowFirstColumn="0" w:firstRowLastColumn="0" w:lastRowFirstColumn="0" w:lastRowLastColumn="0"/>
            </w:pPr>
            <w:r>
              <w:rPr>
                <w:rFonts w:cs="Calibri"/>
                <w:color w:val="000000"/>
              </w:rPr>
              <w:t>20-year average</w:t>
            </w:r>
            <w:r w:rsidR="008A15A0" w:rsidRPr="00100F0A">
              <w:rPr>
                <w:rFonts w:cs="Calibri"/>
                <w:color w:val="000000"/>
              </w:rPr>
              <w:t xml:space="preserve"> annual economic growth </w:t>
            </w:r>
          </w:p>
        </w:tc>
        <w:tc>
          <w:tcPr>
            <w:tcW w:w="850" w:type="dxa"/>
            <w:tcBorders>
              <w:top w:val="dotted" w:sz="4" w:space="0" w:color="AAABD6"/>
              <w:bottom w:val="dotted" w:sz="4" w:space="0" w:color="AAABD6"/>
            </w:tcBorders>
          </w:tcPr>
          <w:p w14:paraId="78481C2C" w14:textId="05DAFD48" w:rsidR="008A15A0" w:rsidRPr="00100F0A" w:rsidRDefault="008A15A0"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2.8%</w:t>
            </w:r>
          </w:p>
        </w:tc>
        <w:tc>
          <w:tcPr>
            <w:tcW w:w="567" w:type="dxa"/>
            <w:tcBorders>
              <w:top w:val="dotted" w:sz="4" w:space="0" w:color="AAABD6"/>
              <w:bottom w:val="dotted" w:sz="4" w:space="0" w:color="AAABD6"/>
            </w:tcBorders>
          </w:tcPr>
          <w:p w14:paraId="016DB069" w14:textId="77777777" w:rsidR="008A15A0" w:rsidRPr="00100F0A" w:rsidRDefault="008A15A0"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1134" w:type="dxa"/>
            <w:tcBorders>
              <w:top w:val="dotted" w:sz="4" w:space="0" w:color="AAABD6"/>
              <w:bottom w:val="dotted" w:sz="4" w:space="0" w:color="AAABD6"/>
            </w:tcBorders>
          </w:tcPr>
          <w:p w14:paraId="68155953" w14:textId="47E4081B" w:rsidR="008A15A0" w:rsidRPr="00100F0A" w:rsidRDefault="008A15A0"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2.8%</w:t>
            </w:r>
          </w:p>
        </w:tc>
      </w:tr>
      <w:tr w:rsidR="008A15A0" w:rsidRPr="00100F0A" w14:paraId="7C623FC6" w14:textId="77777777" w:rsidTr="008A15A0">
        <w:tc>
          <w:tcPr>
            <w:cnfStyle w:val="001000000000" w:firstRow="0" w:lastRow="0" w:firstColumn="1" w:lastColumn="0" w:oddVBand="0" w:evenVBand="0" w:oddHBand="0" w:evenHBand="0" w:firstRowFirstColumn="0" w:firstRowLastColumn="0" w:lastRowFirstColumn="0" w:lastRowLastColumn="0"/>
            <w:tcW w:w="709" w:type="dxa"/>
            <w:tcBorders>
              <w:top w:val="dotted" w:sz="4" w:space="0" w:color="AAABD6"/>
              <w:bottom w:val="single" w:sz="4" w:space="0" w:color="AAABD6"/>
            </w:tcBorders>
          </w:tcPr>
          <w:p w14:paraId="19BB505D" w14:textId="77777777" w:rsidR="008A15A0" w:rsidRPr="00100F0A" w:rsidRDefault="008A15A0" w:rsidP="008A15A0">
            <w:r w:rsidRPr="00100F0A">
              <w:t>Low</w:t>
            </w:r>
          </w:p>
        </w:tc>
        <w:tc>
          <w:tcPr>
            <w:tcW w:w="992" w:type="dxa"/>
            <w:vMerge/>
            <w:vAlign w:val="center"/>
          </w:tcPr>
          <w:p w14:paraId="4206CCE3" w14:textId="77777777" w:rsidR="008A15A0" w:rsidRPr="00100F0A" w:rsidRDefault="008A15A0" w:rsidP="008A15A0">
            <w:pPr>
              <w:cnfStyle w:val="000000000000" w:firstRow="0" w:lastRow="0" w:firstColumn="0" w:lastColumn="0" w:oddVBand="0" w:evenVBand="0" w:oddHBand="0" w:evenHBand="0" w:firstRowFirstColumn="0" w:firstRowLastColumn="0" w:lastRowFirstColumn="0" w:lastRowLastColumn="0"/>
            </w:pPr>
          </w:p>
        </w:tc>
        <w:tc>
          <w:tcPr>
            <w:tcW w:w="4820" w:type="dxa"/>
            <w:tcBorders>
              <w:top w:val="dotted" w:sz="4" w:space="0" w:color="AAABD6"/>
              <w:bottom w:val="single" w:sz="4" w:space="0" w:color="AAABD6"/>
            </w:tcBorders>
            <w:vAlign w:val="bottom"/>
          </w:tcPr>
          <w:p w14:paraId="19EEF6C9" w14:textId="33BD05C5" w:rsidR="008A15A0" w:rsidRPr="00100F0A" w:rsidRDefault="008A15A0" w:rsidP="008A15A0">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Recent flat trend continues</w:t>
            </w:r>
          </w:p>
        </w:tc>
        <w:tc>
          <w:tcPr>
            <w:tcW w:w="850" w:type="dxa"/>
            <w:tcBorders>
              <w:top w:val="dotted" w:sz="4" w:space="0" w:color="AAABD6"/>
              <w:bottom w:val="single" w:sz="4" w:space="0" w:color="AAABD6"/>
            </w:tcBorders>
          </w:tcPr>
          <w:p w14:paraId="7F7E3A15" w14:textId="7967F5D6" w:rsidR="008A15A0" w:rsidRPr="00100F0A" w:rsidRDefault="008A15A0"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0.0%</w:t>
            </w:r>
          </w:p>
        </w:tc>
        <w:tc>
          <w:tcPr>
            <w:tcW w:w="567" w:type="dxa"/>
            <w:tcBorders>
              <w:top w:val="dotted" w:sz="4" w:space="0" w:color="AAABD6"/>
              <w:bottom w:val="single" w:sz="4" w:space="0" w:color="AAABD6"/>
            </w:tcBorders>
          </w:tcPr>
          <w:p w14:paraId="28873942" w14:textId="77777777" w:rsidR="008A15A0" w:rsidRPr="00100F0A" w:rsidRDefault="008A15A0"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1134" w:type="dxa"/>
            <w:tcBorders>
              <w:top w:val="dotted" w:sz="4" w:space="0" w:color="AAABD6"/>
              <w:bottom w:val="single" w:sz="4" w:space="0" w:color="AAABD6"/>
            </w:tcBorders>
          </w:tcPr>
          <w:p w14:paraId="66AC55BE" w14:textId="3835F416" w:rsidR="008A15A0" w:rsidRPr="00100F0A" w:rsidRDefault="008A15A0"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0.0%</w:t>
            </w:r>
          </w:p>
        </w:tc>
      </w:tr>
      <w:tr w:rsidR="008A15A0" w:rsidRPr="00100F0A" w14:paraId="16A24B4B" w14:textId="77777777" w:rsidTr="008A15A0">
        <w:tc>
          <w:tcPr>
            <w:cnfStyle w:val="001000000000" w:firstRow="0" w:lastRow="0" w:firstColumn="1" w:lastColumn="0" w:oddVBand="0" w:evenVBand="0" w:oddHBand="0" w:evenHBand="0" w:firstRowFirstColumn="0" w:firstRowLastColumn="0" w:lastRowFirstColumn="0" w:lastRowLastColumn="0"/>
            <w:tcW w:w="709" w:type="dxa"/>
            <w:tcBorders>
              <w:bottom w:val="dotted" w:sz="4" w:space="0" w:color="AAABD6"/>
            </w:tcBorders>
          </w:tcPr>
          <w:p w14:paraId="60358264" w14:textId="77777777" w:rsidR="008A15A0" w:rsidRPr="00100F0A" w:rsidRDefault="008A15A0" w:rsidP="008A15A0">
            <w:r w:rsidRPr="00100F0A">
              <w:t>Best</w:t>
            </w:r>
          </w:p>
        </w:tc>
        <w:tc>
          <w:tcPr>
            <w:tcW w:w="992" w:type="dxa"/>
            <w:vMerge w:val="restart"/>
            <w:vAlign w:val="center"/>
          </w:tcPr>
          <w:p w14:paraId="7FD83315" w14:textId="77777777" w:rsidR="008A15A0" w:rsidRPr="00100F0A" w:rsidRDefault="008A15A0" w:rsidP="008A15A0">
            <w:pPr>
              <w:cnfStyle w:val="000000000000" w:firstRow="0" w:lastRow="0" w:firstColumn="0" w:lastColumn="0" w:oddVBand="0" w:evenVBand="0" w:oddHBand="0" w:evenHBand="0" w:firstRowFirstColumn="0" w:firstRowLastColumn="0" w:lastRowFirstColumn="0" w:lastRowLastColumn="0"/>
            </w:pPr>
            <w:r w:rsidRPr="00100F0A">
              <w:t>ACT, NSW, NT, SA, Tas, Vic</w:t>
            </w:r>
          </w:p>
        </w:tc>
        <w:tc>
          <w:tcPr>
            <w:tcW w:w="4820" w:type="dxa"/>
            <w:tcBorders>
              <w:bottom w:val="dotted" w:sz="4" w:space="0" w:color="AAABD6"/>
            </w:tcBorders>
            <w:vAlign w:val="bottom"/>
          </w:tcPr>
          <w:p w14:paraId="242C9707" w14:textId="3029E759" w:rsidR="008A15A0" w:rsidRPr="00100F0A" w:rsidRDefault="00C34F48" w:rsidP="008A15A0">
            <w:pPr>
              <w:cnfStyle w:val="000000000000" w:firstRow="0" w:lastRow="0" w:firstColumn="0" w:lastColumn="0" w:oddVBand="0" w:evenVBand="0" w:oddHBand="0" w:evenHBand="0" w:firstRowFirstColumn="0" w:firstRowLastColumn="0" w:lastRowFirstColumn="0" w:lastRowLastColumn="0"/>
            </w:pPr>
            <w:r>
              <w:rPr>
                <w:rFonts w:cs="Calibri"/>
                <w:color w:val="000000"/>
              </w:rPr>
              <w:t>20-year average</w:t>
            </w:r>
            <w:r w:rsidR="008A15A0" w:rsidRPr="00100F0A">
              <w:rPr>
                <w:rFonts w:cs="Calibri"/>
                <w:color w:val="000000"/>
              </w:rPr>
              <w:t xml:space="preserve"> annual economic growth </w:t>
            </w:r>
          </w:p>
        </w:tc>
        <w:tc>
          <w:tcPr>
            <w:tcW w:w="850" w:type="dxa"/>
            <w:tcBorders>
              <w:bottom w:val="dotted" w:sz="4" w:space="0" w:color="AAABD6"/>
            </w:tcBorders>
          </w:tcPr>
          <w:p w14:paraId="5DAABEAF" w14:textId="09573713" w:rsidR="008A15A0" w:rsidRPr="00100F0A" w:rsidRDefault="008A15A0"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bCs/>
              </w:rPr>
              <w:t>2.8%</w:t>
            </w:r>
          </w:p>
        </w:tc>
        <w:tc>
          <w:tcPr>
            <w:tcW w:w="567" w:type="dxa"/>
            <w:tcBorders>
              <w:bottom w:val="dotted" w:sz="4" w:space="0" w:color="AAABD6"/>
            </w:tcBorders>
          </w:tcPr>
          <w:p w14:paraId="7A6222ED" w14:textId="77777777" w:rsidR="008A15A0" w:rsidRPr="00100F0A" w:rsidRDefault="008A15A0"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1134" w:type="dxa"/>
            <w:tcBorders>
              <w:bottom w:val="dotted" w:sz="4" w:space="0" w:color="AAABD6"/>
            </w:tcBorders>
          </w:tcPr>
          <w:p w14:paraId="21E2D8C2" w14:textId="58E363BB" w:rsidR="008A15A0" w:rsidRPr="00100F0A" w:rsidRDefault="008A15A0"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bCs/>
                <w:color w:val="000000" w:themeColor="text1"/>
              </w:rPr>
              <w:t>2.8%</w:t>
            </w:r>
          </w:p>
        </w:tc>
      </w:tr>
      <w:tr w:rsidR="008A15A0" w:rsidRPr="00100F0A" w14:paraId="0BE4A21B" w14:textId="77777777" w:rsidTr="008A15A0">
        <w:trPr>
          <w:trHeight w:val="49"/>
        </w:trPr>
        <w:tc>
          <w:tcPr>
            <w:cnfStyle w:val="001000000000" w:firstRow="0" w:lastRow="0" w:firstColumn="1" w:lastColumn="0" w:oddVBand="0" w:evenVBand="0" w:oddHBand="0" w:evenHBand="0" w:firstRowFirstColumn="0" w:firstRowLastColumn="0" w:lastRowFirstColumn="0" w:lastRowLastColumn="0"/>
            <w:tcW w:w="709" w:type="dxa"/>
            <w:tcBorders>
              <w:top w:val="dotted" w:sz="4" w:space="0" w:color="AAABD6"/>
              <w:bottom w:val="dotted" w:sz="4" w:space="0" w:color="AAABD6"/>
            </w:tcBorders>
          </w:tcPr>
          <w:p w14:paraId="6B2F344A" w14:textId="77777777" w:rsidR="008A15A0" w:rsidRPr="00100F0A" w:rsidRDefault="008A15A0" w:rsidP="008A15A0">
            <w:r w:rsidRPr="00100F0A">
              <w:t>High</w:t>
            </w:r>
          </w:p>
        </w:tc>
        <w:tc>
          <w:tcPr>
            <w:tcW w:w="992" w:type="dxa"/>
            <w:vMerge/>
          </w:tcPr>
          <w:p w14:paraId="0CF5F5FE" w14:textId="77777777" w:rsidR="008A15A0" w:rsidRPr="00100F0A" w:rsidRDefault="008A15A0" w:rsidP="008A15A0">
            <w:pPr>
              <w:cnfStyle w:val="000000000000" w:firstRow="0" w:lastRow="0" w:firstColumn="0" w:lastColumn="0" w:oddVBand="0" w:evenVBand="0" w:oddHBand="0" w:evenHBand="0" w:firstRowFirstColumn="0" w:firstRowLastColumn="0" w:lastRowFirstColumn="0" w:lastRowLastColumn="0"/>
            </w:pPr>
          </w:p>
        </w:tc>
        <w:tc>
          <w:tcPr>
            <w:tcW w:w="4820" w:type="dxa"/>
            <w:tcBorders>
              <w:top w:val="dotted" w:sz="4" w:space="0" w:color="AAABD6"/>
              <w:bottom w:val="dotted" w:sz="4" w:space="0" w:color="AAABD6"/>
            </w:tcBorders>
            <w:vAlign w:val="bottom"/>
          </w:tcPr>
          <w:p w14:paraId="52EAD588" w14:textId="2D87FA0E" w:rsidR="008A15A0" w:rsidRPr="00100F0A" w:rsidRDefault="008A15A0" w:rsidP="008A15A0">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Long-term Vic CAGR (excl. adjustment - tracking data only)</w:t>
            </w:r>
          </w:p>
        </w:tc>
        <w:tc>
          <w:tcPr>
            <w:tcW w:w="850" w:type="dxa"/>
            <w:tcBorders>
              <w:top w:val="dotted" w:sz="4" w:space="0" w:color="AAABD6"/>
              <w:bottom w:val="dotted" w:sz="4" w:space="0" w:color="AAABD6"/>
            </w:tcBorders>
          </w:tcPr>
          <w:p w14:paraId="160EAE75" w14:textId="01817BB3" w:rsidR="008A15A0" w:rsidRPr="00100F0A" w:rsidRDefault="008A15A0"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3.2%</w:t>
            </w:r>
          </w:p>
        </w:tc>
        <w:tc>
          <w:tcPr>
            <w:tcW w:w="567" w:type="dxa"/>
            <w:tcBorders>
              <w:top w:val="dotted" w:sz="4" w:space="0" w:color="AAABD6"/>
              <w:bottom w:val="dotted" w:sz="4" w:space="0" w:color="AAABD6"/>
            </w:tcBorders>
          </w:tcPr>
          <w:p w14:paraId="4C476F22" w14:textId="77777777" w:rsidR="008A15A0" w:rsidRPr="00100F0A" w:rsidRDefault="008A15A0"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1134" w:type="dxa"/>
            <w:tcBorders>
              <w:top w:val="dotted" w:sz="4" w:space="0" w:color="AAABD6"/>
              <w:bottom w:val="dotted" w:sz="4" w:space="0" w:color="AAABD6"/>
            </w:tcBorders>
          </w:tcPr>
          <w:p w14:paraId="6B7F40C4" w14:textId="13F38221" w:rsidR="008A15A0" w:rsidRPr="00100F0A" w:rsidRDefault="008A15A0"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3.2%</w:t>
            </w:r>
          </w:p>
        </w:tc>
      </w:tr>
      <w:tr w:rsidR="008A15A0" w:rsidRPr="00100F0A" w14:paraId="4977BA87" w14:textId="77777777" w:rsidTr="008A15A0">
        <w:tc>
          <w:tcPr>
            <w:cnfStyle w:val="001000000000" w:firstRow="0" w:lastRow="0" w:firstColumn="1" w:lastColumn="0" w:oddVBand="0" w:evenVBand="0" w:oddHBand="0" w:evenHBand="0" w:firstRowFirstColumn="0" w:firstRowLastColumn="0" w:lastRowFirstColumn="0" w:lastRowLastColumn="0"/>
            <w:tcW w:w="709" w:type="dxa"/>
            <w:tcBorders>
              <w:top w:val="dotted" w:sz="4" w:space="0" w:color="AAABD6"/>
            </w:tcBorders>
          </w:tcPr>
          <w:p w14:paraId="5D2BA5DF" w14:textId="77777777" w:rsidR="008A15A0" w:rsidRPr="00100F0A" w:rsidRDefault="008A15A0" w:rsidP="008A15A0">
            <w:r w:rsidRPr="00100F0A">
              <w:t>Low</w:t>
            </w:r>
          </w:p>
        </w:tc>
        <w:tc>
          <w:tcPr>
            <w:tcW w:w="992" w:type="dxa"/>
            <w:vMerge/>
          </w:tcPr>
          <w:p w14:paraId="6E874176" w14:textId="77777777" w:rsidR="008A15A0" w:rsidRPr="00100F0A" w:rsidRDefault="008A15A0" w:rsidP="008A15A0">
            <w:pPr>
              <w:cnfStyle w:val="000000000000" w:firstRow="0" w:lastRow="0" w:firstColumn="0" w:lastColumn="0" w:oddVBand="0" w:evenVBand="0" w:oddHBand="0" w:evenHBand="0" w:firstRowFirstColumn="0" w:firstRowLastColumn="0" w:lastRowFirstColumn="0" w:lastRowLastColumn="0"/>
            </w:pPr>
          </w:p>
        </w:tc>
        <w:tc>
          <w:tcPr>
            <w:tcW w:w="4820" w:type="dxa"/>
            <w:tcBorders>
              <w:top w:val="dotted" w:sz="4" w:space="0" w:color="AAABD6"/>
            </w:tcBorders>
            <w:vAlign w:val="bottom"/>
          </w:tcPr>
          <w:p w14:paraId="55E749D2" w14:textId="515E0414" w:rsidR="008A15A0" w:rsidRPr="00100F0A" w:rsidRDefault="008A15A0" w:rsidP="008A15A0">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Flat trend</w:t>
            </w:r>
          </w:p>
        </w:tc>
        <w:tc>
          <w:tcPr>
            <w:tcW w:w="850" w:type="dxa"/>
            <w:tcBorders>
              <w:top w:val="dotted" w:sz="4" w:space="0" w:color="AAABD6"/>
            </w:tcBorders>
          </w:tcPr>
          <w:p w14:paraId="2507E42B" w14:textId="5EFE4862" w:rsidR="008A15A0" w:rsidRPr="00100F0A" w:rsidRDefault="008A15A0"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0.0%</w:t>
            </w:r>
          </w:p>
        </w:tc>
        <w:tc>
          <w:tcPr>
            <w:tcW w:w="567" w:type="dxa"/>
            <w:tcBorders>
              <w:top w:val="dotted" w:sz="4" w:space="0" w:color="AAABD6"/>
            </w:tcBorders>
          </w:tcPr>
          <w:p w14:paraId="3AC90828" w14:textId="77777777" w:rsidR="008A15A0" w:rsidRPr="00100F0A" w:rsidRDefault="008A15A0"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1134" w:type="dxa"/>
            <w:tcBorders>
              <w:top w:val="dotted" w:sz="4" w:space="0" w:color="AAABD6"/>
            </w:tcBorders>
          </w:tcPr>
          <w:p w14:paraId="4D4ACBC2" w14:textId="7D30D569" w:rsidR="008A15A0" w:rsidRPr="00100F0A" w:rsidRDefault="008A15A0"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0.0%</w:t>
            </w:r>
          </w:p>
        </w:tc>
      </w:tr>
    </w:tbl>
    <w:p w14:paraId="113B99D9" w14:textId="4CE27EE5" w:rsidR="00601CB2" w:rsidRPr="00100F0A" w:rsidRDefault="00601CB2" w:rsidP="00601CB2">
      <w:pPr>
        <w:pStyle w:val="BodyText"/>
      </w:pPr>
    </w:p>
    <w:p w14:paraId="3689D447" w14:textId="64F05DC1" w:rsidR="00601CB2" w:rsidRPr="00100F0A" w:rsidRDefault="00601CB2" w:rsidP="00273FA6">
      <w:pPr>
        <w:pStyle w:val="Caption"/>
      </w:pPr>
      <w:bookmarkStart w:id="202" w:name="_Toc425849234"/>
      <w:bookmarkStart w:id="203" w:name="_Toc13225591"/>
      <w:r w:rsidRPr="00100F0A">
        <w:t xml:space="preserve">Figure </w:t>
      </w:r>
      <w:r w:rsidR="007828B5" w:rsidRPr="00100F0A">
        <w:rPr>
          <w:noProof/>
        </w:rPr>
        <w:fldChar w:fldCharType="begin"/>
      </w:r>
      <w:r w:rsidR="007828B5" w:rsidRPr="00100F0A">
        <w:rPr>
          <w:noProof/>
        </w:rPr>
        <w:instrText xml:space="preserve"> SEQ Figure \* ARABIC </w:instrText>
      </w:r>
      <w:r w:rsidR="007828B5" w:rsidRPr="00100F0A">
        <w:rPr>
          <w:noProof/>
        </w:rPr>
        <w:fldChar w:fldCharType="separate"/>
      </w:r>
      <w:r w:rsidR="00EB634D">
        <w:rPr>
          <w:noProof/>
        </w:rPr>
        <w:t>18</w:t>
      </w:r>
      <w:r w:rsidR="007828B5" w:rsidRPr="00100F0A">
        <w:rPr>
          <w:noProof/>
        </w:rPr>
        <w:fldChar w:fldCharType="end"/>
      </w:r>
      <w:r w:rsidR="00C14F18">
        <w:rPr>
          <w:noProof/>
        </w:rPr>
        <w:t>:</w:t>
      </w:r>
      <w:r w:rsidR="00D11FEE" w:rsidRPr="00100F0A">
        <w:tab/>
      </w:r>
      <w:r w:rsidRPr="00100F0A">
        <w:t>Best, high and low national projection estimates of oil waste to 203</w:t>
      </w:r>
      <w:bookmarkEnd w:id="202"/>
      <w:r w:rsidR="008A15A0" w:rsidRPr="00100F0A">
        <w:t>7</w:t>
      </w:r>
      <w:bookmarkEnd w:id="203"/>
    </w:p>
    <w:p w14:paraId="7080544E" w14:textId="1B2EDD41" w:rsidR="00273FA6" w:rsidRPr="00100F0A" w:rsidRDefault="00D42A24" w:rsidP="00273FA6">
      <w:pPr>
        <w:pStyle w:val="BodyText"/>
      </w:pPr>
      <w:r w:rsidRPr="00100F0A">
        <w:rPr>
          <w:noProof/>
          <w:lang w:eastAsia="en-AU"/>
        </w:rPr>
        <w:drawing>
          <wp:inline distT="0" distB="0" distL="0" distR="0" wp14:anchorId="6FEAC9AC" wp14:editId="0657DAF8">
            <wp:extent cx="5735955" cy="21151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5955" cy="2115185"/>
                    </a:xfrm>
                    <a:prstGeom prst="rect">
                      <a:avLst/>
                    </a:prstGeom>
                  </pic:spPr>
                </pic:pic>
              </a:graphicData>
            </a:graphic>
          </wp:inline>
        </w:drawing>
      </w:r>
    </w:p>
    <w:p w14:paraId="46DD00A2" w14:textId="00DEF75D" w:rsidR="008A15A0" w:rsidRPr="00100F0A" w:rsidRDefault="008A15A0" w:rsidP="005E702F">
      <w:pPr>
        <w:pStyle w:val="BodyText"/>
      </w:pPr>
      <w:bookmarkStart w:id="204" w:name="_Ref522622398"/>
    </w:p>
    <w:p w14:paraId="380834DC" w14:textId="7E1BAE18" w:rsidR="00FB5BBC" w:rsidRPr="00100F0A" w:rsidRDefault="00FB5BBC" w:rsidP="00AD35BF">
      <w:pPr>
        <w:pStyle w:val="Heading3"/>
      </w:pPr>
      <w:r w:rsidRPr="00100F0A">
        <w:t>J120 Waste oil/water mixtures</w:t>
      </w:r>
      <w:bookmarkEnd w:id="204"/>
    </w:p>
    <w:p w14:paraId="21DD5DAD" w14:textId="2312845A" w:rsidR="00FB5BBC" w:rsidRPr="00100F0A" w:rsidRDefault="00FB5BBC" w:rsidP="00FB5BBC">
      <w:pPr>
        <w:pStyle w:val="BodyText"/>
      </w:pPr>
      <w:r w:rsidRPr="00100F0A">
        <w:t xml:space="preserve">This waste group includes the single NEPM code </w:t>
      </w:r>
      <w:r w:rsidRPr="00100F0A">
        <w:rPr>
          <w:i/>
        </w:rPr>
        <w:t>J120 hydrocarbons/water mixtures or emulsions</w:t>
      </w:r>
      <w:r w:rsidRPr="00100F0A">
        <w:t>. J120 is typically wastewater that ha</w:t>
      </w:r>
      <w:r w:rsidR="00AE1FAA">
        <w:t>s</w:t>
      </w:r>
      <w:r w:rsidRPr="00100F0A">
        <w:t xml:space="preserve"> been contaminated with oil, such as truck and vehicle washwater, skimmer and interceptor water, vehicle coolant water and potentially shipping bilge water.</w:t>
      </w:r>
    </w:p>
    <w:p w14:paraId="491C5EA0" w14:textId="3A291A87" w:rsidR="008A15A0" w:rsidRPr="00100F0A" w:rsidRDefault="008A15A0" w:rsidP="00FB5BBC">
      <w:pPr>
        <w:pStyle w:val="BodyText"/>
      </w:pPr>
    </w:p>
    <w:p w14:paraId="09EA0952" w14:textId="77777777" w:rsidR="008A15A0" w:rsidRPr="00100F0A" w:rsidRDefault="008A15A0" w:rsidP="00E4739A">
      <w:pPr>
        <w:pStyle w:val="Heading3-nonumber"/>
        <w:spacing w:before="0"/>
      </w:pPr>
      <w:r w:rsidRPr="00100F0A">
        <w:t>Summary analysis</w:t>
      </w:r>
    </w:p>
    <w:tbl>
      <w:tblPr>
        <w:tblStyle w:val="BETable11"/>
        <w:tblW w:w="4941" w:type="pct"/>
        <w:tblInd w:w="5" w:type="dxa"/>
        <w:tblBorders>
          <w:top w:val="single" w:sz="4" w:space="0" w:color="AAABD6"/>
          <w:left w:val="single" w:sz="4" w:space="0" w:color="AAABD6"/>
          <w:right w:val="single" w:sz="4" w:space="0" w:color="AAABD6"/>
          <w:insideH w:val="single" w:sz="4" w:space="0" w:color="AAABD6"/>
          <w:insideV w:val="single" w:sz="4" w:space="0" w:color="AAABD6"/>
        </w:tblBorders>
        <w:tblLook w:val="04A0" w:firstRow="1" w:lastRow="0" w:firstColumn="1" w:lastColumn="0" w:noHBand="0" w:noVBand="1"/>
      </w:tblPr>
      <w:tblGrid>
        <w:gridCol w:w="1980"/>
        <w:gridCol w:w="1838"/>
        <w:gridCol w:w="2976"/>
        <w:gridCol w:w="2122"/>
      </w:tblGrid>
      <w:tr w:rsidR="008A15A0" w:rsidRPr="00100F0A" w14:paraId="2D446F71" w14:textId="77777777" w:rsidTr="008A15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tcBorders>
              <w:top w:val="single" w:sz="4" w:space="0" w:color="AAABD6"/>
              <w:left w:val="single" w:sz="4" w:space="0" w:color="AAABD6"/>
              <w:bottom w:val="single" w:sz="4" w:space="0" w:color="AAABD6"/>
            </w:tcBorders>
            <w:shd w:val="clear" w:color="auto" w:fill="AAABD6"/>
          </w:tcPr>
          <w:p w14:paraId="72744123" w14:textId="77777777" w:rsidR="008A15A0" w:rsidRPr="00100F0A" w:rsidRDefault="008A15A0" w:rsidP="004D1060">
            <w:pPr>
              <w:pStyle w:val="BodyText"/>
              <w:rPr>
                <w:color w:val="FFFFFF" w:themeColor="background1"/>
              </w:rPr>
            </w:pPr>
            <w:r w:rsidRPr="00100F0A">
              <w:rPr>
                <w:color w:val="FFFFFF" w:themeColor="background1"/>
              </w:rPr>
              <w:t>Industry sources</w:t>
            </w:r>
          </w:p>
        </w:tc>
        <w:tc>
          <w:tcPr>
            <w:tcW w:w="1031" w:type="pct"/>
            <w:tcBorders>
              <w:top w:val="single" w:sz="4" w:space="0" w:color="AAABD6"/>
              <w:bottom w:val="single" w:sz="4" w:space="0" w:color="AAABD6"/>
            </w:tcBorders>
            <w:shd w:val="clear" w:color="auto" w:fill="AAABD6"/>
          </w:tcPr>
          <w:p w14:paraId="70F3DE50" w14:textId="77777777" w:rsidR="008A15A0" w:rsidRPr="00100F0A" w:rsidRDefault="008A15A0" w:rsidP="004D1060">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Considerations</w:t>
            </w:r>
          </w:p>
        </w:tc>
        <w:tc>
          <w:tcPr>
            <w:tcW w:w="1669" w:type="pct"/>
            <w:tcBorders>
              <w:top w:val="single" w:sz="4" w:space="0" w:color="AAABD6"/>
              <w:bottom w:val="single" w:sz="4" w:space="0" w:color="AAABD6"/>
            </w:tcBorders>
            <w:shd w:val="clear" w:color="auto" w:fill="AAABD6"/>
          </w:tcPr>
          <w:p w14:paraId="56A493FA" w14:textId="77777777" w:rsidR="008A15A0" w:rsidRPr="00100F0A" w:rsidRDefault="008A15A0" w:rsidP="004D1060">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Comments</w:t>
            </w:r>
          </w:p>
        </w:tc>
        <w:tc>
          <w:tcPr>
            <w:tcW w:w="1190" w:type="pct"/>
            <w:tcBorders>
              <w:top w:val="single" w:sz="4" w:space="0" w:color="AAABD6"/>
              <w:bottom w:val="single" w:sz="4" w:space="0" w:color="AAABD6"/>
              <w:right w:val="single" w:sz="4" w:space="0" w:color="AAABD6"/>
            </w:tcBorders>
            <w:shd w:val="clear" w:color="auto" w:fill="AAABD6"/>
          </w:tcPr>
          <w:p w14:paraId="02CDD3D6" w14:textId="77777777" w:rsidR="008A15A0" w:rsidRPr="00100F0A" w:rsidRDefault="008A15A0" w:rsidP="004D1060">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r>
      <w:tr w:rsidR="008A15A0" w:rsidRPr="00100F0A" w14:paraId="468C80EA" w14:textId="77777777" w:rsidTr="008A15A0">
        <w:tc>
          <w:tcPr>
            <w:cnfStyle w:val="001000000000" w:firstRow="0" w:lastRow="0" w:firstColumn="1" w:lastColumn="0" w:oddVBand="0" w:evenVBand="0" w:oddHBand="0" w:evenHBand="0" w:firstRowFirstColumn="0" w:firstRowLastColumn="0" w:lastRowFirstColumn="0" w:lastRowLastColumn="0"/>
            <w:tcW w:w="1110" w:type="pct"/>
            <w:tcBorders>
              <w:top w:val="single" w:sz="4" w:space="0" w:color="AAABD6"/>
              <w:bottom w:val="single" w:sz="4" w:space="0" w:color="AAABD6"/>
            </w:tcBorders>
          </w:tcPr>
          <w:p w14:paraId="35740C75" w14:textId="77777777" w:rsidR="008A15A0" w:rsidRPr="00100F0A" w:rsidRDefault="008A15A0" w:rsidP="00E96D3C">
            <w:pPr>
              <w:pStyle w:val="ListParagraph"/>
              <w:numPr>
                <w:ilvl w:val="0"/>
                <w:numId w:val="23"/>
              </w:numPr>
              <w:ind w:left="426"/>
              <w:rPr>
                <w:color w:val="000000"/>
              </w:rPr>
            </w:pPr>
            <w:r w:rsidRPr="00100F0A">
              <w:rPr>
                <w:color w:val="000000"/>
              </w:rPr>
              <w:t>Mining</w:t>
            </w:r>
          </w:p>
          <w:p w14:paraId="400EBD25" w14:textId="77777777" w:rsidR="008A15A0" w:rsidRPr="00100F0A" w:rsidRDefault="008A15A0" w:rsidP="00E96D3C">
            <w:pPr>
              <w:pStyle w:val="ListParagraph"/>
              <w:numPr>
                <w:ilvl w:val="0"/>
                <w:numId w:val="23"/>
              </w:numPr>
              <w:ind w:left="426"/>
              <w:rPr>
                <w:color w:val="000000"/>
              </w:rPr>
            </w:pPr>
            <w:r w:rsidRPr="00100F0A">
              <w:rPr>
                <w:color w:val="000000"/>
              </w:rPr>
              <w:t>Transport</w:t>
            </w:r>
          </w:p>
          <w:p w14:paraId="107B09B7" w14:textId="77777777" w:rsidR="008A15A0" w:rsidRPr="00100F0A" w:rsidRDefault="008A15A0" w:rsidP="00E96D3C">
            <w:pPr>
              <w:pStyle w:val="ListParagraph"/>
              <w:numPr>
                <w:ilvl w:val="0"/>
                <w:numId w:val="23"/>
              </w:numPr>
              <w:ind w:left="426"/>
              <w:rPr>
                <w:color w:val="000000"/>
              </w:rPr>
            </w:pPr>
            <w:r w:rsidRPr="00100F0A">
              <w:rPr>
                <w:color w:val="000000"/>
              </w:rPr>
              <w:t>Retail (vehicle servicing shops)</w:t>
            </w:r>
          </w:p>
          <w:p w14:paraId="5B3059B7" w14:textId="77777777" w:rsidR="008A15A0" w:rsidRPr="00100F0A" w:rsidRDefault="008A15A0" w:rsidP="00E96D3C">
            <w:pPr>
              <w:pStyle w:val="ListParagraph"/>
              <w:numPr>
                <w:ilvl w:val="0"/>
                <w:numId w:val="23"/>
              </w:numPr>
              <w:ind w:left="426"/>
              <w:rPr>
                <w:color w:val="000000"/>
              </w:rPr>
            </w:pPr>
            <w:r w:rsidRPr="00100F0A">
              <w:rPr>
                <w:color w:val="000000"/>
              </w:rPr>
              <w:t>Waste sector</w:t>
            </w:r>
          </w:p>
        </w:tc>
        <w:tc>
          <w:tcPr>
            <w:tcW w:w="1031" w:type="pct"/>
            <w:tcBorders>
              <w:top w:val="single" w:sz="4" w:space="0" w:color="AAABD6"/>
              <w:bottom w:val="single" w:sz="4" w:space="0" w:color="AAABD6"/>
            </w:tcBorders>
          </w:tcPr>
          <w:p w14:paraId="68EEB013" w14:textId="77777777" w:rsidR="008A15A0" w:rsidRPr="00100F0A" w:rsidRDefault="008A15A0" w:rsidP="004D1060">
            <w:pPr>
              <w:pStyle w:val="BodyText"/>
              <w:cnfStyle w:val="000000000000" w:firstRow="0" w:lastRow="0" w:firstColumn="0" w:lastColumn="0" w:oddVBand="0" w:evenVBand="0" w:oddHBand="0" w:evenHBand="0" w:firstRowFirstColumn="0" w:firstRowLastColumn="0" w:lastRowFirstColumn="0" w:lastRowLastColumn="0"/>
            </w:pPr>
            <w:r w:rsidRPr="00100F0A">
              <w:t>No sufficiently credible pre-existing projections were identified</w:t>
            </w:r>
          </w:p>
          <w:p w14:paraId="27E5A6A4" w14:textId="77777777" w:rsidR="008A15A0" w:rsidRPr="00100F0A" w:rsidRDefault="008A15A0" w:rsidP="004D1060">
            <w:pPr>
              <w:pStyle w:val="BodyText"/>
              <w:cnfStyle w:val="000000000000" w:firstRow="0" w:lastRow="0" w:firstColumn="0" w:lastColumn="0" w:oddVBand="0" w:evenVBand="0" w:oddHBand="0" w:evenHBand="0" w:firstRowFirstColumn="0" w:firstRowLastColumn="0" w:lastRowFirstColumn="0" w:lastRowLastColumn="0"/>
            </w:pPr>
          </w:p>
          <w:p w14:paraId="3A571C5E" w14:textId="3CF47C97" w:rsidR="008A15A0" w:rsidRPr="00100F0A" w:rsidRDefault="008A15A0" w:rsidP="004D1060">
            <w:pPr>
              <w:pStyle w:val="BodyText"/>
              <w:cnfStyle w:val="000000000000" w:firstRow="0" w:lastRow="0" w:firstColumn="0" w:lastColumn="0" w:oddVBand="0" w:evenVBand="0" w:oddHBand="0" w:evenHBand="0" w:firstRowFirstColumn="0" w:firstRowLastColumn="0" w:lastRowFirstColumn="0" w:lastRowLastColumn="0"/>
            </w:pPr>
            <w:r w:rsidRPr="00100F0A">
              <w:t>Expected to have sources much in common with J100</w:t>
            </w:r>
          </w:p>
          <w:p w14:paraId="3AE823DB" w14:textId="6657236C" w:rsidR="008A15A0" w:rsidRPr="00100F0A" w:rsidRDefault="008A15A0" w:rsidP="004D1060">
            <w:pPr>
              <w:pStyle w:val="BodyText"/>
              <w:cnfStyle w:val="000000000000" w:firstRow="0" w:lastRow="0" w:firstColumn="0" w:lastColumn="0" w:oddVBand="0" w:evenVBand="0" w:oddHBand="0" w:evenHBand="0" w:firstRowFirstColumn="0" w:firstRowLastColumn="0" w:lastRowFirstColumn="0" w:lastRowLastColumn="0"/>
            </w:pPr>
          </w:p>
        </w:tc>
        <w:tc>
          <w:tcPr>
            <w:tcW w:w="1669" w:type="pct"/>
            <w:tcBorders>
              <w:top w:val="single" w:sz="4" w:space="0" w:color="AAABD6"/>
              <w:bottom w:val="single" w:sz="4" w:space="0" w:color="AAABD6"/>
            </w:tcBorders>
          </w:tcPr>
          <w:p w14:paraId="0060BE0B" w14:textId="1A506B26" w:rsidR="008A15A0" w:rsidRPr="00100F0A" w:rsidRDefault="008A15A0" w:rsidP="004D1060">
            <w:pPr>
              <w:pStyle w:val="BodyText"/>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 xml:space="preserve">Very high </w:t>
            </w:r>
            <w:r w:rsidR="00D42A24" w:rsidRPr="00100F0A">
              <w:rPr>
                <w:color w:val="000000"/>
              </w:rPr>
              <w:t>storage</w:t>
            </w:r>
            <w:r w:rsidRPr="00100F0A">
              <w:rPr>
                <w:color w:val="000000"/>
              </w:rPr>
              <w:t xml:space="preserve"> waste nationally (30%) - practice most common in Qld</w:t>
            </w:r>
          </w:p>
          <w:p w14:paraId="4C0FAC23" w14:textId="77777777" w:rsidR="008A15A0" w:rsidRPr="00100F0A" w:rsidRDefault="008A15A0" w:rsidP="004D1060">
            <w:pPr>
              <w:pStyle w:val="BodyText"/>
              <w:cnfStyle w:val="000000000000" w:firstRow="0" w:lastRow="0" w:firstColumn="0" w:lastColumn="0" w:oddVBand="0" w:evenVBand="0" w:oddHBand="0" w:evenHBand="0" w:firstRowFirstColumn="0" w:firstRowLastColumn="0" w:lastRowFirstColumn="0" w:lastRowLastColumn="0"/>
              <w:rPr>
                <w:color w:val="000000"/>
              </w:rPr>
            </w:pPr>
          </w:p>
          <w:p w14:paraId="1A6754FC" w14:textId="186C2380" w:rsidR="008A15A0" w:rsidRPr="00100F0A" w:rsidRDefault="008A15A0" w:rsidP="004D1060">
            <w:pPr>
              <w:pStyle w:val="BodyText"/>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 xml:space="preserve">Historical tracking trends suggest long-term flat to growth, with Qld the most notable rise until 2013-14, when volumes dropped slightly. Last </w:t>
            </w:r>
            <w:r w:rsidR="0026508D">
              <w:rPr>
                <w:color w:val="000000"/>
              </w:rPr>
              <w:t>five</w:t>
            </w:r>
            <w:r w:rsidR="0026508D" w:rsidRPr="00100F0A">
              <w:rPr>
                <w:color w:val="000000"/>
              </w:rPr>
              <w:t xml:space="preserve"> </w:t>
            </w:r>
            <w:r w:rsidRPr="00100F0A">
              <w:rPr>
                <w:color w:val="000000"/>
              </w:rPr>
              <w:t>years shows Vic/NSW decline and Qld/WA relatively flat trend.</w:t>
            </w:r>
          </w:p>
        </w:tc>
        <w:tc>
          <w:tcPr>
            <w:tcW w:w="1190" w:type="pct"/>
            <w:tcBorders>
              <w:top w:val="single" w:sz="4" w:space="0" w:color="AAABD6"/>
              <w:bottom w:val="single" w:sz="4" w:space="0" w:color="AAABD6"/>
            </w:tcBorders>
          </w:tcPr>
          <w:p w14:paraId="2C3FFD8E" w14:textId="110A8A85" w:rsidR="008A15A0" w:rsidRPr="00100F0A" w:rsidRDefault="008A15A0" w:rsidP="004D1060">
            <w:pPr>
              <w:pStyle w:val="BodyText"/>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Best: NSW &amp; Vic flat; others population growth</w:t>
            </w:r>
          </w:p>
          <w:p w14:paraId="430AF861" w14:textId="3A0ED148" w:rsidR="008A15A0" w:rsidRPr="00100F0A" w:rsidRDefault="008A15A0" w:rsidP="004D1060">
            <w:pPr>
              <w:pStyle w:val="BodyText"/>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High: Qld &amp; WA - mining growth; NSW &amp; Vic population growth; others economic growth.</w:t>
            </w:r>
          </w:p>
          <w:p w14:paraId="16E767F9" w14:textId="0A2879CA" w:rsidR="008A15A0" w:rsidRPr="00100F0A" w:rsidRDefault="008A15A0" w:rsidP="004D1060">
            <w:pPr>
              <w:pStyle w:val="BodyText"/>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Low: Vic/ NSW CAGR declining rates averaged, others flat</w:t>
            </w:r>
          </w:p>
        </w:tc>
      </w:tr>
    </w:tbl>
    <w:p w14:paraId="173A7976" w14:textId="47E8F971" w:rsidR="008A15A0" w:rsidRDefault="008A15A0" w:rsidP="008A15A0">
      <w:pPr>
        <w:pStyle w:val="BodyText"/>
      </w:pPr>
    </w:p>
    <w:p w14:paraId="4FB64D2D" w14:textId="1FBB8B1F" w:rsidR="00AE1FAA" w:rsidRDefault="00AE1FAA">
      <w:r>
        <w:br w:type="page"/>
      </w:r>
    </w:p>
    <w:p w14:paraId="39525F49" w14:textId="3D923B03" w:rsidR="008A15A0" w:rsidRPr="00100F0A" w:rsidRDefault="008A15A0" w:rsidP="008A15A0">
      <w:pPr>
        <w:pStyle w:val="Caption"/>
      </w:pPr>
      <w:bookmarkStart w:id="205" w:name="_Toc13225641"/>
      <w:r w:rsidRPr="00100F0A">
        <w:t xml:space="preserve">Table </w:t>
      </w:r>
      <w:r w:rsidRPr="00100F0A">
        <w:rPr>
          <w:noProof/>
        </w:rPr>
        <w:fldChar w:fldCharType="begin"/>
      </w:r>
      <w:r w:rsidRPr="00100F0A">
        <w:rPr>
          <w:noProof/>
        </w:rPr>
        <w:instrText xml:space="preserve"> SEQ Table \* ARABIC </w:instrText>
      </w:r>
      <w:r w:rsidRPr="00100F0A">
        <w:rPr>
          <w:noProof/>
        </w:rPr>
        <w:fldChar w:fldCharType="separate"/>
      </w:r>
      <w:r w:rsidR="00EB634D">
        <w:rPr>
          <w:noProof/>
        </w:rPr>
        <w:t>22</w:t>
      </w:r>
      <w:r w:rsidRPr="00100F0A">
        <w:rPr>
          <w:noProof/>
        </w:rPr>
        <w:fldChar w:fldCharType="end"/>
      </w:r>
      <w:r w:rsidR="00C14F18">
        <w:rPr>
          <w:noProof/>
        </w:rPr>
        <w:t>:</w:t>
      </w:r>
      <w:r w:rsidRPr="00100F0A">
        <w:tab/>
        <w:t>Best, high and low projected rates of change for oil</w:t>
      </w:r>
      <w:r w:rsidR="0003513C" w:rsidRPr="00100F0A">
        <w:t>y water</w:t>
      </w:r>
      <w:r w:rsidRPr="00100F0A">
        <w:t xml:space="preserve"> waste to 2037</w:t>
      </w:r>
      <w:bookmarkEnd w:id="205"/>
    </w:p>
    <w:tbl>
      <w:tblPr>
        <w:tblStyle w:val="BETable1"/>
        <w:tblW w:w="9072" w:type="dxa"/>
        <w:tblBorders>
          <w:top w:val="single" w:sz="4" w:space="0" w:color="AAABD6"/>
          <w:left w:val="single" w:sz="4" w:space="0" w:color="AAABD6"/>
          <w:bottom w:val="single" w:sz="4" w:space="0" w:color="AAABD6"/>
          <w:right w:val="single" w:sz="4" w:space="0" w:color="AAABD6"/>
          <w:insideH w:val="single" w:sz="4" w:space="0" w:color="AAABD6"/>
          <w:insideV w:val="single" w:sz="4" w:space="0" w:color="AAABD6"/>
        </w:tblBorders>
        <w:tblLayout w:type="fixed"/>
        <w:tblLook w:val="04A0" w:firstRow="1" w:lastRow="0" w:firstColumn="1" w:lastColumn="0" w:noHBand="0" w:noVBand="1"/>
      </w:tblPr>
      <w:tblGrid>
        <w:gridCol w:w="709"/>
        <w:gridCol w:w="1072"/>
        <w:gridCol w:w="4961"/>
        <w:gridCol w:w="851"/>
        <w:gridCol w:w="567"/>
        <w:gridCol w:w="912"/>
      </w:tblGrid>
      <w:tr w:rsidR="008A15A0" w:rsidRPr="00100F0A" w14:paraId="4F231979" w14:textId="77777777" w:rsidTr="000351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AABD6"/>
              <w:left w:val="single" w:sz="4" w:space="0" w:color="AAABD6"/>
              <w:bottom w:val="single" w:sz="4" w:space="0" w:color="AAABD6"/>
              <w:right w:val="single" w:sz="4" w:space="0" w:color="AAABD6"/>
            </w:tcBorders>
            <w:shd w:val="clear" w:color="auto" w:fill="AAABD6"/>
          </w:tcPr>
          <w:p w14:paraId="281E4EEF" w14:textId="77777777" w:rsidR="008A15A0" w:rsidRPr="00100F0A" w:rsidRDefault="008A15A0" w:rsidP="004D1060">
            <w:pPr>
              <w:rPr>
                <w:color w:val="FFFFFF" w:themeColor="background1"/>
              </w:rPr>
            </w:pPr>
          </w:p>
        </w:tc>
        <w:tc>
          <w:tcPr>
            <w:tcW w:w="1072" w:type="dxa"/>
            <w:tcBorders>
              <w:top w:val="single" w:sz="4" w:space="0" w:color="AAABD6"/>
              <w:left w:val="single" w:sz="4" w:space="0" w:color="AAABD6"/>
              <w:bottom w:val="single" w:sz="4" w:space="0" w:color="AAABD6"/>
              <w:right w:val="single" w:sz="4" w:space="0" w:color="AAABD6"/>
            </w:tcBorders>
            <w:shd w:val="clear" w:color="auto" w:fill="AAABD6"/>
          </w:tcPr>
          <w:p w14:paraId="2DC6F161" w14:textId="77777777" w:rsidR="008A15A0" w:rsidRPr="00100F0A" w:rsidRDefault="008A15A0" w:rsidP="004D106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Applies to</w:t>
            </w:r>
          </w:p>
        </w:tc>
        <w:tc>
          <w:tcPr>
            <w:tcW w:w="4961" w:type="dxa"/>
            <w:tcBorders>
              <w:top w:val="single" w:sz="4" w:space="0" w:color="AAABD6"/>
              <w:left w:val="single" w:sz="4" w:space="0" w:color="AAABD6"/>
              <w:bottom w:val="single" w:sz="4" w:space="0" w:color="AAABD6"/>
              <w:right w:val="single" w:sz="4" w:space="0" w:color="AAABD6"/>
            </w:tcBorders>
            <w:shd w:val="clear" w:color="auto" w:fill="AAABD6"/>
          </w:tcPr>
          <w:p w14:paraId="4426E5D0" w14:textId="77777777" w:rsidR="008A15A0" w:rsidRPr="00100F0A" w:rsidRDefault="008A15A0" w:rsidP="004D106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c>
          <w:tcPr>
            <w:tcW w:w="851" w:type="dxa"/>
            <w:tcBorders>
              <w:top w:val="single" w:sz="4" w:space="0" w:color="AAABD6"/>
              <w:left w:val="single" w:sz="4" w:space="0" w:color="AAABD6"/>
              <w:bottom w:val="single" w:sz="4" w:space="0" w:color="AAABD6"/>
              <w:right w:val="single" w:sz="4" w:space="0" w:color="AAABD6"/>
            </w:tcBorders>
            <w:shd w:val="clear" w:color="auto" w:fill="AAABD6"/>
          </w:tcPr>
          <w:p w14:paraId="234B32A8" w14:textId="77777777" w:rsidR="008A15A0" w:rsidRPr="00100F0A" w:rsidRDefault="008A15A0" w:rsidP="004206B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2018</w:t>
            </w:r>
          </w:p>
        </w:tc>
        <w:tc>
          <w:tcPr>
            <w:tcW w:w="567" w:type="dxa"/>
            <w:tcBorders>
              <w:top w:val="single" w:sz="4" w:space="0" w:color="AAABD6"/>
              <w:left w:val="single" w:sz="4" w:space="0" w:color="AAABD6"/>
              <w:bottom w:val="single" w:sz="4" w:space="0" w:color="AAABD6"/>
              <w:right w:val="single" w:sz="4" w:space="0" w:color="AAABD6"/>
            </w:tcBorders>
            <w:shd w:val="clear" w:color="auto" w:fill="AAABD6"/>
          </w:tcPr>
          <w:p w14:paraId="16E3258F" w14:textId="77777777" w:rsidR="008A15A0" w:rsidRPr="00100F0A" w:rsidRDefault="008A15A0" w:rsidP="004206B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w:t>
            </w:r>
          </w:p>
        </w:tc>
        <w:tc>
          <w:tcPr>
            <w:tcW w:w="912" w:type="dxa"/>
            <w:tcBorders>
              <w:top w:val="single" w:sz="4" w:space="0" w:color="AAABD6"/>
              <w:left w:val="single" w:sz="4" w:space="0" w:color="AAABD6"/>
              <w:bottom w:val="single" w:sz="4" w:space="0" w:color="AAABD6"/>
              <w:right w:val="single" w:sz="4" w:space="0" w:color="AAABD6"/>
            </w:tcBorders>
            <w:shd w:val="clear" w:color="auto" w:fill="AAABD6"/>
          </w:tcPr>
          <w:p w14:paraId="2324A037" w14:textId="77777777" w:rsidR="008A15A0" w:rsidRPr="00100F0A" w:rsidRDefault="008A15A0" w:rsidP="004206B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2037</w:t>
            </w:r>
          </w:p>
        </w:tc>
      </w:tr>
      <w:tr w:rsidR="0003513C" w:rsidRPr="00100F0A" w14:paraId="0143DDA6" w14:textId="77777777" w:rsidTr="0003513C">
        <w:tc>
          <w:tcPr>
            <w:cnfStyle w:val="001000000000" w:firstRow="0" w:lastRow="0" w:firstColumn="1" w:lastColumn="0" w:oddVBand="0" w:evenVBand="0" w:oddHBand="0" w:evenHBand="0" w:firstRowFirstColumn="0" w:firstRowLastColumn="0" w:lastRowFirstColumn="0" w:lastRowLastColumn="0"/>
            <w:tcW w:w="709" w:type="dxa"/>
            <w:tcBorders>
              <w:bottom w:val="dotted" w:sz="4" w:space="0" w:color="AAABD6"/>
            </w:tcBorders>
          </w:tcPr>
          <w:p w14:paraId="10951957" w14:textId="77777777" w:rsidR="0003513C" w:rsidRPr="00100F0A" w:rsidRDefault="0003513C" w:rsidP="0003513C">
            <w:r w:rsidRPr="00100F0A">
              <w:t>Best</w:t>
            </w:r>
          </w:p>
        </w:tc>
        <w:tc>
          <w:tcPr>
            <w:tcW w:w="1072" w:type="dxa"/>
            <w:vMerge w:val="restart"/>
            <w:vAlign w:val="center"/>
          </w:tcPr>
          <w:p w14:paraId="42F9E50A" w14:textId="0E3EFB4E" w:rsidR="0003513C" w:rsidRPr="00100F0A" w:rsidRDefault="0003513C" w:rsidP="0003513C">
            <w:pPr>
              <w:cnfStyle w:val="000000000000" w:firstRow="0" w:lastRow="0" w:firstColumn="0" w:lastColumn="0" w:oddVBand="0" w:evenVBand="0" w:oddHBand="0" w:evenHBand="0" w:firstRowFirstColumn="0" w:firstRowLastColumn="0" w:lastRowFirstColumn="0" w:lastRowLastColumn="0"/>
            </w:pPr>
            <w:r w:rsidRPr="00100F0A">
              <w:t>NSW, Vic</w:t>
            </w:r>
          </w:p>
        </w:tc>
        <w:tc>
          <w:tcPr>
            <w:tcW w:w="4961" w:type="dxa"/>
            <w:tcBorders>
              <w:bottom w:val="dotted" w:sz="4" w:space="0" w:color="AAABD6"/>
            </w:tcBorders>
            <w:vAlign w:val="bottom"/>
          </w:tcPr>
          <w:p w14:paraId="07D48096" w14:textId="6CAD20BF" w:rsidR="0003513C" w:rsidRPr="00100F0A" w:rsidRDefault="00C34F48" w:rsidP="0003513C">
            <w:pPr>
              <w:cnfStyle w:val="000000000000" w:firstRow="0" w:lastRow="0" w:firstColumn="0" w:lastColumn="0" w:oddVBand="0" w:evenVBand="0" w:oddHBand="0" w:evenHBand="0" w:firstRowFirstColumn="0" w:firstRowLastColumn="0" w:lastRowFirstColumn="0" w:lastRowLastColumn="0"/>
            </w:pPr>
            <w:r>
              <w:rPr>
                <w:rFonts w:cs="Calibri"/>
                <w:color w:val="000000"/>
              </w:rPr>
              <w:t>20-year average</w:t>
            </w:r>
            <w:r w:rsidR="0003513C" w:rsidRPr="00100F0A">
              <w:rPr>
                <w:rFonts w:cs="Calibri"/>
                <w:color w:val="000000"/>
              </w:rPr>
              <w:t xml:space="preserve"> annual population growth </w:t>
            </w:r>
          </w:p>
        </w:tc>
        <w:tc>
          <w:tcPr>
            <w:tcW w:w="851" w:type="dxa"/>
            <w:tcBorders>
              <w:bottom w:val="dotted" w:sz="4" w:space="0" w:color="AAABD6"/>
            </w:tcBorders>
          </w:tcPr>
          <w:p w14:paraId="7E55A6B2" w14:textId="04DFAF39" w:rsidR="0003513C" w:rsidRPr="00100F0A" w:rsidRDefault="0003513C"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0.0%</w:t>
            </w:r>
          </w:p>
        </w:tc>
        <w:tc>
          <w:tcPr>
            <w:tcW w:w="567" w:type="dxa"/>
            <w:tcBorders>
              <w:bottom w:val="dotted" w:sz="4" w:space="0" w:color="AAABD6"/>
            </w:tcBorders>
          </w:tcPr>
          <w:p w14:paraId="36E90150" w14:textId="77777777" w:rsidR="0003513C" w:rsidRPr="00100F0A" w:rsidRDefault="0003513C"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912" w:type="dxa"/>
            <w:tcBorders>
              <w:bottom w:val="dotted" w:sz="4" w:space="0" w:color="AAABD6"/>
            </w:tcBorders>
          </w:tcPr>
          <w:p w14:paraId="23E41D46" w14:textId="4BCFDF8C" w:rsidR="0003513C" w:rsidRPr="00100F0A" w:rsidRDefault="0003513C"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0.0%</w:t>
            </w:r>
          </w:p>
        </w:tc>
      </w:tr>
      <w:tr w:rsidR="0003513C" w:rsidRPr="00100F0A" w14:paraId="4C835CE6" w14:textId="77777777" w:rsidTr="0003513C">
        <w:trPr>
          <w:trHeight w:val="283"/>
        </w:trPr>
        <w:tc>
          <w:tcPr>
            <w:cnfStyle w:val="001000000000" w:firstRow="0" w:lastRow="0" w:firstColumn="1" w:lastColumn="0" w:oddVBand="0" w:evenVBand="0" w:oddHBand="0" w:evenHBand="0" w:firstRowFirstColumn="0" w:firstRowLastColumn="0" w:lastRowFirstColumn="0" w:lastRowLastColumn="0"/>
            <w:tcW w:w="709" w:type="dxa"/>
            <w:tcBorders>
              <w:top w:val="dotted" w:sz="4" w:space="0" w:color="AAABD6"/>
              <w:bottom w:val="dotted" w:sz="4" w:space="0" w:color="AAABD6"/>
            </w:tcBorders>
          </w:tcPr>
          <w:p w14:paraId="239AED44" w14:textId="77777777" w:rsidR="0003513C" w:rsidRPr="00100F0A" w:rsidRDefault="0003513C" w:rsidP="0003513C">
            <w:r w:rsidRPr="00100F0A">
              <w:t>High</w:t>
            </w:r>
          </w:p>
        </w:tc>
        <w:tc>
          <w:tcPr>
            <w:tcW w:w="1072" w:type="dxa"/>
            <w:vMerge/>
            <w:vAlign w:val="center"/>
          </w:tcPr>
          <w:p w14:paraId="098D19E2" w14:textId="77777777" w:rsidR="0003513C" w:rsidRPr="00100F0A" w:rsidRDefault="0003513C" w:rsidP="0003513C">
            <w:pPr>
              <w:cnfStyle w:val="000000000000" w:firstRow="0" w:lastRow="0" w:firstColumn="0" w:lastColumn="0" w:oddVBand="0" w:evenVBand="0" w:oddHBand="0" w:evenHBand="0" w:firstRowFirstColumn="0" w:firstRowLastColumn="0" w:lastRowFirstColumn="0" w:lastRowLastColumn="0"/>
            </w:pPr>
          </w:p>
        </w:tc>
        <w:tc>
          <w:tcPr>
            <w:tcW w:w="4961" w:type="dxa"/>
            <w:tcBorders>
              <w:top w:val="dotted" w:sz="4" w:space="0" w:color="AAABD6"/>
              <w:bottom w:val="dotted" w:sz="4" w:space="0" w:color="AAABD6"/>
            </w:tcBorders>
            <w:vAlign w:val="bottom"/>
          </w:tcPr>
          <w:p w14:paraId="0526995B" w14:textId="275404AE" w:rsidR="0003513C" w:rsidRPr="00100F0A" w:rsidRDefault="00C34F48" w:rsidP="0003513C">
            <w:pPr>
              <w:cnfStyle w:val="000000000000" w:firstRow="0" w:lastRow="0" w:firstColumn="0" w:lastColumn="0" w:oddVBand="0" w:evenVBand="0" w:oddHBand="0" w:evenHBand="0" w:firstRowFirstColumn="0" w:firstRowLastColumn="0" w:lastRowFirstColumn="0" w:lastRowLastColumn="0"/>
            </w:pPr>
            <w:r>
              <w:rPr>
                <w:rFonts w:cs="Calibri"/>
                <w:color w:val="000000"/>
              </w:rPr>
              <w:t>20-year average</w:t>
            </w:r>
            <w:r w:rsidR="0003513C" w:rsidRPr="00100F0A">
              <w:rPr>
                <w:rFonts w:cs="Calibri"/>
                <w:color w:val="000000"/>
              </w:rPr>
              <w:t xml:space="preserve"> annual economic growth </w:t>
            </w:r>
          </w:p>
        </w:tc>
        <w:tc>
          <w:tcPr>
            <w:tcW w:w="851" w:type="dxa"/>
            <w:tcBorders>
              <w:top w:val="dotted" w:sz="4" w:space="0" w:color="AAABD6"/>
              <w:bottom w:val="dotted" w:sz="4" w:space="0" w:color="AAABD6"/>
            </w:tcBorders>
          </w:tcPr>
          <w:p w14:paraId="34D5F444" w14:textId="21E6E8D8" w:rsidR="0003513C" w:rsidRPr="00100F0A" w:rsidRDefault="0003513C"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1.4%</w:t>
            </w:r>
          </w:p>
        </w:tc>
        <w:tc>
          <w:tcPr>
            <w:tcW w:w="567" w:type="dxa"/>
            <w:tcBorders>
              <w:top w:val="dotted" w:sz="4" w:space="0" w:color="AAABD6"/>
              <w:bottom w:val="dotted" w:sz="4" w:space="0" w:color="AAABD6"/>
            </w:tcBorders>
          </w:tcPr>
          <w:p w14:paraId="0F089961" w14:textId="77777777" w:rsidR="0003513C" w:rsidRPr="00100F0A" w:rsidRDefault="0003513C"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912" w:type="dxa"/>
            <w:tcBorders>
              <w:top w:val="dotted" w:sz="4" w:space="0" w:color="AAABD6"/>
              <w:bottom w:val="dotted" w:sz="4" w:space="0" w:color="AAABD6"/>
            </w:tcBorders>
          </w:tcPr>
          <w:p w14:paraId="57F0D0B4" w14:textId="5B161BF3" w:rsidR="0003513C" w:rsidRPr="00100F0A" w:rsidRDefault="0003513C"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1.4%</w:t>
            </w:r>
          </w:p>
        </w:tc>
      </w:tr>
      <w:tr w:rsidR="0003513C" w:rsidRPr="00100F0A" w14:paraId="73B45251" w14:textId="77777777" w:rsidTr="0003513C">
        <w:tc>
          <w:tcPr>
            <w:cnfStyle w:val="001000000000" w:firstRow="0" w:lastRow="0" w:firstColumn="1" w:lastColumn="0" w:oddVBand="0" w:evenVBand="0" w:oddHBand="0" w:evenHBand="0" w:firstRowFirstColumn="0" w:firstRowLastColumn="0" w:lastRowFirstColumn="0" w:lastRowLastColumn="0"/>
            <w:tcW w:w="709" w:type="dxa"/>
            <w:tcBorders>
              <w:top w:val="dotted" w:sz="4" w:space="0" w:color="AAABD6"/>
              <w:bottom w:val="single" w:sz="4" w:space="0" w:color="AAABD6"/>
            </w:tcBorders>
          </w:tcPr>
          <w:p w14:paraId="668FBB12" w14:textId="77777777" w:rsidR="0003513C" w:rsidRPr="00100F0A" w:rsidRDefault="0003513C" w:rsidP="0003513C">
            <w:r w:rsidRPr="00100F0A">
              <w:t>Low</w:t>
            </w:r>
          </w:p>
        </w:tc>
        <w:tc>
          <w:tcPr>
            <w:tcW w:w="1072" w:type="dxa"/>
            <w:vMerge/>
            <w:vAlign w:val="center"/>
          </w:tcPr>
          <w:p w14:paraId="33088160" w14:textId="77777777" w:rsidR="0003513C" w:rsidRPr="00100F0A" w:rsidRDefault="0003513C" w:rsidP="0003513C">
            <w:pPr>
              <w:cnfStyle w:val="000000000000" w:firstRow="0" w:lastRow="0" w:firstColumn="0" w:lastColumn="0" w:oddVBand="0" w:evenVBand="0" w:oddHBand="0" w:evenHBand="0" w:firstRowFirstColumn="0" w:firstRowLastColumn="0" w:lastRowFirstColumn="0" w:lastRowLastColumn="0"/>
            </w:pPr>
          </w:p>
        </w:tc>
        <w:tc>
          <w:tcPr>
            <w:tcW w:w="4961" w:type="dxa"/>
            <w:tcBorders>
              <w:top w:val="dotted" w:sz="4" w:space="0" w:color="AAABD6"/>
              <w:bottom w:val="single" w:sz="4" w:space="0" w:color="AAABD6"/>
            </w:tcBorders>
            <w:vAlign w:val="bottom"/>
          </w:tcPr>
          <w:p w14:paraId="6857FF90" w14:textId="77777777" w:rsidR="0003513C" w:rsidRPr="00100F0A" w:rsidRDefault="0003513C" w:rsidP="0003513C">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Recent flat trend continues</w:t>
            </w:r>
          </w:p>
        </w:tc>
        <w:tc>
          <w:tcPr>
            <w:tcW w:w="851" w:type="dxa"/>
            <w:tcBorders>
              <w:top w:val="dotted" w:sz="4" w:space="0" w:color="AAABD6"/>
              <w:bottom w:val="single" w:sz="4" w:space="0" w:color="AAABD6"/>
            </w:tcBorders>
          </w:tcPr>
          <w:p w14:paraId="12F4204A" w14:textId="5C063AF0" w:rsidR="0003513C" w:rsidRPr="00100F0A" w:rsidRDefault="0003513C"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-11.6%</w:t>
            </w:r>
          </w:p>
        </w:tc>
        <w:tc>
          <w:tcPr>
            <w:tcW w:w="567" w:type="dxa"/>
            <w:tcBorders>
              <w:top w:val="dotted" w:sz="4" w:space="0" w:color="AAABD6"/>
              <w:bottom w:val="single" w:sz="4" w:space="0" w:color="AAABD6"/>
            </w:tcBorders>
          </w:tcPr>
          <w:p w14:paraId="3A877CB7" w14:textId="77777777" w:rsidR="0003513C" w:rsidRPr="00100F0A" w:rsidRDefault="0003513C"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912" w:type="dxa"/>
            <w:tcBorders>
              <w:top w:val="dotted" w:sz="4" w:space="0" w:color="AAABD6"/>
              <w:bottom w:val="single" w:sz="4" w:space="0" w:color="AAABD6"/>
            </w:tcBorders>
          </w:tcPr>
          <w:p w14:paraId="7AC85D68" w14:textId="469E6B71" w:rsidR="0003513C" w:rsidRPr="00100F0A" w:rsidRDefault="0003513C"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-11.6%</w:t>
            </w:r>
          </w:p>
        </w:tc>
      </w:tr>
      <w:tr w:rsidR="0003513C" w:rsidRPr="00100F0A" w14:paraId="0C42574B" w14:textId="77777777" w:rsidTr="0003513C">
        <w:tc>
          <w:tcPr>
            <w:cnfStyle w:val="001000000000" w:firstRow="0" w:lastRow="0" w:firstColumn="1" w:lastColumn="0" w:oddVBand="0" w:evenVBand="0" w:oddHBand="0" w:evenHBand="0" w:firstRowFirstColumn="0" w:firstRowLastColumn="0" w:lastRowFirstColumn="0" w:lastRowLastColumn="0"/>
            <w:tcW w:w="709" w:type="dxa"/>
            <w:tcBorders>
              <w:bottom w:val="dotted" w:sz="4" w:space="0" w:color="AAABD6"/>
            </w:tcBorders>
          </w:tcPr>
          <w:p w14:paraId="67C6F139" w14:textId="77777777" w:rsidR="0003513C" w:rsidRPr="00100F0A" w:rsidRDefault="0003513C" w:rsidP="0003513C">
            <w:r w:rsidRPr="00100F0A">
              <w:t>Best</w:t>
            </w:r>
          </w:p>
        </w:tc>
        <w:tc>
          <w:tcPr>
            <w:tcW w:w="1072" w:type="dxa"/>
            <w:vMerge w:val="restart"/>
            <w:vAlign w:val="center"/>
          </w:tcPr>
          <w:p w14:paraId="56210507" w14:textId="10163E01" w:rsidR="0003513C" w:rsidRPr="00100F0A" w:rsidRDefault="0003513C" w:rsidP="0003513C">
            <w:pPr>
              <w:cnfStyle w:val="000000000000" w:firstRow="0" w:lastRow="0" w:firstColumn="0" w:lastColumn="0" w:oddVBand="0" w:evenVBand="0" w:oddHBand="0" w:evenHBand="0" w:firstRowFirstColumn="0" w:firstRowLastColumn="0" w:lastRowFirstColumn="0" w:lastRowLastColumn="0"/>
            </w:pPr>
            <w:r w:rsidRPr="00100F0A">
              <w:t>Qld, WA</w:t>
            </w:r>
          </w:p>
        </w:tc>
        <w:tc>
          <w:tcPr>
            <w:tcW w:w="4961" w:type="dxa"/>
            <w:tcBorders>
              <w:bottom w:val="dotted" w:sz="4" w:space="0" w:color="AAABD6"/>
            </w:tcBorders>
            <w:vAlign w:val="bottom"/>
          </w:tcPr>
          <w:p w14:paraId="4BCAB7E8" w14:textId="1F1BD1A3" w:rsidR="0003513C" w:rsidRPr="00100F0A" w:rsidRDefault="00C34F48" w:rsidP="0003513C">
            <w:pPr>
              <w:cnfStyle w:val="000000000000" w:firstRow="0" w:lastRow="0" w:firstColumn="0" w:lastColumn="0" w:oddVBand="0" w:evenVBand="0" w:oddHBand="0" w:evenHBand="0" w:firstRowFirstColumn="0" w:firstRowLastColumn="0" w:lastRowFirstColumn="0" w:lastRowLastColumn="0"/>
            </w:pPr>
            <w:r>
              <w:rPr>
                <w:rFonts w:cs="Calibri"/>
                <w:color w:val="000000"/>
              </w:rPr>
              <w:t>20-year average</w:t>
            </w:r>
            <w:r w:rsidR="0003513C" w:rsidRPr="00100F0A">
              <w:rPr>
                <w:rFonts w:cs="Calibri"/>
                <w:color w:val="000000"/>
              </w:rPr>
              <w:t xml:space="preserve"> annual economic growth </w:t>
            </w:r>
          </w:p>
        </w:tc>
        <w:tc>
          <w:tcPr>
            <w:tcW w:w="851" w:type="dxa"/>
            <w:tcBorders>
              <w:bottom w:val="dotted" w:sz="4" w:space="0" w:color="AAABD6"/>
            </w:tcBorders>
          </w:tcPr>
          <w:p w14:paraId="3AFE1B5E" w14:textId="5A76F5DC" w:rsidR="0003513C" w:rsidRPr="00100F0A" w:rsidRDefault="0003513C"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1.4%</w:t>
            </w:r>
          </w:p>
        </w:tc>
        <w:tc>
          <w:tcPr>
            <w:tcW w:w="567" w:type="dxa"/>
            <w:tcBorders>
              <w:bottom w:val="dotted" w:sz="4" w:space="0" w:color="AAABD6"/>
            </w:tcBorders>
          </w:tcPr>
          <w:p w14:paraId="416CC80E" w14:textId="77777777" w:rsidR="0003513C" w:rsidRPr="00100F0A" w:rsidRDefault="0003513C"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912" w:type="dxa"/>
            <w:tcBorders>
              <w:bottom w:val="dotted" w:sz="4" w:space="0" w:color="AAABD6"/>
            </w:tcBorders>
          </w:tcPr>
          <w:p w14:paraId="054391F0" w14:textId="1BB8B706" w:rsidR="0003513C" w:rsidRPr="00100F0A" w:rsidRDefault="0003513C"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1.4%</w:t>
            </w:r>
          </w:p>
        </w:tc>
      </w:tr>
      <w:tr w:rsidR="0003513C" w:rsidRPr="00100F0A" w14:paraId="2A91702C" w14:textId="77777777" w:rsidTr="0003513C">
        <w:trPr>
          <w:trHeight w:val="49"/>
        </w:trPr>
        <w:tc>
          <w:tcPr>
            <w:cnfStyle w:val="001000000000" w:firstRow="0" w:lastRow="0" w:firstColumn="1" w:lastColumn="0" w:oddVBand="0" w:evenVBand="0" w:oddHBand="0" w:evenHBand="0" w:firstRowFirstColumn="0" w:firstRowLastColumn="0" w:lastRowFirstColumn="0" w:lastRowLastColumn="0"/>
            <w:tcW w:w="709" w:type="dxa"/>
            <w:tcBorders>
              <w:top w:val="dotted" w:sz="4" w:space="0" w:color="AAABD6"/>
              <w:bottom w:val="dotted" w:sz="4" w:space="0" w:color="AAABD6"/>
            </w:tcBorders>
          </w:tcPr>
          <w:p w14:paraId="681B8713" w14:textId="77777777" w:rsidR="0003513C" w:rsidRPr="00100F0A" w:rsidRDefault="0003513C" w:rsidP="0003513C">
            <w:r w:rsidRPr="00100F0A">
              <w:t>High</w:t>
            </w:r>
          </w:p>
        </w:tc>
        <w:tc>
          <w:tcPr>
            <w:tcW w:w="1072" w:type="dxa"/>
            <w:vMerge/>
          </w:tcPr>
          <w:p w14:paraId="0319D1E7" w14:textId="77777777" w:rsidR="0003513C" w:rsidRPr="00100F0A" w:rsidRDefault="0003513C" w:rsidP="0003513C">
            <w:pPr>
              <w:cnfStyle w:val="000000000000" w:firstRow="0" w:lastRow="0" w:firstColumn="0" w:lastColumn="0" w:oddVBand="0" w:evenVBand="0" w:oddHBand="0" w:evenHBand="0" w:firstRowFirstColumn="0" w:firstRowLastColumn="0" w:lastRowFirstColumn="0" w:lastRowLastColumn="0"/>
            </w:pPr>
          </w:p>
        </w:tc>
        <w:tc>
          <w:tcPr>
            <w:tcW w:w="4961" w:type="dxa"/>
            <w:tcBorders>
              <w:top w:val="dotted" w:sz="4" w:space="0" w:color="AAABD6"/>
              <w:bottom w:val="dotted" w:sz="4" w:space="0" w:color="AAABD6"/>
            </w:tcBorders>
            <w:vAlign w:val="bottom"/>
          </w:tcPr>
          <w:p w14:paraId="109630E9" w14:textId="77777777" w:rsidR="0003513C" w:rsidRPr="00100F0A" w:rsidRDefault="0003513C" w:rsidP="0003513C">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Long-term Vic CAGR (excl. adjustment - tracking data only)</w:t>
            </w:r>
          </w:p>
        </w:tc>
        <w:tc>
          <w:tcPr>
            <w:tcW w:w="851" w:type="dxa"/>
            <w:tcBorders>
              <w:top w:val="dotted" w:sz="4" w:space="0" w:color="AAABD6"/>
              <w:bottom w:val="dotted" w:sz="4" w:space="0" w:color="AAABD6"/>
            </w:tcBorders>
          </w:tcPr>
          <w:p w14:paraId="6CDF11A4" w14:textId="70247197" w:rsidR="0003513C" w:rsidRPr="00100F0A" w:rsidRDefault="0003513C"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6.0%</w:t>
            </w:r>
          </w:p>
        </w:tc>
        <w:tc>
          <w:tcPr>
            <w:tcW w:w="567" w:type="dxa"/>
            <w:tcBorders>
              <w:top w:val="dotted" w:sz="4" w:space="0" w:color="AAABD6"/>
              <w:bottom w:val="dotted" w:sz="4" w:space="0" w:color="AAABD6"/>
            </w:tcBorders>
          </w:tcPr>
          <w:p w14:paraId="44B4BDDC" w14:textId="77777777" w:rsidR="0003513C" w:rsidRPr="00100F0A" w:rsidRDefault="0003513C"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912" w:type="dxa"/>
            <w:tcBorders>
              <w:top w:val="dotted" w:sz="4" w:space="0" w:color="AAABD6"/>
              <w:bottom w:val="dotted" w:sz="4" w:space="0" w:color="AAABD6"/>
            </w:tcBorders>
          </w:tcPr>
          <w:p w14:paraId="64E46F5F" w14:textId="1F3D0AB9" w:rsidR="0003513C" w:rsidRPr="00100F0A" w:rsidRDefault="0003513C"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4.0%</w:t>
            </w:r>
          </w:p>
        </w:tc>
      </w:tr>
      <w:tr w:rsidR="0003513C" w:rsidRPr="00100F0A" w14:paraId="597FE392" w14:textId="77777777" w:rsidTr="0003513C">
        <w:tc>
          <w:tcPr>
            <w:cnfStyle w:val="001000000000" w:firstRow="0" w:lastRow="0" w:firstColumn="1" w:lastColumn="0" w:oddVBand="0" w:evenVBand="0" w:oddHBand="0" w:evenHBand="0" w:firstRowFirstColumn="0" w:firstRowLastColumn="0" w:lastRowFirstColumn="0" w:lastRowLastColumn="0"/>
            <w:tcW w:w="709" w:type="dxa"/>
            <w:tcBorders>
              <w:top w:val="dotted" w:sz="4" w:space="0" w:color="AAABD6"/>
              <w:bottom w:val="dotted" w:sz="4" w:space="0" w:color="AAABD6"/>
            </w:tcBorders>
          </w:tcPr>
          <w:p w14:paraId="2889079A" w14:textId="77777777" w:rsidR="0003513C" w:rsidRPr="00100F0A" w:rsidRDefault="0003513C" w:rsidP="0003513C">
            <w:r w:rsidRPr="00100F0A">
              <w:t>Low</w:t>
            </w:r>
          </w:p>
        </w:tc>
        <w:tc>
          <w:tcPr>
            <w:tcW w:w="1072" w:type="dxa"/>
            <w:vMerge/>
          </w:tcPr>
          <w:p w14:paraId="2BF55A97" w14:textId="77777777" w:rsidR="0003513C" w:rsidRPr="00100F0A" w:rsidRDefault="0003513C" w:rsidP="0003513C">
            <w:pPr>
              <w:cnfStyle w:val="000000000000" w:firstRow="0" w:lastRow="0" w:firstColumn="0" w:lastColumn="0" w:oddVBand="0" w:evenVBand="0" w:oddHBand="0" w:evenHBand="0" w:firstRowFirstColumn="0" w:firstRowLastColumn="0" w:lastRowFirstColumn="0" w:lastRowLastColumn="0"/>
            </w:pPr>
          </w:p>
        </w:tc>
        <w:tc>
          <w:tcPr>
            <w:tcW w:w="4961" w:type="dxa"/>
            <w:tcBorders>
              <w:top w:val="dotted" w:sz="4" w:space="0" w:color="AAABD6"/>
              <w:bottom w:val="dotted" w:sz="4" w:space="0" w:color="AAABD6"/>
            </w:tcBorders>
            <w:vAlign w:val="bottom"/>
          </w:tcPr>
          <w:p w14:paraId="7EA11CCE" w14:textId="77777777" w:rsidR="0003513C" w:rsidRPr="00100F0A" w:rsidRDefault="0003513C" w:rsidP="0003513C">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Flat trend</w:t>
            </w:r>
          </w:p>
        </w:tc>
        <w:tc>
          <w:tcPr>
            <w:tcW w:w="851" w:type="dxa"/>
            <w:tcBorders>
              <w:top w:val="dotted" w:sz="4" w:space="0" w:color="AAABD6"/>
              <w:bottom w:val="dotted" w:sz="4" w:space="0" w:color="AAABD6"/>
            </w:tcBorders>
          </w:tcPr>
          <w:p w14:paraId="05DB15C2" w14:textId="03D9483C" w:rsidR="0003513C" w:rsidRPr="00100F0A" w:rsidRDefault="0003513C"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0.0%</w:t>
            </w:r>
          </w:p>
        </w:tc>
        <w:tc>
          <w:tcPr>
            <w:tcW w:w="567" w:type="dxa"/>
            <w:tcBorders>
              <w:top w:val="dotted" w:sz="4" w:space="0" w:color="AAABD6"/>
              <w:bottom w:val="dotted" w:sz="4" w:space="0" w:color="AAABD6"/>
            </w:tcBorders>
          </w:tcPr>
          <w:p w14:paraId="40DE5DF6" w14:textId="77777777" w:rsidR="0003513C" w:rsidRPr="00100F0A" w:rsidRDefault="0003513C"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912" w:type="dxa"/>
            <w:tcBorders>
              <w:top w:val="dotted" w:sz="4" w:space="0" w:color="AAABD6"/>
              <w:bottom w:val="dotted" w:sz="4" w:space="0" w:color="AAABD6"/>
            </w:tcBorders>
          </w:tcPr>
          <w:p w14:paraId="2DC77FD5" w14:textId="09E77650" w:rsidR="0003513C" w:rsidRPr="00100F0A" w:rsidRDefault="0003513C"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0.0%</w:t>
            </w:r>
          </w:p>
        </w:tc>
      </w:tr>
      <w:tr w:rsidR="0003513C" w:rsidRPr="00100F0A" w14:paraId="3794E818" w14:textId="77777777" w:rsidTr="0003513C">
        <w:tc>
          <w:tcPr>
            <w:cnfStyle w:val="001000000000" w:firstRow="0" w:lastRow="0" w:firstColumn="1" w:lastColumn="0" w:oddVBand="0" w:evenVBand="0" w:oddHBand="0" w:evenHBand="0" w:firstRowFirstColumn="0" w:firstRowLastColumn="0" w:lastRowFirstColumn="0" w:lastRowLastColumn="0"/>
            <w:tcW w:w="709" w:type="dxa"/>
            <w:tcBorders>
              <w:bottom w:val="dotted" w:sz="4" w:space="0" w:color="AAABD6"/>
            </w:tcBorders>
          </w:tcPr>
          <w:p w14:paraId="41E75FBB" w14:textId="77777777" w:rsidR="0003513C" w:rsidRPr="00100F0A" w:rsidRDefault="0003513C" w:rsidP="0003513C">
            <w:r w:rsidRPr="00100F0A">
              <w:t>Best</w:t>
            </w:r>
          </w:p>
        </w:tc>
        <w:tc>
          <w:tcPr>
            <w:tcW w:w="1072" w:type="dxa"/>
            <w:vMerge w:val="restart"/>
            <w:vAlign w:val="center"/>
          </w:tcPr>
          <w:p w14:paraId="64507248" w14:textId="6B90B108" w:rsidR="0003513C" w:rsidRPr="00100F0A" w:rsidRDefault="0003513C" w:rsidP="0003513C">
            <w:pPr>
              <w:cnfStyle w:val="000000000000" w:firstRow="0" w:lastRow="0" w:firstColumn="0" w:lastColumn="0" w:oddVBand="0" w:evenVBand="0" w:oddHBand="0" w:evenHBand="0" w:firstRowFirstColumn="0" w:firstRowLastColumn="0" w:lastRowFirstColumn="0" w:lastRowLastColumn="0"/>
            </w:pPr>
            <w:r w:rsidRPr="00100F0A">
              <w:t>ACT, NT, SA, Tas</w:t>
            </w:r>
          </w:p>
        </w:tc>
        <w:tc>
          <w:tcPr>
            <w:tcW w:w="4961" w:type="dxa"/>
            <w:tcBorders>
              <w:bottom w:val="dotted" w:sz="4" w:space="0" w:color="AAABD6"/>
            </w:tcBorders>
            <w:vAlign w:val="bottom"/>
          </w:tcPr>
          <w:p w14:paraId="7D3D1CD4" w14:textId="5FDB6D38" w:rsidR="0003513C" w:rsidRPr="00100F0A" w:rsidRDefault="00C34F48" w:rsidP="0003513C">
            <w:pPr>
              <w:cnfStyle w:val="000000000000" w:firstRow="0" w:lastRow="0" w:firstColumn="0" w:lastColumn="0" w:oddVBand="0" w:evenVBand="0" w:oddHBand="0" w:evenHBand="0" w:firstRowFirstColumn="0" w:firstRowLastColumn="0" w:lastRowFirstColumn="0" w:lastRowLastColumn="0"/>
            </w:pPr>
            <w:r>
              <w:rPr>
                <w:rFonts w:cs="Calibri"/>
                <w:color w:val="000000"/>
              </w:rPr>
              <w:t>20-year average</w:t>
            </w:r>
            <w:r w:rsidR="0003513C" w:rsidRPr="00100F0A">
              <w:rPr>
                <w:rFonts w:cs="Calibri"/>
                <w:color w:val="000000"/>
              </w:rPr>
              <w:t xml:space="preserve"> annual economic growth </w:t>
            </w:r>
          </w:p>
        </w:tc>
        <w:tc>
          <w:tcPr>
            <w:tcW w:w="851" w:type="dxa"/>
            <w:tcBorders>
              <w:bottom w:val="dotted" w:sz="4" w:space="0" w:color="AAABD6"/>
            </w:tcBorders>
          </w:tcPr>
          <w:p w14:paraId="2C87E7B4" w14:textId="522B4229" w:rsidR="0003513C" w:rsidRPr="00100F0A" w:rsidRDefault="0003513C"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1.4%</w:t>
            </w:r>
          </w:p>
        </w:tc>
        <w:tc>
          <w:tcPr>
            <w:tcW w:w="567" w:type="dxa"/>
            <w:tcBorders>
              <w:bottom w:val="dotted" w:sz="4" w:space="0" w:color="AAABD6"/>
            </w:tcBorders>
          </w:tcPr>
          <w:p w14:paraId="74D0B370" w14:textId="77777777" w:rsidR="0003513C" w:rsidRPr="00100F0A" w:rsidRDefault="0003513C"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912" w:type="dxa"/>
            <w:tcBorders>
              <w:bottom w:val="dotted" w:sz="4" w:space="0" w:color="AAABD6"/>
            </w:tcBorders>
          </w:tcPr>
          <w:p w14:paraId="0580C1BB" w14:textId="51F04056" w:rsidR="0003513C" w:rsidRPr="00100F0A" w:rsidRDefault="0003513C"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1.4%</w:t>
            </w:r>
          </w:p>
        </w:tc>
      </w:tr>
      <w:tr w:rsidR="0003513C" w:rsidRPr="00100F0A" w14:paraId="0F4394E0" w14:textId="77777777" w:rsidTr="0003513C">
        <w:trPr>
          <w:trHeight w:val="49"/>
        </w:trPr>
        <w:tc>
          <w:tcPr>
            <w:cnfStyle w:val="001000000000" w:firstRow="0" w:lastRow="0" w:firstColumn="1" w:lastColumn="0" w:oddVBand="0" w:evenVBand="0" w:oddHBand="0" w:evenHBand="0" w:firstRowFirstColumn="0" w:firstRowLastColumn="0" w:lastRowFirstColumn="0" w:lastRowLastColumn="0"/>
            <w:tcW w:w="709" w:type="dxa"/>
            <w:tcBorders>
              <w:top w:val="dotted" w:sz="4" w:space="0" w:color="AAABD6"/>
              <w:bottom w:val="dotted" w:sz="4" w:space="0" w:color="AAABD6"/>
            </w:tcBorders>
          </w:tcPr>
          <w:p w14:paraId="6698AD4B" w14:textId="77777777" w:rsidR="0003513C" w:rsidRPr="00100F0A" w:rsidRDefault="0003513C" w:rsidP="0003513C">
            <w:r w:rsidRPr="00100F0A">
              <w:t>High</w:t>
            </w:r>
          </w:p>
        </w:tc>
        <w:tc>
          <w:tcPr>
            <w:tcW w:w="1072" w:type="dxa"/>
            <w:vMerge/>
          </w:tcPr>
          <w:p w14:paraId="0A3D0884" w14:textId="77777777" w:rsidR="0003513C" w:rsidRPr="00100F0A" w:rsidRDefault="0003513C" w:rsidP="0003513C">
            <w:pPr>
              <w:cnfStyle w:val="000000000000" w:firstRow="0" w:lastRow="0" w:firstColumn="0" w:lastColumn="0" w:oddVBand="0" w:evenVBand="0" w:oddHBand="0" w:evenHBand="0" w:firstRowFirstColumn="0" w:firstRowLastColumn="0" w:lastRowFirstColumn="0" w:lastRowLastColumn="0"/>
            </w:pPr>
          </w:p>
        </w:tc>
        <w:tc>
          <w:tcPr>
            <w:tcW w:w="4961" w:type="dxa"/>
            <w:tcBorders>
              <w:top w:val="dotted" w:sz="4" w:space="0" w:color="AAABD6"/>
              <w:bottom w:val="dotted" w:sz="4" w:space="0" w:color="AAABD6"/>
            </w:tcBorders>
            <w:vAlign w:val="bottom"/>
          </w:tcPr>
          <w:p w14:paraId="627C6381" w14:textId="77777777" w:rsidR="0003513C" w:rsidRPr="00100F0A" w:rsidRDefault="0003513C" w:rsidP="0003513C">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Long-term Vic CAGR (excl. adjustment - tracking data only)</w:t>
            </w:r>
          </w:p>
        </w:tc>
        <w:tc>
          <w:tcPr>
            <w:tcW w:w="851" w:type="dxa"/>
            <w:tcBorders>
              <w:top w:val="dotted" w:sz="4" w:space="0" w:color="AAABD6"/>
              <w:bottom w:val="dotted" w:sz="4" w:space="0" w:color="AAABD6"/>
            </w:tcBorders>
          </w:tcPr>
          <w:p w14:paraId="59022481" w14:textId="769EDD01" w:rsidR="0003513C" w:rsidRPr="00100F0A" w:rsidRDefault="0003513C"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2.8%</w:t>
            </w:r>
          </w:p>
        </w:tc>
        <w:tc>
          <w:tcPr>
            <w:tcW w:w="567" w:type="dxa"/>
            <w:tcBorders>
              <w:top w:val="dotted" w:sz="4" w:space="0" w:color="AAABD6"/>
              <w:bottom w:val="dotted" w:sz="4" w:space="0" w:color="AAABD6"/>
            </w:tcBorders>
          </w:tcPr>
          <w:p w14:paraId="423F3E22" w14:textId="77777777" w:rsidR="0003513C" w:rsidRPr="00100F0A" w:rsidRDefault="0003513C"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912" w:type="dxa"/>
            <w:tcBorders>
              <w:top w:val="dotted" w:sz="4" w:space="0" w:color="AAABD6"/>
              <w:bottom w:val="dotted" w:sz="4" w:space="0" w:color="AAABD6"/>
            </w:tcBorders>
          </w:tcPr>
          <w:p w14:paraId="0F3F6CF4" w14:textId="3B3FD5F5" w:rsidR="0003513C" w:rsidRPr="00100F0A" w:rsidRDefault="0003513C"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2.8%</w:t>
            </w:r>
          </w:p>
        </w:tc>
      </w:tr>
      <w:tr w:rsidR="0003513C" w:rsidRPr="00100F0A" w14:paraId="03F90D92" w14:textId="77777777" w:rsidTr="0003513C">
        <w:tc>
          <w:tcPr>
            <w:cnfStyle w:val="001000000000" w:firstRow="0" w:lastRow="0" w:firstColumn="1" w:lastColumn="0" w:oddVBand="0" w:evenVBand="0" w:oddHBand="0" w:evenHBand="0" w:firstRowFirstColumn="0" w:firstRowLastColumn="0" w:lastRowFirstColumn="0" w:lastRowLastColumn="0"/>
            <w:tcW w:w="709" w:type="dxa"/>
            <w:tcBorders>
              <w:top w:val="dotted" w:sz="4" w:space="0" w:color="AAABD6"/>
            </w:tcBorders>
          </w:tcPr>
          <w:p w14:paraId="2EB30CC0" w14:textId="77777777" w:rsidR="0003513C" w:rsidRPr="00100F0A" w:rsidRDefault="0003513C" w:rsidP="0003513C">
            <w:r w:rsidRPr="00100F0A">
              <w:t>Low</w:t>
            </w:r>
          </w:p>
        </w:tc>
        <w:tc>
          <w:tcPr>
            <w:tcW w:w="1072" w:type="dxa"/>
            <w:vMerge/>
          </w:tcPr>
          <w:p w14:paraId="25FCDE25" w14:textId="77777777" w:rsidR="0003513C" w:rsidRPr="00100F0A" w:rsidRDefault="0003513C" w:rsidP="0003513C">
            <w:pPr>
              <w:cnfStyle w:val="000000000000" w:firstRow="0" w:lastRow="0" w:firstColumn="0" w:lastColumn="0" w:oddVBand="0" w:evenVBand="0" w:oddHBand="0" w:evenHBand="0" w:firstRowFirstColumn="0" w:firstRowLastColumn="0" w:lastRowFirstColumn="0" w:lastRowLastColumn="0"/>
            </w:pPr>
          </w:p>
        </w:tc>
        <w:tc>
          <w:tcPr>
            <w:tcW w:w="4961" w:type="dxa"/>
            <w:tcBorders>
              <w:top w:val="dotted" w:sz="4" w:space="0" w:color="AAABD6"/>
            </w:tcBorders>
            <w:vAlign w:val="bottom"/>
          </w:tcPr>
          <w:p w14:paraId="70E2F45A" w14:textId="77777777" w:rsidR="0003513C" w:rsidRPr="00100F0A" w:rsidRDefault="0003513C" w:rsidP="0003513C">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Flat trend</w:t>
            </w:r>
          </w:p>
        </w:tc>
        <w:tc>
          <w:tcPr>
            <w:tcW w:w="851" w:type="dxa"/>
            <w:tcBorders>
              <w:top w:val="dotted" w:sz="4" w:space="0" w:color="AAABD6"/>
            </w:tcBorders>
          </w:tcPr>
          <w:p w14:paraId="4DC50267" w14:textId="32EA6E8F" w:rsidR="0003513C" w:rsidRPr="00100F0A" w:rsidRDefault="0003513C"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0.0%</w:t>
            </w:r>
          </w:p>
        </w:tc>
        <w:tc>
          <w:tcPr>
            <w:tcW w:w="567" w:type="dxa"/>
            <w:tcBorders>
              <w:top w:val="dotted" w:sz="4" w:space="0" w:color="AAABD6"/>
            </w:tcBorders>
          </w:tcPr>
          <w:p w14:paraId="19F9FDDD" w14:textId="77777777" w:rsidR="0003513C" w:rsidRPr="00100F0A" w:rsidRDefault="0003513C"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912" w:type="dxa"/>
            <w:tcBorders>
              <w:top w:val="dotted" w:sz="4" w:space="0" w:color="AAABD6"/>
            </w:tcBorders>
          </w:tcPr>
          <w:p w14:paraId="268CD5F6" w14:textId="6472A53B" w:rsidR="0003513C" w:rsidRPr="00100F0A" w:rsidRDefault="0003513C"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0.0%</w:t>
            </w:r>
          </w:p>
        </w:tc>
      </w:tr>
    </w:tbl>
    <w:p w14:paraId="1A4A4609" w14:textId="77777777" w:rsidR="008A15A0" w:rsidRPr="00100F0A" w:rsidRDefault="008A15A0" w:rsidP="008A15A0">
      <w:pPr>
        <w:pStyle w:val="BodyText"/>
      </w:pPr>
    </w:p>
    <w:p w14:paraId="2E6D939F" w14:textId="2D83CD84" w:rsidR="008A15A0" w:rsidRPr="00100F0A" w:rsidRDefault="008A15A0" w:rsidP="008A15A0">
      <w:pPr>
        <w:pStyle w:val="Caption"/>
      </w:pPr>
      <w:bookmarkStart w:id="206" w:name="_Toc13225592"/>
      <w:r w:rsidRPr="00100F0A">
        <w:t xml:space="preserve">Figure </w:t>
      </w:r>
      <w:r w:rsidR="007828B5" w:rsidRPr="00100F0A">
        <w:rPr>
          <w:noProof/>
        </w:rPr>
        <w:fldChar w:fldCharType="begin"/>
      </w:r>
      <w:r w:rsidR="007828B5" w:rsidRPr="00100F0A">
        <w:rPr>
          <w:noProof/>
        </w:rPr>
        <w:instrText xml:space="preserve"> SEQ Figure \* ARABIC </w:instrText>
      </w:r>
      <w:r w:rsidR="007828B5" w:rsidRPr="00100F0A">
        <w:rPr>
          <w:noProof/>
        </w:rPr>
        <w:fldChar w:fldCharType="separate"/>
      </w:r>
      <w:r w:rsidR="00EB634D">
        <w:rPr>
          <w:noProof/>
        </w:rPr>
        <w:t>19</w:t>
      </w:r>
      <w:r w:rsidR="007828B5" w:rsidRPr="00100F0A">
        <w:rPr>
          <w:noProof/>
        </w:rPr>
        <w:fldChar w:fldCharType="end"/>
      </w:r>
      <w:r w:rsidR="00C14F18">
        <w:rPr>
          <w:noProof/>
        </w:rPr>
        <w:t>:</w:t>
      </w:r>
      <w:r w:rsidRPr="00100F0A">
        <w:tab/>
        <w:t>Best, high and low national projection estimates of oil</w:t>
      </w:r>
      <w:r w:rsidR="0003513C" w:rsidRPr="00100F0A">
        <w:t>y water</w:t>
      </w:r>
      <w:r w:rsidRPr="00100F0A">
        <w:t xml:space="preserve"> waste to 2037</w:t>
      </w:r>
      <w:bookmarkEnd w:id="206"/>
    </w:p>
    <w:p w14:paraId="55EB6E87" w14:textId="3C34F024" w:rsidR="008A15A0" w:rsidRPr="00100F0A" w:rsidRDefault="00D42A24" w:rsidP="00FB5BBC">
      <w:pPr>
        <w:pStyle w:val="BodyText"/>
      </w:pPr>
      <w:r w:rsidRPr="00100F0A">
        <w:rPr>
          <w:noProof/>
          <w:lang w:eastAsia="en-AU"/>
        </w:rPr>
        <w:drawing>
          <wp:inline distT="0" distB="0" distL="0" distR="0" wp14:anchorId="55ED5AD6" wp14:editId="73781230">
            <wp:extent cx="5735955" cy="21151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5955" cy="2115185"/>
                    </a:xfrm>
                    <a:prstGeom prst="rect">
                      <a:avLst/>
                    </a:prstGeom>
                  </pic:spPr>
                </pic:pic>
              </a:graphicData>
            </a:graphic>
          </wp:inline>
        </w:drawing>
      </w:r>
    </w:p>
    <w:p w14:paraId="66BD303E" w14:textId="1E022E2F" w:rsidR="00FB5BBC" w:rsidRPr="00100F0A" w:rsidRDefault="00FB5BBC" w:rsidP="00FB5BBC">
      <w:pPr>
        <w:pStyle w:val="BodyText"/>
      </w:pPr>
    </w:p>
    <w:p w14:paraId="54B28C9A" w14:textId="77777777" w:rsidR="00D42A24" w:rsidRPr="00100F0A" w:rsidRDefault="00D42A24" w:rsidP="00FB5BBC">
      <w:pPr>
        <w:pStyle w:val="BodyText"/>
      </w:pPr>
    </w:p>
    <w:p w14:paraId="46CB09D9" w14:textId="37D817EE" w:rsidR="007E3BAE" w:rsidRPr="00100F0A" w:rsidRDefault="007E3BAE" w:rsidP="007E3BAE">
      <w:pPr>
        <w:pStyle w:val="Heading3"/>
      </w:pPr>
      <w:r w:rsidRPr="00100F0A">
        <w:t>K110 Grease trap waste</w:t>
      </w:r>
    </w:p>
    <w:p w14:paraId="7645ABC3" w14:textId="017D220E" w:rsidR="007E3BAE" w:rsidRPr="00100F0A" w:rsidRDefault="007E3BAE" w:rsidP="007E3BAE">
      <w:pPr>
        <w:rPr>
          <w:color w:val="080808"/>
        </w:rPr>
      </w:pPr>
      <w:r w:rsidRPr="00100F0A">
        <w:rPr>
          <w:i/>
          <w:color w:val="080808"/>
        </w:rPr>
        <w:t>K110 Grease trap waste</w:t>
      </w:r>
      <w:r w:rsidRPr="00100F0A">
        <w:rPr>
          <w:color w:val="080808"/>
        </w:rPr>
        <w:t>, or grease interceptor trap waste, is waste from a grease interceptor used for the capture of food, grease and solids before entry to the sewer. Th</w:t>
      </w:r>
      <w:r w:rsidR="00AE1FAA">
        <w:rPr>
          <w:color w:val="080808"/>
        </w:rPr>
        <w:t>is</w:t>
      </w:r>
      <w:r w:rsidRPr="00100F0A">
        <w:rPr>
          <w:color w:val="080808"/>
        </w:rPr>
        <w:t xml:space="preserve"> waste include</w:t>
      </w:r>
      <w:r w:rsidR="00AE1FAA">
        <w:rPr>
          <w:color w:val="080808"/>
        </w:rPr>
        <w:t>s</w:t>
      </w:r>
      <w:r w:rsidRPr="00100F0A">
        <w:rPr>
          <w:color w:val="080808"/>
        </w:rPr>
        <w:t xml:space="preserve"> any solids that are derived from the treatment of this waste. It is primarily sourced from retail food business, such as restaurants and fast food outlets.</w:t>
      </w:r>
      <w:r w:rsidRPr="00100F0A">
        <w:t xml:space="preserve"> </w:t>
      </w:r>
      <w:r w:rsidRPr="00100F0A">
        <w:rPr>
          <w:color w:val="080808"/>
        </w:rPr>
        <w:t>Grease trap is not tracked in NSW or SA.</w:t>
      </w:r>
    </w:p>
    <w:p w14:paraId="69DB4130" w14:textId="77777777" w:rsidR="007E3BAE" w:rsidRPr="00100F0A" w:rsidRDefault="007E3BAE" w:rsidP="007E3BAE">
      <w:pPr>
        <w:pStyle w:val="BodyText"/>
      </w:pPr>
    </w:p>
    <w:p w14:paraId="1B60B744" w14:textId="77777777" w:rsidR="007E3BAE" w:rsidRPr="00100F0A" w:rsidRDefault="007E3BAE" w:rsidP="007E3BAE">
      <w:pPr>
        <w:pStyle w:val="Heading3-nonumber"/>
      </w:pPr>
      <w:r w:rsidRPr="00100F0A">
        <w:t>Summary analysis</w:t>
      </w:r>
    </w:p>
    <w:tbl>
      <w:tblPr>
        <w:tblStyle w:val="BETable11"/>
        <w:tblW w:w="5000" w:type="pct"/>
        <w:tblInd w:w="0" w:type="dxa"/>
        <w:tblBorders>
          <w:top w:val="single" w:sz="4" w:space="0" w:color="AAABD6"/>
          <w:left w:val="single" w:sz="4" w:space="0" w:color="AAABD6"/>
          <w:bottom w:val="single" w:sz="4" w:space="0" w:color="AAABD6"/>
          <w:right w:val="single" w:sz="4" w:space="0" w:color="AAABD6"/>
          <w:insideH w:val="single" w:sz="4" w:space="0" w:color="AAABD6"/>
          <w:insideV w:val="single" w:sz="4" w:space="0" w:color="AAABD6"/>
        </w:tblBorders>
        <w:tblLook w:val="04A0" w:firstRow="1" w:lastRow="0" w:firstColumn="1" w:lastColumn="0" w:noHBand="0" w:noVBand="1"/>
      </w:tblPr>
      <w:tblGrid>
        <w:gridCol w:w="2829"/>
        <w:gridCol w:w="2127"/>
        <w:gridCol w:w="1810"/>
        <w:gridCol w:w="2256"/>
      </w:tblGrid>
      <w:tr w:rsidR="007E3BAE" w:rsidRPr="00100F0A" w14:paraId="2892281A" w14:textId="77777777" w:rsidTr="00DC48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pct"/>
            <w:tcBorders>
              <w:top w:val="nil"/>
              <w:left w:val="single" w:sz="4" w:space="0" w:color="AAABD6"/>
              <w:bottom w:val="nil"/>
            </w:tcBorders>
            <w:shd w:val="clear" w:color="auto" w:fill="AAABD6"/>
          </w:tcPr>
          <w:p w14:paraId="68636399" w14:textId="77777777" w:rsidR="007E3BAE" w:rsidRPr="00100F0A" w:rsidRDefault="007E3BAE" w:rsidP="004D1060">
            <w:pPr>
              <w:pStyle w:val="BodyText"/>
              <w:rPr>
                <w:color w:val="FFFFFF" w:themeColor="background1"/>
              </w:rPr>
            </w:pPr>
            <w:r w:rsidRPr="00100F0A">
              <w:rPr>
                <w:color w:val="FFFFFF" w:themeColor="background1"/>
              </w:rPr>
              <w:t>Industry sources</w:t>
            </w:r>
          </w:p>
        </w:tc>
        <w:tc>
          <w:tcPr>
            <w:tcW w:w="1179" w:type="pct"/>
            <w:tcBorders>
              <w:top w:val="nil"/>
              <w:bottom w:val="nil"/>
            </w:tcBorders>
            <w:shd w:val="clear" w:color="auto" w:fill="AAABD6"/>
          </w:tcPr>
          <w:p w14:paraId="47F0D1C1" w14:textId="77777777" w:rsidR="007E3BAE" w:rsidRPr="00100F0A" w:rsidRDefault="007E3BAE" w:rsidP="004D1060">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Considerations</w:t>
            </w:r>
          </w:p>
        </w:tc>
        <w:tc>
          <w:tcPr>
            <w:tcW w:w="1003" w:type="pct"/>
            <w:tcBorders>
              <w:top w:val="nil"/>
              <w:bottom w:val="nil"/>
            </w:tcBorders>
            <w:shd w:val="clear" w:color="auto" w:fill="AAABD6"/>
          </w:tcPr>
          <w:p w14:paraId="7CABA589" w14:textId="77777777" w:rsidR="007E3BAE" w:rsidRPr="00100F0A" w:rsidRDefault="007E3BAE" w:rsidP="004D1060">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Comments</w:t>
            </w:r>
          </w:p>
        </w:tc>
        <w:tc>
          <w:tcPr>
            <w:tcW w:w="1250" w:type="pct"/>
            <w:tcBorders>
              <w:top w:val="nil"/>
              <w:bottom w:val="nil"/>
              <w:right w:val="single" w:sz="4" w:space="0" w:color="AAABD6"/>
            </w:tcBorders>
            <w:shd w:val="clear" w:color="auto" w:fill="AAABD6"/>
          </w:tcPr>
          <w:p w14:paraId="5FFA8376" w14:textId="77777777" w:rsidR="007E3BAE" w:rsidRPr="00100F0A" w:rsidRDefault="007E3BAE" w:rsidP="004D1060">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r>
      <w:tr w:rsidR="007E3BAE" w:rsidRPr="00100F0A" w14:paraId="4AC724F0" w14:textId="77777777" w:rsidTr="00DC48F2">
        <w:tc>
          <w:tcPr>
            <w:cnfStyle w:val="001000000000" w:firstRow="0" w:lastRow="0" w:firstColumn="1" w:lastColumn="0" w:oddVBand="0" w:evenVBand="0" w:oddHBand="0" w:evenHBand="0" w:firstRowFirstColumn="0" w:firstRowLastColumn="0" w:lastRowFirstColumn="0" w:lastRowLastColumn="0"/>
            <w:tcW w:w="1568" w:type="pct"/>
            <w:tcBorders>
              <w:top w:val="nil"/>
            </w:tcBorders>
          </w:tcPr>
          <w:p w14:paraId="0A1925F2" w14:textId="77777777" w:rsidR="007E3BAE" w:rsidRPr="00100F0A" w:rsidRDefault="007E3BAE" w:rsidP="00E96D3C">
            <w:pPr>
              <w:pStyle w:val="BodyText"/>
              <w:numPr>
                <w:ilvl w:val="0"/>
                <w:numId w:val="25"/>
              </w:numPr>
              <w:ind w:left="426"/>
              <w:rPr>
                <w:color w:val="000000"/>
              </w:rPr>
            </w:pPr>
            <w:r w:rsidRPr="00100F0A">
              <w:rPr>
                <w:color w:val="000000"/>
              </w:rPr>
              <w:t>Food product manufacturing</w:t>
            </w:r>
          </w:p>
          <w:p w14:paraId="01D166BF" w14:textId="77777777" w:rsidR="007E3BAE" w:rsidRPr="00100F0A" w:rsidRDefault="007E3BAE" w:rsidP="00E96D3C">
            <w:pPr>
              <w:pStyle w:val="BodyText"/>
              <w:numPr>
                <w:ilvl w:val="0"/>
                <w:numId w:val="25"/>
              </w:numPr>
              <w:ind w:left="426"/>
              <w:rPr>
                <w:color w:val="000000"/>
              </w:rPr>
            </w:pPr>
            <w:r w:rsidRPr="00100F0A">
              <w:rPr>
                <w:color w:val="000000"/>
              </w:rPr>
              <w:t>Cafes and restaurants</w:t>
            </w:r>
          </w:p>
          <w:p w14:paraId="595F58D8" w14:textId="77777777" w:rsidR="007E3BAE" w:rsidRPr="00100F0A" w:rsidRDefault="007E3BAE" w:rsidP="00E96D3C">
            <w:pPr>
              <w:pStyle w:val="BodyText"/>
              <w:numPr>
                <w:ilvl w:val="0"/>
                <w:numId w:val="25"/>
              </w:numPr>
              <w:ind w:left="426"/>
              <w:rPr>
                <w:color w:val="000000"/>
              </w:rPr>
            </w:pPr>
            <w:r w:rsidRPr="00100F0A">
              <w:rPr>
                <w:color w:val="000000"/>
              </w:rPr>
              <w:t>Supermarkets and grocery stores</w:t>
            </w:r>
          </w:p>
          <w:p w14:paraId="39E03DCC" w14:textId="77777777" w:rsidR="007E3BAE" w:rsidRPr="00100F0A" w:rsidRDefault="007E3BAE" w:rsidP="00E96D3C">
            <w:pPr>
              <w:pStyle w:val="BodyText"/>
              <w:numPr>
                <w:ilvl w:val="0"/>
                <w:numId w:val="25"/>
              </w:numPr>
              <w:ind w:left="426"/>
              <w:rPr>
                <w:color w:val="000000"/>
              </w:rPr>
            </w:pPr>
            <w:r w:rsidRPr="00100F0A">
              <w:rPr>
                <w:color w:val="000000"/>
              </w:rPr>
              <w:t>Waste sector (as collectors and aggregators from cafes and restaurants)</w:t>
            </w:r>
          </w:p>
        </w:tc>
        <w:tc>
          <w:tcPr>
            <w:tcW w:w="1179" w:type="pct"/>
            <w:tcBorders>
              <w:top w:val="nil"/>
            </w:tcBorders>
          </w:tcPr>
          <w:p w14:paraId="4CB44920" w14:textId="23A82F39" w:rsidR="007E3BAE" w:rsidRPr="00100F0A" w:rsidRDefault="007E3BAE" w:rsidP="004D1060">
            <w:pPr>
              <w:pStyle w:val="BodyText"/>
              <w:cnfStyle w:val="000000000000" w:firstRow="0" w:lastRow="0" w:firstColumn="0" w:lastColumn="0" w:oddVBand="0" w:evenVBand="0" w:oddHBand="0" w:evenHBand="0" w:firstRowFirstColumn="0" w:firstRowLastColumn="0" w:lastRowFirstColumn="0" w:lastRowLastColumn="0"/>
            </w:pPr>
            <w:r w:rsidRPr="00100F0A">
              <w:t>No sufficiently credible pre-existing projections were identified</w:t>
            </w:r>
          </w:p>
          <w:p w14:paraId="06285096" w14:textId="77777777" w:rsidR="007E3BAE" w:rsidRPr="00100F0A" w:rsidRDefault="007E3BAE" w:rsidP="004D1060">
            <w:pPr>
              <w:pStyle w:val="BodyText"/>
              <w:cnfStyle w:val="000000000000" w:firstRow="0" w:lastRow="0" w:firstColumn="0" w:lastColumn="0" w:oddVBand="0" w:evenVBand="0" w:oddHBand="0" w:evenHBand="0" w:firstRowFirstColumn="0" w:firstRowLastColumn="0" w:lastRowFirstColumn="0" w:lastRowLastColumn="0"/>
            </w:pPr>
          </w:p>
          <w:p w14:paraId="6AAF9818" w14:textId="5041C41E" w:rsidR="007E3BAE" w:rsidRPr="00100F0A" w:rsidRDefault="007E3BAE" w:rsidP="004D1060">
            <w:pPr>
              <w:pStyle w:val="BodyText"/>
              <w:cnfStyle w:val="000000000000" w:firstRow="0" w:lastRow="0" w:firstColumn="0" w:lastColumn="0" w:oddVBand="0" w:evenVBand="0" w:oddHBand="0" w:evenHBand="0" w:firstRowFirstColumn="0" w:firstRowLastColumn="0" w:lastRowFirstColumn="0" w:lastRowLastColumn="0"/>
            </w:pPr>
            <w:r w:rsidRPr="00100F0A">
              <w:rPr>
                <w:color w:val="000000"/>
              </w:rPr>
              <w:t>Vic and WA trends are indicative of steady growth</w:t>
            </w:r>
          </w:p>
        </w:tc>
        <w:tc>
          <w:tcPr>
            <w:tcW w:w="1003" w:type="pct"/>
            <w:tcBorders>
              <w:top w:val="nil"/>
            </w:tcBorders>
          </w:tcPr>
          <w:p w14:paraId="6D6ABA84" w14:textId="322A811E" w:rsidR="007E3BAE" w:rsidRPr="00100F0A" w:rsidRDefault="007E3BAE" w:rsidP="004D1060">
            <w:pPr>
              <w:pStyle w:val="BodyText"/>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This waste is not tracked in NSW or SA</w:t>
            </w:r>
          </w:p>
        </w:tc>
        <w:tc>
          <w:tcPr>
            <w:tcW w:w="1250" w:type="pct"/>
            <w:tcBorders>
              <w:top w:val="nil"/>
            </w:tcBorders>
          </w:tcPr>
          <w:p w14:paraId="09E84CEA" w14:textId="77777777" w:rsidR="00816C03" w:rsidRPr="00100F0A" w:rsidRDefault="00816C03" w:rsidP="00816C03">
            <w:pPr>
              <w:cnfStyle w:val="000000000000" w:firstRow="0" w:lastRow="0" w:firstColumn="0" w:lastColumn="0" w:oddVBand="0" w:evenVBand="0" w:oddHBand="0" w:evenHBand="0" w:firstRowFirstColumn="0" w:firstRowLastColumn="0" w:lastRowFirstColumn="0" w:lastRowLastColumn="0"/>
            </w:pPr>
            <w:r w:rsidRPr="00100F0A">
              <w:t>Best: use economic growth as causal analysis</w:t>
            </w:r>
          </w:p>
          <w:p w14:paraId="2E77D0AE" w14:textId="77777777" w:rsidR="00816C03" w:rsidRPr="00100F0A" w:rsidRDefault="00816C03" w:rsidP="00816C03">
            <w:pPr>
              <w:cnfStyle w:val="000000000000" w:firstRow="0" w:lastRow="0" w:firstColumn="0" w:lastColumn="0" w:oddVBand="0" w:evenVBand="0" w:oddHBand="0" w:evenHBand="0" w:firstRowFirstColumn="0" w:firstRowLastColumn="0" w:lastRowFirstColumn="0" w:lastRowLastColumn="0"/>
            </w:pPr>
          </w:p>
          <w:p w14:paraId="2FDB6761" w14:textId="6920E82C" w:rsidR="00816C03" w:rsidRPr="00100F0A" w:rsidRDefault="00816C03" w:rsidP="00816C03">
            <w:pPr>
              <w:cnfStyle w:val="000000000000" w:firstRow="0" w:lastRow="0" w:firstColumn="0" w:lastColumn="0" w:oddVBand="0" w:evenVBand="0" w:oddHBand="0" w:evenHBand="0" w:firstRowFirstColumn="0" w:firstRowLastColumn="0" w:lastRowFirstColumn="0" w:lastRowLastColumn="0"/>
            </w:pPr>
            <w:r w:rsidRPr="00100F0A">
              <w:t>High: use Vic CAGR (4.1%) growth as causal analysis</w:t>
            </w:r>
          </w:p>
          <w:p w14:paraId="5B576331" w14:textId="77777777" w:rsidR="00816C03" w:rsidRPr="00100F0A" w:rsidRDefault="00816C03" w:rsidP="00816C03">
            <w:pPr>
              <w:pStyle w:val="BodyText"/>
              <w:cnfStyle w:val="000000000000" w:firstRow="0" w:lastRow="0" w:firstColumn="0" w:lastColumn="0" w:oddVBand="0" w:evenVBand="0" w:oddHBand="0" w:evenHBand="0" w:firstRowFirstColumn="0" w:firstRowLastColumn="0" w:lastRowFirstColumn="0" w:lastRowLastColumn="0"/>
            </w:pPr>
          </w:p>
          <w:p w14:paraId="32824613" w14:textId="458D5DE1" w:rsidR="007E3BAE" w:rsidRPr="00100F0A" w:rsidRDefault="00816C03" w:rsidP="00816C03">
            <w:pPr>
              <w:pStyle w:val="BodyText"/>
              <w:cnfStyle w:val="000000000000" w:firstRow="0" w:lastRow="0" w:firstColumn="0" w:lastColumn="0" w:oddVBand="0" w:evenVBand="0" w:oddHBand="0" w:evenHBand="0" w:firstRowFirstColumn="0" w:firstRowLastColumn="0" w:lastRowFirstColumn="0" w:lastRowLastColumn="0"/>
              <w:rPr>
                <w:color w:val="000000"/>
              </w:rPr>
            </w:pPr>
            <w:r w:rsidRPr="00100F0A">
              <w:t>Low: use population growth as causal analysis</w:t>
            </w:r>
          </w:p>
        </w:tc>
      </w:tr>
    </w:tbl>
    <w:p w14:paraId="1B228353" w14:textId="2B7C8E1D" w:rsidR="007E3BAE" w:rsidRDefault="007E3BAE" w:rsidP="007E3BAE">
      <w:pPr>
        <w:pStyle w:val="BodyText"/>
        <w:rPr>
          <w:b/>
        </w:rPr>
      </w:pPr>
    </w:p>
    <w:p w14:paraId="6464B5DD" w14:textId="06A1DC7F" w:rsidR="00AE1FAA" w:rsidRDefault="00AE1FAA">
      <w:pPr>
        <w:rPr>
          <w:b/>
        </w:rPr>
      </w:pPr>
      <w:r>
        <w:rPr>
          <w:b/>
        </w:rPr>
        <w:br w:type="page"/>
      </w:r>
    </w:p>
    <w:p w14:paraId="1614BC94" w14:textId="4C939D9F" w:rsidR="007E3BAE" w:rsidRPr="00100F0A" w:rsidRDefault="007E3BAE" w:rsidP="007E3BAE">
      <w:pPr>
        <w:pStyle w:val="Caption"/>
      </w:pPr>
      <w:bookmarkStart w:id="207" w:name="_Toc425849306"/>
      <w:bookmarkStart w:id="208" w:name="_Toc13225642"/>
      <w:r w:rsidRPr="00100F0A">
        <w:t xml:space="preserve">Table </w:t>
      </w:r>
      <w:r w:rsidRPr="00100F0A">
        <w:rPr>
          <w:noProof/>
        </w:rPr>
        <w:fldChar w:fldCharType="begin"/>
      </w:r>
      <w:r w:rsidRPr="00100F0A">
        <w:rPr>
          <w:noProof/>
        </w:rPr>
        <w:instrText xml:space="preserve"> SEQ Table \* ARABIC </w:instrText>
      </w:r>
      <w:r w:rsidRPr="00100F0A">
        <w:rPr>
          <w:noProof/>
        </w:rPr>
        <w:fldChar w:fldCharType="separate"/>
      </w:r>
      <w:r w:rsidR="00EB634D">
        <w:rPr>
          <w:noProof/>
        </w:rPr>
        <w:t>23</w:t>
      </w:r>
      <w:r w:rsidRPr="00100F0A">
        <w:rPr>
          <w:noProof/>
        </w:rPr>
        <w:fldChar w:fldCharType="end"/>
      </w:r>
      <w:r w:rsidR="00C14F18">
        <w:rPr>
          <w:noProof/>
        </w:rPr>
        <w:t>:</w:t>
      </w:r>
      <w:r w:rsidRPr="00100F0A">
        <w:tab/>
        <w:t>Best, high and low projected rates of change for grease trap waste to 203</w:t>
      </w:r>
      <w:bookmarkEnd w:id="207"/>
      <w:r w:rsidR="00DC48F2" w:rsidRPr="00100F0A">
        <w:t>7</w:t>
      </w:r>
      <w:bookmarkEnd w:id="208"/>
    </w:p>
    <w:tbl>
      <w:tblPr>
        <w:tblStyle w:val="BETable1"/>
        <w:tblW w:w="9072" w:type="dxa"/>
        <w:tblBorders>
          <w:top w:val="single" w:sz="4" w:space="0" w:color="AAABD6"/>
          <w:left w:val="single" w:sz="4" w:space="0" w:color="AAABD6"/>
          <w:bottom w:val="single" w:sz="4" w:space="0" w:color="AAABD6"/>
          <w:right w:val="single" w:sz="4" w:space="0" w:color="AAABD6"/>
          <w:insideH w:val="single" w:sz="4" w:space="0" w:color="AAABD6"/>
          <w:insideV w:val="single" w:sz="4" w:space="0" w:color="AAABD6"/>
        </w:tblBorders>
        <w:tblLayout w:type="fixed"/>
        <w:tblLook w:val="04A0" w:firstRow="1" w:lastRow="0" w:firstColumn="1" w:lastColumn="0" w:noHBand="0" w:noVBand="1"/>
      </w:tblPr>
      <w:tblGrid>
        <w:gridCol w:w="1134"/>
        <w:gridCol w:w="1134"/>
        <w:gridCol w:w="4395"/>
        <w:gridCol w:w="803"/>
        <w:gridCol w:w="803"/>
        <w:gridCol w:w="803"/>
      </w:tblGrid>
      <w:tr w:rsidR="00DC48F2" w:rsidRPr="00100F0A" w14:paraId="4852BB9D" w14:textId="77777777" w:rsidTr="00DC48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AAABD6"/>
            </w:tcBorders>
            <w:shd w:val="clear" w:color="auto" w:fill="AAABD6"/>
          </w:tcPr>
          <w:p w14:paraId="349340CC" w14:textId="77777777" w:rsidR="007E3BAE" w:rsidRPr="00100F0A" w:rsidRDefault="007E3BAE" w:rsidP="004D1060">
            <w:pPr>
              <w:rPr>
                <w:color w:val="FFFFFF" w:themeColor="background1"/>
              </w:rPr>
            </w:pPr>
          </w:p>
        </w:tc>
        <w:tc>
          <w:tcPr>
            <w:tcW w:w="1134" w:type="dxa"/>
            <w:shd w:val="clear" w:color="auto" w:fill="AAABD6"/>
          </w:tcPr>
          <w:p w14:paraId="1029B372" w14:textId="77777777" w:rsidR="007E3BAE" w:rsidRPr="00100F0A" w:rsidRDefault="007E3BAE" w:rsidP="004D106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Applies to</w:t>
            </w:r>
          </w:p>
        </w:tc>
        <w:tc>
          <w:tcPr>
            <w:tcW w:w="4395" w:type="dxa"/>
            <w:tcBorders>
              <w:bottom w:val="single" w:sz="4" w:space="0" w:color="AAABD6"/>
            </w:tcBorders>
            <w:shd w:val="clear" w:color="auto" w:fill="AAABD6"/>
          </w:tcPr>
          <w:p w14:paraId="2AD5CE05" w14:textId="77777777" w:rsidR="007E3BAE" w:rsidRPr="00100F0A" w:rsidRDefault="007E3BAE" w:rsidP="004D106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c>
          <w:tcPr>
            <w:tcW w:w="803" w:type="dxa"/>
            <w:tcBorders>
              <w:bottom w:val="single" w:sz="4" w:space="0" w:color="AAABD6"/>
            </w:tcBorders>
            <w:shd w:val="clear" w:color="auto" w:fill="AAABD6"/>
          </w:tcPr>
          <w:p w14:paraId="674D52BB" w14:textId="528849BC" w:rsidR="007E3BAE" w:rsidRPr="00100F0A" w:rsidRDefault="00710D71" w:rsidP="004206B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2018</w:t>
            </w:r>
          </w:p>
        </w:tc>
        <w:tc>
          <w:tcPr>
            <w:tcW w:w="803" w:type="dxa"/>
            <w:tcBorders>
              <w:bottom w:val="single" w:sz="4" w:space="0" w:color="AAABD6"/>
            </w:tcBorders>
            <w:shd w:val="clear" w:color="auto" w:fill="AAABD6"/>
          </w:tcPr>
          <w:p w14:paraId="1C6BC3A0" w14:textId="77777777" w:rsidR="007E3BAE" w:rsidRPr="00100F0A" w:rsidRDefault="007E3BAE" w:rsidP="004206B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w:t>
            </w:r>
          </w:p>
        </w:tc>
        <w:tc>
          <w:tcPr>
            <w:tcW w:w="803" w:type="dxa"/>
            <w:tcBorders>
              <w:bottom w:val="single" w:sz="4" w:space="0" w:color="AAABD6"/>
            </w:tcBorders>
            <w:shd w:val="clear" w:color="auto" w:fill="AAABD6"/>
          </w:tcPr>
          <w:p w14:paraId="6D3C95FB" w14:textId="5512946A" w:rsidR="007E3BAE" w:rsidRPr="00100F0A" w:rsidRDefault="00710D71" w:rsidP="004206B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2037</w:t>
            </w:r>
          </w:p>
        </w:tc>
      </w:tr>
      <w:tr w:rsidR="00DC48F2" w:rsidRPr="00100F0A" w14:paraId="7ADFDAAE" w14:textId="77777777" w:rsidTr="00DC48F2">
        <w:tc>
          <w:tcPr>
            <w:cnfStyle w:val="001000000000" w:firstRow="0" w:lastRow="0" w:firstColumn="1" w:lastColumn="0" w:oddVBand="0" w:evenVBand="0" w:oddHBand="0" w:evenHBand="0" w:firstRowFirstColumn="0" w:firstRowLastColumn="0" w:lastRowFirstColumn="0" w:lastRowLastColumn="0"/>
            <w:tcW w:w="1134" w:type="dxa"/>
            <w:tcBorders>
              <w:bottom w:val="dotted" w:sz="4" w:space="0" w:color="AAABD6"/>
            </w:tcBorders>
          </w:tcPr>
          <w:p w14:paraId="28F45293" w14:textId="77777777" w:rsidR="00DC48F2" w:rsidRPr="00100F0A" w:rsidRDefault="00DC48F2" w:rsidP="00DC48F2">
            <w:r w:rsidRPr="00100F0A">
              <w:t>Best</w:t>
            </w:r>
          </w:p>
        </w:tc>
        <w:tc>
          <w:tcPr>
            <w:tcW w:w="1134" w:type="dxa"/>
            <w:vMerge w:val="restart"/>
            <w:vAlign w:val="center"/>
          </w:tcPr>
          <w:p w14:paraId="40109164" w14:textId="77777777" w:rsidR="00DC48F2" w:rsidRPr="00100F0A" w:rsidRDefault="00DC48F2" w:rsidP="00DC48F2">
            <w:pPr>
              <w:cnfStyle w:val="000000000000" w:firstRow="0" w:lastRow="0" w:firstColumn="0" w:lastColumn="0" w:oddVBand="0" w:evenVBand="0" w:oddHBand="0" w:evenHBand="0" w:firstRowFirstColumn="0" w:firstRowLastColumn="0" w:lastRowFirstColumn="0" w:lastRowLastColumn="0"/>
            </w:pPr>
            <w:r w:rsidRPr="00100F0A">
              <w:t>ACT, NSW, NT, Qld, SA, Tas, Vic, WA</w:t>
            </w:r>
          </w:p>
        </w:tc>
        <w:tc>
          <w:tcPr>
            <w:tcW w:w="4395" w:type="dxa"/>
            <w:tcBorders>
              <w:bottom w:val="dotted" w:sz="4" w:space="0" w:color="AAABD6"/>
            </w:tcBorders>
            <w:vAlign w:val="bottom"/>
          </w:tcPr>
          <w:p w14:paraId="56A687D0" w14:textId="33C5DDF0" w:rsidR="00DC48F2" w:rsidRPr="00100F0A" w:rsidRDefault="00C34F48" w:rsidP="00DC48F2">
            <w:pPr>
              <w:cnfStyle w:val="000000000000" w:firstRow="0" w:lastRow="0" w:firstColumn="0" w:lastColumn="0" w:oddVBand="0" w:evenVBand="0" w:oddHBand="0" w:evenHBand="0" w:firstRowFirstColumn="0" w:firstRowLastColumn="0" w:lastRowFirstColumn="0" w:lastRowLastColumn="0"/>
            </w:pPr>
            <w:r>
              <w:rPr>
                <w:rFonts w:cs="Calibri"/>
                <w:color w:val="000000"/>
              </w:rPr>
              <w:t>20-year average</w:t>
            </w:r>
            <w:r w:rsidR="00DC48F2" w:rsidRPr="00100F0A">
              <w:rPr>
                <w:rFonts w:cs="Calibri"/>
                <w:color w:val="000000"/>
              </w:rPr>
              <w:t xml:space="preserve"> annual economic growth </w:t>
            </w:r>
          </w:p>
        </w:tc>
        <w:tc>
          <w:tcPr>
            <w:tcW w:w="803" w:type="dxa"/>
            <w:tcBorders>
              <w:bottom w:val="dotted" w:sz="4" w:space="0" w:color="AAABD6"/>
            </w:tcBorders>
          </w:tcPr>
          <w:p w14:paraId="4DB51246" w14:textId="6F605071" w:rsidR="00DC48F2" w:rsidRPr="00100F0A" w:rsidRDefault="00DC48F2"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2.8%</w:t>
            </w:r>
          </w:p>
        </w:tc>
        <w:tc>
          <w:tcPr>
            <w:tcW w:w="803" w:type="dxa"/>
            <w:tcBorders>
              <w:bottom w:val="dotted" w:sz="4" w:space="0" w:color="AAABD6"/>
            </w:tcBorders>
          </w:tcPr>
          <w:p w14:paraId="368AEDDC" w14:textId="77777777" w:rsidR="00DC48F2" w:rsidRPr="00100F0A" w:rsidRDefault="00DC48F2"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803" w:type="dxa"/>
            <w:tcBorders>
              <w:bottom w:val="dotted" w:sz="4" w:space="0" w:color="AAABD6"/>
            </w:tcBorders>
          </w:tcPr>
          <w:p w14:paraId="0AD3D004" w14:textId="71027D74" w:rsidR="00DC48F2" w:rsidRPr="00100F0A" w:rsidRDefault="00DC48F2"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2.8%</w:t>
            </w:r>
          </w:p>
        </w:tc>
      </w:tr>
      <w:tr w:rsidR="00DC48F2" w:rsidRPr="00100F0A" w14:paraId="2FD22663" w14:textId="77777777" w:rsidTr="00DC48F2">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AAABD6"/>
              <w:bottom w:val="dotted" w:sz="4" w:space="0" w:color="AAABD6"/>
            </w:tcBorders>
          </w:tcPr>
          <w:p w14:paraId="78D52C02" w14:textId="77777777" w:rsidR="00DC48F2" w:rsidRPr="00100F0A" w:rsidRDefault="00DC48F2" w:rsidP="00DC48F2">
            <w:r w:rsidRPr="00100F0A">
              <w:t>High</w:t>
            </w:r>
          </w:p>
        </w:tc>
        <w:tc>
          <w:tcPr>
            <w:tcW w:w="1134" w:type="dxa"/>
            <w:vMerge/>
            <w:vAlign w:val="center"/>
          </w:tcPr>
          <w:p w14:paraId="25065106" w14:textId="77777777" w:rsidR="00DC48F2" w:rsidRPr="00100F0A" w:rsidRDefault="00DC48F2" w:rsidP="00DC48F2">
            <w:pPr>
              <w:cnfStyle w:val="000000000000" w:firstRow="0" w:lastRow="0" w:firstColumn="0" w:lastColumn="0" w:oddVBand="0" w:evenVBand="0" w:oddHBand="0" w:evenHBand="0" w:firstRowFirstColumn="0" w:firstRowLastColumn="0" w:lastRowFirstColumn="0" w:lastRowLastColumn="0"/>
            </w:pPr>
          </w:p>
        </w:tc>
        <w:tc>
          <w:tcPr>
            <w:tcW w:w="4395" w:type="dxa"/>
            <w:tcBorders>
              <w:top w:val="dotted" w:sz="4" w:space="0" w:color="AAABD6"/>
              <w:bottom w:val="dotted" w:sz="4" w:space="0" w:color="AAABD6"/>
            </w:tcBorders>
            <w:vAlign w:val="bottom"/>
          </w:tcPr>
          <w:p w14:paraId="7E5F163D" w14:textId="44ABBF0E" w:rsidR="00DC48F2" w:rsidRPr="00100F0A" w:rsidRDefault="00DC48F2" w:rsidP="00DC48F2">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Vic long-term CAGR as indicative of others</w:t>
            </w:r>
          </w:p>
        </w:tc>
        <w:tc>
          <w:tcPr>
            <w:tcW w:w="803" w:type="dxa"/>
            <w:tcBorders>
              <w:top w:val="dotted" w:sz="4" w:space="0" w:color="AAABD6"/>
              <w:bottom w:val="dotted" w:sz="4" w:space="0" w:color="AAABD6"/>
            </w:tcBorders>
          </w:tcPr>
          <w:p w14:paraId="20E511CE" w14:textId="23F4143A" w:rsidR="00DC48F2" w:rsidRPr="00100F0A" w:rsidRDefault="00DC48F2"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4.1%</w:t>
            </w:r>
          </w:p>
        </w:tc>
        <w:tc>
          <w:tcPr>
            <w:tcW w:w="803" w:type="dxa"/>
            <w:tcBorders>
              <w:top w:val="dotted" w:sz="4" w:space="0" w:color="AAABD6"/>
              <w:bottom w:val="dotted" w:sz="4" w:space="0" w:color="AAABD6"/>
            </w:tcBorders>
          </w:tcPr>
          <w:p w14:paraId="0EE8D831" w14:textId="77777777" w:rsidR="00DC48F2" w:rsidRPr="00100F0A" w:rsidRDefault="00DC48F2"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803" w:type="dxa"/>
            <w:tcBorders>
              <w:top w:val="dotted" w:sz="4" w:space="0" w:color="AAABD6"/>
              <w:bottom w:val="dotted" w:sz="4" w:space="0" w:color="AAABD6"/>
            </w:tcBorders>
          </w:tcPr>
          <w:p w14:paraId="15BA86CD" w14:textId="49DEB84F" w:rsidR="00DC48F2" w:rsidRPr="00100F0A" w:rsidRDefault="00DC48F2"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4.1%</w:t>
            </w:r>
          </w:p>
        </w:tc>
      </w:tr>
      <w:tr w:rsidR="00DC48F2" w:rsidRPr="00100F0A" w14:paraId="2CD86C93" w14:textId="77777777" w:rsidTr="00DC48F2">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AAABD6"/>
            </w:tcBorders>
          </w:tcPr>
          <w:p w14:paraId="2C177B7C" w14:textId="77777777" w:rsidR="00DC48F2" w:rsidRPr="00100F0A" w:rsidRDefault="00DC48F2" w:rsidP="00DC48F2">
            <w:r w:rsidRPr="00100F0A">
              <w:t>Low</w:t>
            </w:r>
          </w:p>
        </w:tc>
        <w:tc>
          <w:tcPr>
            <w:tcW w:w="1134" w:type="dxa"/>
            <w:vMerge/>
            <w:vAlign w:val="center"/>
          </w:tcPr>
          <w:p w14:paraId="1BE8FD85" w14:textId="77777777" w:rsidR="00DC48F2" w:rsidRPr="00100F0A" w:rsidRDefault="00DC48F2" w:rsidP="00DC48F2">
            <w:pPr>
              <w:cnfStyle w:val="000000000000" w:firstRow="0" w:lastRow="0" w:firstColumn="0" w:lastColumn="0" w:oddVBand="0" w:evenVBand="0" w:oddHBand="0" w:evenHBand="0" w:firstRowFirstColumn="0" w:firstRowLastColumn="0" w:lastRowFirstColumn="0" w:lastRowLastColumn="0"/>
            </w:pPr>
          </w:p>
        </w:tc>
        <w:tc>
          <w:tcPr>
            <w:tcW w:w="4395" w:type="dxa"/>
            <w:tcBorders>
              <w:top w:val="dotted" w:sz="4" w:space="0" w:color="AAABD6"/>
            </w:tcBorders>
            <w:vAlign w:val="bottom"/>
          </w:tcPr>
          <w:p w14:paraId="54529701" w14:textId="582B1206" w:rsidR="00DC48F2" w:rsidRPr="00100F0A" w:rsidRDefault="00C34F48" w:rsidP="00DC48F2">
            <w:pPr>
              <w:cnfStyle w:val="000000000000" w:firstRow="0" w:lastRow="0" w:firstColumn="0" w:lastColumn="0" w:oddVBand="0" w:evenVBand="0" w:oddHBand="0" w:evenHBand="0" w:firstRowFirstColumn="0" w:firstRowLastColumn="0" w:lastRowFirstColumn="0" w:lastRowLastColumn="0"/>
            </w:pPr>
            <w:r>
              <w:rPr>
                <w:rFonts w:cs="Calibri"/>
                <w:color w:val="000000"/>
              </w:rPr>
              <w:t>20-year average</w:t>
            </w:r>
            <w:r w:rsidR="00DC48F2" w:rsidRPr="00100F0A">
              <w:rPr>
                <w:rFonts w:cs="Calibri"/>
                <w:color w:val="000000"/>
              </w:rPr>
              <w:t xml:space="preserve"> annual population growth </w:t>
            </w:r>
          </w:p>
        </w:tc>
        <w:tc>
          <w:tcPr>
            <w:tcW w:w="803" w:type="dxa"/>
            <w:tcBorders>
              <w:top w:val="dotted" w:sz="4" w:space="0" w:color="AAABD6"/>
            </w:tcBorders>
          </w:tcPr>
          <w:p w14:paraId="7F77EA56" w14:textId="7B994CD3" w:rsidR="00DC48F2" w:rsidRPr="00100F0A" w:rsidRDefault="00DC48F2"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1.4%</w:t>
            </w:r>
          </w:p>
        </w:tc>
        <w:tc>
          <w:tcPr>
            <w:tcW w:w="803" w:type="dxa"/>
            <w:tcBorders>
              <w:top w:val="dotted" w:sz="4" w:space="0" w:color="AAABD6"/>
            </w:tcBorders>
          </w:tcPr>
          <w:p w14:paraId="3665D171" w14:textId="77777777" w:rsidR="00DC48F2" w:rsidRPr="00100F0A" w:rsidRDefault="00DC48F2"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803" w:type="dxa"/>
            <w:tcBorders>
              <w:top w:val="dotted" w:sz="4" w:space="0" w:color="AAABD6"/>
            </w:tcBorders>
          </w:tcPr>
          <w:p w14:paraId="7B209A9D" w14:textId="50E79F36" w:rsidR="00DC48F2" w:rsidRPr="00100F0A" w:rsidRDefault="00DC48F2"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1.4%</w:t>
            </w:r>
          </w:p>
        </w:tc>
      </w:tr>
    </w:tbl>
    <w:p w14:paraId="05CA20D8" w14:textId="77777777" w:rsidR="007E3BAE" w:rsidRPr="00100F0A" w:rsidRDefault="007E3BAE" w:rsidP="007E3BAE">
      <w:pPr>
        <w:pStyle w:val="BodyText"/>
      </w:pPr>
    </w:p>
    <w:p w14:paraId="365A9EFD" w14:textId="05208786" w:rsidR="007E3BAE" w:rsidRPr="00100F0A" w:rsidRDefault="007E3BAE" w:rsidP="007E3BAE">
      <w:pPr>
        <w:pStyle w:val="Caption"/>
      </w:pPr>
      <w:bookmarkStart w:id="209" w:name="_Toc425849236"/>
      <w:bookmarkStart w:id="210" w:name="_Toc13225593"/>
      <w:r w:rsidRPr="00100F0A">
        <w:t xml:space="preserve">Figure </w:t>
      </w:r>
      <w:r w:rsidR="007828B5" w:rsidRPr="00100F0A">
        <w:rPr>
          <w:noProof/>
        </w:rPr>
        <w:fldChar w:fldCharType="begin"/>
      </w:r>
      <w:r w:rsidR="007828B5" w:rsidRPr="00100F0A">
        <w:rPr>
          <w:noProof/>
        </w:rPr>
        <w:instrText xml:space="preserve"> SEQ Figure \* ARABIC </w:instrText>
      </w:r>
      <w:r w:rsidR="007828B5" w:rsidRPr="00100F0A">
        <w:rPr>
          <w:noProof/>
        </w:rPr>
        <w:fldChar w:fldCharType="separate"/>
      </w:r>
      <w:r w:rsidR="00EB634D">
        <w:rPr>
          <w:noProof/>
        </w:rPr>
        <w:t>20</w:t>
      </w:r>
      <w:r w:rsidR="007828B5" w:rsidRPr="00100F0A">
        <w:rPr>
          <w:noProof/>
        </w:rPr>
        <w:fldChar w:fldCharType="end"/>
      </w:r>
      <w:r w:rsidR="00C14F18">
        <w:rPr>
          <w:noProof/>
        </w:rPr>
        <w:t>:</w:t>
      </w:r>
      <w:r w:rsidRPr="00100F0A">
        <w:tab/>
        <w:t>Best, high and low national projection estimates of grease trap waste to 203</w:t>
      </w:r>
      <w:bookmarkEnd w:id="209"/>
      <w:r w:rsidR="00DC48F2" w:rsidRPr="00100F0A">
        <w:t>7</w:t>
      </w:r>
      <w:bookmarkEnd w:id="210"/>
    </w:p>
    <w:p w14:paraId="4D92234E" w14:textId="64257422" w:rsidR="007E3BAE" w:rsidRPr="00100F0A" w:rsidRDefault="00E61F3F" w:rsidP="007E3BAE">
      <w:r w:rsidRPr="00100F0A">
        <w:rPr>
          <w:noProof/>
          <w:lang w:eastAsia="en-AU"/>
        </w:rPr>
        <w:drawing>
          <wp:inline distT="0" distB="0" distL="0" distR="0" wp14:anchorId="0BE52DF2" wp14:editId="605EC12F">
            <wp:extent cx="5735955" cy="21151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5955" cy="2115185"/>
                    </a:xfrm>
                    <a:prstGeom prst="rect">
                      <a:avLst/>
                    </a:prstGeom>
                  </pic:spPr>
                </pic:pic>
              </a:graphicData>
            </a:graphic>
          </wp:inline>
        </w:drawing>
      </w:r>
    </w:p>
    <w:p w14:paraId="7A61478A" w14:textId="755A02E7" w:rsidR="007E3BAE" w:rsidRPr="00100F0A" w:rsidRDefault="007E3BAE" w:rsidP="005E702F">
      <w:pPr>
        <w:pStyle w:val="BodyText"/>
      </w:pPr>
    </w:p>
    <w:p w14:paraId="3A3DF283" w14:textId="386C194E" w:rsidR="00601CB2" w:rsidRPr="00100F0A" w:rsidRDefault="007E3BAE" w:rsidP="007E3BAE">
      <w:pPr>
        <w:pStyle w:val="Heading3"/>
      </w:pPr>
      <w:r w:rsidRPr="00100F0A">
        <w:t>Other K</w:t>
      </w:r>
      <w:r w:rsidR="00601CB2" w:rsidRPr="00100F0A">
        <w:t xml:space="preserve"> </w:t>
      </w:r>
      <w:r w:rsidRPr="00100F0A">
        <w:t>Other putrescible/organic waste</w:t>
      </w:r>
    </w:p>
    <w:p w14:paraId="6006DBC2" w14:textId="2DDF4857" w:rsidR="007E3BAE" w:rsidRPr="00100F0A" w:rsidRDefault="00601CB2" w:rsidP="00601CB2">
      <w:pPr>
        <w:rPr>
          <w:color w:val="080808"/>
        </w:rPr>
      </w:pPr>
      <w:r w:rsidRPr="00100F0A">
        <w:rPr>
          <w:color w:val="080808"/>
        </w:rPr>
        <w:t>T</w:t>
      </w:r>
      <w:r w:rsidR="007E3BAE" w:rsidRPr="00100F0A">
        <w:rPr>
          <w:color w:val="080808"/>
        </w:rPr>
        <w:t>his waste group</w:t>
      </w:r>
      <w:r w:rsidRPr="00100F0A">
        <w:rPr>
          <w:color w:val="080808"/>
        </w:rPr>
        <w:t xml:space="preserve"> represents the NEPM code</w:t>
      </w:r>
      <w:r w:rsidR="007E3BAE" w:rsidRPr="00100F0A">
        <w:rPr>
          <w:color w:val="080808"/>
        </w:rPr>
        <w:t>s:</w:t>
      </w:r>
    </w:p>
    <w:p w14:paraId="44F1B323" w14:textId="5D325AA7" w:rsidR="007E3BAE" w:rsidRPr="00100F0A" w:rsidRDefault="00601CB2" w:rsidP="007E3BAE">
      <w:pPr>
        <w:pStyle w:val="Bullet1"/>
      </w:pPr>
      <w:r w:rsidRPr="00100F0A">
        <w:rPr>
          <w:i/>
          <w:color w:val="080808"/>
        </w:rPr>
        <w:t xml:space="preserve">K100 </w:t>
      </w:r>
      <w:r w:rsidRPr="00100F0A">
        <w:rPr>
          <w:i/>
        </w:rPr>
        <w:t>Animal effluent and residues (abattoir effluent, poultry and fish processing wastes)</w:t>
      </w:r>
      <w:r w:rsidRPr="00100F0A">
        <w:t>, plus the wastes unique to Q</w:t>
      </w:r>
      <w:r w:rsidR="0003513C" w:rsidRPr="00100F0A">
        <w:t>ld</w:t>
      </w:r>
      <w:r w:rsidRPr="00100F0A">
        <w:t xml:space="preserve">: </w:t>
      </w:r>
      <w:r w:rsidRPr="00100F0A">
        <w:rPr>
          <w:i/>
        </w:rPr>
        <w:t>Liquid food processing waste</w:t>
      </w:r>
      <w:r w:rsidR="0003513C" w:rsidRPr="00100F0A">
        <w:t xml:space="preserve"> and Vic/WA</w:t>
      </w:r>
      <w:r w:rsidRPr="00100F0A">
        <w:t xml:space="preserve">: </w:t>
      </w:r>
      <w:r w:rsidRPr="00100F0A">
        <w:rPr>
          <w:i/>
        </w:rPr>
        <w:t>Food and beverage processing wastes</w:t>
      </w:r>
      <w:r w:rsidRPr="00100F0A">
        <w:t xml:space="preserve">, including animal and vegetable oils and derivatives, </w:t>
      </w:r>
      <w:r w:rsidR="0003513C" w:rsidRPr="00100F0A">
        <w:t>all three</w:t>
      </w:r>
      <w:r w:rsidRPr="00100F0A">
        <w:t xml:space="preserve"> </w:t>
      </w:r>
      <w:r w:rsidR="00DC48F2" w:rsidRPr="00100F0A">
        <w:t>described by their respective state tracking systems as ‘</w:t>
      </w:r>
      <w:r w:rsidR="007E3BAE" w:rsidRPr="00100F0A">
        <w:t>K200</w:t>
      </w:r>
      <w:r w:rsidR="00DC48F2" w:rsidRPr="00100F0A">
        <w:t>’</w:t>
      </w:r>
    </w:p>
    <w:p w14:paraId="7D5F81C9" w14:textId="2B63BFEA" w:rsidR="007E3BAE" w:rsidRPr="00100F0A" w:rsidRDefault="007E3BAE" w:rsidP="007E3BAE">
      <w:pPr>
        <w:pStyle w:val="Bullet1"/>
        <w:rPr>
          <w:i/>
        </w:rPr>
      </w:pPr>
      <w:r w:rsidRPr="00100F0A">
        <w:rPr>
          <w:i/>
        </w:rPr>
        <w:t>K140 Tannery wastes (including leather dust, ash, sludges and flours)</w:t>
      </w:r>
    </w:p>
    <w:p w14:paraId="2CC64455" w14:textId="2D615400" w:rsidR="007E3BAE" w:rsidRPr="00100F0A" w:rsidRDefault="007E3BAE" w:rsidP="007E3BAE">
      <w:pPr>
        <w:pStyle w:val="Bullet1"/>
        <w:rPr>
          <w:i/>
        </w:rPr>
      </w:pPr>
      <w:r w:rsidRPr="00100F0A">
        <w:rPr>
          <w:i/>
        </w:rPr>
        <w:t>K190 Wool scouring wastes.</w:t>
      </w:r>
    </w:p>
    <w:p w14:paraId="4281819E" w14:textId="77777777" w:rsidR="007E3BAE" w:rsidRPr="00100F0A" w:rsidRDefault="007E3BAE" w:rsidP="00601CB2">
      <w:pPr>
        <w:rPr>
          <w:rFonts w:cs="Times New Roman"/>
          <w:color w:val="000000"/>
          <w:szCs w:val="20"/>
        </w:rPr>
      </w:pPr>
    </w:p>
    <w:p w14:paraId="758D5970" w14:textId="261392D1" w:rsidR="00601CB2" w:rsidRPr="00100F0A" w:rsidRDefault="007E3BAE" w:rsidP="00601CB2">
      <w:pPr>
        <w:rPr>
          <w:color w:val="080808"/>
        </w:rPr>
      </w:pPr>
      <w:r w:rsidRPr="00100F0A">
        <w:rPr>
          <w:rFonts w:cs="Times New Roman"/>
          <w:color w:val="000000"/>
          <w:szCs w:val="20"/>
        </w:rPr>
        <w:t xml:space="preserve">K100 </w:t>
      </w:r>
      <w:r w:rsidR="00601CB2" w:rsidRPr="00100F0A">
        <w:rPr>
          <w:rFonts w:cs="Times New Roman"/>
          <w:color w:val="000000"/>
          <w:szCs w:val="20"/>
        </w:rPr>
        <w:t xml:space="preserve">Animal effluent and residues </w:t>
      </w:r>
      <w:r w:rsidRPr="00100F0A">
        <w:rPr>
          <w:rFonts w:cs="Times New Roman"/>
          <w:color w:val="000000"/>
          <w:szCs w:val="20"/>
        </w:rPr>
        <w:t>(and</w:t>
      </w:r>
      <w:r w:rsidR="00DC48F2" w:rsidRPr="00100F0A">
        <w:rPr>
          <w:rFonts w:cs="Times New Roman"/>
          <w:color w:val="000000"/>
          <w:szCs w:val="20"/>
        </w:rPr>
        <w:t xml:space="preserve"> K200 within it) </w:t>
      </w:r>
      <w:r w:rsidRPr="00100F0A">
        <w:rPr>
          <w:rFonts w:cs="Times New Roman"/>
          <w:color w:val="000000"/>
          <w:szCs w:val="20"/>
        </w:rPr>
        <w:t>makes up the bulk of this group</w:t>
      </w:r>
      <w:r w:rsidR="00DC48F2" w:rsidRPr="00100F0A">
        <w:rPr>
          <w:rFonts w:cs="Times New Roman"/>
          <w:color w:val="000000"/>
          <w:szCs w:val="20"/>
        </w:rPr>
        <w:t xml:space="preserve"> and</w:t>
      </w:r>
      <w:r w:rsidRPr="00100F0A">
        <w:rPr>
          <w:rFonts w:cs="Times New Roman"/>
          <w:color w:val="000000"/>
          <w:szCs w:val="20"/>
        </w:rPr>
        <w:t xml:space="preserve"> </w:t>
      </w:r>
      <w:r w:rsidR="00601CB2" w:rsidRPr="00100F0A">
        <w:rPr>
          <w:rFonts w:cs="Times New Roman"/>
          <w:color w:val="000000"/>
          <w:szCs w:val="20"/>
        </w:rPr>
        <w:t xml:space="preserve">includes abattoir wastes such as manure from the stockyards and the partly digested paunch or stomach content, as well as similar waste components from poultry and fish processing activities. It is notable that NSW </w:t>
      </w:r>
      <w:r w:rsidR="0003513C" w:rsidRPr="00100F0A">
        <w:rPr>
          <w:rFonts w:cs="Times New Roman"/>
          <w:color w:val="000000"/>
          <w:szCs w:val="20"/>
        </w:rPr>
        <w:t>does not</w:t>
      </w:r>
      <w:r w:rsidR="00601CB2" w:rsidRPr="00100F0A">
        <w:rPr>
          <w:rFonts w:cs="Times New Roman"/>
          <w:color w:val="000000"/>
          <w:szCs w:val="20"/>
        </w:rPr>
        <w:t xml:space="preserve"> track this waste group.</w:t>
      </w:r>
    </w:p>
    <w:p w14:paraId="6CCB37E2" w14:textId="77777777" w:rsidR="00601CB2" w:rsidRPr="00100F0A" w:rsidRDefault="00601CB2" w:rsidP="00931F74">
      <w:pPr>
        <w:pStyle w:val="Heading3-nonumber"/>
      </w:pPr>
      <w:r w:rsidRPr="00100F0A">
        <w:t>Summary analysis</w:t>
      </w:r>
    </w:p>
    <w:tbl>
      <w:tblPr>
        <w:tblStyle w:val="BETable11"/>
        <w:tblW w:w="5000" w:type="pct"/>
        <w:tblInd w:w="0" w:type="dxa"/>
        <w:tblBorders>
          <w:top w:val="single" w:sz="4" w:space="0" w:color="AAABD6"/>
          <w:left w:val="single" w:sz="4" w:space="0" w:color="AAABD6"/>
          <w:bottom w:val="single" w:sz="4" w:space="0" w:color="AAABD6"/>
          <w:right w:val="single" w:sz="4" w:space="0" w:color="AAABD6"/>
          <w:insideH w:val="single" w:sz="4" w:space="0" w:color="AAABD6"/>
          <w:insideV w:val="single" w:sz="4" w:space="0" w:color="AAABD6"/>
        </w:tblBorders>
        <w:tblLook w:val="04A0" w:firstRow="1" w:lastRow="0" w:firstColumn="1" w:lastColumn="0" w:noHBand="0" w:noVBand="1"/>
      </w:tblPr>
      <w:tblGrid>
        <w:gridCol w:w="2547"/>
        <w:gridCol w:w="2409"/>
        <w:gridCol w:w="2126"/>
        <w:gridCol w:w="1940"/>
      </w:tblGrid>
      <w:tr w:rsidR="0003513C" w:rsidRPr="00100F0A" w14:paraId="236F83F4" w14:textId="77777777" w:rsidTr="00DC48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1" w:type="pct"/>
            <w:tcBorders>
              <w:top w:val="single" w:sz="4" w:space="0" w:color="AAABD6"/>
              <w:left w:val="single" w:sz="4" w:space="0" w:color="AAABD6"/>
              <w:bottom w:val="single" w:sz="4" w:space="0" w:color="AAABD6"/>
            </w:tcBorders>
            <w:shd w:val="clear" w:color="auto" w:fill="AAABD6"/>
          </w:tcPr>
          <w:p w14:paraId="4B2BC60C" w14:textId="77777777" w:rsidR="00601CB2" w:rsidRPr="00100F0A" w:rsidRDefault="00601CB2" w:rsidP="002A3A54">
            <w:pPr>
              <w:pStyle w:val="BodyText"/>
              <w:rPr>
                <w:color w:val="FFFFFF" w:themeColor="background1"/>
              </w:rPr>
            </w:pPr>
            <w:r w:rsidRPr="00100F0A">
              <w:rPr>
                <w:color w:val="FFFFFF" w:themeColor="background1"/>
              </w:rPr>
              <w:t>Industry sources</w:t>
            </w:r>
          </w:p>
        </w:tc>
        <w:tc>
          <w:tcPr>
            <w:tcW w:w="1335" w:type="pct"/>
            <w:tcBorders>
              <w:top w:val="single" w:sz="4" w:space="0" w:color="AAABD6"/>
              <w:bottom w:val="single" w:sz="4" w:space="0" w:color="AAABD6"/>
            </w:tcBorders>
            <w:shd w:val="clear" w:color="auto" w:fill="AAABD6"/>
          </w:tcPr>
          <w:p w14:paraId="69599864" w14:textId="77777777" w:rsidR="00601CB2" w:rsidRPr="00100F0A" w:rsidRDefault="00601CB2"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Considerations</w:t>
            </w:r>
          </w:p>
        </w:tc>
        <w:tc>
          <w:tcPr>
            <w:tcW w:w="1178" w:type="pct"/>
            <w:tcBorders>
              <w:top w:val="single" w:sz="4" w:space="0" w:color="AAABD6"/>
              <w:bottom w:val="single" w:sz="4" w:space="0" w:color="AAABD6"/>
            </w:tcBorders>
            <w:shd w:val="clear" w:color="auto" w:fill="AAABD6"/>
          </w:tcPr>
          <w:p w14:paraId="2D3832F5" w14:textId="77777777" w:rsidR="00601CB2" w:rsidRPr="00100F0A" w:rsidRDefault="00601CB2"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Comments</w:t>
            </w:r>
          </w:p>
        </w:tc>
        <w:tc>
          <w:tcPr>
            <w:tcW w:w="1075" w:type="pct"/>
            <w:tcBorders>
              <w:top w:val="single" w:sz="4" w:space="0" w:color="AAABD6"/>
              <w:bottom w:val="single" w:sz="4" w:space="0" w:color="AAABD6"/>
              <w:right w:val="single" w:sz="4" w:space="0" w:color="AAABD6"/>
            </w:tcBorders>
            <w:shd w:val="clear" w:color="auto" w:fill="AAABD6"/>
          </w:tcPr>
          <w:p w14:paraId="6007B9CB" w14:textId="77777777" w:rsidR="00601CB2" w:rsidRPr="00100F0A" w:rsidRDefault="00601CB2"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r>
      <w:tr w:rsidR="00601CB2" w:rsidRPr="00100F0A" w14:paraId="065FB434" w14:textId="77777777" w:rsidTr="00DC48F2">
        <w:tc>
          <w:tcPr>
            <w:cnfStyle w:val="001000000000" w:firstRow="0" w:lastRow="0" w:firstColumn="1" w:lastColumn="0" w:oddVBand="0" w:evenVBand="0" w:oddHBand="0" w:evenHBand="0" w:firstRowFirstColumn="0" w:firstRowLastColumn="0" w:lastRowFirstColumn="0" w:lastRowLastColumn="0"/>
            <w:tcW w:w="1411" w:type="pct"/>
            <w:tcBorders>
              <w:top w:val="single" w:sz="4" w:space="0" w:color="AAABD6"/>
            </w:tcBorders>
          </w:tcPr>
          <w:p w14:paraId="76D2E5ED" w14:textId="77777777" w:rsidR="00710D71" w:rsidRPr="00100F0A" w:rsidRDefault="00710D71" w:rsidP="00E96D3C">
            <w:pPr>
              <w:pStyle w:val="ListParagraph"/>
              <w:numPr>
                <w:ilvl w:val="0"/>
                <w:numId w:val="24"/>
              </w:numPr>
              <w:ind w:left="426"/>
              <w:rPr>
                <w:color w:val="000000"/>
              </w:rPr>
            </w:pPr>
            <w:r w:rsidRPr="00100F0A">
              <w:rPr>
                <w:color w:val="000000"/>
              </w:rPr>
              <w:t xml:space="preserve">Meat and meat product manufacturing; </w:t>
            </w:r>
          </w:p>
          <w:p w14:paraId="0825EE01" w14:textId="4973492B" w:rsidR="00601CB2" w:rsidRPr="00100F0A" w:rsidRDefault="00601CB2" w:rsidP="00E96D3C">
            <w:pPr>
              <w:pStyle w:val="ListParagraph"/>
              <w:numPr>
                <w:ilvl w:val="0"/>
                <w:numId w:val="24"/>
              </w:numPr>
              <w:ind w:left="426"/>
              <w:rPr>
                <w:color w:val="000000"/>
              </w:rPr>
            </w:pPr>
            <w:r w:rsidRPr="00100F0A">
              <w:rPr>
                <w:color w:val="000000"/>
              </w:rPr>
              <w:t xml:space="preserve">Food </w:t>
            </w:r>
            <w:r w:rsidR="0003513C" w:rsidRPr="00100F0A">
              <w:rPr>
                <w:color w:val="000000"/>
              </w:rPr>
              <w:t xml:space="preserve">&amp; beverage </w:t>
            </w:r>
            <w:r w:rsidRPr="00100F0A">
              <w:rPr>
                <w:color w:val="000000"/>
              </w:rPr>
              <w:t>produ</w:t>
            </w:r>
            <w:r w:rsidR="0003513C" w:rsidRPr="00100F0A">
              <w:rPr>
                <w:color w:val="000000"/>
              </w:rPr>
              <w:t xml:space="preserve">ct manufacturing (meat, poultry, </w:t>
            </w:r>
            <w:r w:rsidRPr="00100F0A">
              <w:rPr>
                <w:color w:val="000000"/>
              </w:rPr>
              <w:t>dairy</w:t>
            </w:r>
            <w:r w:rsidR="0003513C" w:rsidRPr="00100F0A">
              <w:rPr>
                <w:color w:val="000000"/>
              </w:rPr>
              <w:t xml:space="preserve">, vegetable, </w:t>
            </w:r>
            <w:r w:rsidR="007E3BAE" w:rsidRPr="00100F0A">
              <w:rPr>
                <w:color w:val="000000"/>
              </w:rPr>
              <w:t xml:space="preserve">fruit, </w:t>
            </w:r>
            <w:r w:rsidR="0003513C" w:rsidRPr="00100F0A">
              <w:rPr>
                <w:color w:val="000000"/>
              </w:rPr>
              <w:t>beer, wine</w:t>
            </w:r>
            <w:r w:rsidR="007E3BAE" w:rsidRPr="00100F0A">
              <w:rPr>
                <w:color w:val="000000"/>
              </w:rPr>
              <w:t>, soft drinks</w:t>
            </w:r>
            <w:r w:rsidRPr="00100F0A">
              <w:rPr>
                <w:color w:val="000000"/>
              </w:rPr>
              <w:t>)</w:t>
            </w:r>
          </w:p>
          <w:p w14:paraId="0825DAE8" w14:textId="77777777" w:rsidR="00601CB2" w:rsidRPr="00100F0A" w:rsidRDefault="00601CB2" w:rsidP="00E96D3C">
            <w:pPr>
              <w:pStyle w:val="ListParagraph"/>
              <w:numPr>
                <w:ilvl w:val="0"/>
                <w:numId w:val="24"/>
              </w:numPr>
              <w:ind w:left="426"/>
              <w:rPr>
                <w:color w:val="000000"/>
              </w:rPr>
            </w:pPr>
            <w:r w:rsidRPr="00100F0A">
              <w:rPr>
                <w:color w:val="000000"/>
              </w:rPr>
              <w:t>Waste sector</w:t>
            </w:r>
          </w:p>
          <w:p w14:paraId="32283EFB" w14:textId="0D39FB1B" w:rsidR="00710D71" w:rsidRPr="00100F0A" w:rsidRDefault="00710D71" w:rsidP="00E96D3C">
            <w:pPr>
              <w:pStyle w:val="ListParagraph"/>
              <w:numPr>
                <w:ilvl w:val="0"/>
                <w:numId w:val="24"/>
              </w:numPr>
              <w:ind w:left="426"/>
              <w:rPr>
                <w:color w:val="000000"/>
              </w:rPr>
            </w:pPr>
            <w:r w:rsidRPr="00100F0A">
              <w:rPr>
                <w:color w:val="000000"/>
              </w:rPr>
              <w:t>Leather &amp; textiles manufacturing</w:t>
            </w:r>
          </w:p>
        </w:tc>
        <w:tc>
          <w:tcPr>
            <w:tcW w:w="1335" w:type="pct"/>
            <w:tcBorders>
              <w:top w:val="single" w:sz="4" w:space="0" w:color="AAABD6"/>
            </w:tcBorders>
          </w:tcPr>
          <w:p w14:paraId="2B83DB7C" w14:textId="0462FEFF" w:rsidR="00601CB2" w:rsidRPr="00100F0A" w:rsidRDefault="00601CB2" w:rsidP="002A3A54">
            <w:pPr>
              <w:pStyle w:val="BodyText"/>
              <w:cnfStyle w:val="000000000000" w:firstRow="0" w:lastRow="0" w:firstColumn="0" w:lastColumn="0" w:oddVBand="0" w:evenVBand="0" w:oddHBand="0" w:evenHBand="0" w:firstRowFirstColumn="0" w:firstRowLastColumn="0" w:lastRowFirstColumn="0" w:lastRowLastColumn="0"/>
            </w:pPr>
            <w:r w:rsidRPr="00100F0A">
              <w:t>No sufficiently credible pre-existing projections were identified</w:t>
            </w:r>
          </w:p>
          <w:p w14:paraId="64DD3B5A" w14:textId="77777777" w:rsidR="00710D71" w:rsidRPr="00100F0A" w:rsidRDefault="00710D71" w:rsidP="002A3A54">
            <w:pPr>
              <w:pStyle w:val="BodyText"/>
              <w:cnfStyle w:val="000000000000" w:firstRow="0" w:lastRow="0" w:firstColumn="0" w:lastColumn="0" w:oddVBand="0" w:evenVBand="0" w:oddHBand="0" w:evenHBand="0" w:firstRowFirstColumn="0" w:firstRowLastColumn="0" w:lastRowFirstColumn="0" w:lastRowLastColumn="0"/>
            </w:pPr>
          </w:p>
          <w:p w14:paraId="4D04F9E0" w14:textId="0EB3D296" w:rsidR="0003513C" w:rsidRPr="00100F0A" w:rsidRDefault="00710D71" w:rsidP="002A3A54">
            <w:pPr>
              <w:pStyle w:val="BodyText"/>
              <w:cnfStyle w:val="000000000000" w:firstRow="0" w:lastRow="0" w:firstColumn="0" w:lastColumn="0" w:oddVBand="0" w:evenVBand="0" w:oddHBand="0" w:evenHBand="0" w:firstRowFirstColumn="0" w:firstRowLastColumn="0" w:lastRowFirstColumn="0" w:lastRowLastColumn="0"/>
            </w:pPr>
            <w:r w:rsidRPr="00100F0A">
              <w:rPr>
                <w:color w:val="000000"/>
              </w:rPr>
              <w:t>Vic and WA trends are indicative of flat and steady growth respectively</w:t>
            </w:r>
          </w:p>
        </w:tc>
        <w:tc>
          <w:tcPr>
            <w:tcW w:w="1178" w:type="pct"/>
            <w:tcBorders>
              <w:top w:val="single" w:sz="4" w:space="0" w:color="AAABD6"/>
            </w:tcBorders>
          </w:tcPr>
          <w:p w14:paraId="52F2E648" w14:textId="77777777" w:rsidR="00601CB2" w:rsidRPr="00100F0A" w:rsidRDefault="00601CB2" w:rsidP="002A3A54">
            <w:pPr>
              <w:pStyle w:val="BodyText"/>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This waste is not tracked in NSW or SA</w:t>
            </w:r>
          </w:p>
        </w:tc>
        <w:tc>
          <w:tcPr>
            <w:tcW w:w="1075" w:type="pct"/>
            <w:tcBorders>
              <w:top w:val="single" w:sz="4" w:space="0" w:color="AAABD6"/>
            </w:tcBorders>
          </w:tcPr>
          <w:p w14:paraId="23E11797" w14:textId="1329D733" w:rsidR="00710D71" w:rsidRPr="00100F0A" w:rsidRDefault="00710D71" w:rsidP="00710D71">
            <w:pPr>
              <w:pStyle w:val="BodyText"/>
              <w:cnfStyle w:val="000000000000" w:firstRow="0" w:lastRow="0" w:firstColumn="0" w:lastColumn="0" w:oddVBand="0" w:evenVBand="0" w:oddHBand="0" w:evenHBand="0" w:firstRowFirstColumn="0" w:firstRowLastColumn="0" w:lastRowFirstColumn="0" w:lastRowLastColumn="0"/>
            </w:pPr>
            <w:r w:rsidRPr="00100F0A">
              <w:t>Best: meat production projected growth</w:t>
            </w:r>
          </w:p>
          <w:p w14:paraId="47316F8E" w14:textId="77777777" w:rsidR="00710D71" w:rsidRPr="00100F0A" w:rsidRDefault="00710D71" w:rsidP="00710D71">
            <w:pPr>
              <w:pStyle w:val="BodyText"/>
              <w:cnfStyle w:val="000000000000" w:firstRow="0" w:lastRow="0" w:firstColumn="0" w:lastColumn="0" w:oddVBand="0" w:evenVBand="0" w:oddHBand="0" w:evenHBand="0" w:firstRowFirstColumn="0" w:firstRowLastColumn="0" w:lastRowFirstColumn="0" w:lastRowLastColumn="0"/>
            </w:pPr>
          </w:p>
          <w:p w14:paraId="0D52B5DA" w14:textId="4E9184FC" w:rsidR="00710D71" w:rsidRPr="00100F0A" w:rsidRDefault="00710D71" w:rsidP="00710D71">
            <w:pPr>
              <w:pStyle w:val="BodyText"/>
              <w:cnfStyle w:val="000000000000" w:firstRow="0" w:lastRow="0" w:firstColumn="0" w:lastColumn="0" w:oddVBand="0" w:evenVBand="0" w:oddHBand="0" w:evenHBand="0" w:firstRowFirstColumn="0" w:firstRowLastColumn="0" w:lastRowFirstColumn="0" w:lastRowLastColumn="0"/>
            </w:pPr>
            <w:r w:rsidRPr="00100F0A">
              <w:t>High: economic growth</w:t>
            </w:r>
          </w:p>
          <w:p w14:paraId="3FA78EB0" w14:textId="77777777" w:rsidR="00710D71" w:rsidRPr="00100F0A" w:rsidRDefault="00710D71" w:rsidP="00710D71">
            <w:pPr>
              <w:pStyle w:val="BodyText"/>
              <w:cnfStyle w:val="000000000000" w:firstRow="0" w:lastRow="0" w:firstColumn="0" w:lastColumn="0" w:oddVBand="0" w:evenVBand="0" w:oddHBand="0" w:evenHBand="0" w:firstRowFirstColumn="0" w:firstRowLastColumn="0" w:lastRowFirstColumn="0" w:lastRowLastColumn="0"/>
            </w:pPr>
          </w:p>
          <w:p w14:paraId="4B79452D" w14:textId="4FC351E6" w:rsidR="00601CB2" w:rsidRPr="00100F0A" w:rsidRDefault="00710D71" w:rsidP="002A3A54">
            <w:pPr>
              <w:pStyle w:val="BodyText"/>
              <w:cnfStyle w:val="000000000000" w:firstRow="0" w:lastRow="0" w:firstColumn="0" w:lastColumn="0" w:oddVBand="0" w:evenVBand="0" w:oddHBand="0" w:evenHBand="0" w:firstRowFirstColumn="0" w:firstRowLastColumn="0" w:lastRowFirstColumn="0" w:lastRowLastColumn="0"/>
            </w:pPr>
            <w:r w:rsidRPr="00100F0A">
              <w:t>Low: Population growth</w:t>
            </w:r>
            <w:r w:rsidRPr="00100F0A">
              <w:br w:type="page"/>
            </w:r>
          </w:p>
        </w:tc>
      </w:tr>
    </w:tbl>
    <w:p w14:paraId="4325C425" w14:textId="77777777" w:rsidR="00625FC3" w:rsidRDefault="00625FC3" w:rsidP="00273FA6">
      <w:pPr>
        <w:pStyle w:val="Caption"/>
      </w:pPr>
      <w:bookmarkStart w:id="211" w:name="_Toc425849305"/>
    </w:p>
    <w:p w14:paraId="4A4B7A3E" w14:textId="28746E0A" w:rsidR="00601CB2" w:rsidRPr="00100F0A" w:rsidRDefault="00601CB2" w:rsidP="00273FA6">
      <w:pPr>
        <w:pStyle w:val="Caption"/>
      </w:pPr>
      <w:bookmarkStart w:id="212" w:name="_Toc13225643"/>
      <w:r w:rsidRPr="00100F0A">
        <w:t xml:space="preserve">Table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24</w:t>
      </w:r>
      <w:r w:rsidR="00B404A6" w:rsidRPr="00100F0A">
        <w:rPr>
          <w:noProof/>
        </w:rPr>
        <w:fldChar w:fldCharType="end"/>
      </w:r>
      <w:r w:rsidR="00C14F18">
        <w:rPr>
          <w:noProof/>
        </w:rPr>
        <w:t>:</w:t>
      </w:r>
      <w:r w:rsidR="00D11FEE" w:rsidRPr="00100F0A">
        <w:tab/>
      </w:r>
      <w:r w:rsidRPr="00100F0A">
        <w:t xml:space="preserve">Best, high and low projected rates of change for </w:t>
      </w:r>
      <w:r w:rsidR="00625FC3">
        <w:t>o</w:t>
      </w:r>
      <w:r w:rsidR="00710D71" w:rsidRPr="00100F0A">
        <w:t>ther putrescible/organic waste</w:t>
      </w:r>
      <w:r w:rsidRPr="00100F0A">
        <w:t xml:space="preserve"> to 203</w:t>
      </w:r>
      <w:bookmarkEnd w:id="211"/>
      <w:r w:rsidR="0003513C" w:rsidRPr="00100F0A">
        <w:t>7</w:t>
      </w:r>
      <w:bookmarkEnd w:id="212"/>
    </w:p>
    <w:tbl>
      <w:tblPr>
        <w:tblStyle w:val="BETable1"/>
        <w:tblW w:w="9072" w:type="dxa"/>
        <w:tblBorders>
          <w:top w:val="single" w:sz="4" w:space="0" w:color="AAABD6"/>
          <w:left w:val="single" w:sz="4" w:space="0" w:color="AAABD6"/>
          <w:right w:val="single" w:sz="4" w:space="0" w:color="AAABD6"/>
          <w:insideH w:val="single" w:sz="4" w:space="0" w:color="AAABD6"/>
          <w:insideV w:val="single" w:sz="4" w:space="0" w:color="AAABD6"/>
        </w:tblBorders>
        <w:tblLayout w:type="fixed"/>
        <w:tblLook w:val="04A0" w:firstRow="1" w:lastRow="0" w:firstColumn="1" w:lastColumn="0" w:noHBand="0" w:noVBand="1"/>
      </w:tblPr>
      <w:tblGrid>
        <w:gridCol w:w="1134"/>
        <w:gridCol w:w="1134"/>
        <w:gridCol w:w="4395"/>
        <w:gridCol w:w="221"/>
        <w:gridCol w:w="851"/>
        <w:gridCol w:w="534"/>
        <w:gridCol w:w="803"/>
      </w:tblGrid>
      <w:tr w:rsidR="00710D71" w:rsidRPr="00100F0A" w14:paraId="76AC090C" w14:textId="77777777" w:rsidTr="00710D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AABD6"/>
              <w:left w:val="single" w:sz="4" w:space="0" w:color="AAABD6"/>
              <w:bottom w:val="single" w:sz="4" w:space="0" w:color="AAABD6"/>
            </w:tcBorders>
            <w:shd w:val="clear" w:color="auto" w:fill="AAABD6"/>
          </w:tcPr>
          <w:p w14:paraId="4C9D7743" w14:textId="77777777" w:rsidR="00601CB2" w:rsidRPr="00100F0A" w:rsidRDefault="00601CB2" w:rsidP="002A3A54">
            <w:pPr>
              <w:rPr>
                <w:color w:val="FFFFFF" w:themeColor="background1"/>
              </w:rPr>
            </w:pPr>
          </w:p>
        </w:tc>
        <w:tc>
          <w:tcPr>
            <w:tcW w:w="1134" w:type="dxa"/>
            <w:tcBorders>
              <w:top w:val="single" w:sz="4" w:space="0" w:color="AAABD6"/>
              <w:bottom w:val="single" w:sz="4" w:space="0" w:color="AAABD6"/>
            </w:tcBorders>
            <w:shd w:val="clear" w:color="auto" w:fill="AAABD6"/>
          </w:tcPr>
          <w:p w14:paraId="4FF51DE8" w14:textId="77777777" w:rsidR="00601CB2" w:rsidRPr="00100F0A" w:rsidRDefault="00601CB2" w:rsidP="002A3A5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Applies to</w:t>
            </w:r>
          </w:p>
        </w:tc>
        <w:tc>
          <w:tcPr>
            <w:tcW w:w="4395" w:type="dxa"/>
            <w:tcBorders>
              <w:top w:val="single" w:sz="4" w:space="0" w:color="AAABD6"/>
              <w:bottom w:val="single" w:sz="4" w:space="0" w:color="AAABD6"/>
            </w:tcBorders>
            <w:shd w:val="clear" w:color="auto" w:fill="AAABD6"/>
          </w:tcPr>
          <w:p w14:paraId="09891B96" w14:textId="77777777" w:rsidR="00601CB2" w:rsidRPr="00100F0A" w:rsidRDefault="00601CB2" w:rsidP="002A3A5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c>
          <w:tcPr>
            <w:tcW w:w="1072" w:type="dxa"/>
            <w:gridSpan w:val="2"/>
            <w:tcBorders>
              <w:top w:val="single" w:sz="4" w:space="0" w:color="AAABD6"/>
              <w:bottom w:val="single" w:sz="4" w:space="0" w:color="AAABD6"/>
            </w:tcBorders>
            <w:shd w:val="clear" w:color="auto" w:fill="AAABD6"/>
          </w:tcPr>
          <w:p w14:paraId="6BF3F5D9" w14:textId="2DC65D4F" w:rsidR="00601CB2" w:rsidRPr="00100F0A" w:rsidRDefault="00710D71" w:rsidP="004206B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2018</w:t>
            </w:r>
          </w:p>
        </w:tc>
        <w:tc>
          <w:tcPr>
            <w:tcW w:w="534" w:type="dxa"/>
            <w:tcBorders>
              <w:top w:val="single" w:sz="4" w:space="0" w:color="AAABD6"/>
              <w:bottom w:val="single" w:sz="4" w:space="0" w:color="AAABD6"/>
            </w:tcBorders>
            <w:shd w:val="clear" w:color="auto" w:fill="AAABD6"/>
          </w:tcPr>
          <w:p w14:paraId="092B740E" w14:textId="77777777" w:rsidR="00601CB2" w:rsidRPr="00100F0A" w:rsidRDefault="00601CB2" w:rsidP="004206B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w:t>
            </w:r>
          </w:p>
        </w:tc>
        <w:tc>
          <w:tcPr>
            <w:tcW w:w="803" w:type="dxa"/>
            <w:tcBorders>
              <w:top w:val="single" w:sz="4" w:space="0" w:color="AAABD6"/>
              <w:bottom w:val="single" w:sz="4" w:space="0" w:color="AAABD6"/>
              <w:right w:val="single" w:sz="4" w:space="0" w:color="AAABD6"/>
            </w:tcBorders>
            <w:shd w:val="clear" w:color="auto" w:fill="AAABD6"/>
          </w:tcPr>
          <w:p w14:paraId="630FF80D" w14:textId="65780745" w:rsidR="00601CB2" w:rsidRPr="00100F0A" w:rsidRDefault="00710D71" w:rsidP="004206B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2037</w:t>
            </w:r>
          </w:p>
        </w:tc>
      </w:tr>
      <w:tr w:rsidR="00C2454F" w:rsidRPr="00100F0A" w14:paraId="0CCA95AE" w14:textId="77777777" w:rsidTr="004D1060">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AABD6"/>
              <w:bottom w:val="dotted" w:sz="4" w:space="0" w:color="AAABD6"/>
            </w:tcBorders>
          </w:tcPr>
          <w:p w14:paraId="40E41B01" w14:textId="77777777" w:rsidR="00C2454F" w:rsidRPr="00100F0A" w:rsidRDefault="00C2454F" w:rsidP="00C2454F">
            <w:r w:rsidRPr="00100F0A">
              <w:t>Best</w:t>
            </w:r>
          </w:p>
        </w:tc>
        <w:tc>
          <w:tcPr>
            <w:tcW w:w="1134" w:type="dxa"/>
            <w:vMerge w:val="restart"/>
            <w:tcBorders>
              <w:top w:val="single" w:sz="4" w:space="0" w:color="AAABD6"/>
            </w:tcBorders>
            <w:vAlign w:val="center"/>
          </w:tcPr>
          <w:p w14:paraId="09ECC2C5" w14:textId="77777777" w:rsidR="00C2454F" w:rsidRPr="00100F0A" w:rsidRDefault="00C2454F" w:rsidP="00C2454F">
            <w:pPr>
              <w:cnfStyle w:val="000000000000" w:firstRow="0" w:lastRow="0" w:firstColumn="0" w:lastColumn="0" w:oddVBand="0" w:evenVBand="0" w:oddHBand="0" w:evenHBand="0" w:firstRowFirstColumn="0" w:firstRowLastColumn="0" w:lastRowFirstColumn="0" w:lastRowLastColumn="0"/>
            </w:pPr>
            <w:r w:rsidRPr="00100F0A">
              <w:t>ACT, NSW, NT, Qld, SA, Tas, Vic, WA</w:t>
            </w:r>
          </w:p>
        </w:tc>
        <w:tc>
          <w:tcPr>
            <w:tcW w:w="4616" w:type="dxa"/>
            <w:gridSpan w:val="2"/>
            <w:tcBorders>
              <w:top w:val="single" w:sz="4" w:space="0" w:color="AAABD6"/>
              <w:bottom w:val="dotted" w:sz="4" w:space="0" w:color="AAABD6"/>
            </w:tcBorders>
            <w:vAlign w:val="bottom"/>
          </w:tcPr>
          <w:p w14:paraId="5AF8A507" w14:textId="3C3F80A0" w:rsidR="00C2454F" w:rsidRPr="00100F0A" w:rsidRDefault="00C2454F" w:rsidP="00C2454F">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Av. projected ann. growth in meat production 2018-23</w:t>
            </w:r>
          </w:p>
        </w:tc>
        <w:tc>
          <w:tcPr>
            <w:tcW w:w="851" w:type="dxa"/>
            <w:tcBorders>
              <w:top w:val="single" w:sz="4" w:space="0" w:color="AAABD6"/>
              <w:bottom w:val="dotted" w:sz="4" w:space="0" w:color="AAABD6"/>
            </w:tcBorders>
            <w:vAlign w:val="bottom"/>
          </w:tcPr>
          <w:p w14:paraId="0FDFF6DB" w14:textId="3196C842" w:rsidR="00C2454F" w:rsidRPr="00100F0A" w:rsidRDefault="00C2454F"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2.7%</w:t>
            </w:r>
          </w:p>
        </w:tc>
        <w:tc>
          <w:tcPr>
            <w:tcW w:w="534" w:type="dxa"/>
            <w:tcBorders>
              <w:top w:val="single" w:sz="4" w:space="0" w:color="AAABD6"/>
              <w:bottom w:val="dotted" w:sz="4" w:space="0" w:color="AAABD6"/>
            </w:tcBorders>
          </w:tcPr>
          <w:p w14:paraId="1E0DE5F5" w14:textId="77777777" w:rsidR="00C2454F" w:rsidRPr="00100F0A" w:rsidRDefault="00C2454F"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803" w:type="dxa"/>
            <w:tcBorders>
              <w:top w:val="single" w:sz="4" w:space="0" w:color="AAABD6"/>
              <w:bottom w:val="dotted" w:sz="4" w:space="0" w:color="AAABD6"/>
            </w:tcBorders>
            <w:vAlign w:val="bottom"/>
          </w:tcPr>
          <w:p w14:paraId="163BBCE7" w14:textId="71B21C31" w:rsidR="00C2454F" w:rsidRPr="00100F0A" w:rsidRDefault="00C2454F"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2.7%</w:t>
            </w:r>
          </w:p>
        </w:tc>
      </w:tr>
      <w:tr w:rsidR="00C2454F" w:rsidRPr="00100F0A" w14:paraId="397627C9" w14:textId="77777777" w:rsidTr="004D1060">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AAABD6"/>
              <w:bottom w:val="dotted" w:sz="4" w:space="0" w:color="AAABD6"/>
            </w:tcBorders>
          </w:tcPr>
          <w:p w14:paraId="52DCEAAF" w14:textId="77777777" w:rsidR="00C2454F" w:rsidRPr="00100F0A" w:rsidRDefault="00C2454F" w:rsidP="00C2454F">
            <w:r w:rsidRPr="00100F0A">
              <w:t>High</w:t>
            </w:r>
          </w:p>
        </w:tc>
        <w:tc>
          <w:tcPr>
            <w:tcW w:w="1134" w:type="dxa"/>
            <w:vMerge/>
            <w:vAlign w:val="center"/>
          </w:tcPr>
          <w:p w14:paraId="00241771" w14:textId="77777777" w:rsidR="00C2454F" w:rsidRPr="00100F0A" w:rsidRDefault="00C2454F" w:rsidP="00C2454F">
            <w:pPr>
              <w:cnfStyle w:val="000000000000" w:firstRow="0" w:lastRow="0" w:firstColumn="0" w:lastColumn="0" w:oddVBand="0" w:evenVBand="0" w:oddHBand="0" w:evenHBand="0" w:firstRowFirstColumn="0" w:firstRowLastColumn="0" w:lastRowFirstColumn="0" w:lastRowLastColumn="0"/>
            </w:pPr>
          </w:p>
        </w:tc>
        <w:tc>
          <w:tcPr>
            <w:tcW w:w="4616" w:type="dxa"/>
            <w:gridSpan w:val="2"/>
            <w:tcBorders>
              <w:top w:val="dotted" w:sz="4" w:space="0" w:color="AAABD6"/>
              <w:bottom w:val="dotted" w:sz="4" w:space="0" w:color="AAABD6"/>
            </w:tcBorders>
            <w:vAlign w:val="bottom"/>
          </w:tcPr>
          <w:p w14:paraId="03A3F1B1" w14:textId="707BD2E5" w:rsidR="00C2454F" w:rsidRPr="00100F0A" w:rsidRDefault="00C34F48" w:rsidP="00C2454F">
            <w:pPr>
              <w:cnfStyle w:val="000000000000" w:firstRow="0" w:lastRow="0" w:firstColumn="0" w:lastColumn="0" w:oddVBand="0" w:evenVBand="0" w:oddHBand="0" w:evenHBand="0" w:firstRowFirstColumn="0" w:firstRowLastColumn="0" w:lastRowFirstColumn="0" w:lastRowLastColumn="0"/>
            </w:pPr>
            <w:r>
              <w:rPr>
                <w:rFonts w:cs="Calibri"/>
                <w:color w:val="000000"/>
              </w:rPr>
              <w:t>20-year average</w:t>
            </w:r>
            <w:r w:rsidR="00C2454F" w:rsidRPr="00100F0A">
              <w:rPr>
                <w:rFonts w:cs="Calibri"/>
                <w:color w:val="000000"/>
              </w:rPr>
              <w:t xml:space="preserve"> annual economic growth </w:t>
            </w:r>
          </w:p>
        </w:tc>
        <w:tc>
          <w:tcPr>
            <w:tcW w:w="851" w:type="dxa"/>
            <w:tcBorders>
              <w:top w:val="dotted" w:sz="4" w:space="0" w:color="AAABD6"/>
              <w:bottom w:val="dotted" w:sz="4" w:space="0" w:color="AAABD6"/>
            </w:tcBorders>
            <w:vAlign w:val="bottom"/>
          </w:tcPr>
          <w:p w14:paraId="437BCA26" w14:textId="4937AF3D" w:rsidR="00C2454F" w:rsidRPr="00100F0A" w:rsidRDefault="00C2454F"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2.8%</w:t>
            </w:r>
          </w:p>
        </w:tc>
        <w:tc>
          <w:tcPr>
            <w:tcW w:w="534" w:type="dxa"/>
            <w:tcBorders>
              <w:top w:val="dotted" w:sz="4" w:space="0" w:color="AAABD6"/>
              <w:bottom w:val="dotted" w:sz="4" w:space="0" w:color="AAABD6"/>
            </w:tcBorders>
          </w:tcPr>
          <w:p w14:paraId="7F06FA84" w14:textId="77777777" w:rsidR="00C2454F" w:rsidRPr="00100F0A" w:rsidRDefault="00C2454F"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803" w:type="dxa"/>
            <w:tcBorders>
              <w:top w:val="dotted" w:sz="4" w:space="0" w:color="AAABD6"/>
              <w:bottom w:val="dotted" w:sz="4" w:space="0" w:color="AAABD6"/>
            </w:tcBorders>
            <w:vAlign w:val="bottom"/>
          </w:tcPr>
          <w:p w14:paraId="49C5846D" w14:textId="1A0B59E5" w:rsidR="00C2454F" w:rsidRPr="00100F0A" w:rsidRDefault="00C2454F"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2.8%</w:t>
            </w:r>
          </w:p>
        </w:tc>
      </w:tr>
      <w:tr w:rsidR="00C2454F" w:rsidRPr="00100F0A" w14:paraId="1D643D07" w14:textId="77777777" w:rsidTr="004D1060">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AAABD6"/>
              <w:bottom w:val="single" w:sz="4" w:space="0" w:color="AAABD6"/>
            </w:tcBorders>
          </w:tcPr>
          <w:p w14:paraId="04E109DD" w14:textId="77777777" w:rsidR="00C2454F" w:rsidRPr="00100F0A" w:rsidRDefault="00C2454F" w:rsidP="00C2454F">
            <w:r w:rsidRPr="00100F0A">
              <w:t>Low</w:t>
            </w:r>
          </w:p>
        </w:tc>
        <w:tc>
          <w:tcPr>
            <w:tcW w:w="1134" w:type="dxa"/>
            <w:vMerge/>
            <w:tcBorders>
              <w:bottom w:val="single" w:sz="4" w:space="0" w:color="AAABD6"/>
            </w:tcBorders>
            <w:vAlign w:val="center"/>
          </w:tcPr>
          <w:p w14:paraId="48440D78" w14:textId="77777777" w:rsidR="00C2454F" w:rsidRPr="00100F0A" w:rsidRDefault="00C2454F" w:rsidP="00C2454F">
            <w:pPr>
              <w:cnfStyle w:val="000000000000" w:firstRow="0" w:lastRow="0" w:firstColumn="0" w:lastColumn="0" w:oddVBand="0" w:evenVBand="0" w:oddHBand="0" w:evenHBand="0" w:firstRowFirstColumn="0" w:firstRowLastColumn="0" w:lastRowFirstColumn="0" w:lastRowLastColumn="0"/>
            </w:pPr>
          </w:p>
        </w:tc>
        <w:tc>
          <w:tcPr>
            <w:tcW w:w="4616" w:type="dxa"/>
            <w:gridSpan w:val="2"/>
            <w:tcBorders>
              <w:top w:val="dotted" w:sz="4" w:space="0" w:color="AAABD6"/>
              <w:bottom w:val="single" w:sz="4" w:space="0" w:color="AAABD6"/>
            </w:tcBorders>
            <w:vAlign w:val="bottom"/>
          </w:tcPr>
          <w:p w14:paraId="75C5988C" w14:textId="6A1B88DE" w:rsidR="00C2454F" w:rsidRPr="00100F0A" w:rsidRDefault="00C34F48" w:rsidP="00C2454F">
            <w:pPr>
              <w:cnfStyle w:val="000000000000" w:firstRow="0" w:lastRow="0" w:firstColumn="0" w:lastColumn="0" w:oddVBand="0" w:evenVBand="0" w:oddHBand="0" w:evenHBand="0" w:firstRowFirstColumn="0" w:firstRowLastColumn="0" w:lastRowFirstColumn="0" w:lastRowLastColumn="0"/>
            </w:pPr>
            <w:r>
              <w:rPr>
                <w:rFonts w:cs="Calibri"/>
                <w:color w:val="000000"/>
              </w:rPr>
              <w:t>20-year average</w:t>
            </w:r>
            <w:r w:rsidR="00C2454F" w:rsidRPr="00100F0A">
              <w:rPr>
                <w:rFonts w:cs="Calibri"/>
                <w:color w:val="000000"/>
              </w:rPr>
              <w:t xml:space="preserve"> annual population growth </w:t>
            </w:r>
          </w:p>
        </w:tc>
        <w:tc>
          <w:tcPr>
            <w:tcW w:w="851" w:type="dxa"/>
            <w:tcBorders>
              <w:top w:val="dotted" w:sz="4" w:space="0" w:color="AAABD6"/>
              <w:bottom w:val="single" w:sz="4" w:space="0" w:color="AAABD6"/>
            </w:tcBorders>
            <w:vAlign w:val="bottom"/>
          </w:tcPr>
          <w:p w14:paraId="387A188A" w14:textId="60560260" w:rsidR="00C2454F" w:rsidRPr="00100F0A" w:rsidRDefault="00C2454F"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1.4%</w:t>
            </w:r>
          </w:p>
        </w:tc>
        <w:tc>
          <w:tcPr>
            <w:tcW w:w="534" w:type="dxa"/>
            <w:tcBorders>
              <w:top w:val="dotted" w:sz="4" w:space="0" w:color="AAABD6"/>
              <w:bottom w:val="single" w:sz="4" w:space="0" w:color="AAABD6"/>
            </w:tcBorders>
          </w:tcPr>
          <w:p w14:paraId="3F0C2C57" w14:textId="77777777" w:rsidR="00C2454F" w:rsidRPr="00100F0A" w:rsidRDefault="00C2454F"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803" w:type="dxa"/>
            <w:tcBorders>
              <w:top w:val="dotted" w:sz="4" w:space="0" w:color="AAABD6"/>
              <w:bottom w:val="single" w:sz="4" w:space="0" w:color="AAABD6"/>
            </w:tcBorders>
            <w:vAlign w:val="bottom"/>
          </w:tcPr>
          <w:p w14:paraId="510DE703" w14:textId="319319BB" w:rsidR="00C2454F" w:rsidRPr="00100F0A" w:rsidRDefault="00C2454F"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1.4%</w:t>
            </w:r>
          </w:p>
        </w:tc>
      </w:tr>
    </w:tbl>
    <w:p w14:paraId="12154D4F" w14:textId="4163FC9D" w:rsidR="00601CB2" w:rsidRPr="00100F0A" w:rsidRDefault="00601CB2" w:rsidP="00273FA6">
      <w:pPr>
        <w:pStyle w:val="Caption"/>
      </w:pPr>
      <w:bookmarkStart w:id="213" w:name="_Toc425849235"/>
      <w:bookmarkStart w:id="214" w:name="_Toc13225594"/>
      <w:r w:rsidRPr="00100F0A">
        <w:t xml:space="preserve">Figure </w:t>
      </w:r>
      <w:r w:rsidR="007828B5" w:rsidRPr="00100F0A">
        <w:rPr>
          <w:noProof/>
        </w:rPr>
        <w:fldChar w:fldCharType="begin"/>
      </w:r>
      <w:r w:rsidR="007828B5" w:rsidRPr="00100F0A">
        <w:rPr>
          <w:noProof/>
        </w:rPr>
        <w:instrText xml:space="preserve"> SEQ Figure \* ARABIC </w:instrText>
      </w:r>
      <w:r w:rsidR="007828B5" w:rsidRPr="00100F0A">
        <w:rPr>
          <w:noProof/>
        </w:rPr>
        <w:fldChar w:fldCharType="separate"/>
      </w:r>
      <w:r w:rsidR="00EB634D">
        <w:rPr>
          <w:noProof/>
        </w:rPr>
        <w:t>21</w:t>
      </w:r>
      <w:r w:rsidR="007828B5" w:rsidRPr="00100F0A">
        <w:rPr>
          <w:noProof/>
        </w:rPr>
        <w:fldChar w:fldCharType="end"/>
      </w:r>
      <w:r w:rsidR="00C14F18">
        <w:rPr>
          <w:noProof/>
        </w:rPr>
        <w:t>:</w:t>
      </w:r>
      <w:r w:rsidR="00D11FEE" w:rsidRPr="00100F0A">
        <w:tab/>
      </w:r>
      <w:r w:rsidRPr="00100F0A">
        <w:t xml:space="preserve">Best, high and low national projection estimates of </w:t>
      </w:r>
      <w:r w:rsidR="00AD2F76">
        <w:t>o</w:t>
      </w:r>
      <w:r w:rsidR="00710D71" w:rsidRPr="00100F0A">
        <w:t xml:space="preserve">ther putrescible/organic waste </w:t>
      </w:r>
      <w:r w:rsidRPr="00100F0A">
        <w:t>to 203</w:t>
      </w:r>
      <w:bookmarkEnd w:id="213"/>
      <w:r w:rsidR="00710D71" w:rsidRPr="00100F0A">
        <w:t>7</w:t>
      </w:r>
      <w:bookmarkEnd w:id="214"/>
    </w:p>
    <w:p w14:paraId="56439109" w14:textId="0E15DB4F" w:rsidR="00601CB2" w:rsidRDefault="00E622E2" w:rsidP="00601CB2">
      <w:r w:rsidRPr="00100F0A">
        <w:rPr>
          <w:noProof/>
          <w:lang w:eastAsia="en-AU"/>
        </w:rPr>
        <w:drawing>
          <wp:inline distT="0" distB="0" distL="0" distR="0" wp14:anchorId="3F7473FD" wp14:editId="2E260AC2">
            <wp:extent cx="5735955" cy="2106295"/>
            <wp:effectExtent l="0" t="0" r="0" b="8255"/>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5955" cy="2106295"/>
                    </a:xfrm>
                    <a:prstGeom prst="rect">
                      <a:avLst/>
                    </a:prstGeom>
                  </pic:spPr>
                </pic:pic>
              </a:graphicData>
            </a:graphic>
          </wp:inline>
        </w:drawing>
      </w:r>
    </w:p>
    <w:p w14:paraId="778B2DDA" w14:textId="316B0154" w:rsidR="00625FC3" w:rsidRDefault="00625FC3" w:rsidP="00601CB2"/>
    <w:p w14:paraId="0F147EB4" w14:textId="64850FEC" w:rsidR="00625FC3" w:rsidRPr="00100F0A" w:rsidRDefault="00625FC3" w:rsidP="00625FC3">
      <w:pPr>
        <w:pStyle w:val="Heading3"/>
      </w:pPr>
      <w:r>
        <w:t>M100 PCB waste</w:t>
      </w:r>
    </w:p>
    <w:p w14:paraId="4908CC08" w14:textId="25B85529" w:rsidR="00C2454F" w:rsidRPr="00100F0A" w:rsidRDefault="00C2454F" w:rsidP="00C2454F">
      <w:pPr>
        <w:rPr>
          <w:color w:val="080808"/>
        </w:rPr>
      </w:pPr>
      <w:r w:rsidRPr="00100F0A">
        <w:rPr>
          <w:color w:val="080808"/>
        </w:rPr>
        <w:t xml:space="preserve">This waste group includes the single NEPM code: </w:t>
      </w:r>
      <w:r w:rsidRPr="00100F0A">
        <w:rPr>
          <w:i/>
        </w:rPr>
        <w:t>M100 waste substances and articles containing or contaminated with polychlorinated biphenyls, polychlorinated naphthalenes, polychlorinated terphenyls and/or polybrominated biphenyls</w:t>
      </w:r>
      <w:r w:rsidRPr="00100F0A">
        <w:t>.</w:t>
      </w:r>
    </w:p>
    <w:p w14:paraId="0F6DA553" w14:textId="77777777" w:rsidR="00C2454F" w:rsidRPr="00100F0A" w:rsidRDefault="00C2454F" w:rsidP="00C2454F">
      <w:pPr>
        <w:rPr>
          <w:color w:val="080808"/>
        </w:rPr>
      </w:pPr>
    </w:p>
    <w:p w14:paraId="0B551930" w14:textId="1C044FE5" w:rsidR="00C2454F" w:rsidRPr="00100F0A" w:rsidRDefault="00C2454F" w:rsidP="00C2454F">
      <w:pPr>
        <w:rPr>
          <w:color w:val="080808"/>
        </w:rPr>
      </w:pPr>
      <w:r w:rsidRPr="00100F0A">
        <w:rPr>
          <w:color w:val="080808"/>
        </w:rPr>
        <w:t>M100 was previously included in the broad catch-all of Other organic chemicals (Other M), but has been split out in this report as it is a specific Stockholm Convention POP with its own management requirements.</w:t>
      </w:r>
    </w:p>
    <w:p w14:paraId="747BC39A" w14:textId="2BA7C8E2" w:rsidR="00C2454F" w:rsidRPr="00100F0A" w:rsidRDefault="00C2454F" w:rsidP="00C2454F">
      <w:pPr>
        <w:rPr>
          <w:color w:val="080808"/>
        </w:rPr>
      </w:pPr>
    </w:p>
    <w:p w14:paraId="49907E8D" w14:textId="77777777" w:rsidR="00C2454F" w:rsidRPr="00100F0A" w:rsidRDefault="00C2454F" w:rsidP="00C2454F">
      <w:pPr>
        <w:pStyle w:val="Heading3-nonumber"/>
      </w:pPr>
      <w:r w:rsidRPr="00100F0A">
        <w:t>Summary analysis</w:t>
      </w:r>
    </w:p>
    <w:tbl>
      <w:tblPr>
        <w:tblStyle w:val="BETable11"/>
        <w:tblW w:w="5000" w:type="pct"/>
        <w:tblInd w:w="0" w:type="dxa"/>
        <w:tblBorders>
          <w:top w:val="single" w:sz="4" w:space="0" w:color="AAABD6"/>
          <w:left w:val="single" w:sz="4" w:space="0" w:color="AAABD6"/>
          <w:bottom w:val="single" w:sz="4" w:space="0" w:color="AAABD6"/>
          <w:right w:val="single" w:sz="4" w:space="0" w:color="AAABD6"/>
          <w:insideH w:val="single" w:sz="4" w:space="0" w:color="AAABD6"/>
          <w:insideV w:val="single" w:sz="4" w:space="0" w:color="AAABD6"/>
        </w:tblBorders>
        <w:tblLook w:val="04A0" w:firstRow="1" w:lastRow="0" w:firstColumn="1" w:lastColumn="0" w:noHBand="0" w:noVBand="1"/>
      </w:tblPr>
      <w:tblGrid>
        <w:gridCol w:w="1556"/>
        <w:gridCol w:w="2975"/>
        <w:gridCol w:w="1559"/>
        <w:gridCol w:w="2932"/>
      </w:tblGrid>
      <w:tr w:rsidR="004D1060" w:rsidRPr="00100F0A" w14:paraId="79CC0F84" w14:textId="77777777" w:rsidTr="004D10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tcBorders>
              <w:top w:val="single" w:sz="4" w:space="0" w:color="AAABD6"/>
              <w:left w:val="single" w:sz="4" w:space="0" w:color="AAABD6"/>
              <w:bottom w:val="single" w:sz="4" w:space="0" w:color="AAABD6"/>
            </w:tcBorders>
            <w:shd w:val="clear" w:color="auto" w:fill="AAABD6"/>
          </w:tcPr>
          <w:p w14:paraId="4753B91F" w14:textId="77777777" w:rsidR="00C2454F" w:rsidRPr="00100F0A" w:rsidRDefault="00C2454F" w:rsidP="004D1060">
            <w:pPr>
              <w:pStyle w:val="BodyText"/>
              <w:rPr>
                <w:color w:val="FFFFFF" w:themeColor="background1"/>
              </w:rPr>
            </w:pPr>
            <w:r w:rsidRPr="00100F0A">
              <w:rPr>
                <w:color w:val="FFFFFF" w:themeColor="background1"/>
              </w:rPr>
              <w:t>Industry sources</w:t>
            </w:r>
          </w:p>
        </w:tc>
        <w:tc>
          <w:tcPr>
            <w:tcW w:w="1649" w:type="pct"/>
            <w:tcBorders>
              <w:top w:val="single" w:sz="4" w:space="0" w:color="AAABD6"/>
              <w:bottom w:val="single" w:sz="4" w:space="0" w:color="AAABD6"/>
            </w:tcBorders>
            <w:shd w:val="clear" w:color="auto" w:fill="AAABD6"/>
          </w:tcPr>
          <w:p w14:paraId="71F1A231" w14:textId="77777777" w:rsidR="00C2454F" w:rsidRPr="00100F0A" w:rsidRDefault="00C2454F" w:rsidP="004D1060">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Considerations</w:t>
            </w:r>
          </w:p>
        </w:tc>
        <w:tc>
          <w:tcPr>
            <w:tcW w:w="864" w:type="pct"/>
            <w:tcBorders>
              <w:top w:val="single" w:sz="4" w:space="0" w:color="AAABD6"/>
              <w:bottom w:val="single" w:sz="4" w:space="0" w:color="AAABD6"/>
            </w:tcBorders>
            <w:shd w:val="clear" w:color="auto" w:fill="AAABD6"/>
          </w:tcPr>
          <w:p w14:paraId="5DE81A06" w14:textId="77777777" w:rsidR="00C2454F" w:rsidRPr="00100F0A" w:rsidRDefault="00C2454F" w:rsidP="004D1060">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Comments</w:t>
            </w:r>
          </w:p>
        </w:tc>
        <w:tc>
          <w:tcPr>
            <w:tcW w:w="1625" w:type="pct"/>
            <w:tcBorders>
              <w:top w:val="single" w:sz="4" w:space="0" w:color="AAABD6"/>
              <w:bottom w:val="single" w:sz="4" w:space="0" w:color="AAABD6"/>
              <w:right w:val="single" w:sz="4" w:space="0" w:color="AAABD6"/>
            </w:tcBorders>
            <w:shd w:val="clear" w:color="auto" w:fill="AAABD6"/>
          </w:tcPr>
          <w:p w14:paraId="2C3B4B7F" w14:textId="77777777" w:rsidR="00C2454F" w:rsidRPr="00100F0A" w:rsidRDefault="00C2454F" w:rsidP="004D1060">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r>
      <w:tr w:rsidR="00C2454F" w:rsidRPr="00100F0A" w14:paraId="5DFF39CC" w14:textId="77777777" w:rsidTr="004D1060">
        <w:tc>
          <w:tcPr>
            <w:cnfStyle w:val="001000000000" w:firstRow="0" w:lastRow="0" w:firstColumn="1" w:lastColumn="0" w:oddVBand="0" w:evenVBand="0" w:oddHBand="0" w:evenHBand="0" w:firstRowFirstColumn="0" w:firstRowLastColumn="0" w:lastRowFirstColumn="0" w:lastRowLastColumn="0"/>
            <w:tcW w:w="862" w:type="pct"/>
            <w:tcBorders>
              <w:top w:val="single" w:sz="4" w:space="0" w:color="AAABD6"/>
            </w:tcBorders>
          </w:tcPr>
          <w:p w14:paraId="346DE15D" w14:textId="77777777" w:rsidR="00C2454F" w:rsidRPr="00100F0A" w:rsidRDefault="00C2454F" w:rsidP="00E96D3C">
            <w:pPr>
              <w:pStyle w:val="ListParagraph"/>
              <w:numPr>
                <w:ilvl w:val="0"/>
                <w:numId w:val="24"/>
              </w:numPr>
              <w:ind w:left="426"/>
              <w:rPr>
                <w:color w:val="000000"/>
              </w:rPr>
            </w:pPr>
            <w:r w:rsidRPr="00100F0A">
              <w:rPr>
                <w:color w:val="000000"/>
              </w:rPr>
              <w:t>Electricity supply</w:t>
            </w:r>
          </w:p>
          <w:p w14:paraId="236235B7" w14:textId="4727DC35" w:rsidR="00C2454F" w:rsidRPr="00100F0A" w:rsidRDefault="00C2454F" w:rsidP="00E96D3C">
            <w:pPr>
              <w:pStyle w:val="ListParagraph"/>
              <w:numPr>
                <w:ilvl w:val="0"/>
                <w:numId w:val="24"/>
              </w:numPr>
              <w:ind w:left="426"/>
              <w:rPr>
                <w:color w:val="000000"/>
              </w:rPr>
            </w:pPr>
            <w:r w:rsidRPr="00100F0A">
              <w:rPr>
                <w:color w:val="000000"/>
              </w:rPr>
              <w:t>Waste sector</w:t>
            </w:r>
          </w:p>
        </w:tc>
        <w:tc>
          <w:tcPr>
            <w:tcW w:w="1649" w:type="pct"/>
            <w:tcBorders>
              <w:top w:val="single" w:sz="4" w:space="0" w:color="AAABD6"/>
            </w:tcBorders>
          </w:tcPr>
          <w:p w14:paraId="09B37F75" w14:textId="77777777" w:rsidR="00C2454F" w:rsidRPr="00100F0A" w:rsidRDefault="00C2454F" w:rsidP="004D1060">
            <w:pPr>
              <w:pStyle w:val="BodyText"/>
              <w:cnfStyle w:val="000000000000" w:firstRow="0" w:lastRow="0" w:firstColumn="0" w:lastColumn="0" w:oddVBand="0" w:evenVBand="0" w:oddHBand="0" w:evenHBand="0" w:firstRowFirstColumn="0" w:firstRowLastColumn="0" w:lastRowFirstColumn="0" w:lastRowLastColumn="0"/>
            </w:pPr>
            <w:r w:rsidRPr="00100F0A">
              <w:t>No sufficiently credible pre-existing projections were identified</w:t>
            </w:r>
          </w:p>
          <w:p w14:paraId="462D540A" w14:textId="77777777" w:rsidR="00C2454F" w:rsidRPr="00100F0A" w:rsidRDefault="00C2454F" w:rsidP="004D1060">
            <w:pPr>
              <w:pStyle w:val="BodyText"/>
              <w:cnfStyle w:val="000000000000" w:firstRow="0" w:lastRow="0" w:firstColumn="0" w:lastColumn="0" w:oddVBand="0" w:evenVBand="0" w:oddHBand="0" w:evenHBand="0" w:firstRowFirstColumn="0" w:firstRowLastColumn="0" w:lastRowFirstColumn="0" w:lastRowLastColumn="0"/>
            </w:pPr>
          </w:p>
          <w:p w14:paraId="238F5D7B" w14:textId="46DA5DDA" w:rsidR="004D1060" w:rsidRPr="00100F0A" w:rsidRDefault="004D1060" w:rsidP="004D1060">
            <w:pPr>
              <w:pStyle w:val="BodyText"/>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There is</w:t>
            </w:r>
            <w:r w:rsidR="00C2454F" w:rsidRPr="00100F0A">
              <w:rPr>
                <w:color w:val="000000"/>
              </w:rPr>
              <w:t xml:space="preserve"> a major spike in </w:t>
            </w:r>
            <w:r w:rsidRPr="00100F0A">
              <w:rPr>
                <w:color w:val="000000"/>
              </w:rPr>
              <w:t xml:space="preserve">Vic </w:t>
            </w:r>
            <w:r w:rsidR="00C2454F" w:rsidRPr="00100F0A">
              <w:rPr>
                <w:color w:val="000000"/>
              </w:rPr>
              <w:t>2014-15 tracking data (</w:t>
            </w:r>
            <w:r w:rsidRPr="00100F0A">
              <w:rPr>
                <w:color w:val="000000"/>
              </w:rPr>
              <w:t>due to miscoded PCB-contaminated soil).</w:t>
            </w:r>
          </w:p>
          <w:p w14:paraId="53FDE7BC" w14:textId="640DD1DE" w:rsidR="00C2454F" w:rsidRPr="00100F0A" w:rsidRDefault="004D1060" w:rsidP="004D1060">
            <w:pPr>
              <w:pStyle w:val="BodyText"/>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 xml:space="preserve">Ignoring this, </w:t>
            </w:r>
            <w:r w:rsidR="00C2454F" w:rsidRPr="00100F0A">
              <w:rPr>
                <w:color w:val="000000"/>
              </w:rPr>
              <w:t>NSW</w:t>
            </w:r>
            <w:r w:rsidRPr="00100F0A">
              <w:rPr>
                <w:color w:val="000000"/>
              </w:rPr>
              <w:t xml:space="preserve"> &amp; WA are declining</w:t>
            </w:r>
            <w:r w:rsidR="00C2454F" w:rsidRPr="00100F0A">
              <w:rPr>
                <w:color w:val="000000"/>
              </w:rPr>
              <w:t>,</w:t>
            </w:r>
            <w:r w:rsidRPr="00100F0A">
              <w:rPr>
                <w:color w:val="000000"/>
              </w:rPr>
              <w:t xml:space="preserve"> while Vic and Qld appear to be increasing. </w:t>
            </w:r>
          </w:p>
        </w:tc>
        <w:tc>
          <w:tcPr>
            <w:tcW w:w="864" w:type="pct"/>
            <w:tcBorders>
              <w:top w:val="single" w:sz="4" w:space="0" w:color="AAABD6"/>
            </w:tcBorders>
          </w:tcPr>
          <w:p w14:paraId="4EB00AE9" w14:textId="3D94CB09" w:rsidR="00C2454F" w:rsidRPr="00100F0A" w:rsidRDefault="004D1060" w:rsidP="004D1060">
            <w:pPr>
              <w:pStyle w:val="BodyText"/>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Overall national trend is relatively flat and somewhat sporadic, given the low volumes of this waste relative to other waste groups</w:t>
            </w:r>
          </w:p>
        </w:tc>
        <w:tc>
          <w:tcPr>
            <w:tcW w:w="1625" w:type="pct"/>
            <w:tcBorders>
              <w:top w:val="single" w:sz="4" w:space="0" w:color="AAABD6"/>
            </w:tcBorders>
          </w:tcPr>
          <w:p w14:paraId="21969613" w14:textId="103DF915" w:rsidR="004D1060" w:rsidRPr="00100F0A" w:rsidRDefault="004D1060" w:rsidP="004D1060">
            <w:pPr>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Best: PCB-containing waste disappearing from waste</w:t>
            </w:r>
            <w:r w:rsidR="00100F0A" w:rsidRPr="00100F0A">
              <w:rPr>
                <w:color w:val="080808"/>
              </w:rPr>
              <w:t xml:space="preserve"> </w:t>
            </w:r>
            <w:r w:rsidRPr="00100F0A">
              <w:rPr>
                <w:color w:val="080808"/>
              </w:rPr>
              <w:t>stream</w:t>
            </w:r>
          </w:p>
          <w:p w14:paraId="2A6CB42C" w14:textId="77777777" w:rsidR="004D1060" w:rsidRPr="00100F0A" w:rsidRDefault="004D1060" w:rsidP="004D1060">
            <w:pPr>
              <w:cnfStyle w:val="000000000000" w:firstRow="0" w:lastRow="0" w:firstColumn="0" w:lastColumn="0" w:oddVBand="0" w:evenVBand="0" w:oddHBand="0" w:evenHBand="0" w:firstRowFirstColumn="0" w:firstRowLastColumn="0" w:lastRowFirstColumn="0" w:lastRowLastColumn="0"/>
              <w:rPr>
                <w:color w:val="080808"/>
              </w:rPr>
            </w:pPr>
          </w:p>
          <w:p w14:paraId="29081DC9" w14:textId="348941D1" w:rsidR="004D1060" w:rsidRPr="00100F0A" w:rsidRDefault="004D1060" w:rsidP="004D1060">
            <w:pPr>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High: Flat trend due to ongoing dismantling of aging infrastructure</w:t>
            </w:r>
          </w:p>
          <w:p w14:paraId="2C37DFC1" w14:textId="77777777" w:rsidR="004D1060" w:rsidRPr="00100F0A" w:rsidRDefault="004D1060" w:rsidP="004D1060">
            <w:pPr>
              <w:pStyle w:val="BodyText"/>
              <w:cnfStyle w:val="000000000000" w:firstRow="0" w:lastRow="0" w:firstColumn="0" w:lastColumn="0" w:oddVBand="0" w:evenVBand="0" w:oddHBand="0" w:evenHBand="0" w:firstRowFirstColumn="0" w:firstRowLastColumn="0" w:lastRowFirstColumn="0" w:lastRowLastColumn="0"/>
              <w:rPr>
                <w:color w:val="080808"/>
              </w:rPr>
            </w:pPr>
          </w:p>
          <w:p w14:paraId="7D87CE38" w14:textId="10AEC8B1" w:rsidR="00C2454F" w:rsidRPr="00100F0A" w:rsidRDefault="004D1060" w:rsidP="004D1060">
            <w:pPr>
              <w:pStyle w:val="BodyText"/>
              <w:cnfStyle w:val="000000000000" w:firstRow="0" w:lastRow="0" w:firstColumn="0" w:lastColumn="0" w:oddVBand="0" w:evenVBand="0" w:oddHBand="0" w:evenHBand="0" w:firstRowFirstColumn="0" w:firstRowLastColumn="0" w:lastRowFirstColumn="0" w:lastRowLastColumn="0"/>
            </w:pPr>
            <w:r w:rsidRPr="00100F0A">
              <w:rPr>
                <w:color w:val="080808"/>
              </w:rPr>
              <w:t>Low: PCB-containing waste disappearing from waste</w:t>
            </w:r>
            <w:r w:rsidR="00100F0A" w:rsidRPr="00100F0A">
              <w:rPr>
                <w:color w:val="080808"/>
              </w:rPr>
              <w:t xml:space="preserve"> </w:t>
            </w:r>
            <w:r w:rsidRPr="00100F0A">
              <w:rPr>
                <w:color w:val="080808"/>
              </w:rPr>
              <w:t>stream at higher rate</w:t>
            </w:r>
          </w:p>
        </w:tc>
      </w:tr>
    </w:tbl>
    <w:p w14:paraId="7E319697" w14:textId="4152C9EA" w:rsidR="00625FC3" w:rsidRDefault="00625FC3" w:rsidP="004D1060">
      <w:pPr>
        <w:pStyle w:val="Caption"/>
        <w:spacing w:before="0"/>
        <w:rPr>
          <w:i w:val="0"/>
        </w:rPr>
      </w:pPr>
    </w:p>
    <w:p w14:paraId="2018E057" w14:textId="77777777" w:rsidR="00625FC3" w:rsidRDefault="00625FC3">
      <w:pPr>
        <w:rPr>
          <w:iCs/>
          <w:color w:val="4D4DB8"/>
          <w:szCs w:val="18"/>
        </w:rPr>
      </w:pPr>
      <w:r>
        <w:rPr>
          <w:i/>
        </w:rPr>
        <w:br w:type="page"/>
      </w:r>
    </w:p>
    <w:p w14:paraId="23591FE7" w14:textId="4E3B05C1" w:rsidR="00C2454F" w:rsidRPr="00100F0A" w:rsidRDefault="00C2454F" w:rsidP="00C2454F">
      <w:pPr>
        <w:pStyle w:val="Caption"/>
      </w:pPr>
      <w:bookmarkStart w:id="215" w:name="_Toc13225644"/>
      <w:r w:rsidRPr="00100F0A">
        <w:t xml:space="preserve">Table </w:t>
      </w:r>
      <w:r w:rsidRPr="00100F0A">
        <w:rPr>
          <w:noProof/>
        </w:rPr>
        <w:fldChar w:fldCharType="begin"/>
      </w:r>
      <w:r w:rsidRPr="00100F0A">
        <w:rPr>
          <w:noProof/>
        </w:rPr>
        <w:instrText xml:space="preserve"> SEQ Table \* ARABIC </w:instrText>
      </w:r>
      <w:r w:rsidRPr="00100F0A">
        <w:rPr>
          <w:noProof/>
        </w:rPr>
        <w:fldChar w:fldCharType="separate"/>
      </w:r>
      <w:r w:rsidR="00EB634D">
        <w:rPr>
          <w:noProof/>
        </w:rPr>
        <w:t>25</w:t>
      </w:r>
      <w:r w:rsidRPr="00100F0A">
        <w:rPr>
          <w:noProof/>
        </w:rPr>
        <w:fldChar w:fldCharType="end"/>
      </w:r>
      <w:r w:rsidR="00AD2F76">
        <w:rPr>
          <w:noProof/>
        </w:rPr>
        <w:t>:</w:t>
      </w:r>
      <w:r w:rsidRPr="00100F0A">
        <w:tab/>
        <w:t xml:space="preserve">Best, high and low projected rates of change for </w:t>
      </w:r>
      <w:r w:rsidR="004D1060" w:rsidRPr="00100F0A">
        <w:t>PCB</w:t>
      </w:r>
      <w:r w:rsidRPr="00100F0A">
        <w:t xml:space="preserve"> waste to 2037</w:t>
      </w:r>
      <w:bookmarkEnd w:id="215"/>
    </w:p>
    <w:tbl>
      <w:tblPr>
        <w:tblStyle w:val="BETable1"/>
        <w:tblW w:w="9072" w:type="dxa"/>
        <w:tblBorders>
          <w:top w:val="single" w:sz="4" w:space="0" w:color="AAABD6"/>
          <w:left w:val="single" w:sz="4" w:space="0" w:color="AAABD6"/>
          <w:right w:val="single" w:sz="4" w:space="0" w:color="AAABD6"/>
          <w:insideH w:val="single" w:sz="4" w:space="0" w:color="AAABD6"/>
          <w:insideV w:val="single" w:sz="4" w:space="0" w:color="AAABD6"/>
        </w:tblBorders>
        <w:tblLayout w:type="fixed"/>
        <w:tblLook w:val="04A0" w:firstRow="1" w:lastRow="0" w:firstColumn="1" w:lastColumn="0" w:noHBand="0" w:noVBand="1"/>
      </w:tblPr>
      <w:tblGrid>
        <w:gridCol w:w="1134"/>
        <w:gridCol w:w="1134"/>
        <w:gridCol w:w="4395"/>
        <w:gridCol w:w="221"/>
        <w:gridCol w:w="851"/>
        <w:gridCol w:w="534"/>
        <w:gridCol w:w="803"/>
      </w:tblGrid>
      <w:tr w:rsidR="00C2454F" w:rsidRPr="00100F0A" w14:paraId="0B0F696B" w14:textId="77777777" w:rsidTr="004D10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AABD6"/>
              <w:left w:val="single" w:sz="4" w:space="0" w:color="AAABD6"/>
              <w:bottom w:val="single" w:sz="4" w:space="0" w:color="AAABD6"/>
            </w:tcBorders>
            <w:shd w:val="clear" w:color="auto" w:fill="AAABD6"/>
          </w:tcPr>
          <w:p w14:paraId="2D299DC3" w14:textId="77777777" w:rsidR="00C2454F" w:rsidRPr="00100F0A" w:rsidRDefault="00C2454F" w:rsidP="004D1060">
            <w:pPr>
              <w:rPr>
                <w:color w:val="FFFFFF" w:themeColor="background1"/>
              </w:rPr>
            </w:pPr>
          </w:p>
        </w:tc>
        <w:tc>
          <w:tcPr>
            <w:tcW w:w="1134" w:type="dxa"/>
            <w:tcBorders>
              <w:top w:val="single" w:sz="4" w:space="0" w:color="AAABD6"/>
              <w:bottom w:val="single" w:sz="4" w:space="0" w:color="AAABD6"/>
            </w:tcBorders>
            <w:shd w:val="clear" w:color="auto" w:fill="AAABD6"/>
          </w:tcPr>
          <w:p w14:paraId="30960833" w14:textId="77777777" w:rsidR="00C2454F" w:rsidRPr="00100F0A" w:rsidRDefault="00C2454F" w:rsidP="004D106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Applies to</w:t>
            </w:r>
          </w:p>
        </w:tc>
        <w:tc>
          <w:tcPr>
            <w:tcW w:w="4395" w:type="dxa"/>
            <w:tcBorders>
              <w:top w:val="single" w:sz="4" w:space="0" w:color="AAABD6"/>
              <w:bottom w:val="single" w:sz="4" w:space="0" w:color="AAABD6"/>
            </w:tcBorders>
            <w:shd w:val="clear" w:color="auto" w:fill="AAABD6"/>
          </w:tcPr>
          <w:p w14:paraId="06C55583" w14:textId="77777777" w:rsidR="00C2454F" w:rsidRPr="00100F0A" w:rsidRDefault="00C2454F" w:rsidP="004D106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c>
          <w:tcPr>
            <w:tcW w:w="1072" w:type="dxa"/>
            <w:gridSpan w:val="2"/>
            <w:tcBorders>
              <w:top w:val="single" w:sz="4" w:space="0" w:color="AAABD6"/>
              <w:bottom w:val="single" w:sz="4" w:space="0" w:color="AAABD6"/>
            </w:tcBorders>
            <w:shd w:val="clear" w:color="auto" w:fill="AAABD6"/>
          </w:tcPr>
          <w:p w14:paraId="5B6E32EB" w14:textId="77777777" w:rsidR="00C2454F" w:rsidRPr="00100F0A" w:rsidRDefault="00C2454F" w:rsidP="004206B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2018</w:t>
            </w:r>
          </w:p>
        </w:tc>
        <w:tc>
          <w:tcPr>
            <w:tcW w:w="534" w:type="dxa"/>
            <w:tcBorders>
              <w:top w:val="single" w:sz="4" w:space="0" w:color="AAABD6"/>
              <w:bottom w:val="single" w:sz="4" w:space="0" w:color="AAABD6"/>
            </w:tcBorders>
            <w:shd w:val="clear" w:color="auto" w:fill="AAABD6"/>
          </w:tcPr>
          <w:p w14:paraId="2DA44148" w14:textId="77777777" w:rsidR="00C2454F" w:rsidRPr="00100F0A" w:rsidRDefault="00C2454F" w:rsidP="004206B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w:t>
            </w:r>
          </w:p>
        </w:tc>
        <w:tc>
          <w:tcPr>
            <w:tcW w:w="803" w:type="dxa"/>
            <w:tcBorders>
              <w:top w:val="single" w:sz="4" w:space="0" w:color="AAABD6"/>
              <w:bottom w:val="single" w:sz="4" w:space="0" w:color="AAABD6"/>
              <w:right w:val="single" w:sz="4" w:space="0" w:color="AAABD6"/>
            </w:tcBorders>
            <w:shd w:val="clear" w:color="auto" w:fill="AAABD6"/>
          </w:tcPr>
          <w:p w14:paraId="11692DD1" w14:textId="77777777" w:rsidR="00C2454F" w:rsidRPr="00100F0A" w:rsidRDefault="00C2454F" w:rsidP="004206B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2037</w:t>
            </w:r>
          </w:p>
        </w:tc>
      </w:tr>
      <w:tr w:rsidR="004D1060" w:rsidRPr="00100F0A" w14:paraId="4CD5008D" w14:textId="77777777" w:rsidTr="004D1060">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AABD6"/>
              <w:bottom w:val="dotted" w:sz="4" w:space="0" w:color="AAABD6"/>
            </w:tcBorders>
          </w:tcPr>
          <w:p w14:paraId="694BF414" w14:textId="77777777" w:rsidR="004D1060" w:rsidRPr="00100F0A" w:rsidRDefault="004D1060" w:rsidP="004D1060">
            <w:r w:rsidRPr="00100F0A">
              <w:t>Best</w:t>
            </w:r>
          </w:p>
        </w:tc>
        <w:tc>
          <w:tcPr>
            <w:tcW w:w="1134" w:type="dxa"/>
            <w:vMerge w:val="restart"/>
            <w:tcBorders>
              <w:top w:val="single" w:sz="4" w:space="0" w:color="AAABD6"/>
            </w:tcBorders>
            <w:vAlign w:val="center"/>
          </w:tcPr>
          <w:p w14:paraId="21DF84AD" w14:textId="77777777" w:rsidR="004D1060" w:rsidRPr="00100F0A" w:rsidRDefault="004D1060" w:rsidP="004D1060">
            <w:pPr>
              <w:cnfStyle w:val="000000000000" w:firstRow="0" w:lastRow="0" w:firstColumn="0" w:lastColumn="0" w:oddVBand="0" w:evenVBand="0" w:oddHBand="0" w:evenHBand="0" w:firstRowFirstColumn="0" w:firstRowLastColumn="0" w:lastRowFirstColumn="0" w:lastRowLastColumn="0"/>
            </w:pPr>
            <w:r w:rsidRPr="00100F0A">
              <w:t>ACT, NSW, NT, Qld, SA, Tas, Vic, WA</w:t>
            </w:r>
          </w:p>
        </w:tc>
        <w:tc>
          <w:tcPr>
            <w:tcW w:w="4616" w:type="dxa"/>
            <w:gridSpan w:val="2"/>
            <w:tcBorders>
              <w:top w:val="single" w:sz="4" w:space="0" w:color="AAABD6"/>
              <w:bottom w:val="dotted" w:sz="4" w:space="0" w:color="AAABD6"/>
            </w:tcBorders>
            <w:vAlign w:val="bottom"/>
          </w:tcPr>
          <w:p w14:paraId="16F1996C" w14:textId="20736C31" w:rsidR="004D1060" w:rsidRPr="00100F0A" w:rsidRDefault="004D1060" w:rsidP="004D1060">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-2% annual decline</w:t>
            </w:r>
          </w:p>
        </w:tc>
        <w:tc>
          <w:tcPr>
            <w:tcW w:w="851" w:type="dxa"/>
            <w:tcBorders>
              <w:top w:val="single" w:sz="4" w:space="0" w:color="AAABD6"/>
              <w:bottom w:val="dotted" w:sz="4" w:space="0" w:color="AAABD6"/>
            </w:tcBorders>
            <w:vAlign w:val="bottom"/>
          </w:tcPr>
          <w:p w14:paraId="4D977D08" w14:textId="2DA04AF6" w:rsidR="004D1060" w:rsidRPr="00100F0A" w:rsidRDefault="004D1060"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-2.0%</w:t>
            </w:r>
          </w:p>
        </w:tc>
        <w:tc>
          <w:tcPr>
            <w:tcW w:w="534" w:type="dxa"/>
            <w:tcBorders>
              <w:top w:val="single" w:sz="4" w:space="0" w:color="AAABD6"/>
              <w:bottom w:val="dotted" w:sz="4" w:space="0" w:color="AAABD6"/>
            </w:tcBorders>
          </w:tcPr>
          <w:p w14:paraId="47A4699B" w14:textId="77777777" w:rsidR="004D1060" w:rsidRPr="00100F0A" w:rsidRDefault="004D1060"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803" w:type="dxa"/>
            <w:tcBorders>
              <w:top w:val="single" w:sz="4" w:space="0" w:color="AAABD6"/>
              <w:bottom w:val="dotted" w:sz="4" w:space="0" w:color="AAABD6"/>
            </w:tcBorders>
            <w:vAlign w:val="bottom"/>
          </w:tcPr>
          <w:p w14:paraId="09744703" w14:textId="6F040787" w:rsidR="004D1060" w:rsidRPr="00100F0A" w:rsidRDefault="004D1060"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-2.0%</w:t>
            </w:r>
          </w:p>
        </w:tc>
      </w:tr>
      <w:tr w:rsidR="004D1060" w:rsidRPr="00100F0A" w14:paraId="03B2D600" w14:textId="77777777" w:rsidTr="004D1060">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AAABD6"/>
              <w:bottom w:val="dotted" w:sz="4" w:space="0" w:color="AAABD6"/>
            </w:tcBorders>
          </w:tcPr>
          <w:p w14:paraId="2282FF7C" w14:textId="77777777" w:rsidR="004D1060" w:rsidRPr="00100F0A" w:rsidRDefault="004D1060" w:rsidP="004D1060">
            <w:r w:rsidRPr="00100F0A">
              <w:t>High</w:t>
            </w:r>
          </w:p>
        </w:tc>
        <w:tc>
          <w:tcPr>
            <w:tcW w:w="1134" w:type="dxa"/>
            <w:vMerge/>
            <w:vAlign w:val="center"/>
          </w:tcPr>
          <w:p w14:paraId="168FFEDB" w14:textId="77777777" w:rsidR="004D1060" w:rsidRPr="00100F0A" w:rsidRDefault="004D1060" w:rsidP="004D1060">
            <w:pPr>
              <w:cnfStyle w:val="000000000000" w:firstRow="0" w:lastRow="0" w:firstColumn="0" w:lastColumn="0" w:oddVBand="0" w:evenVBand="0" w:oddHBand="0" w:evenHBand="0" w:firstRowFirstColumn="0" w:firstRowLastColumn="0" w:lastRowFirstColumn="0" w:lastRowLastColumn="0"/>
            </w:pPr>
          </w:p>
        </w:tc>
        <w:tc>
          <w:tcPr>
            <w:tcW w:w="4616" w:type="dxa"/>
            <w:gridSpan w:val="2"/>
            <w:tcBorders>
              <w:top w:val="dotted" w:sz="4" w:space="0" w:color="AAABD6"/>
              <w:bottom w:val="dotted" w:sz="4" w:space="0" w:color="AAABD6"/>
            </w:tcBorders>
            <w:vAlign w:val="bottom"/>
          </w:tcPr>
          <w:p w14:paraId="2D30E3FD" w14:textId="070A47A8" w:rsidR="004D1060" w:rsidRPr="00100F0A" w:rsidRDefault="004D1060" w:rsidP="004D1060">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Flat</w:t>
            </w:r>
          </w:p>
        </w:tc>
        <w:tc>
          <w:tcPr>
            <w:tcW w:w="851" w:type="dxa"/>
            <w:tcBorders>
              <w:top w:val="dotted" w:sz="4" w:space="0" w:color="AAABD6"/>
              <w:bottom w:val="dotted" w:sz="4" w:space="0" w:color="AAABD6"/>
            </w:tcBorders>
            <w:vAlign w:val="bottom"/>
          </w:tcPr>
          <w:p w14:paraId="47A71EE0" w14:textId="79689C46" w:rsidR="004D1060" w:rsidRPr="00100F0A" w:rsidRDefault="004D1060"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0.0%</w:t>
            </w:r>
          </w:p>
        </w:tc>
        <w:tc>
          <w:tcPr>
            <w:tcW w:w="534" w:type="dxa"/>
            <w:tcBorders>
              <w:top w:val="dotted" w:sz="4" w:space="0" w:color="AAABD6"/>
              <w:bottom w:val="dotted" w:sz="4" w:space="0" w:color="AAABD6"/>
            </w:tcBorders>
          </w:tcPr>
          <w:p w14:paraId="71585987" w14:textId="77777777" w:rsidR="004D1060" w:rsidRPr="00100F0A" w:rsidRDefault="004D1060"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803" w:type="dxa"/>
            <w:tcBorders>
              <w:top w:val="dotted" w:sz="4" w:space="0" w:color="AAABD6"/>
              <w:bottom w:val="dotted" w:sz="4" w:space="0" w:color="AAABD6"/>
            </w:tcBorders>
            <w:vAlign w:val="bottom"/>
          </w:tcPr>
          <w:p w14:paraId="656F8E4C" w14:textId="08A1ADE6" w:rsidR="004D1060" w:rsidRPr="00100F0A" w:rsidRDefault="004D1060"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0.0%</w:t>
            </w:r>
          </w:p>
        </w:tc>
      </w:tr>
      <w:tr w:rsidR="004D1060" w:rsidRPr="00100F0A" w14:paraId="7A11D197" w14:textId="77777777" w:rsidTr="004D1060">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AAABD6"/>
              <w:bottom w:val="single" w:sz="4" w:space="0" w:color="AAABD6"/>
            </w:tcBorders>
          </w:tcPr>
          <w:p w14:paraId="7EC8700C" w14:textId="77777777" w:rsidR="004D1060" w:rsidRPr="00100F0A" w:rsidRDefault="004D1060" w:rsidP="004D1060">
            <w:r w:rsidRPr="00100F0A">
              <w:t>Low</w:t>
            </w:r>
          </w:p>
        </w:tc>
        <w:tc>
          <w:tcPr>
            <w:tcW w:w="1134" w:type="dxa"/>
            <w:vMerge/>
            <w:tcBorders>
              <w:bottom w:val="single" w:sz="4" w:space="0" w:color="AAABD6"/>
            </w:tcBorders>
            <w:vAlign w:val="center"/>
          </w:tcPr>
          <w:p w14:paraId="6A7F8972" w14:textId="77777777" w:rsidR="004D1060" w:rsidRPr="00100F0A" w:rsidRDefault="004D1060" w:rsidP="004D1060">
            <w:pPr>
              <w:cnfStyle w:val="000000000000" w:firstRow="0" w:lastRow="0" w:firstColumn="0" w:lastColumn="0" w:oddVBand="0" w:evenVBand="0" w:oddHBand="0" w:evenHBand="0" w:firstRowFirstColumn="0" w:firstRowLastColumn="0" w:lastRowFirstColumn="0" w:lastRowLastColumn="0"/>
            </w:pPr>
          </w:p>
        </w:tc>
        <w:tc>
          <w:tcPr>
            <w:tcW w:w="4616" w:type="dxa"/>
            <w:gridSpan w:val="2"/>
            <w:tcBorders>
              <w:top w:val="dotted" w:sz="4" w:space="0" w:color="AAABD6"/>
              <w:bottom w:val="single" w:sz="4" w:space="0" w:color="AAABD6"/>
            </w:tcBorders>
            <w:vAlign w:val="bottom"/>
          </w:tcPr>
          <w:p w14:paraId="39C8DBD1" w14:textId="306B9FD2" w:rsidR="004D1060" w:rsidRPr="00100F0A" w:rsidRDefault="004D1060" w:rsidP="004D1060">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-4% annual decline</w:t>
            </w:r>
          </w:p>
        </w:tc>
        <w:tc>
          <w:tcPr>
            <w:tcW w:w="851" w:type="dxa"/>
            <w:tcBorders>
              <w:top w:val="dotted" w:sz="4" w:space="0" w:color="AAABD6"/>
              <w:bottom w:val="single" w:sz="4" w:space="0" w:color="AAABD6"/>
            </w:tcBorders>
            <w:vAlign w:val="bottom"/>
          </w:tcPr>
          <w:p w14:paraId="69A5AF00" w14:textId="3D4032A0" w:rsidR="004D1060" w:rsidRPr="00100F0A" w:rsidRDefault="004D1060"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-4.0%</w:t>
            </w:r>
          </w:p>
        </w:tc>
        <w:tc>
          <w:tcPr>
            <w:tcW w:w="534" w:type="dxa"/>
            <w:tcBorders>
              <w:top w:val="dotted" w:sz="4" w:space="0" w:color="AAABD6"/>
              <w:bottom w:val="single" w:sz="4" w:space="0" w:color="AAABD6"/>
            </w:tcBorders>
          </w:tcPr>
          <w:p w14:paraId="1437772F" w14:textId="77777777" w:rsidR="004D1060" w:rsidRPr="00100F0A" w:rsidRDefault="004D1060"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803" w:type="dxa"/>
            <w:tcBorders>
              <w:top w:val="dotted" w:sz="4" w:space="0" w:color="AAABD6"/>
              <w:bottom w:val="single" w:sz="4" w:space="0" w:color="AAABD6"/>
            </w:tcBorders>
            <w:vAlign w:val="bottom"/>
          </w:tcPr>
          <w:p w14:paraId="2EE3F3EF" w14:textId="3D98FABD" w:rsidR="004D1060" w:rsidRPr="00100F0A" w:rsidRDefault="004D1060"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rPr>
              <w:t>-4.0%</w:t>
            </w:r>
          </w:p>
        </w:tc>
      </w:tr>
    </w:tbl>
    <w:p w14:paraId="5E33DC74" w14:textId="77777777" w:rsidR="004D1060" w:rsidRPr="00100F0A" w:rsidRDefault="004D1060" w:rsidP="004D1060">
      <w:pPr>
        <w:pStyle w:val="BodyText"/>
      </w:pPr>
    </w:p>
    <w:p w14:paraId="18A28FC9" w14:textId="56930646" w:rsidR="00C2454F" w:rsidRPr="00100F0A" w:rsidRDefault="00C2454F" w:rsidP="00C2454F">
      <w:pPr>
        <w:pStyle w:val="Caption"/>
      </w:pPr>
      <w:bookmarkStart w:id="216" w:name="_Toc13225595"/>
      <w:r w:rsidRPr="00100F0A">
        <w:t xml:space="preserve">Figure </w:t>
      </w:r>
      <w:r w:rsidR="007828B5" w:rsidRPr="00100F0A">
        <w:rPr>
          <w:noProof/>
        </w:rPr>
        <w:fldChar w:fldCharType="begin"/>
      </w:r>
      <w:r w:rsidR="007828B5" w:rsidRPr="00100F0A">
        <w:rPr>
          <w:noProof/>
        </w:rPr>
        <w:instrText xml:space="preserve"> SEQ Figure \* ARABIC </w:instrText>
      </w:r>
      <w:r w:rsidR="007828B5" w:rsidRPr="00100F0A">
        <w:rPr>
          <w:noProof/>
        </w:rPr>
        <w:fldChar w:fldCharType="separate"/>
      </w:r>
      <w:r w:rsidR="00EB634D">
        <w:rPr>
          <w:noProof/>
        </w:rPr>
        <w:t>22</w:t>
      </w:r>
      <w:r w:rsidR="007828B5" w:rsidRPr="00100F0A">
        <w:rPr>
          <w:noProof/>
        </w:rPr>
        <w:fldChar w:fldCharType="end"/>
      </w:r>
      <w:r w:rsidR="00AD2F76">
        <w:rPr>
          <w:noProof/>
        </w:rPr>
        <w:t>:</w:t>
      </w:r>
      <w:r w:rsidRPr="00100F0A">
        <w:tab/>
        <w:t xml:space="preserve">Best, high and low national projection estimates of </w:t>
      </w:r>
      <w:r w:rsidR="004D1060" w:rsidRPr="00100F0A">
        <w:t>PCB</w:t>
      </w:r>
      <w:r w:rsidRPr="00100F0A">
        <w:t xml:space="preserve"> waste to 2037</w:t>
      </w:r>
      <w:bookmarkEnd w:id="216"/>
    </w:p>
    <w:p w14:paraId="2F72C44C" w14:textId="1307DC7E" w:rsidR="00C2454F" w:rsidRPr="00100F0A" w:rsidRDefault="00E622E2" w:rsidP="00C2454F">
      <w:r w:rsidRPr="00100F0A">
        <w:rPr>
          <w:noProof/>
          <w:lang w:eastAsia="en-AU"/>
        </w:rPr>
        <w:drawing>
          <wp:inline distT="0" distB="0" distL="0" distR="0" wp14:anchorId="2FA280F3" wp14:editId="0477706C">
            <wp:extent cx="5735955" cy="2115185"/>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5955" cy="2115185"/>
                    </a:xfrm>
                    <a:prstGeom prst="rect">
                      <a:avLst/>
                    </a:prstGeom>
                  </pic:spPr>
                </pic:pic>
              </a:graphicData>
            </a:graphic>
          </wp:inline>
        </w:drawing>
      </w:r>
    </w:p>
    <w:p w14:paraId="02B585C7" w14:textId="07E4BD6A" w:rsidR="00C2454F" w:rsidRPr="00100F0A" w:rsidRDefault="00C2454F" w:rsidP="004D1060"/>
    <w:p w14:paraId="53E45AF1" w14:textId="73CC3A47" w:rsidR="002169F6" w:rsidRPr="00100F0A" w:rsidRDefault="002169F6" w:rsidP="002169F6">
      <w:pPr>
        <w:pStyle w:val="Heading3"/>
      </w:pPr>
      <w:r w:rsidRPr="00100F0A">
        <w:t>M160a POP-BDEs</w:t>
      </w:r>
    </w:p>
    <w:p w14:paraId="2FC9D63E" w14:textId="3B02B478" w:rsidR="0060553F" w:rsidRPr="00100F0A" w:rsidRDefault="0060553F" w:rsidP="0060553F">
      <w:r w:rsidRPr="00100F0A">
        <w:rPr>
          <w:i/>
        </w:rPr>
        <w:t>M160 Organohalogen compounds—other than substances referred to in this Table or Table 2</w:t>
      </w:r>
      <w:r w:rsidRPr="00100F0A">
        <w:t xml:space="preserve"> comprises:</w:t>
      </w:r>
    </w:p>
    <w:p w14:paraId="6D2CE26F" w14:textId="77777777" w:rsidR="0060553F" w:rsidRPr="00100F0A" w:rsidRDefault="0060553F" w:rsidP="0060553F">
      <w:pPr>
        <w:pStyle w:val="Bullet1"/>
        <w:rPr>
          <w:i/>
          <w:color w:val="080808"/>
        </w:rPr>
      </w:pPr>
      <w:r w:rsidRPr="00100F0A">
        <w:rPr>
          <w:i/>
          <w:color w:val="080808"/>
        </w:rPr>
        <w:t>M160a – POP-BDEs (Persistent Organic Pollutant – Brominated Diphenyl Ethers)</w:t>
      </w:r>
    </w:p>
    <w:p w14:paraId="6DF7BB53" w14:textId="77777777" w:rsidR="0060553F" w:rsidRPr="00100F0A" w:rsidRDefault="0060553F" w:rsidP="0060553F">
      <w:pPr>
        <w:pStyle w:val="Bullet1"/>
        <w:rPr>
          <w:i/>
          <w:color w:val="080808"/>
        </w:rPr>
      </w:pPr>
      <w:r w:rsidRPr="00100F0A">
        <w:rPr>
          <w:i/>
          <w:color w:val="080808"/>
        </w:rPr>
        <w:t>M160b – HBCD (hexabromocyclododecane)</w:t>
      </w:r>
    </w:p>
    <w:p w14:paraId="53DA5ADC" w14:textId="77777777" w:rsidR="0060553F" w:rsidRPr="00100F0A" w:rsidRDefault="0060553F" w:rsidP="0060553F">
      <w:pPr>
        <w:pStyle w:val="Bullet1"/>
        <w:rPr>
          <w:i/>
          <w:color w:val="080808"/>
        </w:rPr>
      </w:pPr>
      <w:r w:rsidRPr="00100F0A">
        <w:rPr>
          <w:i/>
          <w:color w:val="080808"/>
        </w:rPr>
        <w:t>M160c – HCB (Hexachlorobenzene).</w:t>
      </w:r>
    </w:p>
    <w:p w14:paraId="7ADC7F90" w14:textId="6B9A4E34" w:rsidR="0060553F" w:rsidRPr="00100F0A" w:rsidRDefault="0060553F" w:rsidP="0060553F"/>
    <w:p w14:paraId="7816A8C0" w14:textId="13B1A64B" w:rsidR="0060553F" w:rsidRPr="00100F0A" w:rsidRDefault="007F0D67" w:rsidP="0060553F">
      <w:pPr>
        <w:rPr>
          <w:rFonts w:eastAsia="Times New Roman" w:cs="Calibri"/>
          <w:iCs/>
          <w:color w:val="000000"/>
        </w:rPr>
      </w:pPr>
      <w:r w:rsidRPr="00100F0A">
        <w:t xml:space="preserve">Each of these </w:t>
      </w:r>
      <w:r w:rsidR="002A203C" w:rsidRPr="00100F0A">
        <w:t xml:space="preserve">sub-groups is considered separately within this section. </w:t>
      </w:r>
      <w:r w:rsidR="0060553F" w:rsidRPr="00100F0A">
        <w:t xml:space="preserve">Along with PFAS waste, which </w:t>
      </w:r>
      <w:r w:rsidR="00625FC3">
        <w:t>is</w:t>
      </w:r>
      <w:r w:rsidR="0060553F" w:rsidRPr="00100F0A">
        <w:t xml:space="preserve"> </w:t>
      </w:r>
      <w:r w:rsidR="002A203C" w:rsidRPr="00100F0A">
        <w:t xml:space="preserve">also </w:t>
      </w:r>
      <w:r w:rsidR="0060553F" w:rsidRPr="00100F0A">
        <w:t xml:space="preserve">discussed separately under </w:t>
      </w:r>
      <w:r w:rsidR="0060553F" w:rsidRPr="00100F0A">
        <w:rPr>
          <w:i/>
        </w:rPr>
        <w:t xml:space="preserve">M270 </w:t>
      </w:r>
      <w:r w:rsidR="0060553F" w:rsidRPr="00100F0A">
        <w:rPr>
          <w:rFonts w:eastAsia="Times New Roman" w:cs="Calibri"/>
          <w:i/>
          <w:iCs/>
          <w:color w:val="000000"/>
        </w:rPr>
        <w:t>Per- and poly-fluoroalkyl substances (PFAS) contaminated materials, including waste PFAS- containing products and contaminated containers</w:t>
      </w:r>
      <w:r w:rsidR="0060553F" w:rsidRPr="00100F0A">
        <w:rPr>
          <w:rFonts w:eastAsia="Times New Roman" w:cs="Calibri"/>
          <w:iCs/>
          <w:color w:val="000000"/>
        </w:rPr>
        <w:t xml:space="preserve">, M160a-c waste </w:t>
      </w:r>
      <w:r w:rsidR="00625FC3">
        <w:rPr>
          <w:rFonts w:eastAsia="Times New Roman" w:cs="Calibri"/>
          <w:iCs/>
          <w:color w:val="000000"/>
        </w:rPr>
        <w:t>is</w:t>
      </w:r>
      <w:r w:rsidR="0060553F" w:rsidRPr="00100F0A">
        <w:rPr>
          <w:rFonts w:eastAsia="Times New Roman" w:cs="Calibri"/>
          <w:iCs/>
          <w:color w:val="000000"/>
        </w:rPr>
        <w:t xml:space="preserve"> collectively referred to as POP.</w:t>
      </w:r>
    </w:p>
    <w:p w14:paraId="20041F1F" w14:textId="592AB224" w:rsidR="0060553F" w:rsidRPr="00100F0A" w:rsidRDefault="0060553F" w:rsidP="0060553F">
      <w:pPr>
        <w:rPr>
          <w:rFonts w:eastAsia="Times New Roman" w:cs="Calibri"/>
          <w:iCs/>
          <w:color w:val="000000"/>
        </w:rPr>
      </w:pPr>
    </w:p>
    <w:p w14:paraId="49028462" w14:textId="0C739292" w:rsidR="0060553F" w:rsidRPr="00100F0A" w:rsidRDefault="0060553F" w:rsidP="0060553F">
      <w:r w:rsidRPr="00100F0A">
        <w:t>PBDEs have been used globally since the late 1970s for their flame-retarding properties and have been applied as an additive to a range of products including electrical and electronic equipment, furniture upholstery, automobile interiors, mattresses, carpet underlay and other items that are required to be flame</w:t>
      </w:r>
      <w:r w:rsidR="00625FC3">
        <w:t>-</w:t>
      </w:r>
      <w:r w:rsidRPr="00100F0A">
        <w:t xml:space="preserve">retardant. In May 2009 the Stockholm Convention’s Conference of Parties agreed to add nine new </w:t>
      </w:r>
      <w:r w:rsidR="00374225">
        <w:t>POP</w:t>
      </w:r>
      <w:r w:rsidRPr="00100F0A">
        <w:t xml:space="preserve"> to the Convention’s annexes, including certain congeners contained in commercial pentabromodiphenyl ether (c-pentaBDE) and commercial octabromodiphenyl ether (c-octaBDE) and together referred to as POP-BDEs. </w:t>
      </w:r>
    </w:p>
    <w:p w14:paraId="19350C32" w14:textId="54599B33" w:rsidR="002A203C" w:rsidRPr="00100F0A" w:rsidRDefault="002A203C" w:rsidP="0060553F"/>
    <w:p w14:paraId="0CA3DCA8" w14:textId="48CAA3D6" w:rsidR="002A203C" w:rsidRPr="00100F0A" w:rsidRDefault="002A203C" w:rsidP="0060553F">
      <w:r w:rsidRPr="00100F0A">
        <w:t xml:space="preserve">DecaBDE, another POP-BDE more recently added to the Stockholm Convention, also sits within M160a and is discussed in the breakout box </w:t>
      </w:r>
      <w:r w:rsidR="008C1EB6">
        <w:t>overleaf</w:t>
      </w:r>
      <w:r w:rsidRPr="00100F0A">
        <w:t>.</w:t>
      </w:r>
    </w:p>
    <w:p w14:paraId="343C85A6" w14:textId="77777777" w:rsidR="0060553F" w:rsidRPr="00100F0A" w:rsidRDefault="0060553F" w:rsidP="0060553F"/>
    <w:p w14:paraId="4AA9E526" w14:textId="20FC1672" w:rsidR="0060553F" w:rsidRPr="00100F0A" w:rsidRDefault="0060553F" w:rsidP="0060553F">
      <w:pPr>
        <w:rPr>
          <w:color w:val="080808"/>
        </w:rPr>
      </w:pPr>
      <w:r w:rsidRPr="00100F0A">
        <w:t>Under the domestic treaty</w:t>
      </w:r>
      <w:r w:rsidR="008C1EB6">
        <w:t>-</w:t>
      </w:r>
      <w:r w:rsidRPr="00100F0A">
        <w:t>making process</w:t>
      </w:r>
      <w:r w:rsidR="008C1EB6">
        <w:t>,</w:t>
      </w:r>
      <w:r w:rsidRPr="00100F0A">
        <w:t xml:space="preserve"> Australia must determine whether to ratify listing of the POP</w:t>
      </w:r>
      <w:r w:rsidRPr="00100F0A">
        <w:noBreakHyphen/>
        <w:t xml:space="preserve">BDEs after having taken into consideration the costs and benefits of the feasible technical options that it would need to implement to satisfy ratification. This decision has not yet been made. </w:t>
      </w:r>
    </w:p>
    <w:p w14:paraId="7B60BB68" w14:textId="36D0937B" w:rsidR="0060553F" w:rsidRPr="00100F0A" w:rsidRDefault="0060553F" w:rsidP="0060553F"/>
    <w:p w14:paraId="7EFE3B30" w14:textId="77777777" w:rsidR="00A35F0B" w:rsidRPr="00100F0A" w:rsidRDefault="00A35F0B" w:rsidP="00A35F0B">
      <w:pPr>
        <w:pStyle w:val="Heading4"/>
        <w:rPr>
          <w:b w:val="0"/>
        </w:rPr>
      </w:pPr>
      <w:r w:rsidRPr="00100F0A">
        <w:rPr>
          <w:b w:val="0"/>
        </w:rPr>
        <w:t>DecaBDE, an emerging issue</w:t>
      </w:r>
    </w:p>
    <w:p w14:paraId="7A31AD13" w14:textId="636E4A91" w:rsidR="00A35F0B" w:rsidRPr="00100F0A" w:rsidRDefault="00A35F0B" w:rsidP="00160185">
      <w:pPr>
        <w:pStyle w:val="BodyText"/>
        <w:pBdr>
          <w:top w:val="single" w:sz="4" w:space="1" w:color="808080"/>
          <w:left w:val="single" w:sz="4" w:space="4" w:color="808080"/>
          <w:bottom w:val="single" w:sz="4" w:space="31" w:color="808080"/>
          <w:right w:val="single" w:sz="4" w:space="4" w:color="808080"/>
        </w:pBdr>
        <w:shd w:val="clear" w:color="auto" w:fill="F2F2F2" w:themeFill="background1" w:themeFillShade="F2"/>
        <w:spacing w:before="120"/>
        <w:rPr>
          <w:sz w:val="20"/>
          <w:szCs w:val="20"/>
        </w:rPr>
      </w:pPr>
      <w:r w:rsidRPr="00100F0A">
        <w:rPr>
          <w:sz w:val="20"/>
          <w:szCs w:val="20"/>
        </w:rPr>
        <w:t>While the production of commercial pentaBDE and octaBDE has long stopped, the production of decaBDE continues, as it has reduced toxicity compared to the lower brominated BDEs. Hard plastics used in electrical and electronic equipment in Australia had almost totally phased out the use of octaBDE as a flame</w:t>
      </w:r>
      <w:r w:rsidR="008C1EB6">
        <w:rPr>
          <w:sz w:val="20"/>
          <w:szCs w:val="20"/>
        </w:rPr>
        <w:t>-</w:t>
      </w:r>
      <w:r w:rsidRPr="00100F0A">
        <w:rPr>
          <w:sz w:val="20"/>
          <w:szCs w:val="20"/>
        </w:rPr>
        <w:t>retardant by the year 2000. These were replaced by others like decaBDE, tetrabromobisphenol A (TBBPA) and decabromodiphenyl ethane (DBDPE).</w:t>
      </w:r>
    </w:p>
    <w:p w14:paraId="5EC9AFDB" w14:textId="4F43DC35" w:rsidR="00A35F0B" w:rsidRPr="00100F0A" w:rsidRDefault="00A35F0B" w:rsidP="00160185">
      <w:pPr>
        <w:pStyle w:val="BodyText"/>
        <w:pBdr>
          <w:top w:val="single" w:sz="4" w:space="1" w:color="808080"/>
          <w:left w:val="single" w:sz="4" w:space="4" w:color="808080"/>
          <w:bottom w:val="single" w:sz="4" w:space="31" w:color="808080"/>
          <w:right w:val="single" w:sz="4" w:space="4" w:color="808080"/>
        </w:pBdr>
        <w:shd w:val="clear" w:color="auto" w:fill="F2F2F2" w:themeFill="background1" w:themeFillShade="F2"/>
        <w:spacing w:before="120"/>
        <w:rPr>
          <w:sz w:val="20"/>
          <w:szCs w:val="20"/>
        </w:rPr>
      </w:pPr>
      <w:r w:rsidRPr="00100F0A">
        <w:rPr>
          <w:sz w:val="20"/>
          <w:szCs w:val="20"/>
        </w:rPr>
        <w:t>The potential environmental impact of decaBDE has been under review over the last few years due to evidence that it can degrade in thermal processes, environmental processes and in biota to more dangerous lower brominated PBDEs, including POP-BDEs such as pentaBDE. In 2013, Norway drafted a proposal to list commercial decaBDE on the Stockholm Convention.  After consideration at various stages of the Convention</w:t>
      </w:r>
      <w:r w:rsidR="008C1EB6">
        <w:rPr>
          <w:sz w:val="20"/>
          <w:szCs w:val="20"/>
        </w:rPr>
        <w:t>-</w:t>
      </w:r>
      <w:r w:rsidRPr="00100F0A">
        <w:rPr>
          <w:sz w:val="20"/>
          <w:szCs w:val="20"/>
        </w:rPr>
        <w:t>listing process, decaBDE was formally listed on the Stockholm Convention at the eighth meeting of the Conference of the Parties to the Stockholm Convention held in Brussels in May 2017.</w:t>
      </w:r>
    </w:p>
    <w:p w14:paraId="244C1FBF" w14:textId="281374C7" w:rsidR="00160185" w:rsidRPr="00100F0A" w:rsidRDefault="00A35F0B" w:rsidP="00160185">
      <w:pPr>
        <w:pStyle w:val="BodyText"/>
        <w:pBdr>
          <w:top w:val="single" w:sz="4" w:space="1" w:color="808080"/>
          <w:left w:val="single" w:sz="4" w:space="4" w:color="808080"/>
          <w:bottom w:val="single" w:sz="4" w:space="31" w:color="808080"/>
          <w:right w:val="single" w:sz="4" w:space="4" w:color="808080"/>
        </w:pBdr>
        <w:shd w:val="clear" w:color="auto" w:fill="F2F2F2" w:themeFill="background1" w:themeFillShade="F2"/>
        <w:spacing w:before="120"/>
        <w:rPr>
          <w:b/>
        </w:rPr>
      </w:pPr>
      <w:r w:rsidRPr="00100F0A">
        <w:rPr>
          <w:sz w:val="20"/>
          <w:szCs w:val="20"/>
        </w:rPr>
        <w:t>While there is likely to be a significant time-lag between this decision and an Australian regulatory response, this decision has far greater implications for the e-waste recycling industry in Australia than the listing of octaBDE, where large volumes of e-waste plastics are likely to be contaminated in high concentrations</w:t>
      </w:r>
      <w:r w:rsidR="00160185" w:rsidRPr="00100F0A">
        <w:rPr>
          <w:sz w:val="20"/>
          <w:szCs w:val="20"/>
        </w:rPr>
        <w:t>.</w:t>
      </w:r>
    </w:p>
    <w:p w14:paraId="4F108555" w14:textId="47C67A3C" w:rsidR="00160185" w:rsidRPr="00100F0A" w:rsidRDefault="00160185" w:rsidP="00160185">
      <w:pPr>
        <w:pStyle w:val="BodyText"/>
        <w:pBdr>
          <w:top w:val="single" w:sz="4" w:space="1" w:color="808080"/>
          <w:left w:val="single" w:sz="4" w:space="4" w:color="808080"/>
          <w:bottom w:val="single" w:sz="4" w:space="31" w:color="808080"/>
          <w:right w:val="single" w:sz="4" w:space="4" w:color="808080"/>
        </w:pBdr>
        <w:shd w:val="clear" w:color="auto" w:fill="F2F2F2" w:themeFill="background1" w:themeFillShade="F2"/>
        <w:spacing w:before="120"/>
        <w:rPr>
          <w:b/>
        </w:rPr>
        <w:sectPr w:rsidR="00160185" w:rsidRPr="00100F0A" w:rsidSect="00A35F0B">
          <w:headerReference w:type="default" r:id="rId58"/>
          <w:footerReference w:type="default" r:id="rId59"/>
          <w:pgSz w:w="11906" w:h="16838" w:code="9"/>
          <w:pgMar w:top="1440" w:right="1077" w:bottom="1440" w:left="1797" w:header="709" w:footer="454" w:gutter="0"/>
          <w:cols w:space="708"/>
          <w:docGrid w:linePitch="360"/>
        </w:sectPr>
      </w:pPr>
    </w:p>
    <w:p w14:paraId="24177373" w14:textId="77777777" w:rsidR="002169F6" w:rsidRPr="00100F0A" w:rsidRDefault="002169F6" w:rsidP="002169F6">
      <w:pPr>
        <w:pStyle w:val="Heading3-nonumber"/>
      </w:pPr>
      <w:r w:rsidRPr="00100F0A">
        <w:t>Summary analysis</w:t>
      </w:r>
    </w:p>
    <w:tbl>
      <w:tblPr>
        <w:tblStyle w:val="BETable11"/>
        <w:tblW w:w="5000" w:type="pct"/>
        <w:tblInd w:w="0" w:type="dxa"/>
        <w:tblBorders>
          <w:top w:val="single" w:sz="4" w:space="0" w:color="AAABD6"/>
          <w:left w:val="single" w:sz="4" w:space="0" w:color="AAABD6"/>
          <w:bottom w:val="single" w:sz="4" w:space="0" w:color="AAABD6"/>
          <w:right w:val="single" w:sz="4" w:space="0" w:color="AAABD6"/>
          <w:insideH w:val="single" w:sz="4" w:space="0" w:color="AAABD6"/>
          <w:insideV w:val="single" w:sz="4" w:space="0" w:color="AAABD6"/>
        </w:tblBorders>
        <w:tblLook w:val="04A0" w:firstRow="1" w:lastRow="0" w:firstColumn="1" w:lastColumn="0" w:noHBand="0" w:noVBand="1"/>
      </w:tblPr>
      <w:tblGrid>
        <w:gridCol w:w="2405"/>
        <w:gridCol w:w="5387"/>
        <w:gridCol w:w="2410"/>
        <w:gridCol w:w="3746"/>
      </w:tblGrid>
      <w:tr w:rsidR="002169F6" w:rsidRPr="00100F0A" w14:paraId="067DAF82" w14:textId="77777777" w:rsidTr="002169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tcBorders>
              <w:top w:val="nil"/>
              <w:left w:val="single" w:sz="4" w:space="0" w:color="AAABD6"/>
              <w:bottom w:val="nil"/>
            </w:tcBorders>
            <w:shd w:val="clear" w:color="auto" w:fill="AAABD6"/>
          </w:tcPr>
          <w:p w14:paraId="32B4C876" w14:textId="77777777" w:rsidR="002169F6" w:rsidRPr="00100F0A" w:rsidRDefault="002169F6" w:rsidP="002169F6">
            <w:pPr>
              <w:pStyle w:val="BodyText"/>
              <w:rPr>
                <w:color w:val="FFFFFF" w:themeColor="background1"/>
              </w:rPr>
            </w:pPr>
            <w:r w:rsidRPr="00100F0A">
              <w:rPr>
                <w:color w:val="FFFFFF" w:themeColor="background1"/>
              </w:rPr>
              <w:t>Industry sources</w:t>
            </w:r>
          </w:p>
        </w:tc>
        <w:tc>
          <w:tcPr>
            <w:tcW w:w="1931" w:type="pct"/>
            <w:tcBorders>
              <w:top w:val="nil"/>
              <w:bottom w:val="nil"/>
            </w:tcBorders>
            <w:shd w:val="clear" w:color="auto" w:fill="AAABD6"/>
          </w:tcPr>
          <w:p w14:paraId="5C7B2DDC" w14:textId="77777777" w:rsidR="002169F6" w:rsidRPr="00100F0A" w:rsidRDefault="002169F6" w:rsidP="002169F6">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Considerations</w:t>
            </w:r>
          </w:p>
        </w:tc>
        <w:tc>
          <w:tcPr>
            <w:tcW w:w="864" w:type="pct"/>
            <w:tcBorders>
              <w:top w:val="nil"/>
              <w:bottom w:val="nil"/>
            </w:tcBorders>
            <w:shd w:val="clear" w:color="auto" w:fill="AAABD6"/>
          </w:tcPr>
          <w:p w14:paraId="7C9B2656" w14:textId="77777777" w:rsidR="002169F6" w:rsidRPr="00100F0A" w:rsidRDefault="002169F6" w:rsidP="002169F6">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Comments</w:t>
            </w:r>
          </w:p>
        </w:tc>
        <w:tc>
          <w:tcPr>
            <w:tcW w:w="1343" w:type="pct"/>
            <w:tcBorders>
              <w:top w:val="nil"/>
              <w:bottom w:val="nil"/>
              <w:right w:val="single" w:sz="4" w:space="0" w:color="AAABD6"/>
            </w:tcBorders>
            <w:shd w:val="clear" w:color="auto" w:fill="AAABD6"/>
          </w:tcPr>
          <w:p w14:paraId="671AB424" w14:textId="77777777" w:rsidR="002169F6" w:rsidRPr="00100F0A" w:rsidRDefault="002169F6" w:rsidP="002169F6">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r>
      <w:tr w:rsidR="002169F6" w:rsidRPr="00100F0A" w14:paraId="46D99534" w14:textId="77777777" w:rsidTr="002169F6">
        <w:tc>
          <w:tcPr>
            <w:cnfStyle w:val="001000000000" w:firstRow="0" w:lastRow="0" w:firstColumn="1" w:lastColumn="0" w:oddVBand="0" w:evenVBand="0" w:oddHBand="0" w:evenHBand="0" w:firstRowFirstColumn="0" w:firstRowLastColumn="0" w:lastRowFirstColumn="0" w:lastRowLastColumn="0"/>
            <w:tcW w:w="862" w:type="pct"/>
            <w:tcBorders>
              <w:top w:val="nil"/>
            </w:tcBorders>
          </w:tcPr>
          <w:p w14:paraId="1EC2CD52" w14:textId="141C6AA3" w:rsidR="002169F6" w:rsidRPr="00100F0A" w:rsidRDefault="002169F6" w:rsidP="002169F6">
            <w:pPr>
              <w:rPr>
                <w:color w:val="000000"/>
              </w:rPr>
            </w:pPr>
            <w:r w:rsidRPr="00100F0A">
              <w:rPr>
                <w:color w:val="080808"/>
              </w:rPr>
              <w:t>Brominated flame retardants are found in e-waste ABS plastics, furniture upholstery (</w:t>
            </w:r>
            <w:r w:rsidR="001E3B2E" w:rsidRPr="001E3B2E">
              <w:rPr>
                <w:color w:val="080808"/>
              </w:rPr>
              <w:t>polyurethane foam</w:t>
            </w:r>
            <w:r w:rsidRPr="00100F0A">
              <w:rPr>
                <w:color w:val="080808"/>
              </w:rPr>
              <w:t xml:space="preserve"> foams) and biosolids (downstream from industrial and domestic uses of these chemicals)</w:t>
            </w:r>
          </w:p>
        </w:tc>
        <w:tc>
          <w:tcPr>
            <w:tcW w:w="1931" w:type="pct"/>
            <w:tcBorders>
              <w:top w:val="nil"/>
            </w:tcBorders>
          </w:tcPr>
          <w:p w14:paraId="324B7405" w14:textId="1736675F" w:rsidR="002169F6" w:rsidRPr="00100F0A" w:rsidRDefault="002169F6" w:rsidP="00E96D3C">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Australian biosolids are unlikely to exhibit POP-BDEs above 1,000</w:t>
            </w:r>
            <w:r w:rsidR="00D9242C">
              <w:rPr>
                <w:color w:val="000000"/>
              </w:rPr>
              <w:t xml:space="preserve"> </w:t>
            </w:r>
            <w:r w:rsidRPr="00100F0A">
              <w:rPr>
                <w:color w:val="000000"/>
              </w:rPr>
              <w:t>mg/kg (the Stockholm Convention’s level of concern)</w:t>
            </w:r>
          </w:p>
          <w:p w14:paraId="13AEA442" w14:textId="02B0172B" w:rsidR="002169F6" w:rsidRPr="00100F0A" w:rsidRDefault="008C1EB6" w:rsidP="00E96D3C">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rPr>
                <w:color w:val="000000"/>
              </w:rPr>
            </w:pPr>
            <w:r>
              <w:rPr>
                <w:color w:val="000000"/>
              </w:rPr>
              <w:t>WEE</w:t>
            </w:r>
            <w:r w:rsidR="002169F6" w:rsidRPr="00100F0A">
              <w:rPr>
                <w:color w:val="000000"/>
              </w:rPr>
              <w:t>E that presents for landfill disposal (not recycling) is the major source of POP-BDEs</w:t>
            </w:r>
          </w:p>
          <w:p w14:paraId="2DE0338C" w14:textId="0FBD0561" w:rsidR="002169F6" w:rsidRPr="00100F0A" w:rsidRDefault="002169F6" w:rsidP="00E96D3C">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Biggest issue is decaBDE, since it is still used for flame retardancy in manufactured EEE today (octa and penta were phased out in the late 1990s to mid-2000s)</w:t>
            </w:r>
          </w:p>
          <w:p w14:paraId="0D2644D9" w14:textId="618412E2" w:rsidR="002169F6" w:rsidRPr="00100F0A" w:rsidRDefault="002169F6" w:rsidP="00E96D3C">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This means decaBDE will be a waste legacy issue for much longer than octa</w:t>
            </w:r>
            <w:r w:rsidR="008C1EB6">
              <w:rPr>
                <w:color w:val="000000"/>
              </w:rPr>
              <w:t>-</w:t>
            </w:r>
            <w:r w:rsidRPr="00100F0A">
              <w:rPr>
                <w:color w:val="000000"/>
              </w:rPr>
              <w:t xml:space="preserve"> and pentaBDE</w:t>
            </w:r>
          </w:p>
          <w:p w14:paraId="102BFB26" w14:textId="6C26F703" w:rsidR="002169F6" w:rsidRPr="00100F0A" w:rsidRDefault="002169F6" w:rsidP="00E96D3C">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Although penta/octaBDE have not been</w:t>
            </w:r>
            <w:r w:rsidRPr="006C17DC">
              <w:rPr>
                <w:color w:val="000000"/>
              </w:rPr>
              <w:t xml:space="preserve"> </w:t>
            </w:r>
            <w:r w:rsidR="008C1EB6" w:rsidRPr="006C17DC">
              <w:rPr>
                <w:color w:val="000000"/>
              </w:rPr>
              <w:t>i</w:t>
            </w:r>
            <w:r w:rsidRPr="00A307F3">
              <w:rPr>
                <w:color w:val="000000"/>
              </w:rPr>
              <w:t>ntentionally</w:t>
            </w:r>
            <w:r w:rsidRPr="00100F0A">
              <w:rPr>
                <w:color w:val="000000"/>
              </w:rPr>
              <w:t xml:space="preserve"> added to </w:t>
            </w:r>
            <w:r w:rsidR="008C1EB6">
              <w:rPr>
                <w:color w:val="000000"/>
              </w:rPr>
              <w:t>W</w:t>
            </w:r>
            <w:r w:rsidRPr="00100F0A">
              <w:rPr>
                <w:color w:val="000000"/>
              </w:rPr>
              <w:t>EEE since this time, some penta/octa could still be present &gt;1000</w:t>
            </w:r>
            <w:r w:rsidR="008C1EB6">
              <w:rPr>
                <w:color w:val="000000"/>
              </w:rPr>
              <w:t xml:space="preserve"> </w:t>
            </w:r>
            <w:r w:rsidRPr="00100F0A">
              <w:rPr>
                <w:color w:val="000000"/>
              </w:rPr>
              <w:t>mg/kg due to unintentional addition (contaminated recyclate)</w:t>
            </w:r>
          </w:p>
        </w:tc>
        <w:tc>
          <w:tcPr>
            <w:tcW w:w="864" w:type="pct"/>
            <w:tcBorders>
              <w:top w:val="nil"/>
            </w:tcBorders>
          </w:tcPr>
          <w:p w14:paraId="024E8AC5" w14:textId="77777777" w:rsidR="002169F6" w:rsidRPr="00100F0A" w:rsidRDefault="002169F6" w:rsidP="002169F6">
            <w:pPr>
              <w:pStyle w:val="BodyText"/>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BE et al 2017 e-waste projections up to 2035 can be used in POP-BDE (from e-waste) projections. These indicate rapid e-waste growth.</w:t>
            </w:r>
          </w:p>
          <w:p w14:paraId="1A2E5041" w14:textId="77777777" w:rsidR="002169F6" w:rsidRPr="00100F0A" w:rsidRDefault="002169F6" w:rsidP="002169F6">
            <w:pPr>
              <w:pStyle w:val="BodyText"/>
              <w:cnfStyle w:val="000000000000" w:firstRow="0" w:lastRow="0" w:firstColumn="0" w:lastColumn="0" w:oddVBand="0" w:evenVBand="0" w:oddHBand="0" w:evenHBand="0" w:firstRowFirstColumn="0" w:firstRowLastColumn="0" w:lastRowFirstColumn="0" w:lastRowLastColumn="0"/>
              <w:rPr>
                <w:color w:val="000000"/>
              </w:rPr>
            </w:pPr>
          </w:p>
          <w:p w14:paraId="7DC9994A" w14:textId="1BE8D3F7" w:rsidR="002169F6" w:rsidRPr="00100F0A" w:rsidRDefault="002169F6" w:rsidP="002169F6">
            <w:pPr>
              <w:pStyle w:val="BodyText"/>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These projections are informed by good historical e-product use data.</w:t>
            </w:r>
          </w:p>
        </w:tc>
        <w:tc>
          <w:tcPr>
            <w:tcW w:w="1343" w:type="pct"/>
            <w:tcBorders>
              <w:top w:val="nil"/>
            </w:tcBorders>
          </w:tcPr>
          <w:p w14:paraId="3A0AAE42" w14:textId="77777777" w:rsidR="002169F6" w:rsidRPr="00100F0A" w:rsidRDefault="002169F6" w:rsidP="002169F6">
            <w:pPr>
              <w:pStyle w:val="BodyText"/>
              <w:cnfStyle w:val="000000000000" w:firstRow="0" w:lastRow="0" w:firstColumn="0" w:lastColumn="0" w:oddVBand="0" w:evenVBand="0" w:oddHBand="0" w:evenHBand="0" w:firstRowFirstColumn="0" w:firstRowLastColumn="0" w:lastRowFirstColumn="0" w:lastRowLastColumn="0"/>
            </w:pPr>
            <w:r w:rsidRPr="00100F0A">
              <w:t>Use e-waste only, since other waste streams are likely to be below 1,000mg/kg.</w:t>
            </w:r>
          </w:p>
          <w:p w14:paraId="46CBF5EA" w14:textId="77777777" w:rsidR="002169F6" w:rsidRPr="00100F0A" w:rsidRDefault="002169F6" w:rsidP="002169F6">
            <w:pPr>
              <w:pStyle w:val="BodyText"/>
              <w:cnfStyle w:val="000000000000" w:firstRow="0" w:lastRow="0" w:firstColumn="0" w:lastColumn="0" w:oddVBand="0" w:evenVBand="0" w:oddHBand="0" w:evenHBand="0" w:firstRowFirstColumn="0" w:firstRowLastColumn="0" w:lastRowFirstColumn="0" w:lastRowLastColumn="0"/>
            </w:pPr>
          </w:p>
          <w:p w14:paraId="19A5E6FB" w14:textId="2DDF162B" w:rsidR="002169F6" w:rsidRPr="00100F0A" w:rsidRDefault="008C1EB6" w:rsidP="002169F6">
            <w:pPr>
              <w:cnfStyle w:val="000000000000" w:firstRow="0" w:lastRow="0" w:firstColumn="0" w:lastColumn="0" w:oddVBand="0" w:evenVBand="0" w:oddHBand="0" w:evenHBand="0" w:firstRowFirstColumn="0" w:firstRowLastColumn="0" w:lastRowFirstColumn="0" w:lastRowLastColumn="0"/>
            </w:pPr>
            <w:r>
              <w:rPr>
                <w:u w:val="single"/>
              </w:rPr>
              <w:t>d</w:t>
            </w:r>
            <w:r w:rsidR="002169F6" w:rsidRPr="00100F0A">
              <w:rPr>
                <w:u w:val="single"/>
              </w:rPr>
              <w:t>ecaBDE</w:t>
            </w:r>
            <w:r w:rsidR="002169F6" w:rsidRPr="00100F0A">
              <w:t xml:space="preserve">: </w:t>
            </w:r>
          </w:p>
          <w:p w14:paraId="0C9ADDEA"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pPr>
            <w:r w:rsidRPr="00100F0A">
              <w:t>Assume growth directly follows national e-waste projected growth (BE et al 2017.</w:t>
            </w:r>
          </w:p>
          <w:p w14:paraId="2C400C5C" w14:textId="6BA3F3D6" w:rsidR="002169F6" w:rsidRPr="00100F0A" w:rsidRDefault="008C1EB6" w:rsidP="002169F6">
            <w:pPr>
              <w:cnfStyle w:val="000000000000" w:firstRow="0" w:lastRow="0" w:firstColumn="0" w:lastColumn="0" w:oddVBand="0" w:evenVBand="0" w:oddHBand="0" w:evenHBand="0" w:firstRowFirstColumn="0" w:firstRowLastColumn="0" w:lastRowFirstColumn="0" w:lastRowLastColumn="0"/>
            </w:pPr>
            <w:r>
              <w:rPr>
                <w:u w:val="single"/>
              </w:rPr>
              <w:t>o</w:t>
            </w:r>
            <w:r w:rsidR="002169F6" w:rsidRPr="00100F0A">
              <w:rPr>
                <w:u w:val="single"/>
              </w:rPr>
              <w:t>cta</w:t>
            </w:r>
            <w:r>
              <w:rPr>
                <w:u w:val="single"/>
              </w:rPr>
              <w:t>-</w:t>
            </w:r>
            <w:r w:rsidR="002169F6" w:rsidRPr="00100F0A">
              <w:rPr>
                <w:u w:val="single"/>
              </w:rPr>
              <w:t xml:space="preserve"> &amp; pentaBDE</w:t>
            </w:r>
            <w:r w:rsidR="002169F6" w:rsidRPr="00100F0A">
              <w:t>:</w:t>
            </w:r>
          </w:p>
          <w:p w14:paraId="302701A9" w14:textId="52363129" w:rsidR="002169F6" w:rsidRPr="00100F0A" w:rsidRDefault="002169F6" w:rsidP="002169F6">
            <w:pPr>
              <w:pStyle w:val="BodyText"/>
              <w:cnfStyle w:val="000000000000" w:firstRow="0" w:lastRow="0" w:firstColumn="0" w:lastColumn="0" w:oddVBand="0" w:evenVBand="0" w:oddHBand="0" w:evenHBand="0" w:firstRowFirstColumn="0" w:firstRowLastColumn="0" w:lastRowFirstColumn="0" w:lastRowLastColumn="0"/>
            </w:pPr>
            <w:r w:rsidRPr="00100F0A">
              <w:t>Assume zero end of life (intentionally added) penta</w:t>
            </w:r>
            <w:r w:rsidR="008C1EB6">
              <w:t>-</w:t>
            </w:r>
            <w:r w:rsidRPr="00100F0A">
              <w:t xml:space="preserve"> &amp; octaBDE items (KMH 2013)</w:t>
            </w:r>
          </w:p>
          <w:p w14:paraId="79B1ABFA" w14:textId="39B1C4AE" w:rsidR="002169F6" w:rsidRPr="00100F0A" w:rsidRDefault="002169F6" w:rsidP="00A307F3">
            <w:pPr>
              <w:pStyle w:val="BodyText"/>
              <w:cnfStyle w:val="000000000000" w:firstRow="0" w:lastRow="0" w:firstColumn="0" w:lastColumn="0" w:oddVBand="0" w:evenVBand="0" w:oddHBand="0" w:evenHBand="0" w:firstRowFirstColumn="0" w:firstRowLastColumn="0" w:lastRowFirstColumn="0" w:lastRowLastColumn="0"/>
            </w:pPr>
            <w:r w:rsidRPr="00100F0A">
              <w:t>Assume some unintentional POP-BDEs will be above 1,000 due to contaminated recyclate plastic</w:t>
            </w:r>
            <w:r w:rsidR="008C1EB6">
              <w:t xml:space="preserve"> </w:t>
            </w:r>
            <w:r w:rsidRPr="00100F0A">
              <w:t xml:space="preserve">(BE et al 2017) </w:t>
            </w:r>
          </w:p>
          <w:p w14:paraId="301F9666"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pPr>
            <w:r w:rsidRPr="00100F0A">
              <w:t>Assume Aust ratification occurs in 2020</w:t>
            </w:r>
          </w:p>
        </w:tc>
      </w:tr>
    </w:tbl>
    <w:p w14:paraId="243DD70A" w14:textId="77777777" w:rsidR="002169F6" w:rsidRPr="00100F0A" w:rsidRDefault="002169F6" w:rsidP="002169F6">
      <w:pPr>
        <w:pStyle w:val="BodyText"/>
      </w:pPr>
    </w:p>
    <w:p w14:paraId="736F6ABA" w14:textId="200F8F3E" w:rsidR="002169F6" w:rsidRPr="00100F0A" w:rsidRDefault="002169F6" w:rsidP="002169F6">
      <w:pPr>
        <w:pStyle w:val="Heading3-nonumber"/>
      </w:pPr>
      <w:r w:rsidRPr="00100F0A">
        <w:t>Starting point arising estimate</w:t>
      </w:r>
    </w:p>
    <w:p w14:paraId="145E6872" w14:textId="04CA6B5B" w:rsidR="002169F6" w:rsidRPr="00100F0A" w:rsidRDefault="002169F6" w:rsidP="002169F6">
      <w:pPr>
        <w:pStyle w:val="BodyText"/>
      </w:pPr>
      <w:r w:rsidRPr="00100F0A">
        <w:t>Penta</w:t>
      </w:r>
      <w:r w:rsidR="008C1EB6">
        <w:t>-</w:t>
      </w:r>
      <w:r w:rsidRPr="00100F0A">
        <w:t>, octa</w:t>
      </w:r>
      <w:r w:rsidR="008C1EB6">
        <w:t>-</w:t>
      </w:r>
      <w:r w:rsidRPr="00100F0A">
        <w:t xml:space="preserve"> and decaBDE wastes are not currently represented in hazardous waste tracking data, primarily because their addition to the Stockholm Convention has not been ratified yet. Consequently, assumptions must be used to estimate a feasible starting-poin</w:t>
      </w:r>
      <w:r w:rsidR="008C1EB6">
        <w:t>t</w:t>
      </w:r>
      <w:r w:rsidRPr="00100F0A">
        <w:t xml:space="preserve"> tonnage that describes what might become available to the hazardous waste market once ratification occurs. These are as follows:</w:t>
      </w:r>
    </w:p>
    <w:p w14:paraId="04D98F18" w14:textId="66E4C91C" w:rsidR="002169F6" w:rsidRPr="00100F0A" w:rsidRDefault="008C1EB6" w:rsidP="002169F6">
      <w:pPr>
        <w:pStyle w:val="Bullet1"/>
      </w:pPr>
      <w:r>
        <w:t>p</w:t>
      </w:r>
      <w:r w:rsidR="002169F6" w:rsidRPr="00100F0A">
        <w:t>entaBDE = 0 tonnes arising in 2018 (KMH 2013), and remains that way throughout the projection period</w:t>
      </w:r>
    </w:p>
    <w:p w14:paraId="29534F9B" w14:textId="24774A73" w:rsidR="002169F6" w:rsidRPr="00100F0A" w:rsidRDefault="008C1EB6" w:rsidP="002169F6">
      <w:pPr>
        <w:pStyle w:val="Bullet1"/>
      </w:pPr>
      <w:r>
        <w:t>o</w:t>
      </w:r>
      <w:r w:rsidR="002169F6" w:rsidRPr="00100F0A">
        <w:t>ctaBDE = 131 tonnes (BE et al 2017), arising in 2020, when Australian ratification is assumed to occur</w:t>
      </w:r>
    </w:p>
    <w:p w14:paraId="7C21B683" w14:textId="0F6FDE25" w:rsidR="002169F6" w:rsidRPr="00100F0A" w:rsidRDefault="008C1EB6" w:rsidP="002169F6">
      <w:pPr>
        <w:pStyle w:val="Bullet1"/>
      </w:pPr>
      <w:r>
        <w:t>d</w:t>
      </w:r>
      <w:r w:rsidR="002169F6" w:rsidRPr="00100F0A">
        <w:t>ecaBDE = 57,689 tonnes, arising in 2024, when Australian ratification is assumed to occur. DecaBDE starting point assumptions are:</w:t>
      </w:r>
    </w:p>
    <w:p w14:paraId="3463AB30" w14:textId="77777777" w:rsidR="002169F6" w:rsidRPr="00100F0A" w:rsidRDefault="002169F6" w:rsidP="002169F6">
      <w:pPr>
        <w:pStyle w:val="Bullet2"/>
      </w:pPr>
      <w:r w:rsidRPr="00100F0A">
        <w:t xml:space="preserve">BE (2016) (best) predicts 2024 Aust e-waste generation </w:t>
      </w:r>
      <w:r w:rsidRPr="00100F0A">
        <w:tab/>
      </w:r>
      <w:r w:rsidRPr="00100F0A">
        <w:tab/>
      </w:r>
      <w:r w:rsidRPr="00100F0A">
        <w:tab/>
      </w:r>
      <w:r w:rsidRPr="00100F0A">
        <w:tab/>
        <w:t>= 640,985 tonnes</w:t>
      </w:r>
    </w:p>
    <w:p w14:paraId="6EAB23FB" w14:textId="77777777" w:rsidR="002169F6" w:rsidRPr="00100F0A" w:rsidRDefault="002169F6" w:rsidP="002169F6">
      <w:pPr>
        <w:pStyle w:val="Bullet2"/>
      </w:pPr>
      <w:r w:rsidRPr="00100F0A">
        <w:t xml:space="preserve">DecaBDE is in widespread use - assume 30% of all e-waste plastic contains it </w:t>
      </w:r>
      <w:r w:rsidRPr="00100F0A">
        <w:tab/>
      </w:r>
      <w:r w:rsidRPr="00100F0A">
        <w:tab/>
        <w:t>= 192,295 tonnes</w:t>
      </w:r>
    </w:p>
    <w:p w14:paraId="36904254" w14:textId="77777777" w:rsidR="002169F6" w:rsidRPr="00100F0A" w:rsidRDefault="002169F6" w:rsidP="002169F6">
      <w:pPr>
        <w:pStyle w:val="Bullet2"/>
      </w:pPr>
      <w:r w:rsidRPr="00100F0A">
        <w:t>Assume decaBDE-containing plastic is dismantled &amp; is 30% by weight of whole item</w:t>
      </w:r>
      <w:r w:rsidRPr="00100F0A">
        <w:tab/>
        <w:t>= 57,689 tonnes</w:t>
      </w:r>
    </w:p>
    <w:p w14:paraId="574D6AF4" w14:textId="77777777" w:rsidR="002169F6" w:rsidRPr="00100F0A" w:rsidRDefault="002169F6" w:rsidP="002169F6">
      <w:pPr>
        <w:pStyle w:val="Bullet2"/>
      </w:pPr>
      <w:r w:rsidRPr="00100F0A">
        <w:t>(30% is the average weight proportion of TVs and computers (UNEP 2012)).</w:t>
      </w:r>
    </w:p>
    <w:p w14:paraId="500CF5B2" w14:textId="77777777" w:rsidR="002169F6" w:rsidRPr="00100F0A" w:rsidRDefault="002169F6" w:rsidP="002169F6">
      <w:pPr>
        <w:pStyle w:val="BodyText"/>
      </w:pPr>
    </w:p>
    <w:p w14:paraId="1C3A8C73" w14:textId="322D336C" w:rsidR="002169F6" w:rsidRPr="00100F0A" w:rsidRDefault="002169F6" w:rsidP="002169F6">
      <w:pPr>
        <w:pStyle w:val="Caption"/>
      </w:pPr>
      <w:bookmarkStart w:id="217" w:name="_Toc13225645"/>
      <w:r w:rsidRPr="00100F0A">
        <w:t xml:space="preserve">Table </w:t>
      </w:r>
      <w:r w:rsidR="00971D78" w:rsidRPr="00100F0A">
        <w:rPr>
          <w:noProof/>
        </w:rPr>
        <w:fldChar w:fldCharType="begin"/>
      </w:r>
      <w:r w:rsidR="00971D78" w:rsidRPr="00100F0A">
        <w:rPr>
          <w:noProof/>
        </w:rPr>
        <w:instrText xml:space="preserve"> SEQ Table \* ARABIC </w:instrText>
      </w:r>
      <w:r w:rsidR="00971D78" w:rsidRPr="00100F0A">
        <w:rPr>
          <w:noProof/>
        </w:rPr>
        <w:fldChar w:fldCharType="separate"/>
      </w:r>
      <w:r w:rsidR="00EB634D">
        <w:rPr>
          <w:noProof/>
        </w:rPr>
        <w:t>26</w:t>
      </w:r>
      <w:r w:rsidR="00971D78" w:rsidRPr="00100F0A">
        <w:rPr>
          <w:noProof/>
        </w:rPr>
        <w:fldChar w:fldCharType="end"/>
      </w:r>
      <w:r w:rsidR="00AD2F76">
        <w:rPr>
          <w:noProof/>
        </w:rPr>
        <w:t>:</w:t>
      </w:r>
      <w:r w:rsidRPr="00100F0A">
        <w:tab/>
        <w:t>Best, high and low projected tonnes for POP-BDEs waste to 2037</w:t>
      </w:r>
      <w:bookmarkEnd w:id="217"/>
    </w:p>
    <w:tbl>
      <w:tblPr>
        <w:tblStyle w:val="BETable1"/>
        <w:tblW w:w="15697" w:type="dxa"/>
        <w:jc w:val="center"/>
        <w:tblInd w:w="0" w:type="dxa"/>
        <w:tblLayout w:type="fixed"/>
        <w:tblLook w:val="04A0" w:firstRow="1" w:lastRow="0" w:firstColumn="1" w:lastColumn="0" w:noHBand="0" w:noVBand="1"/>
      </w:tblPr>
      <w:tblGrid>
        <w:gridCol w:w="568"/>
        <w:gridCol w:w="1134"/>
        <w:gridCol w:w="2126"/>
        <w:gridCol w:w="601"/>
        <w:gridCol w:w="531"/>
        <w:gridCol w:w="531"/>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A1102D" w:rsidRPr="00100F0A" w14:paraId="3AB635C1" w14:textId="77777777" w:rsidTr="002169F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 w:type="dxa"/>
            <w:tcBorders>
              <w:top w:val="single" w:sz="4" w:space="0" w:color="AAABD6"/>
              <w:left w:val="single" w:sz="4" w:space="0" w:color="AAABD6"/>
              <w:bottom w:val="single" w:sz="4" w:space="0" w:color="AAABD6"/>
            </w:tcBorders>
            <w:shd w:val="clear" w:color="auto" w:fill="AAABD6"/>
          </w:tcPr>
          <w:p w14:paraId="0D2AE901" w14:textId="77777777" w:rsidR="002169F6" w:rsidRPr="00100F0A" w:rsidRDefault="002169F6" w:rsidP="002169F6">
            <w:pPr>
              <w:rPr>
                <w:color w:val="FFFFFF" w:themeColor="background1"/>
                <w:sz w:val="16"/>
                <w:szCs w:val="16"/>
              </w:rPr>
            </w:pPr>
          </w:p>
        </w:tc>
        <w:tc>
          <w:tcPr>
            <w:tcW w:w="1134" w:type="dxa"/>
            <w:tcBorders>
              <w:top w:val="single" w:sz="4" w:space="0" w:color="AAABD6"/>
              <w:bottom w:val="single" w:sz="4" w:space="0" w:color="AAABD6"/>
            </w:tcBorders>
            <w:shd w:val="clear" w:color="auto" w:fill="AAABD6"/>
          </w:tcPr>
          <w:p w14:paraId="42397AF1" w14:textId="77777777" w:rsidR="002169F6" w:rsidRPr="00100F0A" w:rsidRDefault="002169F6" w:rsidP="002169F6">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Applies to</w:t>
            </w:r>
          </w:p>
        </w:tc>
        <w:tc>
          <w:tcPr>
            <w:tcW w:w="2126" w:type="dxa"/>
            <w:tcBorders>
              <w:top w:val="single" w:sz="4" w:space="0" w:color="AAABD6"/>
              <w:bottom w:val="single" w:sz="4" w:space="0" w:color="AAABD6"/>
            </w:tcBorders>
            <w:shd w:val="clear" w:color="auto" w:fill="AAABD6"/>
          </w:tcPr>
          <w:p w14:paraId="322E5681" w14:textId="77777777" w:rsidR="002169F6" w:rsidRPr="00100F0A" w:rsidRDefault="002169F6" w:rsidP="002169F6">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Approach</w:t>
            </w:r>
          </w:p>
        </w:tc>
        <w:tc>
          <w:tcPr>
            <w:tcW w:w="601" w:type="dxa"/>
            <w:tcBorders>
              <w:top w:val="single" w:sz="4" w:space="0" w:color="AAABD6"/>
              <w:bottom w:val="single" w:sz="4" w:space="0" w:color="AAABD6"/>
            </w:tcBorders>
            <w:shd w:val="clear" w:color="auto" w:fill="AAABD6"/>
          </w:tcPr>
          <w:p w14:paraId="36B95C5E"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2017</w:t>
            </w:r>
          </w:p>
        </w:tc>
        <w:tc>
          <w:tcPr>
            <w:tcW w:w="531" w:type="dxa"/>
            <w:tcBorders>
              <w:top w:val="single" w:sz="4" w:space="0" w:color="AAABD6"/>
              <w:bottom w:val="single" w:sz="4" w:space="0" w:color="AAABD6"/>
              <w:right w:val="single" w:sz="4" w:space="0" w:color="AAABD6"/>
            </w:tcBorders>
            <w:shd w:val="clear" w:color="auto" w:fill="AAABD6"/>
          </w:tcPr>
          <w:p w14:paraId="00196342"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2018</w:t>
            </w:r>
          </w:p>
        </w:tc>
        <w:tc>
          <w:tcPr>
            <w:tcW w:w="531" w:type="dxa"/>
            <w:tcBorders>
              <w:top w:val="single" w:sz="4" w:space="0" w:color="AAABD6"/>
              <w:bottom w:val="single" w:sz="4" w:space="0" w:color="AAABD6"/>
              <w:right w:val="single" w:sz="4" w:space="0" w:color="AAABD6"/>
            </w:tcBorders>
            <w:shd w:val="clear" w:color="auto" w:fill="AAABD6"/>
          </w:tcPr>
          <w:p w14:paraId="69019E09"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2019</w:t>
            </w:r>
          </w:p>
        </w:tc>
        <w:tc>
          <w:tcPr>
            <w:tcW w:w="567" w:type="dxa"/>
            <w:tcBorders>
              <w:top w:val="single" w:sz="4" w:space="0" w:color="AAABD6"/>
              <w:bottom w:val="single" w:sz="4" w:space="0" w:color="AAABD6"/>
              <w:right w:val="single" w:sz="4" w:space="0" w:color="AAABD6"/>
            </w:tcBorders>
            <w:shd w:val="clear" w:color="auto" w:fill="AAABD6"/>
          </w:tcPr>
          <w:p w14:paraId="7E18AEE9"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2020</w:t>
            </w:r>
          </w:p>
        </w:tc>
        <w:tc>
          <w:tcPr>
            <w:tcW w:w="567" w:type="dxa"/>
            <w:tcBorders>
              <w:top w:val="single" w:sz="4" w:space="0" w:color="AAABD6"/>
              <w:bottom w:val="single" w:sz="4" w:space="0" w:color="AAABD6"/>
              <w:right w:val="single" w:sz="4" w:space="0" w:color="AAABD6"/>
            </w:tcBorders>
            <w:shd w:val="clear" w:color="auto" w:fill="AAABD6"/>
          </w:tcPr>
          <w:p w14:paraId="13FB20DA"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2021</w:t>
            </w:r>
          </w:p>
        </w:tc>
        <w:tc>
          <w:tcPr>
            <w:tcW w:w="567" w:type="dxa"/>
            <w:tcBorders>
              <w:top w:val="single" w:sz="4" w:space="0" w:color="AAABD6"/>
              <w:bottom w:val="single" w:sz="4" w:space="0" w:color="AAABD6"/>
              <w:right w:val="single" w:sz="4" w:space="0" w:color="AAABD6"/>
            </w:tcBorders>
            <w:shd w:val="clear" w:color="auto" w:fill="AAABD6"/>
          </w:tcPr>
          <w:p w14:paraId="2427F695"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2022</w:t>
            </w:r>
          </w:p>
        </w:tc>
        <w:tc>
          <w:tcPr>
            <w:tcW w:w="567" w:type="dxa"/>
            <w:tcBorders>
              <w:top w:val="single" w:sz="4" w:space="0" w:color="AAABD6"/>
              <w:bottom w:val="single" w:sz="4" w:space="0" w:color="AAABD6"/>
              <w:right w:val="single" w:sz="4" w:space="0" w:color="AAABD6"/>
            </w:tcBorders>
            <w:shd w:val="clear" w:color="auto" w:fill="AAABD6"/>
          </w:tcPr>
          <w:p w14:paraId="2C2B6C20"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2023</w:t>
            </w:r>
          </w:p>
        </w:tc>
        <w:tc>
          <w:tcPr>
            <w:tcW w:w="567" w:type="dxa"/>
            <w:tcBorders>
              <w:top w:val="single" w:sz="4" w:space="0" w:color="AAABD6"/>
              <w:bottom w:val="single" w:sz="4" w:space="0" w:color="AAABD6"/>
              <w:right w:val="single" w:sz="4" w:space="0" w:color="AAABD6"/>
            </w:tcBorders>
            <w:shd w:val="clear" w:color="auto" w:fill="AAABD6"/>
          </w:tcPr>
          <w:p w14:paraId="18DFD1BB"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2024</w:t>
            </w:r>
          </w:p>
        </w:tc>
        <w:tc>
          <w:tcPr>
            <w:tcW w:w="567" w:type="dxa"/>
            <w:tcBorders>
              <w:top w:val="single" w:sz="4" w:space="0" w:color="AAABD6"/>
              <w:bottom w:val="single" w:sz="4" w:space="0" w:color="AAABD6"/>
              <w:right w:val="single" w:sz="4" w:space="0" w:color="AAABD6"/>
            </w:tcBorders>
            <w:shd w:val="clear" w:color="auto" w:fill="AAABD6"/>
          </w:tcPr>
          <w:p w14:paraId="5D7DBF0F"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2025</w:t>
            </w:r>
          </w:p>
        </w:tc>
        <w:tc>
          <w:tcPr>
            <w:tcW w:w="567" w:type="dxa"/>
            <w:tcBorders>
              <w:top w:val="single" w:sz="4" w:space="0" w:color="AAABD6"/>
              <w:bottom w:val="single" w:sz="4" w:space="0" w:color="AAABD6"/>
              <w:right w:val="single" w:sz="4" w:space="0" w:color="AAABD6"/>
            </w:tcBorders>
            <w:shd w:val="clear" w:color="auto" w:fill="AAABD6"/>
          </w:tcPr>
          <w:p w14:paraId="3C179145"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2026</w:t>
            </w:r>
          </w:p>
        </w:tc>
        <w:tc>
          <w:tcPr>
            <w:tcW w:w="567" w:type="dxa"/>
            <w:tcBorders>
              <w:top w:val="single" w:sz="4" w:space="0" w:color="AAABD6"/>
              <w:bottom w:val="single" w:sz="4" w:space="0" w:color="AAABD6"/>
              <w:right w:val="single" w:sz="4" w:space="0" w:color="AAABD6"/>
            </w:tcBorders>
            <w:shd w:val="clear" w:color="auto" w:fill="AAABD6"/>
          </w:tcPr>
          <w:p w14:paraId="6F2CD057"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2027</w:t>
            </w:r>
          </w:p>
        </w:tc>
        <w:tc>
          <w:tcPr>
            <w:tcW w:w="567" w:type="dxa"/>
            <w:tcBorders>
              <w:top w:val="single" w:sz="4" w:space="0" w:color="AAABD6"/>
              <w:bottom w:val="single" w:sz="4" w:space="0" w:color="AAABD6"/>
              <w:right w:val="single" w:sz="4" w:space="0" w:color="AAABD6"/>
            </w:tcBorders>
            <w:shd w:val="clear" w:color="auto" w:fill="AAABD6"/>
          </w:tcPr>
          <w:p w14:paraId="2541965D"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2028</w:t>
            </w:r>
          </w:p>
        </w:tc>
        <w:tc>
          <w:tcPr>
            <w:tcW w:w="567" w:type="dxa"/>
            <w:tcBorders>
              <w:top w:val="single" w:sz="4" w:space="0" w:color="AAABD6"/>
              <w:bottom w:val="single" w:sz="4" w:space="0" w:color="AAABD6"/>
              <w:right w:val="single" w:sz="4" w:space="0" w:color="AAABD6"/>
            </w:tcBorders>
            <w:shd w:val="clear" w:color="auto" w:fill="AAABD6"/>
          </w:tcPr>
          <w:p w14:paraId="603231E5"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2029</w:t>
            </w:r>
          </w:p>
        </w:tc>
        <w:tc>
          <w:tcPr>
            <w:tcW w:w="567" w:type="dxa"/>
            <w:tcBorders>
              <w:top w:val="single" w:sz="4" w:space="0" w:color="AAABD6"/>
              <w:bottom w:val="single" w:sz="4" w:space="0" w:color="AAABD6"/>
              <w:right w:val="single" w:sz="4" w:space="0" w:color="AAABD6"/>
            </w:tcBorders>
            <w:shd w:val="clear" w:color="auto" w:fill="AAABD6"/>
          </w:tcPr>
          <w:p w14:paraId="00B0FC4E"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2030</w:t>
            </w:r>
          </w:p>
        </w:tc>
        <w:tc>
          <w:tcPr>
            <w:tcW w:w="567" w:type="dxa"/>
            <w:tcBorders>
              <w:top w:val="single" w:sz="4" w:space="0" w:color="AAABD6"/>
              <w:bottom w:val="single" w:sz="4" w:space="0" w:color="AAABD6"/>
              <w:right w:val="single" w:sz="4" w:space="0" w:color="AAABD6"/>
            </w:tcBorders>
            <w:shd w:val="clear" w:color="auto" w:fill="AAABD6"/>
          </w:tcPr>
          <w:p w14:paraId="20CBF535"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2031</w:t>
            </w:r>
          </w:p>
        </w:tc>
        <w:tc>
          <w:tcPr>
            <w:tcW w:w="567" w:type="dxa"/>
            <w:tcBorders>
              <w:top w:val="single" w:sz="4" w:space="0" w:color="AAABD6"/>
              <w:bottom w:val="single" w:sz="4" w:space="0" w:color="AAABD6"/>
              <w:right w:val="single" w:sz="4" w:space="0" w:color="AAABD6"/>
            </w:tcBorders>
            <w:shd w:val="clear" w:color="auto" w:fill="AAABD6"/>
          </w:tcPr>
          <w:p w14:paraId="4B8AC6EC"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2032</w:t>
            </w:r>
          </w:p>
        </w:tc>
        <w:tc>
          <w:tcPr>
            <w:tcW w:w="567" w:type="dxa"/>
            <w:tcBorders>
              <w:top w:val="single" w:sz="4" w:space="0" w:color="AAABD6"/>
              <w:bottom w:val="single" w:sz="4" w:space="0" w:color="AAABD6"/>
              <w:right w:val="single" w:sz="4" w:space="0" w:color="AAABD6"/>
            </w:tcBorders>
            <w:shd w:val="clear" w:color="auto" w:fill="AAABD6"/>
          </w:tcPr>
          <w:p w14:paraId="25FE3AD1"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2033</w:t>
            </w:r>
          </w:p>
        </w:tc>
        <w:tc>
          <w:tcPr>
            <w:tcW w:w="567" w:type="dxa"/>
            <w:tcBorders>
              <w:top w:val="single" w:sz="4" w:space="0" w:color="AAABD6"/>
              <w:bottom w:val="single" w:sz="4" w:space="0" w:color="AAABD6"/>
              <w:right w:val="single" w:sz="4" w:space="0" w:color="AAABD6"/>
            </w:tcBorders>
            <w:shd w:val="clear" w:color="auto" w:fill="AAABD6"/>
          </w:tcPr>
          <w:p w14:paraId="25233573"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2034</w:t>
            </w:r>
          </w:p>
        </w:tc>
        <w:tc>
          <w:tcPr>
            <w:tcW w:w="567" w:type="dxa"/>
            <w:tcBorders>
              <w:top w:val="single" w:sz="4" w:space="0" w:color="AAABD6"/>
              <w:bottom w:val="single" w:sz="4" w:space="0" w:color="AAABD6"/>
              <w:right w:val="single" w:sz="4" w:space="0" w:color="AAABD6"/>
            </w:tcBorders>
            <w:shd w:val="clear" w:color="auto" w:fill="AAABD6"/>
          </w:tcPr>
          <w:p w14:paraId="52C6483B"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2035</w:t>
            </w:r>
          </w:p>
        </w:tc>
        <w:tc>
          <w:tcPr>
            <w:tcW w:w="567" w:type="dxa"/>
            <w:tcBorders>
              <w:top w:val="single" w:sz="4" w:space="0" w:color="AAABD6"/>
              <w:bottom w:val="single" w:sz="4" w:space="0" w:color="AAABD6"/>
              <w:right w:val="single" w:sz="4" w:space="0" w:color="AAABD6"/>
            </w:tcBorders>
            <w:shd w:val="clear" w:color="auto" w:fill="AAABD6"/>
          </w:tcPr>
          <w:p w14:paraId="1BCDD5E7"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2036</w:t>
            </w:r>
          </w:p>
        </w:tc>
        <w:tc>
          <w:tcPr>
            <w:tcW w:w="567" w:type="dxa"/>
            <w:tcBorders>
              <w:top w:val="single" w:sz="4" w:space="0" w:color="AAABD6"/>
              <w:bottom w:val="single" w:sz="4" w:space="0" w:color="AAABD6"/>
              <w:right w:val="single" w:sz="4" w:space="0" w:color="AAABD6"/>
            </w:tcBorders>
            <w:shd w:val="clear" w:color="auto" w:fill="AAABD6"/>
          </w:tcPr>
          <w:p w14:paraId="4293C9EC"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2037</w:t>
            </w:r>
          </w:p>
        </w:tc>
      </w:tr>
      <w:tr w:rsidR="002169F6" w:rsidRPr="00100F0A" w14:paraId="5747FF3E" w14:textId="77777777" w:rsidTr="002169F6">
        <w:trPr>
          <w:jc w:val="center"/>
        </w:trPr>
        <w:tc>
          <w:tcPr>
            <w:cnfStyle w:val="001000000000" w:firstRow="0" w:lastRow="0" w:firstColumn="1" w:lastColumn="0" w:oddVBand="0" w:evenVBand="0" w:oddHBand="0" w:evenHBand="0" w:firstRowFirstColumn="0" w:firstRowLastColumn="0" w:lastRowFirstColumn="0" w:lastRowLastColumn="0"/>
            <w:tcW w:w="15697" w:type="dxa"/>
            <w:gridSpan w:val="24"/>
            <w:tcBorders>
              <w:top w:val="single" w:sz="4" w:space="0" w:color="AAABD6"/>
              <w:left w:val="single" w:sz="4" w:space="0" w:color="AAABD6"/>
              <w:right w:val="single" w:sz="4" w:space="0" w:color="AAABD6"/>
            </w:tcBorders>
          </w:tcPr>
          <w:p w14:paraId="7B3910D7" w14:textId="77777777" w:rsidR="002169F6" w:rsidRPr="00100F0A" w:rsidRDefault="002169F6" w:rsidP="002169F6">
            <w:pPr>
              <w:rPr>
                <w:color w:val="000000" w:themeColor="text1"/>
                <w:sz w:val="16"/>
                <w:szCs w:val="16"/>
              </w:rPr>
            </w:pPr>
            <w:r w:rsidRPr="00100F0A">
              <w:rPr>
                <w:iCs/>
                <w:color w:val="4D4DB8"/>
                <w:sz w:val="16"/>
                <w:szCs w:val="16"/>
              </w:rPr>
              <w:t>Arisings - rate</w:t>
            </w:r>
          </w:p>
        </w:tc>
      </w:tr>
      <w:tr w:rsidR="002169F6" w:rsidRPr="00100F0A" w14:paraId="600D8184" w14:textId="77777777" w:rsidTr="002169F6">
        <w:trPr>
          <w:jc w:val="center"/>
        </w:trPr>
        <w:tc>
          <w:tcPr>
            <w:cnfStyle w:val="001000000000" w:firstRow="0" w:lastRow="0" w:firstColumn="1" w:lastColumn="0" w:oddVBand="0" w:evenVBand="0" w:oddHBand="0" w:evenHBand="0" w:firstRowFirstColumn="0" w:firstRowLastColumn="0" w:lastRowFirstColumn="0" w:lastRowLastColumn="0"/>
            <w:tcW w:w="568" w:type="dxa"/>
            <w:tcBorders>
              <w:top w:val="single" w:sz="4" w:space="0" w:color="AAABD6"/>
              <w:left w:val="single" w:sz="4" w:space="0" w:color="AAABD6"/>
              <w:bottom w:val="dotted" w:sz="4" w:space="0" w:color="AAABD6"/>
              <w:right w:val="single" w:sz="4" w:space="0" w:color="AAABD6"/>
            </w:tcBorders>
          </w:tcPr>
          <w:p w14:paraId="0017C02C" w14:textId="77777777" w:rsidR="002169F6" w:rsidRPr="00100F0A" w:rsidRDefault="002169F6" w:rsidP="002169F6">
            <w:pPr>
              <w:rPr>
                <w:sz w:val="16"/>
                <w:szCs w:val="16"/>
              </w:rPr>
            </w:pPr>
            <w:r w:rsidRPr="00100F0A">
              <w:rPr>
                <w:sz w:val="16"/>
                <w:szCs w:val="16"/>
              </w:rPr>
              <w:t>Best</w:t>
            </w:r>
          </w:p>
        </w:tc>
        <w:tc>
          <w:tcPr>
            <w:tcW w:w="1134" w:type="dxa"/>
            <w:vMerge w:val="restart"/>
            <w:tcBorders>
              <w:top w:val="single" w:sz="4" w:space="0" w:color="AAABD6"/>
              <w:left w:val="single" w:sz="4" w:space="0" w:color="AAABD6"/>
              <w:right w:val="single" w:sz="4" w:space="0" w:color="AAABD6"/>
            </w:tcBorders>
          </w:tcPr>
          <w:p w14:paraId="2A3418E0"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ACT, NSW, NT, Qld, SA, Tas, Vic, WA</w:t>
            </w:r>
          </w:p>
        </w:tc>
        <w:tc>
          <w:tcPr>
            <w:tcW w:w="4356" w:type="dxa"/>
            <w:gridSpan w:val="5"/>
            <w:tcBorders>
              <w:top w:val="single" w:sz="4" w:space="0" w:color="AAABD6"/>
              <w:left w:val="single" w:sz="4" w:space="0" w:color="AAABD6"/>
              <w:bottom w:val="dotted" w:sz="4" w:space="0" w:color="AAABD6"/>
              <w:right w:val="single" w:sz="4" w:space="0" w:color="AAABD6"/>
            </w:tcBorders>
          </w:tcPr>
          <w:p w14:paraId="2BAB0865"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sz w:val="16"/>
                <w:szCs w:val="16"/>
              </w:rPr>
              <w:t>Av. projected ann. growth in e-waste 2021-35, best</w:t>
            </w:r>
          </w:p>
        </w:tc>
        <w:tc>
          <w:tcPr>
            <w:tcW w:w="567" w:type="dxa"/>
            <w:tcBorders>
              <w:top w:val="single" w:sz="4" w:space="0" w:color="AAABD6"/>
              <w:left w:val="single" w:sz="4" w:space="0" w:color="AAABD6"/>
              <w:bottom w:val="dotted" w:sz="4" w:space="0" w:color="AAABD6"/>
              <w:right w:val="single" w:sz="4" w:space="0" w:color="AAABD6"/>
            </w:tcBorders>
          </w:tcPr>
          <w:p w14:paraId="5B6DC296"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4.2%</w:t>
            </w:r>
          </w:p>
        </w:tc>
        <w:tc>
          <w:tcPr>
            <w:tcW w:w="567" w:type="dxa"/>
            <w:tcBorders>
              <w:top w:val="single" w:sz="4" w:space="0" w:color="AAABD6"/>
              <w:left w:val="single" w:sz="4" w:space="0" w:color="AAABD6"/>
              <w:bottom w:val="dotted" w:sz="4" w:space="0" w:color="AAABD6"/>
              <w:right w:val="single" w:sz="4" w:space="0" w:color="AAABD6"/>
            </w:tcBorders>
          </w:tcPr>
          <w:p w14:paraId="1CCEE1AA"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4.2%</w:t>
            </w:r>
          </w:p>
        </w:tc>
        <w:tc>
          <w:tcPr>
            <w:tcW w:w="567" w:type="dxa"/>
            <w:tcBorders>
              <w:top w:val="single" w:sz="4" w:space="0" w:color="AAABD6"/>
              <w:left w:val="single" w:sz="4" w:space="0" w:color="AAABD6"/>
              <w:bottom w:val="dotted" w:sz="4" w:space="0" w:color="AAABD6"/>
              <w:right w:val="single" w:sz="4" w:space="0" w:color="AAABD6"/>
            </w:tcBorders>
          </w:tcPr>
          <w:p w14:paraId="47B4032F"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4.2%</w:t>
            </w:r>
          </w:p>
        </w:tc>
        <w:tc>
          <w:tcPr>
            <w:tcW w:w="567" w:type="dxa"/>
            <w:tcBorders>
              <w:top w:val="single" w:sz="4" w:space="0" w:color="AAABD6"/>
              <w:left w:val="single" w:sz="4" w:space="0" w:color="AAABD6"/>
              <w:bottom w:val="dotted" w:sz="4" w:space="0" w:color="AAABD6"/>
              <w:right w:val="single" w:sz="4" w:space="0" w:color="AAABD6"/>
            </w:tcBorders>
          </w:tcPr>
          <w:p w14:paraId="5FEB0667"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4.2%</w:t>
            </w:r>
          </w:p>
        </w:tc>
        <w:tc>
          <w:tcPr>
            <w:tcW w:w="567" w:type="dxa"/>
            <w:tcBorders>
              <w:top w:val="single" w:sz="4" w:space="0" w:color="AAABD6"/>
              <w:left w:val="single" w:sz="4" w:space="0" w:color="AAABD6"/>
              <w:bottom w:val="dotted" w:sz="4" w:space="0" w:color="AAABD6"/>
              <w:right w:val="single" w:sz="4" w:space="0" w:color="AAABD6"/>
            </w:tcBorders>
          </w:tcPr>
          <w:p w14:paraId="56617F93"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4.2%</w:t>
            </w:r>
          </w:p>
        </w:tc>
        <w:tc>
          <w:tcPr>
            <w:tcW w:w="567" w:type="dxa"/>
            <w:tcBorders>
              <w:top w:val="single" w:sz="4" w:space="0" w:color="AAABD6"/>
              <w:left w:val="single" w:sz="4" w:space="0" w:color="AAABD6"/>
              <w:bottom w:val="dotted" w:sz="4" w:space="0" w:color="AAABD6"/>
              <w:right w:val="single" w:sz="4" w:space="0" w:color="AAABD6"/>
            </w:tcBorders>
          </w:tcPr>
          <w:p w14:paraId="7568024A"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4.2%</w:t>
            </w:r>
          </w:p>
        </w:tc>
        <w:tc>
          <w:tcPr>
            <w:tcW w:w="567" w:type="dxa"/>
            <w:tcBorders>
              <w:top w:val="single" w:sz="4" w:space="0" w:color="AAABD6"/>
              <w:left w:val="single" w:sz="4" w:space="0" w:color="AAABD6"/>
              <w:bottom w:val="dotted" w:sz="4" w:space="0" w:color="AAABD6"/>
              <w:right w:val="single" w:sz="4" w:space="0" w:color="AAABD6"/>
            </w:tcBorders>
          </w:tcPr>
          <w:p w14:paraId="322CD38F"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4.2%</w:t>
            </w:r>
          </w:p>
        </w:tc>
        <w:tc>
          <w:tcPr>
            <w:tcW w:w="567" w:type="dxa"/>
            <w:tcBorders>
              <w:top w:val="single" w:sz="4" w:space="0" w:color="AAABD6"/>
              <w:left w:val="single" w:sz="4" w:space="0" w:color="AAABD6"/>
              <w:bottom w:val="dotted" w:sz="4" w:space="0" w:color="AAABD6"/>
              <w:right w:val="single" w:sz="4" w:space="0" w:color="AAABD6"/>
            </w:tcBorders>
          </w:tcPr>
          <w:p w14:paraId="7CBCE665"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4.2%</w:t>
            </w:r>
          </w:p>
        </w:tc>
        <w:tc>
          <w:tcPr>
            <w:tcW w:w="567" w:type="dxa"/>
            <w:tcBorders>
              <w:top w:val="single" w:sz="4" w:space="0" w:color="AAABD6"/>
              <w:left w:val="single" w:sz="4" w:space="0" w:color="AAABD6"/>
              <w:bottom w:val="dotted" w:sz="4" w:space="0" w:color="AAABD6"/>
              <w:right w:val="single" w:sz="4" w:space="0" w:color="AAABD6"/>
            </w:tcBorders>
          </w:tcPr>
          <w:p w14:paraId="75DF9B89"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4.2%</w:t>
            </w:r>
          </w:p>
        </w:tc>
        <w:tc>
          <w:tcPr>
            <w:tcW w:w="567" w:type="dxa"/>
            <w:tcBorders>
              <w:top w:val="single" w:sz="4" w:space="0" w:color="AAABD6"/>
              <w:left w:val="single" w:sz="4" w:space="0" w:color="AAABD6"/>
              <w:bottom w:val="dotted" w:sz="4" w:space="0" w:color="AAABD6"/>
              <w:right w:val="single" w:sz="4" w:space="0" w:color="AAABD6"/>
            </w:tcBorders>
          </w:tcPr>
          <w:p w14:paraId="1E5ED7E0"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4.2%</w:t>
            </w:r>
          </w:p>
        </w:tc>
        <w:tc>
          <w:tcPr>
            <w:tcW w:w="567" w:type="dxa"/>
            <w:tcBorders>
              <w:top w:val="single" w:sz="4" w:space="0" w:color="AAABD6"/>
              <w:left w:val="single" w:sz="4" w:space="0" w:color="AAABD6"/>
              <w:bottom w:val="dotted" w:sz="4" w:space="0" w:color="AAABD6"/>
              <w:right w:val="single" w:sz="4" w:space="0" w:color="AAABD6"/>
            </w:tcBorders>
          </w:tcPr>
          <w:p w14:paraId="378C5EA7"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4.2%</w:t>
            </w:r>
          </w:p>
        </w:tc>
        <w:tc>
          <w:tcPr>
            <w:tcW w:w="567" w:type="dxa"/>
            <w:tcBorders>
              <w:top w:val="single" w:sz="4" w:space="0" w:color="AAABD6"/>
              <w:left w:val="single" w:sz="4" w:space="0" w:color="AAABD6"/>
              <w:bottom w:val="dotted" w:sz="4" w:space="0" w:color="AAABD6"/>
              <w:right w:val="single" w:sz="4" w:space="0" w:color="AAABD6"/>
            </w:tcBorders>
          </w:tcPr>
          <w:p w14:paraId="1F1801F0"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4.2%</w:t>
            </w:r>
          </w:p>
        </w:tc>
        <w:tc>
          <w:tcPr>
            <w:tcW w:w="567" w:type="dxa"/>
            <w:tcBorders>
              <w:top w:val="single" w:sz="4" w:space="0" w:color="AAABD6"/>
              <w:left w:val="single" w:sz="4" w:space="0" w:color="AAABD6"/>
              <w:bottom w:val="dotted" w:sz="4" w:space="0" w:color="AAABD6"/>
              <w:right w:val="single" w:sz="4" w:space="0" w:color="AAABD6"/>
            </w:tcBorders>
          </w:tcPr>
          <w:p w14:paraId="770F22C9"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4.2%</w:t>
            </w:r>
          </w:p>
        </w:tc>
        <w:tc>
          <w:tcPr>
            <w:tcW w:w="567" w:type="dxa"/>
            <w:tcBorders>
              <w:top w:val="single" w:sz="4" w:space="0" w:color="AAABD6"/>
              <w:left w:val="single" w:sz="4" w:space="0" w:color="AAABD6"/>
              <w:bottom w:val="dotted" w:sz="4" w:space="0" w:color="AAABD6"/>
              <w:right w:val="single" w:sz="4" w:space="0" w:color="AAABD6"/>
            </w:tcBorders>
          </w:tcPr>
          <w:p w14:paraId="1AB6679E"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4.2%</w:t>
            </w:r>
          </w:p>
        </w:tc>
        <w:tc>
          <w:tcPr>
            <w:tcW w:w="567" w:type="dxa"/>
            <w:tcBorders>
              <w:top w:val="single" w:sz="4" w:space="0" w:color="AAABD6"/>
              <w:left w:val="single" w:sz="4" w:space="0" w:color="AAABD6"/>
              <w:bottom w:val="dotted" w:sz="4" w:space="0" w:color="AAABD6"/>
              <w:right w:val="single" w:sz="4" w:space="0" w:color="AAABD6"/>
            </w:tcBorders>
          </w:tcPr>
          <w:p w14:paraId="62B1CFC5"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4.2%</w:t>
            </w:r>
          </w:p>
        </w:tc>
        <w:tc>
          <w:tcPr>
            <w:tcW w:w="567" w:type="dxa"/>
            <w:tcBorders>
              <w:top w:val="single" w:sz="4" w:space="0" w:color="AAABD6"/>
              <w:left w:val="single" w:sz="4" w:space="0" w:color="AAABD6"/>
              <w:bottom w:val="dotted" w:sz="4" w:space="0" w:color="AAABD6"/>
              <w:right w:val="single" w:sz="4" w:space="0" w:color="AAABD6"/>
            </w:tcBorders>
          </w:tcPr>
          <w:p w14:paraId="5A7C9B52"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4.2%</w:t>
            </w:r>
          </w:p>
        </w:tc>
        <w:tc>
          <w:tcPr>
            <w:tcW w:w="567" w:type="dxa"/>
            <w:tcBorders>
              <w:top w:val="single" w:sz="4" w:space="0" w:color="AAABD6"/>
              <w:left w:val="single" w:sz="4" w:space="0" w:color="AAABD6"/>
              <w:bottom w:val="dotted" w:sz="4" w:space="0" w:color="AAABD6"/>
              <w:right w:val="single" w:sz="4" w:space="0" w:color="AAABD6"/>
            </w:tcBorders>
          </w:tcPr>
          <w:p w14:paraId="795F820F"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4.2%</w:t>
            </w:r>
          </w:p>
        </w:tc>
      </w:tr>
      <w:tr w:rsidR="002169F6" w:rsidRPr="00100F0A" w14:paraId="377D0784" w14:textId="77777777" w:rsidTr="002169F6">
        <w:trPr>
          <w:jc w:val="center"/>
        </w:trPr>
        <w:tc>
          <w:tcPr>
            <w:cnfStyle w:val="001000000000" w:firstRow="0" w:lastRow="0" w:firstColumn="1" w:lastColumn="0" w:oddVBand="0" w:evenVBand="0" w:oddHBand="0" w:evenHBand="0" w:firstRowFirstColumn="0" w:firstRowLastColumn="0" w:lastRowFirstColumn="0" w:lastRowLastColumn="0"/>
            <w:tcW w:w="568" w:type="dxa"/>
            <w:tcBorders>
              <w:top w:val="dotted" w:sz="4" w:space="0" w:color="AAABD6"/>
              <w:left w:val="single" w:sz="4" w:space="0" w:color="AAABD6"/>
              <w:bottom w:val="dotted" w:sz="4" w:space="0" w:color="AAABD6"/>
              <w:right w:val="single" w:sz="4" w:space="0" w:color="AAABD6"/>
            </w:tcBorders>
          </w:tcPr>
          <w:p w14:paraId="012E9FC4" w14:textId="77777777" w:rsidR="002169F6" w:rsidRPr="00100F0A" w:rsidRDefault="002169F6" w:rsidP="002169F6">
            <w:pPr>
              <w:rPr>
                <w:sz w:val="16"/>
                <w:szCs w:val="16"/>
              </w:rPr>
            </w:pPr>
            <w:r w:rsidRPr="00100F0A">
              <w:rPr>
                <w:sz w:val="16"/>
                <w:szCs w:val="16"/>
              </w:rPr>
              <w:t>High</w:t>
            </w:r>
          </w:p>
        </w:tc>
        <w:tc>
          <w:tcPr>
            <w:tcW w:w="1134" w:type="dxa"/>
            <w:vMerge/>
            <w:tcBorders>
              <w:left w:val="single" w:sz="4" w:space="0" w:color="AAABD6"/>
              <w:right w:val="single" w:sz="4" w:space="0" w:color="AAABD6"/>
            </w:tcBorders>
          </w:tcPr>
          <w:p w14:paraId="74B3CA83"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4356" w:type="dxa"/>
            <w:gridSpan w:val="5"/>
            <w:tcBorders>
              <w:top w:val="dotted" w:sz="4" w:space="0" w:color="AAABD6"/>
              <w:left w:val="single" w:sz="4" w:space="0" w:color="AAABD6"/>
              <w:bottom w:val="dotted" w:sz="4" w:space="0" w:color="AAABD6"/>
              <w:right w:val="single" w:sz="4" w:space="0" w:color="AAABD6"/>
            </w:tcBorders>
          </w:tcPr>
          <w:p w14:paraId="306CF928"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sz w:val="16"/>
                <w:szCs w:val="16"/>
              </w:rPr>
              <w:t>Av. projected ann. growth in e-waste 2021-35, high</w:t>
            </w:r>
          </w:p>
        </w:tc>
        <w:tc>
          <w:tcPr>
            <w:tcW w:w="567" w:type="dxa"/>
            <w:tcBorders>
              <w:top w:val="dotted" w:sz="4" w:space="0" w:color="AAABD6"/>
              <w:left w:val="single" w:sz="4" w:space="0" w:color="AAABD6"/>
              <w:bottom w:val="dotted" w:sz="4" w:space="0" w:color="AAABD6"/>
              <w:right w:val="single" w:sz="4" w:space="0" w:color="AAABD6"/>
            </w:tcBorders>
          </w:tcPr>
          <w:p w14:paraId="5F9F3265"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4.8%</w:t>
            </w:r>
          </w:p>
        </w:tc>
        <w:tc>
          <w:tcPr>
            <w:tcW w:w="567" w:type="dxa"/>
            <w:tcBorders>
              <w:top w:val="dotted" w:sz="4" w:space="0" w:color="AAABD6"/>
              <w:left w:val="single" w:sz="4" w:space="0" w:color="AAABD6"/>
              <w:bottom w:val="dotted" w:sz="4" w:space="0" w:color="AAABD6"/>
              <w:right w:val="single" w:sz="4" w:space="0" w:color="AAABD6"/>
            </w:tcBorders>
          </w:tcPr>
          <w:p w14:paraId="795D35BD"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4.8%</w:t>
            </w:r>
          </w:p>
        </w:tc>
        <w:tc>
          <w:tcPr>
            <w:tcW w:w="567" w:type="dxa"/>
            <w:tcBorders>
              <w:top w:val="dotted" w:sz="4" w:space="0" w:color="AAABD6"/>
              <w:left w:val="single" w:sz="4" w:space="0" w:color="AAABD6"/>
              <w:bottom w:val="dotted" w:sz="4" w:space="0" w:color="AAABD6"/>
              <w:right w:val="single" w:sz="4" w:space="0" w:color="AAABD6"/>
            </w:tcBorders>
          </w:tcPr>
          <w:p w14:paraId="07E386D4"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4.8%</w:t>
            </w:r>
          </w:p>
        </w:tc>
        <w:tc>
          <w:tcPr>
            <w:tcW w:w="567" w:type="dxa"/>
            <w:tcBorders>
              <w:top w:val="dotted" w:sz="4" w:space="0" w:color="AAABD6"/>
              <w:left w:val="single" w:sz="4" w:space="0" w:color="AAABD6"/>
              <w:bottom w:val="dotted" w:sz="4" w:space="0" w:color="AAABD6"/>
              <w:right w:val="single" w:sz="4" w:space="0" w:color="AAABD6"/>
            </w:tcBorders>
          </w:tcPr>
          <w:p w14:paraId="3EB82D89"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4.8%</w:t>
            </w:r>
          </w:p>
        </w:tc>
        <w:tc>
          <w:tcPr>
            <w:tcW w:w="567" w:type="dxa"/>
            <w:tcBorders>
              <w:top w:val="dotted" w:sz="4" w:space="0" w:color="AAABD6"/>
              <w:left w:val="single" w:sz="4" w:space="0" w:color="AAABD6"/>
              <w:bottom w:val="dotted" w:sz="4" w:space="0" w:color="AAABD6"/>
              <w:right w:val="single" w:sz="4" w:space="0" w:color="AAABD6"/>
            </w:tcBorders>
          </w:tcPr>
          <w:p w14:paraId="3AB7B54A"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4.8%</w:t>
            </w:r>
          </w:p>
        </w:tc>
        <w:tc>
          <w:tcPr>
            <w:tcW w:w="567" w:type="dxa"/>
            <w:tcBorders>
              <w:top w:val="dotted" w:sz="4" w:space="0" w:color="AAABD6"/>
              <w:left w:val="single" w:sz="4" w:space="0" w:color="AAABD6"/>
              <w:bottom w:val="dotted" w:sz="4" w:space="0" w:color="AAABD6"/>
              <w:right w:val="single" w:sz="4" w:space="0" w:color="AAABD6"/>
            </w:tcBorders>
          </w:tcPr>
          <w:p w14:paraId="34B2AD87"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4.8%</w:t>
            </w:r>
          </w:p>
        </w:tc>
        <w:tc>
          <w:tcPr>
            <w:tcW w:w="567" w:type="dxa"/>
            <w:tcBorders>
              <w:top w:val="dotted" w:sz="4" w:space="0" w:color="AAABD6"/>
              <w:left w:val="single" w:sz="4" w:space="0" w:color="AAABD6"/>
              <w:bottom w:val="dotted" w:sz="4" w:space="0" w:color="AAABD6"/>
              <w:right w:val="single" w:sz="4" w:space="0" w:color="AAABD6"/>
            </w:tcBorders>
          </w:tcPr>
          <w:p w14:paraId="45B7DF1F"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4.8%</w:t>
            </w:r>
          </w:p>
        </w:tc>
        <w:tc>
          <w:tcPr>
            <w:tcW w:w="567" w:type="dxa"/>
            <w:tcBorders>
              <w:top w:val="dotted" w:sz="4" w:space="0" w:color="AAABD6"/>
              <w:left w:val="single" w:sz="4" w:space="0" w:color="AAABD6"/>
              <w:bottom w:val="dotted" w:sz="4" w:space="0" w:color="AAABD6"/>
              <w:right w:val="single" w:sz="4" w:space="0" w:color="AAABD6"/>
            </w:tcBorders>
          </w:tcPr>
          <w:p w14:paraId="39F78240"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4.8%</w:t>
            </w:r>
          </w:p>
        </w:tc>
        <w:tc>
          <w:tcPr>
            <w:tcW w:w="567" w:type="dxa"/>
            <w:tcBorders>
              <w:top w:val="dotted" w:sz="4" w:space="0" w:color="AAABD6"/>
              <w:left w:val="single" w:sz="4" w:space="0" w:color="AAABD6"/>
              <w:bottom w:val="dotted" w:sz="4" w:space="0" w:color="AAABD6"/>
              <w:right w:val="single" w:sz="4" w:space="0" w:color="AAABD6"/>
            </w:tcBorders>
          </w:tcPr>
          <w:p w14:paraId="674CB0DB"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4.8%</w:t>
            </w:r>
          </w:p>
        </w:tc>
        <w:tc>
          <w:tcPr>
            <w:tcW w:w="567" w:type="dxa"/>
            <w:tcBorders>
              <w:top w:val="dotted" w:sz="4" w:space="0" w:color="AAABD6"/>
              <w:left w:val="single" w:sz="4" w:space="0" w:color="AAABD6"/>
              <w:bottom w:val="dotted" w:sz="4" w:space="0" w:color="AAABD6"/>
              <w:right w:val="single" w:sz="4" w:space="0" w:color="AAABD6"/>
            </w:tcBorders>
          </w:tcPr>
          <w:p w14:paraId="0429B913"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4.8%</w:t>
            </w:r>
          </w:p>
        </w:tc>
        <w:tc>
          <w:tcPr>
            <w:tcW w:w="567" w:type="dxa"/>
            <w:tcBorders>
              <w:top w:val="dotted" w:sz="4" w:space="0" w:color="AAABD6"/>
              <w:left w:val="single" w:sz="4" w:space="0" w:color="AAABD6"/>
              <w:bottom w:val="dotted" w:sz="4" w:space="0" w:color="AAABD6"/>
              <w:right w:val="single" w:sz="4" w:space="0" w:color="AAABD6"/>
            </w:tcBorders>
          </w:tcPr>
          <w:p w14:paraId="4FADB683"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4.8%</w:t>
            </w:r>
          </w:p>
        </w:tc>
        <w:tc>
          <w:tcPr>
            <w:tcW w:w="567" w:type="dxa"/>
            <w:tcBorders>
              <w:top w:val="dotted" w:sz="4" w:space="0" w:color="AAABD6"/>
              <w:left w:val="single" w:sz="4" w:space="0" w:color="AAABD6"/>
              <w:bottom w:val="dotted" w:sz="4" w:space="0" w:color="AAABD6"/>
              <w:right w:val="single" w:sz="4" w:space="0" w:color="AAABD6"/>
            </w:tcBorders>
          </w:tcPr>
          <w:p w14:paraId="563FAAA9"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4.8%</w:t>
            </w:r>
          </w:p>
        </w:tc>
        <w:tc>
          <w:tcPr>
            <w:tcW w:w="567" w:type="dxa"/>
            <w:tcBorders>
              <w:top w:val="dotted" w:sz="4" w:space="0" w:color="AAABD6"/>
              <w:left w:val="single" w:sz="4" w:space="0" w:color="AAABD6"/>
              <w:bottom w:val="dotted" w:sz="4" w:space="0" w:color="AAABD6"/>
              <w:right w:val="single" w:sz="4" w:space="0" w:color="AAABD6"/>
            </w:tcBorders>
          </w:tcPr>
          <w:p w14:paraId="638304E3"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4.8%</w:t>
            </w:r>
          </w:p>
        </w:tc>
        <w:tc>
          <w:tcPr>
            <w:tcW w:w="567" w:type="dxa"/>
            <w:tcBorders>
              <w:top w:val="dotted" w:sz="4" w:space="0" w:color="AAABD6"/>
              <w:left w:val="single" w:sz="4" w:space="0" w:color="AAABD6"/>
              <w:bottom w:val="dotted" w:sz="4" w:space="0" w:color="AAABD6"/>
              <w:right w:val="single" w:sz="4" w:space="0" w:color="AAABD6"/>
            </w:tcBorders>
          </w:tcPr>
          <w:p w14:paraId="345F5D18"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4.8%</w:t>
            </w:r>
          </w:p>
        </w:tc>
        <w:tc>
          <w:tcPr>
            <w:tcW w:w="567" w:type="dxa"/>
            <w:tcBorders>
              <w:top w:val="dotted" w:sz="4" w:space="0" w:color="AAABD6"/>
              <w:left w:val="single" w:sz="4" w:space="0" w:color="AAABD6"/>
              <w:bottom w:val="dotted" w:sz="4" w:space="0" w:color="AAABD6"/>
              <w:right w:val="single" w:sz="4" w:space="0" w:color="AAABD6"/>
            </w:tcBorders>
          </w:tcPr>
          <w:p w14:paraId="49833962"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4.8%</w:t>
            </w:r>
          </w:p>
        </w:tc>
        <w:tc>
          <w:tcPr>
            <w:tcW w:w="567" w:type="dxa"/>
            <w:tcBorders>
              <w:top w:val="dotted" w:sz="4" w:space="0" w:color="AAABD6"/>
              <w:left w:val="single" w:sz="4" w:space="0" w:color="AAABD6"/>
              <w:bottom w:val="dotted" w:sz="4" w:space="0" w:color="AAABD6"/>
              <w:right w:val="single" w:sz="4" w:space="0" w:color="AAABD6"/>
            </w:tcBorders>
          </w:tcPr>
          <w:p w14:paraId="4A3D525F"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4.8%</w:t>
            </w:r>
          </w:p>
        </w:tc>
        <w:tc>
          <w:tcPr>
            <w:tcW w:w="567" w:type="dxa"/>
            <w:tcBorders>
              <w:top w:val="dotted" w:sz="4" w:space="0" w:color="AAABD6"/>
              <w:left w:val="single" w:sz="4" w:space="0" w:color="AAABD6"/>
              <w:bottom w:val="dotted" w:sz="4" w:space="0" w:color="AAABD6"/>
              <w:right w:val="single" w:sz="4" w:space="0" w:color="AAABD6"/>
            </w:tcBorders>
          </w:tcPr>
          <w:p w14:paraId="2D8DE453"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4.8%</w:t>
            </w:r>
          </w:p>
        </w:tc>
      </w:tr>
      <w:tr w:rsidR="002169F6" w:rsidRPr="00100F0A" w14:paraId="36F9C903" w14:textId="77777777" w:rsidTr="002169F6">
        <w:trPr>
          <w:jc w:val="center"/>
        </w:trPr>
        <w:tc>
          <w:tcPr>
            <w:cnfStyle w:val="001000000000" w:firstRow="0" w:lastRow="0" w:firstColumn="1" w:lastColumn="0" w:oddVBand="0" w:evenVBand="0" w:oddHBand="0" w:evenHBand="0" w:firstRowFirstColumn="0" w:firstRowLastColumn="0" w:lastRowFirstColumn="0" w:lastRowLastColumn="0"/>
            <w:tcW w:w="568" w:type="dxa"/>
            <w:tcBorders>
              <w:top w:val="dotted" w:sz="4" w:space="0" w:color="AAABD6"/>
              <w:left w:val="single" w:sz="4" w:space="0" w:color="AAABD6"/>
              <w:bottom w:val="single" w:sz="4" w:space="0" w:color="AAABD6"/>
              <w:right w:val="single" w:sz="4" w:space="0" w:color="AAABD6"/>
            </w:tcBorders>
          </w:tcPr>
          <w:p w14:paraId="529611BE" w14:textId="77777777" w:rsidR="002169F6" w:rsidRPr="00100F0A" w:rsidRDefault="002169F6" w:rsidP="002169F6">
            <w:pPr>
              <w:rPr>
                <w:sz w:val="16"/>
                <w:szCs w:val="16"/>
              </w:rPr>
            </w:pPr>
            <w:r w:rsidRPr="00100F0A">
              <w:rPr>
                <w:sz w:val="16"/>
                <w:szCs w:val="16"/>
              </w:rPr>
              <w:t>Low</w:t>
            </w:r>
          </w:p>
        </w:tc>
        <w:tc>
          <w:tcPr>
            <w:tcW w:w="1134" w:type="dxa"/>
            <w:vMerge/>
            <w:tcBorders>
              <w:left w:val="single" w:sz="4" w:space="0" w:color="AAABD6"/>
              <w:bottom w:val="dotted" w:sz="4" w:space="0" w:color="AAABD6"/>
              <w:right w:val="single" w:sz="4" w:space="0" w:color="AAABD6"/>
            </w:tcBorders>
          </w:tcPr>
          <w:p w14:paraId="6233881A"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4356" w:type="dxa"/>
            <w:gridSpan w:val="5"/>
            <w:tcBorders>
              <w:top w:val="dotted" w:sz="4" w:space="0" w:color="AAABD6"/>
              <w:left w:val="single" w:sz="4" w:space="0" w:color="AAABD6"/>
              <w:bottom w:val="single" w:sz="4" w:space="0" w:color="AAABD6"/>
              <w:right w:val="single" w:sz="4" w:space="0" w:color="AAABD6"/>
            </w:tcBorders>
          </w:tcPr>
          <w:p w14:paraId="6DF944BB"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sz w:val="16"/>
                <w:szCs w:val="16"/>
              </w:rPr>
              <w:t>Av. projected ann. growth in e-waste 2021-35, low</w:t>
            </w:r>
          </w:p>
        </w:tc>
        <w:tc>
          <w:tcPr>
            <w:tcW w:w="567" w:type="dxa"/>
            <w:tcBorders>
              <w:top w:val="dotted" w:sz="4" w:space="0" w:color="AAABD6"/>
              <w:left w:val="single" w:sz="4" w:space="0" w:color="AAABD6"/>
              <w:bottom w:val="single" w:sz="4" w:space="0" w:color="AAABD6"/>
              <w:right w:val="single" w:sz="4" w:space="0" w:color="AAABD6"/>
            </w:tcBorders>
          </w:tcPr>
          <w:p w14:paraId="0ECE9A5F"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3.4%</w:t>
            </w:r>
          </w:p>
        </w:tc>
        <w:tc>
          <w:tcPr>
            <w:tcW w:w="567" w:type="dxa"/>
            <w:tcBorders>
              <w:top w:val="dotted" w:sz="4" w:space="0" w:color="AAABD6"/>
              <w:left w:val="single" w:sz="4" w:space="0" w:color="AAABD6"/>
              <w:bottom w:val="single" w:sz="4" w:space="0" w:color="AAABD6"/>
              <w:right w:val="single" w:sz="4" w:space="0" w:color="AAABD6"/>
            </w:tcBorders>
          </w:tcPr>
          <w:p w14:paraId="2704D94C"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3.4%</w:t>
            </w:r>
          </w:p>
        </w:tc>
        <w:tc>
          <w:tcPr>
            <w:tcW w:w="567" w:type="dxa"/>
            <w:tcBorders>
              <w:top w:val="dotted" w:sz="4" w:space="0" w:color="AAABD6"/>
              <w:left w:val="single" w:sz="4" w:space="0" w:color="AAABD6"/>
              <w:bottom w:val="single" w:sz="4" w:space="0" w:color="AAABD6"/>
              <w:right w:val="single" w:sz="4" w:space="0" w:color="AAABD6"/>
            </w:tcBorders>
          </w:tcPr>
          <w:p w14:paraId="00110797"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3.4%</w:t>
            </w:r>
          </w:p>
        </w:tc>
        <w:tc>
          <w:tcPr>
            <w:tcW w:w="567" w:type="dxa"/>
            <w:tcBorders>
              <w:top w:val="dotted" w:sz="4" w:space="0" w:color="AAABD6"/>
              <w:left w:val="single" w:sz="4" w:space="0" w:color="AAABD6"/>
              <w:bottom w:val="single" w:sz="4" w:space="0" w:color="AAABD6"/>
              <w:right w:val="single" w:sz="4" w:space="0" w:color="AAABD6"/>
            </w:tcBorders>
          </w:tcPr>
          <w:p w14:paraId="285CCA34"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3.4%</w:t>
            </w:r>
          </w:p>
        </w:tc>
        <w:tc>
          <w:tcPr>
            <w:tcW w:w="567" w:type="dxa"/>
            <w:tcBorders>
              <w:top w:val="dotted" w:sz="4" w:space="0" w:color="AAABD6"/>
              <w:left w:val="single" w:sz="4" w:space="0" w:color="AAABD6"/>
              <w:bottom w:val="single" w:sz="4" w:space="0" w:color="AAABD6"/>
              <w:right w:val="single" w:sz="4" w:space="0" w:color="AAABD6"/>
            </w:tcBorders>
          </w:tcPr>
          <w:p w14:paraId="0AC5F607"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3.4%</w:t>
            </w:r>
          </w:p>
        </w:tc>
        <w:tc>
          <w:tcPr>
            <w:tcW w:w="567" w:type="dxa"/>
            <w:tcBorders>
              <w:top w:val="dotted" w:sz="4" w:space="0" w:color="AAABD6"/>
              <w:left w:val="single" w:sz="4" w:space="0" w:color="AAABD6"/>
              <w:bottom w:val="single" w:sz="4" w:space="0" w:color="AAABD6"/>
              <w:right w:val="single" w:sz="4" w:space="0" w:color="AAABD6"/>
            </w:tcBorders>
          </w:tcPr>
          <w:p w14:paraId="677C1014"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3.4%</w:t>
            </w:r>
          </w:p>
        </w:tc>
        <w:tc>
          <w:tcPr>
            <w:tcW w:w="567" w:type="dxa"/>
            <w:tcBorders>
              <w:top w:val="dotted" w:sz="4" w:space="0" w:color="AAABD6"/>
              <w:left w:val="single" w:sz="4" w:space="0" w:color="AAABD6"/>
              <w:bottom w:val="single" w:sz="4" w:space="0" w:color="AAABD6"/>
              <w:right w:val="single" w:sz="4" w:space="0" w:color="AAABD6"/>
            </w:tcBorders>
          </w:tcPr>
          <w:p w14:paraId="1D81CF8C"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3.4%</w:t>
            </w:r>
          </w:p>
        </w:tc>
        <w:tc>
          <w:tcPr>
            <w:tcW w:w="567" w:type="dxa"/>
            <w:tcBorders>
              <w:top w:val="dotted" w:sz="4" w:space="0" w:color="AAABD6"/>
              <w:left w:val="single" w:sz="4" w:space="0" w:color="AAABD6"/>
              <w:bottom w:val="single" w:sz="4" w:space="0" w:color="AAABD6"/>
              <w:right w:val="single" w:sz="4" w:space="0" w:color="AAABD6"/>
            </w:tcBorders>
          </w:tcPr>
          <w:p w14:paraId="1803E024"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3.4%</w:t>
            </w:r>
          </w:p>
        </w:tc>
        <w:tc>
          <w:tcPr>
            <w:tcW w:w="567" w:type="dxa"/>
            <w:tcBorders>
              <w:top w:val="dotted" w:sz="4" w:space="0" w:color="AAABD6"/>
              <w:left w:val="single" w:sz="4" w:space="0" w:color="AAABD6"/>
              <w:bottom w:val="single" w:sz="4" w:space="0" w:color="AAABD6"/>
              <w:right w:val="single" w:sz="4" w:space="0" w:color="AAABD6"/>
            </w:tcBorders>
          </w:tcPr>
          <w:p w14:paraId="67BA73FB"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3.4%</w:t>
            </w:r>
          </w:p>
        </w:tc>
        <w:tc>
          <w:tcPr>
            <w:tcW w:w="567" w:type="dxa"/>
            <w:tcBorders>
              <w:top w:val="dotted" w:sz="4" w:space="0" w:color="AAABD6"/>
              <w:left w:val="single" w:sz="4" w:space="0" w:color="AAABD6"/>
              <w:bottom w:val="single" w:sz="4" w:space="0" w:color="AAABD6"/>
              <w:right w:val="single" w:sz="4" w:space="0" w:color="AAABD6"/>
            </w:tcBorders>
          </w:tcPr>
          <w:p w14:paraId="77005925"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3.4%</w:t>
            </w:r>
          </w:p>
        </w:tc>
        <w:tc>
          <w:tcPr>
            <w:tcW w:w="567" w:type="dxa"/>
            <w:tcBorders>
              <w:top w:val="dotted" w:sz="4" w:space="0" w:color="AAABD6"/>
              <w:left w:val="single" w:sz="4" w:space="0" w:color="AAABD6"/>
              <w:bottom w:val="single" w:sz="4" w:space="0" w:color="AAABD6"/>
              <w:right w:val="single" w:sz="4" w:space="0" w:color="AAABD6"/>
            </w:tcBorders>
          </w:tcPr>
          <w:p w14:paraId="6368CF09"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3.4%</w:t>
            </w:r>
          </w:p>
        </w:tc>
        <w:tc>
          <w:tcPr>
            <w:tcW w:w="567" w:type="dxa"/>
            <w:tcBorders>
              <w:top w:val="dotted" w:sz="4" w:space="0" w:color="AAABD6"/>
              <w:left w:val="single" w:sz="4" w:space="0" w:color="AAABD6"/>
              <w:bottom w:val="single" w:sz="4" w:space="0" w:color="AAABD6"/>
              <w:right w:val="single" w:sz="4" w:space="0" w:color="AAABD6"/>
            </w:tcBorders>
          </w:tcPr>
          <w:p w14:paraId="46DB6A01"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3.4%</w:t>
            </w:r>
          </w:p>
        </w:tc>
        <w:tc>
          <w:tcPr>
            <w:tcW w:w="567" w:type="dxa"/>
            <w:tcBorders>
              <w:top w:val="dotted" w:sz="4" w:space="0" w:color="AAABD6"/>
              <w:left w:val="single" w:sz="4" w:space="0" w:color="AAABD6"/>
              <w:bottom w:val="single" w:sz="4" w:space="0" w:color="AAABD6"/>
              <w:right w:val="single" w:sz="4" w:space="0" w:color="AAABD6"/>
            </w:tcBorders>
          </w:tcPr>
          <w:p w14:paraId="6A7E8B1E"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3.4%</w:t>
            </w:r>
          </w:p>
        </w:tc>
        <w:tc>
          <w:tcPr>
            <w:tcW w:w="567" w:type="dxa"/>
            <w:tcBorders>
              <w:top w:val="dotted" w:sz="4" w:space="0" w:color="AAABD6"/>
              <w:left w:val="single" w:sz="4" w:space="0" w:color="AAABD6"/>
              <w:bottom w:val="single" w:sz="4" w:space="0" w:color="AAABD6"/>
              <w:right w:val="single" w:sz="4" w:space="0" w:color="AAABD6"/>
            </w:tcBorders>
          </w:tcPr>
          <w:p w14:paraId="13ABE72D"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3.4%</w:t>
            </w:r>
          </w:p>
        </w:tc>
        <w:tc>
          <w:tcPr>
            <w:tcW w:w="567" w:type="dxa"/>
            <w:tcBorders>
              <w:top w:val="dotted" w:sz="4" w:space="0" w:color="AAABD6"/>
              <w:left w:val="single" w:sz="4" w:space="0" w:color="AAABD6"/>
              <w:bottom w:val="single" w:sz="4" w:space="0" w:color="AAABD6"/>
              <w:right w:val="single" w:sz="4" w:space="0" w:color="AAABD6"/>
            </w:tcBorders>
          </w:tcPr>
          <w:p w14:paraId="44D064B1"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3.4%</w:t>
            </w:r>
          </w:p>
        </w:tc>
        <w:tc>
          <w:tcPr>
            <w:tcW w:w="567" w:type="dxa"/>
            <w:tcBorders>
              <w:top w:val="dotted" w:sz="4" w:space="0" w:color="AAABD6"/>
              <w:left w:val="single" w:sz="4" w:space="0" w:color="AAABD6"/>
              <w:bottom w:val="single" w:sz="4" w:space="0" w:color="AAABD6"/>
              <w:right w:val="single" w:sz="4" w:space="0" w:color="AAABD6"/>
            </w:tcBorders>
          </w:tcPr>
          <w:p w14:paraId="09B3AEC0"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3.4%</w:t>
            </w:r>
          </w:p>
        </w:tc>
        <w:tc>
          <w:tcPr>
            <w:tcW w:w="567" w:type="dxa"/>
            <w:tcBorders>
              <w:top w:val="dotted" w:sz="4" w:space="0" w:color="AAABD6"/>
              <w:left w:val="single" w:sz="4" w:space="0" w:color="AAABD6"/>
              <w:bottom w:val="single" w:sz="4" w:space="0" w:color="AAABD6"/>
              <w:right w:val="single" w:sz="4" w:space="0" w:color="AAABD6"/>
            </w:tcBorders>
          </w:tcPr>
          <w:p w14:paraId="4D43A410"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100F0A">
              <w:rPr>
                <w:color w:val="000000" w:themeColor="text1"/>
                <w:sz w:val="16"/>
                <w:szCs w:val="16"/>
              </w:rPr>
              <w:t>3.4%</w:t>
            </w:r>
          </w:p>
        </w:tc>
      </w:tr>
      <w:tr w:rsidR="002169F6" w:rsidRPr="00100F0A" w14:paraId="499AD4CA" w14:textId="77777777" w:rsidTr="004206B0">
        <w:trPr>
          <w:jc w:val="center"/>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4" w:space="0" w:color="AAABD6"/>
              <w:left w:val="single" w:sz="4" w:space="0" w:color="AAABD6"/>
              <w:right w:val="single" w:sz="4" w:space="0" w:color="AAABD6"/>
            </w:tcBorders>
          </w:tcPr>
          <w:p w14:paraId="27A151B5" w14:textId="77777777" w:rsidR="002169F6" w:rsidRPr="00100F0A" w:rsidRDefault="002169F6" w:rsidP="002169F6">
            <w:pPr>
              <w:rPr>
                <w:sz w:val="16"/>
                <w:szCs w:val="16"/>
              </w:rPr>
            </w:pPr>
            <w:r w:rsidRPr="00100F0A">
              <w:rPr>
                <w:iCs/>
                <w:color w:val="4D4DB8"/>
                <w:sz w:val="16"/>
                <w:szCs w:val="16"/>
              </w:rPr>
              <w:t>Arisings – absolute tonnes pa</w:t>
            </w:r>
          </w:p>
        </w:tc>
        <w:tc>
          <w:tcPr>
            <w:tcW w:w="0" w:type="dxa"/>
            <w:gridSpan w:val="2"/>
            <w:tcBorders>
              <w:top w:val="single" w:sz="4" w:space="0" w:color="AAABD6"/>
              <w:left w:val="single" w:sz="4" w:space="0" w:color="AAABD6"/>
              <w:bottom w:val="dotted" w:sz="4" w:space="0" w:color="AAABD6"/>
              <w:right w:val="single" w:sz="4" w:space="0" w:color="AAABD6"/>
            </w:tcBorders>
            <w:shd w:val="clear" w:color="auto" w:fill="auto"/>
          </w:tcPr>
          <w:p w14:paraId="72C84985"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iCs/>
                <w:color w:val="4D4DB8"/>
                <w:sz w:val="16"/>
                <w:szCs w:val="16"/>
              </w:rPr>
            </w:pPr>
            <w:r w:rsidRPr="00100F0A">
              <w:rPr>
                <w:iCs/>
                <w:color w:val="4D4DB8"/>
                <w:sz w:val="16"/>
                <w:szCs w:val="16"/>
              </w:rPr>
              <w:t>Proportions</w:t>
            </w:r>
          </w:p>
        </w:tc>
        <w:tc>
          <w:tcPr>
            <w:tcW w:w="0" w:type="dxa"/>
            <w:gridSpan w:val="19"/>
            <w:tcBorders>
              <w:top w:val="single" w:sz="4" w:space="0" w:color="AAABD6"/>
              <w:left w:val="single" w:sz="4" w:space="0" w:color="AAABD6"/>
              <w:bottom w:val="dotted" w:sz="4" w:space="0" w:color="AAABD6"/>
              <w:right w:val="single" w:sz="4" w:space="0" w:color="AAABD6"/>
            </w:tcBorders>
          </w:tcPr>
          <w:p w14:paraId="08B95913"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5B545D" w:rsidRPr="00100F0A" w14:paraId="7863E198"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4" w:space="0" w:color="AAABD6"/>
              <w:left w:val="single" w:sz="4" w:space="0" w:color="AAABD6"/>
              <w:right w:val="single" w:sz="4" w:space="0" w:color="AAABD6"/>
            </w:tcBorders>
          </w:tcPr>
          <w:p w14:paraId="53E22DA3" w14:textId="77777777" w:rsidR="002169F6" w:rsidRPr="00100F0A" w:rsidRDefault="002169F6" w:rsidP="002169F6">
            <w:pPr>
              <w:rPr>
                <w:sz w:val="16"/>
                <w:szCs w:val="16"/>
              </w:rPr>
            </w:pPr>
            <w:r w:rsidRPr="00100F0A">
              <w:rPr>
                <w:sz w:val="16"/>
                <w:szCs w:val="16"/>
              </w:rPr>
              <w:t>Best</w:t>
            </w:r>
          </w:p>
        </w:tc>
        <w:tc>
          <w:tcPr>
            <w:tcW w:w="0" w:type="dxa"/>
            <w:tcBorders>
              <w:top w:val="single" w:sz="4" w:space="0" w:color="AAABD6"/>
              <w:left w:val="single" w:sz="4" w:space="0" w:color="AAABD6"/>
              <w:bottom w:val="dotted" w:sz="4" w:space="0" w:color="AAABD6"/>
              <w:right w:val="single" w:sz="4" w:space="0" w:color="AAABD6"/>
            </w:tcBorders>
          </w:tcPr>
          <w:p w14:paraId="26FDA168"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ACT</w:t>
            </w:r>
          </w:p>
        </w:tc>
        <w:tc>
          <w:tcPr>
            <w:tcW w:w="0" w:type="dxa"/>
            <w:vMerge w:val="restart"/>
            <w:tcBorders>
              <w:top w:val="single" w:sz="4" w:space="0" w:color="AAABD6"/>
              <w:left w:val="single" w:sz="4" w:space="0" w:color="AAABD6"/>
              <w:right w:val="single" w:sz="4" w:space="0" w:color="AAABD6"/>
            </w:tcBorders>
            <w:vAlign w:val="center"/>
          </w:tcPr>
          <w:p w14:paraId="6B25C86D"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Best estimate (absolute) + 50%</w:t>
            </w:r>
          </w:p>
        </w:tc>
        <w:tc>
          <w:tcPr>
            <w:tcW w:w="0" w:type="dxa"/>
            <w:tcBorders>
              <w:top w:val="single" w:sz="4" w:space="0" w:color="AAABD6"/>
              <w:left w:val="single" w:sz="4" w:space="0" w:color="AAABD6"/>
              <w:bottom w:val="dotted" w:sz="4" w:space="0" w:color="AAABD6"/>
              <w:right w:val="nil"/>
            </w:tcBorders>
            <w:shd w:val="clear" w:color="auto" w:fill="auto"/>
          </w:tcPr>
          <w:p w14:paraId="2386FFE6"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single" w:sz="4" w:space="0" w:color="AAABD6"/>
              <w:left w:val="nil"/>
              <w:bottom w:val="dotted" w:sz="4" w:space="0" w:color="AAABD6"/>
              <w:right w:val="single" w:sz="4" w:space="0" w:color="AAABD6"/>
            </w:tcBorders>
            <w:shd w:val="clear" w:color="auto" w:fill="auto"/>
          </w:tcPr>
          <w:p w14:paraId="0D13EF9A"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iCs/>
                <w:color w:val="4D4DB8"/>
                <w:sz w:val="16"/>
                <w:szCs w:val="16"/>
              </w:rPr>
            </w:pPr>
            <w:r w:rsidRPr="00100F0A">
              <w:rPr>
                <w:iCs/>
                <w:color w:val="4D4DB8"/>
                <w:sz w:val="16"/>
                <w:szCs w:val="16"/>
              </w:rPr>
              <w:t>2%</w:t>
            </w:r>
          </w:p>
        </w:tc>
        <w:tc>
          <w:tcPr>
            <w:tcW w:w="0" w:type="dxa"/>
            <w:tcBorders>
              <w:top w:val="single" w:sz="4" w:space="0" w:color="AAABD6"/>
              <w:left w:val="single" w:sz="4" w:space="0" w:color="AAABD6"/>
              <w:bottom w:val="dotted" w:sz="4" w:space="0" w:color="AAABD6"/>
              <w:right w:val="single" w:sz="4" w:space="0" w:color="AAABD6"/>
            </w:tcBorders>
          </w:tcPr>
          <w:p w14:paraId="50DBA0A4"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 </w:t>
            </w:r>
          </w:p>
        </w:tc>
        <w:tc>
          <w:tcPr>
            <w:tcW w:w="0" w:type="dxa"/>
            <w:tcBorders>
              <w:top w:val="single" w:sz="4" w:space="0" w:color="AAABD6"/>
              <w:left w:val="single" w:sz="4" w:space="0" w:color="AAABD6"/>
              <w:bottom w:val="dotted" w:sz="4" w:space="0" w:color="AAABD6"/>
              <w:right w:val="single" w:sz="4" w:space="0" w:color="AAABD6"/>
            </w:tcBorders>
          </w:tcPr>
          <w:p w14:paraId="14AE882D"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w:t>
            </w:r>
          </w:p>
        </w:tc>
        <w:tc>
          <w:tcPr>
            <w:tcW w:w="0" w:type="dxa"/>
            <w:tcBorders>
              <w:top w:val="single" w:sz="4" w:space="0" w:color="AAABD6"/>
              <w:left w:val="single" w:sz="4" w:space="0" w:color="AAABD6"/>
              <w:bottom w:val="dotted" w:sz="4" w:space="0" w:color="AAABD6"/>
              <w:right w:val="single" w:sz="4" w:space="0" w:color="AAABD6"/>
            </w:tcBorders>
          </w:tcPr>
          <w:p w14:paraId="06AADC99"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w:t>
            </w:r>
          </w:p>
        </w:tc>
        <w:tc>
          <w:tcPr>
            <w:tcW w:w="0" w:type="dxa"/>
            <w:tcBorders>
              <w:top w:val="single" w:sz="4" w:space="0" w:color="AAABD6"/>
              <w:left w:val="single" w:sz="4" w:space="0" w:color="AAABD6"/>
              <w:bottom w:val="dotted" w:sz="4" w:space="0" w:color="AAABD6"/>
              <w:right w:val="single" w:sz="4" w:space="0" w:color="AAABD6"/>
            </w:tcBorders>
          </w:tcPr>
          <w:p w14:paraId="63DDA08A"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w:t>
            </w:r>
          </w:p>
        </w:tc>
        <w:tc>
          <w:tcPr>
            <w:tcW w:w="0" w:type="dxa"/>
            <w:tcBorders>
              <w:top w:val="single" w:sz="4" w:space="0" w:color="AAABD6"/>
              <w:left w:val="single" w:sz="4" w:space="0" w:color="AAABD6"/>
              <w:bottom w:val="dotted" w:sz="4" w:space="0" w:color="AAABD6"/>
              <w:right w:val="single" w:sz="4" w:space="0" w:color="AAABD6"/>
            </w:tcBorders>
          </w:tcPr>
          <w:p w14:paraId="4864A87F"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w:t>
            </w:r>
          </w:p>
        </w:tc>
        <w:tc>
          <w:tcPr>
            <w:tcW w:w="0" w:type="dxa"/>
            <w:tcBorders>
              <w:top w:val="single" w:sz="4" w:space="0" w:color="AAABD6"/>
              <w:left w:val="single" w:sz="4" w:space="0" w:color="AAABD6"/>
              <w:bottom w:val="dotted" w:sz="4" w:space="0" w:color="AAABD6"/>
              <w:right w:val="single" w:sz="4" w:space="0" w:color="AAABD6"/>
            </w:tcBorders>
          </w:tcPr>
          <w:p w14:paraId="58A0EC39"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971</w:t>
            </w:r>
          </w:p>
        </w:tc>
        <w:tc>
          <w:tcPr>
            <w:tcW w:w="0" w:type="dxa"/>
            <w:tcBorders>
              <w:top w:val="single" w:sz="4" w:space="0" w:color="AAABD6"/>
              <w:left w:val="single" w:sz="4" w:space="0" w:color="AAABD6"/>
              <w:bottom w:val="dotted" w:sz="4" w:space="0" w:color="AAABD6"/>
              <w:right w:val="single" w:sz="4" w:space="0" w:color="AAABD6"/>
            </w:tcBorders>
          </w:tcPr>
          <w:p w14:paraId="3093299D"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1,012</w:t>
            </w:r>
          </w:p>
        </w:tc>
        <w:tc>
          <w:tcPr>
            <w:tcW w:w="0" w:type="dxa"/>
            <w:tcBorders>
              <w:top w:val="single" w:sz="4" w:space="0" w:color="AAABD6"/>
              <w:left w:val="single" w:sz="4" w:space="0" w:color="AAABD6"/>
              <w:bottom w:val="dotted" w:sz="4" w:space="0" w:color="AAABD6"/>
              <w:right w:val="single" w:sz="4" w:space="0" w:color="AAABD6"/>
            </w:tcBorders>
          </w:tcPr>
          <w:p w14:paraId="18B03CE3"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1,054</w:t>
            </w:r>
          </w:p>
        </w:tc>
        <w:tc>
          <w:tcPr>
            <w:tcW w:w="0" w:type="dxa"/>
            <w:tcBorders>
              <w:top w:val="single" w:sz="4" w:space="0" w:color="AAABD6"/>
              <w:left w:val="single" w:sz="4" w:space="0" w:color="AAABD6"/>
              <w:bottom w:val="dotted" w:sz="4" w:space="0" w:color="AAABD6"/>
              <w:right w:val="single" w:sz="4" w:space="0" w:color="AAABD6"/>
            </w:tcBorders>
          </w:tcPr>
          <w:p w14:paraId="3C1C8391"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1,098</w:t>
            </w:r>
          </w:p>
        </w:tc>
        <w:tc>
          <w:tcPr>
            <w:tcW w:w="0" w:type="dxa"/>
            <w:tcBorders>
              <w:top w:val="single" w:sz="4" w:space="0" w:color="AAABD6"/>
              <w:left w:val="single" w:sz="4" w:space="0" w:color="AAABD6"/>
              <w:bottom w:val="dotted" w:sz="4" w:space="0" w:color="AAABD6"/>
              <w:right w:val="single" w:sz="4" w:space="0" w:color="AAABD6"/>
            </w:tcBorders>
          </w:tcPr>
          <w:p w14:paraId="2CF026DF"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1,144</w:t>
            </w:r>
          </w:p>
        </w:tc>
        <w:tc>
          <w:tcPr>
            <w:tcW w:w="0" w:type="dxa"/>
            <w:tcBorders>
              <w:top w:val="single" w:sz="4" w:space="0" w:color="AAABD6"/>
              <w:left w:val="single" w:sz="4" w:space="0" w:color="AAABD6"/>
              <w:bottom w:val="dotted" w:sz="4" w:space="0" w:color="AAABD6"/>
              <w:right w:val="single" w:sz="4" w:space="0" w:color="AAABD6"/>
            </w:tcBorders>
          </w:tcPr>
          <w:p w14:paraId="141000A5"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1,192</w:t>
            </w:r>
          </w:p>
        </w:tc>
        <w:tc>
          <w:tcPr>
            <w:tcW w:w="0" w:type="dxa"/>
            <w:tcBorders>
              <w:top w:val="single" w:sz="4" w:space="0" w:color="AAABD6"/>
              <w:left w:val="single" w:sz="4" w:space="0" w:color="AAABD6"/>
              <w:bottom w:val="dotted" w:sz="4" w:space="0" w:color="AAABD6"/>
              <w:right w:val="single" w:sz="4" w:space="0" w:color="AAABD6"/>
            </w:tcBorders>
          </w:tcPr>
          <w:p w14:paraId="44F5864B"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1,242</w:t>
            </w:r>
          </w:p>
        </w:tc>
        <w:tc>
          <w:tcPr>
            <w:tcW w:w="0" w:type="dxa"/>
            <w:tcBorders>
              <w:top w:val="single" w:sz="4" w:space="0" w:color="AAABD6"/>
              <w:left w:val="single" w:sz="4" w:space="0" w:color="AAABD6"/>
              <w:bottom w:val="dotted" w:sz="4" w:space="0" w:color="AAABD6"/>
              <w:right w:val="single" w:sz="4" w:space="0" w:color="AAABD6"/>
            </w:tcBorders>
          </w:tcPr>
          <w:p w14:paraId="1A2DC89C"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1,294</w:t>
            </w:r>
          </w:p>
        </w:tc>
        <w:tc>
          <w:tcPr>
            <w:tcW w:w="0" w:type="dxa"/>
            <w:tcBorders>
              <w:top w:val="single" w:sz="4" w:space="0" w:color="AAABD6"/>
              <w:left w:val="single" w:sz="4" w:space="0" w:color="AAABD6"/>
              <w:bottom w:val="dotted" w:sz="4" w:space="0" w:color="AAABD6"/>
              <w:right w:val="single" w:sz="4" w:space="0" w:color="AAABD6"/>
            </w:tcBorders>
          </w:tcPr>
          <w:p w14:paraId="6975C895"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1,349</w:t>
            </w:r>
          </w:p>
        </w:tc>
        <w:tc>
          <w:tcPr>
            <w:tcW w:w="0" w:type="dxa"/>
            <w:tcBorders>
              <w:top w:val="single" w:sz="4" w:space="0" w:color="AAABD6"/>
              <w:left w:val="single" w:sz="4" w:space="0" w:color="AAABD6"/>
              <w:bottom w:val="dotted" w:sz="4" w:space="0" w:color="AAABD6"/>
              <w:right w:val="single" w:sz="4" w:space="0" w:color="AAABD6"/>
            </w:tcBorders>
          </w:tcPr>
          <w:p w14:paraId="669CFA02"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1,405</w:t>
            </w:r>
          </w:p>
        </w:tc>
        <w:tc>
          <w:tcPr>
            <w:tcW w:w="0" w:type="dxa"/>
            <w:tcBorders>
              <w:top w:val="single" w:sz="4" w:space="0" w:color="AAABD6"/>
              <w:left w:val="single" w:sz="4" w:space="0" w:color="AAABD6"/>
              <w:bottom w:val="dotted" w:sz="4" w:space="0" w:color="AAABD6"/>
              <w:right w:val="single" w:sz="4" w:space="0" w:color="AAABD6"/>
            </w:tcBorders>
          </w:tcPr>
          <w:p w14:paraId="2F2FFE90"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1,464</w:t>
            </w:r>
          </w:p>
        </w:tc>
        <w:tc>
          <w:tcPr>
            <w:tcW w:w="0" w:type="dxa"/>
            <w:tcBorders>
              <w:top w:val="single" w:sz="4" w:space="0" w:color="AAABD6"/>
              <w:left w:val="single" w:sz="4" w:space="0" w:color="AAABD6"/>
              <w:bottom w:val="dotted" w:sz="4" w:space="0" w:color="AAABD6"/>
              <w:right w:val="single" w:sz="4" w:space="0" w:color="AAABD6"/>
            </w:tcBorders>
          </w:tcPr>
          <w:p w14:paraId="5F459A00"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1,526</w:t>
            </w:r>
          </w:p>
        </w:tc>
        <w:tc>
          <w:tcPr>
            <w:tcW w:w="0" w:type="dxa"/>
            <w:tcBorders>
              <w:top w:val="single" w:sz="4" w:space="0" w:color="AAABD6"/>
              <w:left w:val="single" w:sz="4" w:space="0" w:color="AAABD6"/>
              <w:bottom w:val="dotted" w:sz="4" w:space="0" w:color="AAABD6"/>
              <w:right w:val="single" w:sz="4" w:space="0" w:color="AAABD6"/>
            </w:tcBorders>
          </w:tcPr>
          <w:p w14:paraId="0C31DAFA"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1,590</w:t>
            </w:r>
          </w:p>
        </w:tc>
        <w:tc>
          <w:tcPr>
            <w:tcW w:w="0" w:type="dxa"/>
            <w:tcBorders>
              <w:top w:val="single" w:sz="4" w:space="0" w:color="AAABD6"/>
              <w:left w:val="single" w:sz="4" w:space="0" w:color="AAABD6"/>
              <w:bottom w:val="dotted" w:sz="4" w:space="0" w:color="AAABD6"/>
              <w:right w:val="single" w:sz="4" w:space="0" w:color="AAABD6"/>
            </w:tcBorders>
          </w:tcPr>
          <w:p w14:paraId="6FAA6EA7"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1,657</w:t>
            </w:r>
          </w:p>
        </w:tc>
      </w:tr>
      <w:tr w:rsidR="005B545D" w:rsidRPr="00100F0A" w14:paraId="3873F656"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tcPr>
          <w:p w14:paraId="2AD277D6" w14:textId="77777777" w:rsidR="002169F6" w:rsidRPr="00100F0A" w:rsidRDefault="002169F6" w:rsidP="002169F6">
            <w:pPr>
              <w:rPr>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674C0AB5"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NSW</w:t>
            </w:r>
          </w:p>
        </w:tc>
        <w:tc>
          <w:tcPr>
            <w:tcW w:w="0" w:type="dxa"/>
            <w:vMerge/>
            <w:tcBorders>
              <w:left w:val="single" w:sz="4" w:space="0" w:color="AAABD6"/>
              <w:right w:val="single" w:sz="4" w:space="0" w:color="AAABD6"/>
            </w:tcBorders>
          </w:tcPr>
          <w:p w14:paraId="6B43A3E8"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dotted" w:sz="4" w:space="0" w:color="AAABD6"/>
              <w:left w:val="single" w:sz="4" w:space="0" w:color="AAABD6"/>
              <w:bottom w:val="dotted" w:sz="4" w:space="0" w:color="AAABD6"/>
              <w:right w:val="nil"/>
            </w:tcBorders>
            <w:shd w:val="clear" w:color="auto" w:fill="auto"/>
          </w:tcPr>
          <w:p w14:paraId="1CF3F98A"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tc>
        <w:tc>
          <w:tcPr>
            <w:tcW w:w="0" w:type="dxa"/>
            <w:tcBorders>
              <w:top w:val="dotted" w:sz="4" w:space="0" w:color="AAABD6"/>
              <w:left w:val="nil"/>
              <w:bottom w:val="dotted" w:sz="4" w:space="0" w:color="AAABD6"/>
              <w:right w:val="single" w:sz="4" w:space="0" w:color="AAABD6"/>
            </w:tcBorders>
            <w:shd w:val="clear" w:color="auto" w:fill="auto"/>
          </w:tcPr>
          <w:p w14:paraId="56B8D928"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iCs/>
                <w:color w:val="4D4DB8"/>
                <w:sz w:val="16"/>
                <w:szCs w:val="16"/>
              </w:rPr>
            </w:pPr>
            <w:r w:rsidRPr="00100F0A">
              <w:rPr>
                <w:iCs/>
                <w:color w:val="4D4DB8"/>
                <w:sz w:val="16"/>
                <w:szCs w:val="16"/>
              </w:rPr>
              <w:t>31%</w:t>
            </w:r>
          </w:p>
        </w:tc>
        <w:tc>
          <w:tcPr>
            <w:tcW w:w="0" w:type="dxa"/>
            <w:tcBorders>
              <w:top w:val="dotted" w:sz="4" w:space="0" w:color="AAABD6"/>
              <w:left w:val="single" w:sz="4" w:space="0" w:color="AAABD6"/>
              <w:bottom w:val="dotted" w:sz="4" w:space="0" w:color="AAABD6"/>
              <w:right w:val="single" w:sz="4" w:space="0" w:color="AAABD6"/>
            </w:tcBorders>
          </w:tcPr>
          <w:p w14:paraId="0C6FABF3"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332449A4"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41</w:t>
            </w:r>
          </w:p>
        </w:tc>
        <w:tc>
          <w:tcPr>
            <w:tcW w:w="0" w:type="dxa"/>
            <w:tcBorders>
              <w:top w:val="dotted" w:sz="4" w:space="0" w:color="AAABD6"/>
              <w:left w:val="single" w:sz="4" w:space="0" w:color="AAABD6"/>
              <w:bottom w:val="dotted" w:sz="4" w:space="0" w:color="AAABD6"/>
              <w:right w:val="single" w:sz="4" w:space="0" w:color="AAABD6"/>
            </w:tcBorders>
          </w:tcPr>
          <w:p w14:paraId="1229F38B"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42</w:t>
            </w:r>
          </w:p>
        </w:tc>
        <w:tc>
          <w:tcPr>
            <w:tcW w:w="0" w:type="dxa"/>
            <w:tcBorders>
              <w:top w:val="dotted" w:sz="4" w:space="0" w:color="AAABD6"/>
              <w:left w:val="single" w:sz="4" w:space="0" w:color="AAABD6"/>
              <w:bottom w:val="dotted" w:sz="4" w:space="0" w:color="AAABD6"/>
              <w:right w:val="single" w:sz="4" w:space="0" w:color="AAABD6"/>
            </w:tcBorders>
          </w:tcPr>
          <w:p w14:paraId="6E70E29A"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44</w:t>
            </w:r>
          </w:p>
        </w:tc>
        <w:tc>
          <w:tcPr>
            <w:tcW w:w="0" w:type="dxa"/>
            <w:tcBorders>
              <w:top w:val="dotted" w:sz="4" w:space="0" w:color="AAABD6"/>
              <w:left w:val="single" w:sz="4" w:space="0" w:color="AAABD6"/>
              <w:bottom w:val="dotted" w:sz="4" w:space="0" w:color="AAABD6"/>
              <w:right w:val="single" w:sz="4" w:space="0" w:color="AAABD6"/>
            </w:tcBorders>
          </w:tcPr>
          <w:p w14:paraId="7BB2163E"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46</w:t>
            </w:r>
          </w:p>
        </w:tc>
        <w:tc>
          <w:tcPr>
            <w:tcW w:w="0" w:type="dxa"/>
            <w:tcBorders>
              <w:top w:val="dotted" w:sz="4" w:space="0" w:color="AAABD6"/>
              <w:left w:val="single" w:sz="4" w:space="0" w:color="AAABD6"/>
              <w:bottom w:val="dotted" w:sz="4" w:space="0" w:color="AAABD6"/>
              <w:right w:val="single" w:sz="4" w:space="0" w:color="AAABD6"/>
            </w:tcBorders>
          </w:tcPr>
          <w:p w14:paraId="7A0C42BA"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17,982</w:t>
            </w:r>
          </w:p>
        </w:tc>
        <w:tc>
          <w:tcPr>
            <w:tcW w:w="0" w:type="dxa"/>
            <w:tcBorders>
              <w:top w:val="dotted" w:sz="4" w:space="0" w:color="AAABD6"/>
              <w:left w:val="single" w:sz="4" w:space="0" w:color="AAABD6"/>
              <w:bottom w:val="dotted" w:sz="4" w:space="0" w:color="AAABD6"/>
              <w:right w:val="single" w:sz="4" w:space="0" w:color="AAABD6"/>
            </w:tcBorders>
          </w:tcPr>
          <w:p w14:paraId="4368E3AA"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18,736</w:t>
            </w:r>
          </w:p>
        </w:tc>
        <w:tc>
          <w:tcPr>
            <w:tcW w:w="0" w:type="dxa"/>
            <w:tcBorders>
              <w:top w:val="dotted" w:sz="4" w:space="0" w:color="AAABD6"/>
              <w:left w:val="single" w:sz="4" w:space="0" w:color="AAABD6"/>
              <w:bottom w:val="dotted" w:sz="4" w:space="0" w:color="AAABD6"/>
              <w:right w:val="single" w:sz="4" w:space="0" w:color="AAABD6"/>
            </w:tcBorders>
          </w:tcPr>
          <w:p w14:paraId="29F2C19B"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19,523</w:t>
            </w:r>
          </w:p>
        </w:tc>
        <w:tc>
          <w:tcPr>
            <w:tcW w:w="0" w:type="dxa"/>
            <w:tcBorders>
              <w:top w:val="dotted" w:sz="4" w:space="0" w:color="AAABD6"/>
              <w:left w:val="single" w:sz="4" w:space="0" w:color="AAABD6"/>
              <w:bottom w:val="dotted" w:sz="4" w:space="0" w:color="AAABD6"/>
              <w:right w:val="single" w:sz="4" w:space="0" w:color="AAABD6"/>
            </w:tcBorders>
          </w:tcPr>
          <w:p w14:paraId="60FA30C5"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20,342</w:t>
            </w:r>
          </w:p>
        </w:tc>
        <w:tc>
          <w:tcPr>
            <w:tcW w:w="0" w:type="dxa"/>
            <w:tcBorders>
              <w:top w:val="dotted" w:sz="4" w:space="0" w:color="AAABD6"/>
              <w:left w:val="single" w:sz="4" w:space="0" w:color="AAABD6"/>
              <w:bottom w:val="dotted" w:sz="4" w:space="0" w:color="AAABD6"/>
              <w:right w:val="single" w:sz="4" w:space="0" w:color="AAABD6"/>
            </w:tcBorders>
          </w:tcPr>
          <w:p w14:paraId="792DF11F"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21,196</w:t>
            </w:r>
          </w:p>
        </w:tc>
        <w:tc>
          <w:tcPr>
            <w:tcW w:w="0" w:type="dxa"/>
            <w:tcBorders>
              <w:top w:val="dotted" w:sz="4" w:space="0" w:color="AAABD6"/>
              <w:left w:val="single" w:sz="4" w:space="0" w:color="AAABD6"/>
              <w:bottom w:val="dotted" w:sz="4" w:space="0" w:color="AAABD6"/>
              <w:right w:val="single" w:sz="4" w:space="0" w:color="AAABD6"/>
            </w:tcBorders>
          </w:tcPr>
          <w:p w14:paraId="72882041"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22,086</w:t>
            </w:r>
          </w:p>
        </w:tc>
        <w:tc>
          <w:tcPr>
            <w:tcW w:w="0" w:type="dxa"/>
            <w:tcBorders>
              <w:top w:val="dotted" w:sz="4" w:space="0" w:color="AAABD6"/>
              <w:left w:val="single" w:sz="4" w:space="0" w:color="AAABD6"/>
              <w:bottom w:val="dotted" w:sz="4" w:space="0" w:color="AAABD6"/>
              <w:right w:val="single" w:sz="4" w:space="0" w:color="AAABD6"/>
            </w:tcBorders>
          </w:tcPr>
          <w:p w14:paraId="6B4A5054"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23,012</w:t>
            </w:r>
          </w:p>
        </w:tc>
        <w:tc>
          <w:tcPr>
            <w:tcW w:w="0" w:type="dxa"/>
            <w:tcBorders>
              <w:top w:val="dotted" w:sz="4" w:space="0" w:color="AAABD6"/>
              <w:left w:val="single" w:sz="4" w:space="0" w:color="AAABD6"/>
              <w:bottom w:val="dotted" w:sz="4" w:space="0" w:color="AAABD6"/>
              <w:right w:val="single" w:sz="4" w:space="0" w:color="AAABD6"/>
            </w:tcBorders>
          </w:tcPr>
          <w:p w14:paraId="1CF883F4"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23,978</w:t>
            </w:r>
          </w:p>
        </w:tc>
        <w:tc>
          <w:tcPr>
            <w:tcW w:w="0" w:type="dxa"/>
            <w:tcBorders>
              <w:top w:val="dotted" w:sz="4" w:space="0" w:color="AAABD6"/>
              <w:left w:val="single" w:sz="4" w:space="0" w:color="AAABD6"/>
              <w:bottom w:val="dotted" w:sz="4" w:space="0" w:color="AAABD6"/>
              <w:right w:val="single" w:sz="4" w:space="0" w:color="AAABD6"/>
            </w:tcBorders>
          </w:tcPr>
          <w:p w14:paraId="04EAEE9A"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24,985</w:t>
            </w:r>
          </w:p>
        </w:tc>
        <w:tc>
          <w:tcPr>
            <w:tcW w:w="0" w:type="dxa"/>
            <w:tcBorders>
              <w:top w:val="dotted" w:sz="4" w:space="0" w:color="AAABD6"/>
              <w:left w:val="single" w:sz="4" w:space="0" w:color="AAABD6"/>
              <w:bottom w:val="dotted" w:sz="4" w:space="0" w:color="AAABD6"/>
              <w:right w:val="single" w:sz="4" w:space="0" w:color="AAABD6"/>
            </w:tcBorders>
          </w:tcPr>
          <w:p w14:paraId="43D03DF2"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26,033</w:t>
            </w:r>
          </w:p>
        </w:tc>
        <w:tc>
          <w:tcPr>
            <w:tcW w:w="0" w:type="dxa"/>
            <w:tcBorders>
              <w:top w:val="dotted" w:sz="4" w:space="0" w:color="AAABD6"/>
              <w:left w:val="single" w:sz="4" w:space="0" w:color="AAABD6"/>
              <w:bottom w:val="dotted" w:sz="4" w:space="0" w:color="AAABD6"/>
              <w:right w:val="single" w:sz="4" w:space="0" w:color="AAABD6"/>
            </w:tcBorders>
          </w:tcPr>
          <w:p w14:paraId="26E54901"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27,126</w:t>
            </w:r>
          </w:p>
        </w:tc>
        <w:tc>
          <w:tcPr>
            <w:tcW w:w="0" w:type="dxa"/>
            <w:tcBorders>
              <w:top w:val="dotted" w:sz="4" w:space="0" w:color="AAABD6"/>
              <w:left w:val="single" w:sz="4" w:space="0" w:color="AAABD6"/>
              <w:bottom w:val="dotted" w:sz="4" w:space="0" w:color="AAABD6"/>
              <w:right w:val="single" w:sz="4" w:space="0" w:color="AAABD6"/>
            </w:tcBorders>
          </w:tcPr>
          <w:p w14:paraId="452E67E8"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28,264</w:t>
            </w:r>
          </w:p>
        </w:tc>
        <w:tc>
          <w:tcPr>
            <w:tcW w:w="0" w:type="dxa"/>
            <w:tcBorders>
              <w:top w:val="dotted" w:sz="4" w:space="0" w:color="AAABD6"/>
              <w:left w:val="single" w:sz="4" w:space="0" w:color="AAABD6"/>
              <w:bottom w:val="dotted" w:sz="4" w:space="0" w:color="AAABD6"/>
              <w:right w:val="single" w:sz="4" w:space="0" w:color="AAABD6"/>
            </w:tcBorders>
          </w:tcPr>
          <w:p w14:paraId="20550022"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29,451</w:t>
            </w:r>
          </w:p>
        </w:tc>
        <w:tc>
          <w:tcPr>
            <w:tcW w:w="0" w:type="dxa"/>
            <w:tcBorders>
              <w:top w:val="dotted" w:sz="4" w:space="0" w:color="AAABD6"/>
              <w:left w:val="single" w:sz="4" w:space="0" w:color="AAABD6"/>
              <w:bottom w:val="dotted" w:sz="4" w:space="0" w:color="AAABD6"/>
              <w:right w:val="single" w:sz="4" w:space="0" w:color="AAABD6"/>
            </w:tcBorders>
          </w:tcPr>
          <w:p w14:paraId="77F2CB73"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30,687</w:t>
            </w:r>
          </w:p>
        </w:tc>
      </w:tr>
      <w:tr w:rsidR="005B545D" w:rsidRPr="00100F0A" w14:paraId="231074A8"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tcPr>
          <w:p w14:paraId="53BE08F3" w14:textId="77777777" w:rsidR="002169F6" w:rsidRPr="00100F0A" w:rsidRDefault="002169F6" w:rsidP="002169F6">
            <w:pPr>
              <w:rPr>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3C6A2599"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NT</w:t>
            </w:r>
          </w:p>
        </w:tc>
        <w:tc>
          <w:tcPr>
            <w:tcW w:w="0" w:type="dxa"/>
            <w:vMerge/>
            <w:tcBorders>
              <w:left w:val="single" w:sz="4" w:space="0" w:color="AAABD6"/>
              <w:right w:val="single" w:sz="4" w:space="0" w:color="AAABD6"/>
            </w:tcBorders>
          </w:tcPr>
          <w:p w14:paraId="4F3137D2"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dotted" w:sz="4" w:space="0" w:color="AAABD6"/>
              <w:left w:val="single" w:sz="4" w:space="0" w:color="AAABD6"/>
              <w:bottom w:val="dotted" w:sz="4" w:space="0" w:color="AAABD6"/>
              <w:right w:val="nil"/>
            </w:tcBorders>
            <w:shd w:val="clear" w:color="auto" w:fill="auto"/>
          </w:tcPr>
          <w:p w14:paraId="2E3759F1"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tc>
        <w:tc>
          <w:tcPr>
            <w:tcW w:w="0" w:type="dxa"/>
            <w:tcBorders>
              <w:top w:val="dotted" w:sz="4" w:space="0" w:color="AAABD6"/>
              <w:left w:val="nil"/>
              <w:bottom w:val="dotted" w:sz="4" w:space="0" w:color="AAABD6"/>
              <w:right w:val="single" w:sz="4" w:space="0" w:color="AAABD6"/>
            </w:tcBorders>
            <w:shd w:val="clear" w:color="auto" w:fill="auto"/>
          </w:tcPr>
          <w:p w14:paraId="1C82468C"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iCs/>
                <w:color w:val="4D4DB8"/>
                <w:sz w:val="16"/>
                <w:szCs w:val="16"/>
              </w:rPr>
            </w:pPr>
            <w:r w:rsidRPr="00100F0A">
              <w:rPr>
                <w:iCs/>
                <w:color w:val="4D4DB8"/>
                <w:sz w:val="16"/>
                <w:szCs w:val="16"/>
              </w:rPr>
              <w:t>1%</w:t>
            </w:r>
          </w:p>
        </w:tc>
        <w:tc>
          <w:tcPr>
            <w:tcW w:w="0" w:type="dxa"/>
            <w:tcBorders>
              <w:top w:val="dotted" w:sz="4" w:space="0" w:color="AAABD6"/>
              <w:left w:val="single" w:sz="4" w:space="0" w:color="AAABD6"/>
              <w:bottom w:val="dotted" w:sz="4" w:space="0" w:color="AAABD6"/>
              <w:right w:val="single" w:sz="4" w:space="0" w:color="AAABD6"/>
            </w:tcBorders>
          </w:tcPr>
          <w:p w14:paraId="4CD93416"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43B017EB"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w:t>
            </w:r>
          </w:p>
        </w:tc>
        <w:tc>
          <w:tcPr>
            <w:tcW w:w="0" w:type="dxa"/>
            <w:tcBorders>
              <w:top w:val="dotted" w:sz="4" w:space="0" w:color="AAABD6"/>
              <w:left w:val="single" w:sz="4" w:space="0" w:color="AAABD6"/>
              <w:bottom w:val="dotted" w:sz="4" w:space="0" w:color="AAABD6"/>
              <w:right w:val="single" w:sz="4" w:space="0" w:color="AAABD6"/>
            </w:tcBorders>
          </w:tcPr>
          <w:p w14:paraId="559269BD"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w:t>
            </w:r>
          </w:p>
        </w:tc>
        <w:tc>
          <w:tcPr>
            <w:tcW w:w="0" w:type="dxa"/>
            <w:tcBorders>
              <w:top w:val="dotted" w:sz="4" w:space="0" w:color="AAABD6"/>
              <w:left w:val="single" w:sz="4" w:space="0" w:color="AAABD6"/>
              <w:bottom w:val="dotted" w:sz="4" w:space="0" w:color="AAABD6"/>
              <w:right w:val="single" w:sz="4" w:space="0" w:color="AAABD6"/>
            </w:tcBorders>
          </w:tcPr>
          <w:p w14:paraId="6CEF498E"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w:t>
            </w:r>
          </w:p>
        </w:tc>
        <w:tc>
          <w:tcPr>
            <w:tcW w:w="0" w:type="dxa"/>
            <w:tcBorders>
              <w:top w:val="dotted" w:sz="4" w:space="0" w:color="AAABD6"/>
              <w:left w:val="single" w:sz="4" w:space="0" w:color="AAABD6"/>
              <w:bottom w:val="dotted" w:sz="4" w:space="0" w:color="AAABD6"/>
              <w:right w:val="single" w:sz="4" w:space="0" w:color="AAABD6"/>
            </w:tcBorders>
          </w:tcPr>
          <w:p w14:paraId="32E5BAE2"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w:t>
            </w:r>
          </w:p>
        </w:tc>
        <w:tc>
          <w:tcPr>
            <w:tcW w:w="0" w:type="dxa"/>
            <w:tcBorders>
              <w:top w:val="dotted" w:sz="4" w:space="0" w:color="AAABD6"/>
              <w:left w:val="single" w:sz="4" w:space="0" w:color="AAABD6"/>
              <w:bottom w:val="dotted" w:sz="4" w:space="0" w:color="AAABD6"/>
              <w:right w:val="single" w:sz="4" w:space="0" w:color="AAABD6"/>
            </w:tcBorders>
          </w:tcPr>
          <w:p w14:paraId="323F31F7"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600</w:t>
            </w:r>
          </w:p>
        </w:tc>
        <w:tc>
          <w:tcPr>
            <w:tcW w:w="0" w:type="dxa"/>
            <w:tcBorders>
              <w:top w:val="dotted" w:sz="4" w:space="0" w:color="AAABD6"/>
              <w:left w:val="single" w:sz="4" w:space="0" w:color="AAABD6"/>
              <w:bottom w:val="dotted" w:sz="4" w:space="0" w:color="AAABD6"/>
              <w:right w:val="single" w:sz="4" w:space="0" w:color="AAABD6"/>
            </w:tcBorders>
          </w:tcPr>
          <w:p w14:paraId="3D6C9D9B"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625</w:t>
            </w:r>
          </w:p>
        </w:tc>
        <w:tc>
          <w:tcPr>
            <w:tcW w:w="0" w:type="dxa"/>
            <w:tcBorders>
              <w:top w:val="dotted" w:sz="4" w:space="0" w:color="AAABD6"/>
              <w:left w:val="single" w:sz="4" w:space="0" w:color="AAABD6"/>
              <w:bottom w:val="dotted" w:sz="4" w:space="0" w:color="AAABD6"/>
              <w:right w:val="single" w:sz="4" w:space="0" w:color="AAABD6"/>
            </w:tcBorders>
          </w:tcPr>
          <w:p w14:paraId="0AE72B16"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652</w:t>
            </w:r>
          </w:p>
        </w:tc>
        <w:tc>
          <w:tcPr>
            <w:tcW w:w="0" w:type="dxa"/>
            <w:tcBorders>
              <w:top w:val="dotted" w:sz="4" w:space="0" w:color="AAABD6"/>
              <w:left w:val="single" w:sz="4" w:space="0" w:color="AAABD6"/>
              <w:bottom w:val="dotted" w:sz="4" w:space="0" w:color="AAABD6"/>
              <w:right w:val="single" w:sz="4" w:space="0" w:color="AAABD6"/>
            </w:tcBorders>
          </w:tcPr>
          <w:p w14:paraId="616CB46C"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679</w:t>
            </w:r>
          </w:p>
        </w:tc>
        <w:tc>
          <w:tcPr>
            <w:tcW w:w="0" w:type="dxa"/>
            <w:tcBorders>
              <w:top w:val="dotted" w:sz="4" w:space="0" w:color="AAABD6"/>
              <w:left w:val="single" w:sz="4" w:space="0" w:color="AAABD6"/>
              <w:bottom w:val="dotted" w:sz="4" w:space="0" w:color="AAABD6"/>
              <w:right w:val="single" w:sz="4" w:space="0" w:color="AAABD6"/>
            </w:tcBorders>
          </w:tcPr>
          <w:p w14:paraId="22526D60"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708</w:t>
            </w:r>
          </w:p>
        </w:tc>
        <w:tc>
          <w:tcPr>
            <w:tcW w:w="0" w:type="dxa"/>
            <w:tcBorders>
              <w:top w:val="dotted" w:sz="4" w:space="0" w:color="AAABD6"/>
              <w:left w:val="single" w:sz="4" w:space="0" w:color="AAABD6"/>
              <w:bottom w:val="dotted" w:sz="4" w:space="0" w:color="AAABD6"/>
              <w:right w:val="single" w:sz="4" w:space="0" w:color="AAABD6"/>
            </w:tcBorders>
          </w:tcPr>
          <w:p w14:paraId="4F3AC30E"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737</w:t>
            </w:r>
          </w:p>
        </w:tc>
        <w:tc>
          <w:tcPr>
            <w:tcW w:w="0" w:type="dxa"/>
            <w:tcBorders>
              <w:top w:val="dotted" w:sz="4" w:space="0" w:color="AAABD6"/>
              <w:left w:val="single" w:sz="4" w:space="0" w:color="AAABD6"/>
              <w:bottom w:val="dotted" w:sz="4" w:space="0" w:color="AAABD6"/>
              <w:right w:val="single" w:sz="4" w:space="0" w:color="AAABD6"/>
            </w:tcBorders>
          </w:tcPr>
          <w:p w14:paraId="1C59DF5B"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768</w:t>
            </w:r>
          </w:p>
        </w:tc>
        <w:tc>
          <w:tcPr>
            <w:tcW w:w="0" w:type="dxa"/>
            <w:tcBorders>
              <w:top w:val="dotted" w:sz="4" w:space="0" w:color="AAABD6"/>
              <w:left w:val="single" w:sz="4" w:space="0" w:color="AAABD6"/>
              <w:bottom w:val="dotted" w:sz="4" w:space="0" w:color="AAABD6"/>
              <w:right w:val="single" w:sz="4" w:space="0" w:color="AAABD6"/>
            </w:tcBorders>
          </w:tcPr>
          <w:p w14:paraId="3EDA75C8"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800</w:t>
            </w:r>
          </w:p>
        </w:tc>
        <w:tc>
          <w:tcPr>
            <w:tcW w:w="0" w:type="dxa"/>
            <w:tcBorders>
              <w:top w:val="dotted" w:sz="4" w:space="0" w:color="AAABD6"/>
              <w:left w:val="single" w:sz="4" w:space="0" w:color="AAABD6"/>
              <w:bottom w:val="dotted" w:sz="4" w:space="0" w:color="AAABD6"/>
              <w:right w:val="single" w:sz="4" w:space="0" w:color="AAABD6"/>
            </w:tcBorders>
          </w:tcPr>
          <w:p w14:paraId="5DE55DAF"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834</w:t>
            </w:r>
          </w:p>
        </w:tc>
        <w:tc>
          <w:tcPr>
            <w:tcW w:w="0" w:type="dxa"/>
            <w:tcBorders>
              <w:top w:val="dotted" w:sz="4" w:space="0" w:color="AAABD6"/>
              <w:left w:val="single" w:sz="4" w:space="0" w:color="AAABD6"/>
              <w:bottom w:val="dotted" w:sz="4" w:space="0" w:color="AAABD6"/>
              <w:right w:val="single" w:sz="4" w:space="0" w:color="AAABD6"/>
            </w:tcBorders>
          </w:tcPr>
          <w:p w14:paraId="4347EF38"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869</w:t>
            </w:r>
          </w:p>
        </w:tc>
        <w:tc>
          <w:tcPr>
            <w:tcW w:w="0" w:type="dxa"/>
            <w:tcBorders>
              <w:top w:val="dotted" w:sz="4" w:space="0" w:color="AAABD6"/>
              <w:left w:val="single" w:sz="4" w:space="0" w:color="AAABD6"/>
              <w:bottom w:val="dotted" w:sz="4" w:space="0" w:color="AAABD6"/>
              <w:right w:val="single" w:sz="4" w:space="0" w:color="AAABD6"/>
            </w:tcBorders>
          </w:tcPr>
          <w:p w14:paraId="39B11FB8"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906</w:t>
            </w:r>
          </w:p>
        </w:tc>
        <w:tc>
          <w:tcPr>
            <w:tcW w:w="0" w:type="dxa"/>
            <w:tcBorders>
              <w:top w:val="dotted" w:sz="4" w:space="0" w:color="AAABD6"/>
              <w:left w:val="single" w:sz="4" w:space="0" w:color="AAABD6"/>
              <w:bottom w:val="dotted" w:sz="4" w:space="0" w:color="AAABD6"/>
              <w:right w:val="single" w:sz="4" w:space="0" w:color="AAABD6"/>
            </w:tcBorders>
          </w:tcPr>
          <w:p w14:paraId="5B1AB0A8"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944</w:t>
            </w:r>
          </w:p>
        </w:tc>
        <w:tc>
          <w:tcPr>
            <w:tcW w:w="0" w:type="dxa"/>
            <w:tcBorders>
              <w:top w:val="dotted" w:sz="4" w:space="0" w:color="AAABD6"/>
              <w:left w:val="single" w:sz="4" w:space="0" w:color="AAABD6"/>
              <w:bottom w:val="dotted" w:sz="4" w:space="0" w:color="AAABD6"/>
              <w:right w:val="single" w:sz="4" w:space="0" w:color="AAABD6"/>
            </w:tcBorders>
          </w:tcPr>
          <w:p w14:paraId="29F7FC91"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983</w:t>
            </w:r>
          </w:p>
        </w:tc>
        <w:tc>
          <w:tcPr>
            <w:tcW w:w="0" w:type="dxa"/>
            <w:tcBorders>
              <w:top w:val="dotted" w:sz="4" w:space="0" w:color="AAABD6"/>
              <w:left w:val="single" w:sz="4" w:space="0" w:color="AAABD6"/>
              <w:bottom w:val="dotted" w:sz="4" w:space="0" w:color="AAABD6"/>
              <w:right w:val="single" w:sz="4" w:space="0" w:color="AAABD6"/>
            </w:tcBorders>
          </w:tcPr>
          <w:p w14:paraId="29A110DB"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1,024</w:t>
            </w:r>
          </w:p>
        </w:tc>
      </w:tr>
      <w:tr w:rsidR="005B545D" w:rsidRPr="00100F0A" w14:paraId="5F7AFB5E"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tcPr>
          <w:p w14:paraId="4958155E" w14:textId="77777777" w:rsidR="002169F6" w:rsidRPr="00100F0A" w:rsidRDefault="002169F6" w:rsidP="002169F6">
            <w:pPr>
              <w:rPr>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533883CD"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Qld</w:t>
            </w:r>
          </w:p>
        </w:tc>
        <w:tc>
          <w:tcPr>
            <w:tcW w:w="0" w:type="dxa"/>
            <w:vMerge/>
            <w:tcBorders>
              <w:left w:val="single" w:sz="4" w:space="0" w:color="AAABD6"/>
              <w:right w:val="single" w:sz="4" w:space="0" w:color="AAABD6"/>
            </w:tcBorders>
          </w:tcPr>
          <w:p w14:paraId="3A252258"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dotted" w:sz="4" w:space="0" w:color="AAABD6"/>
              <w:left w:val="single" w:sz="4" w:space="0" w:color="AAABD6"/>
              <w:bottom w:val="dotted" w:sz="4" w:space="0" w:color="AAABD6"/>
              <w:right w:val="nil"/>
            </w:tcBorders>
            <w:shd w:val="clear" w:color="auto" w:fill="auto"/>
          </w:tcPr>
          <w:p w14:paraId="3DA35FC3"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tc>
        <w:tc>
          <w:tcPr>
            <w:tcW w:w="0" w:type="dxa"/>
            <w:tcBorders>
              <w:top w:val="dotted" w:sz="4" w:space="0" w:color="AAABD6"/>
              <w:left w:val="nil"/>
              <w:bottom w:val="dotted" w:sz="4" w:space="0" w:color="AAABD6"/>
              <w:right w:val="single" w:sz="4" w:space="0" w:color="AAABD6"/>
            </w:tcBorders>
            <w:shd w:val="clear" w:color="auto" w:fill="auto"/>
          </w:tcPr>
          <w:p w14:paraId="3F9D94DB"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iCs/>
                <w:color w:val="4D4DB8"/>
                <w:sz w:val="16"/>
                <w:szCs w:val="16"/>
              </w:rPr>
            </w:pPr>
            <w:r w:rsidRPr="00100F0A">
              <w:rPr>
                <w:iCs/>
                <w:color w:val="4D4DB8"/>
                <w:sz w:val="16"/>
                <w:szCs w:val="16"/>
              </w:rPr>
              <w:t>21%</w:t>
            </w:r>
          </w:p>
        </w:tc>
        <w:tc>
          <w:tcPr>
            <w:tcW w:w="0" w:type="dxa"/>
            <w:tcBorders>
              <w:top w:val="dotted" w:sz="4" w:space="0" w:color="AAABD6"/>
              <w:left w:val="single" w:sz="4" w:space="0" w:color="AAABD6"/>
              <w:bottom w:val="dotted" w:sz="4" w:space="0" w:color="AAABD6"/>
              <w:right w:val="single" w:sz="4" w:space="0" w:color="AAABD6"/>
            </w:tcBorders>
          </w:tcPr>
          <w:p w14:paraId="1B64674F"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75DBFBB1"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27</w:t>
            </w:r>
          </w:p>
        </w:tc>
        <w:tc>
          <w:tcPr>
            <w:tcW w:w="0" w:type="dxa"/>
            <w:tcBorders>
              <w:top w:val="dotted" w:sz="4" w:space="0" w:color="AAABD6"/>
              <w:left w:val="single" w:sz="4" w:space="0" w:color="AAABD6"/>
              <w:bottom w:val="dotted" w:sz="4" w:space="0" w:color="AAABD6"/>
              <w:right w:val="single" w:sz="4" w:space="0" w:color="AAABD6"/>
            </w:tcBorders>
          </w:tcPr>
          <w:p w14:paraId="1353A5C5"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28</w:t>
            </w:r>
          </w:p>
        </w:tc>
        <w:tc>
          <w:tcPr>
            <w:tcW w:w="0" w:type="dxa"/>
            <w:tcBorders>
              <w:top w:val="dotted" w:sz="4" w:space="0" w:color="AAABD6"/>
              <w:left w:val="single" w:sz="4" w:space="0" w:color="AAABD6"/>
              <w:bottom w:val="dotted" w:sz="4" w:space="0" w:color="AAABD6"/>
              <w:right w:val="single" w:sz="4" w:space="0" w:color="AAABD6"/>
            </w:tcBorders>
          </w:tcPr>
          <w:p w14:paraId="0B0B42C6"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29</w:t>
            </w:r>
          </w:p>
        </w:tc>
        <w:tc>
          <w:tcPr>
            <w:tcW w:w="0" w:type="dxa"/>
            <w:tcBorders>
              <w:top w:val="dotted" w:sz="4" w:space="0" w:color="AAABD6"/>
              <w:left w:val="single" w:sz="4" w:space="0" w:color="AAABD6"/>
              <w:bottom w:val="dotted" w:sz="4" w:space="0" w:color="AAABD6"/>
              <w:right w:val="single" w:sz="4" w:space="0" w:color="AAABD6"/>
            </w:tcBorders>
          </w:tcPr>
          <w:p w14:paraId="4A0D4EFD"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31</w:t>
            </w:r>
          </w:p>
        </w:tc>
        <w:tc>
          <w:tcPr>
            <w:tcW w:w="0" w:type="dxa"/>
            <w:tcBorders>
              <w:top w:val="dotted" w:sz="4" w:space="0" w:color="AAABD6"/>
              <w:left w:val="single" w:sz="4" w:space="0" w:color="AAABD6"/>
              <w:bottom w:val="dotted" w:sz="4" w:space="0" w:color="AAABD6"/>
              <w:right w:val="single" w:sz="4" w:space="0" w:color="AAABD6"/>
            </w:tcBorders>
          </w:tcPr>
          <w:p w14:paraId="7B9C2E6D"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11,906</w:t>
            </w:r>
          </w:p>
        </w:tc>
        <w:tc>
          <w:tcPr>
            <w:tcW w:w="0" w:type="dxa"/>
            <w:tcBorders>
              <w:top w:val="dotted" w:sz="4" w:space="0" w:color="AAABD6"/>
              <w:left w:val="single" w:sz="4" w:space="0" w:color="AAABD6"/>
              <w:bottom w:val="dotted" w:sz="4" w:space="0" w:color="AAABD6"/>
              <w:right w:val="single" w:sz="4" w:space="0" w:color="AAABD6"/>
            </w:tcBorders>
          </w:tcPr>
          <w:p w14:paraId="31AE08BB"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12,406</w:t>
            </w:r>
          </w:p>
        </w:tc>
        <w:tc>
          <w:tcPr>
            <w:tcW w:w="0" w:type="dxa"/>
            <w:tcBorders>
              <w:top w:val="dotted" w:sz="4" w:space="0" w:color="AAABD6"/>
              <w:left w:val="single" w:sz="4" w:space="0" w:color="AAABD6"/>
              <w:bottom w:val="dotted" w:sz="4" w:space="0" w:color="AAABD6"/>
              <w:right w:val="single" w:sz="4" w:space="0" w:color="AAABD6"/>
            </w:tcBorders>
          </w:tcPr>
          <w:p w14:paraId="7C91AE98"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12,927</w:t>
            </w:r>
          </w:p>
        </w:tc>
        <w:tc>
          <w:tcPr>
            <w:tcW w:w="0" w:type="dxa"/>
            <w:tcBorders>
              <w:top w:val="dotted" w:sz="4" w:space="0" w:color="AAABD6"/>
              <w:left w:val="single" w:sz="4" w:space="0" w:color="AAABD6"/>
              <w:bottom w:val="dotted" w:sz="4" w:space="0" w:color="AAABD6"/>
              <w:right w:val="single" w:sz="4" w:space="0" w:color="AAABD6"/>
            </w:tcBorders>
          </w:tcPr>
          <w:p w14:paraId="7BE3F40D"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13,469</w:t>
            </w:r>
          </w:p>
        </w:tc>
        <w:tc>
          <w:tcPr>
            <w:tcW w:w="0" w:type="dxa"/>
            <w:tcBorders>
              <w:top w:val="dotted" w:sz="4" w:space="0" w:color="AAABD6"/>
              <w:left w:val="single" w:sz="4" w:space="0" w:color="AAABD6"/>
              <w:bottom w:val="dotted" w:sz="4" w:space="0" w:color="AAABD6"/>
              <w:right w:val="single" w:sz="4" w:space="0" w:color="AAABD6"/>
            </w:tcBorders>
          </w:tcPr>
          <w:p w14:paraId="73169A38"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14,034</w:t>
            </w:r>
          </w:p>
        </w:tc>
        <w:tc>
          <w:tcPr>
            <w:tcW w:w="0" w:type="dxa"/>
            <w:tcBorders>
              <w:top w:val="dotted" w:sz="4" w:space="0" w:color="AAABD6"/>
              <w:left w:val="single" w:sz="4" w:space="0" w:color="AAABD6"/>
              <w:bottom w:val="dotted" w:sz="4" w:space="0" w:color="AAABD6"/>
              <w:right w:val="single" w:sz="4" w:space="0" w:color="AAABD6"/>
            </w:tcBorders>
          </w:tcPr>
          <w:p w14:paraId="45274E27"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14,623</w:t>
            </w:r>
          </w:p>
        </w:tc>
        <w:tc>
          <w:tcPr>
            <w:tcW w:w="0" w:type="dxa"/>
            <w:tcBorders>
              <w:top w:val="dotted" w:sz="4" w:space="0" w:color="AAABD6"/>
              <w:left w:val="single" w:sz="4" w:space="0" w:color="AAABD6"/>
              <w:bottom w:val="dotted" w:sz="4" w:space="0" w:color="AAABD6"/>
              <w:right w:val="single" w:sz="4" w:space="0" w:color="AAABD6"/>
            </w:tcBorders>
          </w:tcPr>
          <w:p w14:paraId="0FEE1918"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15,237</w:t>
            </w:r>
          </w:p>
        </w:tc>
        <w:tc>
          <w:tcPr>
            <w:tcW w:w="0" w:type="dxa"/>
            <w:tcBorders>
              <w:top w:val="dotted" w:sz="4" w:space="0" w:color="AAABD6"/>
              <w:left w:val="single" w:sz="4" w:space="0" w:color="AAABD6"/>
              <w:bottom w:val="dotted" w:sz="4" w:space="0" w:color="AAABD6"/>
              <w:right w:val="single" w:sz="4" w:space="0" w:color="AAABD6"/>
            </w:tcBorders>
          </w:tcPr>
          <w:p w14:paraId="3C4568EA"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15,877</w:t>
            </w:r>
          </w:p>
        </w:tc>
        <w:tc>
          <w:tcPr>
            <w:tcW w:w="0" w:type="dxa"/>
            <w:tcBorders>
              <w:top w:val="dotted" w:sz="4" w:space="0" w:color="AAABD6"/>
              <w:left w:val="single" w:sz="4" w:space="0" w:color="AAABD6"/>
              <w:bottom w:val="dotted" w:sz="4" w:space="0" w:color="AAABD6"/>
              <w:right w:val="single" w:sz="4" w:space="0" w:color="AAABD6"/>
            </w:tcBorders>
          </w:tcPr>
          <w:p w14:paraId="4DD69F84"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16,543</w:t>
            </w:r>
          </w:p>
        </w:tc>
        <w:tc>
          <w:tcPr>
            <w:tcW w:w="0" w:type="dxa"/>
            <w:tcBorders>
              <w:top w:val="dotted" w:sz="4" w:space="0" w:color="AAABD6"/>
              <w:left w:val="single" w:sz="4" w:space="0" w:color="AAABD6"/>
              <w:bottom w:val="dotted" w:sz="4" w:space="0" w:color="AAABD6"/>
              <w:right w:val="single" w:sz="4" w:space="0" w:color="AAABD6"/>
            </w:tcBorders>
          </w:tcPr>
          <w:p w14:paraId="3DB261DF"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17,237</w:t>
            </w:r>
          </w:p>
        </w:tc>
        <w:tc>
          <w:tcPr>
            <w:tcW w:w="0" w:type="dxa"/>
            <w:tcBorders>
              <w:top w:val="dotted" w:sz="4" w:space="0" w:color="AAABD6"/>
              <w:left w:val="single" w:sz="4" w:space="0" w:color="AAABD6"/>
              <w:bottom w:val="dotted" w:sz="4" w:space="0" w:color="AAABD6"/>
              <w:right w:val="single" w:sz="4" w:space="0" w:color="AAABD6"/>
            </w:tcBorders>
          </w:tcPr>
          <w:p w14:paraId="7F617675"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17,961</w:t>
            </w:r>
          </w:p>
        </w:tc>
        <w:tc>
          <w:tcPr>
            <w:tcW w:w="0" w:type="dxa"/>
            <w:tcBorders>
              <w:top w:val="dotted" w:sz="4" w:space="0" w:color="AAABD6"/>
              <w:left w:val="single" w:sz="4" w:space="0" w:color="AAABD6"/>
              <w:bottom w:val="dotted" w:sz="4" w:space="0" w:color="AAABD6"/>
              <w:right w:val="single" w:sz="4" w:space="0" w:color="AAABD6"/>
            </w:tcBorders>
          </w:tcPr>
          <w:p w14:paraId="590A6D86"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18,714</w:t>
            </w:r>
          </w:p>
        </w:tc>
        <w:tc>
          <w:tcPr>
            <w:tcW w:w="0" w:type="dxa"/>
            <w:tcBorders>
              <w:top w:val="dotted" w:sz="4" w:space="0" w:color="AAABD6"/>
              <w:left w:val="single" w:sz="4" w:space="0" w:color="AAABD6"/>
              <w:bottom w:val="dotted" w:sz="4" w:space="0" w:color="AAABD6"/>
              <w:right w:val="single" w:sz="4" w:space="0" w:color="AAABD6"/>
            </w:tcBorders>
          </w:tcPr>
          <w:p w14:paraId="001893D0"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19,500</w:t>
            </w:r>
          </w:p>
        </w:tc>
        <w:tc>
          <w:tcPr>
            <w:tcW w:w="0" w:type="dxa"/>
            <w:tcBorders>
              <w:top w:val="dotted" w:sz="4" w:space="0" w:color="AAABD6"/>
              <w:left w:val="single" w:sz="4" w:space="0" w:color="AAABD6"/>
              <w:bottom w:val="dotted" w:sz="4" w:space="0" w:color="AAABD6"/>
              <w:right w:val="single" w:sz="4" w:space="0" w:color="AAABD6"/>
            </w:tcBorders>
          </w:tcPr>
          <w:p w14:paraId="49EB35C7"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20,318</w:t>
            </w:r>
          </w:p>
        </w:tc>
      </w:tr>
      <w:tr w:rsidR="005B545D" w:rsidRPr="00100F0A" w14:paraId="0E18070E"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tcPr>
          <w:p w14:paraId="0C0A3818" w14:textId="77777777" w:rsidR="002169F6" w:rsidRPr="00100F0A" w:rsidRDefault="002169F6" w:rsidP="002169F6">
            <w:pPr>
              <w:rPr>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7F169641"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SA</w:t>
            </w:r>
          </w:p>
        </w:tc>
        <w:tc>
          <w:tcPr>
            <w:tcW w:w="0" w:type="dxa"/>
            <w:vMerge/>
            <w:tcBorders>
              <w:left w:val="single" w:sz="4" w:space="0" w:color="AAABD6"/>
              <w:right w:val="single" w:sz="4" w:space="0" w:color="AAABD6"/>
            </w:tcBorders>
          </w:tcPr>
          <w:p w14:paraId="208F3BE5"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dotted" w:sz="4" w:space="0" w:color="AAABD6"/>
              <w:left w:val="single" w:sz="4" w:space="0" w:color="AAABD6"/>
              <w:bottom w:val="dotted" w:sz="4" w:space="0" w:color="AAABD6"/>
              <w:right w:val="nil"/>
            </w:tcBorders>
            <w:shd w:val="clear" w:color="auto" w:fill="auto"/>
          </w:tcPr>
          <w:p w14:paraId="31F97278"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tc>
        <w:tc>
          <w:tcPr>
            <w:tcW w:w="0" w:type="dxa"/>
            <w:tcBorders>
              <w:top w:val="dotted" w:sz="4" w:space="0" w:color="AAABD6"/>
              <w:left w:val="nil"/>
              <w:bottom w:val="dotted" w:sz="4" w:space="0" w:color="AAABD6"/>
              <w:right w:val="single" w:sz="4" w:space="0" w:color="AAABD6"/>
            </w:tcBorders>
            <w:shd w:val="clear" w:color="auto" w:fill="auto"/>
          </w:tcPr>
          <w:p w14:paraId="49A93ADD"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iCs/>
                <w:color w:val="4D4DB8"/>
                <w:sz w:val="16"/>
                <w:szCs w:val="16"/>
              </w:rPr>
            </w:pPr>
            <w:r w:rsidRPr="00100F0A">
              <w:rPr>
                <w:iCs/>
                <w:color w:val="4D4DB8"/>
                <w:sz w:val="16"/>
                <w:szCs w:val="16"/>
              </w:rPr>
              <w:t>7%</w:t>
            </w:r>
          </w:p>
        </w:tc>
        <w:tc>
          <w:tcPr>
            <w:tcW w:w="0" w:type="dxa"/>
            <w:tcBorders>
              <w:top w:val="dotted" w:sz="4" w:space="0" w:color="AAABD6"/>
              <w:left w:val="single" w:sz="4" w:space="0" w:color="AAABD6"/>
              <w:bottom w:val="dotted" w:sz="4" w:space="0" w:color="AAABD6"/>
              <w:right w:val="single" w:sz="4" w:space="0" w:color="AAABD6"/>
            </w:tcBorders>
          </w:tcPr>
          <w:p w14:paraId="7C43FEE2"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579612B2"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9</w:t>
            </w:r>
          </w:p>
        </w:tc>
        <w:tc>
          <w:tcPr>
            <w:tcW w:w="0" w:type="dxa"/>
            <w:tcBorders>
              <w:top w:val="dotted" w:sz="4" w:space="0" w:color="AAABD6"/>
              <w:left w:val="single" w:sz="4" w:space="0" w:color="AAABD6"/>
              <w:bottom w:val="dotted" w:sz="4" w:space="0" w:color="AAABD6"/>
              <w:right w:val="single" w:sz="4" w:space="0" w:color="AAABD6"/>
            </w:tcBorders>
          </w:tcPr>
          <w:p w14:paraId="33581467"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9</w:t>
            </w:r>
          </w:p>
        </w:tc>
        <w:tc>
          <w:tcPr>
            <w:tcW w:w="0" w:type="dxa"/>
            <w:tcBorders>
              <w:top w:val="dotted" w:sz="4" w:space="0" w:color="AAABD6"/>
              <w:left w:val="single" w:sz="4" w:space="0" w:color="AAABD6"/>
              <w:bottom w:val="dotted" w:sz="4" w:space="0" w:color="AAABD6"/>
              <w:right w:val="single" w:sz="4" w:space="0" w:color="AAABD6"/>
            </w:tcBorders>
          </w:tcPr>
          <w:p w14:paraId="55136FCF"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10</w:t>
            </w:r>
          </w:p>
        </w:tc>
        <w:tc>
          <w:tcPr>
            <w:tcW w:w="0" w:type="dxa"/>
            <w:tcBorders>
              <w:top w:val="dotted" w:sz="4" w:space="0" w:color="AAABD6"/>
              <w:left w:val="single" w:sz="4" w:space="0" w:color="AAABD6"/>
              <w:bottom w:val="dotted" w:sz="4" w:space="0" w:color="AAABD6"/>
              <w:right w:val="single" w:sz="4" w:space="0" w:color="AAABD6"/>
            </w:tcBorders>
          </w:tcPr>
          <w:p w14:paraId="65B54179"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10</w:t>
            </w:r>
          </w:p>
        </w:tc>
        <w:tc>
          <w:tcPr>
            <w:tcW w:w="0" w:type="dxa"/>
            <w:tcBorders>
              <w:top w:val="dotted" w:sz="4" w:space="0" w:color="AAABD6"/>
              <w:left w:val="single" w:sz="4" w:space="0" w:color="AAABD6"/>
              <w:bottom w:val="dotted" w:sz="4" w:space="0" w:color="AAABD6"/>
              <w:right w:val="single" w:sz="4" w:space="0" w:color="AAABD6"/>
            </w:tcBorders>
          </w:tcPr>
          <w:p w14:paraId="759DA0A9"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3,993</w:t>
            </w:r>
          </w:p>
        </w:tc>
        <w:tc>
          <w:tcPr>
            <w:tcW w:w="0" w:type="dxa"/>
            <w:tcBorders>
              <w:top w:val="dotted" w:sz="4" w:space="0" w:color="AAABD6"/>
              <w:left w:val="single" w:sz="4" w:space="0" w:color="AAABD6"/>
              <w:bottom w:val="dotted" w:sz="4" w:space="0" w:color="AAABD6"/>
              <w:right w:val="single" w:sz="4" w:space="0" w:color="AAABD6"/>
            </w:tcBorders>
          </w:tcPr>
          <w:p w14:paraId="3B296E34"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4,161</w:t>
            </w:r>
          </w:p>
        </w:tc>
        <w:tc>
          <w:tcPr>
            <w:tcW w:w="0" w:type="dxa"/>
            <w:tcBorders>
              <w:top w:val="dotted" w:sz="4" w:space="0" w:color="AAABD6"/>
              <w:left w:val="single" w:sz="4" w:space="0" w:color="AAABD6"/>
              <w:bottom w:val="dotted" w:sz="4" w:space="0" w:color="AAABD6"/>
              <w:right w:val="single" w:sz="4" w:space="0" w:color="AAABD6"/>
            </w:tcBorders>
          </w:tcPr>
          <w:p w14:paraId="3F758FA4"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4,335</w:t>
            </w:r>
          </w:p>
        </w:tc>
        <w:tc>
          <w:tcPr>
            <w:tcW w:w="0" w:type="dxa"/>
            <w:tcBorders>
              <w:top w:val="dotted" w:sz="4" w:space="0" w:color="AAABD6"/>
              <w:left w:val="single" w:sz="4" w:space="0" w:color="AAABD6"/>
              <w:bottom w:val="dotted" w:sz="4" w:space="0" w:color="AAABD6"/>
              <w:right w:val="single" w:sz="4" w:space="0" w:color="AAABD6"/>
            </w:tcBorders>
          </w:tcPr>
          <w:p w14:paraId="1C145CC0"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4,517</w:t>
            </w:r>
          </w:p>
        </w:tc>
        <w:tc>
          <w:tcPr>
            <w:tcW w:w="0" w:type="dxa"/>
            <w:tcBorders>
              <w:top w:val="dotted" w:sz="4" w:space="0" w:color="AAABD6"/>
              <w:left w:val="single" w:sz="4" w:space="0" w:color="AAABD6"/>
              <w:bottom w:val="dotted" w:sz="4" w:space="0" w:color="AAABD6"/>
              <w:right w:val="single" w:sz="4" w:space="0" w:color="AAABD6"/>
            </w:tcBorders>
          </w:tcPr>
          <w:p w14:paraId="5436E0E1"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4,707</w:t>
            </w:r>
          </w:p>
        </w:tc>
        <w:tc>
          <w:tcPr>
            <w:tcW w:w="0" w:type="dxa"/>
            <w:tcBorders>
              <w:top w:val="dotted" w:sz="4" w:space="0" w:color="AAABD6"/>
              <w:left w:val="single" w:sz="4" w:space="0" w:color="AAABD6"/>
              <w:bottom w:val="dotted" w:sz="4" w:space="0" w:color="AAABD6"/>
              <w:right w:val="single" w:sz="4" w:space="0" w:color="AAABD6"/>
            </w:tcBorders>
          </w:tcPr>
          <w:p w14:paraId="585DFB3E"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4,904</w:t>
            </w:r>
          </w:p>
        </w:tc>
        <w:tc>
          <w:tcPr>
            <w:tcW w:w="0" w:type="dxa"/>
            <w:tcBorders>
              <w:top w:val="dotted" w:sz="4" w:space="0" w:color="AAABD6"/>
              <w:left w:val="single" w:sz="4" w:space="0" w:color="AAABD6"/>
              <w:bottom w:val="dotted" w:sz="4" w:space="0" w:color="AAABD6"/>
              <w:right w:val="single" w:sz="4" w:space="0" w:color="AAABD6"/>
            </w:tcBorders>
          </w:tcPr>
          <w:p w14:paraId="287C5BC2"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5,110</w:t>
            </w:r>
          </w:p>
        </w:tc>
        <w:tc>
          <w:tcPr>
            <w:tcW w:w="0" w:type="dxa"/>
            <w:tcBorders>
              <w:top w:val="dotted" w:sz="4" w:space="0" w:color="AAABD6"/>
              <w:left w:val="single" w:sz="4" w:space="0" w:color="AAABD6"/>
              <w:bottom w:val="dotted" w:sz="4" w:space="0" w:color="AAABD6"/>
              <w:right w:val="single" w:sz="4" w:space="0" w:color="AAABD6"/>
            </w:tcBorders>
          </w:tcPr>
          <w:p w14:paraId="45D8D9F9"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5,325</w:t>
            </w:r>
          </w:p>
        </w:tc>
        <w:tc>
          <w:tcPr>
            <w:tcW w:w="0" w:type="dxa"/>
            <w:tcBorders>
              <w:top w:val="dotted" w:sz="4" w:space="0" w:color="AAABD6"/>
              <w:left w:val="single" w:sz="4" w:space="0" w:color="AAABD6"/>
              <w:bottom w:val="dotted" w:sz="4" w:space="0" w:color="AAABD6"/>
              <w:right w:val="single" w:sz="4" w:space="0" w:color="AAABD6"/>
            </w:tcBorders>
          </w:tcPr>
          <w:p w14:paraId="2B2EFDA6"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5,548</w:t>
            </w:r>
          </w:p>
        </w:tc>
        <w:tc>
          <w:tcPr>
            <w:tcW w:w="0" w:type="dxa"/>
            <w:tcBorders>
              <w:top w:val="dotted" w:sz="4" w:space="0" w:color="AAABD6"/>
              <w:left w:val="single" w:sz="4" w:space="0" w:color="AAABD6"/>
              <w:bottom w:val="dotted" w:sz="4" w:space="0" w:color="AAABD6"/>
              <w:right w:val="single" w:sz="4" w:space="0" w:color="AAABD6"/>
            </w:tcBorders>
          </w:tcPr>
          <w:p w14:paraId="44C59B20"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5,781</w:t>
            </w:r>
          </w:p>
        </w:tc>
        <w:tc>
          <w:tcPr>
            <w:tcW w:w="0" w:type="dxa"/>
            <w:tcBorders>
              <w:top w:val="dotted" w:sz="4" w:space="0" w:color="AAABD6"/>
              <w:left w:val="single" w:sz="4" w:space="0" w:color="AAABD6"/>
              <w:bottom w:val="dotted" w:sz="4" w:space="0" w:color="AAABD6"/>
              <w:right w:val="single" w:sz="4" w:space="0" w:color="AAABD6"/>
            </w:tcBorders>
          </w:tcPr>
          <w:p w14:paraId="6BDD01F3"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6,024</w:t>
            </w:r>
          </w:p>
        </w:tc>
        <w:tc>
          <w:tcPr>
            <w:tcW w:w="0" w:type="dxa"/>
            <w:tcBorders>
              <w:top w:val="dotted" w:sz="4" w:space="0" w:color="AAABD6"/>
              <w:left w:val="single" w:sz="4" w:space="0" w:color="AAABD6"/>
              <w:bottom w:val="dotted" w:sz="4" w:space="0" w:color="AAABD6"/>
              <w:right w:val="single" w:sz="4" w:space="0" w:color="AAABD6"/>
            </w:tcBorders>
          </w:tcPr>
          <w:p w14:paraId="18A0B3A0"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6,276</w:t>
            </w:r>
          </w:p>
        </w:tc>
        <w:tc>
          <w:tcPr>
            <w:tcW w:w="0" w:type="dxa"/>
            <w:tcBorders>
              <w:top w:val="dotted" w:sz="4" w:space="0" w:color="AAABD6"/>
              <w:left w:val="single" w:sz="4" w:space="0" w:color="AAABD6"/>
              <w:bottom w:val="dotted" w:sz="4" w:space="0" w:color="AAABD6"/>
              <w:right w:val="single" w:sz="4" w:space="0" w:color="AAABD6"/>
            </w:tcBorders>
          </w:tcPr>
          <w:p w14:paraId="6817CDC6"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6,540</w:t>
            </w:r>
          </w:p>
        </w:tc>
        <w:tc>
          <w:tcPr>
            <w:tcW w:w="0" w:type="dxa"/>
            <w:tcBorders>
              <w:top w:val="dotted" w:sz="4" w:space="0" w:color="AAABD6"/>
              <w:left w:val="single" w:sz="4" w:space="0" w:color="AAABD6"/>
              <w:bottom w:val="dotted" w:sz="4" w:space="0" w:color="AAABD6"/>
              <w:right w:val="single" w:sz="4" w:space="0" w:color="AAABD6"/>
            </w:tcBorders>
          </w:tcPr>
          <w:p w14:paraId="743E1E29"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6,814</w:t>
            </w:r>
          </w:p>
        </w:tc>
      </w:tr>
      <w:tr w:rsidR="005B545D" w:rsidRPr="00100F0A" w14:paraId="0C9930BC"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tcPr>
          <w:p w14:paraId="4AD356D0" w14:textId="77777777" w:rsidR="002169F6" w:rsidRPr="00100F0A" w:rsidRDefault="002169F6" w:rsidP="002169F6">
            <w:pPr>
              <w:rPr>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28B64248"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Tas</w:t>
            </w:r>
          </w:p>
        </w:tc>
        <w:tc>
          <w:tcPr>
            <w:tcW w:w="0" w:type="dxa"/>
            <w:vMerge/>
            <w:tcBorders>
              <w:left w:val="single" w:sz="4" w:space="0" w:color="AAABD6"/>
              <w:right w:val="single" w:sz="4" w:space="0" w:color="AAABD6"/>
            </w:tcBorders>
          </w:tcPr>
          <w:p w14:paraId="73197A07"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dotted" w:sz="4" w:space="0" w:color="AAABD6"/>
              <w:left w:val="single" w:sz="4" w:space="0" w:color="AAABD6"/>
              <w:bottom w:val="dotted" w:sz="4" w:space="0" w:color="AAABD6"/>
              <w:right w:val="nil"/>
            </w:tcBorders>
            <w:shd w:val="clear" w:color="auto" w:fill="auto"/>
          </w:tcPr>
          <w:p w14:paraId="336B4F63"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tc>
        <w:tc>
          <w:tcPr>
            <w:tcW w:w="0" w:type="dxa"/>
            <w:tcBorders>
              <w:top w:val="dotted" w:sz="4" w:space="0" w:color="AAABD6"/>
              <w:left w:val="nil"/>
              <w:bottom w:val="dotted" w:sz="4" w:space="0" w:color="AAABD6"/>
              <w:right w:val="single" w:sz="4" w:space="0" w:color="AAABD6"/>
            </w:tcBorders>
            <w:shd w:val="clear" w:color="auto" w:fill="auto"/>
          </w:tcPr>
          <w:p w14:paraId="36D151B9"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iCs/>
                <w:color w:val="4D4DB8"/>
                <w:sz w:val="16"/>
                <w:szCs w:val="16"/>
              </w:rPr>
            </w:pPr>
            <w:r w:rsidRPr="00100F0A">
              <w:rPr>
                <w:iCs/>
                <w:color w:val="4D4DB8"/>
                <w:sz w:val="16"/>
                <w:szCs w:val="16"/>
              </w:rPr>
              <w:t>2%</w:t>
            </w:r>
          </w:p>
        </w:tc>
        <w:tc>
          <w:tcPr>
            <w:tcW w:w="0" w:type="dxa"/>
            <w:tcBorders>
              <w:top w:val="dotted" w:sz="4" w:space="0" w:color="AAABD6"/>
              <w:left w:val="single" w:sz="4" w:space="0" w:color="AAABD6"/>
              <w:bottom w:val="dotted" w:sz="4" w:space="0" w:color="AAABD6"/>
              <w:right w:val="single" w:sz="4" w:space="0" w:color="AAABD6"/>
            </w:tcBorders>
          </w:tcPr>
          <w:p w14:paraId="1738E7FF"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7D28E78B"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w:t>
            </w:r>
          </w:p>
        </w:tc>
        <w:tc>
          <w:tcPr>
            <w:tcW w:w="0" w:type="dxa"/>
            <w:tcBorders>
              <w:top w:val="dotted" w:sz="4" w:space="0" w:color="AAABD6"/>
              <w:left w:val="single" w:sz="4" w:space="0" w:color="AAABD6"/>
              <w:bottom w:val="dotted" w:sz="4" w:space="0" w:color="AAABD6"/>
              <w:right w:val="single" w:sz="4" w:space="0" w:color="AAABD6"/>
            </w:tcBorders>
          </w:tcPr>
          <w:p w14:paraId="2547AB65"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w:t>
            </w:r>
          </w:p>
        </w:tc>
        <w:tc>
          <w:tcPr>
            <w:tcW w:w="0" w:type="dxa"/>
            <w:tcBorders>
              <w:top w:val="dotted" w:sz="4" w:space="0" w:color="AAABD6"/>
              <w:left w:val="single" w:sz="4" w:space="0" w:color="AAABD6"/>
              <w:bottom w:val="dotted" w:sz="4" w:space="0" w:color="AAABD6"/>
              <w:right w:val="single" w:sz="4" w:space="0" w:color="AAABD6"/>
            </w:tcBorders>
          </w:tcPr>
          <w:p w14:paraId="49870ABF"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w:t>
            </w:r>
          </w:p>
        </w:tc>
        <w:tc>
          <w:tcPr>
            <w:tcW w:w="0" w:type="dxa"/>
            <w:tcBorders>
              <w:top w:val="dotted" w:sz="4" w:space="0" w:color="AAABD6"/>
              <w:left w:val="single" w:sz="4" w:space="0" w:color="AAABD6"/>
              <w:bottom w:val="dotted" w:sz="4" w:space="0" w:color="AAABD6"/>
              <w:right w:val="single" w:sz="4" w:space="0" w:color="AAABD6"/>
            </w:tcBorders>
          </w:tcPr>
          <w:p w14:paraId="5CB41F0C"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w:t>
            </w:r>
          </w:p>
        </w:tc>
        <w:tc>
          <w:tcPr>
            <w:tcW w:w="0" w:type="dxa"/>
            <w:tcBorders>
              <w:top w:val="dotted" w:sz="4" w:space="0" w:color="AAABD6"/>
              <w:left w:val="single" w:sz="4" w:space="0" w:color="AAABD6"/>
              <w:bottom w:val="dotted" w:sz="4" w:space="0" w:color="AAABD6"/>
              <w:right w:val="single" w:sz="4" w:space="0" w:color="AAABD6"/>
            </w:tcBorders>
          </w:tcPr>
          <w:p w14:paraId="0517EB27"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1,187</w:t>
            </w:r>
          </w:p>
        </w:tc>
        <w:tc>
          <w:tcPr>
            <w:tcW w:w="0" w:type="dxa"/>
            <w:tcBorders>
              <w:top w:val="dotted" w:sz="4" w:space="0" w:color="AAABD6"/>
              <w:left w:val="single" w:sz="4" w:space="0" w:color="AAABD6"/>
              <w:bottom w:val="dotted" w:sz="4" w:space="0" w:color="AAABD6"/>
              <w:right w:val="single" w:sz="4" w:space="0" w:color="AAABD6"/>
            </w:tcBorders>
          </w:tcPr>
          <w:p w14:paraId="01A4D7D7"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1,237</w:t>
            </w:r>
          </w:p>
        </w:tc>
        <w:tc>
          <w:tcPr>
            <w:tcW w:w="0" w:type="dxa"/>
            <w:tcBorders>
              <w:top w:val="dotted" w:sz="4" w:space="0" w:color="AAABD6"/>
              <w:left w:val="single" w:sz="4" w:space="0" w:color="AAABD6"/>
              <w:bottom w:val="dotted" w:sz="4" w:space="0" w:color="AAABD6"/>
              <w:right w:val="single" w:sz="4" w:space="0" w:color="AAABD6"/>
            </w:tcBorders>
          </w:tcPr>
          <w:p w14:paraId="2BF90E13"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1,289</w:t>
            </w:r>
          </w:p>
        </w:tc>
        <w:tc>
          <w:tcPr>
            <w:tcW w:w="0" w:type="dxa"/>
            <w:tcBorders>
              <w:top w:val="dotted" w:sz="4" w:space="0" w:color="AAABD6"/>
              <w:left w:val="single" w:sz="4" w:space="0" w:color="AAABD6"/>
              <w:bottom w:val="dotted" w:sz="4" w:space="0" w:color="AAABD6"/>
              <w:right w:val="single" w:sz="4" w:space="0" w:color="AAABD6"/>
            </w:tcBorders>
          </w:tcPr>
          <w:p w14:paraId="0C9DC6DF"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1,343</w:t>
            </w:r>
          </w:p>
        </w:tc>
        <w:tc>
          <w:tcPr>
            <w:tcW w:w="0" w:type="dxa"/>
            <w:tcBorders>
              <w:top w:val="dotted" w:sz="4" w:space="0" w:color="AAABD6"/>
              <w:left w:val="single" w:sz="4" w:space="0" w:color="AAABD6"/>
              <w:bottom w:val="dotted" w:sz="4" w:space="0" w:color="AAABD6"/>
              <w:right w:val="single" w:sz="4" w:space="0" w:color="AAABD6"/>
            </w:tcBorders>
          </w:tcPr>
          <w:p w14:paraId="1BE3216F"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1,400</w:t>
            </w:r>
          </w:p>
        </w:tc>
        <w:tc>
          <w:tcPr>
            <w:tcW w:w="0" w:type="dxa"/>
            <w:tcBorders>
              <w:top w:val="dotted" w:sz="4" w:space="0" w:color="AAABD6"/>
              <w:left w:val="single" w:sz="4" w:space="0" w:color="AAABD6"/>
              <w:bottom w:val="dotted" w:sz="4" w:space="0" w:color="AAABD6"/>
              <w:right w:val="single" w:sz="4" w:space="0" w:color="AAABD6"/>
            </w:tcBorders>
          </w:tcPr>
          <w:p w14:paraId="738654EF"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1,458</w:t>
            </w:r>
          </w:p>
        </w:tc>
        <w:tc>
          <w:tcPr>
            <w:tcW w:w="0" w:type="dxa"/>
            <w:tcBorders>
              <w:top w:val="dotted" w:sz="4" w:space="0" w:color="AAABD6"/>
              <w:left w:val="single" w:sz="4" w:space="0" w:color="AAABD6"/>
              <w:bottom w:val="dotted" w:sz="4" w:space="0" w:color="AAABD6"/>
              <w:right w:val="single" w:sz="4" w:space="0" w:color="AAABD6"/>
            </w:tcBorders>
          </w:tcPr>
          <w:p w14:paraId="03754076"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1,520</w:t>
            </w:r>
          </w:p>
        </w:tc>
        <w:tc>
          <w:tcPr>
            <w:tcW w:w="0" w:type="dxa"/>
            <w:tcBorders>
              <w:top w:val="dotted" w:sz="4" w:space="0" w:color="AAABD6"/>
              <w:left w:val="single" w:sz="4" w:space="0" w:color="AAABD6"/>
              <w:bottom w:val="dotted" w:sz="4" w:space="0" w:color="AAABD6"/>
              <w:right w:val="single" w:sz="4" w:space="0" w:color="AAABD6"/>
            </w:tcBorders>
          </w:tcPr>
          <w:p w14:paraId="4436B2D4"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1,583</w:t>
            </w:r>
          </w:p>
        </w:tc>
        <w:tc>
          <w:tcPr>
            <w:tcW w:w="0" w:type="dxa"/>
            <w:tcBorders>
              <w:top w:val="dotted" w:sz="4" w:space="0" w:color="AAABD6"/>
              <w:left w:val="single" w:sz="4" w:space="0" w:color="AAABD6"/>
              <w:bottom w:val="dotted" w:sz="4" w:space="0" w:color="AAABD6"/>
              <w:right w:val="single" w:sz="4" w:space="0" w:color="AAABD6"/>
            </w:tcBorders>
          </w:tcPr>
          <w:p w14:paraId="01773F31"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1,650</w:t>
            </w:r>
          </w:p>
        </w:tc>
        <w:tc>
          <w:tcPr>
            <w:tcW w:w="0" w:type="dxa"/>
            <w:tcBorders>
              <w:top w:val="dotted" w:sz="4" w:space="0" w:color="AAABD6"/>
              <w:left w:val="single" w:sz="4" w:space="0" w:color="AAABD6"/>
              <w:bottom w:val="dotted" w:sz="4" w:space="0" w:color="AAABD6"/>
              <w:right w:val="single" w:sz="4" w:space="0" w:color="AAABD6"/>
            </w:tcBorders>
          </w:tcPr>
          <w:p w14:paraId="56BFFBEA"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1,719</w:t>
            </w:r>
          </w:p>
        </w:tc>
        <w:tc>
          <w:tcPr>
            <w:tcW w:w="0" w:type="dxa"/>
            <w:tcBorders>
              <w:top w:val="dotted" w:sz="4" w:space="0" w:color="AAABD6"/>
              <w:left w:val="single" w:sz="4" w:space="0" w:color="AAABD6"/>
              <w:bottom w:val="dotted" w:sz="4" w:space="0" w:color="AAABD6"/>
              <w:right w:val="single" w:sz="4" w:space="0" w:color="AAABD6"/>
            </w:tcBorders>
          </w:tcPr>
          <w:p w14:paraId="1E3013EE"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1,791</w:t>
            </w:r>
          </w:p>
        </w:tc>
        <w:tc>
          <w:tcPr>
            <w:tcW w:w="0" w:type="dxa"/>
            <w:tcBorders>
              <w:top w:val="dotted" w:sz="4" w:space="0" w:color="AAABD6"/>
              <w:left w:val="single" w:sz="4" w:space="0" w:color="AAABD6"/>
              <w:bottom w:val="dotted" w:sz="4" w:space="0" w:color="AAABD6"/>
              <w:right w:val="single" w:sz="4" w:space="0" w:color="AAABD6"/>
            </w:tcBorders>
          </w:tcPr>
          <w:p w14:paraId="35796130"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1,867</w:t>
            </w:r>
          </w:p>
        </w:tc>
        <w:tc>
          <w:tcPr>
            <w:tcW w:w="0" w:type="dxa"/>
            <w:tcBorders>
              <w:top w:val="dotted" w:sz="4" w:space="0" w:color="AAABD6"/>
              <w:left w:val="single" w:sz="4" w:space="0" w:color="AAABD6"/>
              <w:bottom w:val="dotted" w:sz="4" w:space="0" w:color="AAABD6"/>
              <w:right w:val="single" w:sz="4" w:space="0" w:color="AAABD6"/>
            </w:tcBorders>
          </w:tcPr>
          <w:p w14:paraId="0C922C1B"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1,945</w:t>
            </w:r>
          </w:p>
        </w:tc>
        <w:tc>
          <w:tcPr>
            <w:tcW w:w="0" w:type="dxa"/>
            <w:tcBorders>
              <w:top w:val="dotted" w:sz="4" w:space="0" w:color="AAABD6"/>
              <w:left w:val="single" w:sz="4" w:space="0" w:color="AAABD6"/>
              <w:bottom w:val="dotted" w:sz="4" w:space="0" w:color="AAABD6"/>
              <w:right w:val="single" w:sz="4" w:space="0" w:color="AAABD6"/>
            </w:tcBorders>
          </w:tcPr>
          <w:p w14:paraId="5EB2CE17"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2,026</w:t>
            </w:r>
          </w:p>
        </w:tc>
      </w:tr>
      <w:tr w:rsidR="005B545D" w:rsidRPr="00100F0A" w14:paraId="7ED0D8FC"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tcPr>
          <w:p w14:paraId="6BEF50BF" w14:textId="77777777" w:rsidR="002169F6" w:rsidRPr="00100F0A" w:rsidRDefault="002169F6" w:rsidP="002169F6">
            <w:pPr>
              <w:rPr>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56F98EEB"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Vic</w:t>
            </w:r>
          </w:p>
        </w:tc>
        <w:tc>
          <w:tcPr>
            <w:tcW w:w="0" w:type="dxa"/>
            <w:vMerge/>
            <w:tcBorders>
              <w:left w:val="single" w:sz="4" w:space="0" w:color="AAABD6"/>
              <w:right w:val="single" w:sz="4" w:space="0" w:color="AAABD6"/>
            </w:tcBorders>
          </w:tcPr>
          <w:p w14:paraId="3EECBDFD"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dotted" w:sz="4" w:space="0" w:color="AAABD6"/>
              <w:left w:val="single" w:sz="4" w:space="0" w:color="AAABD6"/>
              <w:bottom w:val="dotted" w:sz="4" w:space="0" w:color="AAABD6"/>
              <w:right w:val="nil"/>
            </w:tcBorders>
            <w:shd w:val="clear" w:color="auto" w:fill="auto"/>
          </w:tcPr>
          <w:p w14:paraId="1B416CFA"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tc>
        <w:tc>
          <w:tcPr>
            <w:tcW w:w="0" w:type="dxa"/>
            <w:tcBorders>
              <w:top w:val="dotted" w:sz="4" w:space="0" w:color="AAABD6"/>
              <w:left w:val="nil"/>
              <w:bottom w:val="dotted" w:sz="4" w:space="0" w:color="AAABD6"/>
              <w:right w:val="single" w:sz="4" w:space="0" w:color="AAABD6"/>
            </w:tcBorders>
            <w:shd w:val="clear" w:color="auto" w:fill="auto"/>
          </w:tcPr>
          <w:p w14:paraId="37FE7309"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iCs/>
                <w:color w:val="4D4DB8"/>
                <w:sz w:val="16"/>
                <w:szCs w:val="16"/>
              </w:rPr>
            </w:pPr>
            <w:r w:rsidRPr="00100F0A">
              <w:rPr>
                <w:iCs/>
                <w:color w:val="4D4DB8"/>
                <w:sz w:val="16"/>
                <w:szCs w:val="16"/>
              </w:rPr>
              <w:t>25%</w:t>
            </w:r>
          </w:p>
        </w:tc>
        <w:tc>
          <w:tcPr>
            <w:tcW w:w="0" w:type="dxa"/>
            <w:tcBorders>
              <w:top w:val="dotted" w:sz="4" w:space="0" w:color="AAABD6"/>
              <w:left w:val="single" w:sz="4" w:space="0" w:color="AAABD6"/>
              <w:bottom w:val="dotted" w:sz="4" w:space="0" w:color="AAABD6"/>
              <w:right w:val="single" w:sz="4" w:space="0" w:color="AAABD6"/>
            </w:tcBorders>
          </w:tcPr>
          <w:p w14:paraId="378FED4C"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278F4BF6"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33</w:t>
            </w:r>
          </w:p>
        </w:tc>
        <w:tc>
          <w:tcPr>
            <w:tcW w:w="0" w:type="dxa"/>
            <w:tcBorders>
              <w:top w:val="dotted" w:sz="4" w:space="0" w:color="AAABD6"/>
              <w:left w:val="single" w:sz="4" w:space="0" w:color="AAABD6"/>
              <w:bottom w:val="dotted" w:sz="4" w:space="0" w:color="AAABD6"/>
              <w:right w:val="single" w:sz="4" w:space="0" w:color="AAABD6"/>
            </w:tcBorders>
          </w:tcPr>
          <w:p w14:paraId="3F61DD8E"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34</w:t>
            </w:r>
          </w:p>
        </w:tc>
        <w:tc>
          <w:tcPr>
            <w:tcW w:w="0" w:type="dxa"/>
            <w:tcBorders>
              <w:top w:val="dotted" w:sz="4" w:space="0" w:color="AAABD6"/>
              <w:left w:val="single" w:sz="4" w:space="0" w:color="AAABD6"/>
              <w:bottom w:val="dotted" w:sz="4" w:space="0" w:color="AAABD6"/>
              <w:right w:val="single" w:sz="4" w:space="0" w:color="AAABD6"/>
            </w:tcBorders>
          </w:tcPr>
          <w:p w14:paraId="287D6B7A"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35</w:t>
            </w:r>
          </w:p>
        </w:tc>
        <w:tc>
          <w:tcPr>
            <w:tcW w:w="0" w:type="dxa"/>
            <w:tcBorders>
              <w:top w:val="dotted" w:sz="4" w:space="0" w:color="AAABD6"/>
              <w:left w:val="single" w:sz="4" w:space="0" w:color="AAABD6"/>
              <w:bottom w:val="dotted" w:sz="4" w:space="0" w:color="AAABD6"/>
              <w:right w:val="single" w:sz="4" w:space="0" w:color="AAABD6"/>
            </w:tcBorders>
          </w:tcPr>
          <w:p w14:paraId="6E90E775"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37</w:t>
            </w:r>
          </w:p>
        </w:tc>
        <w:tc>
          <w:tcPr>
            <w:tcW w:w="0" w:type="dxa"/>
            <w:tcBorders>
              <w:top w:val="dotted" w:sz="4" w:space="0" w:color="AAABD6"/>
              <w:left w:val="single" w:sz="4" w:space="0" w:color="AAABD6"/>
              <w:bottom w:val="dotted" w:sz="4" w:space="0" w:color="AAABD6"/>
              <w:right w:val="single" w:sz="4" w:space="0" w:color="AAABD6"/>
            </w:tcBorders>
          </w:tcPr>
          <w:p w14:paraId="480C5FED"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14,360</w:t>
            </w:r>
          </w:p>
        </w:tc>
        <w:tc>
          <w:tcPr>
            <w:tcW w:w="0" w:type="dxa"/>
            <w:tcBorders>
              <w:top w:val="dotted" w:sz="4" w:space="0" w:color="AAABD6"/>
              <w:left w:val="single" w:sz="4" w:space="0" w:color="AAABD6"/>
              <w:bottom w:val="dotted" w:sz="4" w:space="0" w:color="AAABD6"/>
              <w:right w:val="single" w:sz="4" w:space="0" w:color="AAABD6"/>
            </w:tcBorders>
          </w:tcPr>
          <w:p w14:paraId="1DC8DAA5"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14,963</w:t>
            </w:r>
          </w:p>
        </w:tc>
        <w:tc>
          <w:tcPr>
            <w:tcW w:w="0" w:type="dxa"/>
            <w:tcBorders>
              <w:top w:val="dotted" w:sz="4" w:space="0" w:color="AAABD6"/>
              <w:left w:val="single" w:sz="4" w:space="0" w:color="AAABD6"/>
              <w:bottom w:val="dotted" w:sz="4" w:space="0" w:color="AAABD6"/>
              <w:right w:val="single" w:sz="4" w:space="0" w:color="AAABD6"/>
            </w:tcBorders>
          </w:tcPr>
          <w:p w14:paraId="3D78B3B9"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15,591</w:t>
            </w:r>
          </w:p>
        </w:tc>
        <w:tc>
          <w:tcPr>
            <w:tcW w:w="0" w:type="dxa"/>
            <w:tcBorders>
              <w:top w:val="dotted" w:sz="4" w:space="0" w:color="AAABD6"/>
              <w:left w:val="single" w:sz="4" w:space="0" w:color="AAABD6"/>
              <w:bottom w:val="dotted" w:sz="4" w:space="0" w:color="AAABD6"/>
              <w:right w:val="single" w:sz="4" w:space="0" w:color="AAABD6"/>
            </w:tcBorders>
          </w:tcPr>
          <w:p w14:paraId="5A939A7F"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16,245</w:t>
            </w:r>
          </w:p>
        </w:tc>
        <w:tc>
          <w:tcPr>
            <w:tcW w:w="0" w:type="dxa"/>
            <w:tcBorders>
              <w:top w:val="dotted" w:sz="4" w:space="0" w:color="AAABD6"/>
              <w:left w:val="single" w:sz="4" w:space="0" w:color="AAABD6"/>
              <w:bottom w:val="dotted" w:sz="4" w:space="0" w:color="AAABD6"/>
              <w:right w:val="single" w:sz="4" w:space="0" w:color="AAABD6"/>
            </w:tcBorders>
          </w:tcPr>
          <w:p w14:paraId="6B9ACF41"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16,927</w:t>
            </w:r>
          </w:p>
        </w:tc>
        <w:tc>
          <w:tcPr>
            <w:tcW w:w="0" w:type="dxa"/>
            <w:tcBorders>
              <w:top w:val="dotted" w:sz="4" w:space="0" w:color="AAABD6"/>
              <w:left w:val="single" w:sz="4" w:space="0" w:color="AAABD6"/>
              <w:bottom w:val="dotted" w:sz="4" w:space="0" w:color="AAABD6"/>
              <w:right w:val="single" w:sz="4" w:space="0" w:color="AAABD6"/>
            </w:tcBorders>
          </w:tcPr>
          <w:p w14:paraId="2D0DD7A4"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17,637</w:t>
            </w:r>
          </w:p>
        </w:tc>
        <w:tc>
          <w:tcPr>
            <w:tcW w:w="0" w:type="dxa"/>
            <w:tcBorders>
              <w:top w:val="dotted" w:sz="4" w:space="0" w:color="AAABD6"/>
              <w:left w:val="single" w:sz="4" w:space="0" w:color="AAABD6"/>
              <w:bottom w:val="dotted" w:sz="4" w:space="0" w:color="AAABD6"/>
              <w:right w:val="single" w:sz="4" w:space="0" w:color="AAABD6"/>
            </w:tcBorders>
          </w:tcPr>
          <w:p w14:paraId="07167F21"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18,378</w:t>
            </w:r>
          </w:p>
        </w:tc>
        <w:tc>
          <w:tcPr>
            <w:tcW w:w="0" w:type="dxa"/>
            <w:tcBorders>
              <w:top w:val="dotted" w:sz="4" w:space="0" w:color="AAABD6"/>
              <w:left w:val="single" w:sz="4" w:space="0" w:color="AAABD6"/>
              <w:bottom w:val="dotted" w:sz="4" w:space="0" w:color="AAABD6"/>
              <w:right w:val="single" w:sz="4" w:space="0" w:color="AAABD6"/>
            </w:tcBorders>
          </w:tcPr>
          <w:p w14:paraId="0517D295"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19,149</w:t>
            </w:r>
          </w:p>
        </w:tc>
        <w:tc>
          <w:tcPr>
            <w:tcW w:w="0" w:type="dxa"/>
            <w:tcBorders>
              <w:top w:val="dotted" w:sz="4" w:space="0" w:color="AAABD6"/>
              <w:left w:val="single" w:sz="4" w:space="0" w:color="AAABD6"/>
              <w:bottom w:val="dotted" w:sz="4" w:space="0" w:color="AAABD6"/>
              <w:right w:val="single" w:sz="4" w:space="0" w:color="AAABD6"/>
            </w:tcBorders>
          </w:tcPr>
          <w:p w14:paraId="7DF65D71"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19,952</w:t>
            </w:r>
          </w:p>
        </w:tc>
        <w:tc>
          <w:tcPr>
            <w:tcW w:w="0" w:type="dxa"/>
            <w:tcBorders>
              <w:top w:val="dotted" w:sz="4" w:space="0" w:color="AAABD6"/>
              <w:left w:val="single" w:sz="4" w:space="0" w:color="AAABD6"/>
              <w:bottom w:val="dotted" w:sz="4" w:space="0" w:color="AAABD6"/>
              <w:right w:val="single" w:sz="4" w:space="0" w:color="AAABD6"/>
            </w:tcBorders>
          </w:tcPr>
          <w:p w14:paraId="6F6BA48B"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20,790</w:t>
            </w:r>
          </w:p>
        </w:tc>
        <w:tc>
          <w:tcPr>
            <w:tcW w:w="0" w:type="dxa"/>
            <w:tcBorders>
              <w:top w:val="dotted" w:sz="4" w:space="0" w:color="AAABD6"/>
              <w:left w:val="single" w:sz="4" w:space="0" w:color="AAABD6"/>
              <w:bottom w:val="dotted" w:sz="4" w:space="0" w:color="AAABD6"/>
              <w:right w:val="single" w:sz="4" w:space="0" w:color="AAABD6"/>
            </w:tcBorders>
          </w:tcPr>
          <w:p w14:paraId="0F94694D"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21,662</w:t>
            </w:r>
          </w:p>
        </w:tc>
        <w:tc>
          <w:tcPr>
            <w:tcW w:w="0" w:type="dxa"/>
            <w:tcBorders>
              <w:top w:val="dotted" w:sz="4" w:space="0" w:color="AAABD6"/>
              <w:left w:val="single" w:sz="4" w:space="0" w:color="AAABD6"/>
              <w:bottom w:val="dotted" w:sz="4" w:space="0" w:color="AAABD6"/>
              <w:right w:val="single" w:sz="4" w:space="0" w:color="AAABD6"/>
            </w:tcBorders>
          </w:tcPr>
          <w:p w14:paraId="4B986BBD"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22,572</w:t>
            </w:r>
          </w:p>
        </w:tc>
        <w:tc>
          <w:tcPr>
            <w:tcW w:w="0" w:type="dxa"/>
            <w:tcBorders>
              <w:top w:val="dotted" w:sz="4" w:space="0" w:color="AAABD6"/>
              <w:left w:val="single" w:sz="4" w:space="0" w:color="AAABD6"/>
              <w:bottom w:val="dotted" w:sz="4" w:space="0" w:color="AAABD6"/>
              <w:right w:val="single" w:sz="4" w:space="0" w:color="AAABD6"/>
            </w:tcBorders>
          </w:tcPr>
          <w:p w14:paraId="316A176A"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23,519</w:t>
            </w:r>
          </w:p>
        </w:tc>
        <w:tc>
          <w:tcPr>
            <w:tcW w:w="0" w:type="dxa"/>
            <w:tcBorders>
              <w:top w:val="dotted" w:sz="4" w:space="0" w:color="AAABD6"/>
              <w:left w:val="single" w:sz="4" w:space="0" w:color="AAABD6"/>
              <w:bottom w:val="dotted" w:sz="4" w:space="0" w:color="AAABD6"/>
              <w:right w:val="single" w:sz="4" w:space="0" w:color="AAABD6"/>
            </w:tcBorders>
          </w:tcPr>
          <w:p w14:paraId="4E110A9C"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24,506</w:t>
            </w:r>
          </w:p>
        </w:tc>
      </w:tr>
      <w:tr w:rsidR="005B545D" w:rsidRPr="00100F0A" w14:paraId="440B0D33"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bottom w:val="single" w:sz="4" w:space="0" w:color="AAABD6"/>
              <w:right w:val="single" w:sz="4" w:space="0" w:color="AAABD6"/>
            </w:tcBorders>
          </w:tcPr>
          <w:p w14:paraId="2D214557" w14:textId="77777777" w:rsidR="002169F6" w:rsidRPr="00100F0A" w:rsidRDefault="002169F6" w:rsidP="002169F6">
            <w:pPr>
              <w:rPr>
                <w:sz w:val="16"/>
                <w:szCs w:val="16"/>
              </w:rPr>
            </w:pPr>
          </w:p>
        </w:tc>
        <w:tc>
          <w:tcPr>
            <w:tcW w:w="0" w:type="dxa"/>
            <w:tcBorders>
              <w:top w:val="dotted" w:sz="4" w:space="0" w:color="AAABD6"/>
              <w:left w:val="single" w:sz="4" w:space="0" w:color="AAABD6"/>
              <w:bottom w:val="single" w:sz="4" w:space="0" w:color="AAABD6"/>
              <w:right w:val="single" w:sz="4" w:space="0" w:color="AAABD6"/>
            </w:tcBorders>
          </w:tcPr>
          <w:p w14:paraId="706DF5F1"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WA</w:t>
            </w:r>
          </w:p>
        </w:tc>
        <w:tc>
          <w:tcPr>
            <w:tcW w:w="0" w:type="dxa"/>
            <w:vMerge/>
            <w:tcBorders>
              <w:left w:val="single" w:sz="4" w:space="0" w:color="AAABD6"/>
              <w:bottom w:val="single" w:sz="4" w:space="0" w:color="AAABD6"/>
              <w:right w:val="single" w:sz="4" w:space="0" w:color="AAABD6"/>
            </w:tcBorders>
          </w:tcPr>
          <w:p w14:paraId="45810880"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dotted" w:sz="4" w:space="0" w:color="AAABD6"/>
              <w:left w:val="single" w:sz="4" w:space="0" w:color="AAABD6"/>
              <w:bottom w:val="single" w:sz="4" w:space="0" w:color="AAABD6"/>
              <w:right w:val="nil"/>
            </w:tcBorders>
            <w:shd w:val="clear" w:color="auto" w:fill="auto"/>
          </w:tcPr>
          <w:p w14:paraId="022FEA59"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tc>
        <w:tc>
          <w:tcPr>
            <w:tcW w:w="0" w:type="dxa"/>
            <w:tcBorders>
              <w:top w:val="dotted" w:sz="4" w:space="0" w:color="AAABD6"/>
              <w:left w:val="nil"/>
              <w:bottom w:val="single" w:sz="4" w:space="0" w:color="AAABD6"/>
              <w:right w:val="single" w:sz="4" w:space="0" w:color="AAABD6"/>
            </w:tcBorders>
            <w:shd w:val="clear" w:color="auto" w:fill="auto"/>
          </w:tcPr>
          <w:p w14:paraId="033E15A1"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iCs/>
                <w:color w:val="4D4DB8"/>
                <w:sz w:val="16"/>
                <w:szCs w:val="16"/>
              </w:rPr>
            </w:pPr>
            <w:r w:rsidRPr="00100F0A">
              <w:rPr>
                <w:iCs/>
                <w:color w:val="4D4DB8"/>
                <w:sz w:val="16"/>
                <w:szCs w:val="16"/>
              </w:rPr>
              <w:t>12%</w:t>
            </w:r>
          </w:p>
        </w:tc>
        <w:tc>
          <w:tcPr>
            <w:tcW w:w="0" w:type="dxa"/>
            <w:tcBorders>
              <w:top w:val="dotted" w:sz="4" w:space="0" w:color="AAABD6"/>
              <w:left w:val="single" w:sz="4" w:space="0" w:color="AAABD6"/>
              <w:bottom w:val="single" w:sz="4" w:space="0" w:color="AAABD6"/>
              <w:right w:val="single" w:sz="4" w:space="0" w:color="AAABD6"/>
            </w:tcBorders>
          </w:tcPr>
          <w:p w14:paraId="7FD064EE"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 </w:t>
            </w:r>
          </w:p>
        </w:tc>
        <w:tc>
          <w:tcPr>
            <w:tcW w:w="0" w:type="dxa"/>
            <w:tcBorders>
              <w:top w:val="dotted" w:sz="4" w:space="0" w:color="AAABD6"/>
              <w:left w:val="single" w:sz="4" w:space="0" w:color="AAABD6"/>
              <w:bottom w:val="single" w:sz="4" w:space="0" w:color="AAABD6"/>
              <w:right w:val="single" w:sz="4" w:space="0" w:color="AAABD6"/>
            </w:tcBorders>
          </w:tcPr>
          <w:p w14:paraId="78BCEC13"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15</w:t>
            </w:r>
          </w:p>
        </w:tc>
        <w:tc>
          <w:tcPr>
            <w:tcW w:w="0" w:type="dxa"/>
            <w:tcBorders>
              <w:top w:val="dotted" w:sz="4" w:space="0" w:color="AAABD6"/>
              <w:left w:val="single" w:sz="4" w:space="0" w:color="AAABD6"/>
              <w:bottom w:val="single" w:sz="4" w:space="0" w:color="AAABD6"/>
              <w:right w:val="single" w:sz="4" w:space="0" w:color="AAABD6"/>
            </w:tcBorders>
          </w:tcPr>
          <w:p w14:paraId="02B98393"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16</w:t>
            </w:r>
          </w:p>
        </w:tc>
        <w:tc>
          <w:tcPr>
            <w:tcW w:w="0" w:type="dxa"/>
            <w:tcBorders>
              <w:top w:val="dotted" w:sz="4" w:space="0" w:color="AAABD6"/>
              <w:left w:val="single" w:sz="4" w:space="0" w:color="AAABD6"/>
              <w:bottom w:val="single" w:sz="4" w:space="0" w:color="AAABD6"/>
              <w:right w:val="single" w:sz="4" w:space="0" w:color="AAABD6"/>
            </w:tcBorders>
          </w:tcPr>
          <w:p w14:paraId="21F95CD2"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17</w:t>
            </w:r>
          </w:p>
        </w:tc>
        <w:tc>
          <w:tcPr>
            <w:tcW w:w="0" w:type="dxa"/>
            <w:tcBorders>
              <w:top w:val="dotted" w:sz="4" w:space="0" w:color="AAABD6"/>
              <w:left w:val="single" w:sz="4" w:space="0" w:color="AAABD6"/>
              <w:bottom w:val="single" w:sz="4" w:space="0" w:color="AAABD6"/>
              <w:right w:val="single" w:sz="4" w:space="0" w:color="AAABD6"/>
            </w:tcBorders>
          </w:tcPr>
          <w:p w14:paraId="766AA387"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18</w:t>
            </w:r>
          </w:p>
        </w:tc>
        <w:tc>
          <w:tcPr>
            <w:tcW w:w="0" w:type="dxa"/>
            <w:tcBorders>
              <w:top w:val="dotted" w:sz="4" w:space="0" w:color="AAABD6"/>
              <w:left w:val="single" w:sz="4" w:space="0" w:color="AAABD6"/>
              <w:bottom w:val="single" w:sz="4" w:space="0" w:color="AAABD6"/>
              <w:right w:val="single" w:sz="4" w:space="0" w:color="AAABD6"/>
            </w:tcBorders>
          </w:tcPr>
          <w:p w14:paraId="74106E92"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6,836</w:t>
            </w:r>
          </w:p>
        </w:tc>
        <w:tc>
          <w:tcPr>
            <w:tcW w:w="0" w:type="dxa"/>
            <w:tcBorders>
              <w:top w:val="dotted" w:sz="4" w:space="0" w:color="AAABD6"/>
              <w:left w:val="single" w:sz="4" w:space="0" w:color="AAABD6"/>
              <w:bottom w:val="single" w:sz="4" w:space="0" w:color="AAABD6"/>
              <w:right w:val="single" w:sz="4" w:space="0" w:color="AAABD6"/>
            </w:tcBorders>
          </w:tcPr>
          <w:p w14:paraId="356ED30C"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7,123</w:t>
            </w:r>
          </w:p>
        </w:tc>
        <w:tc>
          <w:tcPr>
            <w:tcW w:w="0" w:type="dxa"/>
            <w:tcBorders>
              <w:top w:val="dotted" w:sz="4" w:space="0" w:color="AAABD6"/>
              <w:left w:val="single" w:sz="4" w:space="0" w:color="AAABD6"/>
              <w:bottom w:val="single" w:sz="4" w:space="0" w:color="AAABD6"/>
              <w:right w:val="single" w:sz="4" w:space="0" w:color="AAABD6"/>
            </w:tcBorders>
          </w:tcPr>
          <w:p w14:paraId="77A33E82"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7,422</w:t>
            </w:r>
          </w:p>
        </w:tc>
        <w:tc>
          <w:tcPr>
            <w:tcW w:w="0" w:type="dxa"/>
            <w:tcBorders>
              <w:top w:val="dotted" w:sz="4" w:space="0" w:color="AAABD6"/>
              <w:left w:val="single" w:sz="4" w:space="0" w:color="AAABD6"/>
              <w:bottom w:val="single" w:sz="4" w:space="0" w:color="AAABD6"/>
              <w:right w:val="single" w:sz="4" w:space="0" w:color="AAABD6"/>
            </w:tcBorders>
          </w:tcPr>
          <w:p w14:paraId="4CA2088C"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7,733</w:t>
            </w:r>
          </w:p>
        </w:tc>
        <w:tc>
          <w:tcPr>
            <w:tcW w:w="0" w:type="dxa"/>
            <w:tcBorders>
              <w:top w:val="dotted" w:sz="4" w:space="0" w:color="AAABD6"/>
              <w:left w:val="single" w:sz="4" w:space="0" w:color="AAABD6"/>
              <w:bottom w:val="single" w:sz="4" w:space="0" w:color="AAABD6"/>
              <w:right w:val="single" w:sz="4" w:space="0" w:color="AAABD6"/>
            </w:tcBorders>
          </w:tcPr>
          <w:p w14:paraId="7F2EBE7E"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8,058</w:t>
            </w:r>
          </w:p>
        </w:tc>
        <w:tc>
          <w:tcPr>
            <w:tcW w:w="0" w:type="dxa"/>
            <w:tcBorders>
              <w:top w:val="dotted" w:sz="4" w:space="0" w:color="AAABD6"/>
              <w:left w:val="single" w:sz="4" w:space="0" w:color="AAABD6"/>
              <w:bottom w:val="single" w:sz="4" w:space="0" w:color="AAABD6"/>
              <w:right w:val="single" w:sz="4" w:space="0" w:color="AAABD6"/>
            </w:tcBorders>
          </w:tcPr>
          <w:p w14:paraId="3F4EED99"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8,396</w:t>
            </w:r>
          </w:p>
        </w:tc>
        <w:tc>
          <w:tcPr>
            <w:tcW w:w="0" w:type="dxa"/>
            <w:tcBorders>
              <w:top w:val="dotted" w:sz="4" w:space="0" w:color="AAABD6"/>
              <w:left w:val="single" w:sz="4" w:space="0" w:color="AAABD6"/>
              <w:bottom w:val="single" w:sz="4" w:space="0" w:color="AAABD6"/>
              <w:right w:val="single" w:sz="4" w:space="0" w:color="AAABD6"/>
            </w:tcBorders>
          </w:tcPr>
          <w:p w14:paraId="51FDC9F1"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8,749</w:t>
            </w:r>
          </w:p>
        </w:tc>
        <w:tc>
          <w:tcPr>
            <w:tcW w:w="0" w:type="dxa"/>
            <w:tcBorders>
              <w:top w:val="dotted" w:sz="4" w:space="0" w:color="AAABD6"/>
              <w:left w:val="single" w:sz="4" w:space="0" w:color="AAABD6"/>
              <w:bottom w:val="single" w:sz="4" w:space="0" w:color="AAABD6"/>
              <w:right w:val="single" w:sz="4" w:space="0" w:color="AAABD6"/>
            </w:tcBorders>
          </w:tcPr>
          <w:p w14:paraId="103907B5"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9,116</w:t>
            </w:r>
          </w:p>
        </w:tc>
        <w:tc>
          <w:tcPr>
            <w:tcW w:w="0" w:type="dxa"/>
            <w:tcBorders>
              <w:top w:val="dotted" w:sz="4" w:space="0" w:color="AAABD6"/>
              <w:left w:val="single" w:sz="4" w:space="0" w:color="AAABD6"/>
              <w:bottom w:val="single" w:sz="4" w:space="0" w:color="AAABD6"/>
              <w:right w:val="single" w:sz="4" w:space="0" w:color="AAABD6"/>
            </w:tcBorders>
          </w:tcPr>
          <w:p w14:paraId="76E96678"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9,498</w:t>
            </w:r>
          </w:p>
        </w:tc>
        <w:tc>
          <w:tcPr>
            <w:tcW w:w="0" w:type="dxa"/>
            <w:tcBorders>
              <w:top w:val="dotted" w:sz="4" w:space="0" w:color="AAABD6"/>
              <w:left w:val="single" w:sz="4" w:space="0" w:color="AAABD6"/>
              <w:bottom w:val="single" w:sz="4" w:space="0" w:color="AAABD6"/>
              <w:right w:val="single" w:sz="4" w:space="0" w:color="AAABD6"/>
            </w:tcBorders>
          </w:tcPr>
          <w:p w14:paraId="730D00E0"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9,897</w:t>
            </w:r>
          </w:p>
        </w:tc>
        <w:tc>
          <w:tcPr>
            <w:tcW w:w="0" w:type="dxa"/>
            <w:tcBorders>
              <w:top w:val="dotted" w:sz="4" w:space="0" w:color="AAABD6"/>
              <w:left w:val="single" w:sz="4" w:space="0" w:color="AAABD6"/>
              <w:bottom w:val="single" w:sz="4" w:space="0" w:color="AAABD6"/>
              <w:right w:val="single" w:sz="4" w:space="0" w:color="AAABD6"/>
            </w:tcBorders>
          </w:tcPr>
          <w:p w14:paraId="54E7982C"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10,312</w:t>
            </w:r>
          </w:p>
        </w:tc>
        <w:tc>
          <w:tcPr>
            <w:tcW w:w="0" w:type="dxa"/>
            <w:tcBorders>
              <w:top w:val="dotted" w:sz="4" w:space="0" w:color="AAABD6"/>
              <w:left w:val="single" w:sz="4" w:space="0" w:color="AAABD6"/>
              <w:bottom w:val="single" w:sz="4" w:space="0" w:color="AAABD6"/>
              <w:right w:val="single" w:sz="4" w:space="0" w:color="AAABD6"/>
            </w:tcBorders>
          </w:tcPr>
          <w:p w14:paraId="53C5A121"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10,745</w:t>
            </w:r>
          </w:p>
        </w:tc>
        <w:tc>
          <w:tcPr>
            <w:tcW w:w="0" w:type="dxa"/>
            <w:tcBorders>
              <w:top w:val="dotted" w:sz="4" w:space="0" w:color="AAABD6"/>
              <w:left w:val="single" w:sz="4" w:space="0" w:color="AAABD6"/>
              <w:bottom w:val="single" w:sz="4" w:space="0" w:color="AAABD6"/>
              <w:right w:val="single" w:sz="4" w:space="0" w:color="AAABD6"/>
            </w:tcBorders>
          </w:tcPr>
          <w:p w14:paraId="5FC36453"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11,196</w:t>
            </w:r>
          </w:p>
        </w:tc>
        <w:tc>
          <w:tcPr>
            <w:tcW w:w="0" w:type="dxa"/>
            <w:tcBorders>
              <w:top w:val="dotted" w:sz="4" w:space="0" w:color="AAABD6"/>
              <w:left w:val="single" w:sz="4" w:space="0" w:color="AAABD6"/>
              <w:bottom w:val="single" w:sz="4" w:space="0" w:color="AAABD6"/>
              <w:right w:val="single" w:sz="4" w:space="0" w:color="AAABD6"/>
            </w:tcBorders>
          </w:tcPr>
          <w:p w14:paraId="65ECAF39"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11,666</w:t>
            </w:r>
          </w:p>
        </w:tc>
      </w:tr>
      <w:tr w:rsidR="00F02371" w:rsidRPr="00100F0A" w14:paraId="21582159"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568" w:type="dxa"/>
            <w:vMerge w:val="restart"/>
            <w:tcBorders>
              <w:top w:val="single" w:sz="4" w:space="0" w:color="AAABD6"/>
              <w:left w:val="single" w:sz="4" w:space="0" w:color="AAABD6"/>
              <w:bottom w:val="single" w:sz="4" w:space="0" w:color="AAABD6"/>
              <w:right w:val="single" w:sz="4" w:space="0" w:color="AAABD6"/>
            </w:tcBorders>
          </w:tcPr>
          <w:p w14:paraId="77064227" w14:textId="77777777" w:rsidR="00F02371" w:rsidRPr="00100F0A" w:rsidRDefault="00F02371" w:rsidP="002169F6">
            <w:pPr>
              <w:rPr>
                <w:sz w:val="16"/>
                <w:szCs w:val="16"/>
              </w:rPr>
            </w:pPr>
            <w:r w:rsidRPr="00100F0A">
              <w:rPr>
                <w:sz w:val="16"/>
                <w:szCs w:val="16"/>
              </w:rPr>
              <w:t>High</w:t>
            </w:r>
          </w:p>
        </w:tc>
        <w:tc>
          <w:tcPr>
            <w:tcW w:w="1134" w:type="dxa"/>
            <w:tcBorders>
              <w:top w:val="single" w:sz="4" w:space="0" w:color="AAABD6"/>
              <w:left w:val="single" w:sz="4" w:space="0" w:color="AAABD6"/>
              <w:bottom w:val="dotted" w:sz="4" w:space="0" w:color="AAABD6"/>
              <w:right w:val="single" w:sz="4" w:space="0" w:color="AAABD6"/>
            </w:tcBorders>
          </w:tcPr>
          <w:p w14:paraId="4624D033"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ACT</w:t>
            </w:r>
          </w:p>
        </w:tc>
        <w:tc>
          <w:tcPr>
            <w:tcW w:w="2126" w:type="dxa"/>
            <w:vMerge w:val="restart"/>
            <w:tcBorders>
              <w:top w:val="single" w:sz="4" w:space="0" w:color="AAABD6"/>
              <w:left w:val="single" w:sz="4" w:space="0" w:color="AAABD6"/>
              <w:right w:val="single" w:sz="4" w:space="0" w:color="AAABD6"/>
            </w:tcBorders>
            <w:vAlign w:val="center"/>
          </w:tcPr>
          <w:p w14:paraId="0D53FC16"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1132" w:type="dxa"/>
            <w:gridSpan w:val="2"/>
            <w:vMerge w:val="restart"/>
            <w:tcBorders>
              <w:top w:val="single" w:sz="4" w:space="0" w:color="AAABD6"/>
              <w:left w:val="single" w:sz="4" w:space="0" w:color="AAABD6"/>
              <w:right w:val="single" w:sz="4" w:space="0" w:color="AAABD6"/>
            </w:tcBorders>
          </w:tcPr>
          <w:p w14:paraId="250DA0B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44A34DD4" w14:textId="4221C84A"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 </w:t>
            </w:r>
          </w:p>
          <w:p w14:paraId="16DC636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1FDF349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50F1AFE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62F6982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2937B21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58B8C0E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42CC300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2E5AA66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 </w:t>
            </w:r>
          </w:p>
          <w:p w14:paraId="66AD8F0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2B5618A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 </w:t>
            </w:r>
          </w:p>
          <w:p w14:paraId="20FC8F3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140F14F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21A2FA8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0470ED0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7B40CD1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000834F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55E479F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4E744D5B" w14:textId="3926CB59"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 </w:t>
            </w:r>
          </w:p>
        </w:tc>
        <w:tc>
          <w:tcPr>
            <w:tcW w:w="531" w:type="dxa"/>
            <w:tcBorders>
              <w:top w:val="single" w:sz="4" w:space="0" w:color="AAABD6"/>
              <w:left w:val="single" w:sz="4" w:space="0" w:color="AAABD6"/>
              <w:bottom w:val="dotted" w:sz="4" w:space="0" w:color="AAABD6"/>
              <w:right w:val="single" w:sz="4" w:space="0" w:color="AAABD6"/>
            </w:tcBorders>
          </w:tcPr>
          <w:p w14:paraId="5EC881F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 </w:t>
            </w:r>
          </w:p>
        </w:tc>
        <w:tc>
          <w:tcPr>
            <w:tcW w:w="567" w:type="dxa"/>
            <w:tcBorders>
              <w:top w:val="single" w:sz="4" w:space="0" w:color="AAABD6"/>
              <w:left w:val="single" w:sz="4" w:space="0" w:color="AAABD6"/>
              <w:bottom w:val="dotted" w:sz="4" w:space="0" w:color="AAABD6"/>
              <w:right w:val="single" w:sz="4" w:space="0" w:color="AAABD6"/>
            </w:tcBorders>
          </w:tcPr>
          <w:p w14:paraId="4D2E956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w:t>
            </w:r>
          </w:p>
        </w:tc>
        <w:tc>
          <w:tcPr>
            <w:tcW w:w="567" w:type="dxa"/>
            <w:tcBorders>
              <w:top w:val="single" w:sz="4" w:space="0" w:color="AAABD6"/>
              <w:left w:val="single" w:sz="4" w:space="0" w:color="AAABD6"/>
              <w:bottom w:val="dotted" w:sz="4" w:space="0" w:color="AAABD6"/>
              <w:right w:val="single" w:sz="4" w:space="0" w:color="AAABD6"/>
            </w:tcBorders>
          </w:tcPr>
          <w:p w14:paraId="0F2684D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w:t>
            </w:r>
          </w:p>
        </w:tc>
        <w:tc>
          <w:tcPr>
            <w:tcW w:w="567" w:type="dxa"/>
            <w:tcBorders>
              <w:top w:val="single" w:sz="4" w:space="0" w:color="AAABD6"/>
              <w:left w:val="single" w:sz="4" w:space="0" w:color="AAABD6"/>
              <w:bottom w:val="dotted" w:sz="4" w:space="0" w:color="AAABD6"/>
              <w:right w:val="single" w:sz="4" w:space="0" w:color="AAABD6"/>
            </w:tcBorders>
          </w:tcPr>
          <w:p w14:paraId="53C3A9B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w:t>
            </w:r>
          </w:p>
        </w:tc>
        <w:tc>
          <w:tcPr>
            <w:tcW w:w="567" w:type="dxa"/>
            <w:tcBorders>
              <w:top w:val="single" w:sz="4" w:space="0" w:color="AAABD6"/>
              <w:left w:val="single" w:sz="4" w:space="0" w:color="AAABD6"/>
              <w:bottom w:val="dotted" w:sz="4" w:space="0" w:color="AAABD6"/>
              <w:right w:val="single" w:sz="4" w:space="0" w:color="AAABD6"/>
            </w:tcBorders>
          </w:tcPr>
          <w:p w14:paraId="14538BE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w:t>
            </w:r>
          </w:p>
        </w:tc>
        <w:tc>
          <w:tcPr>
            <w:tcW w:w="567" w:type="dxa"/>
            <w:tcBorders>
              <w:top w:val="single" w:sz="4" w:space="0" w:color="AAABD6"/>
              <w:left w:val="single" w:sz="4" w:space="0" w:color="AAABD6"/>
              <w:bottom w:val="dotted" w:sz="4" w:space="0" w:color="AAABD6"/>
              <w:right w:val="single" w:sz="4" w:space="0" w:color="AAABD6"/>
            </w:tcBorders>
          </w:tcPr>
          <w:p w14:paraId="642A16D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971</w:t>
            </w:r>
          </w:p>
        </w:tc>
        <w:tc>
          <w:tcPr>
            <w:tcW w:w="567" w:type="dxa"/>
            <w:tcBorders>
              <w:top w:val="single" w:sz="4" w:space="0" w:color="AAABD6"/>
              <w:left w:val="single" w:sz="4" w:space="0" w:color="AAABD6"/>
              <w:bottom w:val="dotted" w:sz="4" w:space="0" w:color="AAABD6"/>
              <w:right w:val="single" w:sz="4" w:space="0" w:color="AAABD6"/>
            </w:tcBorders>
          </w:tcPr>
          <w:p w14:paraId="3DBC449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1,017</w:t>
            </w:r>
          </w:p>
        </w:tc>
        <w:tc>
          <w:tcPr>
            <w:tcW w:w="567" w:type="dxa"/>
            <w:tcBorders>
              <w:top w:val="single" w:sz="4" w:space="0" w:color="AAABD6"/>
              <w:left w:val="single" w:sz="4" w:space="0" w:color="AAABD6"/>
              <w:bottom w:val="dotted" w:sz="4" w:space="0" w:color="AAABD6"/>
              <w:right w:val="single" w:sz="4" w:space="0" w:color="AAABD6"/>
            </w:tcBorders>
          </w:tcPr>
          <w:p w14:paraId="7A9F93E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1,065</w:t>
            </w:r>
          </w:p>
        </w:tc>
        <w:tc>
          <w:tcPr>
            <w:tcW w:w="567" w:type="dxa"/>
            <w:tcBorders>
              <w:top w:val="single" w:sz="4" w:space="0" w:color="AAABD6"/>
              <w:left w:val="single" w:sz="4" w:space="0" w:color="AAABD6"/>
              <w:bottom w:val="dotted" w:sz="4" w:space="0" w:color="AAABD6"/>
              <w:right w:val="single" w:sz="4" w:space="0" w:color="AAABD6"/>
            </w:tcBorders>
          </w:tcPr>
          <w:p w14:paraId="56F97F8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1,116</w:t>
            </w:r>
          </w:p>
        </w:tc>
        <w:tc>
          <w:tcPr>
            <w:tcW w:w="567" w:type="dxa"/>
            <w:tcBorders>
              <w:top w:val="single" w:sz="4" w:space="0" w:color="AAABD6"/>
              <w:left w:val="single" w:sz="4" w:space="0" w:color="AAABD6"/>
              <w:bottom w:val="dotted" w:sz="4" w:space="0" w:color="AAABD6"/>
              <w:right w:val="single" w:sz="4" w:space="0" w:color="AAABD6"/>
            </w:tcBorders>
          </w:tcPr>
          <w:p w14:paraId="3C9E0E8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1,169</w:t>
            </w:r>
          </w:p>
        </w:tc>
        <w:tc>
          <w:tcPr>
            <w:tcW w:w="567" w:type="dxa"/>
            <w:tcBorders>
              <w:top w:val="single" w:sz="4" w:space="0" w:color="AAABD6"/>
              <w:left w:val="single" w:sz="4" w:space="0" w:color="AAABD6"/>
              <w:bottom w:val="dotted" w:sz="4" w:space="0" w:color="AAABD6"/>
              <w:right w:val="single" w:sz="4" w:space="0" w:color="AAABD6"/>
            </w:tcBorders>
          </w:tcPr>
          <w:p w14:paraId="169FF22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1,225</w:t>
            </w:r>
          </w:p>
        </w:tc>
        <w:tc>
          <w:tcPr>
            <w:tcW w:w="567" w:type="dxa"/>
            <w:tcBorders>
              <w:top w:val="single" w:sz="4" w:space="0" w:color="AAABD6"/>
              <w:left w:val="single" w:sz="4" w:space="0" w:color="AAABD6"/>
              <w:bottom w:val="dotted" w:sz="4" w:space="0" w:color="AAABD6"/>
              <w:right w:val="single" w:sz="4" w:space="0" w:color="AAABD6"/>
            </w:tcBorders>
          </w:tcPr>
          <w:p w14:paraId="1119F3A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1,283</w:t>
            </w:r>
          </w:p>
        </w:tc>
        <w:tc>
          <w:tcPr>
            <w:tcW w:w="567" w:type="dxa"/>
            <w:tcBorders>
              <w:top w:val="single" w:sz="4" w:space="0" w:color="AAABD6"/>
              <w:left w:val="single" w:sz="4" w:space="0" w:color="AAABD6"/>
              <w:bottom w:val="dotted" w:sz="4" w:space="0" w:color="AAABD6"/>
              <w:right w:val="single" w:sz="4" w:space="0" w:color="AAABD6"/>
            </w:tcBorders>
          </w:tcPr>
          <w:p w14:paraId="2BA5F31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1,344</w:t>
            </w:r>
          </w:p>
        </w:tc>
        <w:tc>
          <w:tcPr>
            <w:tcW w:w="567" w:type="dxa"/>
            <w:tcBorders>
              <w:top w:val="single" w:sz="4" w:space="0" w:color="AAABD6"/>
              <w:left w:val="single" w:sz="4" w:space="0" w:color="AAABD6"/>
              <w:bottom w:val="dotted" w:sz="4" w:space="0" w:color="AAABD6"/>
              <w:right w:val="single" w:sz="4" w:space="0" w:color="AAABD6"/>
            </w:tcBorders>
          </w:tcPr>
          <w:p w14:paraId="186B788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1,408</w:t>
            </w:r>
          </w:p>
        </w:tc>
        <w:tc>
          <w:tcPr>
            <w:tcW w:w="567" w:type="dxa"/>
            <w:tcBorders>
              <w:top w:val="single" w:sz="4" w:space="0" w:color="AAABD6"/>
              <w:left w:val="single" w:sz="4" w:space="0" w:color="AAABD6"/>
              <w:bottom w:val="dotted" w:sz="4" w:space="0" w:color="AAABD6"/>
              <w:right w:val="single" w:sz="4" w:space="0" w:color="AAABD6"/>
            </w:tcBorders>
          </w:tcPr>
          <w:p w14:paraId="6DFB64E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1,475</w:t>
            </w:r>
          </w:p>
        </w:tc>
        <w:tc>
          <w:tcPr>
            <w:tcW w:w="567" w:type="dxa"/>
            <w:tcBorders>
              <w:top w:val="single" w:sz="4" w:space="0" w:color="AAABD6"/>
              <w:left w:val="single" w:sz="4" w:space="0" w:color="AAABD6"/>
              <w:bottom w:val="dotted" w:sz="4" w:space="0" w:color="AAABD6"/>
              <w:right w:val="single" w:sz="4" w:space="0" w:color="AAABD6"/>
            </w:tcBorders>
          </w:tcPr>
          <w:p w14:paraId="6059C80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1,546</w:t>
            </w:r>
          </w:p>
        </w:tc>
        <w:tc>
          <w:tcPr>
            <w:tcW w:w="567" w:type="dxa"/>
            <w:tcBorders>
              <w:top w:val="single" w:sz="4" w:space="0" w:color="AAABD6"/>
              <w:left w:val="single" w:sz="4" w:space="0" w:color="AAABD6"/>
              <w:bottom w:val="dotted" w:sz="4" w:space="0" w:color="AAABD6"/>
              <w:right w:val="single" w:sz="4" w:space="0" w:color="AAABD6"/>
            </w:tcBorders>
          </w:tcPr>
          <w:p w14:paraId="6F5CA37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1,619</w:t>
            </w:r>
          </w:p>
        </w:tc>
        <w:tc>
          <w:tcPr>
            <w:tcW w:w="567" w:type="dxa"/>
            <w:tcBorders>
              <w:top w:val="single" w:sz="4" w:space="0" w:color="AAABD6"/>
              <w:left w:val="single" w:sz="4" w:space="0" w:color="AAABD6"/>
              <w:bottom w:val="dotted" w:sz="4" w:space="0" w:color="AAABD6"/>
              <w:right w:val="single" w:sz="4" w:space="0" w:color="AAABD6"/>
            </w:tcBorders>
          </w:tcPr>
          <w:p w14:paraId="4FF7F90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1,696</w:t>
            </w:r>
          </w:p>
        </w:tc>
        <w:tc>
          <w:tcPr>
            <w:tcW w:w="567" w:type="dxa"/>
            <w:tcBorders>
              <w:top w:val="single" w:sz="4" w:space="0" w:color="AAABD6"/>
              <w:left w:val="single" w:sz="4" w:space="0" w:color="AAABD6"/>
              <w:bottom w:val="dotted" w:sz="4" w:space="0" w:color="AAABD6"/>
              <w:right w:val="single" w:sz="4" w:space="0" w:color="AAABD6"/>
            </w:tcBorders>
          </w:tcPr>
          <w:p w14:paraId="7719517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1,777</w:t>
            </w:r>
          </w:p>
        </w:tc>
      </w:tr>
      <w:tr w:rsidR="00F02371" w:rsidRPr="00100F0A" w14:paraId="51440980"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568" w:type="dxa"/>
            <w:vMerge/>
            <w:tcBorders>
              <w:left w:val="single" w:sz="4" w:space="0" w:color="AAABD6"/>
              <w:bottom w:val="single" w:sz="4" w:space="0" w:color="AAABD6"/>
              <w:right w:val="single" w:sz="4" w:space="0" w:color="AAABD6"/>
            </w:tcBorders>
          </w:tcPr>
          <w:p w14:paraId="4D040D67" w14:textId="77777777" w:rsidR="00F02371" w:rsidRPr="00100F0A" w:rsidRDefault="00F02371" w:rsidP="002169F6">
            <w:pPr>
              <w:rPr>
                <w:sz w:val="16"/>
                <w:szCs w:val="16"/>
              </w:rPr>
            </w:pPr>
          </w:p>
        </w:tc>
        <w:tc>
          <w:tcPr>
            <w:tcW w:w="1134" w:type="dxa"/>
            <w:tcBorders>
              <w:top w:val="dotted" w:sz="4" w:space="0" w:color="AAABD6"/>
              <w:left w:val="single" w:sz="4" w:space="0" w:color="AAABD6"/>
              <w:bottom w:val="dotted" w:sz="4" w:space="0" w:color="AAABD6"/>
              <w:right w:val="single" w:sz="4" w:space="0" w:color="AAABD6"/>
            </w:tcBorders>
          </w:tcPr>
          <w:p w14:paraId="2F82F97E"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NSW</w:t>
            </w:r>
          </w:p>
        </w:tc>
        <w:tc>
          <w:tcPr>
            <w:tcW w:w="2126" w:type="dxa"/>
            <w:vMerge/>
            <w:tcBorders>
              <w:left w:val="single" w:sz="4" w:space="0" w:color="AAABD6"/>
              <w:right w:val="single" w:sz="4" w:space="0" w:color="AAABD6"/>
            </w:tcBorders>
          </w:tcPr>
          <w:p w14:paraId="4EAA1EC7"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1132" w:type="dxa"/>
            <w:gridSpan w:val="2"/>
            <w:vMerge/>
            <w:tcBorders>
              <w:left w:val="single" w:sz="4" w:space="0" w:color="AAABD6"/>
              <w:right w:val="single" w:sz="4" w:space="0" w:color="AAABD6"/>
            </w:tcBorders>
          </w:tcPr>
          <w:p w14:paraId="10052F2B" w14:textId="3598BA7D"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31" w:type="dxa"/>
            <w:tcBorders>
              <w:top w:val="dotted" w:sz="4" w:space="0" w:color="AAABD6"/>
              <w:left w:val="single" w:sz="4" w:space="0" w:color="AAABD6"/>
              <w:bottom w:val="dotted" w:sz="4" w:space="0" w:color="AAABD6"/>
              <w:right w:val="single" w:sz="4" w:space="0" w:color="AAABD6"/>
            </w:tcBorders>
          </w:tcPr>
          <w:p w14:paraId="31EF467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67" w:type="dxa"/>
            <w:tcBorders>
              <w:top w:val="dotted" w:sz="4" w:space="0" w:color="AAABD6"/>
              <w:left w:val="single" w:sz="4" w:space="0" w:color="AAABD6"/>
              <w:bottom w:val="dotted" w:sz="4" w:space="0" w:color="AAABD6"/>
              <w:right w:val="single" w:sz="4" w:space="0" w:color="AAABD6"/>
            </w:tcBorders>
          </w:tcPr>
          <w:p w14:paraId="436FCFE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41</w:t>
            </w:r>
          </w:p>
        </w:tc>
        <w:tc>
          <w:tcPr>
            <w:tcW w:w="567" w:type="dxa"/>
            <w:tcBorders>
              <w:top w:val="dotted" w:sz="4" w:space="0" w:color="AAABD6"/>
              <w:left w:val="single" w:sz="4" w:space="0" w:color="AAABD6"/>
              <w:bottom w:val="dotted" w:sz="4" w:space="0" w:color="AAABD6"/>
              <w:right w:val="single" w:sz="4" w:space="0" w:color="AAABD6"/>
            </w:tcBorders>
          </w:tcPr>
          <w:p w14:paraId="3388788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43</w:t>
            </w:r>
          </w:p>
        </w:tc>
        <w:tc>
          <w:tcPr>
            <w:tcW w:w="567" w:type="dxa"/>
            <w:tcBorders>
              <w:top w:val="dotted" w:sz="4" w:space="0" w:color="AAABD6"/>
              <w:left w:val="single" w:sz="4" w:space="0" w:color="AAABD6"/>
              <w:bottom w:val="dotted" w:sz="4" w:space="0" w:color="AAABD6"/>
              <w:right w:val="single" w:sz="4" w:space="0" w:color="AAABD6"/>
            </w:tcBorders>
          </w:tcPr>
          <w:p w14:paraId="1584030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45</w:t>
            </w:r>
          </w:p>
        </w:tc>
        <w:tc>
          <w:tcPr>
            <w:tcW w:w="567" w:type="dxa"/>
            <w:tcBorders>
              <w:top w:val="dotted" w:sz="4" w:space="0" w:color="AAABD6"/>
              <w:left w:val="single" w:sz="4" w:space="0" w:color="AAABD6"/>
              <w:bottom w:val="dotted" w:sz="4" w:space="0" w:color="AAABD6"/>
              <w:right w:val="single" w:sz="4" w:space="0" w:color="AAABD6"/>
            </w:tcBorders>
          </w:tcPr>
          <w:p w14:paraId="0474B0F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47</w:t>
            </w:r>
          </w:p>
        </w:tc>
        <w:tc>
          <w:tcPr>
            <w:tcW w:w="567" w:type="dxa"/>
            <w:tcBorders>
              <w:top w:val="dotted" w:sz="4" w:space="0" w:color="AAABD6"/>
              <w:left w:val="single" w:sz="4" w:space="0" w:color="AAABD6"/>
              <w:bottom w:val="dotted" w:sz="4" w:space="0" w:color="AAABD6"/>
              <w:right w:val="single" w:sz="4" w:space="0" w:color="AAABD6"/>
            </w:tcBorders>
          </w:tcPr>
          <w:p w14:paraId="0BB56E3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17,983</w:t>
            </w:r>
          </w:p>
        </w:tc>
        <w:tc>
          <w:tcPr>
            <w:tcW w:w="567" w:type="dxa"/>
            <w:tcBorders>
              <w:top w:val="dotted" w:sz="4" w:space="0" w:color="AAABD6"/>
              <w:left w:val="single" w:sz="4" w:space="0" w:color="AAABD6"/>
              <w:bottom w:val="dotted" w:sz="4" w:space="0" w:color="AAABD6"/>
              <w:right w:val="single" w:sz="4" w:space="0" w:color="AAABD6"/>
            </w:tcBorders>
          </w:tcPr>
          <w:p w14:paraId="4A50F05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18,839</w:t>
            </w:r>
          </w:p>
        </w:tc>
        <w:tc>
          <w:tcPr>
            <w:tcW w:w="567" w:type="dxa"/>
            <w:tcBorders>
              <w:top w:val="dotted" w:sz="4" w:space="0" w:color="AAABD6"/>
              <w:left w:val="single" w:sz="4" w:space="0" w:color="AAABD6"/>
              <w:bottom w:val="dotted" w:sz="4" w:space="0" w:color="AAABD6"/>
              <w:right w:val="single" w:sz="4" w:space="0" w:color="AAABD6"/>
            </w:tcBorders>
          </w:tcPr>
          <w:p w14:paraId="1E212FB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19,736</w:t>
            </w:r>
          </w:p>
        </w:tc>
        <w:tc>
          <w:tcPr>
            <w:tcW w:w="567" w:type="dxa"/>
            <w:tcBorders>
              <w:top w:val="dotted" w:sz="4" w:space="0" w:color="AAABD6"/>
              <w:left w:val="single" w:sz="4" w:space="0" w:color="AAABD6"/>
              <w:bottom w:val="dotted" w:sz="4" w:space="0" w:color="AAABD6"/>
              <w:right w:val="single" w:sz="4" w:space="0" w:color="AAABD6"/>
            </w:tcBorders>
          </w:tcPr>
          <w:p w14:paraId="7A2F7D5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20,675</w:t>
            </w:r>
          </w:p>
        </w:tc>
        <w:tc>
          <w:tcPr>
            <w:tcW w:w="567" w:type="dxa"/>
            <w:tcBorders>
              <w:top w:val="dotted" w:sz="4" w:space="0" w:color="AAABD6"/>
              <w:left w:val="single" w:sz="4" w:space="0" w:color="AAABD6"/>
              <w:bottom w:val="dotted" w:sz="4" w:space="0" w:color="AAABD6"/>
              <w:right w:val="single" w:sz="4" w:space="0" w:color="AAABD6"/>
            </w:tcBorders>
          </w:tcPr>
          <w:p w14:paraId="0AE7EC2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21,660</w:t>
            </w:r>
          </w:p>
        </w:tc>
        <w:tc>
          <w:tcPr>
            <w:tcW w:w="567" w:type="dxa"/>
            <w:tcBorders>
              <w:top w:val="dotted" w:sz="4" w:space="0" w:color="AAABD6"/>
              <w:left w:val="single" w:sz="4" w:space="0" w:color="AAABD6"/>
              <w:bottom w:val="dotted" w:sz="4" w:space="0" w:color="AAABD6"/>
              <w:right w:val="single" w:sz="4" w:space="0" w:color="AAABD6"/>
            </w:tcBorders>
          </w:tcPr>
          <w:p w14:paraId="7E5BC96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22,691</w:t>
            </w:r>
          </w:p>
        </w:tc>
        <w:tc>
          <w:tcPr>
            <w:tcW w:w="567" w:type="dxa"/>
            <w:tcBorders>
              <w:top w:val="dotted" w:sz="4" w:space="0" w:color="AAABD6"/>
              <w:left w:val="single" w:sz="4" w:space="0" w:color="AAABD6"/>
              <w:bottom w:val="dotted" w:sz="4" w:space="0" w:color="AAABD6"/>
              <w:right w:val="single" w:sz="4" w:space="0" w:color="AAABD6"/>
            </w:tcBorders>
          </w:tcPr>
          <w:p w14:paraId="224AF69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23,771</w:t>
            </w:r>
          </w:p>
        </w:tc>
        <w:tc>
          <w:tcPr>
            <w:tcW w:w="567" w:type="dxa"/>
            <w:tcBorders>
              <w:top w:val="dotted" w:sz="4" w:space="0" w:color="AAABD6"/>
              <w:left w:val="single" w:sz="4" w:space="0" w:color="AAABD6"/>
              <w:bottom w:val="dotted" w:sz="4" w:space="0" w:color="AAABD6"/>
              <w:right w:val="single" w:sz="4" w:space="0" w:color="AAABD6"/>
            </w:tcBorders>
          </w:tcPr>
          <w:p w14:paraId="30E4093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24,902</w:t>
            </w:r>
          </w:p>
        </w:tc>
        <w:tc>
          <w:tcPr>
            <w:tcW w:w="567" w:type="dxa"/>
            <w:tcBorders>
              <w:top w:val="dotted" w:sz="4" w:space="0" w:color="AAABD6"/>
              <w:left w:val="single" w:sz="4" w:space="0" w:color="AAABD6"/>
              <w:bottom w:val="dotted" w:sz="4" w:space="0" w:color="AAABD6"/>
              <w:right w:val="single" w:sz="4" w:space="0" w:color="AAABD6"/>
            </w:tcBorders>
          </w:tcPr>
          <w:p w14:paraId="3741E8C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26,088</w:t>
            </w:r>
          </w:p>
        </w:tc>
        <w:tc>
          <w:tcPr>
            <w:tcW w:w="567" w:type="dxa"/>
            <w:tcBorders>
              <w:top w:val="dotted" w:sz="4" w:space="0" w:color="AAABD6"/>
              <w:left w:val="single" w:sz="4" w:space="0" w:color="AAABD6"/>
              <w:bottom w:val="dotted" w:sz="4" w:space="0" w:color="AAABD6"/>
              <w:right w:val="single" w:sz="4" w:space="0" w:color="AAABD6"/>
            </w:tcBorders>
          </w:tcPr>
          <w:p w14:paraId="768B1E4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27,330</w:t>
            </w:r>
          </w:p>
        </w:tc>
        <w:tc>
          <w:tcPr>
            <w:tcW w:w="567" w:type="dxa"/>
            <w:tcBorders>
              <w:top w:val="dotted" w:sz="4" w:space="0" w:color="AAABD6"/>
              <w:left w:val="single" w:sz="4" w:space="0" w:color="AAABD6"/>
              <w:bottom w:val="dotted" w:sz="4" w:space="0" w:color="AAABD6"/>
              <w:right w:val="single" w:sz="4" w:space="0" w:color="AAABD6"/>
            </w:tcBorders>
          </w:tcPr>
          <w:p w14:paraId="5215BF1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28,631</w:t>
            </w:r>
          </w:p>
        </w:tc>
        <w:tc>
          <w:tcPr>
            <w:tcW w:w="567" w:type="dxa"/>
            <w:tcBorders>
              <w:top w:val="dotted" w:sz="4" w:space="0" w:color="AAABD6"/>
              <w:left w:val="single" w:sz="4" w:space="0" w:color="AAABD6"/>
              <w:bottom w:val="dotted" w:sz="4" w:space="0" w:color="AAABD6"/>
              <w:right w:val="single" w:sz="4" w:space="0" w:color="AAABD6"/>
            </w:tcBorders>
          </w:tcPr>
          <w:p w14:paraId="2751D19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29,994</w:t>
            </w:r>
          </w:p>
        </w:tc>
        <w:tc>
          <w:tcPr>
            <w:tcW w:w="567" w:type="dxa"/>
            <w:tcBorders>
              <w:top w:val="dotted" w:sz="4" w:space="0" w:color="AAABD6"/>
              <w:left w:val="single" w:sz="4" w:space="0" w:color="AAABD6"/>
              <w:bottom w:val="dotted" w:sz="4" w:space="0" w:color="AAABD6"/>
              <w:right w:val="single" w:sz="4" w:space="0" w:color="AAABD6"/>
            </w:tcBorders>
          </w:tcPr>
          <w:p w14:paraId="08E36D9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31,422</w:t>
            </w:r>
          </w:p>
        </w:tc>
        <w:tc>
          <w:tcPr>
            <w:tcW w:w="567" w:type="dxa"/>
            <w:tcBorders>
              <w:top w:val="dotted" w:sz="4" w:space="0" w:color="AAABD6"/>
              <w:left w:val="single" w:sz="4" w:space="0" w:color="AAABD6"/>
              <w:bottom w:val="dotted" w:sz="4" w:space="0" w:color="AAABD6"/>
              <w:right w:val="single" w:sz="4" w:space="0" w:color="AAABD6"/>
            </w:tcBorders>
          </w:tcPr>
          <w:p w14:paraId="17EF455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32,918</w:t>
            </w:r>
          </w:p>
        </w:tc>
      </w:tr>
      <w:tr w:rsidR="00F02371" w:rsidRPr="00100F0A" w14:paraId="0DCC3A2C"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568" w:type="dxa"/>
            <w:vMerge/>
            <w:tcBorders>
              <w:left w:val="single" w:sz="4" w:space="0" w:color="AAABD6"/>
              <w:bottom w:val="single" w:sz="4" w:space="0" w:color="AAABD6"/>
              <w:right w:val="single" w:sz="4" w:space="0" w:color="AAABD6"/>
            </w:tcBorders>
          </w:tcPr>
          <w:p w14:paraId="3A2D46BF" w14:textId="77777777" w:rsidR="00F02371" w:rsidRPr="00100F0A" w:rsidRDefault="00F02371" w:rsidP="002169F6">
            <w:pPr>
              <w:rPr>
                <w:sz w:val="16"/>
                <w:szCs w:val="16"/>
              </w:rPr>
            </w:pPr>
          </w:p>
        </w:tc>
        <w:tc>
          <w:tcPr>
            <w:tcW w:w="1134" w:type="dxa"/>
            <w:tcBorders>
              <w:top w:val="dotted" w:sz="4" w:space="0" w:color="AAABD6"/>
              <w:left w:val="single" w:sz="4" w:space="0" w:color="AAABD6"/>
              <w:bottom w:val="dotted" w:sz="4" w:space="0" w:color="AAABD6"/>
              <w:right w:val="single" w:sz="4" w:space="0" w:color="AAABD6"/>
            </w:tcBorders>
          </w:tcPr>
          <w:p w14:paraId="75FFDFA8"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NT</w:t>
            </w:r>
          </w:p>
        </w:tc>
        <w:tc>
          <w:tcPr>
            <w:tcW w:w="2126" w:type="dxa"/>
            <w:vMerge/>
            <w:tcBorders>
              <w:left w:val="single" w:sz="4" w:space="0" w:color="AAABD6"/>
              <w:right w:val="single" w:sz="4" w:space="0" w:color="AAABD6"/>
            </w:tcBorders>
          </w:tcPr>
          <w:p w14:paraId="74341ACD"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1132" w:type="dxa"/>
            <w:gridSpan w:val="2"/>
            <w:vMerge/>
            <w:tcBorders>
              <w:left w:val="single" w:sz="4" w:space="0" w:color="AAABD6"/>
              <w:right w:val="single" w:sz="4" w:space="0" w:color="AAABD6"/>
            </w:tcBorders>
          </w:tcPr>
          <w:p w14:paraId="10874B34" w14:textId="35338854"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31" w:type="dxa"/>
            <w:tcBorders>
              <w:top w:val="dotted" w:sz="4" w:space="0" w:color="AAABD6"/>
              <w:left w:val="single" w:sz="4" w:space="0" w:color="AAABD6"/>
              <w:bottom w:val="dotted" w:sz="4" w:space="0" w:color="AAABD6"/>
              <w:right w:val="single" w:sz="4" w:space="0" w:color="AAABD6"/>
            </w:tcBorders>
          </w:tcPr>
          <w:p w14:paraId="315CBC8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67" w:type="dxa"/>
            <w:tcBorders>
              <w:top w:val="dotted" w:sz="4" w:space="0" w:color="AAABD6"/>
              <w:left w:val="single" w:sz="4" w:space="0" w:color="AAABD6"/>
              <w:bottom w:val="dotted" w:sz="4" w:space="0" w:color="AAABD6"/>
              <w:right w:val="single" w:sz="4" w:space="0" w:color="AAABD6"/>
            </w:tcBorders>
          </w:tcPr>
          <w:p w14:paraId="4DB9F23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w:t>
            </w:r>
          </w:p>
        </w:tc>
        <w:tc>
          <w:tcPr>
            <w:tcW w:w="567" w:type="dxa"/>
            <w:tcBorders>
              <w:top w:val="dotted" w:sz="4" w:space="0" w:color="AAABD6"/>
              <w:left w:val="single" w:sz="4" w:space="0" w:color="AAABD6"/>
              <w:bottom w:val="dotted" w:sz="4" w:space="0" w:color="AAABD6"/>
              <w:right w:val="single" w:sz="4" w:space="0" w:color="AAABD6"/>
            </w:tcBorders>
          </w:tcPr>
          <w:p w14:paraId="718F14E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w:t>
            </w:r>
          </w:p>
        </w:tc>
        <w:tc>
          <w:tcPr>
            <w:tcW w:w="567" w:type="dxa"/>
            <w:tcBorders>
              <w:top w:val="dotted" w:sz="4" w:space="0" w:color="AAABD6"/>
              <w:left w:val="single" w:sz="4" w:space="0" w:color="AAABD6"/>
              <w:bottom w:val="dotted" w:sz="4" w:space="0" w:color="AAABD6"/>
              <w:right w:val="single" w:sz="4" w:space="0" w:color="AAABD6"/>
            </w:tcBorders>
          </w:tcPr>
          <w:p w14:paraId="1920EC3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w:t>
            </w:r>
          </w:p>
        </w:tc>
        <w:tc>
          <w:tcPr>
            <w:tcW w:w="567" w:type="dxa"/>
            <w:tcBorders>
              <w:top w:val="dotted" w:sz="4" w:space="0" w:color="AAABD6"/>
              <w:left w:val="single" w:sz="4" w:space="0" w:color="AAABD6"/>
              <w:bottom w:val="dotted" w:sz="4" w:space="0" w:color="AAABD6"/>
              <w:right w:val="single" w:sz="4" w:space="0" w:color="AAABD6"/>
            </w:tcBorders>
          </w:tcPr>
          <w:p w14:paraId="1F12797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w:t>
            </w:r>
          </w:p>
        </w:tc>
        <w:tc>
          <w:tcPr>
            <w:tcW w:w="567" w:type="dxa"/>
            <w:tcBorders>
              <w:top w:val="dotted" w:sz="4" w:space="0" w:color="AAABD6"/>
              <w:left w:val="single" w:sz="4" w:space="0" w:color="AAABD6"/>
              <w:bottom w:val="dotted" w:sz="4" w:space="0" w:color="AAABD6"/>
              <w:right w:val="single" w:sz="4" w:space="0" w:color="AAABD6"/>
            </w:tcBorders>
          </w:tcPr>
          <w:p w14:paraId="22CA4CE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600</w:t>
            </w:r>
          </w:p>
        </w:tc>
        <w:tc>
          <w:tcPr>
            <w:tcW w:w="567" w:type="dxa"/>
            <w:tcBorders>
              <w:top w:val="dotted" w:sz="4" w:space="0" w:color="AAABD6"/>
              <w:left w:val="single" w:sz="4" w:space="0" w:color="AAABD6"/>
              <w:bottom w:val="dotted" w:sz="4" w:space="0" w:color="AAABD6"/>
              <w:right w:val="single" w:sz="4" w:space="0" w:color="AAABD6"/>
            </w:tcBorders>
          </w:tcPr>
          <w:p w14:paraId="45F60E9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629</w:t>
            </w:r>
          </w:p>
        </w:tc>
        <w:tc>
          <w:tcPr>
            <w:tcW w:w="567" w:type="dxa"/>
            <w:tcBorders>
              <w:top w:val="dotted" w:sz="4" w:space="0" w:color="AAABD6"/>
              <w:left w:val="single" w:sz="4" w:space="0" w:color="AAABD6"/>
              <w:bottom w:val="dotted" w:sz="4" w:space="0" w:color="AAABD6"/>
              <w:right w:val="single" w:sz="4" w:space="0" w:color="AAABD6"/>
            </w:tcBorders>
          </w:tcPr>
          <w:p w14:paraId="0B9B9A2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659</w:t>
            </w:r>
          </w:p>
        </w:tc>
        <w:tc>
          <w:tcPr>
            <w:tcW w:w="567" w:type="dxa"/>
            <w:tcBorders>
              <w:top w:val="dotted" w:sz="4" w:space="0" w:color="AAABD6"/>
              <w:left w:val="single" w:sz="4" w:space="0" w:color="AAABD6"/>
              <w:bottom w:val="dotted" w:sz="4" w:space="0" w:color="AAABD6"/>
              <w:right w:val="single" w:sz="4" w:space="0" w:color="AAABD6"/>
            </w:tcBorders>
          </w:tcPr>
          <w:p w14:paraId="6B76242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690</w:t>
            </w:r>
          </w:p>
        </w:tc>
        <w:tc>
          <w:tcPr>
            <w:tcW w:w="567" w:type="dxa"/>
            <w:tcBorders>
              <w:top w:val="dotted" w:sz="4" w:space="0" w:color="AAABD6"/>
              <w:left w:val="single" w:sz="4" w:space="0" w:color="AAABD6"/>
              <w:bottom w:val="dotted" w:sz="4" w:space="0" w:color="AAABD6"/>
              <w:right w:val="single" w:sz="4" w:space="0" w:color="AAABD6"/>
            </w:tcBorders>
          </w:tcPr>
          <w:p w14:paraId="2E55154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723</w:t>
            </w:r>
          </w:p>
        </w:tc>
        <w:tc>
          <w:tcPr>
            <w:tcW w:w="567" w:type="dxa"/>
            <w:tcBorders>
              <w:top w:val="dotted" w:sz="4" w:space="0" w:color="AAABD6"/>
              <w:left w:val="single" w:sz="4" w:space="0" w:color="AAABD6"/>
              <w:bottom w:val="dotted" w:sz="4" w:space="0" w:color="AAABD6"/>
              <w:right w:val="single" w:sz="4" w:space="0" w:color="AAABD6"/>
            </w:tcBorders>
          </w:tcPr>
          <w:p w14:paraId="111D1D7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757</w:t>
            </w:r>
          </w:p>
        </w:tc>
        <w:tc>
          <w:tcPr>
            <w:tcW w:w="567" w:type="dxa"/>
            <w:tcBorders>
              <w:top w:val="dotted" w:sz="4" w:space="0" w:color="AAABD6"/>
              <w:left w:val="single" w:sz="4" w:space="0" w:color="AAABD6"/>
              <w:bottom w:val="dotted" w:sz="4" w:space="0" w:color="AAABD6"/>
              <w:right w:val="single" w:sz="4" w:space="0" w:color="AAABD6"/>
            </w:tcBorders>
          </w:tcPr>
          <w:p w14:paraId="2500BA5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794</w:t>
            </w:r>
          </w:p>
        </w:tc>
        <w:tc>
          <w:tcPr>
            <w:tcW w:w="567" w:type="dxa"/>
            <w:tcBorders>
              <w:top w:val="dotted" w:sz="4" w:space="0" w:color="AAABD6"/>
              <w:left w:val="single" w:sz="4" w:space="0" w:color="AAABD6"/>
              <w:bottom w:val="dotted" w:sz="4" w:space="0" w:color="AAABD6"/>
              <w:right w:val="single" w:sz="4" w:space="0" w:color="AAABD6"/>
            </w:tcBorders>
          </w:tcPr>
          <w:p w14:paraId="27FA9B5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831</w:t>
            </w:r>
          </w:p>
        </w:tc>
        <w:tc>
          <w:tcPr>
            <w:tcW w:w="567" w:type="dxa"/>
            <w:tcBorders>
              <w:top w:val="dotted" w:sz="4" w:space="0" w:color="AAABD6"/>
              <w:left w:val="single" w:sz="4" w:space="0" w:color="AAABD6"/>
              <w:bottom w:val="dotted" w:sz="4" w:space="0" w:color="AAABD6"/>
              <w:right w:val="single" w:sz="4" w:space="0" w:color="AAABD6"/>
            </w:tcBorders>
          </w:tcPr>
          <w:p w14:paraId="54252CD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871</w:t>
            </w:r>
          </w:p>
        </w:tc>
        <w:tc>
          <w:tcPr>
            <w:tcW w:w="567" w:type="dxa"/>
            <w:tcBorders>
              <w:top w:val="dotted" w:sz="4" w:space="0" w:color="AAABD6"/>
              <w:left w:val="single" w:sz="4" w:space="0" w:color="AAABD6"/>
              <w:bottom w:val="dotted" w:sz="4" w:space="0" w:color="AAABD6"/>
              <w:right w:val="single" w:sz="4" w:space="0" w:color="AAABD6"/>
            </w:tcBorders>
          </w:tcPr>
          <w:p w14:paraId="3137349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912</w:t>
            </w:r>
          </w:p>
        </w:tc>
        <w:tc>
          <w:tcPr>
            <w:tcW w:w="567" w:type="dxa"/>
            <w:tcBorders>
              <w:top w:val="dotted" w:sz="4" w:space="0" w:color="AAABD6"/>
              <w:left w:val="single" w:sz="4" w:space="0" w:color="AAABD6"/>
              <w:bottom w:val="dotted" w:sz="4" w:space="0" w:color="AAABD6"/>
              <w:right w:val="single" w:sz="4" w:space="0" w:color="AAABD6"/>
            </w:tcBorders>
          </w:tcPr>
          <w:p w14:paraId="2DE8521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956</w:t>
            </w:r>
          </w:p>
        </w:tc>
        <w:tc>
          <w:tcPr>
            <w:tcW w:w="567" w:type="dxa"/>
            <w:tcBorders>
              <w:top w:val="dotted" w:sz="4" w:space="0" w:color="AAABD6"/>
              <w:left w:val="single" w:sz="4" w:space="0" w:color="AAABD6"/>
              <w:bottom w:val="dotted" w:sz="4" w:space="0" w:color="AAABD6"/>
              <w:right w:val="single" w:sz="4" w:space="0" w:color="AAABD6"/>
            </w:tcBorders>
          </w:tcPr>
          <w:p w14:paraId="44A193F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1,001</w:t>
            </w:r>
          </w:p>
        </w:tc>
        <w:tc>
          <w:tcPr>
            <w:tcW w:w="567" w:type="dxa"/>
            <w:tcBorders>
              <w:top w:val="dotted" w:sz="4" w:space="0" w:color="AAABD6"/>
              <w:left w:val="single" w:sz="4" w:space="0" w:color="AAABD6"/>
              <w:bottom w:val="dotted" w:sz="4" w:space="0" w:color="AAABD6"/>
              <w:right w:val="single" w:sz="4" w:space="0" w:color="AAABD6"/>
            </w:tcBorders>
          </w:tcPr>
          <w:p w14:paraId="05B66E9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1,049</w:t>
            </w:r>
          </w:p>
        </w:tc>
        <w:tc>
          <w:tcPr>
            <w:tcW w:w="567" w:type="dxa"/>
            <w:tcBorders>
              <w:top w:val="dotted" w:sz="4" w:space="0" w:color="AAABD6"/>
              <w:left w:val="single" w:sz="4" w:space="0" w:color="AAABD6"/>
              <w:bottom w:val="dotted" w:sz="4" w:space="0" w:color="AAABD6"/>
              <w:right w:val="single" w:sz="4" w:space="0" w:color="AAABD6"/>
            </w:tcBorders>
          </w:tcPr>
          <w:p w14:paraId="42BDFE2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1,099</w:t>
            </w:r>
          </w:p>
        </w:tc>
      </w:tr>
      <w:tr w:rsidR="00F02371" w:rsidRPr="00100F0A" w14:paraId="15EF3050"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568" w:type="dxa"/>
            <w:vMerge/>
            <w:tcBorders>
              <w:left w:val="single" w:sz="4" w:space="0" w:color="AAABD6"/>
              <w:bottom w:val="single" w:sz="4" w:space="0" w:color="AAABD6"/>
              <w:right w:val="single" w:sz="4" w:space="0" w:color="AAABD6"/>
            </w:tcBorders>
          </w:tcPr>
          <w:p w14:paraId="6EE06433" w14:textId="77777777" w:rsidR="00F02371" w:rsidRPr="00100F0A" w:rsidRDefault="00F02371" w:rsidP="002169F6">
            <w:pPr>
              <w:rPr>
                <w:sz w:val="16"/>
                <w:szCs w:val="16"/>
              </w:rPr>
            </w:pPr>
          </w:p>
        </w:tc>
        <w:tc>
          <w:tcPr>
            <w:tcW w:w="1134" w:type="dxa"/>
            <w:tcBorders>
              <w:top w:val="dotted" w:sz="4" w:space="0" w:color="AAABD6"/>
              <w:left w:val="single" w:sz="4" w:space="0" w:color="AAABD6"/>
              <w:bottom w:val="dotted" w:sz="4" w:space="0" w:color="AAABD6"/>
              <w:right w:val="single" w:sz="4" w:space="0" w:color="AAABD6"/>
            </w:tcBorders>
          </w:tcPr>
          <w:p w14:paraId="3170FDE7"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Qld</w:t>
            </w:r>
          </w:p>
        </w:tc>
        <w:tc>
          <w:tcPr>
            <w:tcW w:w="2126" w:type="dxa"/>
            <w:vMerge/>
            <w:tcBorders>
              <w:left w:val="single" w:sz="4" w:space="0" w:color="AAABD6"/>
              <w:right w:val="single" w:sz="4" w:space="0" w:color="AAABD6"/>
            </w:tcBorders>
          </w:tcPr>
          <w:p w14:paraId="56C946AE"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1132" w:type="dxa"/>
            <w:gridSpan w:val="2"/>
            <w:vMerge/>
            <w:tcBorders>
              <w:left w:val="single" w:sz="4" w:space="0" w:color="AAABD6"/>
              <w:right w:val="single" w:sz="4" w:space="0" w:color="AAABD6"/>
            </w:tcBorders>
          </w:tcPr>
          <w:p w14:paraId="3966CD3E" w14:textId="7CED7AC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31" w:type="dxa"/>
            <w:tcBorders>
              <w:top w:val="dotted" w:sz="4" w:space="0" w:color="AAABD6"/>
              <w:left w:val="single" w:sz="4" w:space="0" w:color="AAABD6"/>
              <w:bottom w:val="dotted" w:sz="4" w:space="0" w:color="AAABD6"/>
              <w:right w:val="single" w:sz="4" w:space="0" w:color="AAABD6"/>
            </w:tcBorders>
          </w:tcPr>
          <w:p w14:paraId="37DCA8D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67" w:type="dxa"/>
            <w:tcBorders>
              <w:top w:val="dotted" w:sz="4" w:space="0" w:color="AAABD6"/>
              <w:left w:val="single" w:sz="4" w:space="0" w:color="AAABD6"/>
              <w:bottom w:val="dotted" w:sz="4" w:space="0" w:color="AAABD6"/>
              <w:right w:val="single" w:sz="4" w:space="0" w:color="AAABD6"/>
            </w:tcBorders>
          </w:tcPr>
          <w:p w14:paraId="2745ADA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27</w:t>
            </w:r>
          </w:p>
        </w:tc>
        <w:tc>
          <w:tcPr>
            <w:tcW w:w="567" w:type="dxa"/>
            <w:tcBorders>
              <w:top w:val="dotted" w:sz="4" w:space="0" w:color="AAABD6"/>
              <w:left w:val="single" w:sz="4" w:space="0" w:color="AAABD6"/>
              <w:bottom w:val="dotted" w:sz="4" w:space="0" w:color="AAABD6"/>
              <w:right w:val="single" w:sz="4" w:space="0" w:color="AAABD6"/>
            </w:tcBorders>
          </w:tcPr>
          <w:p w14:paraId="3724857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28</w:t>
            </w:r>
          </w:p>
        </w:tc>
        <w:tc>
          <w:tcPr>
            <w:tcW w:w="567" w:type="dxa"/>
            <w:tcBorders>
              <w:top w:val="dotted" w:sz="4" w:space="0" w:color="AAABD6"/>
              <w:left w:val="single" w:sz="4" w:space="0" w:color="AAABD6"/>
              <w:bottom w:val="dotted" w:sz="4" w:space="0" w:color="AAABD6"/>
              <w:right w:val="single" w:sz="4" w:space="0" w:color="AAABD6"/>
            </w:tcBorders>
          </w:tcPr>
          <w:p w14:paraId="0F20E1E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30</w:t>
            </w:r>
          </w:p>
        </w:tc>
        <w:tc>
          <w:tcPr>
            <w:tcW w:w="567" w:type="dxa"/>
            <w:tcBorders>
              <w:top w:val="dotted" w:sz="4" w:space="0" w:color="AAABD6"/>
              <w:left w:val="single" w:sz="4" w:space="0" w:color="AAABD6"/>
              <w:bottom w:val="dotted" w:sz="4" w:space="0" w:color="AAABD6"/>
              <w:right w:val="single" w:sz="4" w:space="0" w:color="AAABD6"/>
            </w:tcBorders>
          </w:tcPr>
          <w:p w14:paraId="7B86185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31</w:t>
            </w:r>
          </w:p>
        </w:tc>
        <w:tc>
          <w:tcPr>
            <w:tcW w:w="567" w:type="dxa"/>
            <w:tcBorders>
              <w:top w:val="dotted" w:sz="4" w:space="0" w:color="AAABD6"/>
              <w:left w:val="single" w:sz="4" w:space="0" w:color="AAABD6"/>
              <w:bottom w:val="dotted" w:sz="4" w:space="0" w:color="AAABD6"/>
              <w:right w:val="single" w:sz="4" w:space="0" w:color="AAABD6"/>
            </w:tcBorders>
          </w:tcPr>
          <w:p w14:paraId="6260331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11,907</w:t>
            </w:r>
          </w:p>
        </w:tc>
        <w:tc>
          <w:tcPr>
            <w:tcW w:w="567" w:type="dxa"/>
            <w:tcBorders>
              <w:top w:val="dotted" w:sz="4" w:space="0" w:color="AAABD6"/>
              <w:left w:val="single" w:sz="4" w:space="0" w:color="AAABD6"/>
              <w:bottom w:val="dotted" w:sz="4" w:space="0" w:color="AAABD6"/>
              <w:right w:val="single" w:sz="4" w:space="0" w:color="AAABD6"/>
            </w:tcBorders>
          </w:tcPr>
          <w:p w14:paraId="1F940A6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12,474</w:t>
            </w:r>
          </w:p>
        </w:tc>
        <w:tc>
          <w:tcPr>
            <w:tcW w:w="567" w:type="dxa"/>
            <w:tcBorders>
              <w:top w:val="dotted" w:sz="4" w:space="0" w:color="AAABD6"/>
              <w:left w:val="single" w:sz="4" w:space="0" w:color="AAABD6"/>
              <w:bottom w:val="dotted" w:sz="4" w:space="0" w:color="AAABD6"/>
              <w:right w:val="single" w:sz="4" w:space="0" w:color="AAABD6"/>
            </w:tcBorders>
          </w:tcPr>
          <w:p w14:paraId="0D5F516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13,068</w:t>
            </w:r>
          </w:p>
        </w:tc>
        <w:tc>
          <w:tcPr>
            <w:tcW w:w="567" w:type="dxa"/>
            <w:tcBorders>
              <w:top w:val="dotted" w:sz="4" w:space="0" w:color="AAABD6"/>
              <w:left w:val="single" w:sz="4" w:space="0" w:color="AAABD6"/>
              <w:bottom w:val="dotted" w:sz="4" w:space="0" w:color="AAABD6"/>
              <w:right w:val="single" w:sz="4" w:space="0" w:color="AAABD6"/>
            </w:tcBorders>
          </w:tcPr>
          <w:p w14:paraId="1CC3BE2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13,690</w:t>
            </w:r>
          </w:p>
        </w:tc>
        <w:tc>
          <w:tcPr>
            <w:tcW w:w="567" w:type="dxa"/>
            <w:tcBorders>
              <w:top w:val="dotted" w:sz="4" w:space="0" w:color="AAABD6"/>
              <w:left w:val="single" w:sz="4" w:space="0" w:color="AAABD6"/>
              <w:bottom w:val="dotted" w:sz="4" w:space="0" w:color="AAABD6"/>
              <w:right w:val="single" w:sz="4" w:space="0" w:color="AAABD6"/>
            </w:tcBorders>
          </w:tcPr>
          <w:p w14:paraId="1C62CC2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14,341</w:t>
            </w:r>
          </w:p>
        </w:tc>
        <w:tc>
          <w:tcPr>
            <w:tcW w:w="567" w:type="dxa"/>
            <w:tcBorders>
              <w:top w:val="dotted" w:sz="4" w:space="0" w:color="AAABD6"/>
              <w:left w:val="single" w:sz="4" w:space="0" w:color="AAABD6"/>
              <w:bottom w:val="dotted" w:sz="4" w:space="0" w:color="AAABD6"/>
              <w:right w:val="single" w:sz="4" w:space="0" w:color="AAABD6"/>
            </w:tcBorders>
          </w:tcPr>
          <w:p w14:paraId="153F339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15,024</w:t>
            </w:r>
          </w:p>
        </w:tc>
        <w:tc>
          <w:tcPr>
            <w:tcW w:w="567" w:type="dxa"/>
            <w:tcBorders>
              <w:top w:val="dotted" w:sz="4" w:space="0" w:color="AAABD6"/>
              <w:left w:val="single" w:sz="4" w:space="0" w:color="AAABD6"/>
              <w:bottom w:val="dotted" w:sz="4" w:space="0" w:color="AAABD6"/>
              <w:right w:val="single" w:sz="4" w:space="0" w:color="AAABD6"/>
            </w:tcBorders>
          </w:tcPr>
          <w:p w14:paraId="34ABC50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15,739</w:t>
            </w:r>
          </w:p>
        </w:tc>
        <w:tc>
          <w:tcPr>
            <w:tcW w:w="567" w:type="dxa"/>
            <w:tcBorders>
              <w:top w:val="dotted" w:sz="4" w:space="0" w:color="AAABD6"/>
              <w:left w:val="single" w:sz="4" w:space="0" w:color="AAABD6"/>
              <w:bottom w:val="dotted" w:sz="4" w:space="0" w:color="AAABD6"/>
              <w:right w:val="single" w:sz="4" w:space="0" w:color="AAABD6"/>
            </w:tcBorders>
          </w:tcPr>
          <w:p w14:paraId="3CB2AA2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16,489</w:t>
            </w:r>
          </w:p>
        </w:tc>
        <w:tc>
          <w:tcPr>
            <w:tcW w:w="567" w:type="dxa"/>
            <w:tcBorders>
              <w:top w:val="dotted" w:sz="4" w:space="0" w:color="AAABD6"/>
              <w:left w:val="single" w:sz="4" w:space="0" w:color="AAABD6"/>
              <w:bottom w:val="dotted" w:sz="4" w:space="0" w:color="AAABD6"/>
              <w:right w:val="single" w:sz="4" w:space="0" w:color="AAABD6"/>
            </w:tcBorders>
          </w:tcPr>
          <w:p w14:paraId="2D37A49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17,273</w:t>
            </w:r>
          </w:p>
        </w:tc>
        <w:tc>
          <w:tcPr>
            <w:tcW w:w="567" w:type="dxa"/>
            <w:tcBorders>
              <w:top w:val="dotted" w:sz="4" w:space="0" w:color="AAABD6"/>
              <w:left w:val="single" w:sz="4" w:space="0" w:color="AAABD6"/>
              <w:bottom w:val="dotted" w:sz="4" w:space="0" w:color="AAABD6"/>
              <w:right w:val="single" w:sz="4" w:space="0" w:color="AAABD6"/>
            </w:tcBorders>
          </w:tcPr>
          <w:p w14:paraId="4AB214B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18,096</w:t>
            </w:r>
          </w:p>
        </w:tc>
        <w:tc>
          <w:tcPr>
            <w:tcW w:w="567" w:type="dxa"/>
            <w:tcBorders>
              <w:top w:val="dotted" w:sz="4" w:space="0" w:color="AAABD6"/>
              <w:left w:val="single" w:sz="4" w:space="0" w:color="AAABD6"/>
              <w:bottom w:val="dotted" w:sz="4" w:space="0" w:color="AAABD6"/>
              <w:right w:val="single" w:sz="4" w:space="0" w:color="AAABD6"/>
            </w:tcBorders>
          </w:tcPr>
          <w:p w14:paraId="2CD089F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18,957</w:t>
            </w:r>
          </w:p>
        </w:tc>
        <w:tc>
          <w:tcPr>
            <w:tcW w:w="567" w:type="dxa"/>
            <w:tcBorders>
              <w:top w:val="dotted" w:sz="4" w:space="0" w:color="AAABD6"/>
              <w:left w:val="single" w:sz="4" w:space="0" w:color="AAABD6"/>
              <w:bottom w:val="dotted" w:sz="4" w:space="0" w:color="AAABD6"/>
              <w:right w:val="single" w:sz="4" w:space="0" w:color="AAABD6"/>
            </w:tcBorders>
          </w:tcPr>
          <w:p w14:paraId="574A97E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19,860</w:t>
            </w:r>
          </w:p>
        </w:tc>
        <w:tc>
          <w:tcPr>
            <w:tcW w:w="567" w:type="dxa"/>
            <w:tcBorders>
              <w:top w:val="dotted" w:sz="4" w:space="0" w:color="AAABD6"/>
              <w:left w:val="single" w:sz="4" w:space="0" w:color="AAABD6"/>
              <w:bottom w:val="dotted" w:sz="4" w:space="0" w:color="AAABD6"/>
              <w:right w:val="single" w:sz="4" w:space="0" w:color="AAABD6"/>
            </w:tcBorders>
          </w:tcPr>
          <w:p w14:paraId="63B1A54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20,805</w:t>
            </w:r>
          </w:p>
        </w:tc>
        <w:tc>
          <w:tcPr>
            <w:tcW w:w="567" w:type="dxa"/>
            <w:tcBorders>
              <w:top w:val="dotted" w:sz="4" w:space="0" w:color="AAABD6"/>
              <w:left w:val="single" w:sz="4" w:space="0" w:color="AAABD6"/>
              <w:bottom w:val="dotted" w:sz="4" w:space="0" w:color="AAABD6"/>
              <w:right w:val="single" w:sz="4" w:space="0" w:color="AAABD6"/>
            </w:tcBorders>
          </w:tcPr>
          <w:p w14:paraId="311F398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21,795</w:t>
            </w:r>
          </w:p>
        </w:tc>
      </w:tr>
      <w:tr w:rsidR="00F02371" w:rsidRPr="00100F0A" w14:paraId="30ED5591"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568" w:type="dxa"/>
            <w:vMerge/>
            <w:tcBorders>
              <w:left w:val="single" w:sz="4" w:space="0" w:color="AAABD6"/>
              <w:bottom w:val="single" w:sz="4" w:space="0" w:color="AAABD6"/>
              <w:right w:val="single" w:sz="4" w:space="0" w:color="AAABD6"/>
            </w:tcBorders>
          </w:tcPr>
          <w:p w14:paraId="141D23FD" w14:textId="77777777" w:rsidR="00F02371" w:rsidRPr="00100F0A" w:rsidRDefault="00F02371" w:rsidP="002169F6">
            <w:pPr>
              <w:rPr>
                <w:sz w:val="16"/>
                <w:szCs w:val="16"/>
              </w:rPr>
            </w:pPr>
          </w:p>
        </w:tc>
        <w:tc>
          <w:tcPr>
            <w:tcW w:w="1134" w:type="dxa"/>
            <w:tcBorders>
              <w:top w:val="dotted" w:sz="4" w:space="0" w:color="AAABD6"/>
              <w:left w:val="single" w:sz="4" w:space="0" w:color="AAABD6"/>
              <w:bottom w:val="dotted" w:sz="4" w:space="0" w:color="AAABD6"/>
              <w:right w:val="single" w:sz="4" w:space="0" w:color="AAABD6"/>
            </w:tcBorders>
          </w:tcPr>
          <w:p w14:paraId="3CFA59DB"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SA</w:t>
            </w:r>
          </w:p>
        </w:tc>
        <w:tc>
          <w:tcPr>
            <w:tcW w:w="2126" w:type="dxa"/>
            <w:vMerge/>
            <w:tcBorders>
              <w:left w:val="single" w:sz="4" w:space="0" w:color="AAABD6"/>
              <w:right w:val="single" w:sz="4" w:space="0" w:color="AAABD6"/>
            </w:tcBorders>
          </w:tcPr>
          <w:p w14:paraId="6B560232"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1132" w:type="dxa"/>
            <w:gridSpan w:val="2"/>
            <w:vMerge/>
            <w:tcBorders>
              <w:left w:val="single" w:sz="4" w:space="0" w:color="AAABD6"/>
              <w:right w:val="single" w:sz="4" w:space="0" w:color="AAABD6"/>
            </w:tcBorders>
          </w:tcPr>
          <w:p w14:paraId="3B5A187C" w14:textId="4C14AED4"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31" w:type="dxa"/>
            <w:tcBorders>
              <w:top w:val="dotted" w:sz="4" w:space="0" w:color="AAABD6"/>
              <w:left w:val="single" w:sz="4" w:space="0" w:color="AAABD6"/>
              <w:bottom w:val="dotted" w:sz="4" w:space="0" w:color="AAABD6"/>
              <w:right w:val="single" w:sz="4" w:space="0" w:color="AAABD6"/>
            </w:tcBorders>
          </w:tcPr>
          <w:p w14:paraId="0A6A323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67" w:type="dxa"/>
            <w:tcBorders>
              <w:top w:val="dotted" w:sz="4" w:space="0" w:color="AAABD6"/>
              <w:left w:val="single" w:sz="4" w:space="0" w:color="AAABD6"/>
              <w:bottom w:val="dotted" w:sz="4" w:space="0" w:color="AAABD6"/>
              <w:right w:val="single" w:sz="4" w:space="0" w:color="AAABD6"/>
            </w:tcBorders>
          </w:tcPr>
          <w:p w14:paraId="2714B09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9</w:t>
            </w:r>
          </w:p>
        </w:tc>
        <w:tc>
          <w:tcPr>
            <w:tcW w:w="567" w:type="dxa"/>
            <w:tcBorders>
              <w:top w:val="dotted" w:sz="4" w:space="0" w:color="AAABD6"/>
              <w:left w:val="single" w:sz="4" w:space="0" w:color="AAABD6"/>
              <w:bottom w:val="dotted" w:sz="4" w:space="0" w:color="AAABD6"/>
              <w:right w:val="single" w:sz="4" w:space="0" w:color="AAABD6"/>
            </w:tcBorders>
          </w:tcPr>
          <w:p w14:paraId="5FC8219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9</w:t>
            </w:r>
          </w:p>
        </w:tc>
        <w:tc>
          <w:tcPr>
            <w:tcW w:w="567" w:type="dxa"/>
            <w:tcBorders>
              <w:top w:val="dotted" w:sz="4" w:space="0" w:color="AAABD6"/>
              <w:left w:val="single" w:sz="4" w:space="0" w:color="AAABD6"/>
              <w:bottom w:val="dotted" w:sz="4" w:space="0" w:color="AAABD6"/>
              <w:right w:val="single" w:sz="4" w:space="0" w:color="AAABD6"/>
            </w:tcBorders>
          </w:tcPr>
          <w:p w14:paraId="1BBDA4A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10</w:t>
            </w:r>
          </w:p>
        </w:tc>
        <w:tc>
          <w:tcPr>
            <w:tcW w:w="567" w:type="dxa"/>
            <w:tcBorders>
              <w:top w:val="dotted" w:sz="4" w:space="0" w:color="AAABD6"/>
              <w:left w:val="single" w:sz="4" w:space="0" w:color="AAABD6"/>
              <w:bottom w:val="dotted" w:sz="4" w:space="0" w:color="AAABD6"/>
              <w:right w:val="single" w:sz="4" w:space="0" w:color="AAABD6"/>
            </w:tcBorders>
          </w:tcPr>
          <w:p w14:paraId="55626BB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10</w:t>
            </w:r>
          </w:p>
        </w:tc>
        <w:tc>
          <w:tcPr>
            <w:tcW w:w="567" w:type="dxa"/>
            <w:tcBorders>
              <w:top w:val="dotted" w:sz="4" w:space="0" w:color="AAABD6"/>
              <w:left w:val="single" w:sz="4" w:space="0" w:color="AAABD6"/>
              <w:bottom w:val="dotted" w:sz="4" w:space="0" w:color="AAABD6"/>
              <w:right w:val="single" w:sz="4" w:space="0" w:color="AAABD6"/>
            </w:tcBorders>
          </w:tcPr>
          <w:p w14:paraId="3BCC200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3,993</w:t>
            </w:r>
          </w:p>
        </w:tc>
        <w:tc>
          <w:tcPr>
            <w:tcW w:w="567" w:type="dxa"/>
            <w:tcBorders>
              <w:top w:val="dotted" w:sz="4" w:space="0" w:color="AAABD6"/>
              <w:left w:val="single" w:sz="4" w:space="0" w:color="AAABD6"/>
              <w:bottom w:val="dotted" w:sz="4" w:space="0" w:color="AAABD6"/>
              <w:right w:val="single" w:sz="4" w:space="0" w:color="AAABD6"/>
            </w:tcBorders>
          </w:tcPr>
          <w:p w14:paraId="20F59BB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4,183</w:t>
            </w:r>
          </w:p>
        </w:tc>
        <w:tc>
          <w:tcPr>
            <w:tcW w:w="567" w:type="dxa"/>
            <w:tcBorders>
              <w:top w:val="dotted" w:sz="4" w:space="0" w:color="AAABD6"/>
              <w:left w:val="single" w:sz="4" w:space="0" w:color="AAABD6"/>
              <w:bottom w:val="dotted" w:sz="4" w:space="0" w:color="AAABD6"/>
              <w:right w:val="single" w:sz="4" w:space="0" w:color="AAABD6"/>
            </w:tcBorders>
          </w:tcPr>
          <w:p w14:paraId="09646A6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4,383</w:t>
            </w:r>
          </w:p>
        </w:tc>
        <w:tc>
          <w:tcPr>
            <w:tcW w:w="567" w:type="dxa"/>
            <w:tcBorders>
              <w:top w:val="dotted" w:sz="4" w:space="0" w:color="AAABD6"/>
              <w:left w:val="single" w:sz="4" w:space="0" w:color="AAABD6"/>
              <w:bottom w:val="dotted" w:sz="4" w:space="0" w:color="AAABD6"/>
              <w:right w:val="single" w:sz="4" w:space="0" w:color="AAABD6"/>
            </w:tcBorders>
          </w:tcPr>
          <w:p w14:paraId="6C534CA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4,591</w:t>
            </w:r>
          </w:p>
        </w:tc>
        <w:tc>
          <w:tcPr>
            <w:tcW w:w="567" w:type="dxa"/>
            <w:tcBorders>
              <w:top w:val="dotted" w:sz="4" w:space="0" w:color="AAABD6"/>
              <w:left w:val="single" w:sz="4" w:space="0" w:color="AAABD6"/>
              <w:bottom w:val="dotted" w:sz="4" w:space="0" w:color="AAABD6"/>
              <w:right w:val="single" w:sz="4" w:space="0" w:color="AAABD6"/>
            </w:tcBorders>
          </w:tcPr>
          <w:p w14:paraId="52B0B54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4,810</w:t>
            </w:r>
          </w:p>
        </w:tc>
        <w:tc>
          <w:tcPr>
            <w:tcW w:w="567" w:type="dxa"/>
            <w:tcBorders>
              <w:top w:val="dotted" w:sz="4" w:space="0" w:color="AAABD6"/>
              <w:left w:val="single" w:sz="4" w:space="0" w:color="AAABD6"/>
              <w:bottom w:val="dotted" w:sz="4" w:space="0" w:color="AAABD6"/>
              <w:right w:val="single" w:sz="4" w:space="0" w:color="AAABD6"/>
            </w:tcBorders>
          </w:tcPr>
          <w:p w14:paraId="602836F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5,039</w:t>
            </w:r>
          </w:p>
        </w:tc>
        <w:tc>
          <w:tcPr>
            <w:tcW w:w="567" w:type="dxa"/>
            <w:tcBorders>
              <w:top w:val="dotted" w:sz="4" w:space="0" w:color="AAABD6"/>
              <w:left w:val="single" w:sz="4" w:space="0" w:color="AAABD6"/>
              <w:bottom w:val="dotted" w:sz="4" w:space="0" w:color="AAABD6"/>
              <w:right w:val="single" w:sz="4" w:space="0" w:color="AAABD6"/>
            </w:tcBorders>
          </w:tcPr>
          <w:p w14:paraId="01D0B1F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5,279</w:t>
            </w:r>
          </w:p>
        </w:tc>
        <w:tc>
          <w:tcPr>
            <w:tcW w:w="567" w:type="dxa"/>
            <w:tcBorders>
              <w:top w:val="dotted" w:sz="4" w:space="0" w:color="AAABD6"/>
              <w:left w:val="single" w:sz="4" w:space="0" w:color="AAABD6"/>
              <w:bottom w:val="dotted" w:sz="4" w:space="0" w:color="AAABD6"/>
              <w:right w:val="single" w:sz="4" w:space="0" w:color="AAABD6"/>
            </w:tcBorders>
          </w:tcPr>
          <w:p w14:paraId="3E471DB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5,530</w:t>
            </w:r>
          </w:p>
        </w:tc>
        <w:tc>
          <w:tcPr>
            <w:tcW w:w="567" w:type="dxa"/>
            <w:tcBorders>
              <w:top w:val="dotted" w:sz="4" w:space="0" w:color="AAABD6"/>
              <w:left w:val="single" w:sz="4" w:space="0" w:color="AAABD6"/>
              <w:bottom w:val="dotted" w:sz="4" w:space="0" w:color="AAABD6"/>
              <w:right w:val="single" w:sz="4" w:space="0" w:color="AAABD6"/>
            </w:tcBorders>
          </w:tcPr>
          <w:p w14:paraId="494C44B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5,793</w:t>
            </w:r>
          </w:p>
        </w:tc>
        <w:tc>
          <w:tcPr>
            <w:tcW w:w="567" w:type="dxa"/>
            <w:tcBorders>
              <w:top w:val="dotted" w:sz="4" w:space="0" w:color="AAABD6"/>
              <w:left w:val="single" w:sz="4" w:space="0" w:color="AAABD6"/>
              <w:bottom w:val="dotted" w:sz="4" w:space="0" w:color="AAABD6"/>
              <w:right w:val="single" w:sz="4" w:space="0" w:color="AAABD6"/>
            </w:tcBorders>
          </w:tcPr>
          <w:p w14:paraId="0DF5BAD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6,069</w:t>
            </w:r>
          </w:p>
        </w:tc>
        <w:tc>
          <w:tcPr>
            <w:tcW w:w="567" w:type="dxa"/>
            <w:tcBorders>
              <w:top w:val="dotted" w:sz="4" w:space="0" w:color="AAABD6"/>
              <w:left w:val="single" w:sz="4" w:space="0" w:color="AAABD6"/>
              <w:bottom w:val="dotted" w:sz="4" w:space="0" w:color="AAABD6"/>
              <w:right w:val="single" w:sz="4" w:space="0" w:color="AAABD6"/>
            </w:tcBorders>
          </w:tcPr>
          <w:p w14:paraId="270C813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6,358</w:t>
            </w:r>
          </w:p>
        </w:tc>
        <w:tc>
          <w:tcPr>
            <w:tcW w:w="567" w:type="dxa"/>
            <w:tcBorders>
              <w:top w:val="dotted" w:sz="4" w:space="0" w:color="AAABD6"/>
              <w:left w:val="single" w:sz="4" w:space="0" w:color="AAABD6"/>
              <w:bottom w:val="dotted" w:sz="4" w:space="0" w:color="AAABD6"/>
              <w:right w:val="single" w:sz="4" w:space="0" w:color="AAABD6"/>
            </w:tcBorders>
          </w:tcPr>
          <w:p w14:paraId="25C6425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6,661</w:t>
            </w:r>
          </w:p>
        </w:tc>
        <w:tc>
          <w:tcPr>
            <w:tcW w:w="567" w:type="dxa"/>
            <w:tcBorders>
              <w:top w:val="dotted" w:sz="4" w:space="0" w:color="AAABD6"/>
              <w:left w:val="single" w:sz="4" w:space="0" w:color="AAABD6"/>
              <w:bottom w:val="dotted" w:sz="4" w:space="0" w:color="AAABD6"/>
              <w:right w:val="single" w:sz="4" w:space="0" w:color="AAABD6"/>
            </w:tcBorders>
          </w:tcPr>
          <w:p w14:paraId="41ED081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6,978</w:t>
            </w:r>
          </w:p>
        </w:tc>
        <w:tc>
          <w:tcPr>
            <w:tcW w:w="567" w:type="dxa"/>
            <w:tcBorders>
              <w:top w:val="dotted" w:sz="4" w:space="0" w:color="AAABD6"/>
              <w:left w:val="single" w:sz="4" w:space="0" w:color="AAABD6"/>
              <w:bottom w:val="dotted" w:sz="4" w:space="0" w:color="AAABD6"/>
              <w:right w:val="single" w:sz="4" w:space="0" w:color="AAABD6"/>
            </w:tcBorders>
          </w:tcPr>
          <w:p w14:paraId="3D5CEC9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7,310</w:t>
            </w:r>
          </w:p>
        </w:tc>
      </w:tr>
      <w:tr w:rsidR="00F02371" w:rsidRPr="00100F0A" w14:paraId="1E06F185"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568" w:type="dxa"/>
            <w:vMerge/>
            <w:tcBorders>
              <w:left w:val="single" w:sz="4" w:space="0" w:color="AAABD6"/>
              <w:bottom w:val="single" w:sz="4" w:space="0" w:color="AAABD6"/>
              <w:right w:val="single" w:sz="4" w:space="0" w:color="AAABD6"/>
            </w:tcBorders>
          </w:tcPr>
          <w:p w14:paraId="1BF8670E" w14:textId="77777777" w:rsidR="00F02371" w:rsidRPr="00100F0A" w:rsidRDefault="00F02371" w:rsidP="002169F6">
            <w:pPr>
              <w:rPr>
                <w:sz w:val="16"/>
                <w:szCs w:val="16"/>
              </w:rPr>
            </w:pPr>
          </w:p>
        </w:tc>
        <w:tc>
          <w:tcPr>
            <w:tcW w:w="1134" w:type="dxa"/>
            <w:tcBorders>
              <w:top w:val="dotted" w:sz="4" w:space="0" w:color="AAABD6"/>
              <w:left w:val="single" w:sz="4" w:space="0" w:color="AAABD6"/>
              <w:bottom w:val="dotted" w:sz="4" w:space="0" w:color="AAABD6"/>
              <w:right w:val="single" w:sz="4" w:space="0" w:color="AAABD6"/>
            </w:tcBorders>
          </w:tcPr>
          <w:p w14:paraId="23965396"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Tas</w:t>
            </w:r>
          </w:p>
        </w:tc>
        <w:tc>
          <w:tcPr>
            <w:tcW w:w="2126" w:type="dxa"/>
            <w:vMerge/>
            <w:tcBorders>
              <w:left w:val="single" w:sz="4" w:space="0" w:color="AAABD6"/>
              <w:right w:val="single" w:sz="4" w:space="0" w:color="AAABD6"/>
            </w:tcBorders>
          </w:tcPr>
          <w:p w14:paraId="5911709E"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1132" w:type="dxa"/>
            <w:gridSpan w:val="2"/>
            <w:vMerge/>
            <w:tcBorders>
              <w:left w:val="single" w:sz="4" w:space="0" w:color="AAABD6"/>
              <w:right w:val="single" w:sz="4" w:space="0" w:color="AAABD6"/>
            </w:tcBorders>
          </w:tcPr>
          <w:p w14:paraId="40B1FD3F" w14:textId="330C12F5"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31" w:type="dxa"/>
            <w:tcBorders>
              <w:top w:val="dotted" w:sz="4" w:space="0" w:color="AAABD6"/>
              <w:left w:val="single" w:sz="4" w:space="0" w:color="AAABD6"/>
              <w:bottom w:val="dotted" w:sz="4" w:space="0" w:color="AAABD6"/>
              <w:right w:val="single" w:sz="4" w:space="0" w:color="AAABD6"/>
            </w:tcBorders>
          </w:tcPr>
          <w:p w14:paraId="074D3F4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67" w:type="dxa"/>
            <w:tcBorders>
              <w:top w:val="dotted" w:sz="4" w:space="0" w:color="AAABD6"/>
              <w:left w:val="single" w:sz="4" w:space="0" w:color="AAABD6"/>
              <w:bottom w:val="dotted" w:sz="4" w:space="0" w:color="AAABD6"/>
              <w:right w:val="single" w:sz="4" w:space="0" w:color="AAABD6"/>
            </w:tcBorders>
          </w:tcPr>
          <w:p w14:paraId="3980E45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w:t>
            </w:r>
          </w:p>
        </w:tc>
        <w:tc>
          <w:tcPr>
            <w:tcW w:w="567" w:type="dxa"/>
            <w:tcBorders>
              <w:top w:val="dotted" w:sz="4" w:space="0" w:color="AAABD6"/>
              <w:left w:val="single" w:sz="4" w:space="0" w:color="AAABD6"/>
              <w:bottom w:val="dotted" w:sz="4" w:space="0" w:color="AAABD6"/>
              <w:right w:val="single" w:sz="4" w:space="0" w:color="AAABD6"/>
            </w:tcBorders>
          </w:tcPr>
          <w:p w14:paraId="20C42F1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w:t>
            </w:r>
          </w:p>
        </w:tc>
        <w:tc>
          <w:tcPr>
            <w:tcW w:w="567" w:type="dxa"/>
            <w:tcBorders>
              <w:top w:val="dotted" w:sz="4" w:space="0" w:color="AAABD6"/>
              <w:left w:val="single" w:sz="4" w:space="0" w:color="AAABD6"/>
              <w:bottom w:val="dotted" w:sz="4" w:space="0" w:color="AAABD6"/>
              <w:right w:val="single" w:sz="4" w:space="0" w:color="AAABD6"/>
            </w:tcBorders>
          </w:tcPr>
          <w:p w14:paraId="214ECD7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w:t>
            </w:r>
          </w:p>
        </w:tc>
        <w:tc>
          <w:tcPr>
            <w:tcW w:w="567" w:type="dxa"/>
            <w:tcBorders>
              <w:top w:val="dotted" w:sz="4" w:space="0" w:color="AAABD6"/>
              <w:left w:val="single" w:sz="4" w:space="0" w:color="AAABD6"/>
              <w:bottom w:val="dotted" w:sz="4" w:space="0" w:color="AAABD6"/>
              <w:right w:val="single" w:sz="4" w:space="0" w:color="AAABD6"/>
            </w:tcBorders>
          </w:tcPr>
          <w:p w14:paraId="672CEE5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w:t>
            </w:r>
          </w:p>
        </w:tc>
        <w:tc>
          <w:tcPr>
            <w:tcW w:w="567" w:type="dxa"/>
            <w:tcBorders>
              <w:top w:val="dotted" w:sz="4" w:space="0" w:color="AAABD6"/>
              <w:left w:val="single" w:sz="4" w:space="0" w:color="AAABD6"/>
              <w:bottom w:val="dotted" w:sz="4" w:space="0" w:color="AAABD6"/>
              <w:right w:val="single" w:sz="4" w:space="0" w:color="AAABD6"/>
            </w:tcBorders>
          </w:tcPr>
          <w:p w14:paraId="41C1AFC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1,188</w:t>
            </w:r>
          </w:p>
        </w:tc>
        <w:tc>
          <w:tcPr>
            <w:tcW w:w="567" w:type="dxa"/>
            <w:tcBorders>
              <w:top w:val="dotted" w:sz="4" w:space="0" w:color="AAABD6"/>
              <w:left w:val="single" w:sz="4" w:space="0" w:color="AAABD6"/>
              <w:bottom w:val="dotted" w:sz="4" w:space="0" w:color="AAABD6"/>
              <w:right w:val="single" w:sz="4" w:space="0" w:color="AAABD6"/>
            </w:tcBorders>
          </w:tcPr>
          <w:p w14:paraId="3E81CD3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1,244</w:t>
            </w:r>
          </w:p>
        </w:tc>
        <w:tc>
          <w:tcPr>
            <w:tcW w:w="567" w:type="dxa"/>
            <w:tcBorders>
              <w:top w:val="dotted" w:sz="4" w:space="0" w:color="AAABD6"/>
              <w:left w:val="single" w:sz="4" w:space="0" w:color="AAABD6"/>
              <w:bottom w:val="dotted" w:sz="4" w:space="0" w:color="AAABD6"/>
              <w:right w:val="single" w:sz="4" w:space="0" w:color="AAABD6"/>
            </w:tcBorders>
          </w:tcPr>
          <w:p w14:paraId="14A9D7D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1,303</w:t>
            </w:r>
          </w:p>
        </w:tc>
        <w:tc>
          <w:tcPr>
            <w:tcW w:w="567" w:type="dxa"/>
            <w:tcBorders>
              <w:top w:val="dotted" w:sz="4" w:space="0" w:color="AAABD6"/>
              <w:left w:val="single" w:sz="4" w:space="0" w:color="AAABD6"/>
              <w:bottom w:val="dotted" w:sz="4" w:space="0" w:color="AAABD6"/>
              <w:right w:val="single" w:sz="4" w:space="0" w:color="AAABD6"/>
            </w:tcBorders>
          </w:tcPr>
          <w:p w14:paraId="52C9794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1,365</w:t>
            </w:r>
          </w:p>
        </w:tc>
        <w:tc>
          <w:tcPr>
            <w:tcW w:w="567" w:type="dxa"/>
            <w:tcBorders>
              <w:top w:val="dotted" w:sz="4" w:space="0" w:color="AAABD6"/>
              <w:left w:val="single" w:sz="4" w:space="0" w:color="AAABD6"/>
              <w:bottom w:val="dotted" w:sz="4" w:space="0" w:color="AAABD6"/>
              <w:right w:val="single" w:sz="4" w:space="0" w:color="AAABD6"/>
            </w:tcBorders>
          </w:tcPr>
          <w:p w14:paraId="163E07B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1,430</w:t>
            </w:r>
          </w:p>
        </w:tc>
        <w:tc>
          <w:tcPr>
            <w:tcW w:w="567" w:type="dxa"/>
            <w:tcBorders>
              <w:top w:val="dotted" w:sz="4" w:space="0" w:color="AAABD6"/>
              <w:left w:val="single" w:sz="4" w:space="0" w:color="AAABD6"/>
              <w:bottom w:val="dotted" w:sz="4" w:space="0" w:color="AAABD6"/>
              <w:right w:val="single" w:sz="4" w:space="0" w:color="AAABD6"/>
            </w:tcBorders>
          </w:tcPr>
          <w:p w14:paraId="64BA9B1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1,498</w:t>
            </w:r>
          </w:p>
        </w:tc>
        <w:tc>
          <w:tcPr>
            <w:tcW w:w="567" w:type="dxa"/>
            <w:tcBorders>
              <w:top w:val="dotted" w:sz="4" w:space="0" w:color="AAABD6"/>
              <w:left w:val="single" w:sz="4" w:space="0" w:color="AAABD6"/>
              <w:bottom w:val="dotted" w:sz="4" w:space="0" w:color="AAABD6"/>
              <w:right w:val="single" w:sz="4" w:space="0" w:color="AAABD6"/>
            </w:tcBorders>
          </w:tcPr>
          <w:p w14:paraId="65DBE61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1,570</w:t>
            </w:r>
          </w:p>
        </w:tc>
        <w:tc>
          <w:tcPr>
            <w:tcW w:w="567" w:type="dxa"/>
            <w:tcBorders>
              <w:top w:val="dotted" w:sz="4" w:space="0" w:color="AAABD6"/>
              <w:left w:val="single" w:sz="4" w:space="0" w:color="AAABD6"/>
              <w:bottom w:val="dotted" w:sz="4" w:space="0" w:color="AAABD6"/>
              <w:right w:val="single" w:sz="4" w:space="0" w:color="AAABD6"/>
            </w:tcBorders>
          </w:tcPr>
          <w:p w14:paraId="4016F76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1,644</w:t>
            </w:r>
          </w:p>
        </w:tc>
        <w:tc>
          <w:tcPr>
            <w:tcW w:w="567" w:type="dxa"/>
            <w:tcBorders>
              <w:top w:val="dotted" w:sz="4" w:space="0" w:color="AAABD6"/>
              <w:left w:val="single" w:sz="4" w:space="0" w:color="AAABD6"/>
              <w:bottom w:val="dotted" w:sz="4" w:space="0" w:color="AAABD6"/>
              <w:right w:val="single" w:sz="4" w:space="0" w:color="AAABD6"/>
            </w:tcBorders>
          </w:tcPr>
          <w:p w14:paraId="4C1E8F6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1,723</w:t>
            </w:r>
          </w:p>
        </w:tc>
        <w:tc>
          <w:tcPr>
            <w:tcW w:w="567" w:type="dxa"/>
            <w:tcBorders>
              <w:top w:val="dotted" w:sz="4" w:space="0" w:color="AAABD6"/>
              <w:left w:val="single" w:sz="4" w:space="0" w:color="AAABD6"/>
              <w:bottom w:val="dotted" w:sz="4" w:space="0" w:color="AAABD6"/>
              <w:right w:val="single" w:sz="4" w:space="0" w:color="AAABD6"/>
            </w:tcBorders>
          </w:tcPr>
          <w:p w14:paraId="4B70197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1,805</w:t>
            </w:r>
          </w:p>
        </w:tc>
        <w:tc>
          <w:tcPr>
            <w:tcW w:w="567" w:type="dxa"/>
            <w:tcBorders>
              <w:top w:val="dotted" w:sz="4" w:space="0" w:color="AAABD6"/>
              <w:left w:val="single" w:sz="4" w:space="0" w:color="AAABD6"/>
              <w:bottom w:val="dotted" w:sz="4" w:space="0" w:color="AAABD6"/>
              <w:right w:val="single" w:sz="4" w:space="0" w:color="AAABD6"/>
            </w:tcBorders>
          </w:tcPr>
          <w:p w14:paraId="268EBDA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1,891</w:t>
            </w:r>
          </w:p>
        </w:tc>
        <w:tc>
          <w:tcPr>
            <w:tcW w:w="567" w:type="dxa"/>
            <w:tcBorders>
              <w:top w:val="dotted" w:sz="4" w:space="0" w:color="AAABD6"/>
              <w:left w:val="single" w:sz="4" w:space="0" w:color="AAABD6"/>
              <w:bottom w:val="dotted" w:sz="4" w:space="0" w:color="AAABD6"/>
              <w:right w:val="single" w:sz="4" w:space="0" w:color="AAABD6"/>
            </w:tcBorders>
          </w:tcPr>
          <w:p w14:paraId="4D0EA96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1,981</w:t>
            </w:r>
          </w:p>
        </w:tc>
        <w:tc>
          <w:tcPr>
            <w:tcW w:w="567" w:type="dxa"/>
            <w:tcBorders>
              <w:top w:val="dotted" w:sz="4" w:space="0" w:color="AAABD6"/>
              <w:left w:val="single" w:sz="4" w:space="0" w:color="AAABD6"/>
              <w:bottom w:val="dotted" w:sz="4" w:space="0" w:color="AAABD6"/>
              <w:right w:val="single" w:sz="4" w:space="0" w:color="AAABD6"/>
            </w:tcBorders>
          </w:tcPr>
          <w:p w14:paraId="46869AC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2,075</w:t>
            </w:r>
          </w:p>
        </w:tc>
        <w:tc>
          <w:tcPr>
            <w:tcW w:w="567" w:type="dxa"/>
            <w:tcBorders>
              <w:top w:val="dotted" w:sz="4" w:space="0" w:color="AAABD6"/>
              <w:left w:val="single" w:sz="4" w:space="0" w:color="AAABD6"/>
              <w:bottom w:val="dotted" w:sz="4" w:space="0" w:color="AAABD6"/>
              <w:right w:val="single" w:sz="4" w:space="0" w:color="AAABD6"/>
            </w:tcBorders>
          </w:tcPr>
          <w:p w14:paraId="34EDB35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2,174</w:t>
            </w:r>
          </w:p>
        </w:tc>
      </w:tr>
      <w:tr w:rsidR="00F02371" w:rsidRPr="00100F0A" w14:paraId="323BC633"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568" w:type="dxa"/>
            <w:vMerge/>
            <w:tcBorders>
              <w:left w:val="single" w:sz="4" w:space="0" w:color="AAABD6"/>
              <w:bottom w:val="single" w:sz="4" w:space="0" w:color="AAABD6"/>
              <w:right w:val="single" w:sz="4" w:space="0" w:color="AAABD6"/>
            </w:tcBorders>
          </w:tcPr>
          <w:p w14:paraId="0B6C4307" w14:textId="77777777" w:rsidR="00F02371" w:rsidRPr="00100F0A" w:rsidRDefault="00F02371" w:rsidP="002169F6">
            <w:pPr>
              <w:rPr>
                <w:sz w:val="16"/>
                <w:szCs w:val="16"/>
              </w:rPr>
            </w:pPr>
          </w:p>
        </w:tc>
        <w:tc>
          <w:tcPr>
            <w:tcW w:w="1134" w:type="dxa"/>
            <w:tcBorders>
              <w:top w:val="dotted" w:sz="4" w:space="0" w:color="AAABD6"/>
              <w:left w:val="single" w:sz="4" w:space="0" w:color="AAABD6"/>
              <w:bottom w:val="dotted" w:sz="4" w:space="0" w:color="AAABD6"/>
              <w:right w:val="single" w:sz="4" w:space="0" w:color="AAABD6"/>
            </w:tcBorders>
          </w:tcPr>
          <w:p w14:paraId="53541080"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Vic</w:t>
            </w:r>
          </w:p>
        </w:tc>
        <w:tc>
          <w:tcPr>
            <w:tcW w:w="2126" w:type="dxa"/>
            <w:vMerge/>
            <w:tcBorders>
              <w:left w:val="single" w:sz="4" w:space="0" w:color="AAABD6"/>
              <w:right w:val="single" w:sz="4" w:space="0" w:color="AAABD6"/>
            </w:tcBorders>
          </w:tcPr>
          <w:p w14:paraId="5B09D7BD"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1132" w:type="dxa"/>
            <w:gridSpan w:val="2"/>
            <w:vMerge/>
            <w:tcBorders>
              <w:left w:val="single" w:sz="4" w:space="0" w:color="AAABD6"/>
              <w:right w:val="single" w:sz="4" w:space="0" w:color="AAABD6"/>
            </w:tcBorders>
          </w:tcPr>
          <w:p w14:paraId="3EFD550F" w14:textId="03C820CD"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31" w:type="dxa"/>
            <w:tcBorders>
              <w:top w:val="dotted" w:sz="4" w:space="0" w:color="AAABD6"/>
              <w:left w:val="single" w:sz="4" w:space="0" w:color="AAABD6"/>
              <w:bottom w:val="dotted" w:sz="4" w:space="0" w:color="AAABD6"/>
              <w:right w:val="single" w:sz="4" w:space="0" w:color="AAABD6"/>
            </w:tcBorders>
          </w:tcPr>
          <w:p w14:paraId="17B4EBA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67" w:type="dxa"/>
            <w:tcBorders>
              <w:top w:val="dotted" w:sz="4" w:space="0" w:color="AAABD6"/>
              <w:left w:val="single" w:sz="4" w:space="0" w:color="AAABD6"/>
              <w:bottom w:val="dotted" w:sz="4" w:space="0" w:color="AAABD6"/>
              <w:right w:val="single" w:sz="4" w:space="0" w:color="AAABD6"/>
            </w:tcBorders>
          </w:tcPr>
          <w:p w14:paraId="12C233C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33</w:t>
            </w:r>
          </w:p>
        </w:tc>
        <w:tc>
          <w:tcPr>
            <w:tcW w:w="567" w:type="dxa"/>
            <w:tcBorders>
              <w:top w:val="dotted" w:sz="4" w:space="0" w:color="AAABD6"/>
              <w:left w:val="single" w:sz="4" w:space="0" w:color="AAABD6"/>
              <w:bottom w:val="dotted" w:sz="4" w:space="0" w:color="AAABD6"/>
              <w:right w:val="single" w:sz="4" w:space="0" w:color="AAABD6"/>
            </w:tcBorders>
          </w:tcPr>
          <w:p w14:paraId="3F490A4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34</w:t>
            </w:r>
          </w:p>
        </w:tc>
        <w:tc>
          <w:tcPr>
            <w:tcW w:w="567" w:type="dxa"/>
            <w:tcBorders>
              <w:top w:val="dotted" w:sz="4" w:space="0" w:color="AAABD6"/>
              <w:left w:val="single" w:sz="4" w:space="0" w:color="AAABD6"/>
              <w:bottom w:val="dotted" w:sz="4" w:space="0" w:color="AAABD6"/>
              <w:right w:val="single" w:sz="4" w:space="0" w:color="AAABD6"/>
            </w:tcBorders>
          </w:tcPr>
          <w:p w14:paraId="701CD78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36</w:t>
            </w:r>
          </w:p>
        </w:tc>
        <w:tc>
          <w:tcPr>
            <w:tcW w:w="567" w:type="dxa"/>
            <w:tcBorders>
              <w:top w:val="dotted" w:sz="4" w:space="0" w:color="AAABD6"/>
              <w:left w:val="single" w:sz="4" w:space="0" w:color="AAABD6"/>
              <w:bottom w:val="dotted" w:sz="4" w:space="0" w:color="AAABD6"/>
              <w:right w:val="single" w:sz="4" w:space="0" w:color="AAABD6"/>
            </w:tcBorders>
          </w:tcPr>
          <w:p w14:paraId="1D845E2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37</w:t>
            </w:r>
          </w:p>
        </w:tc>
        <w:tc>
          <w:tcPr>
            <w:tcW w:w="567" w:type="dxa"/>
            <w:tcBorders>
              <w:top w:val="dotted" w:sz="4" w:space="0" w:color="AAABD6"/>
              <w:left w:val="single" w:sz="4" w:space="0" w:color="AAABD6"/>
              <w:bottom w:val="dotted" w:sz="4" w:space="0" w:color="AAABD6"/>
              <w:right w:val="single" w:sz="4" w:space="0" w:color="AAABD6"/>
            </w:tcBorders>
          </w:tcPr>
          <w:p w14:paraId="7A1D0CC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14,361</w:t>
            </w:r>
          </w:p>
        </w:tc>
        <w:tc>
          <w:tcPr>
            <w:tcW w:w="567" w:type="dxa"/>
            <w:tcBorders>
              <w:top w:val="dotted" w:sz="4" w:space="0" w:color="AAABD6"/>
              <w:left w:val="single" w:sz="4" w:space="0" w:color="AAABD6"/>
              <w:bottom w:val="dotted" w:sz="4" w:space="0" w:color="AAABD6"/>
              <w:right w:val="single" w:sz="4" w:space="0" w:color="AAABD6"/>
            </w:tcBorders>
          </w:tcPr>
          <w:p w14:paraId="477F3B5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15,045</w:t>
            </w:r>
          </w:p>
        </w:tc>
        <w:tc>
          <w:tcPr>
            <w:tcW w:w="567" w:type="dxa"/>
            <w:tcBorders>
              <w:top w:val="dotted" w:sz="4" w:space="0" w:color="AAABD6"/>
              <w:left w:val="single" w:sz="4" w:space="0" w:color="AAABD6"/>
              <w:bottom w:val="dotted" w:sz="4" w:space="0" w:color="AAABD6"/>
              <w:right w:val="single" w:sz="4" w:space="0" w:color="AAABD6"/>
            </w:tcBorders>
          </w:tcPr>
          <w:p w14:paraId="7714D39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15,761</w:t>
            </w:r>
          </w:p>
        </w:tc>
        <w:tc>
          <w:tcPr>
            <w:tcW w:w="567" w:type="dxa"/>
            <w:tcBorders>
              <w:top w:val="dotted" w:sz="4" w:space="0" w:color="AAABD6"/>
              <w:left w:val="single" w:sz="4" w:space="0" w:color="AAABD6"/>
              <w:bottom w:val="dotted" w:sz="4" w:space="0" w:color="AAABD6"/>
              <w:right w:val="single" w:sz="4" w:space="0" w:color="AAABD6"/>
            </w:tcBorders>
          </w:tcPr>
          <w:p w14:paraId="7507522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16,511</w:t>
            </w:r>
          </w:p>
        </w:tc>
        <w:tc>
          <w:tcPr>
            <w:tcW w:w="567" w:type="dxa"/>
            <w:tcBorders>
              <w:top w:val="dotted" w:sz="4" w:space="0" w:color="AAABD6"/>
              <w:left w:val="single" w:sz="4" w:space="0" w:color="AAABD6"/>
              <w:bottom w:val="dotted" w:sz="4" w:space="0" w:color="AAABD6"/>
              <w:right w:val="single" w:sz="4" w:space="0" w:color="AAABD6"/>
            </w:tcBorders>
          </w:tcPr>
          <w:p w14:paraId="34E68E0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17,297</w:t>
            </w:r>
          </w:p>
        </w:tc>
        <w:tc>
          <w:tcPr>
            <w:tcW w:w="567" w:type="dxa"/>
            <w:tcBorders>
              <w:top w:val="dotted" w:sz="4" w:space="0" w:color="AAABD6"/>
              <w:left w:val="single" w:sz="4" w:space="0" w:color="AAABD6"/>
              <w:bottom w:val="dotted" w:sz="4" w:space="0" w:color="AAABD6"/>
              <w:right w:val="single" w:sz="4" w:space="0" w:color="AAABD6"/>
            </w:tcBorders>
          </w:tcPr>
          <w:p w14:paraId="0BE3C53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18,120</w:t>
            </w:r>
          </w:p>
        </w:tc>
        <w:tc>
          <w:tcPr>
            <w:tcW w:w="567" w:type="dxa"/>
            <w:tcBorders>
              <w:top w:val="dotted" w:sz="4" w:space="0" w:color="AAABD6"/>
              <w:left w:val="single" w:sz="4" w:space="0" w:color="AAABD6"/>
              <w:bottom w:val="dotted" w:sz="4" w:space="0" w:color="AAABD6"/>
              <w:right w:val="single" w:sz="4" w:space="0" w:color="AAABD6"/>
            </w:tcBorders>
          </w:tcPr>
          <w:p w14:paraId="3C118F9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18,983</w:t>
            </w:r>
          </w:p>
        </w:tc>
        <w:tc>
          <w:tcPr>
            <w:tcW w:w="567" w:type="dxa"/>
            <w:tcBorders>
              <w:top w:val="dotted" w:sz="4" w:space="0" w:color="AAABD6"/>
              <w:left w:val="single" w:sz="4" w:space="0" w:color="AAABD6"/>
              <w:bottom w:val="dotted" w:sz="4" w:space="0" w:color="AAABD6"/>
              <w:right w:val="single" w:sz="4" w:space="0" w:color="AAABD6"/>
            </w:tcBorders>
          </w:tcPr>
          <w:p w14:paraId="08BD9D8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19,887</w:t>
            </w:r>
          </w:p>
        </w:tc>
        <w:tc>
          <w:tcPr>
            <w:tcW w:w="567" w:type="dxa"/>
            <w:tcBorders>
              <w:top w:val="dotted" w:sz="4" w:space="0" w:color="AAABD6"/>
              <w:left w:val="single" w:sz="4" w:space="0" w:color="AAABD6"/>
              <w:bottom w:val="dotted" w:sz="4" w:space="0" w:color="AAABD6"/>
              <w:right w:val="single" w:sz="4" w:space="0" w:color="AAABD6"/>
            </w:tcBorders>
          </w:tcPr>
          <w:p w14:paraId="6D51BE9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20,834</w:t>
            </w:r>
          </w:p>
        </w:tc>
        <w:tc>
          <w:tcPr>
            <w:tcW w:w="567" w:type="dxa"/>
            <w:tcBorders>
              <w:top w:val="dotted" w:sz="4" w:space="0" w:color="AAABD6"/>
              <w:left w:val="single" w:sz="4" w:space="0" w:color="AAABD6"/>
              <w:bottom w:val="dotted" w:sz="4" w:space="0" w:color="AAABD6"/>
              <w:right w:val="single" w:sz="4" w:space="0" w:color="AAABD6"/>
            </w:tcBorders>
          </w:tcPr>
          <w:p w14:paraId="740A035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21,825</w:t>
            </w:r>
          </w:p>
        </w:tc>
        <w:tc>
          <w:tcPr>
            <w:tcW w:w="567" w:type="dxa"/>
            <w:tcBorders>
              <w:top w:val="dotted" w:sz="4" w:space="0" w:color="AAABD6"/>
              <w:left w:val="single" w:sz="4" w:space="0" w:color="AAABD6"/>
              <w:bottom w:val="dotted" w:sz="4" w:space="0" w:color="AAABD6"/>
              <w:right w:val="single" w:sz="4" w:space="0" w:color="AAABD6"/>
            </w:tcBorders>
          </w:tcPr>
          <w:p w14:paraId="3F301CD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22,864</w:t>
            </w:r>
          </w:p>
        </w:tc>
        <w:tc>
          <w:tcPr>
            <w:tcW w:w="567" w:type="dxa"/>
            <w:tcBorders>
              <w:top w:val="dotted" w:sz="4" w:space="0" w:color="AAABD6"/>
              <w:left w:val="single" w:sz="4" w:space="0" w:color="AAABD6"/>
              <w:bottom w:val="dotted" w:sz="4" w:space="0" w:color="AAABD6"/>
              <w:right w:val="single" w:sz="4" w:space="0" w:color="AAABD6"/>
            </w:tcBorders>
          </w:tcPr>
          <w:p w14:paraId="33D043E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23,953</w:t>
            </w:r>
          </w:p>
        </w:tc>
        <w:tc>
          <w:tcPr>
            <w:tcW w:w="567" w:type="dxa"/>
            <w:tcBorders>
              <w:top w:val="dotted" w:sz="4" w:space="0" w:color="AAABD6"/>
              <w:left w:val="single" w:sz="4" w:space="0" w:color="AAABD6"/>
              <w:bottom w:val="dotted" w:sz="4" w:space="0" w:color="AAABD6"/>
              <w:right w:val="single" w:sz="4" w:space="0" w:color="AAABD6"/>
            </w:tcBorders>
          </w:tcPr>
          <w:p w14:paraId="57C97A7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25,093</w:t>
            </w:r>
          </w:p>
        </w:tc>
        <w:tc>
          <w:tcPr>
            <w:tcW w:w="567" w:type="dxa"/>
            <w:tcBorders>
              <w:top w:val="dotted" w:sz="4" w:space="0" w:color="AAABD6"/>
              <w:left w:val="single" w:sz="4" w:space="0" w:color="AAABD6"/>
              <w:bottom w:val="dotted" w:sz="4" w:space="0" w:color="AAABD6"/>
              <w:right w:val="single" w:sz="4" w:space="0" w:color="AAABD6"/>
            </w:tcBorders>
          </w:tcPr>
          <w:p w14:paraId="676BEBA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26,288</w:t>
            </w:r>
          </w:p>
        </w:tc>
      </w:tr>
      <w:tr w:rsidR="00F02371" w:rsidRPr="00100F0A" w14:paraId="7EC2D50B"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568" w:type="dxa"/>
            <w:vMerge/>
            <w:tcBorders>
              <w:left w:val="single" w:sz="4" w:space="0" w:color="AAABD6"/>
              <w:bottom w:val="single" w:sz="4" w:space="0" w:color="AAABD6"/>
              <w:right w:val="single" w:sz="4" w:space="0" w:color="AAABD6"/>
            </w:tcBorders>
          </w:tcPr>
          <w:p w14:paraId="3A2F6147" w14:textId="77777777" w:rsidR="00F02371" w:rsidRPr="00100F0A" w:rsidRDefault="00F02371" w:rsidP="002169F6">
            <w:pPr>
              <w:rPr>
                <w:sz w:val="16"/>
                <w:szCs w:val="16"/>
              </w:rPr>
            </w:pPr>
          </w:p>
        </w:tc>
        <w:tc>
          <w:tcPr>
            <w:tcW w:w="1134" w:type="dxa"/>
            <w:tcBorders>
              <w:top w:val="dotted" w:sz="4" w:space="0" w:color="AAABD6"/>
              <w:left w:val="single" w:sz="4" w:space="0" w:color="AAABD6"/>
              <w:bottom w:val="dotted" w:sz="4" w:space="0" w:color="AAABD6"/>
              <w:right w:val="single" w:sz="4" w:space="0" w:color="AAABD6"/>
            </w:tcBorders>
          </w:tcPr>
          <w:p w14:paraId="46B3B6F6"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WA</w:t>
            </w:r>
          </w:p>
        </w:tc>
        <w:tc>
          <w:tcPr>
            <w:tcW w:w="2126" w:type="dxa"/>
            <w:vMerge/>
            <w:tcBorders>
              <w:left w:val="single" w:sz="4" w:space="0" w:color="AAABD6"/>
              <w:bottom w:val="dotted" w:sz="4" w:space="0" w:color="AAABD6"/>
              <w:right w:val="single" w:sz="4" w:space="0" w:color="AAABD6"/>
            </w:tcBorders>
          </w:tcPr>
          <w:p w14:paraId="777ED0DB"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1132" w:type="dxa"/>
            <w:gridSpan w:val="2"/>
            <w:vMerge/>
            <w:tcBorders>
              <w:left w:val="single" w:sz="4" w:space="0" w:color="AAABD6"/>
              <w:right w:val="single" w:sz="4" w:space="0" w:color="AAABD6"/>
            </w:tcBorders>
          </w:tcPr>
          <w:p w14:paraId="6B6916D4" w14:textId="0C503565"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31" w:type="dxa"/>
            <w:tcBorders>
              <w:top w:val="dotted" w:sz="4" w:space="0" w:color="AAABD6"/>
              <w:left w:val="single" w:sz="4" w:space="0" w:color="AAABD6"/>
              <w:bottom w:val="dotted" w:sz="4" w:space="0" w:color="AAABD6"/>
              <w:right w:val="single" w:sz="4" w:space="0" w:color="AAABD6"/>
            </w:tcBorders>
          </w:tcPr>
          <w:p w14:paraId="399DA1E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 </w:t>
            </w:r>
          </w:p>
        </w:tc>
        <w:tc>
          <w:tcPr>
            <w:tcW w:w="567" w:type="dxa"/>
            <w:tcBorders>
              <w:top w:val="dotted" w:sz="4" w:space="0" w:color="AAABD6"/>
              <w:left w:val="single" w:sz="4" w:space="0" w:color="AAABD6"/>
              <w:bottom w:val="dotted" w:sz="4" w:space="0" w:color="AAABD6"/>
              <w:right w:val="single" w:sz="4" w:space="0" w:color="AAABD6"/>
            </w:tcBorders>
          </w:tcPr>
          <w:p w14:paraId="6F57E6B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15</w:t>
            </w:r>
          </w:p>
        </w:tc>
        <w:tc>
          <w:tcPr>
            <w:tcW w:w="567" w:type="dxa"/>
            <w:tcBorders>
              <w:top w:val="dotted" w:sz="4" w:space="0" w:color="AAABD6"/>
              <w:left w:val="single" w:sz="4" w:space="0" w:color="AAABD6"/>
              <w:bottom w:val="dotted" w:sz="4" w:space="0" w:color="AAABD6"/>
              <w:right w:val="single" w:sz="4" w:space="0" w:color="AAABD6"/>
            </w:tcBorders>
          </w:tcPr>
          <w:p w14:paraId="1A3ADA3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16</w:t>
            </w:r>
          </w:p>
        </w:tc>
        <w:tc>
          <w:tcPr>
            <w:tcW w:w="567" w:type="dxa"/>
            <w:tcBorders>
              <w:top w:val="dotted" w:sz="4" w:space="0" w:color="AAABD6"/>
              <w:left w:val="single" w:sz="4" w:space="0" w:color="AAABD6"/>
              <w:bottom w:val="dotted" w:sz="4" w:space="0" w:color="AAABD6"/>
              <w:right w:val="single" w:sz="4" w:space="0" w:color="AAABD6"/>
            </w:tcBorders>
          </w:tcPr>
          <w:p w14:paraId="5ED3356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17</w:t>
            </w:r>
          </w:p>
        </w:tc>
        <w:tc>
          <w:tcPr>
            <w:tcW w:w="567" w:type="dxa"/>
            <w:tcBorders>
              <w:top w:val="dotted" w:sz="4" w:space="0" w:color="AAABD6"/>
              <w:left w:val="single" w:sz="4" w:space="0" w:color="AAABD6"/>
              <w:bottom w:val="dotted" w:sz="4" w:space="0" w:color="AAABD6"/>
              <w:right w:val="single" w:sz="4" w:space="0" w:color="AAABD6"/>
            </w:tcBorders>
          </w:tcPr>
          <w:p w14:paraId="67B4385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18</w:t>
            </w:r>
          </w:p>
        </w:tc>
        <w:tc>
          <w:tcPr>
            <w:tcW w:w="567" w:type="dxa"/>
            <w:tcBorders>
              <w:top w:val="dotted" w:sz="4" w:space="0" w:color="AAABD6"/>
              <w:left w:val="single" w:sz="4" w:space="0" w:color="AAABD6"/>
              <w:bottom w:val="dotted" w:sz="4" w:space="0" w:color="AAABD6"/>
              <w:right w:val="single" w:sz="4" w:space="0" w:color="AAABD6"/>
            </w:tcBorders>
          </w:tcPr>
          <w:p w14:paraId="07E3050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6,837</w:t>
            </w:r>
          </w:p>
        </w:tc>
        <w:tc>
          <w:tcPr>
            <w:tcW w:w="567" w:type="dxa"/>
            <w:tcBorders>
              <w:top w:val="dotted" w:sz="4" w:space="0" w:color="AAABD6"/>
              <w:left w:val="single" w:sz="4" w:space="0" w:color="AAABD6"/>
              <w:bottom w:val="dotted" w:sz="4" w:space="0" w:color="AAABD6"/>
              <w:right w:val="single" w:sz="4" w:space="0" w:color="AAABD6"/>
            </w:tcBorders>
          </w:tcPr>
          <w:p w14:paraId="2B43BA3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7,162</w:t>
            </w:r>
          </w:p>
        </w:tc>
        <w:tc>
          <w:tcPr>
            <w:tcW w:w="567" w:type="dxa"/>
            <w:tcBorders>
              <w:top w:val="dotted" w:sz="4" w:space="0" w:color="AAABD6"/>
              <w:left w:val="single" w:sz="4" w:space="0" w:color="AAABD6"/>
              <w:bottom w:val="dotted" w:sz="4" w:space="0" w:color="AAABD6"/>
              <w:right w:val="single" w:sz="4" w:space="0" w:color="AAABD6"/>
            </w:tcBorders>
          </w:tcPr>
          <w:p w14:paraId="604B114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7,503</w:t>
            </w:r>
          </w:p>
        </w:tc>
        <w:tc>
          <w:tcPr>
            <w:tcW w:w="567" w:type="dxa"/>
            <w:tcBorders>
              <w:top w:val="dotted" w:sz="4" w:space="0" w:color="AAABD6"/>
              <w:left w:val="single" w:sz="4" w:space="0" w:color="AAABD6"/>
              <w:bottom w:val="dotted" w:sz="4" w:space="0" w:color="AAABD6"/>
              <w:right w:val="single" w:sz="4" w:space="0" w:color="AAABD6"/>
            </w:tcBorders>
          </w:tcPr>
          <w:p w14:paraId="3AE2364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7,860</w:t>
            </w:r>
          </w:p>
        </w:tc>
        <w:tc>
          <w:tcPr>
            <w:tcW w:w="567" w:type="dxa"/>
            <w:tcBorders>
              <w:top w:val="dotted" w:sz="4" w:space="0" w:color="AAABD6"/>
              <w:left w:val="single" w:sz="4" w:space="0" w:color="AAABD6"/>
              <w:bottom w:val="dotted" w:sz="4" w:space="0" w:color="AAABD6"/>
              <w:right w:val="single" w:sz="4" w:space="0" w:color="AAABD6"/>
            </w:tcBorders>
          </w:tcPr>
          <w:p w14:paraId="1348C35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8,234</w:t>
            </w:r>
          </w:p>
        </w:tc>
        <w:tc>
          <w:tcPr>
            <w:tcW w:w="567" w:type="dxa"/>
            <w:tcBorders>
              <w:top w:val="dotted" w:sz="4" w:space="0" w:color="AAABD6"/>
              <w:left w:val="single" w:sz="4" w:space="0" w:color="AAABD6"/>
              <w:bottom w:val="dotted" w:sz="4" w:space="0" w:color="AAABD6"/>
              <w:right w:val="single" w:sz="4" w:space="0" w:color="AAABD6"/>
            </w:tcBorders>
          </w:tcPr>
          <w:p w14:paraId="697BBFD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8,626</w:t>
            </w:r>
          </w:p>
        </w:tc>
        <w:tc>
          <w:tcPr>
            <w:tcW w:w="567" w:type="dxa"/>
            <w:tcBorders>
              <w:top w:val="dotted" w:sz="4" w:space="0" w:color="AAABD6"/>
              <w:left w:val="single" w:sz="4" w:space="0" w:color="AAABD6"/>
              <w:bottom w:val="dotted" w:sz="4" w:space="0" w:color="AAABD6"/>
              <w:right w:val="single" w:sz="4" w:space="0" w:color="AAABD6"/>
            </w:tcBorders>
          </w:tcPr>
          <w:p w14:paraId="4B7C95D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9,037</w:t>
            </w:r>
          </w:p>
        </w:tc>
        <w:tc>
          <w:tcPr>
            <w:tcW w:w="567" w:type="dxa"/>
            <w:tcBorders>
              <w:top w:val="dotted" w:sz="4" w:space="0" w:color="AAABD6"/>
              <w:left w:val="single" w:sz="4" w:space="0" w:color="AAABD6"/>
              <w:bottom w:val="dotted" w:sz="4" w:space="0" w:color="AAABD6"/>
              <w:right w:val="single" w:sz="4" w:space="0" w:color="AAABD6"/>
            </w:tcBorders>
          </w:tcPr>
          <w:p w14:paraId="058E46E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9,467</w:t>
            </w:r>
          </w:p>
        </w:tc>
        <w:tc>
          <w:tcPr>
            <w:tcW w:w="567" w:type="dxa"/>
            <w:tcBorders>
              <w:top w:val="dotted" w:sz="4" w:space="0" w:color="AAABD6"/>
              <w:left w:val="single" w:sz="4" w:space="0" w:color="AAABD6"/>
              <w:bottom w:val="dotted" w:sz="4" w:space="0" w:color="AAABD6"/>
              <w:right w:val="single" w:sz="4" w:space="0" w:color="AAABD6"/>
            </w:tcBorders>
          </w:tcPr>
          <w:p w14:paraId="3E43034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9,918</w:t>
            </w:r>
          </w:p>
        </w:tc>
        <w:tc>
          <w:tcPr>
            <w:tcW w:w="567" w:type="dxa"/>
            <w:tcBorders>
              <w:top w:val="dotted" w:sz="4" w:space="0" w:color="AAABD6"/>
              <w:left w:val="single" w:sz="4" w:space="0" w:color="AAABD6"/>
              <w:bottom w:val="dotted" w:sz="4" w:space="0" w:color="AAABD6"/>
              <w:right w:val="single" w:sz="4" w:space="0" w:color="AAABD6"/>
            </w:tcBorders>
          </w:tcPr>
          <w:p w14:paraId="2BE1A23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10,390</w:t>
            </w:r>
          </w:p>
        </w:tc>
        <w:tc>
          <w:tcPr>
            <w:tcW w:w="567" w:type="dxa"/>
            <w:tcBorders>
              <w:top w:val="dotted" w:sz="4" w:space="0" w:color="AAABD6"/>
              <w:left w:val="single" w:sz="4" w:space="0" w:color="AAABD6"/>
              <w:bottom w:val="dotted" w:sz="4" w:space="0" w:color="AAABD6"/>
              <w:right w:val="single" w:sz="4" w:space="0" w:color="AAABD6"/>
            </w:tcBorders>
          </w:tcPr>
          <w:p w14:paraId="0A18251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10,885</w:t>
            </w:r>
          </w:p>
        </w:tc>
        <w:tc>
          <w:tcPr>
            <w:tcW w:w="567" w:type="dxa"/>
            <w:tcBorders>
              <w:top w:val="dotted" w:sz="4" w:space="0" w:color="AAABD6"/>
              <w:left w:val="single" w:sz="4" w:space="0" w:color="AAABD6"/>
              <w:bottom w:val="dotted" w:sz="4" w:space="0" w:color="AAABD6"/>
              <w:right w:val="single" w:sz="4" w:space="0" w:color="AAABD6"/>
            </w:tcBorders>
          </w:tcPr>
          <w:p w14:paraId="5B54B84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11,403</w:t>
            </w:r>
          </w:p>
        </w:tc>
        <w:tc>
          <w:tcPr>
            <w:tcW w:w="567" w:type="dxa"/>
            <w:tcBorders>
              <w:top w:val="dotted" w:sz="4" w:space="0" w:color="AAABD6"/>
              <w:left w:val="single" w:sz="4" w:space="0" w:color="AAABD6"/>
              <w:bottom w:val="dotted" w:sz="4" w:space="0" w:color="AAABD6"/>
              <w:right w:val="single" w:sz="4" w:space="0" w:color="AAABD6"/>
            </w:tcBorders>
          </w:tcPr>
          <w:p w14:paraId="5C2E677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11,946</w:t>
            </w:r>
          </w:p>
        </w:tc>
        <w:tc>
          <w:tcPr>
            <w:tcW w:w="567" w:type="dxa"/>
            <w:tcBorders>
              <w:top w:val="dotted" w:sz="4" w:space="0" w:color="AAABD6"/>
              <w:left w:val="single" w:sz="4" w:space="0" w:color="AAABD6"/>
              <w:bottom w:val="dotted" w:sz="4" w:space="0" w:color="AAABD6"/>
              <w:right w:val="single" w:sz="4" w:space="0" w:color="AAABD6"/>
            </w:tcBorders>
          </w:tcPr>
          <w:p w14:paraId="7B441AB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12,514</w:t>
            </w:r>
          </w:p>
        </w:tc>
      </w:tr>
      <w:tr w:rsidR="00F02371" w:rsidRPr="00100F0A" w14:paraId="4A68CBF2"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568" w:type="dxa"/>
            <w:vMerge w:val="restart"/>
            <w:tcBorders>
              <w:top w:val="single" w:sz="4" w:space="0" w:color="AAABD6"/>
              <w:left w:val="single" w:sz="4" w:space="0" w:color="AAABD6"/>
              <w:right w:val="single" w:sz="4" w:space="0" w:color="AAABD6"/>
            </w:tcBorders>
          </w:tcPr>
          <w:p w14:paraId="1374081A" w14:textId="77777777" w:rsidR="00F02371" w:rsidRPr="00100F0A" w:rsidRDefault="00F02371" w:rsidP="002169F6">
            <w:pPr>
              <w:rPr>
                <w:sz w:val="16"/>
                <w:szCs w:val="16"/>
              </w:rPr>
            </w:pPr>
            <w:r w:rsidRPr="00100F0A">
              <w:rPr>
                <w:sz w:val="16"/>
                <w:szCs w:val="16"/>
              </w:rPr>
              <w:t>Low</w:t>
            </w:r>
          </w:p>
        </w:tc>
        <w:tc>
          <w:tcPr>
            <w:tcW w:w="1134" w:type="dxa"/>
            <w:tcBorders>
              <w:top w:val="single" w:sz="4" w:space="0" w:color="AAABD6"/>
              <w:left w:val="single" w:sz="4" w:space="0" w:color="AAABD6"/>
              <w:bottom w:val="dotted" w:sz="4" w:space="0" w:color="AAABD6"/>
              <w:right w:val="single" w:sz="4" w:space="0" w:color="AAABD6"/>
            </w:tcBorders>
          </w:tcPr>
          <w:p w14:paraId="65677FB8"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ACT</w:t>
            </w:r>
          </w:p>
        </w:tc>
        <w:tc>
          <w:tcPr>
            <w:tcW w:w="2126" w:type="dxa"/>
            <w:vMerge w:val="restart"/>
            <w:tcBorders>
              <w:top w:val="single" w:sz="4" w:space="0" w:color="AAABD6"/>
              <w:left w:val="single" w:sz="4" w:space="0" w:color="AAABD6"/>
              <w:right w:val="single" w:sz="4" w:space="0" w:color="AAABD6"/>
            </w:tcBorders>
            <w:vAlign w:val="center"/>
          </w:tcPr>
          <w:p w14:paraId="4E9BB17A"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Best estimate (absolute) - 50%</w:t>
            </w:r>
          </w:p>
        </w:tc>
        <w:tc>
          <w:tcPr>
            <w:tcW w:w="1132" w:type="dxa"/>
            <w:gridSpan w:val="2"/>
            <w:vMerge/>
            <w:tcBorders>
              <w:left w:val="single" w:sz="4" w:space="0" w:color="AAABD6"/>
              <w:right w:val="single" w:sz="4" w:space="0" w:color="AAABD6"/>
            </w:tcBorders>
          </w:tcPr>
          <w:p w14:paraId="4BAA1CF7" w14:textId="653D2BB9"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31" w:type="dxa"/>
            <w:tcBorders>
              <w:top w:val="single" w:sz="4" w:space="0" w:color="AAABD6"/>
              <w:left w:val="single" w:sz="4" w:space="0" w:color="AAABD6"/>
              <w:bottom w:val="dotted" w:sz="4" w:space="0" w:color="AAABD6"/>
              <w:right w:val="single" w:sz="4" w:space="0" w:color="AAABD6"/>
            </w:tcBorders>
          </w:tcPr>
          <w:p w14:paraId="58260D7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 </w:t>
            </w:r>
          </w:p>
        </w:tc>
        <w:tc>
          <w:tcPr>
            <w:tcW w:w="567" w:type="dxa"/>
            <w:tcBorders>
              <w:top w:val="single" w:sz="4" w:space="0" w:color="AAABD6"/>
              <w:left w:val="single" w:sz="4" w:space="0" w:color="AAABD6"/>
              <w:bottom w:val="dotted" w:sz="4" w:space="0" w:color="AAABD6"/>
              <w:right w:val="single" w:sz="4" w:space="0" w:color="AAABD6"/>
            </w:tcBorders>
          </w:tcPr>
          <w:p w14:paraId="46DF70F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w:t>
            </w:r>
          </w:p>
        </w:tc>
        <w:tc>
          <w:tcPr>
            <w:tcW w:w="567" w:type="dxa"/>
            <w:tcBorders>
              <w:top w:val="single" w:sz="4" w:space="0" w:color="AAABD6"/>
              <w:left w:val="single" w:sz="4" w:space="0" w:color="AAABD6"/>
              <w:bottom w:val="dotted" w:sz="4" w:space="0" w:color="AAABD6"/>
              <w:right w:val="single" w:sz="4" w:space="0" w:color="AAABD6"/>
            </w:tcBorders>
          </w:tcPr>
          <w:p w14:paraId="04FE5CD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w:t>
            </w:r>
          </w:p>
        </w:tc>
        <w:tc>
          <w:tcPr>
            <w:tcW w:w="567" w:type="dxa"/>
            <w:tcBorders>
              <w:top w:val="single" w:sz="4" w:space="0" w:color="AAABD6"/>
              <w:left w:val="single" w:sz="4" w:space="0" w:color="AAABD6"/>
              <w:bottom w:val="dotted" w:sz="4" w:space="0" w:color="AAABD6"/>
              <w:right w:val="single" w:sz="4" w:space="0" w:color="AAABD6"/>
            </w:tcBorders>
          </w:tcPr>
          <w:p w14:paraId="2D3BC5F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w:t>
            </w:r>
          </w:p>
        </w:tc>
        <w:tc>
          <w:tcPr>
            <w:tcW w:w="567" w:type="dxa"/>
            <w:tcBorders>
              <w:top w:val="single" w:sz="4" w:space="0" w:color="AAABD6"/>
              <w:left w:val="single" w:sz="4" w:space="0" w:color="AAABD6"/>
              <w:bottom w:val="dotted" w:sz="4" w:space="0" w:color="AAABD6"/>
              <w:right w:val="single" w:sz="4" w:space="0" w:color="AAABD6"/>
            </w:tcBorders>
          </w:tcPr>
          <w:p w14:paraId="69279C1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w:t>
            </w:r>
          </w:p>
        </w:tc>
        <w:tc>
          <w:tcPr>
            <w:tcW w:w="567" w:type="dxa"/>
            <w:tcBorders>
              <w:top w:val="single" w:sz="4" w:space="0" w:color="AAABD6"/>
              <w:left w:val="single" w:sz="4" w:space="0" w:color="AAABD6"/>
              <w:bottom w:val="dotted" w:sz="4" w:space="0" w:color="AAABD6"/>
              <w:right w:val="single" w:sz="4" w:space="0" w:color="AAABD6"/>
            </w:tcBorders>
          </w:tcPr>
          <w:p w14:paraId="2F9BA04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971</w:t>
            </w:r>
          </w:p>
        </w:tc>
        <w:tc>
          <w:tcPr>
            <w:tcW w:w="567" w:type="dxa"/>
            <w:tcBorders>
              <w:top w:val="single" w:sz="4" w:space="0" w:color="AAABD6"/>
              <w:left w:val="single" w:sz="4" w:space="0" w:color="AAABD6"/>
              <w:bottom w:val="dotted" w:sz="4" w:space="0" w:color="AAABD6"/>
              <w:right w:val="single" w:sz="4" w:space="0" w:color="AAABD6"/>
            </w:tcBorders>
          </w:tcPr>
          <w:p w14:paraId="00619F8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1,004</w:t>
            </w:r>
          </w:p>
        </w:tc>
        <w:tc>
          <w:tcPr>
            <w:tcW w:w="567" w:type="dxa"/>
            <w:tcBorders>
              <w:top w:val="single" w:sz="4" w:space="0" w:color="AAABD6"/>
              <w:left w:val="single" w:sz="4" w:space="0" w:color="AAABD6"/>
              <w:bottom w:val="dotted" w:sz="4" w:space="0" w:color="AAABD6"/>
              <w:right w:val="single" w:sz="4" w:space="0" w:color="AAABD6"/>
            </w:tcBorders>
          </w:tcPr>
          <w:p w14:paraId="3C32246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1,038</w:t>
            </w:r>
          </w:p>
        </w:tc>
        <w:tc>
          <w:tcPr>
            <w:tcW w:w="567" w:type="dxa"/>
            <w:tcBorders>
              <w:top w:val="single" w:sz="4" w:space="0" w:color="AAABD6"/>
              <w:left w:val="single" w:sz="4" w:space="0" w:color="AAABD6"/>
              <w:bottom w:val="dotted" w:sz="4" w:space="0" w:color="AAABD6"/>
              <w:right w:val="single" w:sz="4" w:space="0" w:color="AAABD6"/>
            </w:tcBorders>
          </w:tcPr>
          <w:p w14:paraId="6AAAA6B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1,074</w:t>
            </w:r>
          </w:p>
        </w:tc>
        <w:tc>
          <w:tcPr>
            <w:tcW w:w="567" w:type="dxa"/>
            <w:tcBorders>
              <w:top w:val="single" w:sz="4" w:space="0" w:color="AAABD6"/>
              <w:left w:val="single" w:sz="4" w:space="0" w:color="AAABD6"/>
              <w:bottom w:val="dotted" w:sz="4" w:space="0" w:color="AAABD6"/>
              <w:right w:val="single" w:sz="4" w:space="0" w:color="AAABD6"/>
            </w:tcBorders>
          </w:tcPr>
          <w:p w14:paraId="2FCB481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1,110</w:t>
            </w:r>
          </w:p>
        </w:tc>
        <w:tc>
          <w:tcPr>
            <w:tcW w:w="567" w:type="dxa"/>
            <w:tcBorders>
              <w:top w:val="single" w:sz="4" w:space="0" w:color="AAABD6"/>
              <w:left w:val="single" w:sz="4" w:space="0" w:color="AAABD6"/>
              <w:bottom w:val="dotted" w:sz="4" w:space="0" w:color="AAABD6"/>
              <w:right w:val="single" w:sz="4" w:space="0" w:color="AAABD6"/>
            </w:tcBorders>
          </w:tcPr>
          <w:p w14:paraId="2498C93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1,148</w:t>
            </w:r>
          </w:p>
        </w:tc>
        <w:tc>
          <w:tcPr>
            <w:tcW w:w="567" w:type="dxa"/>
            <w:tcBorders>
              <w:top w:val="single" w:sz="4" w:space="0" w:color="AAABD6"/>
              <w:left w:val="single" w:sz="4" w:space="0" w:color="AAABD6"/>
              <w:bottom w:val="dotted" w:sz="4" w:space="0" w:color="AAABD6"/>
              <w:right w:val="single" w:sz="4" w:space="0" w:color="AAABD6"/>
            </w:tcBorders>
          </w:tcPr>
          <w:p w14:paraId="146BDAF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1,187</w:t>
            </w:r>
          </w:p>
        </w:tc>
        <w:tc>
          <w:tcPr>
            <w:tcW w:w="567" w:type="dxa"/>
            <w:tcBorders>
              <w:top w:val="single" w:sz="4" w:space="0" w:color="AAABD6"/>
              <w:left w:val="single" w:sz="4" w:space="0" w:color="AAABD6"/>
              <w:bottom w:val="dotted" w:sz="4" w:space="0" w:color="AAABD6"/>
              <w:right w:val="single" w:sz="4" w:space="0" w:color="AAABD6"/>
            </w:tcBorders>
          </w:tcPr>
          <w:p w14:paraId="08BBC7A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1,228</w:t>
            </w:r>
          </w:p>
        </w:tc>
        <w:tc>
          <w:tcPr>
            <w:tcW w:w="567" w:type="dxa"/>
            <w:tcBorders>
              <w:top w:val="single" w:sz="4" w:space="0" w:color="AAABD6"/>
              <w:left w:val="single" w:sz="4" w:space="0" w:color="AAABD6"/>
              <w:bottom w:val="dotted" w:sz="4" w:space="0" w:color="AAABD6"/>
              <w:right w:val="single" w:sz="4" w:space="0" w:color="AAABD6"/>
            </w:tcBorders>
          </w:tcPr>
          <w:p w14:paraId="26E6A1D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1,270</w:t>
            </w:r>
          </w:p>
        </w:tc>
        <w:tc>
          <w:tcPr>
            <w:tcW w:w="567" w:type="dxa"/>
            <w:tcBorders>
              <w:top w:val="single" w:sz="4" w:space="0" w:color="AAABD6"/>
              <w:left w:val="single" w:sz="4" w:space="0" w:color="AAABD6"/>
              <w:bottom w:val="dotted" w:sz="4" w:space="0" w:color="AAABD6"/>
              <w:right w:val="single" w:sz="4" w:space="0" w:color="AAABD6"/>
            </w:tcBorders>
          </w:tcPr>
          <w:p w14:paraId="78DC797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1,313</w:t>
            </w:r>
          </w:p>
        </w:tc>
        <w:tc>
          <w:tcPr>
            <w:tcW w:w="567" w:type="dxa"/>
            <w:tcBorders>
              <w:top w:val="single" w:sz="4" w:space="0" w:color="AAABD6"/>
              <w:left w:val="single" w:sz="4" w:space="0" w:color="AAABD6"/>
              <w:bottom w:val="dotted" w:sz="4" w:space="0" w:color="AAABD6"/>
              <w:right w:val="single" w:sz="4" w:space="0" w:color="AAABD6"/>
            </w:tcBorders>
          </w:tcPr>
          <w:p w14:paraId="3D2CD6C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1,358</w:t>
            </w:r>
          </w:p>
        </w:tc>
        <w:tc>
          <w:tcPr>
            <w:tcW w:w="567" w:type="dxa"/>
            <w:tcBorders>
              <w:top w:val="single" w:sz="4" w:space="0" w:color="AAABD6"/>
              <w:left w:val="single" w:sz="4" w:space="0" w:color="AAABD6"/>
              <w:bottom w:val="dotted" w:sz="4" w:space="0" w:color="AAABD6"/>
              <w:right w:val="single" w:sz="4" w:space="0" w:color="AAABD6"/>
            </w:tcBorders>
          </w:tcPr>
          <w:p w14:paraId="7C3920A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1,404</w:t>
            </w:r>
          </w:p>
        </w:tc>
        <w:tc>
          <w:tcPr>
            <w:tcW w:w="567" w:type="dxa"/>
            <w:tcBorders>
              <w:top w:val="single" w:sz="4" w:space="0" w:color="AAABD6"/>
              <w:left w:val="single" w:sz="4" w:space="0" w:color="AAABD6"/>
              <w:bottom w:val="dotted" w:sz="4" w:space="0" w:color="AAABD6"/>
              <w:right w:val="single" w:sz="4" w:space="0" w:color="AAABD6"/>
            </w:tcBorders>
          </w:tcPr>
          <w:p w14:paraId="36A6B0F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1,452</w:t>
            </w:r>
          </w:p>
        </w:tc>
        <w:tc>
          <w:tcPr>
            <w:tcW w:w="567" w:type="dxa"/>
            <w:tcBorders>
              <w:top w:val="single" w:sz="4" w:space="0" w:color="AAABD6"/>
              <w:left w:val="single" w:sz="4" w:space="0" w:color="AAABD6"/>
              <w:bottom w:val="dotted" w:sz="4" w:space="0" w:color="AAABD6"/>
              <w:right w:val="single" w:sz="4" w:space="0" w:color="AAABD6"/>
            </w:tcBorders>
          </w:tcPr>
          <w:p w14:paraId="33E0996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1,502</w:t>
            </w:r>
          </w:p>
        </w:tc>
      </w:tr>
      <w:tr w:rsidR="00F02371" w:rsidRPr="00100F0A" w14:paraId="785AF118"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568" w:type="dxa"/>
            <w:vMerge/>
            <w:tcBorders>
              <w:left w:val="single" w:sz="4" w:space="0" w:color="AAABD6"/>
              <w:right w:val="single" w:sz="4" w:space="0" w:color="AAABD6"/>
            </w:tcBorders>
          </w:tcPr>
          <w:p w14:paraId="3164D51D" w14:textId="77777777" w:rsidR="00F02371" w:rsidRPr="00100F0A" w:rsidRDefault="00F02371" w:rsidP="002169F6">
            <w:pPr>
              <w:rPr>
                <w:sz w:val="16"/>
                <w:szCs w:val="16"/>
              </w:rPr>
            </w:pPr>
          </w:p>
        </w:tc>
        <w:tc>
          <w:tcPr>
            <w:tcW w:w="1134" w:type="dxa"/>
            <w:tcBorders>
              <w:top w:val="dotted" w:sz="4" w:space="0" w:color="AAABD6"/>
              <w:left w:val="single" w:sz="4" w:space="0" w:color="AAABD6"/>
              <w:bottom w:val="dotted" w:sz="4" w:space="0" w:color="AAABD6"/>
              <w:right w:val="single" w:sz="4" w:space="0" w:color="AAABD6"/>
            </w:tcBorders>
          </w:tcPr>
          <w:p w14:paraId="045076FB"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NSW</w:t>
            </w:r>
          </w:p>
        </w:tc>
        <w:tc>
          <w:tcPr>
            <w:tcW w:w="2126" w:type="dxa"/>
            <w:vMerge/>
            <w:tcBorders>
              <w:left w:val="single" w:sz="4" w:space="0" w:color="AAABD6"/>
              <w:right w:val="single" w:sz="4" w:space="0" w:color="AAABD6"/>
            </w:tcBorders>
          </w:tcPr>
          <w:p w14:paraId="1DF12C90"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1132" w:type="dxa"/>
            <w:gridSpan w:val="2"/>
            <w:vMerge/>
            <w:tcBorders>
              <w:left w:val="single" w:sz="4" w:space="0" w:color="AAABD6"/>
              <w:right w:val="single" w:sz="4" w:space="0" w:color="AAABD6"/>
            </w:tcBorders>
          </w:tcPr>
          <w:p w14:paraId="75085FA0" w14:textId="5F29D775"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31" w:type="dxa"/>
            <w:tcBorders>
              <w:top w:val="dotted" w:sz="4" w:space="0" w:color="AAABD6"/>
              <w:left w:val="single" w:sz="4" w:space="0" w:color="AAABD6"/>
              <w:bottom w:val="dotted" w:sz="4" w:space="0" w:color="AAABD6"/>
              <w:right w:val="single" w:sz="4" w:space="0" w:color="AAABD6"/>
            </w:tcBorders>
          </w:tcPr>
          <w:p w14:paraId="5D49673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67" w:type="dxa"/>
            <w:tcBorders>
              <w:top w:val="dotted" w:sz="4" w:space="0" w:color="AAABD6"/>
              <w:left w:val="single" w:sz="4" w:space="0" w:color="AAABD6"/>
              <w:bottom w:val="dotted" w:sz="4" w:space="0" w:color="AAABD6"/>
              <w:right w:val="single" w:sz="4" w:space="0" w:color="AAABD6"/>
            </w:tcBorders>
          </w:tcPr>
          <w:p w14:paraId="6409D75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41</w:t>
            </w:r>
          </w:p>
        </w:tc>
        <w:tc>
          <w:tcPr>
            <w:tcW w:w="567" w:type="dxa"/>
            <w:tcBorders>
              <w:top w:val="dotted" w:sz="4" w:space="0" w:color="AAABD6"/>
              <w:left w:val="single" w:sz="4" w:space="0" w:color="AAABD6"/>
              <w:bottom w:val="dotted" w:sz="4" w:space="0" w:color="AAABD6"/>
              <w:right w:val="single" w:sz="4" w:space="0" w:color="AAABD6"/>
            </w:tcBorders>
          </w:tcPr>
          <w:p w14:paraId="6896F21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42</w:t>
            </w:r>
          </w:p>
        </w:tc>
        <w:tc>
          <w:tcPr>
            <w:tcW w:w="567" w:type="dxa"/>
            <w:tcBorders>
              <w:top w:val="dotted" w:sz="4" w:space="0" w:color="AAABD6"/>
              <w:left w:val="single" w:sz="4" w:space="0" w:color="AAABD6"/>
              <w:bottom w:val="dotted" w:sz="4" w:space="0" w:color="AAABD6"/>
              <w:right w:val="single" w:sz="4" w:space="0" w:color="AAABD6"/>
            </w:tcBorders>
          </w:tcPr>
          <w:p w14:paraId="01D1E26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44</w:t>
            </w:r>
          </w:p>
        </w:tc>
        <w:tc>
          <w:tcPr>
            <w:tcW w:w="567" w:type="dxa"/>
            <w:tcBorders>
              <w:top w:val="dotted" w:sz="4" w:space="0" w:color="AAABD6"/>
              <w:left w:val="single" w:sz="4" w:space="0" w:color="AAABD6"/>
              <w:bottom w:val="dotted" w:sz="4" w:space="0" w:color="AAABD6"/>
              <w:right w:val="single" w:sz="4" w:space="0" w:color="AAABD6"/>
            </w:tcBorders>
          </w:tcPr>
          <w:p w14:paraId="6BE83E6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45</w:t>
            </w:r>
          </w:p>
        </w:tc>
        <w:tc>
          <w:tcPr>
            <w:tcW w:w="567" w:type="dxa"/>
            <w:tcBorders>
              <w:top w:val="dotted" w:sz="4" w:space="0" w:color="AAABD6"/>
              <w:left w:val="single" w:sz="4" w:space="0" w:color="AAABD6"/>
              <w:bottom w:val="dotted" w:sz="4" w:space="0" w:color="AAABD6"/>
              <w:right w:val="single" w:sz="4" w:space="0" w:color="AAABD6"/>
            </w:tcBorders>
          </w:tcPr>
          <w:p w14:paraId="47AF925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17,980</w:t>
            </w:r>
          </w:p>
        </w:tc>
        <w:tc>
          <w:tcPr>
            <w:tcW w:w="567" w:type="dxa"/>
            <w:tcBorders>
              <w:top w:val="dotted" w:sz="4" w:space="0" w:color="AAABD6"/>
              <w:left w:val="single" w:sz="4" w:space="0" w:color="AAABD6"/>
              <w:bottom w:val="dotted" w:sz="4" w:space="0" w:color="AAABD6"/>
              <w:right w:val="single" w:sz="4" w:space="0" w:color="AAABD6"/>
            </w:tcBorders>
          </w:tcPr>
          <w:p w14:paraId="358F2EE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18,594</w:t>
            </w:r>
          </w:p>
        </w:tc>
        <w:tc>
          <w:tcPr>
            <w:tcW w:w="567" w:type="dxa"/>
            <w:tcBorders>
              <w:top w:val="dotted" w:sz="4" w:space="0" w:color="AAABD6"/>
              <w:left w:val="single" w:sz="4" w:space="0" w:color="AAABD6"/>
              <w:bottom w:val="dotted" w:sz="4" w:space="0" w:color="AAABD6"/>
              <w:right w:val="single" w:sz="4" w:space="0" w:color="AAABD6"/>
            </w:tcBorders>
          </w:tcPr>
          <w:p w14:paraId="5106954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19,229</w:t>
            </w:r>
          </w:p>
        </w:tc>
        <w:tc>
          <w:tcPr>
            <w:tcW w:w="567" w:type="dxa"/>
            <w:tcBorders>
              <w:top w:val="dotted" w:sz="4" w:space="0" w:color="AAABD6"/>
              <w:left w:val="single" w:sz="4" w:space="0" w:color="AAABD6"/>
              <w:bottom w:val="dotted" w:sz="4" w:space="0" w:color="AAABD6"/>
              <w:right w:val="single" w:sz="4" w:space="0" w:color="AAABD6"/>
            </w:tcBorders>
          </w:tcPr>
          <w:p w14:paraId="0499A45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19,886</w:t>
            </w:r>
          </w:p>
        </w:tc>
        <w:tc>
          <w:tcPr>
            <w:tcW w:w="567" w:type="dxa"/>
            <w:tcBorders>
              <w:top w:val="dotted" w:sz="4" w:space="0" w:color="AAABD6"/>
              <w:left w:val="single" w:sz="4" w:space="0" w:color="AAABD6"/>
              <w:bottom w:val="dotted" w:sz="4" w:space="0" w:color="AAABD6"/>
              <w:right w:val="single" w:sz="4" w:space="0" w:color="AAABD6"/>
            </w:tcBorders>
          </w:tcPr>
          <w:p w14:paraId="1541F4B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20,565</w:t>
            </w:r>
          </w:p>
        </w:tc>
        <w:tc>
          <w:tcPr>
            <w:tcW w:w="567" w:type="dxa"/>
            <w:tcBorders>
              <w:top w:val="dotted" w:sz="4" w:space="0" w:color="AAABD6"/>
              <w:left w:val="single" w:sz="4" w:space="0" w:color="AAABD6"/>
              <w:bottom w:val="dotted" w:sz="4" w:space="0" w:color="AAABD6"/>
              <w:right w:val="single" w:sz="4" w:space="0" w:color="AAABD6"/>
            </w:tcBorders>
          </w:tcPr>
          <w:p w14:paraId="1E5523C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21,268</w:t>
            </w:r>
          </w:p>
        </w:tc>
        <w:tc>
          <w:tcPr>
            <w:tcW w:w="567" w:type="dxa"/>
            <w:tcBorders>
              <w:top w:val="dotted" w:sz="4" w:space="0" w:color="AAABD6"/>
              <w:left w:val="single" w:sz="4" w:space="0" w:color="AAABD6"/>
              <w:bottom w:val="dotted" w:sz="4" w:space="0" w:color="AAABD6"/>
              <w:right w:val="single" w:sz="4" w:space="0" w:color="AAABD6"/>
            </w:tcBorders>
          </w:tcPr>
          <w:p w14:paraId="4349B42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21,994</w:t>
            </w:r>
          </w:p>
        </w:tc>
        <w:tc>
          <w:tcPr>
            <w:tcW w:w="567" w:type="dxa"/>
            <w:tcBorders>
              <w:top w:val="dotted" w:sz="4" w:space="0" w:color="AAABD6"/>
              <w:left w:val="single" w:sz="4" w:space="0" w:color="AAABD6"/>
              <w:bottom w:val="dotted" w:sz="4" w:space="0" w:color="AAABD6"/>
              <w:right w:val="single" w:sz="4" w:space="0" w:color="AAABD6"/>
            </w:tcBorders>
          </w:tcPr>
          <w:p w14:paraId="7D91EEF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22,745</w:t>
            </w:r>
          </w:p>
        </w:tc>
        <w:tc>
          <w:tcPr>
            <w:tcW w:w="567" w:type="dxa"/>
            <w:tcBorders>
              <w:top w:val="dotted" w:sz="4" w:space="0" w:color="AAABD6"/>
              <w:left w:val="single" w:sz="4" w:space="0" w:color="AAABD6"/>
              <w:bottom w:val="dotted" w:sz="4" w:space="0" w:color="AAABD6"/>
              <w:right w:val="single" w:sz="4" w:space="0" w:color="AAABD6"/>
            </w:tcBorders>
          </w:tcPr>
          <w:p w14:paraId="628AA5D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23,522</w:t>
            </w:r>
          </w:p>
        </w:tc>
        <w:tc>
          <w:tcPr>
            <w:tcW w:w="567" w:type="dxa"/>
            <w:tcBorders>
              <w:top w:val="dotted" w:sz="4" w:space="0" w:color="AAABD6"/>
              <w:left w:val="single" w:sz="4" w:space="0" w:color="AAABD6"/>
              <w:bottom w:val="dotted" w:sz="4" w:space="0" w:color="AAABD6"/>
              <w:right w:val="single" w:sz="4" w:space="0" w:color="AAABD6"/>
            </w:tcBorders>
          </w:tcPr>
          <w:p w14:paraId="7C0A31F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24,325</w:t>
            </w:r>
          </w:p>
        </w:tc>
        <w:tc>
          <w:tcPr>
            <w:tcW w:w="567" w:type="dxa"/>
            <w:tcBorders>
              <w:top w:val="dotted" w:sz="4" w:space="0" w:color="AAABD6"/>
              <w:left w:val="single" w:sz="4" w:space="0" w:color="AAABD6"/>
              <w:bottom w:val="dotted" w:sz="4" w:space="0" w:color="AAABD6"/>
              <w:right w:val="single" w:sz="4" w:space="0" w:color="AAABD6"/>
            </w:tcBorders>
          </w:tcPr>
          <w:p w14:paraId="2E2B449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25,156</w:t>
            </w:r>
          </w:p>
        </w:tc>
        <w:tc>
          <w:tcPr>
            <w:tcW w:w="567" w:type="dxa"/>
            <w:tcBorders>
              <w:top w:val="dotted" w:sz="4" w:space="0" w:color="AAABD6"/>
              <w:left w:val="single" w:sz="4" w:space="0" w:color="AAABD6"/>
              <w:bottom w:val="dotted" w:sz="4" w:space="0" w:color="AAABD6"/>
              <w:right w:val="single" w:sz="4" w:space="0" w:color="AAABD6"/>
            </w:tcBorders>
          </w:tcPr>
          <w:p w14:paraId="4CF344D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26,015</w:t>
            </w:r>
          </w:p>
        </w:tc>
        <w:tc>
          <w:tcPr>
            <w:tcW w:w="567" w:type="dxa"/>
            <w:tcBorders>
              <w:top w:val="dotted" w:sz="4" w:space="0" w:color="AAABD6"/>
              <w:left w:val="single" w:sz="4" w:space="0" w:color="AAABD6"/>
              <w:bottom w:val="dotted" w:sz="4" w:space="0" w:color="AAABD6"/>
              <w:right w:val="single" w:sz="4" w:space="0" w:color="AAABD6"/>
            </w:tcBorders>
          </w:tcPr>
          <w:p w14:paraId="2BA60E0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26,903</w:t>
            </w:r>
          </w:p>
        </w:tc>
        <w:tc>
          <w:tcPr>
            <w:tcW w:w="567" w:type="dxa"/>
            <w:tcBorders>
              <w:top w:val="dotted" w:sz="4" w:space="0" w:color="AAABD6"/>
              <w:left w:val="single" w:sz="4" w:space="0" w:color="AAABD6"/>
              <w:bottom w:val="dotted" w:sz="4" w:space="0" w:color="AAABD6"/>
              <w:right w:val="single" w:sz="4" w:space="0" w:color="AAABD6"/>
            </w:tcBorders>
          </w:tcPr>
          <w:p w14:paraId="1C76104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27,822</w:t>
            </w:r>
          </w:p>
        </w:tc>
      </w:tr>
      <w:tr w:rsidR="00F02371" w:rsidRPr="00100F0A" w14:paraId="3FA00A20"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568" w:type="dxa"/>
            <w:vMerge/>
            <w:tcBorders>
              <w:left w:val="single" w:sz="4" w:space="0" w:color="AAABD6"/>
              <w:right w:val="single" w:sz="4" w:space="0" w:color="AAABD6"/>
            </w:tcBorders>
          </w:tcPr>
          <w:p w14:paraId="53E0113D" w14:textId="77777777" w:rsidR="00F02371" w:rsidRPr="00100F0A" w:rsidRDefault="00F02371" w:rsidP="002169F6">
            <w:pPr>
              <w:rPr>
                <w:sz w:val="16"/>
                <w:szCs w:val="16"/>
              </w:rPr>
            </w:pPr>
          </w:p>
        </w:tc>
        <w:tc>
          <w:tcPr>
            <w:tcW w:w="1134" w:type="dxa"/>
            <w:tcBorders>
              <w:top w:val="dotted" w:sz="4" w:space="0" w:color="AAABD6"/>
              <w:left w:val="single" w:sz="4" w:space="0" w:color="AAABD6"/>
              <w:bottom w:val="dotted" w:sz="4" w:space="0" w:color="AAABD6"/>
              <w:right w:val="single" w:sz="4" w:space="0" w:color="AAABD6"/>
            </w:tcBorders>
          </w:tcPr>
          <w:p w14:paraId="5602442D"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NT</w:t>
            </w:r>
          </w:p>
        </w:tc>
        <w:tc>
          <w:tcPr>
            <w:tcW w:w="2126" w:type="dxa"/>
            <w:vMerge/>
            <w:tcBorders>
              <w:left w:val="single" w:sz="4" w:space="0" w:color="AAABD6"/>
              <w:right w:val="single" w:sz="4" w:space="0" w:color="AAABD6"/>
            </w:tcBorders>
          </w:tcPr>
          <w:p w14:paraId="2FFE4538"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1132" w:type="dxa"/>
            <w:gridSpan w:val="2"/>
            <w:vMerge/>
            <w:tcBorders>
              <w:left w:val="single" w:sz="4" w:space="0" w:color="AAABD6"/>
              <w:right w:val="single" w:sz="4" w:space="0" w:color="AAABD6"/>
            </w:tcBorders>
          </w:tcPr>
          <w:p w14:paraId="7AF956BA" w14:textId="60C4681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31" w:type="dxa"/>
            <w:tcBorders>
              <w:top w:val="dotted" w:sz="4" w:space="0" w:color="AAABD6"/>
              <w:left w:val="single" w:sz="4" w:space="0" w:color="AAABD6"/>
              <w:bottom w:val="dotted" w:sz="4" w:space="0" w:color="AAABD6"/>
              <w:right w:val="single" w:sz="4" w:space="0" w:color="AAABD6"/>
            </w:tcBorders>
          </w:tcPr>
          <w:p w14:paraId="4A8115A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67" w:type="dxa"/>
            <w:tcBorders>
              <w:top w:val="dotted" w:sz="4" w:space="0" w:color="AAABD6"/>
              <w:left w:val="single" w:sz="4" w:space="0" w:color="AAABD6"/>
              <w:bottom w:val="dotted" w:sz="4" w:space="0" w:color="AAABD6"/>
              <w:right w:val="single" w:sz="4" w:space="0" w:color="AAABD6"/>
            </w:tcBorders>
          </w:tcPr>
          <w:p w14:paraId="552994A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w:t>
            </w:r>
          </w:p>
        </w:tc>
        <w:tc>
          <w:tcPr>
            <w:tcW w:w="567" w:type="dxa"/>
            <w:tcBorders>
              <w:top w:val="dotted" w:sz="4" w:space="0" w:color="AAABD6"/>
              <w:left w:val="single" w:sz="4" w:space="0" w:color="AAABD6"/>
              <w:bottom w:val="dotted" w:sz="4" w:space="0" w:color="AAABD6"/>
              <w:right w:val="single" w:sz="4" w:space="0" w:color="AAABD6"/>
            </w:tcBorders>
          </w:tcPr>
          <w:p w14:paraId="37384F0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w:t>
            </w:r>
          </w:p>
        </w:tc>
        <w:tc>
          <w:tcPr>
            <w:tcW w:w="567" w:type="dxa"/>
            <w:tcBorders>
              <w:top w:val="dotted" w:sz="4" w:space="0" w:color="AAABD6"/>
              <w:left w:val="single" w:sz="4" w:space="0" w:color="AAABD6"/>
              <w:bottom w:val="dotted" w:sz="4" w:space="0" w:color="AAABD6"/>
              <w:right w:val="single" w:sz="4" w:space="0" w:color="AAABD6"/>
            </w:tcBorders>
          </w:tcPr>
          <w:p w14:paraId="063C147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w:t>
            </w:r>
          </w:p>
        </w:tc>
        <w:tc>
          <w:tcPr>
            <w:tcW w:w="567" w:type="dxa"/>
            <w:tcBorders>
              <w:top w:val="dotted" w:sz="4" w:space="0" w:color="AAABD6"/>
              <w:left w:val="single" w:sz="4" w:space="0" w:color="AAABD6"/>
              <w:bottom w:val="dotted" w:sz="4" w:space="0" w:color="AAABD6"/>
              <w:right w:val="single" w:sz="4" w:space="0" w:color="AAABD6"/>
            </w:tcBorders>
          </w:tcPr>
          <w:p w14:paraId="49E9BBB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w:t>
            </w:r>
          </w:p>
        </w:tc>
        <w:tc>
          <w:tcPr>
            <w:tcW w:w="567" w:type="dxa"/>
            <w:tcBorders>
              <w:top w:val="dotted" w:sz="4" w:space="0" w:color="AAABD6"/>
              <w:left w:val="single" w:sz="4" w:space="0" w:color="AAABD6"/>
              <w:bottom w:val="dotted" w:sz="4" w:space="0" w:color="AAABD6"/>
              <w:right w:val="single" w:sz="4" w:space="0" w:color="AAABD6"/>
            </w:tcBorders>
          </w:tcPr>
          <w:p w14:paraId="26D28AC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600</w:t>
            </w:r>
          </w:p>
        </w:tc>
        <w:tc>
          <w:tcPr>
            <w:tcW w:w="567" w:type="dxa"/>
            <w:tcBorders>
              <w:top w:val="dotted" w:sz="4" w:space="0" w:color="AAABD6"/>
              <w:left w:val="single" w:sz="4" w:space="0" w:color="AAABD6"/>
              <w:bottom w:val="dotted" w:sz="4" w:space="0" w:color="AAABD6"/>
              <w:right w:val="single" w:sz="4" w:space="0" w:color="AAABD6"/>
            </w:tcBorders>
          </w:tcPr>
          <w:p w14:paraId="762302C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621</w:t>
            </w:r>
          </w:p>
        </w:tc>
        <w:tc>
          <w:tcPr>
            <w:tcW w:w="567" w:type="dxa"/>
            <w:tcBorders>
              <w:top w:val="dotted" w:sz="4" w:space="0" w:color="AAABD6"/>
              <w:left w:val="single" w:sz="4" w:space="0" w:color="AAABD6"/>
              <w:bottom w:val="dotted" w:sz="4" w:space="0" w:color="AAABD6"/>
              <w:right w:val="single" w:sz="4" w:space="0" w:color="AAABD6"/>
            </w:tcBorders>
          </w:tcPr>
          <w:p w14:paraId="382F851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642</w:t>
            </w:r>
          </w:p>
        </w:tc>
        <w:tc>
          <w:tcPr>
            <w:tcW w:w="567" w:type="dxa"/>
            <w:tcBorders>
              <w:top w:val="dotted" w:sz="4" w:space="0" w:color="AAABD6"/>
              <w:left w:val="single" w:sz="4" w:space="0" w:color="AAABD6"/>
              <w:bottom w:val="dotted" w:sz="4" w:space="0" w:color="AAABD6"/>
              <w:right w:val="single" w:sz="4" w:space="0" w:color="AAABD6"/>
            </w:tcBorders>
          </w:tcPr>
          <w:p w14:paraId="121248C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664</w:t>
            </w:r>
          </w:p>
        </w:tc>
        <w:tc>
          <w:tcPr>
            <w:tcW w:w="567" w:type="dxa"/>
            <w:tcBorders>
              <w:top w:val="dotted" w:sz="4" w:space="0" w:color="AAABD6"/>
              <w:left w:val="single" w:sz="4" w:space="0" w:color="AAABD6"/>
              <w:bottom w:val="dotted" w:sz="4" w:space="0" w:color="AAABD6"/>
              <w:right w:val="single" w:sz="4" w:space="0" w:color="AAABD6"/>
            </w:tcBorders>
          </w:tcPr>
          <w:p w14:paraId="627EF0A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687</w:t>
            </w:r>
          </w:p>
        </w:tc>
        <w:tc>
          <w:tcPr>
            <w:tcW w:w="567" w:type="dxa"/>
            <w:tcBorders>
              <w:top w:val="dotted" w:sz="4" w:space="0" w:color="AAABD6"/>
              <w:left w:val="single" w:sz="4" w:space="0" w:color="AAABD6"/>
              <w:bottom w:val="dotted" w:sz="4" w:space="0" w:color="AAABD6"/>
              <w:right w:val="single" w:sz="4" w:space="0" w:color="AAABD6"/>
            </w:tcBorders>
          </w:tcPr>
          <w:p w14:paraId="3AE41CC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710</w:t>
            </w:r>
          </w:p>
        </w:tc>
        <w:tc>
          <w:tcPr>
            <w:tcW w:w="567" w:type="dxa"/>
            <w:tcBorders>
              <w:top w:val="dotted" w:sz="4" w:space="0" w:color="AAABD6"/>
              <w:left w:val="single" w:sz="4" w:space="0" w:color="AAABD6"/>
              <w:bottom w:val="dotted" w:sz="4" w:space="0" w:color="AAABD6"/>
              <w:right w:val="single" w:sz="4" w:space="0" w:color="AAABD6"/>
            </w:tcBorders>
          </w:tcPr>
          <w:p w14:paraId="5C2FCDE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734</w:t>
            </w:r>
          </w:p>
        </w:tc>
        <w:tc>
          <w:tcPr>
            <w:tcW w:w="567" w:type="dxa"/>
            <w:tcBorders>
              <w:top w:val="dotted" w:sz="4" w:space="0" w:color="AAABD6"/>
              <w:left w:val="single" w:sz="4" w:space="0" w:color="AAABD6"/>
              <w:bottom w:val="dotted" w:sz="4" w:space="0" w:color="AAABD6"/>
              <w:right w:val="single" w:sz="4" w:space="0" w:color="AAABD6"/>
            </w:tcBorders>
          </w:tcPr>
          <w:p w14:paraId="30FB4D8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759</w:t>
            </w:r>
          </w:p>
        </w:tc>
        <w:tc>
          <w:tcPr>
            <w:tcW w:w="567" w:type="dxa"/>
            <w:tcBorders>
              <w:top w:val="dotted" w:sz="4" w:space="0" w:color="AAABD6"/>
              <w:left w:val="single" w:sz="4" w:space="0" w:color="AAABD6"/>
              <w:bottom w:val="dotted" w:sz="4" w:space="0" w:color="AAABD6"/>
              <w:right w:val="single" w:sz="4" w:space="0" w:color="AAABD6"/>
            </w:tcBorders>
          </w:tcPr>
          <w:p w14:paraId="33D9B40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785</w:t>
            </w:r>
          </w:p>
        </w:tc>
        <w:tc>
          <w:tcPr>
            <w:tcW w:w="567" w:type="dxa"/>
            <w:tcBorders>
              <w:top w:val="dotted" w:sz="4" w:space="0" w:color="AAABD6"/>
              <w:left w:val="single" w:sz="4" w:space="0" w:color="AAABD6"/>
              <w:bottom w:val="dotted" w:sz="4" w:space="0" w:color="AAABD6"/>
              <w:right w:val="single" w:sz="4" w:space="0" w:color="AAABD6"/>
            </w:tcBorders>
          </w:tcPr>
          <w:p w14:paraId="41DCE3D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812</w:t>
            </w:r>
          </w:p>
        </w:tc>
        <w:tc>
          <w:tcPr>
            <w:tcW w:w="567" w:type="dxa"/>
            <w:tcBorders>
              <w:top w:val="dotted" w:sz="4" w:space="0" w:color="AAABD6"/>
              <w:left w:val="single" w:sz="4" w:space="0" w:color="AAABD6"/>
              <w:bottom w:val="dotted" w:sz="4" w:space="0" w:color="AAABD6"/>
              <w:right w:val="single" w:sz="4" w:space="0" w:color="AAABD6"/>
            </w:tcBorders>
          </w:tcPr>
          <w:p w14:paraId="521D5A6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840</w:t>
            </w:r>
          </w:p>
        </w:tc>
        <w:tc>
          <w:tcPr>
            <w:tcW w:w="567" w:type="dxa"/>
            <w:tcBorders>
              <w:top w:val="dotted" w:sz="4" w:space="0" w:color="AAABD6"/>
              <w:left w:val="single" w:sz="4" w:space="0" w:color="AAABD6"/>
              <w:bottom w:val="dotted" w:sz="4" w:space="0" w:color="AAABD6"/>
              <w:right w:val="single" w:sz="4" w:space="0" w:color="AAABD6"/>
            </w:tcBorders>
          </w:tcPr>
          <w:p w14:paraId="4B226DE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868</w:t>
            </w:r>
          </w:p>
        </w:tc>
        <w:tc>
          <w:tcPr>
            <w:tcW w:w="567" w:type="dxa"/>
            <w:tcBorders>
              <w:top w:val="dotted" w:sz="4" w:space="0" w:color="AAABD6"/>
              <w:left w:val="single" w:sz="4" w:space="0" w:color="AAABD6"/>
              <w:bottom w:val="dotted" w:sz="4" w:space="0" w:color="AAABD6"/>
              <w:right w:val="single" w:sz="4" w:space="0" w:color="AAABD6"/>
            </w:tcBorders>
          </w:tcPr>
          <w:p w14:paraId="02DEDEC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898</w:t>
            </w:r>
          </w:p>
        </w:tc>
        <w:tc>
          <w:tcPr>
            <w:tcW w:w="567" w:type="dxa"/>
            <w:tcBorders>
              <w:top w:val="dotted" w:sz="4" w:space="0" w:color="AAABD6"/>
              <w:left w:val="single" w:sz="4" w:space="0" w:color="AAABD6"/>
              <w:bottom w:val="dotted" w:sz="4" w:space="0" w:color="AAABD6"/>
              <w:right w:val="single" w:sz="4" w:space="0" w:color="AAABD6"/>
            </w:tcBorders>
          </w:tcPr>
          <w:p w14:paraId="3B156A6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929</w:t>
            </w:r>
          </w:p>
        </w:tc>
      </w:tr>
      <w:tr w:rsidR="00F02371" w:rsidRPr="00100F0A" w14:paraId="10A14CCD"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568" w:type="dxa"/>
            <w:vMerge/>
            <w:tcBorders>
              <w:left w:val="single" w:sz="4" w:space="0" w:color="AAABD6"/>
              <w:right w:val="single" w:sz="4" w:space="0" w:color="AAABD6"/>
            </w:tcBorders>
          </w:tcPr>
          <w:p w14:paraId="79B13F25" w14:textId="77777777" w:rsidR="00F02371" w:rsidRPr="00100F0A" w:rsidRDefault="00F02371" w:rsidP="002169F6">
            <w:pPr>
              <w:rPr>
                <w:sz w:val="16"/>
                <w:szCs w:val="16"/>
              </w:rPr>
            </w:pPr>
          </w:p>
        </w:tc>
        <w:tc>
          <w:tcPr>
            <w:tcW w:w="1134" w:type="dxa"/>
            <w:tcBorders>
              <w:top w:val="dotted" w:sz="4" w:space="0" w:color="AAABD6"/>
              <w:left w:val="single" w:sz="4" w:space="0" w:color="AAABD6"/>
              <w:bottom w:val="dotted" w:sz="4" w:space="0" w:color="AAABD6"/>
              <w:right w:val="single" w:sz="4" w:space="0" w:color="AAABD6"/>
            </w:tcBorders>
          </w:tcPr>
          <w:p w14:paraId="1FD06043"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Qld</w:t>
            </w:r>
          </w:p>
        </w:tc>
        <w:tc>
          <w:tcPr>
            <w:tcW w:w="2126" w:type="dxa"/>
            <w:vMerge/>
            <w:tcBorders>
              <w:left w:val="single" w:sz="4" w:space="0" w:color="AAABD6"/>
              <w:right w:val="single" w:sz="4" w:space="0" w:color="AAABD6"/>
            </w:tcBorders>
          </w:tcPr>
          <w:p w14:paraId="18099A86"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1132" w:type="dxa"/>
            <w:gridSpan w:val="2"/>
            <w:vMerge/>
            <w:tcBorders>
              <w:left w:val="single" w:sz="4" w:space="0" w:color="AAABD6"/>
              <w:right w:val="single" w:sz="4" w:space="0" w:color="AAABD6"/>
            </w:tcBorders>
          </w:tcPr>
          <w:p w14:paraId="2EB98FC9" w14:textId="1F1CDC36"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31" w:type="dxa"/>
            <w:tcBorders>
              <w:top w:val="dotted" w:sz="4" w:space="0" w:color="AAABD6"/>
              <w:left w:val="single" w:sz="4" w:space="0" w:color="AAABD6"/>
              <w:bottom w:val="dotted" w:sz="4" w:space="0" w:color="AAABD6"/>
              <w:right w:val="single" w:sz="4" w:space="0" w:color="AAABD6"/>
            </w:tcBorders>
          </w:tcPr>
          <w:p w14:paraId="1FCDCFC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67" w:type="dxa"/>
            <w:tcBorders>
              <w:top w:val="dotted" w:sz="4" w:space="0" w:color="AAABD6"/>
              <w:left w:val="single" w:sz="4" w:space="0" w:color="AAABD6"/>
              <w:bottom w:val="dotted" w:sz="4" w:space="0" w:color="AAABD6"/>
              <w:right w:val="single" w:sz="4" w:space="0" w:color="AAABD6"/>
            </w:tcBorders>
          </w:tcPr>
          <w:p w14:paraId="35A8391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27</w:t>
            </w:r>
          </w:p>
        </w:tc>
        <w:tc>
          <w:tcPr>
            <w:tcW w:w="567" w:type="dxa"/>
            <w:tcBorders>
              <w:top w:val="dotted" w:sz="4" w:space="0" w:color="AAABD6"/>
              <w:left w:val="single" w:sz="4" w:space="0" w:color="AAABD6"/>
              <w:bottom w:val="dotted" w:sz="4" w:space="0" w:color="AAABD6"/>
              <w:right w:val="single" w:sz="4" w:space="0" w:color="AAABD6"/>
            </w:tcBorders>
          </w:tcPr>
          <w:p w14:paraId="11A30B9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28</w:t>
            </w:r>
          </w:p>
        </w:tc>
        <w:tc>
          <w:tcPr>
            <w:tcW w:w="567" w:type="dxa"/>
            <w:tcBorders>
              <w:top w:val="dotted" w:sz="4" w:space="0" w:color="AAABD6"/>
              <w:left w:val="single" w:sz="4" w:space="0" w:color="AAABD6"/>
              <w:bottom w:val="dotted" w:sz="4" w:space="0" w:color="AAABD6"/>
              <w:right w:val="single" w:sz="4" w:space="0" w:color="AAABD6"/>
            </w:tcBorders>
          </w:tcPr>
          <w:p w14:paraId="37013AD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29</w:t>
            </w:r>
          </w:p>
        </w:tc>
        <w:tc>
          <w:tcPr>
            <w:tcW w:w="567" w:type="dxa"/>
            <w:tcBorders>
              <w:top w:val="dotted" w:sz="4" w:space="0" w:color="AAABD6"/>
              <w:left w:val="single" w:sz="4" w:space="0" w:color="AAABD6"/>
              <w:bottom w:val="dotted" w:sz="4" w:space="0" w:color="AAABD6"/>
              <w:right w:val="single" w:sz="4" w:space="0" w:color="AAABD6"/>
            </w:tcBorders>
          </w:tcPr>
          <w:p w14:paraId="453BE5E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30</w:t>
            </w:r>
          </w:p>
        </w:tc>
        <w:tc>
          <w:tcPr>
            <w:tcW w:w="567" w:type="dxa"/>
            <w:tcBorders>
              <w:top w:val="dotted" w:sz="4" w:space="0" w:color="AAABD6"/>
              <w:left w:val="single" w:sz="4" w:space="0" w:color="AAABD6"/>
              <w:bottom w:val="dotted" w:sz="4" w:space="0" w:color="AAABD6"/>
              <w:right w:val="single" w:sz="4" w:space="0" w:color="AAABD6"/>
            </w:tcBorders>
          </w:tcPr>
          <w:p w14:paraId="25F0DDC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11,905</w:t>
            </w:r>
          </w:p>
        </w:tc>
        <w:tc>
          <w:tcPr>
            <w:tcW w:w="567" w:type="dxa"/>
            <w:tcBorders>
              <w:top w:val="dotted" w:sz="4" w:space="0" w:color="AAABD6"/>
              <w:left w:val="single" w:sz="4" w:space="0" w:color="AAABD6"/>
              <w:bottom w:val="dotted" w:sz="4" w:space="0" w:color="AAABD6"/>
              <w:right w:val="single" w:sz="4" w:space="0" w:color="AAABD6"/>
            </w:tcBorders>
          </w:tcPr>
          <w:p w14:paraId="247856C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12,312</w:t>
            </w:r>
          </w:p>
        </w:tc>
        <w:tc>
          <w:tcPr>
            <w:tcW w:w="567" w:type="dxa"/>
            <w:tcBorders>
              <w:top w:val="dotted" w:sz="4" w:space="0" w:color="AAABD6"/>
              <w:left w:val="single" w:sz="4" w:space="0" w:color="AAABD6"/>
              <w:bottom w:val="dotted" w:sz="4" w:space="0" w:color="AAABD6"/>
              <w:right w:val="single" w:sz="4" w:space="0" w:color="AAABD6"/>
            </w:tcBorders>
          </w:tcPr>
          <w:p w14:paraId="37A71C4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12,732</w:t>
            </w:r>
          </w:p>
        </w:tc>
        <w:tc>
          <w:tcPr>
            <w:tcW w:w="567" w:type="dxa"/>
            <w:tcBorders>
              <w:top w:val="dotted" w:sz="4" w:space="0" w:color="AAABD6"/>
              <w:left w:val="single" w:sz="4" w:space="0" w:color="AAABD6"/>
              <w:bottom w:val="dotted" w:sz="4" w:space="0" w:color="AAABD6"/>
              <w:right w:val="single" w:sz="4" w:space="0" w:color="AAABD6"/>
            </w:tcBorders>
          </w:tcPr>
          <w:p w14:paraId="20F51B9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13,167</w:t>
            </w:r>
          </w:p>
        </w:tc>
        <w:tc>
          <w:tcPr>
            <w:tcW w:w="567" w:type="dxa"/>
            <w:tcBorders>
              <w:top w:val="dotted" w:sz="4" w:space="0" w:color="AAABD6"/>
              <w:left w:val="single" w:sz="4" w:space="0" w:color="AAABD6"/>
              <w:bottom w:val="dotted" w:sz="4" w:space="0" w:color="AAABD6"/>
              <w:right w:val="single" w:sz="4" w:space="0" w:color="AAABD6"/>
            </w:tcBorders>
          </w:tcPr>
          <w:p w14:paraId="763098D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13,617</w:t>
            </w:r>
          </w:p>
        </w:tc>
        <w:tc>
          <w:tcPr>
            <w:tcW w:w="567" w:type="dxa"/>
            <w:tcBorders>
              <w:top w:val="dotted" w:sz="4" w:space="0" w:color="AAABD6"/>
              <w:left w:val="single" w:sz="4" w:space="0" w:color="AAABD6"/>
              <w:bottom w:val="dotted" w:sz="4" w:space="0" w:color="AAABD6"/>
              <w:right w:val="single" w:sz="4" w:space="0" w:color="AAABD6"/>
            </w:tcBorders>
          </w:tcPr>
          <w:p w14:paraId="41637AC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14,082</w:t>
            </w:r>
          </w:p>
        </w:tc>
        <w:tc>
          <w:tcPr>
            <w:tcW w:w="567" w:type="dxa"/>
            <w:tcBorders>
              <w:top w:val="dotted" w:sz="4" w:space="0" w:color="AAABD6"/>
              <w:left w:val="single" w:sz="4" w:space="0" w:color="AAABD6"/>
              <w:bottom w:val="dotted" w:sz="4" w:space="0" w:color="AAABD6"/>
              <w:right w:val="single" w:sz="4" w:space="0" w:color="AAABD6"/>
            </w:tcBorders>
          </w:tcPr>
          <w:p w14:paraId="2069A05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14,563</w:t>
            </w:r>
          </w:p>
        </w:tc>
        <w:tc>
          <w:tcPr>
            <w:tcW w:w="567" w:type="dxa"/>
            <w:tcBorders>
              <w:top w:val="dotted" w:sz="4" w:space="0" w:color="AAABD6"/>
              <w:left w:val="single" w:sz="4" w:space="0" w:color="AAABD6"/>
              <w:bottom w:val="dotted" w:sz="4" w:space="0" w:color="AAABD6"/>
              <w:right w:val="single" w:sz="4" w:space="0" w:color="AAABD6"/>
            </w:tcBorders>
          </w:tcPr>
          <w:p w14:paraId="0F3851F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15,060</w:t>
            </w:r>
          </w:p>
        </w:tc>
        <w:tc>
          <w:tcPr>
            <w:tcW w:w="567" w:type="dxa"/>
            <w:tcBorders>
              <w:top w:val="dotted" w:sz="4" w:space="0" w:color="AAABD6"/>
              <w:left w:val="single" w:sz="4" w:space="0" w:color="AAABD6"/>
              <w:bottom w:val="dotted" w:sz="4" w:space="0" w:color="AAABD6"/>
              <w:right w:val="single" w:sz="4" w:space="0" w:color="AAABD6"/>
            </w:tcBorders>
          </w:tcPr>
          <w:p w14:paraId="7EAC507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15,574</w:t>
            </w:r>
          </w:p>
        </w:tc>
        <w:tc>
          <w:tcPr>
            <w:tcW w:w="567" w:type="dxa"/>
            <w:tcBorders>
              <w:top w:val="dotted" w:sz="4" w:space="0" w:color="AAABD6"/>
              <w:left w:val="single" w:sz="4" w:space="0" w:color="AAABD6"/>
              <w:bottom w:val="dotted" w:sz="4" w:space="0" w:color="AAABD6"/>
              <w:right w:val="single" w:sz="4" w:space="0" w:color="AAABD6"/>
            </w:tcBorders>
          </w:tcPr>
          <w:p w14:paraId="3397846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16,106</w:t>
            </w:r>
          </w:p>
        </w:tc>
        <w:tc>
          <w:tcPr>
            <w:tcW w:w="567" w:type="dxa"/>
            <w:tcBorders>
              <w:top w:val="dotted" w:sz="4" w:space="0" w:color="AAABD6"/>
              <w:left w:val="single" w:sz="4" w:space="0" w:color="AAABD6"/>
              <w:bottom w:val="dotted" w:sz="4" w:space="0" w:color="AAABD6"/>
              <w:right w:val="single" w:sz="4" w:space="0" w:color="AAABD6"/>
            </w:tcBorders>
          </w:tcPr>
          <w:p w14:paraId="56BF2C7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16,656</w:t>
            </w:r>
          </w:p>
        </w:tc>
        <w:tc>
          <w:tcPr>
            <w:tcW w:w="567" w:type="dxa"/>
            <w:tcBorders>
              <w:top w:val="dotted" w:sz="4" w:space="0" w:color="AAABD6"/>
              <w:left w:val="single" w:sz="4" w:space="0" w:color="AAABD6"/>
              <w:bottom w:val="dotted" w:sz="4" w:space="0" w:color="AAABD6"/>
              <w:right w:val="single" w:sz="4" w:space="0" w:color="AAABD6"/>
            </w:tcBorders>
          </w:tcPr>
          <w:p w14:paraId="7F19FB9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17,225</w:t>
            </w:r>
          </w:p>
        </w:tc>
        <w:tc>
          <w:tcPr>
            <w:tcW w:w="567" w:type="dxa"/>
            <w:tcBorders>
              <w:top w:val="dotted" w:sz="4" w:space="0" w:color="AAABD6"/>
              <w:left w:val="single" w:sz="4" w:space="0" w:color="AAABD6"/>
              <w:bottom w:val="dotted" w:sz="4" w:space="0" w:color="AAABD6"/>
              <w:right w:val="single" w:sz="4" w:space="0" w:color="AAABD6"/>
            </w:tcBorders>
          </w:tcPr>
          <w:p w14:paraId="22D6B83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17,813</w:t>
            </w:r>
          </w:p>
        </w:tc>
        <w:tc>
          <w:tcPr>
            <w:tcW w:w="567" w:type="dxa"/>
            <w:tcBorders>
              <w:top w:val="dotted" w:sz="4" w:space="0" w:color="AAABD6"/>
              <w:left w:val="single" w:sz="4" w:space="0" w:color="AAABD6"/>
              <w:bottom w:val="dotted" w:sz="4" w:space="0" w:color="AAABD6"/>
              <w:right w:val="single" w:sz="4" w:space="0" w:color="AAABD6"/>
            </w:tcBorders>
          </w:tcPr>
          <w:p w14:paraId="2264D08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18,422</w:t>
            </w:r>
          </w:p>
        </w:tc>
      </w:tr>
      <w:tr w:rsidR="00F02371" w:rsidRPr="00100F0A" w14:paraId="793EED5C"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568" w:type="dxa"/>
            <w:vMerge/>
            <w:tcBorders>
              <w:left w:val="single" w:sz="4" w:space="0" w:color="AAABD6"/>
              <w:right w:val="single" w:sz="4" w:space="0" w:color="AAABD6"/>
            </w:tcBorders>
          </w:tcPr>
          <w:p w14:paraId="170C01F5" w14:textId="77777777" w:rsidR="00F02371" w:rsidRPr="00100F0A" w:rsidRDefault="00F02371" w:rsidP="002169F6">
            <w:pPr>
              <w:rPr>
                <w:sz w:val="16"/>
                <w:szCs w:val="16"/>
              </w:rPr>
            </w:pPr>
          </w:p>
        </w:tc>
        <w:tc>
          <w:tcPr>
            <w:tcW w:w="1134" w:type="dxa"/>
            <w:tcBorders>
              <w:top w:val="dotted" w:sz="4" w:space="0" w:color="AAABD6"/>
              <w:left w:val="single" w:sz="4" w:space="0" w:color="AAABD6"/>
              <w:bottom w:val="dotted" w:sz="4" w:space="0" w:color="AAABD6"/>
              <w:right w:val="single" w:sz="4" w:space="0" w:color="AAABD6"/>
            </w:tcBorders>
          </w:tcPr>
          <w:p w14:paraId="42B3D14C"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SA</w:t>
            </w:r>
          </w:p>
        </w:tc>
        <w:tc>
          <w:tcPr>
            <w:tcW w:w="2126" w:type="dxa"/>
            <w:vMerge/>
            <w:tcBorders>
              <w:left w:val="single" w:sz="4" w:space="0" w:color="AAABD6"/>
              <w:right w:val="single" w:sz="4" w:space="0" w:color="AAABD6"/>
            </w:tcBorders>
          </w:tcPr>
          <w:p w14:paraId="07711A6B"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1132" w:type="dxa"/>
            <w:gridSpan w:val="2"/>
            <w:vMerge/>
            <w:tcBorders>
              <w:left w:val="single" w:sz="4" w:space="0" w:color="AAABD6"/>
              <w:right w:val="single" w:sz="4" w:space="0" w:color="AAABD6"/>
            </w:tcBorders>
          </w:tcPr>
          <w:p w14:paraId="75F64390" w14:textId="666C8759"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31" w:type="dxa"/>
            <w:tcBorders>
              <w:top w:val="dotted" w:sz="4" w:space="0" w:color="AAABD6"/>
              <w:left w:val="single" w:sz="4" w:space="0" w:color="AAABD6"/>
              <w:bottom w:val="dotted" w:sz="4" w:space="0" w:color="AAABD6"/>
              <w:right w:val="single" w:sz="4" w:space="0" w:color="AAABD6"/>
            </w:tcBorders>
          </w:tcPr>
          <w:p w14:paraId="038ADC7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67" w:type="dxa"/>
            <w:tcBorders>
              <w:top w:val="dotted" w:sz="4" w:space="0" w:color="AAABD6"/>
              <w:left w:val="single" w:sz="4" w:space="0" w:color="AAABD6"/>
              <w:bottom w:val="dotted" w:sz="4" w:space="0" w:color="AAABD6"/>
              <w:right w:val="single" w:sz="4" w:space="0" w:color="AAABD6"/>
            </w:tcBorders>
          </w:tcPr>
          <w:p w14:paraId="013832C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9</w:t>
            </w:r>
          </w:p>
        </w:tc>
        <w:tc>
          <w:tcPr>
            <w:tcW w:w="567" w:type="dxa"/>
            <w:tcBorders>
              <w:top w:val="dotted" w:sz="4" w:space="0" w:color="AAABD6"/>
              <w:left w:val="single" w:sz="4" w:space="0" w:color="AAABD6"/>
              <w:bottom w:val="dotted" w:sz="4" w:space="0" w:color="AAABD6"/>
              <w:right w:val="single" w:sz="4" w:space="0" w:color="AAABD6"/>
            </w:tcBorders>
          </w:tcPr>
          <w:p w14:paraId="6400873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9</w:t>
            </w:r>
          </w:p>
        </w:tc>
        <w:tc>
          <w:tcPr>
            <w:tcW w:w="567" w:type="dxa"/>
            <w:tcBorders>
              <w:top w:val="dotted" w:sz="4" w:space="0" w:color="AAABD6"/>
              <w:left w:val="single" w:sz="4" w:space="0" w:color="AAABD6"/>
              <w:bottom w:val="dotted" w:sz="4" w:space="0" w:color="AAABD6"/>
              <w:right w:val="single" w:sz="4" w:space="0" w:color="AAABD6"/>
            </w:tcBorders>
          </w:tcPr>
          <w:p w14:paraId="0350D03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10</w:t>
            </w:r>
          </w:p>
        </w:tc>
        <w:tc>
          <w:tcPr>
            <w:tcW w:w="567" w:type="dxa"/>
            <w:tcBorders>
              <w:top w:val="dotted" w:sz="4" w:space="0" w:color="AAABD6"/>
              <w:left w:val="single" w:sz="4" w:space="0" w:color="AAABD6"/>
              <w:bottom w:val="dotted" w:sz="4" w:space="0" w:color="AAABD6"/>
              <w:right w:val="single" w:sz="4" w:space="0" w:color="AAABD6"/>
            </w:tcBorders>
          </w:tcPr>
          <w:p w14:paraId="4E50442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10</w:t>
            </w:r>
          </w:p>
        </w:tc>
        <w:tc>
          <w:tcPr>
            <w:tcW w:w="567" w:type="dxa"/>
            <w:tcBorders>
              <w:top w:val="dotted" w:sz="4" w:space="0" w:color="AAABD6"/>
              <w:left w:val="single" w:sz="4" w:space="0" w:color="AAABD6"/>
              <w:bottom w:val="dotted" w:sz="4" w:space="0" w:color="AAABD6"/>
              <w:right w:val="single" w:sz="4" w:space="0" w:color="AAABD6"/>
            </w:tcBorders>
          </w:tcPr>
          <w:p w14:paraId="7853E0F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3,993</w:t>
            </w:r>
          </w:p>
        </w:tc>
        <w:tc>
          <w:tcPr>
            <w:tcW w:w="567" w:type="dxa"/>
            <w:tcBorders>
              <w:top w:val="dotted" w:sz="4" w:space="0" w:color="AAABD6"/>
              <w:left w:val="single" w:sz="4" w:space="0" w:color="AAABD6"/>
              <w:bottom w:val="dotted" w:sz="4" w:space="0" w:color="AAABD6"/>
              <w:right w:val="single" w:sz="4" w:space="0" w:color="AAABD6"/>
            </w:tcBorders>
          </w:tcPr>
          <w:p w14:paraId="44EA4F2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4,129</w:t>
            </w:r>
          </w:p>
        </w:tc>
        <w:tc>
          <w:tcPr>
            <w:tcW w:w="567" w:type="dxa"/>
            <w:tcBorders>
              <w:top w:val="dotted" w:sz="4" w:space="0" w:color="AAABD6"/>
              <w:left w:val="single" w:sz="4" w:space="0" w:color="AAABD6"/>
              <w:bottom w:val="dotted" w:sz="4" w:space="0" w:color="AAABD6"/>
              <w:right w:val="single" w:sz="4" w:space="0" w:color="AAABD6"/>
            </w:tcBorders>
          </w:tcPr>
          <w:p w14:paraId="6BEC5D7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4,270</w:t>
            </w:r>
          </w:p>
        </w:tc>
        <w:tc>
          <w:tcPr>
            <w:tcW w:w="567" w:type="dxa"/>
            <w:tcBorders>
              <w:top w:val="dotted" w:sz="4" w:space="0" w:color="AAABD6"/>
              <w:left w:val="single" w:sz="4" w:space="0" w:color="AAABD6"/>
              <w:bottom w:val="dotted" w:sz="4" w:space="0" w:color="AAABD6"/>
              <w:right w:val="single" w:sz="4" w:space="0" w:color="AAABD6"/>
            </w:tcBorders>
          </w:tcPr>
          <w:p w14:paraId="65CAA28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4,416</w:t>
            </w:r>
          </w:p>
        </w:tc>
        <w:tc>
          <w:tcPr>
            <w:tcW w:w="567" w:type="dxa"/>
            <w:tcBorders>
              <w:top w:val="dotted" w:sz="4" w:space="0" w:color="AAABD6"/>
              <w:left w:val="single" w:sz="4" w:space="0" w:color="AAABD6"/>
              <w:bottom w:val="dotted" w:sz="4" w:space="0" w:color="AAABD6"/>
              <w:right w:val="single" w:sz="4" w:space="0" w:color="AAABD6"/>
            </w:tcBorders>
          </w:tcPr>
          <w:p w14:paraId="29CAF30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4,567</w:t>
            </w:r>
          </w:p>
        </w:tc>
        <w:tc>
          <w:tcPr>
            <w:tcW w:w="567" w:type="dxa"/>
            <w:tcBorders>
              <w:top w:val="dotted" w:sz="4" w:space="0" w:color="AAABD6"/>
              <w:left w:val="single" w:sz="4" w:space="0" w:color="AAABD6"/>
              <w:bottom w:val="dotted" w:sz="4" w:space="0" w:color="AAABD6"/>
              <w:right w:val="single" w:sz="4" w:space="0" w:color="AAABD6"/>
            </w:tcBorders>
          </w:tcPr>
          <w:p w14:paraId="69DA64C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4,723</w:t>
            </w:r>
          </w:p>
        </w:tc>
        <w:tc>
          <w:tcPr>
            <w:tcW w:w="567" w:type="dxa"/>
            <w:tcBorders>
              <w:top w:val="dotted" w:sz="4" w:space="0" w:color="AAABD6"/>
              <w:left w:val="single" w:sz="4" w:space="0" w:color="AAABD6"/>
              <w:bottom w:val="dotted" w:sz="4" w:space="0" w:color="AAABD6"/>
              <w:right w:val="single" w:sz="4" w:space="0" w:color="AAABD6"/>
            </w:tcBorders>
          </w:tcPr>
          <w:p w14:paraId="7A581AB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4,884</w:t>
            </w:r>
          </w:p>
        </w:tc>
        <w:tc>
          <w:tcPr>
            <w:tcW w:w="567" w:type="dxa"/>
            <w:tcBorders>
              <w:top w:val="dotted" w:sz="4" w:space="0" w:color="AAABD6"/>
              <w:left w:val="single" w:sz="4" w:space="0" w:color="AAABD6"/>
              <w:bottom w:val="dotted" w:sz="4" w:space="0" w:color="AAABD6"/>
              <w:right w:val="single" w:sz="4" w:space="0" w:color="AAABD6"/>
            </w:tcBorders>
          </w:tcPr>
          <w:p w14:paraId="2105360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5,051</w:t>
            </w:r>
          </w:p>
        </w:tc>
        <w:tc>
          <w:tcPr>
            <w:tcW w:w="567" w:type="dxa"/>
            <w:tcBorders>
              <w:top w:val="dotted" w:sz="4" w:space="0" w:color="AAABD6"/>
              <w:left w:val="single" w:sz="4" w:space="0" w:color="AAABD6"/>
              <w:bottom w:val="dotted" w:sz="4" w:space="0" w:color="AAABD6"/>
              <w:right w:val="single" w:sz="4" w:space="0" w:color="AAABD6"/>
            </w:tcBorders>
          </w:tcPr>
          <w:p w14:paraId="5FF6345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5,223</w:t>
            </w:r>
          </w:p>
        </w:tc>
        <w:tc>
          <w:tcPr>
            <w:tcW w:w="567" w:type="dxa"/>
            <w:tcBorders>
              <w:top w:val="dotted" w:sz="4" w:space="0" w:color="AAABD6"/>
              <w:left w:val="single" w:sz="4" w:space="0" w:color="AAABD6"/>
              <w:bottom w:val="dotted" w:sz="4" w:space="0" w:color="AAABD6"/>
              <w:right w:val="single" w:sz="4" w:space="0" w:color="AAABD6"/>
            </w:tcBorders>
          </w:tcPr>
          <w:p w14:paraId="03437F6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5,402</w:t>
            </w:r>
          </w:p>
        </w:tc>
        <w:tc>
          <w:tcPr>
            <w:tcW w:w="567" w:type="dxa"/>
            <w:tcBorders>
              <w:top w:val="dotted" w:sz="4" w:space="0" w:color="AAABD6"/>
              <w:left w:val="single" w:sz="4" w:space="0" w:color="AAABD6"/>
              <w:bottom w:val="dotted" w:sz="4" w:space="0" w:color="AAABD6"/>
              <w:right w:val="single" w:sz="4" w:space="0" w:color="AAABD6"/>
            </w:tcBorders>
          </w:tcPr>
          <w:p w14:paraId="4F7B149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5,586</w:t>
            </w:r>
          </w:p>
        </w:tc>
        <w:tc>
          <w:tcPr>
            <w:tcW w:w="567" w:type="dxa"/>
            <w:tcBorders>
              <w:top w:val="dotted" w:sz="4" w:space="0" w:color="AAABD6"/>
              <w:left w:val="single" w:sz="4" w:space="0" w:color="AAABD6"/>
              <w:bottom w:val="dotted" w:sz="4" w:space="0" w:color="AAABD6"/>
              <w:right w:val="single" w:sz="4" w:space="0" w:color="AAABD6"/>
            </w:tcBorders>
          </w:tcPr>
          <w:p w14:paraId="3FD1C8F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5,777</w:t>
            </w:r>
          </w:p>
        </w:tc>
        <w:tc>
          <w:tcPr>
            <w:tcW w:w="567" w:type="dxa"/>
            <w:tcBorders>
              <w:top w:val="dotted" w:sz="4" w:space="0" w:color="AAABD6"/>
              <w:left w:val="single" w:sz="4" w:space="0" w:color="AAABD6"/>
              <w:bottom w:val="dotted" w:sz="4" w:space="0" w:color="AAABD6"/>
              <w:right w:val="single" w:sz="4" w:space="0" w:color="AAABD6"/>
            </w:tcBorders>
          </w:tcPr>
          <w:p w14:paraId="6E17699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5,974</w:t>
            </w:r>
          </w:p>
        </w:tc>
        <w:tc>
          <w:tcPr>
            <w:tcW w:w="567" w:type="dxa"/>
            <w:tcBorders>
              <w:top w:val="dotted" w:sz="4" w:space="0" w:color="AAABD6"/>
              <w:left w:val="single" w:sz="4" w:space="0" w:color="AAABD6"/>
              <w:bottom w:val="dotted" w:sz="4" w:space="0" w:color="AAABD6"/>
              <w:right w:val="single" w:sz="4" w:space="0" w:color="AAABD6"/>
            </w:tcBorders>
          </w:tcPr>
          <w:p w14:paraId="133BD3F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6,178</w:t>
            </w:r>
          </w:p>
        </w:tc>
      </w:tr>
      <w:tr w:rsidR="00F02371" w:rsidRPr="00100F0A" w14:paraId="62065F8A"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568" w:type="dxa"/>
            <w:vMerge/>
            <w:tcBorders>
              <w:left w:val="single" w:sz="4" w:space="0" w:color="AAABD6"/>
              <w:right w:val="single" w:sz="4" w:space="0" w:color="AAABD6"/>
            </w:tcBorders>
          </w:tcPr>
          <w:p w14:paraId="7E24EBB0" w14:textId="77777777" w:rsidR="00F02371" w:rsidRPr="00100F0A" w:rsidRDefault="00F02371" w:rsidP="002169F6">
            <w:pPr>
              <w:rPr>
                <w:sz w:val="16"/>
                <w:szCs w:val="16"/>
              </w:rPr>
            </w:pPr>
          </w:p>
        </w:tc>
        <w:tc>
          <w:tcPr>
            <w:tcW w:w="1134" w:type="dxa"/>
            <w:tcBorders>
              <w:top w:val="dotted" w:sz="4" w:space="0" w:color="AAABD6"/>
              <w:left w:val="single" w:sz="4" w:space="0" w:color="AAABD6"/>
              <w:bottom w:val="dotted" w:sz="4" w:space="0" w:color="AAABD6"/>
              <w:right w:val="single" w:sz="4" w:space="0" w:color="AAABD6"/>
            </w:tcBorders>
          </w:tcPr>
          <w:p w14:paraId="6972B625"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Tas</w:t>
            </w:r>
          </w:p>
        </w:tc>
        <w:tc>
          <w:tcPr>
            <w:tcW w:w="2126" w:type="dxa"/>
            <w:vMerge/>
            <w:tcBorders>
              <w:left w:val="single" w:sz="4" w:space="0" w:color="AAABD6"/>
              <w:right w:val="single" w:sz="4" w:space="0" w:color="AAABD6"/>
            </w:tcBorders>
          </w:tcPr>
          <w:p w14:paraId="70C2A957"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1132" w:type="dxa"/>
            <w:gridSpan w:val="2"/>
            <w:vMerge/>
            <w:tcBorders>
              <w:left w:val="single" w:sz="4" w:space="0" w:color="AAABD6"/>
              <w:right w:val="single" w:sz="4" w:space="0" w:color="AAABD6"/>
            </w:tcBorders>
          </w:tcPr>
          <w:p w14:paraId="27EBE903" w14:textId="1730F206"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31" w:type="dxa"/>
            <w:tcBorders>
              <w:top w:val="dotted" w:sz="4" w:space="0" w:color="AAABD6"/>
              <w:left w:val="single" w:sz="4" w:space="0" w:color="AAABD6"/>
              <w:bottom w:val="dotted" w:sz="4" w:space="0" w:color="AAABD6"/>
              <w:right w:val="single" w:sz="4" w:space="0" w:color="AAABD6"/>
            </w:tcBorders>
          </w:tcPr>
          <w:p w14:paraId="2056F2D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67" w:type="dxa"/>
            <w:tcBorders>
              <w:top w:val="dotted" w:sz="4" w:space="0" w:color="AAABD6"/>
              <w:left w:val="single" w:sz="4" w:space="0" w:color="AAABD6"/>
              <w:bottom w:val="dotted" w:sz="4" w:space="0" w:color="AAABD6"/>
              <w:right w:val="single" w:sz="4" w:space="0" w:color="AAABD6"/>
            </w:tcBorders>
          </w:tcPr>
          <w:p w14:paraId="42AE879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w:t>
            </w:r>
          </w:p>
        </w:tc>
        <w:tc>
          <w:tcPr>
            <w:tcW w:w="567" w:type="dxa"/>
            <w:tcBorders>
              <w:top w:val="dotted" w:sz="4" w:space="0" w:color="AAABD6"/>
              <w:left w:val="single" w:sz="4" w:space="0" w:color="AAABD6"/>
              <w:bottom w:val="dotted" w:sz="4" w:space="0" w:color="AAABD6"/>
              <w:right w:val="single" w:sz="4" w:space="0" w:color="AAABD6"/>
            </w:tcBorders>
          </w:tcPr>
          <w:p w14:paraId="3C942D6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w:t>
            </w:r>
          </w:p>
        </w:tc>
        <w:tc>
          <w:tcPr>
            <w:tcW w:w="567" w:type="dxa"/>
            <w:tcBorders>
              <w:top w:val="dotted" w:sz="4" w:space="0" w:color="AAABD6"/>
              <w:left w:val="single" w:sz="4" w:space="0" w:color="AAABD6"/>
              <w:bottom w:val="dotted" w:sz="4" w:space="0" w:color="AAABD6"/>
              <w:right w:val="single" w:sz="4" w:space="0" w:color="AAABD6"/>
            </w:tcBorders>
          </w:tcPr>
          <w:p w14:paraId="1B9FA7A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w:t>
            </w:r>
          </w:p>
        </w:tc>
        <w:tc>
          <w:tcPr>
            <w:tcW w:w="567" w:type="dxa"/>
            <w:tcBorders>
              <w:top w:val="dotted" w:sz="4" w:space="0" w:color="AAABD6"/>
              <w:left w:val="single" w:sz="4" w:space="0" w:color="AAABD6"/>
              <w:bottom w:val="dotted" w:sz="4" w:space="0" w:color="AAABD6"/>
              <w:right w:val="single" w:sz="4" w:space="0" w:color="AAABD6"/>
            </w:tcBorders>
          </w:tcPr>
          <w:p w14:paraId="56F0AC6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w:t>
            </w:r>
          </w:p>
        </w:tc>
        <w:tc>
          <w:tcPr>
            <w:tcW w:w="567" w:type="dxa"/>
            <w:tcBorders>
              <w:top w:val="dotted" w:sz="4" w:space="0" w:color="AAABD6"/>
              <w:left w:val="single" w:sz="4" w:space="0" w:color="AAABD6"/>
              <w:bottom w:val="dotted" w:sz="4" w:space="0" w:color="AAABD6"/>
              <w:right w:val="single" w:sz="4" w:space="0" w:color="AAABD6"/>
            </w:tcBorders>
          </w:tcPr>
          <w:p w14:paraId="6A13D93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1,187</w:t>
            </w:r>
          </w:p>
        </w:tc>
        <w:tc>
          <w:tcPr>
            <w:tcW w:w="567" w:type="dxa"/>
            <w:tcBorders>
              <w:top w:val="dotted" w:sz="4" w:space="0" w:color="AAABD6"/>
              <w:left w:val="single" w:sz="4" w:space="0" w:color="AAABD6"/>
              <w:bottom w:val="dotted" w:sz="4" w:space="0" w:color="AAABD6"/>
              <w:right w:val="single" w:sz="4" w:space="0" w:color="AAABD6"/>
            </w:tcBorders>
          </w:tcPr>
          <w:p w14:paraId="16810A5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1,228</w:t>
            </w:r>
          </w:p>
        </w:tc>
        <w:tc>
          <w:tcPr>
            <w:tcW w:w="567" w:type="dxa"/>
            <w:tcBorders>
              <w:top w:val="dotted" w:sz="4" w:space="0" w:color="AAABD6"/>
              <w:left w:val="single" w:sz="4" w:space="0" w:color="AAABD6"/>
              <w:bottom w:val="dotted" w:sz="4" w:space="0" w:color="AAABD6"/>
              <w:right w:val="single" w:sz="4" w:space="0" w:color="AAABD6"/>
            </w:tcBorders>
          </w:tcPr>
          <w:p w14:paraId="6F76930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1,270</w:t>
            </w:r>
          </w:p>
        </w:tc>
        <w:tc>
          <w:tcPr>
            <w:tcW w:w="567" w:type="dxa"/>
            <w:tcBorders>
              <w:top w:val="dotted" w:sz="4" w:space="0" w:color="AAABD6"/>
              <w:left w:val="single" w:sz="4" w:space="0" w:color="AAABD6"/>
              <w:bottom w:val="dotted" w:sz="4" w:space="0" w:color="AAABD6"/>
              <w:right w:val="single" w:sz="4" w:space="0" w:color="AAABD6"/>
            </w:tcBorders>
          </w:tcPr>
          <w:p w14:paraId="32F280A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1,313</w:t>
            </w:r>
          </w:p>
        </w:tc>
        <w:tc>
          <w:tcPr>
            <w:tcW w:w="567" w:type="dxa"/>
            <w:tcBorders>
              <w:top w:val="dotted" w:sz="4" w:space="0" w:color="AAABD6"/>
              <w:left w:val="single" w:sz="4" w:space="0" w:color="AAABD6"/>
              <w:bottom w:val="dotted" w:sz="4" w:space="0" w:color="AAABD6"/>
              <w:right w:val="single" w:sz="4" w:space="0" w:color="AAABD6"/>
            </w:tcBorders>
          </w:tcPr>
          <w:p w14:paraId="1C3F5BA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1,358</w:t>
            </w:r>
          </w:p>
        </w:tc>
        <w:tc>
          <w:tcPr>
            <w:tcW w:w="567" w:type="dxa"/>
            <w:tcBorders>
              <w:top w:val="dotted" w:sz="4" w:space="0" w:color="AAABD6"/>
              <w:left w:val="single" w:sz="4" w:space="0" w:color="AAABD6"/>
              <w:bottom w:val="dotted" w:sz="4" w:space="0" w:color="AAABD6"/>
              <w:right w:val="single" w:sz="4" w:space="0" w:color="AAABD6"/>
            </w:tcBorders>
          </w:tcPr>
          <w:p w14:paraId="45AC7B6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1,404</w:t>
            </w:r>
          </w:p>
        </w:tc>
        <w:tc>
          <w:tcPr>
            <w:tcW w:w="567" w:type="dxa"/>
            <w:tcBorders>
              <w:top w:val="dotted" w:sz="4" w:space="0" w:color="AAABD6"/>
              <w:left w:val="single" w:sz="4" w:space="0" w:color="AAABD6"/>
              <w:bottom w:val="dotted" w:sz="4" w:space="0" w:color="AAABD6"/>
              <w:right w:val="single" w:sz="4" w:space="0" w:color="AAABD6"/>
            </w:tcBorders>
          </w:tcPr>
          <w:p w14:paraId="0506CE7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1,452</w:t>
            </w:r>
          </w:p>
        </w:tc>
        <w:tc>
          <w:tcPr>
            <w:tcW w:w="567" w:type="dxa"/>
            <w:tcBorders>
              <w:top w:val="dotted" w:sz="4" w:space="0" w:color="AAABD6"/>
              <w:left w:val="single" w:sz="4" w:space="0" w:color="AAABD6"/>
              <w:bottom w:val="dotted" w:sz="4" w:space="0" w:color="AAABD6"/>
              <w:right w:val="single" w:sz="4" w:space="0" w:color="AAABD6"/>
            </w:tcBorders>
          </w:tcPr>
          <w:p w14:paraId="712AD5C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1,502</w:t>
            </w:r>
          </w:p>
        </w:tc>
        <w:tc>
          <w:tcPr>
            <w:tcW w:w="567" w:type="dxa"/>
            <w:tcBorders>
              <w:top w:val="dotted" w:sz="4" w:space="0" w:color="AAABD6"/>
              <w:left w:val="single" w:sz="4" w:space="0" w:color="AAABD6"/>
              <w:bottom w:val="dotted" w:sz="4" w:space="0" w:color="AAABD6"/>
              <w:right w:val="single" w:sz="4" w:space="0" w:color="AAABD6"/>
            </w:tcBorders>
          </w:tcPr>
          <w:p w14:paraId="135963B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1,553</w:t>
            </w:r>
          </w:p>
        </w:tc>
        <w:tc>
          <w:tcPr>
            <w:tcW w:w="567" w:type="dxa"/>
            <w:tcBorders>
              <w:top w:val="dotted" w:sz="4" w:space="0" w:color="AAABD6"/>
              <w:left w:val="single" w:sz="4" w:space="0" w:color="AAABD6"/>
              <w:bottom w:val="dotted" w:sz="4" w:space="0" w:color="AAABD6"/>
              <w:right w:val="single" w:sz="4" w:space="0" w:color="AAABD6"/>
            </w:tcBorders>
          </w:tcPr>
          <w:p w14:paraId="6752D3D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1,606</w:t>
            </w:r>
          </w:p>
        </w:tc>
        <w:tc>
          <w:tcPr>
            <w:tcW w:w="567" w:type="dxa"/>
            <w:tcBorders>
              <w:top w:val="dotted" w:sz="4" w:space="0" w:color="AAABD6"/>
              <w:left w:val="single" w:sz="4" w:space="0" w:color="AAABD6"/>
              <w:bottom w:val="dotted" w:sz="4" w:space="0" w:color="AAABD6"/>
              <w:right w:val="single" w:sz="4" w:space="0" w:color="AAABD6"/>
            </w:tcBorders>
          </w:tcPr>
          <w:p w14:paraId="6F94FA8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1,661</w:t>
            </w:r>
          </w:p>
        </w:tc>
        <w:tc>
          <w:tcPr>
            <w:tcW w:w="567" w:type="dxa"/>
            <w:tcBorders>
              <w:top w:val="dotted" w:sz="4" w:space="0" w:color="AAABD6"/>
              <w:left w:val="single" w:sz="4" w:space="0" w:color="AAABD6"/>
              <w:bottom w:val="dotted" w:sz="4" w:space="0" w:color="AAABD6"/>
              <w:right w:val="single" w:sz="4" w:space="0" w:color="AAABD6"/>
            </w:tcBorders>
          </w:tcPr>
          <w:p w14:paraId="415CD63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1,718</w:t>
            </w:r>
          </w:p>
        </w:tc>
        <w:tc>
          <w:tcPr>
            <w:tcW w:w="567" w:type="dxa"/>
            <w:tcBorders>
              <w:top w:val="dotted" w:sz="4" w:space="0" w:color="AAABD6"/>
              <w:left w:val="single" w:sz="4" w:space="0" w:color="AAABD6"/>
              <w:bottom w:val="dotted" w:sz="4" w:space="0" w:color="AAABD6"/>
              <w:right w:val="single" w:sz="4" w:space="0" w:color="AAABD6"/>
            </w:tcBorders>
          </w:tcPr>
          <w:p w14:paraId="219260C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1,777</w:t>
            </w:r>
          </w:p>
        </w:tc>
        <w:tc>
          <w:tcPr>
            <w:tcW w:w="567" w:type="dxa"/>
            <w:tcBorders>
              <w:top w:val="dotted" w:sz="4" w:space="0" w:color="AAABD6"/>
              <w:left w:val="single" w:sz="4" w:space="0" w:color="AAABD6"/>
              <w:bottom w:val="dotted" w:sz="4" w:space="0" w:color="AAABD6"/>
              <w:right w:val="single" w:sz="4" w:space="0" w:color="AAABD6"/>
            </w:tcBorders>
          </w:tcPr>
          <w:p w14:paraId="0797B4F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1,837</w:t>
            </w:r>
          </w:p>
        </w:tc>
      </w:tr>
      <w:tr w:rsidR="00F02371" w:rsidRPr="00100F0A" w14:paraId="1694F8CE"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568" w:type="dxa"/>
            <w:vMerge/>
            <w:tcBorders>
              <w:left w:val="single" w:sz="4" w:space="0" w:color="AAABD6"/>
              <w:right w:val="single" w:sz="4" w:space="0" w:color="AAABD6"/>
            </w:tcBorders>
          </w:tcPr>
          <w:p w14:paraId="298C1BFB" w14:textId="77777777" w:rsidR="00F02371" w:rsidRPr="00100F0A" w:rsidRDefault="00F02371" w:rsidP="002169F6">
            <w:pPr>
              <w:rPr>
                <w:sz w:val="16"/>
                <w:szCs w:val="16"/>
              </w:rPr>
            </w:pPr>
          </w:p>
        </w:tc>
        <w:tc>
          <w:tcPr>
            <w:tcW w:w="1134" w:type="dxa"/>
            <w:tcBorders>
              <w:top w:val="dotted" w:sz="4" w:space="0" w:color="AAABD6"/>
              <w:left w:val="single" w:sz="4" w:space="0" w:color="AAABD6"/>
              <w:bottom w:val="dotted" w:sz="4" w:space="0" w:color="AAABD6"/>
              <w:right w:val="single" w:sz="4" w:space="0" w:color="AAABD6"/>
            </w:tcBorders>
          </w:tcPr>
          <w:p w14:paraId="7F1A46C5"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Vic</w:t>
            </w:r>
          </w:p>
        </w:tc>
        <w:tc>
          <w:tcPr>
            <w:tcW w:w="2126" w:type="dxa"/>
            <w:vMerge/>
            <w:tcBorders>
              <w:left w:val="single" w:sz="4" w:space="0" w:color="AAABD6"/>
              <w:right w:val="single" w:sz="4" w:space="0" w:color="AAABD6"/>
            </w:tcBorders>
          </w:tcPr>
          <w:p w14:paraId="2E19E48F"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1132" w:type="dxa"/>
            <w:gridSpan w:val="2"/>
            <w:vMerge/>
            <w:tcBorders>
              <w:left w:val="single" w:sz="4" w:space="0" w:color="AAABD6"/>
              <w:right w:val="single" w:sz="4" w:space="0" w:color="AAABD6"/>
            </w:tcBorders>
          </w:tcPr>
          <w:p w14:paraId="78526BBE" w14:textId="3883B112"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31" w:type="dxa"/>
            <w:tcBorders>
              <w:top w:val="dotted" w:sz="4" w:space="0" w:color="AAABD6"/>
              <w:left w:val="single" w:sz="4" w:space="0" w:color="AAABD6"/>
              <w:bottom w:val="dotted" w:sz="4" w:space="0" w:color="AAABD6"/>
              <w:right w:val="single" w:sz="4" w:space="0" w:color="AAABD6"/>
            </w:tcBorders>
          </w:tcPr>
          <w:p w14:paraId="0CFC4D4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67" w:type="dxa"/>
            <w:tcBorders>
              <w:top w:val="dotted" w:sz="4" w:space="0" w:color="AAABD6"/>
              <w:left w:val="single" w:sz="4" w:space="0" w:color="AAABD6"/>
              <w:bottom w:val="dotted" w:sz="4" w:space="0" w:color="AAABD6"/>
              <w:right w:val="single" w:sz="4" w:space="0" w:color="AAABD6"/>
            </w:tcBorders>
          </w:tcPr>
          <w:p w14:paraId="462DCDB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33</w:t>
            </w:r>
          </w:p>
        </w:tc>
        <w:tc>
          <w:tcPr>
            <w:tcW w:w="567" w:type="dxa"/>
            <w:tcBorders>
              <w:top w:val="dotted" w:sz="4" w:space="0" w:color="AAABD6"/>
              <w:left w:val="single" w:sz="4" w:space="0" w:color="AAABD6"/>
              <w:bottom w:val="dotted" w:sz="4" w:space="0" w:color="AAABD6"/>
              <w:right w:val="single" w:sz="4" w:space="0" w:color="AAABD6"/>
            </w:tcBorders>
          </w:tcPr>
          <w:p w14:paraId="6639203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34</w:t>
            </w:r>
          </w:p>
        </w:tc>
        <w:tc>
          <w:tcPr>
            <w:tcW w:w="567" w:type="dxa"/>
            <w:tcBorders>
              <w:top w:val="dotted" w:sz="4" w:space="0" w:color="AAABD6"/>
              <w:left w:val="single" w:sz="4" w:space="0" w:color="AAABD6"/>
              <w:bottom w:val="dotted" w:sz="4" w:space="0" w:color="AAABD6"/>
              <w:right w:val="single" w:sz="4" w:space="0" w:color="AAABD6"/>
            </w:tcBorders>
          </w:tcPr>
          <w:p w14:paraId="3896F10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35</w:t>
            </w:r>
          </w:p>
        </w:tc>
        <w:tc>
          <w:tcPr>
            <w:tcW w:w="567" w:type="dxa"/>
            <w:tcBorders>
              <w:top w:val="dotted" w:sz="4" w:space="0" w:color="AAABD6"/>
              <w:left w:val="single" w:sz="4" w:space="0" w:color="AAABD6"/>
              <w:bottom w:val="dotted" w:sz="4" w:space="0" w:color="AAABD6"/>
              <w:right w:val="single" w:sz="4" w:space="0" w:color="AAABD6"/>
            </w:tcBorders>
          </w:tcPr>
          <w:p w14:paraId="11A9286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36</w:t>
            </w:r>
          </w:p>
        </w:tc>
        <w:tc>
          <w:tcPr>
            <w:tcW w:w="567" w:type="dxa"/>
            <w:tcBorders>
              <w:top w:val="dotted" w:sz="4" w:space="0" w:color="AAABD6"/>
              <w:left w:val="single" w:sz="4" w:space="0" w:color="AAABD6"/>
              <w:bottom w:val="dotted" w:sz="4" w:space="0" w:color="AAABD6"/>
              <w:right w:val="single" w:sz="4" w:space="0" w:color="AAABD6"/>
            </w:tcBorders>
          </w:tcPr>
          <w:p w14:paraId="217EE9B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14,359</w:t>
            </w:r>
          </w:p>
        </w:tc>
        <w:tc>
          <w:tcPr>
            <w:tcW w:w="567" w:type="dxa"/>
            <w:tcBorders>
              <w:top w:val="dotted" w:sz="4" w:space="0" w:color="AAABD6"/>
              <w:left w:val="single" w:sz="4" w:space="0" w:color="AAABD6"/>
              <w:bottom w:val="dotted" w:sz="4" w:space="0" w:color="AAABD6"/>
              <w:right w:val="single" w:sz="4" w:space="0" w:color="AAABD6"/>
            </w:tcBorders>
          </w:tcPr>
          <w:p w14:paraId="1CD9724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14,849</w:t>
            </w:r>
          </w:p>
        </w:tc>
        <w:tc>
          <w:tcPr>
            <w:tcW w:w="567" w:type="dxa"/>
            <w:tcBorders>
              <w:top w:val="dotted" w:sz="4" w:space="0" w:color="AAABD6"/>
              <w:left w:val="single" w:sz="4" w:space="0" w:color="AAABD6"/>
              <w:bottom w:val="dotted" w:sz="4" w:space="0" w:color="AAABD6"/>
              <w:right w:val="single" w:sz="4" w:space="0" w:color="AAABD6"/>
            </w:tcBorders>
          </w:tcPr>
          <w:p w14:paraId="5D01718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15,356</w:t>
            </w:r>
          </w:p>
        </w:tc>
        <w:tc>
          <w:tcPr>
            <w:tcW w:w="567" w:type="dxa"/>
            <w:tcBorders>
              <w:top w:val="dotted" w:sz="4" w:space="0" w:color="AAABD6"/>
              <w:left w:val="single" w:sz="4" w:space="0" w:color="AAABD6"/>
              <w:bottom w:val="dotted" w:sz="4" w:space="0" w:color="AAABD6"/>
              <w:right w:val="single" w:sz="4" w:space="0" w:color="AAABD6"/>
            </w:tcBorders>
          </w:tcPr>
          <w:p w14:paraId="1B6DCF5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15,881</w:t>
            </w:r>
          </w:p>
        </w:tc>
        <w:tc>
          <w:tcPr>
            <w:tcW w:w="567" w:type="dxa"/>
            <w:tcBorders>
              <w:top w:val="dotted" w:sz="4" w:space="0" w:color="AAABD6"/>
              <w:left w:val="single" w:sz="4" w:space="0" w:color="AAABD6"/>
              <w:bottom w:val="dotted" w:sz="4" w:space="0" w:color="AAABD6"/>
              <w:right w:val="single" w:sz="4" w:space="0" w:color="AAABD6"/>
            </w:tcBorders>
          </w:tcPr>
          <w:p w14:paraId="5EB8216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16,423</w:t>
            </w:r>
          </w:p>
        </w:tc>
        <w:tc>
          <w:tcPr>
            <w:tcW w:w="567" w:type="dxa"/>
            <w:tcBorders>
              <w:top w:val="dotted" w:sz="4" w:space="0" w:color="AAABD6"/>
              <w:left w:val="single" w:sz="4" w:space="0" w:color="AAABD6"/>
              <w:bottom w:val="dotted" w:sz="4" w:space="0" w:color="AAABD6"/>
              <w:right w:val="single" w:sz="4" w:space="0" w:color="AAABD6"/>
            </w:tcBorders>
          </w:tcPr>
          <w:p w14:paraId="58E5923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16,984</w:t>
            </w:r>
          </w:p>
        </w:tc>
        <w:tc>
          <w:tcPr>
            <w:tcW w:w="567" w:type="dxa"/>
            <w:tcBorders>
              <w:top w:val="dotted" w:sz="4" w:space="0" w:color="AAABD6"/>
              <w:left w:val="single" w:sz="4" w:space="0" w:color="AAABD6"/>
              <w:bottom w:val="dotted" w:sz="4" w:space="0" w:color="AAABD6"/>
              <w:right w:val="single" w:sz="4" w:space="0" w:color="AAABD6"/>
            </w:tcBorders>
          </w:tcPr>
          <w:p w14:paraId="7A26BA6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17,564</w:t>
            </w:r>
          </w:p>
        </w:tc>
        <w:tc>
          <w:tcPr>
            <w:tcW w:w="567" w:type="dxa"/>
            <w:tcBorders>
              <w:top w:val="dotted" w:sz="4" w:space="0" w:color="AAABD6"/>
              <w:left w:val="single" w:sz="4" w:space="0" w:color="AAABD6"/>
              <w:bottom w:val="dotted" w:sz="4" w:space="0" w:color="AAABD6"/>
              <w:right w:val="single" w:sz="4" w:space="0" w:color="AAABD6"/>
            </w:tcBorders>
          </w:tcPr>
          <w:p w14:paraId="3ACA796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18,164</w:t>
            </w:r>
          </w:p>
        </w:tc>
        <w:tc>
          <w:tcPr>
            <w:tcW w:w="567" w:type="dxa"/>
            <w:tcBorders>
              <w:top w:val="dotted" w:sz="4" w:space="0" w:color="AAABD6"/>
              <w:left w:val="single" w:sz="4" w:space="0" w:color="AAABD6"/>
              <w:bottom w:val="dotted" w:sz="4" w:space="0" w:color="AAABD6"/>
              <w:right w:val="single" w:sz="4" w:space="0" w:color="AAABD6"/>
            </w:tcBorders>
          </w:tcPr>
          <w:p w14:paraId="04A153C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18,784</w:t>
            </w:r>
          </w:p>
        </w:tc>
        <w:tc>
          <w:tcPr>
            <w:tcW w:w="567" w:type="dxa"/>
            <w:tcBorders>
              <w:top w:val="dotted" w:sz="4" w:space="0" w:color="AAABD6"/>
              <w:left w:val="single" w:sz="4" w:space="0" w:color="AAABD6"/>
              <w:bottom w:val="dotted" w:sz="4" w:space="0" w:color="AAABD6"/>
              <w:right w:val="single" w:sz="4" w:space="0" w:color="AAABD6"/>
            </w:tcBorders>
          </w:tcPr>
          <w:p w14:paraId="3C185CA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19,426</w:t>
            </w:r>
          </w:p>
        </w:tc>
        <w:tc>
          <w:tcPr>
            <w:tcW w:w="567" w:type="dxa"/>
            <w:tcBorders>
              <w:top w:val="dotted" w:sz="4" w:space="0" w:color="AAABD6"/>
              <w:left w:val="single" w:sz="4" w:space="0" w:color="AAABD6"/>
              <w:bottom w:val="dotted" w:sz="4" w:space="0" w:color="AAABD6"/>
              <w:right w:val="single" w:sz="4" w:space="0" w:color="AAABD6"/>
            </w:tcBorders>
          </w:tcPr>
          <w:p w14:paraId="0DA643B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20,089</w:t>
            </w:r>
          </w:p>
        </w:tc>
        <w:tc>
          <w:tcPr>
            <w:tcW w:w="567" w:type="dxa"/>
            <w:tcBorders>
              <w:top w:val="dotted" w:sz="4" w:space="0" w:color="AAABD6"/>
              <w:left w:val="single" w:sz="4" w:space="0" w:color="AAABD6"/>
              <w:bottom w:val="dotted" w:sz="4" w:space="0" w:color="AAABD6"/>
              <w:right w:val="single" w:sz="4" w:space="0" w:color="AAABD6"/>
            </w:tcBorders>
          </w:tcPr>
          <w:p w14:paraId="3E8071F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20,775</w:t>
            </w:r>
          </w:p>
        </w:tc>
        <w:tc>
          <w:tcPr>
            <w:tcW w:w="567" w:type="dxa"/>
            <w:tcBorders>
              <w:top w:val="dotted" w:sz="4" w:space="0" w:color="AAABD6"/>
              <w:left w:val="single" w:sz="4" w:space="0" w:color="AAABD6"/>
              <w:bottom w:val="dotted" w:sz="4" w:space="0" w:color="AAABD6"/>
              <w:right w:val="single" w:sz="4" w:space="0" w:color="AAABD6"/>
            </w:tcBorders>
          </w:tcPr>
          <w:p w14:paraId="609FCF5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21,485</w:t>
            </w:r>
          </w:p>
        </w:tc>
        <w:tc>
          <w:tcPr>
            <w:tcW w:w="567" w:type="dxa"/>
            <w:tcBorders>
              <w:top w:val="dotted" w:sz="4" w:space="0" w:color="AAABD6"/>
              <w:left w:val="single" w:sz="4" w:space="0" w:color="AAABD6"/>
              <w:bottom w:val="dotted" w:sz="4" w:space="0" w:color="AAABD6"/>
              <w:right w:val="single" w:sz="4" w:space="0" w:color="AAABD6"/>
            </w:tcBorders>
          </w:tcPr>
          <w:p w14:paraId="6DE21D8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22,219</w:t>
            </w:r>
          </w:p>
        </w:tc>
      </w:tr>
      <w:tr w:rsidR="00F02371" w:rsidRPr="00100F0A" w14:paraId="4869CA76"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568" w:type="dxa"/>
            <w:vMerge/>
            <w:tcBorders>
              <w:left w:val="single" w:sz="4" w:space="0" w:color="AAABD6"/>
              <w:bottom w:val="single" w:sz="4" w:space="0" w:color="AAABD6"/>
              <w:right w:val="single" w:sz="4" w:space="0" w:color="AAABD6"/>
            </w:tcBorders>
          </w:tcPr>
          <w:p w14:paraId="6C19A211" w14:textId="77777777" w:rsidR="00F02371" w:rsidRPr="00100F0A" w:rsidRDefault="00F02371" w:rsidP="002169F6">
            <w:pPr>
              <w:rPr>
                <w:sz w:val="16"/>
                <w:szCs w:val="16"/>
              </w:rPr>
            </w:pPr>
          </w:p>
        </w:tc>
        <w:tc>
          <w:tcPr>
            <w:tcW w:w="1134" w:type="dxa"/>
            <w:tcBorders>
              <w:top w:val="dotted" w:sz="4" w:space="0" w:color="AAABD6"/>
              <w:left w:val="single" w:sz="4" w:space="0" w:color="AAABD6"/>
              <w:bottom w:val="single" w:sz="4" w:space="0" w:color="AAABD6"/>
              <w:right w:val="single" w:sz="4" w:space="0" w:color="AAABD6"/>
            </w:tcBorders>
          </w:tcPr>
          <w:p w14:paraId="2E6B5EF6"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WA</w:t>
            </w:r>
          </w:p>
        </w:tc>
        <w:tc>
          <w:tcPr>
            <w:tcW w:w="2126" w:type="dxa"/>
            <w:vMerge/>
            <w:tcBorders>
              <w:left w:val="single" w:sz="4" w:space="0" w:color="AAABD6"/>
              <w:bottom w:val="single" w:sz="4" w:space="0" w:color="AAABD6"/>
              <w:right w:val="single" w:sz="4" w:space="0" w:color="AAABD6"/>
            </w:tcBorders>
          </w:tcPr>
          <w:p w14:paraId="6826D5B6"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1132" w:type="dxa"/>
            <w:gridSpan w:val="2"/>
            <w:vMerge/>
            <w:tcBorders>
              <w:left w:val="single" w:sz="4" w:space="0" w:color="AAABD6"/>
              <w:bottom w:val="single" w:sz="4" w:space="0" w:color="AAABD6"/>
              <w:right w:val="single" w:sz="4" w:space="0" w:color="AAABD6"/>
            </w:tcBorders>
          </w:tcPr>
          <w:p w14:paraId="4DB1FF6C" w14:textId="2ED01A2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31" w:type="dxa"/>
            <w:tcBorders>
              <w:top w:val="dotted" w:sz="4" w:space="0" w:color="AAABD6"/>
              <w:left w:val="single" w:sz="4" w:space="0" w:color="AAABD6"/>
              <w:bottom w:val="single" w:sz="4" w:space="0" w:color="AAABD6"/>
              <w:right w:val="single" w:sz="4" w:space="0" w:color="AAABD6"/>
            </w:tcBorders>
          </w:tcPr>
          <w:p w14:paraId="40A0A15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 </w:t>
            </w:r>
          </w:p>
        </w:tc>
        <w:tc>
          <w:tcPr>
            <w:tcW w:w="567" w:type="dxa"/>
            <w:tcBorders>
              <w:top w:val="dotted" w:sz="4" w:space="0" w:color="AAABD6"/>
              <w:left w:val="single" w:sz="4" w:space="0" w:color="AAABD6"/>
              <w:bottom w:val="single" w:sz="4" w:space="0" w:color="AAABD6"/>
              <w:right w:val="single" w:sz="4" w:space="0" w:color="AAABD6"/>
            </w:tcBorders>
          </w:tcPr>
          <w:p w14:paraId="6D5B191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15</w:t>
            </w:r>
          </w:p>
        </w:tc>
        <w:tc>
          <w:tcPr>
            <w:tcW w:w="567" w:type="dxa"/>
            <w:tcBorders>
              <w:top w:val="dotted" w:sz="4" w:space="0" w:color="AAABD6"/>
              <w:left w:val="single" w:sz="4" w:space="0" w:color="AAABD6"/>
              <w:bottom w:val="single" w:sz="4" w:space="0" w:color="AAABD6"/>
              <w:right w:val="single" w:sz="4" w:space="0" w:color="AAABD6"/>
            </w:tcBorders>
          </w:tcPr>
          <w:p w14:paraId="5ADD886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16</w:t>
            </w:r>
          </w:p>
        </w:tc>
        <w:tc>
          <w:tcPr>
            <w:tcW w:w="567" w:type="dxa"/>
            <w:tcBorders>
              <w:top w:val="dotted" w:sz="4" w:space="0" w:color="AAABD6"/>
              <w:left w:val="single" w:sz="4" w:space="0" w:color="AAABD6"/>
              <w:bottom w:val="single" w:sz="4" w:space="0" w:color="AAABD6"/>
              <w:right w:val="single" w:sz="4" w:space="0" w:color="AAABD6"/>
            </w:tcBorders>
          </w:tcPr>
          <w:p w14:paraId="7FC7A31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17</w:t>
            </w:r>
          </w:p>
        </w:tc>
        <w:tc>
          <w:tcPr>
            <w:tcW w:w="567" w:type="dxa"/>
            <w:tcBorders>
              <w:top w:val="dotted" w:sz="4" w:space="0" w:color="AAABD6"/>
              <w:left w:val="single" w:sz="4" w:space="0" w:color="AAABD6"/>
              <w:bottom w:val="single" w:sz="4" w:space="0" w:color="AAABD6"/>
              <w:right w:val="single" w:sz="4" w:space="0" w:color="AAABD6"/>
            </w:tcBorders>
          </w:tcPr>
          <w:p w14:paraId="28C9E13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17</w:t>
            </w:r>
          </w:p>
        </w:tc>
        <w:tc>
          <w:tcPr>
            <w:tcW w:w="567" w:type="dxa"/>
            <w:tcBorders>
              <w:top w:val="dotted" w:sz="4" w:space="0" w:color="AAABD6"/>
              <w:left w:val="single" w:sz="4" w:space="0" w:color="AAABD6"/>
              <w:bottom w:val="single" w:sz="4" w:space="0" w:color="AAABD6"/>
              <w:right w:val="single" w:sz="4" w:space="0" w:color="AAABD6"/>
            </w:tcBorders>
          </w:tcPr>
          <w:p w14:paraId="63D0AAE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6,836</w:t>
            </w:r>
          </w:p>
        </w:tc>
        <w:tc>
          <w:tcPr>
            <w:tcW w:w="567" w:type="dxa"/>
            <w:tcBorders>
              <w:top w:val="dotted" w:sz="4" w:space="0" w:color="AAABD6"/>
              <w:left w:val="single" w:sz="4" w:space="0" w:color="AAABD6"/>
              <w:bottom w:val="single" w:sz="4" w:space="0" w:color="AAABD6"/>
              <w:right w:val="single" w:sz="4" w:space="0" w:color="AAABD6"/>
            </w:tcBorders>
          </w:tcPr>
          <w:p w14:paraId="5739502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7,069</w:t>
            </w:r>
          </w:p>
        </w:tc>
        <w:tc>
          <w:tcPr>
            <w:tcW w:w="567" w:type="dxa"/>
            <w:tcBorders>
              <w:top w:val="dotted" w:sz="4" w:space="0" w:color="AAABD6"/>
              <w:left w:val="single" w:sz="4" w:space="0" w:color="AAABD6"/>
              <w:bottom w:val="single" w:sz="4" w:space="0" w:color="AAABD6"/>
              <w:right w:val="single" w:sz="4" w:space="0" w:color="AAABD6"/>
            </w:tcBorders>
          </w:tcPr>
          <w:p w14:paraId="4CC5127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7,310</w:t>
            </w:r>
          </w:p>
        </w:tc>
        <w:tc>
          <w:tcPr>
            <w:tcW w:w="567" w:type="dxa"/>
            <w:tcBorders>
              <w:top w:val="dotted" w:sz="4" w:space="0" w:color="AAABD6"/>
              <w:left w:val="single" w:sz="4" w:space="0" w:color="AAABD6"/>
              <w:bottom w:val="single" w:sz="4" w:space="0" w:color="AAABD6"/>
              <w:right w:val="single" w:sz="4" w:space="0" w:color="AAABD6"/>
            </w:tcBorders>
          </w:tcPr>
          <w:p w14:paraId="3F62CD8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7,560</w:t>
            </w:r>
          </w:p>
        </w:tc>
        <w:tc>
          <w:tcPr>
            <w:tcW w:w="567" w:type="dxa"/>
            <w:tcBorders>
              <w:top w:val="dotted" w:sz="4" w:space="0" w:color="AAABD6"/>
              <w:left w:val="single" w:sz="4" w:space="0" w:color="AAABD6"/>
              <w:bottom w:val="single" w:sz="4" w:space="0" w:color="AAABD6"/>
              <w:right w:val="single" w:sz="4" w:space="0" w:color="AAABD6"/>
            </w:tcBorders>
          </w:tcPr>
          <w:p w14:paraId="4C72990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7,818</w:t>
            </w:r>
          </w:p>
        </w:tc>
        <w:tc>
          <w:tcPr>
            <w:tcW w:w="567" w:type="dxa"/>
            <w:tcBorders>
              <w:top w:val="dotted" w:sz="4" w:space="0" w:color="AAABD6"/>
              <w:left w:val="single" w:sz="4" w:space="0" w:color="AAABD6"/>
              <w:bottom w:val="single" w:sz="4" w:space="0" w:color="AAABD6"/>
              <w:right w:val="single" w:sz="4" w:space="0" w:color="AAABD6"/>
            </w:tcBorders>
          </w:tcPr>
          <w:p w14:paraId="63650F6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8,085</w:t>
            </w:r>
          </w:p>
        </w:tc>
        <w:tc>
          <w:tcPr>
            <w:tcW w:w="567" w:type="dxa"/>
            <w:tcBorders>
              <w:top w:val="dotted" w:sz="4" w:space="0" w:color="AAABD6"/>
              <w:left w:val="single" w:sz="4" w:space="0" w:color="AAABD6"/>
              <w:bottom w:val="single" w:sz="4" w:space="0" w:color="AAABD6"/>
              <w:right w:val="single" w:sz="4" w:space="0" w:color="AAABD6"/>
            </w:tcBorders>
          </w:tcPr>
          <w:p w14:paraId="370D0AA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8,361</w:t>
            </w:r>
          </w:p>
        </w:tc>
        <w:tc>
          <w:tcPr>
            <w:tcW w:w="567" w:type="dxa"/>
            <w:tcBorders>
              <w:top w:val="dotted" w:sz="4" w:space="0" w:color="AAABD6"/>
              <w:left w:val="single" w:sz="4" w:space="0" w:color="AAABD6"/>
              <w:bottom w:val="single" w:sz="4" w:space="0" w:color="AAABD6"/>
              <w:right w:val="single" w:sz="4" w:space="0" w:color="AAABD6"/>
            </w:tcBorders>
          </w:tcPr>
          <w:p w14:paraId="0A5DBA6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8,647</w:t>
            </w:r>
          </w:p>
        </w:tc>
        <w:tc>
          <w:tcPr>
            <w:tcW w:w="567" w:type="dxa"/>
            <w:tcBorders>
              <w:top w:val="dotted" w:sz="4" w:space="0" w:color="AAABD6"/>
              <w:left w:val="single" w:sz="4" w:space="0" w:color="AAABD6"/>
              <w:bottom w:val="single" w:sz="4" w:space="0" w:color="AAABD6"/>
              <w:right w:val="single" w:sz="4" w:space="0" w:color="AAABD6"/>
            </w:tcBorders>
          </w:tcPr>
          <w:p w14:paraId="48C3C05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8,942</w:t>
            </w:r>
          </w:p>
        </w:tc>
        <w:tc>
          <w:tcPr>
            <w:tcW w:w="567" w:type="dxa"/>
            <w:tcBorders>
              <w:top w:val="dotted" w:sz="4" w:space="0" w:color="AAABD6"/>
              <w:left w:val="single" w:sz="4" w:space="0" w:color="AAABD6"/>
              <w:bottom w:val="single" w:sz="4" w:space="0" w:color="AAABD6"/>
              <w:right w:val="single" w:sz="4" w:space="0" w:color="AAABD6"/>
            </w:tcBorders>
          </w:tcPr>
          <w:p w14:paraId="18B62CF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9,248</w:t>
            </w:r>
          </w:p>
        </w:tc>
        <w:tc>
          <w:tcPr>
            <w:tcW w:w="567" w:type="dxa"/>
            <w:tcBorders>
              <w:top w:val="dotted" w:sz="4" w:space="0" w:color="AAABD6"/>
              <w:left w:val="single" w:sz="4" w:space="0" w:color="AAABD6"/>
              <w:bottom w:val="single" w:sz="4" w:space="0" w:color="AAABD6"/>
              <w:right w:val="single" w:sz="4" w:space="0" w:color="AAABD6"/>
            </w:tcBorders>
          </w:tcPr>
          <w:p w14:paraId="1FE88A8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9,564</w:t>
            </w:r>
          </w:p>
        </w:tc>
        <w:tc>
          <w:tcPr>
            <w:tcW w:w="567" w:type="dxa"/>
            <w:tcBorders>
              <w:top w:val="dotted" w:sz="4" w:space="0" w:color="AAABD6"/>
              <w:left w:val="single" w:sz="4" w:space="0" w:color="AAABD6"/>
              <w:bottom w:val="single" w:sz="4" w:space="0" w:color="AAABD6"/>
              <w:right w:val="single" w:sz="4" w:space="0" w:color="AAABD6"/>
            </w:tcBorders>
          </w:tcPr>
          <w:p w14:paraId="3718163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9,890</w:t>
            </w:r>
          </w:p>
        </w:tc>
        <w:tc>
          <w:tcPr>
            <w:tcW w:w="567" w:type="dxa"/>
            <w:tcBorders>
              <w:top w:val="dotted" w:sz="4" w:space="0" w:color="AAABD6"/>
              <w:left w:val="single" w:sz="4" w:space="0" w:color="AAABD6"/>
              <w:bottom w:val="single" w:sz="4" w:space="0" w:color="AAABD6"/>
              <w:right w:val="single" w:sz="4" w:space="0" w:color="AAABD6"/>
            </w:tcBorders>
          </w:tcPr>
          <w:p w14:paraId="321A2C4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10,228</w:t>
            </w:r>
          </w:p>
        </w:tc>
        <w:tc>
          <w:tcPr>
            <w:tcW w:w="567" w:type="dxa"/>
            <w:tcBorders>
              <w:top w:val="dotted" w:sz="4" w:space="0" w:color="AAABD6"/>
              <w:left w:val="single" w:sz="4" w:space="0" w:color="AAABD6"/>
              <w:bottom w:val="single" w:sz="4" w:space="0" w:color="AAABD6"/>
              <w:right w:val="single" w:sz="4" w:space="0" w:color="AAABD6"/>
            </w:tcBorders>
          </w:tcPr>
          <w:p w14:paraId="31208A6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10,577</w:t>
            </w:r>
          </w:p>
        </w:tc>
      </w:tr>
    </w:tbl>
    <w:p w14:paraId="363A1B28" w14:textId="77777777" w:rsidR="00A35F0B" w:rsidRPr="00100F0A" w:rsidRDefault="00A35F0B" w:rsidP="002169F6">
      <w:pPr>
        <w:sectPr w:rsidR="00A35F0B" w:rsidRPr="00100F0A" w:rsidSect="00A03A30">
          <w:headerReference w:type="default" r:id="rId60"/>
          <w:pgSz w:w="16838" w:h="11906" w:orient="landscape" w:code="9"/>
          <w:pgMar w:top="1531" w:right="1440" w:bottom="1797" w:left="1440" w:header="709" w:footer="454" w:gutter="0"/>
          <w:cols w:space="708"/>
          <w:docGrid w:linePitch="360"/>
        </w:sectPr>
      </w:pPr>
    </w:p>
    <w:p w14:paraId="1D88EA2F" w14:textId="30E0AC2E" w:rsidR="002169F6" w:rsidRPr="00100F0A" w:rsidRDefault="002169F6" w:rsidP="002169F6"/>
    <w:p w14:paraId="667E3288" w14:textId="1503B35C" w:rsidR="00596C74" w:rsidRPr="00100F0A" w:rsidRDefault="00C96E3D" w:rsidP="002169F6">
      <w:r w:rsidRPr="00100F0A">
        <w:fldChar w:fldCharType="begin"/>
      </w:r>
      <w:r w:rsidRPr="00100F0A">
        <w:instrText xml:space="preserve"> REF _Ref523998763 \h </w:instrText>
      </w:r>
      <w:r w:rsidRPr="00100F0A">
        <w:fldChar w:fldCharType="separate"/>
      </w:r>
      <w:r w:rsidR="00EB634D" w:rsidRPr="00100F0A">
        <w:t xml:space="preserve">Figure </w:t>
      </w:r>
      <w:r w:rsidR="00EB634D">
        <w:rPr>
          <w:noProof/>
        </w:rPr>
        <w:t>23</w:t>
      </w:r>
      <w:r w:rsidRPr="00100F0A">
        <w:fldChar w:fldCharType="end"/>
      </w:r>
      <w:r w:rsidRPr="00100F0A">
        <w:t xml:space="preserve"> below </w:t>
      </w:r>
      <w:r w:rsidR="006D4560" w:rsidRPr="00100F0A">
        <w:t>charts</w:t>
      </w:r>
      <w:r w:rsidRPr="00100F0A">
        <w:t xml:space="preserve"> the combined estimates for POP-BDEs (M160a) and HBCD (M160b)</w:t>
      </w:r>
      <w:r w:rsidR="00160185" w:rsidRPr="00100F0A">
        <w:t>, discussed below,</w:t>
      </w:r>
      <w:r w:rsidRPr="00100F0A">
        <w:t xml:space="preserve"> on the basis that the infrastructure they could be managed </w:t>
      </w:r>
      <w:r w:rsidR="00052F25">
        <w:t>by</w:t>
      </w:r>
      <w:r w:rsidRPr="00100F0A">
        <w:t xml:space="preserve"> are the same. </w:t>
      </w:r>
      <w:r w:rsidR="00387CBE" w:rsidRPr="00100F0A">
        <w:t>Consequently,</w:t>
      </w:r>
      <w:r w:rsidRPr="00100F0A">
        <w:t xml:space="preserve"> their projections are also modelled together as M160a,b. Alternatively, M160c HCB is modelled separately on the basis that its historical management has been via export, to overseas infrastructure.</w:t>
      </w:r>
    </w:p>
    <w:p w14:paraId="288CD455" w14:textId="79C2F430" w:rsidR="002169F6" w:rsidRPr="00100F0A" w:rsidRDefault="002169F6" w:rsidP="002169F6">
      <w:pPr>
        <w:pStyle w:val="Caption"/>
      </w:pPr>
      <w:bookmarkStart w:id="218" w:name="_Ref523998763"/>
      <w:bookmarkStart w:id="219" w:name="_Toc13225596"/>
      <w:r w:rsidRPr="00100F0A">
        <w:t xml:space="preserve">Figure </w:t>
      </w:r>
      <w:r w:rsidR="00971D78" w:rsidRPr="00100F0A">
        <w:rPr>
          <w:noProof/>
        </w:rPr>
        <w:fldChar w:fldCharType="begin"/>
      </w:r>
      <w:r w:rsidR="00971D78" w:rsidRPr="00100F0A">
        <w:rPr>
          <w:noProof/>
        </w:rPr>
        <w:instrText xml:space="preserve"> SEQ Figure \* ARABIC </w:instrText>
      </w:r>
      <w:r w:rsidR="00971D78" w:rsidRPr="00100F0A">
        <w:rPr>
          <w:noProof/>
        </w:rPr>
        <w:fldChar w:fldCharType="separate"/>
      </w:r>
      <w:r w:rsidR="00EB634D">
        <w:rPr>
          <w:noProof/>
        </w:rPr>
        <w:t>23</w:t>
      </w:r>
      <w:r w:rsidR="00971D78" w:rsidRPr="00100F0A">
        <w:rPr>
          <w:noProof/>
        </w:rPr>
        <w:fldChar w:fldCharType="end"/>
      </w:r>
      <w:bookmarkEnd w:id="218"/>
      <w:r w:rsidR="00AD2F76">
        <w:rPr>
          <w:noProof/>
        </w:rPr>
        <w:t>:</w:t>
      </w:r>
      <w:r w:rsidRPr="00100F0A">
        <w:tab/>
        <w:t>Best, high and low national projection estimates of POP-BDE</w:t>
      </w:r>
      <w:r w:rsidR="006D4560" w:rsidRPr="00100F0A">
        <w:t xml:space="preserve"> and HBCD</w:t>
      </w:r>
      <w:r w:rsidRPr="00100F0A">
        <w:t xml:space="preserve"> waste</w:t>
      </w:r>
      <w:r w:rsidR="006D4560" w:rsidRPr="00100F0A">
        <w:rPr>
          <w:rStyle w:val="FootnoteReference"/>
        </w:rPr>
        <w:footnoteReference w:id="22"/>
      </w:r>
      <w:r w:rsidRPr="00100F0A">
        <w:t xml:space="preserve"> to 2037</w:t>
      </w:r>
      <w:bookmarkEnd w:id="219"/>
    </w:p>
    <w:p w14:paraId="4A5216F1" w14:textId="5CB35960" w:rsidR="00A35F0B" w:rsidRPr="00100F0A" w:rsidRDefault="00160185" w:rsidP="00A35F0B">
      <w:r w:rsidRPr="00100F0A">
        <w:rPr>
          <w:noProof/>
          <w:lang w:eastAsia="en-AU"/>
        </w:rPr>
        <w:drawing>
          <wp:inline distT="0" distB="0" distL="0" distR="0" wp14:anchorId="67788F64" wp14:editId="75209EB2">
            <wp:extent cx="5735320" cy="20243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5320" cy="2024380"/>
                    </a:xfrm>
                    <a:prstGeom prst="rect">
                      <a:avLst/>
                    </a:prstGeom>
                  </pic:spPr>
                </pic:pic>
              </a:graphicData>
            </a:graphic>
          </wp:inline>
        </w:drawing>
      </w:r>
    </w:p>
    <w:p w14:paraId="21F86FB5" w14:textId="6AB426AC" w:rsidR="00A35F0B" w:rsidRPr="00100F0A" w:rsidRDefault="00A35F0B"/>
    <w:p w14:paraId="395007B7" w14:textId="1C3C7B10" w:rsidR="002169F6" w:rsidRPr="00100F0A" w:rsidRDefault="002169F6" w:rsidP="00A35F0B">
      <w:pPr>
        <w:pStyle w:val="Heading3"/>
      </w:pPr>
      <w:r w:rsidRPr="00100F0A">
        <w:t>M160b HBCD</w:t>
      </w:r>
    </w:p>
    <w:p w14:paraId="4E44DBE2" w14:textId="77777777" w:rsidR="002169F6" w:rsidRPr="00100F0A" w:rsidRDefault="002169F6" w:rsidP="002169F6">
      <w:r w:rsidRPr="00100F0A">
        <w:t xml:space="preserve">A subset of the waste group </w:t>
      </w:r>
      <w:r w:rsidRPr="00100F0A">
        <w:rPr>
          <w:i/>
        </w:rPr>
        <w:t>M160 Organohalogen compounds—other than substances referred to in this Table or Table 2</w:t>
      </w:r>
      <w:r w:rsidRPr="00100F0A">
        <w:t xml:space="preserve">, </w:t>
      </w:r>
      <w:r w:rsidRPr="00100F0A">
        <w:rPr>
          <w:i/>
        </w:rPr>
        <w:t xml:space="preserve">M160b </w:t>
      </w:r>
      <w:r w:rsidRPr="00100F0A">
        <w:rPr>
          <w:i/>
          <w:color w:val="080808"/>
        </w:rPr>
        <w:t>Hexabromocyclododecane (HBCD)</w:t>
      </w:r>
      <w:r w:rsidRPr="00100F0A">
        <w:t xml:space="preserve"> is also a brominated flame retardant, but its historical application for flame retardancy in extruded and expanded polystyrene foams (used in building insulation) is quite different to the applications of the POP-BDE flame retardants.</w:t>
      </w:r>
    </w:p>
    <w:p w14:paraId="42B4563A" w14:textId="09000F47" w:rsidR="002169F6" w:rsidRPr="00100F0A" w:rsidRDefault="002169F6" w:rsidP="002169F6"/>
    <w:p w14:paraId="1B5CC2D8" w14:textId="4869C474" w:rsidR="002169F6" w:rsidRPr="00100F0A" w:rsidRDefault="002169F6" w:rsidP="002169F6">
      <w:r w:rsidRPr="00100F0A">
        <w:t xml:space="preserve">HBCD was added to Annex B of the </w:t>
      </w:r>
      <w:r w:rsidRPr="00A307F3">
        <w:t>Stockholm Convention</w:t>
      </w:r>
      <w:r w:rsidRPr="00100F0A">
        <w:t xml:space="preserve"> in May 2013 with specific exemptions and allowed uses. Under the domestic treaty</w:t>
      </w:r>
      <w:r w:rsidR="00052F25">
        <w:t>-</w:t>
      </w:r>
      <w:r w:rsidRPr="00100F0A">
        <w:t>making process</w:t>
      </w:r>
      <w:r w:rsidR="00052F25">
        <w:t>,</w:t>
      </w:r>
      <w:r w:rsidRPr="00100F0A">
        <w:t xml:space="preserve"> Australia must determine whether to ratify listing of the HBCD after having taken into consideration the costs and benefits of the feasible technical options that it would need to implement to satisfy ratification. This decision has not yet been made.</w:t>
      </w:r>
    </w:p>
    <w:p w14:paraId="50AB8ECB" w14:textId="77777777" w:rsidR="002169F6" w:rsidRPr="00100F0A" w:rsidRDefault="002169F6" w:rsidP="002169F6">
      <w:pPr>
        <w:pStyle w:val="Heading3-nonumber"/>
      </w:pPr>
      <w:r w:rsidRPr="00100F0A">
        <w:t>Summary analysis</w:t>
      </w:r>
    </w:p>
    <w:tbl>
      <w:tblPr>
        <w:tblStyle w:val="BETable11"/>
        <w:tblW w:w="5000" w:type="pct"/>
        <w:tblInd w:w="0" w:type="dxa"/>
        <w:tblBorders>
          <w:top w:val="single" w:sz="4" w:space="0" w:color="AAABD6"/>
          <w:left w:val="single" w:sz="4" w:space="0" w:color="AAABD6"/>
          <w:bottom w:val="single" w:sz="4" w:space="0" w:color="AAABD6"/>
          <w:right w:val="single" w:sz="4" w:space="0" w:color="AAABD6"/>
          <w:insideH w:val="single" w:sz="4" w:space="0" w:color="AAABD6"/>
          <w:insideV w:val="single" w:sz="4" w:space="0" w:color="AAABD6"/>
        </w:tblBorders>
        <w:tblLook w:val="04A0" w:firstRow="1" w:lastRow="0" w:firstColumn="1" w:lastColumn="0" w:noHBand="0" w:noVBand="1"/>
      </w:tblPr>
      <w:tblGrid>
        <w:gridCol w:w="1413"/>
        <w:gridCol w:w="3402"/>
        <w:gridCol w:w="4208"/>
      </w:tblGrid>
      <w:tr w:rsidR="002169F6" w:rsidRPr="00100F0A" w14:paraId="24CFE54B" w14:textId="77777777" w:rsidTr="002169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 w:type="pct"/>
            <w:tcBorders>
              <w:top w:val="nil"/>
              <w:left w:val="single" w:sz="4" w:space="0" w:color="AAABD6"/>
              <w:bottom w:val="nil"/>
            </w:tcBorders>
            <w:shd w:val="clear" w:color="auto" w:fill="AAABD6"/>
          </w:tcPr>
          <w:p w14:paraId="6091CFAB" w14:textId="77777777" w:rsidR="002169F6" w:rsidRPr="00100F0A" w:rsidRDefault="002169F6" w:rsidP="002169F6">
            <w:pPr>
              <w:pStyle w:val="BodyText"/>
              <w:rPr>
                <w:color w:val="FFFFFF" w:themeColor="background1"/>
              </w:rPr>
            </w:pPr>
            <w:r w:rsidRPr="00100F0A">
              <w:rPr>
                <w:color w:val="FFFFFF" w:themeColor="background1"/>
              </w:rPr>
              <w:t>Industry sources</w:t>
            </w:r>
          </w:p>
        </w:tc>
        <w:tc>
          <w:tcPr>
            <w:tcW w:w="1885" w:type="pct"/>
            <w:tcBorders>
              <w:top w:val="nil"/>
              <w:bottom w:val="nil"/>
            </w:tcBorders>
            <w:shd w:val="clear" w:color="auto" w:fill="AAABD6"/>
          </w:tcPr>
          <w:p w14:paraId="54D8CFBA" w14:textId="77777777" w:rsidR="002169F6" w:rsidRPr="00100F0A" w:rsidRDefault="002169F6" w:rsidP="002169F6">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Considerations</w:t>
            </w:r>
          </w:p>
        </w:tc>
        <w:tc>
          <w:tcPr>
            <w:tcW w:w="2332" w:type="pct"/>
            <w:tcBorders>
              <w:top w:val="nil"/>
              <w:bottom w:val="nil"/>
              <w:right w:val="single" w:sz="4" w:space="0" w:color="AAABD6"/>
            </w:tcBorders>
            <w:shd w:val="clear" w:color="auto" w:fill="AAABD6"/>
          </w:tcPr>
          <w:p w14:paraId="1CA5EF09" w14:textId="77777777" w:rsidR="002169F6" w:rsidRPr="00100F0A" w:rsidRDefault="002169F6" w:rsidP="002169F6">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r>
      <w:tr w:rsidR="002169F6" w:rsidRPr="00100F0A" w14:paraId="18A03DE1" w14:textId="77777777" w:rsidTr="002169F6">
        <w:tc>
          <w:tcPr>
            <w:cnfStyle w:val="001000000000" w:firstRow="0" w:lastRow="0" w:firstColumn="1" w:lastColumn="0" w:oddVBand="0" w:evenVBand="0" w:oddHBand="0" w:evenHBand="0" w:firstRowFirstColumn="0" w:firstRowLastColumn="0" w:lastRowFirstColumn="0" w:lastRowLastColumn="0"/>
            <w:tcW w:w="783" w:type="pct"/>
            <w:tcBorders>
              <w:top w:val="nil"/>
            </w:tcBorders>
          </w:tcPr>
          <w:p w14:paraId="569C2A7D" w14:textId="77777777" w:rsidR="002169F6" w:rsidRPr="00100F0A" w:rsidRDefault="002169F6" w:rsidP="002169F6">
            <w:pPr>
              <w:rPr>
                <w:color w:val="000000"/>
              </w:rPr>
            </w:pPr>
            <w:r w:rsidRPr="00100F0A">
              <w:rPr>
                <w:color w:val="080808"/>
              </w:rPr>
              <w:t>End of life EPS/ XPS building insulation panels/ materials from demolition or retrofitting of buildings</w:t>
            </w:r>
          </w:p>
        </w:tc>
        <w:tc>
          <w:tcPr>
            <w:tcW w:w="1885" w:type="pct"/>
            <w:tcBorders>
              <w:top w:val="nil"/>
            </w:tcBorders>
          </w:tcPr>
          <w:p w14:paraId="4016D8C0" w14:textId="26D0F2BD" w:rsidR="002169F6" w:rsidRPr="00100F0A" w:rsidRDefault="002169F6" w:rsidP="00E96D3C">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Australian biosolids are unlikely to exhibit HBCD above 1,000</w:t>
            </w:r>
            <w:r w:rsidR="00052F25">
              <w:rPr>
                <w:color w:val="000000"/>
              </w:rPr>
              <w:t xml:space="preserve"> </w:t>
            </w:r>
            <w:r w:rsidRPr="00100F0A">
              <w:rPr>
                <w:color w:val="000000"/>
              </w:rPr>
              <w:t>mg/kg (the Stockholm Convention’s level of concern)</w:t>
            </w:r>
          </w:p>
          <w:p w14:paraId="47860156" w14:textId="0EF827A2" w:rsidR="002169F6" w:rsidRPr="00100F0A" w:rsidRDefault="002169F6" w:rsidP="00E96D3C">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 xml:space="preserve">Currently presenting as part of </w:t>
            </w:r>
            <w:r w:rsidR="0050590B">
              <w:rPr>
                <w:color w:val="000000"/>
              </w:rPr>
              <w:t>construction and demolition (</w:t>
            </w:r>
            <w:r w:rsidRPr="00100F0A">
              <w:rPr>
                <w:color w:val="000000"/>
              </w:rPr>
              <w:t>C&amp;D</w:t>
            </w:r>
            <w:r w:rsidR="0050590B">
              <w:rPr>
                <w:color w:val="000000"/>
              </w:rPr>
              <w:t>)</w:t>
            </w:r>
            <w:r w:rsidRPr="00100F0A">
              <w:rPr>
                <w:color w:val="000000"/>
              </w:rPr>
              <w:t xml:space="preserve"> waste (not haz</w:t>
            </w:r>
            <w:r w:rsidR="00052F25">
              <w:rPr>
                <w:color w:val="000000"/>
              </w:rPr>
              <w:t>ardous</w:t>
            </w:r>
            <w:r w:rsidRPr="00100F0A">
              <w:rPr>
                <w:color w:val="000000"/>
              </w:rPr>
              <w:t>) since not under regulatory control yet</w:t>
            </w:r>
          </w:p>
          <w:p w14:paraId="7AEE13EF" w14:textId="1CA27DB2" w:rsidR="002169F6" w:rsidRPr="00100F0A" w:rsidRDefault="002169F6" w:rsidP="00E96D3C">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No historical data set exists, although BE et al 2017 estimated theoretical annual arisings (if the waste was managed as hazardous)</w:t>
            </w:r>
          </w:p>
        </w:tc>
        <w:tc>
          <w:tcPr>
            <w:tcW w:w="2332" w:type="pct"/>
            <w:tcBorders>
              <w:top w:val="nil"/>
            </w:tcBorders>
          </w:tcPr>
          <w:p w14:paraId="1A7FB3E8"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pPr>
            <w:r w:rsidRPr="00100F0A">
              <w:t>High: assume 7.2 kt as calculated (BE et al 2017)</w:t>
            </w:r>
          </w:p>
          <w:p w14:paraId="30259D54"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pPr>
          </w:p>
          <w:p w14:paraId="2E117563" w14:textId="20BCCA31"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pPr>
            <w:r w:rsidRPr="00100F0A">
              <w:t>Best: zero - assume no change in the quantity of materials requiring management</w:t>
            </w:r>
          </w:p>
          <w:p w14:paraId="6ED11095"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pPr>
          </w:p>
          <w:p w14:paraId="6576181E"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pPr>
            <w:r w:rsidRPr="00100F0A">
              <w:t>Low: zero - assume no change in management</w:t>
            </w:r>
          </w:p>
          <w:p w14:paraId="7E8817A1"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pPr>
          </w:p>
          <w:p w14:paraId="45FF686F"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pPr>
            <w:r w:rsidRPr="00100F0A">
              <w:t>Assume no growth - too many variables to predict</w:t>
            </w:r>
          </w:p>
          <w:p w14:paraId="7256485B"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pPr>
          </w:p>
          <w:p w14:paraId="7322C9AF" w14:textId="1FE84406"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pPr>
            <w:r w:rsidRPr="00100F0A">
              <w:t>Note that this means the best and low estimates are the same at zero tonnes pa in practical terms</w:t>
            </w:r>
          </w:p>
        </w:tc>
      </w:tr>
    </w:tbl>
    <w:p w14:paraId="5672AB97" w14:textId="77777777" w:rsidR="002169F6" w:rsidRPr="00100F0A" w:rsidRDefault="002169F6" w:rsidP="002169F6">
      <w:pPr>
        <w:pStyle w:val="BodyText"/>
      </w:pPr>
    </w:p>
    <w:p w14:paraId="082DAB4E" w14:textId="77777777" w:rsidR="002169F6" w:rsidRPr="00100F0A" w:rsidRDefault="002169F6" w:rsidP="002169F6">
      <w:pPr>
        <w:pStyle w:val="Heading3-nonumber"/>
      </w:pPr>
      <w:r w:rsidRPr="00100F0A">
        <w:t>Starting point arising estimate</w:t>
      </w:r>
    </w:p>
    <w:p w14:paraId="5B1194F1" w14:textId="6D14353B" w:rsidR="002169F6" w:rsidRPr="00100F0A" w:rsidRDefault="002169F6" w:rsidP="002169F6">
      <w:pPr>
        <w:pStyle w:val="BodyText"/>
      </w:pPr>
      <w:r w:rsidRPr="00100F0A">
        <w:t>HBCD waste</w:t>
      </w:r>
      <w:r w:rsidR="00052F25">
        <w:t xml:space="preserve"> i</w:t>
      </w:r>
      <w:r w:rsidRPr="00100F0A">
        <w:t xml:space="preserve">s not currently represented in hazardous waste tracking data, because the addition to the Stockholm Convention has not been ratified yet, and the fact that </w:t>
      </w:r>
      <w:r w:rsidR="00052F25">
        <w:t>it</w:t>
      </w:r>
      <w:r w:rsidRPr="00100F0A">
        <w:t xml:space="preserve"> arise</w:t>
      </w:r>
      <w:r w:rsidR="00052F25">
        <w:t>s</w:t>
      </w:r>
      <w:r w:rsidRPr="00100F0A">
        <w:t xml:space="preserve"> within the C&amp;D </w:t>
      </w:r>
      <w:r w:rsidR="00100F0A" w:rsidRPr="00100F0A">
        <w:t>waste stream</w:t>
      </w:r>
      <w:r w:rsidRPr="00100F0A">
        <w:t xml:space="preserve">, and are currently managed as non-hazardous waste. </w:t>
      </w:r>
    </w:p>
    <w:p w14:paraId="4C8BD7F0" w14:textId="77777777" w:rsidR="002169F6" w:rsidRPr="00100F0A" w:rsidRDefault="002169F6" w:rsidP="002169F6">
      <w:pPr>
        <w:pStyle w:val="BodyText"/>
      </w:pPr>
    </w:p>
    <w:p w14:paraId="2BE7EBBA" w14:textId="4B2DD4B0" w:rsidR="002169F6" w:rsidRPr="00100F0A" w:rsidRDefault="002169F6" w:rsidP="002169F6">
      <w:pPr>
        <w:pStyle w:val="BodyText"/>
      </w:pPr>
      <w:r w:rsidRPr="00100F0A">
        <w:t>Consequently, assumptions must be used to estimate a feasible starting-point tonnage that describes what might become available to the hazardous waste market once ratification occurs. This has been done by BE et al 2017 - HBCD = 7,200 tonnes.  This has been estimated to arise in 2020, when Australian ratification is assumed to occur.</w:t>
      </w:r>
    </w:p>
    <w:p w14:paraId="7B4B1ABB" w14:textId="778121E9" w:rsidR="002169F6" w:rsidRPr="00100F0A" w:rsidRDefault="002169F6" w:rsidP="002169F6">
      <w:pPr>
        <w:pStyle w:val="Caption"/>
        <w:rPr>
          <w:vertAlign w:val="superscript"/>
        </w:rPr>
      </w:pPr>
      <w:bookmarkStart w:id="220" w:name="_Toc13225646"/>
      <w:r w:rsidRPr="00100F0A">
        <w:t xml:space="preserve">Table </w:t>
      </w:r>
      <w:r w:rsidR="00971D78" w:rsidRPr="00100F0A">
        <w:rPr>
          <w:noProof/>
        </w:rPr>
        <w:fldChar w:fldCharType="begin"/>
      </w:r>
      <w:r w:rsidR="00971D78" w:rsidRPr="00100F0A">
        <w:rPr>
          <w:noProof/>
        </w:rPr>
        <w:instrText xml:space="preserve"> SEQ Table \* ARABIC </w:instrText>
      </w:r>
      <w:r w:rsidR="00971D78" w:rsidRPr="00100F0A">
        <w:rPr>
          <w:noProof/>
        </w:rPr>
        <w:fldChar w:fldCharType="separate"/>
      </w:r>
      <w:r w:rsidR="00EB634D">
        <w:rPr>
          <w:noProof/>
        </w:rPr>
        <w:t>27</w:t>
      </w:r>
      <w:r w:rsidR="00971D78" w:rsidRPr="00100F0A">
        <w:rPr>
          <w:noProof/>
        </w:rPr>
        <w:fldChar w:fldCharType="end"/>
      </w:r>
      <w:r w:rsidR="00AD2F76">
        <w:rPr>
          <w:noProof/>
        </w:rPr>
        <w:t>:</w:t>
      </w:r>
      <w:r w:rsidRPr="00100F0A">
        <w:tab/>
        <w:t>Best, high and low projected tonnes for HBCD waste to 2037*</w:t>
      </w:r>
      <w:bookmarkEnd w:id="220"/>
    </w:p>
    <w:tbl>
      <w:tblPr>
        <w:tblStyle w:val="BETable1"/>
        <w:tblW w:w="9072" w:type="dxa"/>
        <w:tblBorders>
          <w:top w:val="single" w:sz="4" w:space="0" w:color="AAABD6"/>
          <w:left w:val="single" w:sz="4" w:space="0" w:color="AAABD6"/>
          <w:right w:val="single" w:sz="4" w:space="0" w:color="AAABD6"/>
          <w:insideH w:val="single" w:sz="4" w:space="0" w:color="AAABD6"/>
          <w:insideV w:val="single" w:sz="4" w:space="0" w:color="AAABD6"/>
        </w:tblBorders>
        <w:tblLayout w:type="fixed"/>
        <w:tblLook w:val="04A0" w:firstRow="1" w:lastRow="0" w:firstColumn="1" w:lastColumn="0" w:noHBand="0" w:noVBand="1"/>
      </w:tblPr>
      <w:tblGrid>
        <w:gridCol w:w="1134"/>
        <w:gridCol w:w="1134"/>
        <w:gridCol w:w="4395"/>
        <w:gridCol w:w="221"/>
        <w:gridCol w:w="851"/>
        <w:gridCol w:w="534"/>
        <w:gridCol w:w="803"/>
      </w:tblGrid>
      <w:tr w:rsidR="002169F6" w:rsidRPr="00100F0A" w14:paraId="086DC88C" w14:textId="77777777" w:rsidTr="001601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AABD6"/>
              <w:left w:val="single" w:sz="4" w:space="0" w:color="AAABD6"/>
              <w:bottom w:val="single" w:sz="4" w:space="0" w:color="AAABD6"/>
            </w:tcBorders>
            <w:shd w:val="clear" w:color="auto" w:fill="AAABD6"/>
          </w:tcPr>
          <w:p w14:paraId="0B4D61D0" w14:textId="77777777" w:rsidR="002169F6" w:rsidRPr="00100F0A" w:rsidRDefault="002169F6" w:rsidP="002169F6">
            <w:pPr>
              <w:rPr>
                <w:color w:val="FFFFFF" w:themeColor="background1"/>
              </w:rPr>
            </w:pPr>
          </w:p>
        </w:tc>
        <w:tc>
          <w:tcPr>
            <w:tcW w:w="1134" w:type="dxa"/>
            <w:tcBorders>
              <w:top w:val="single" w:sz="4" w:space="0" w:color="AAABD6"/>
              <w:bottom w:val="single" w:sz="4" w:space="0" w:color="AAABD6"/>
            </w:tcBorders>
            <w:shd w:val="clear" w:color="auto" w:fill="AAABD6"/>
          </w:tcPr>
          <w:p w14:paraId="32AE0F00" w14:textId="77777777" w:rsidR="002169F6" w:rsidRPr="00100F0A" w:rsidRDefault="002169F6" w:rsidP="002169F6">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Applies to</w:t>
            </w:r>
          </w:p>
        </w:tc>
        <w:tc>
          <w:tcPr>
            <w:tcW w:w="4395" w:type="dxa"/>
            <w:tcBorders>
              <w:top w:val="single" w:sz="4" w:space="0" w:color="AAABD6"/>
              <w:bottom w:val="single" w:sz="4" w:space="0" w:color="AAABD6"/>
            </w:tcBorders>
            <w:shd w:val="clear" w:color="auto" w:fill="AAABD6"/>
          </w:tcPr>
          <w:p w14:paraId="5A8253CE" w14:textId="77777777" w:rsidR="002169F6" w:rsidRPr="00100F0A" w:rsidRDefault="002169F6" w:rsidP="002169F6">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c>
          <w:tcPr>
            <w:tcW w:w="1072" w:type="dxa"/>
            <w:gridSpan w:val="2"/>
            <w:tcBorders>
              <w:top w:val="single" w:sz="4" w:space="0" w:color="AAABD6"/>
              <w:bottom w:val="single" w:sz="4" w:space="0" w:color="AAABD6"/>
            </w:tcBorders>
            <w:shd w:val="clear" w:color="auto" w:fill="AAABD6"/>
          </w:tcPr>
          <w:p w14:paraId="54D5F9C0"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2020</w:t>
            </w:r>
          </w:p>
        </w:tc>
        <w:tc>
          <w:tcPr>
            <w:tcW w:w="534" w:type="dxa"/>
            <w:tcBorders>
              <w:top w:val="single" w:sz="4" w:space="0" w:color="AAABD6"/>
              <w:bottom w:val="single" w:sz="4" w:space="0" w:color="AAABD6"/>
            </w:tcBorders>
            <w:shd w:val="clear" w:color="auto" w:fill="AAABD6"/>
          </w:tcPr>
          <w:p w14:paraId="2FDB1484"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w:t>
            </w:r>
          </w:p>
        </w:tc>
        <w:tc>
          <w:tcPr>
            <w:tcW w:w="803" w:type="dxa"/>
            <w:tcBorders>
              <w:top w:val="single" w:sz="4" w:space="0" w:color="AAABD6"/>
              <w:bottom w:val="single" w:sz="4" w:space="0" w:color="AAABD6"/>
              <w:right w:val="single" w:sz="4" w:space="0" w:color="AAABD6"/>
            </w:tcBorders>
            <w:shd w:val="clear" w:color="auto" w:fill="AAABD6"/>
          </w:tcPr>
          <w:p w14:paraId="02AED6A9"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2037</w:t>
            </w:r>
          </w:p>
        </w:tc>
      </w:tr>
      <w:tr w:rsidR="002169F6" w:rsidRPr="00100F0A" w14:paraId="57381E99" w14:textId="77777777" w:rsidTr="002169F6">
        <w:tc>
          <w:tcPr>
            <w:cnfStyle w:val="001000000000" w:firstRow="0" w:lastRow="0" w:firstColumn="1" w:lastColumn="0" w:oddVBand="0" w:evenVBand="0" w:oddHBand="0" w:evenHBand="0" w:firstRowFirstColumn="0" w:firstRowLastColumn="0" w:lastRowFirstColumn="0" w:lastRowLastColumn="0"/>
            <w:tcW w:w="9072" w:type="dxa"/>
            <w:gridSpan w:val="7"/>
            <w:tcBorders>
              <w:top w:val="single" w:sz="4" w:space="0" w:color="AAABD6"/>
              <w:bottom w:val="single" w:sz="4" w:space="0" w:color="AAABD6"/>
            </w:tcBorders>
          </w:tcPr>
          <w:p w14:paraId="76B34A59" w14:textId="77777777" w:rsidR="002169F6" w:rsidRPr="00100F0A" w:rsidRDefault="002169F6" w:rsidP="002169F6">
            <w:r w:rsidRPr="00100F0A">
              <w:rPr>
                <w:iCs/>
                <w:color w:val="4D4DB8"/>
              </w:rPr>
              <w:t>Arisings – absolute tonnes pa</w:t>
            </w:r>
          </w:p>
        </w:tc>
      </w:tr>
      <w:tr w:rsidR="002169F6" w:rsidRPr="00100F0A" w14:paraId="0D6736AB" w14:textId="77777777" w:rsidTr="002169F6">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AABD6"/>
              <w:bottom w:val="single" w:sz="4" w:space="0" w:color="AAABD6"/>
            </w:tcBorders>
          </w:tcPr>
          <w:p w14:paraId="1EFAC241" w14:textId="77777777" w:rsidR="002169F6" w:rsidRPr="00100F0A" w:rsidRDefault="002169F6" w:rsidP="002169F6">
            <w:r w:rsidRPr="00100F0A">
              <w:t>Best</w:t>
            </w:r>
          </w:p>
        </w:tc>
        <w:tc>
          <w:tcPr>
            <w:tcW w:w="1134" w:type="dxa"/>
            <w:tcBorders>
              <w:top w:val="single" w:sz="4" w:space="0" w:color="AAABD6"/>
              <w:bottom w:val="single" w:sz="4" w:space="0" w:color="AAABD6"/>
            </w:tcBorders>
          </w:tcPr>
          <w:p w14:paraId="14FAF5F5"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pPr>
            <w:r w:rsidRPr="00100F0A">
              <w:t>All</w:t>
            </w:r>
          </w:p>
        </w:tc>
        <w:tc>
          <w:tcPr>
            <w:tcW w:w="4616" w:type="dxa"/>
            <w:gridSpan w:val="2"/>
            <w:tcBorders>
              <w:top w:val="single" w:sz="4" w:space="0" w:color="AAABD6"/>
              <w:bottom w:val="single" w:sz="4" w:space="0" w:color="AAABD6"/>
            </w:tcBorders>
            <w:vAlign w:val="bottom"/>
          </w:tcPr>
          <w:p w14:paraId="7ABA7046"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No change in the quantity of materials requiring management</w:t>
            </w:r>
          </w:p>
        </w:tc>
        <w:tc>
          <w:tcPr>
            <w:tcW w:w="851" w:type="dxa"/>
            <w:tcBorders>
              <w:top w:val="single" w:sz="4" w:space="0" w:color="AAABD6"/>
              <w:bottom w:val="single" w:sz="4" w:space="0" w:color="AAABD6"/>
            </w:tcBorders>
          </w:tcPr>
          <w:p w14:paraId="5D721714"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0</w:t>
            </w:r>
          </w:p>
        </w:tc>
        <w:tc>
          <w:tcPr>
            <w:tcW w:w="534" w:type="dxa"/>
            <w:tcBorders>
              <w:top w:val="single" w:sz="4" w:space="0" w:color="AAABD6"/>
              <w:bottom w:val="single" w:sz="4" w:space="0" w:color="AAABD6"/>
            </w:tcBorders>
          </w:tcPr>
          <w:p w14:paraId="7CEC3899"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803" w:type="dxa"/>
            <w:tcBorders>
              <w:top w:val="single" w:sz="4" w:space="0" w:color="AAABD6"/>
              <w:bottom w:val="single" w:sz="4" w:space="0" w:color="AAABD6"/>
            </w:tcBorders>
          </w:tcPr>
          <w:p w14:paraId="0D4439B9"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pPr>
            <w:r w:rsidRPr="00100F0A">
              <w:rPr>
                <w:color w:val="000000" w:themeColor="text1"/>
              </w:rPr>
              <w:t>0</w:t>
            </w:r>
          </w:p>
        </w:tc>
      </w:tr>
      <w:tr w:rsidR="002169F6" w:rsidRPr="00100F0A" w14:paraId="3E70143B" w14:textId="77777777" w:rsidTr="002169F6">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AABD6"/>
              <w:bottom w:val="dotted" w:sz="4" w:space="0" w:color="AAABD6"/>
            </w:tcBorders>
          </w:tcPr>
          <w:p w14:paraId="4BA8E409" w14:textId="77777777" w:rsidR="002169F6" w:rsidRPr="00100F0A" w:rsidRDefault="002169F6" w:rsidP="002169F6">
            <w:r w:rsidRPr="00100F0A">
              <w:t>High</w:t>
            </w:r>
          </w:p>
        </w:tc>
        <w:tc>
          <w:tcPr>
            <w:tcW w:w="1134" w:type="dxa"/>
            <w:tcBorders>
              <w:top w:val="single" w:sz="4" w:space="0" w:color="AAABD6"/>
              <w:bottom w:val="dotted" w:sz="4" w:space="0" w:color="AAABD6"/>
            </w:tcBorders>
            <w:vAlign w:val="center"/>
          </w:tcPr>
          <w:p w14:paraId="294103AA"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pPr>
            <w:r w:rsidRPr="00100F0A">
              <w:t>ACT</w:t>
            </w:r>
          </w:p>
        </w:tc>
        <w:tc>
          <w:tcPr>
            <w:tcW w:w="4616" w:type="dxa"/>
            <w:gridSpan w:val="2"/>
            <w:vMerge w:val="restart"/>
            <w:tcBorders>
              <w:top w:val="single" w:sz="4" w:space="0" w:color="AAABD6"/>
            </w:tcBorders>
            <w:vAlign w:val="center"/>
          </w:tcPr>
          <w:p w14:paraId="3E3654CB"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Absolute projections, no growth rate</w:t>
            </w:r>
          </w:p>
        </w:tc>
        <w:tc>
          <w:tcPr>
            <w:tcW w:w="851" w:type="dxa"/>
            <w:tcBorders>
              <w:top w:val="single" w:sz="4" w:space="0" w:color="AAABD6"/>
              <w:bottom w:val="dotted" w:sz="4" w:space="0" w:color="AAABD6"/>
            </w:tcBorders>
          </w:tcPr>
          <w:p w14:paraId="455FC6E3"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121</w:t>
            </w:r>
          </w:p>
        </w:tc>
        <w:tc>
          <w:tcPr>
            <w:tcW w:w="534" w:type="dxa"/>
            <w:tcBorders>
              <w:top w:val="single" w:sz="4" w:space="0" w:color="AAABD6"/>
              <w:bottom w:val="dotted" w:sz="4" w:space="0" w:color="AAABD6"/>
            </w:tcBorders>
          </w:tcPr>
          <w:p w14:paraId="065DD5D3"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803" w:type="dxa"/>
            <w:tcBorders>
              <w:top w:val="single" w:sz="4" w:space="0" w:color="AAABD6"/>
              <w:bottom w:val="dotted" w:sz="4" w:space="0" w:color="AAABD6"/>
            </w:tcBorders>
          </w:tcPr>
          <w:p w14:paraId="58E0AD95"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pPr>
            <w:r w:rsidRPr="00100F0A">
              <w:rPr>
                <w:color w:val="000000" w:themeColor="text1"/>
              </w:rPr>
              <w:t>121</w:t>
            </w:r>
          </w:p>
        </w:tc>
      </w:tr>
      <w:tr w:rsidR="002169F6" w:rsidRPr="00100F0A" w14:paraId="325F85E1" w14:textId="77777777" w:rsidTr="002169F6">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AAABD6"/>
              <w:bottom w:val="dotted" w:sz="4" w:space="0" w:color="AAABD6"/>
            </w:tcBorders>
          </w:tcPr>
          <w:p w14:paraId="6CC4F2DF" w14:textId="77777777" w:rsidR="002169F6" w:rsidRPr="00100F0A" w:rsidRDefault="002169F6" w:rsidP="002169F6">
            <w:r w:rsidRPr="00100F0A">
              <w:t>High</w:t>
            </w:r>
          </w:p>
        </w:tc>
        <w:tc>
          <w:tcPr>
            <w:tcW w:w="1134" w:type="dxa"/>
            <w:tcBorders>
              <w:top w:val="dotted" w:sz="4" w:space="0" w:color="AAABD6"/>
              <w:bottom w:val="dotted" w:sz="4" w:space="0" w:color="AAABD6"/>
            </w:tcBorders>
            <w:vAlign w:val="center"/>
          </w:tcPr>
          <w:p w14:paraId="5AA6543D"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pPr>
            <w:r w:rsidRPr="00100F0A">
              <w:t>NSW</w:t>
            </w:r>
          </w:p>
        </w:tc>
        <w:tc>
          <w:tcPr>
            <w:tcW w:w="4616" w:type="dxa"/>
            <w:gridSpan w:val="2"/>
            <w:vMerge/>
            <w:vAlign w:val="bottom"/>
          </w:tcPr>
          <w:p w14:paraId="39FA927C"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pPr>
          </w:p>
        </w:tc>
        <w:tc>
          <w:tcPr>
            <w:tcW w:w="851" w:type="dxa"/>
            <w:tcBorders>
              <w:top w:val="dotted" w:sz="4" w:space="0" w:color="AAABD6"/>
              <w:bottom w:val="dotted" w:sz="4" w:space="0" w:color="AAABD6"/>
            </w:tcBorders>
          </w:tcPr>
          <w:p w14:paraId="5CD26F38"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2,238</w:t>
            </w:r>
          </w:p>
        </w:tc>
        <w:tc>
          <w:tcPr>
            <w:tcW w:w="534" w:type="dxa"/>
            <w:tcBorders>
              <w:top w:val="dotted" w:sz="4" w:space="0" w:color="AAABD6"/>
              <w:bottom w:val="dotted" w:sz="4" w:space="0" w:color="AAABD6"/>
            </w:tcBorders>
          </w:tcPr>
          <w:p w14:paraId="10019ED3"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803" w:type="dxa"/>
            <w:tcBorders>
              <w:top w:val="dotted" w:sz="4" w:space="0" w:color="AAABD6"/>
              <w:bottom w:val="dotted" w:sz="4" w:space="0" w:color="AAABD6"/>
            </w:tcBorders>
          </w:tcPr>
          <w:p w14:paraId="2936B236"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pPr>
            <w:r w:rsidRPr="00100F0A">
              <w:rPr>
                <w:color w:val="000000" w:themeColor="text1"/>
              </w:rPr>
              <w:t>2,238</w:t>
            </w:r>
          </w:p>
        </w:tc>
      </w:tr>
      <w:tr w:rsidR="002169F6" w:rsidRPr="00100F0A" w14:paraId="70E4E90A" w14:textId="77777777" w:rsidTr="002169F6">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AAABD6"/>
              <w:bottom w:val="dotted" w:sz="4" w:space="0" w:color="AAABD6"/>
            </w:tcBorders>
          </w:tcPr>
          <w:p w14:paraId="159FCE6D" w14:textId="77777777" w:rsidR="002169F6" w:rsidRPr="00100F0A" w:rsidRDefault="002169F6" w:rsidP="002169F6">
            <w:r w:rsidRPr="00100F0A">
              <w:t>High</w:t>
            </w:r>
          </w:p>
        </w:tc>
        <w:tc>
          <w:tcPr>
            <w:tcW w:w="1134" w:type="dxa"/>
            <w:tcBorders>
              <w:top w:val="dotted" w:sz="4" w:space="0" w:color="AAABD6"/>
              <w:bottom w:val="dotted" w:sz="4" w:space="0" w:color="AAABD6"/>
            </w:tcBorders>
            <w:vAlign w:val="center"/>
          </w:tcPr>
          <w:p w14:paraId="2EBEDC3A"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pPr>
            <w:r w:rsidRPr="00100F0A">
              <w:t>NT</w:t>
            </w:r>
          </w:p>
        </w:tc>
        <w:tc>
          <w:tcPr>
            <w:tcW w:w="4616" w:type="dxa"/>
            <w:gridSpan w:val="2"/>
            <w:vMerge/>
            <w:vAlign w:val="bottom"/>
          </w:tcPr>
          <w:p w14:paraId="6B13727C"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pPr>
          </w:p>
        </w:tc>
        <w:tc>
          <w:tcPr>
            <w:tcW w:w="851" w:type="dxa"/>
            <w:tcBorders>
              <w:top w:val="dotted" w:sz="4" w:space="0" w:color="AAABD6"/>
              <w:bottom w:val="dotted" w:sz="4" w:space="0" w:color="AAABD6"/>
            </w:tcBorders>
          </w:tcPr>
          <w:p w14:paraId="641C01F2"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75</w:t>
            </w:r>
          </w:p>
        </w:tc>
        <w:tc>
          <w:tcPr>
            <w:tcW w:w="534" w:type="dxa"/>
            <w:tcBorders>
              <w:top w:val="dotted" w:sz="4" w:space="0" w:color="AAABD6"/>
              <w:bottom w:val="dotted" w:sz="4" w:space="0" w:color="AAABD6"/>
            </w:tcBorders>
          </w:tcPr>
          <w:p w14:paraId="21838758"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803" w:type="dxa"/>
            <w:tcBorders>
              <w:top w:val="dotted" w:sz="4" w:space="0" w:color="AAABD6"/>
              <w:bottom w:val="dotted" w:sz="4" w:space="0" w:color="AAABD6"/>
            </w:tcBorders>
          </w:tcPr>
          <w:p w14:paraId="4DEBFA0F"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pPr>
            <w:r w:rsidRPr="00100F0A">
              <w:rPr>
                <w:color w:val="000000" w:themeColor="text1"/>
              </w:rPr>
              <w:t>75</w:t>
            </w:r>
          </w:p>
        </w:tc>
      </w:tr>
      <w:tr w:rsidR="002169F6" w:rsidRPr="00100F0A" w14:paraId="747D0CC8" w14:textId="77777777" w:rsidTr="002169F6">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AAABD6"/>
              <w:bottom w:val="dotted" w:sz="4" w:space="0" w:color="AAABD6"/>
            </w:tcBorders>
          </w:tcPr>
          <w:p w14:paraId="18CD0B70" w14:textId="77777777" w:rsidR="002169F6" w:rsidRPr="00100F0A" w:rsidRDefault="002169F6" w:rsidP="002169F6">
            <w:r w:rsidRPr="00100F0A">
              <w:t>High</w:t>
            </w:r>
          </w:p>
        </w:tc>
        <w:tc>
          <w:tcPr>
            <w:tcW w:w="1134" w:type="dxa"/>
            <w:tcBorders>
              <w:top w:val="dotted" w:sz="4" w:space="0" w:color="AAABD6"/>
              <w:bottom w:val="dotted" w:sz="4" w:space="0" w:color="AAABD6"/>
            </w:tcBorders>
            <w:vAlign w:val="center"/>
          </w:tcPr>
          <w:p w14:paraId="0D3C8342"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pPr>
            <w:r w:rsidRPr="00100F0A">
              <w:t>Qld</w:t>
            </w:r>
          </w:p>
        </w:tc>
        <w:tc>
          <w:tcPr>
            <w:tcW w:w="4616" w:type="dxa"/>
            <w:gridSpan w:val="2"/>
            <w:vMerge/>
            <w:vAlign w:val="bottom"/>
          </w:tcPr>
          <w:p w14:paraId="65843DF6"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pPr>
          </w:p>
        </w:tc>
        <w:tc>
          <w:tcPr>
            <w:tcW w:w="851" w:type="dxa"/>
            <w:tcBorders>
              <w:top w:val="dotted" w:sz="4" w:space="0" w:color="AAABD6"/>
              <w:bottom w:val="dotted" w:sz="4" w:space="0" w:color="AAABD6"/>
            </w:tcBorders>
          </w:tcPr>
          <w:p w14:paraId="1D49EF0B"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1,482</w:t>
            </w:r>
          </w:p>
        </w:tc>
        <w:tc>
          <w:tcPr>
            <w:tcW w:w="534" w:type="dxa"/>
            <w:tcBorders>
              <w:top w:val="dotted" w:sz="4" w:space="0" w:color="AAABD6"/>
              <w:bottom w:val="dotted" w:sz="4" w:space="0" w:color="AAABD6"/>
            </w:tcBorders>
          </w:tcPr>
          <w:p w14:paraId="38644952"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803" w:type="dxa"/>
            <w:tcBorders>
              <w:top w:val="dotted" w:sz="4" w:space="0" w:color="AAABD6"/>
              <w:bottom w:val="dotted" w:sz="4" w:space="0" w:color="AAABD6"/>
            </w:tcBorders>
          </w:tcPr>
          <w:p w14:paraId="7A5D9DD6"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pPr>
            <w:r w:rsidRPr="00100F0A">
              <w:rPr>
                <w:color w:val="000000" w:themeColor="text1"/>
              </w:rPr>
              <w:t>1,482</w:t>
            </w:r>
          </w:p>
        </w:tc>
      </w:tr>
      <w:tr w:rsidR="002169F6" w:rsidRPr="00100F0A" w14:paraId="19220161" w14:textId="77777777" w:rsidTr="002169F6">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AAABD6"/>
              <w:bottom w:val="dotted" w:sz="4" w:space="0" w:color="AAABD6"/>
            </w:tcBorders>
          </w:tcPr>
          <w:p w14:paraId="7C60402D" w14:textId="77777777" w:rsidR="002169F6" w:rsidRPr="00100F0A" w:rsidRDefault="002169F6" w:rsidP="002169F6">
            <w:r w:rsidRPr="00100F0A">
              <w:t>High</w:t>
            </w:r>
          </w:p>
        </w:tc>
        <w:tc>
          <w:tcPr>
            <w:tcW w:w="1134" w:type="dxa"/>
            <w:tcBorders>
              <w:top w:val="dotted" w:sz="4" w:space="0" w:color="AAABD6"/>
              <w:bottom w:val="dotted" w:sz="4" w:space="0" w:color="AAABD6"/>
            </w:tcBorders>
            <w:vAlign w:val="center"/>
          </w:tcPr>
          <w:p w14:paraId="138AF15E"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pPr>
            <w:r w:rsidRPr="00100F0A">
              <w:t>SA</w:t>
            </w:r>
          </w:p>
        </w:tc>
        <w:tc>
          <w:tcPr>
            <w:tcW w:w="4616" w:type="dxa"/>
            <w:gridSpan w:val="2"/>
            <w:vMerge/>
            <w:vAlign w:val="bottom"/>
          </w:tcPr>
          <w:p w14:paraId="545A4FBB"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pPr>
          </w:p>
        </w:tc>
        <w:tc>
          <w:tcPr>
            <w:tcW w:w="851" w:type="dxa"/>
            <w:tcBorders>
              <w:top w:val="dotted" w:sz="4" w:space="0" w:color="AAABD6"/>
              <w:bottom w:val="dotted" w:sz="4" w:space="0" w:color="AAABD6"/>
            </w:tcBorders>
          </w:tcPr>
          <w:p w14:paraId="27B195B2"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497</w:t>
            </w:r>
          </w:p>
        </w:tc>
        <w:tc>
          <w:tcPr>
            <w:tcW w:w="534" w:type="dxa"/>
            <w:tcBorders>
              <w:top w:val="dotted" w:sz="4" w:space="0" w:color="AAABD6"/>
              <w:bottom w:val="dotted" w:sz="4" w:space="0" w:color="AAABD6"/>
            </w:tcBorders>
          </w:tcPr>
          <w:p w14:paraId="62C8A28E"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803" w:type="dxa"/>
            <w:tcBorders>
              <w:top w:val="dotted" w:sz="4" w:space="0" w:color="AAABD6"/>
              <w:bottom w:val="dotted" w:sz="4" w:space="0" w:color="AAABD6"/>
            </w:tcBorders>
          </w:tcPr>
          <w:p w14:paraId="46111A12"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pPr>
            <w:r w:rsidRPr="00100F0A">
              <w:rPr>
                <w:color w:val="000000" w:themeColor="text1"/>
              </w:rPr>
              <w:t>497</w:t>
            </w:r>
          </w:p>
        </w:tc>
      </w:tr>
      <w:tr w:rsidR="002169F6" w:rsidRPr="00100F0A" w14:paraId="5B32BF1A" w14:textId="77777777" w:rsidTr="002169F6">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AAABD6"/>
              <w:bottom w:val="dotted" w:sz="4" w:space="0" w:color="AAABD6"/>
            </w:tcBorders>
          </w:tcPr>
          <w:p w14:paraId="489B9BBD" w14:textId="77777777" w:rsidR="002169F6" w:rsidRPr="00100F0A" w:rsidRDefault="002169F6" w:rsidP="002169F6">
            <w:r w:rsidRPr="00100F0A">
              <w:t>High</w:t>
            </w:r>
          </w:p>
        </w:tc>
        <w:tc>
          <w:tcPr>
            <w:tcW w:w="1134" w:type="dxa"/>
            <w:tcBorders>
              <w:top w:val="dotted" w:sz="4" w:space="0" w:color="AAABD6"/>
              <w:bottom w:val="dotted" w:sz="4" w:space="0" w:color="AAABD6"/>
            </w:tcBorders>
            <w:vAlign w:val="center"/>
          </w:tcPr>
          <w:p w14:paraId="14B26FAA"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pPr>
            <w:r w:rsidRPr="00100F0A">
              <w:t>Tas</w:t>
            </w:r>
          </w:p>
        </w:tc>
        <w:tc>
          <w:tcPr>
            <w:tcW w:w="4616" w:type="dxa"/>
            <w:gridSpan w:val="2"/>
            <w:vMerge/>
            <w:vAlign w:val="bottom"/>
          </w:tcPr>
          <w:p w14:paraId="1C72839C"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pPr>
          </w:p>
        </w:tc>
        <w:tc>
          <w:tcPr>
            <w:tcW w:w="851" w:type="dxa"/>
            <w:tcBorders>
              <w:top w:val="dotted" w:sz="4" w:space="0" w:color="AAABD6"/>
              <w:bottom w:val="dotted" w:sz="4" w:space="0" w:color="AAABD6"/>
            </w:tcBorders>
          </w:tcPr>
          <w:p w14:paraId="702FA9A5"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148</w:t>
            </w:r>
          </w:p>
        </w:tc>
        <w:tc>
          <w:tcPr>
            <w:tcW w:w="534" w:type="dxa"/>
            <w:tcBorders>
              <w:top w:val="dotted" w:sz="4" w:space="0" w:color="AAABD6"/>
              <w:bottom w:val="dotted" w:sz="4" w:space="0" w:color="AAABD6"/>
            </w:tcBorders>
          </w:tcPr>
          <w:p w14:paraId="6F8C250F"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803" w:type="dxa"/>
            <w:tcBorders>
              <w:top w:val="dotted" w:sz="4" w:space="0" w:color="AAABD6"/>
              <w:bottom w:val="dotted" w:sz="4" w:space="0" w:color="AAABD6"/>
            </w:tcBorders>
          </w:tcPr>
          <w:p w14:paraId="6E76B60B"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pPr>
            <w:r w:rsidRPr="00100F0A">
              <w:rPr>
                <w:color w:val="000000" w:themeColor="text1"/>
              </w:rPr>
              <w:t>148</w:t>
            </w:r>
          </w:p>
        </w:tc>
      </w:tr>
      <w:tr w:rsidR="002169F6" w:rsidRPr="00100F0A" w14:paraId="7BC83A4B" w14:textId="77777777" w:rsidTr="002169F6">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AAABD6"/>
              <w:bottom w:val="dotted" w:sz="4" w:space="0" w:color="AAABD6"/>
            </w:tcBorders>
          </w:tcPr>
          <w:p w14:paraId="44DA3311" w14:textId="77777777" w:rsidR="002169F6" w:rsidRPr="00100F0A" w:rsidRDefault="002169F6" w:rsidP="002169F6">
            <w:r w:rsidRPr="00100F0A">
              <w:t>High</w:t>
            </w:r>
          </w:p>
        </w:tc>
        <w:tc>
          <w:tcPr>
            <w:tcW w:w="1134" w:type="dxa"/>
            <w:tcBorders>
              <w:top w:val="dotted" w:sz="4" w:space="0" w:color="AAABD6"/>
              <w:bottom w:val="dotted" w:sz="4" w:space="0" w:color="AAABD6"/>
            </w:tcBorders>
            <w:vAlign w:val="center"/>
          </w:tcPr>
          <w:p w14:paraId="01E5FF3A"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pPr>
            <w:r w:rsidRPr="00100F0A">
              <w:t>Vic</w:t>
            </w:r>
          </w:p>
        </w:tc>
        <w:tc>
          <w:tcPr>
            <w:tcW w:w="4616" w:type="dxa"/>
            <w:gridSpan w:val="2"/>
            <w:vMerge/>
            <w:vAlign w:val="bottom"/>
          </w:tcPr>
          <w:p w14:paraId="6F7D04B2"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851" w:type="dxa"/>
            <w:tcBorders>
              <w:top w:val="dotted" w:sz="4" w:space="0" w:color="AAABD6"/>
              <w:bottom w:val="dotted" w:sz="4" w:space="0" w:color="AAABD6"/>
            </w:tcBorders>
          </w:tcPr>
          <w:p w14:paraId="2A2A1C73"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color w:val="000000" w:themeColor="text1"/>
              </w:rPr>
              <w:t>1,787</w:t>
            </w:r>
          </w:p>
        </w:tc>
        <w:tc>
          <w:tcPr>
            <w:tcW w:w="534" w:type="dxa"/>
            <w:tcBorders>
              <w:top w:val="dotted" w:sz="4" w:space="0" w:color="AAABD6"/>
              <w:bottom w:val="dotted" w:sz="4" w:space="0" w:color="AAABD6"/>
            </w:tcBorders>
          </w:tcPr>
          <w:p w14:paraId="2C923508"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803" w:type="dxa"/>
            <w:tcBorders>
              <w:top w:val="dotted" w:sz="4" w:space="0" w:color="AAABD6"/>
              <w:bottom w:val="dotted" w:sz="4" w:space="0" w:color="AAABD6"/>
            </w:tcBorders>
          </w:tcPr>
          <w:p w14:paraId="000931CD"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color w:val="000000" w:themeColor="text1"/>
              </w:rPr>
              <w:t>1,787</w:t>
            </w:r>
          </w:p>
        </w:tc>
      </w:tr>
      <w:tr w:rsidR="002169F6" w:rsidRPr="00100F0A" w14:paraId="000A15BF" w14:textId="77777777" w:rsidTr="002169F6">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AAABD6"/>
              <w:bottom w:val="single" w:sz="4" w:space="0" w:color="AAABD6"/>
            </w:tcBorders>
          </w:tcPr>
          <w:p w14:paraId="4B71519F" w14:textId="77777777" w:rsidR="002169F6" w:rsidRPr="00100F0A" w:rsidRDefault="002169F6" w:rsidP="002169F6">
            <w:r w:rsidRPr="00100F0A">
              <w:t>High</w:t>
            </w:r>
          </w:p>
        </w:tc>
        <w:tc>
          <w:tcPr>
            <w:tcW w:w="1134" w:type="dxa"/>
            <w:tcBorders>
              <w:top w:val="dotted" w:sz="4" w:space="0" w:color="AAABD6"/>
              <w:bottom w:val="single" w:sz="4" w:space="0" w:color="AAABD6"/>
            </w:tcBorders>
            <w:vAlign w:val="center"/>
          </w:tcPr>
          <w:p w14:paraId="55552A7C"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pPr>
            <w:r w:rsidRPr="00100F0A">
              <w:t>WA</w:t>
            </w:r>
          </w:p>
        </w:tc>
        <w:tc>
          <w:tcPr>
            <w:tcW w:w="4616" w:type="dxa"/>
            <w:gridSpan w:val="2"/>
            <w:vMerge/>
            <w:tcBorders>
              <w:bottom w:val="single" w:sz="4" w:space="0" w:color="AAABD6"/>
            </w:tcBorders>
            <w:vAlign w:val="bottom"/>
          </w:tcPr>
          <w:p w14:paraId="3F4BBC33"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851" w:type="dxa"/>
            <w:tcBorders>
              <w:top w:val="dotted" w:sz="4" w:space="0" w:color="AAABD6"/>
              <w:bottom w:val="single" w:sz="4" w:space="0" w:color="AAABD6"/>
            </w:tcBorders>
          </w:tcPr>
          <w:p w14:paraId="577FD29B"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color w:val="000000" w:themeColor="text1"/>
              </w:rPr>
              <w:t>851</w:t>
            </w:r>
          </w:p>
        </w:tc>
        <w:tc>
          <w:tcPr>
            <w:tcW w:w="534" w:type="dxa"/>
            <w:tcBorders>
              <w:top w:val="dotted" w:sz="4" w:space="0" w:color="AAABD6"/>
              <w:bottom w:val="single" w:sz="4" w:space="0" w:color="AAABD6"/>
            </w:tcBorders>
          </w:tcPr>
          <w:p w14:paraId="5DBF7B98"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803" w:type="dxa"/>
            <w:tcBorders>
              <w:top w:val="dotted" w:sz="4" w:space="0" w:color="AAABD6"/>
              <w:bottom w:val="single" w:sz="4" w:space="0" w:color="AAABD6"/>
            </w:tcBorders>
          </w:tcPr>
          <w:p w14:paraId="15F556A8"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color w:val="000000" w:themeColor="text1"/>
              </w:rPr>
              <w:t>851</w:t>
            </w:r>
          </w:p>
        </w:tc>
      </w:tr>
      <w:tr w:rsidR="002169F6" w:rsidRPr="00100F0A" w14:paraId="7560C117" w14:textId="77777777" w:rsidTr="002169F6">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AABD6"/>
              <w:bottom w:val="single" w:sz="4" w:space="0" w:color="AAABD6"/>
            </w:tcBorders>
          </w:tcPr>
          <w:p w14:paraId="1DF0E208" w14:textId="77777777" w:rsidR="002169F6" w:rsidRPr="00100F0A" w:rsidRDefault="002169F6" w:rsidP="002169F6">
            <w:r w:rsidRPr="00100F0A">
              <w:t>Low</w:t>
            </w:r>
          </w:p>
        </w:tc>
        <w:tc>
          <w:tcPr>
            <w:tcW w:w="1134" w:type="dxa"/>
            <w:tcBorders>
              <w:top w:val="single" w:sz="4" w:space="0" w:color="AAABD6"/>
              <w:bottom w:val="single" w:sz="4" w:space="0" w:color="AAABD6"/>
            </w:tcBorders>
            <w:vAlign w:val="center"/>
          </w:tcPr>
          <w:p w14:paraId="3D1C15BD"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pPr>
            <w:r w:rsidRPr="00100F0A">
              <w:t>All</w:t>
            </w:r>
          </w:p>
        </w:tc>
        <w:tc>
          <w:tcPr>
            <w:tcW w:w="4616" w:type="dxa"/>
            <w:gridSpan w:val="2"/>
            <w:tcBorders>
              <w:top w:val="single" w:sz="4" w:space="0" w:color="AAABD6"/>
              <w:bottom w:val="single" w:sz="4" w:space="0" w:color="AAABD6"/>
            </w:tcBorders>
            <w:vAlign w:val="bottom"/>
          </w:tcPr>
          <w:p w14:paraId="797ACA0D" w14:textId="3AB88B5F"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rFonts w:cs="Calibri"/>
                <w:color w:val="000000"/>
              </w:rPr>
            </w:pPr>
            <w:r w:rsidRPr="00100F0A">
              <w:rPr>
                <w:rFonts w:cs="Calibri"/>
                <w:color w:val="000000"/>
              </w:rPr>
              <w:t xml:space="preserve">No change in </w:t>
            </w:r>
            <w:r w:rsidR="00387CBE" w:rsidRPr="00100F0A">
              <w:rPr>
                <w:rFonts w:cs="Calibri"/>
                <w:color w:val="000000"/>
              </w:rPr>
              <w:t>current management</w:t>
            </w:r>
            <w:r w:rsidRPr="00100F0A">
              <w:rPr>
                <w:rFonts w:cs="Calibri"/>
                <w:color w:val="000000"/>
              </w:rPr>
              <w:t xml:space="preserve"> requirements</w:t>
            </w:r>
          </w:p>
        </w:tc>
        <w:tc>
          <w:tcPr>
            <w:tcW w:w="851" w:type="dxa"/>
            <w:tcBorders>
              <w:top w:val="single" w:sz="4" w:space="0" w:color="AAABD6"/>
              <w:bottom w:val="single" w:sz="4" w:space="0" w:color="AAABD6"/>
            </w:tcBorders>
          </w:tcPr>
          <w:p w14:paraId="76A63F1E"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color w:val="000000" w:themeColor="text1"/>
              </w:rPr>
              <w:t>0</w:t>
            </w:r>
          </w:p>
        </w:tc>
        <w:tc>
          <w:tcPr>
            <w:tcW w:w="534" w:type="dxa"/>
            <w:tcBorders>
              <w:top w:val="single" w:sz="4" w:space="0" w:color="AAABD6"/>
              <w:bottom w:val="single" w:sz="4" w:space="0" w:color="AAABD6"/>
            </w:tcBorders>
          </w:tcPr>
          <w:p w14:paraId="62D05F67"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803" w:type="dxa"/>
            <w:tcBorders>
              <w:top w:val="single" w:sz="4" w:space="0" w:color="AAABD6"/>
              <w:bottom w:val="single" w:sz="4" w:space="0" w:color="AAABD6"/>
            </w:tcBorders>
          </w:tcPr>
          <w:p w14:paraId="6EE8D5D8"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color w:val="000000" w:themeColor="text1"/>
              </w:rPr>
              <w:t>0</w:t>
            </w:r>
          </w:p>
        </w:tc>
      </w:tr>
    </w:tbl>
    <w:p w14:paraId="1BDC98DA" w14:textId="59310558" w:rsidR="002169F6" w:rsidRPr="00A307F3" w:rsidRDefault="002169F6" w:rsidP="002169F6">
      <w:pPr>
        <w:rPr>
          <w:i/>
          <w:iCs/>
          <w:color w:val="4D4DB8"/>
          <w:sz w:val="20"/>
          <w:szCs w:val="20"/>
        </w:rPr>
      </w:pPr>
      <w:r w:rsidRPr="00A307F3">
        <w:rPr>
          <w:i/>
          <w:iCs/>
          <w:color w:val="4D4DB8"/>
          <w:sz w:val="20"/>
          <w:szCs w:val="20"/>
        </w:rPr>
        <w:t>* Jurisdictional proportions of HBCD are distributed based on relative population, as was the case for POP-BDEs (in converting from a national estimate of 7,200</w:t>
      </w:r>
      <w:r w:rsidR="00052F25">
        <w:rPr>
          <w:i/>
          <w:iCs/>
          <w:color w:val="4D4DB8"/>
          <w:sz w:val="20"/>
          <w:szCs w:val="20"/>
        </w:rPr>
        <w:t xml:space="preserve"> </w:t>
      </w:r>
      <w:r w:rsidRPr="00A307F3">
        <w:rPr>
          <w:i/>
          <w:iCs/>
          <w:color w:val="4D4DB8"/>
          <w:sz w:val="20"/>
          <w:szCs w:val="20"/>
        </w:rPr>
        <w:t>t</w:t>
      </w:r>
      <w:r w:rsidR="00C34F48">
        <w:rPr>
          <w:i/>
          <w:iCs/>
          <w:color w:val="4D4DB8"/>
          <w:sz w:val="20"/>
          <w:szCs w:val="20"/>
        </w:rPr>
        <w:t>/yr</w:t>
      </w:r>
      <w:r w:rsidRPr="00A307F3">
        <w:rPr>
          <w:i/>
          <w:iCs/>
          <w:color w:val="4D4DB8"/>
          <w:sz w:val="20"/>
          <w:szCs w:val="20"/>
        </w:rPr>
        <w:t xml:space="preserve"> to jurisdiction-level breakdown).</w:t>
      </w:r>
    </w:p>
    <w:p w14:paraId="6E4009E3" w14:textId="29C83DE8" w:rsidR="006D4560" w:rsidRPr="00100F0A" w:rsidRDefault="006D4560" w:rsidP="006D4560">
      <w:pPr>
        <w:pStyle w:val="BodyText"/>
      </w:pPr>
    </w:p>
    <w:p w14:paraId="2EE5720B" w14:textId="40780FD1" w:rsidR="006D4560" w:rsidRPr="00100F0A" w:rsidRDefault="00160185" w:rsidP="006D4560">
      <w:r w:rsidRPr="00100F0A">
        <w:fldChar w:fldCharType="begin"/>
      </w:r>
      <w:r w:rsidRPr="00100F0A">
        <w:instrText xml:space="preserve"> REF _Ref523998763 \h </w:instrText>
      </w:r>
      <w:r w:rsidRPr="00100F0A">
        <w:fldChar w:fldCharType="separate"/>
      </w:r>
      <w:r w:rsidR="00EB634D" w:rsidRPr="00100F0A">
        <w:t xml:space="preserve">Figure </w:t>
      </w:r>
      <w:r w:rsidR="00EB634D">
        <w:rPr>
          <w:noProof/>
        </w:rPr>
        <w:t>23</w:t>
      </w:r>
      <w:r w:rsidRPr="00100F0A">
        <w:fldChar w:fldCharType="end"/>
      </w:r>
      <w:r w:rsidRPr="00100F0A">
        <w:t xml:space="preserve"> </w:t>
      </w:r>
      <w:r w:rsidR="00BF1072" w:rsidRPr="00100F0A">
        <w:t>(</w:t>
      </w:r>
      <w:r w:rsidRPr="00100F0A">
        <w:t>above</w:t>
      </w:r>
      <w:r w:rsidR="00BF1072" w:rsidRPr="00100F0A">
        <w:t>)</w:t>
      </w:r>
      <w:r w:rsidRPr="00100F0A">
        <w:t xml:space="preserve"> </w:t>
      </w:r>
      <w:r w:rsidR="006D4560" w:rsidRPr="00100F0A">
        <w:t xml:space="preserve">charts the combined estimates for POP-BDEs (M160a) and HBCD (M160b) on the basis that the infrastructure they could be managed </w:t>
      </w:r>
      <w:r w:rsidR="00052F25">
        <w:t>by</w:t>
      </w:r>
      <w:r w:rsidR="006D4560" w:rsidRPr="00100F0A">
        <w:t xml:space="preserve"> are the same. </w:t>
      </w:r>
      <w:r w:rsidR="00387CBE" w:rsidRPr="00100F0A">
        <w:t>Consequently,</w:t>
      </w:r>
      <w:r w:rsidR="006D4560" w:rsidRPr="00100F0A">
        <w:t xml:space="preserve"> their projections are also modelled together as M160a,b. Alternatively, M160c HCB is modelled separately on the basis that its historical management has been via export to overseas infrastructure.</w:t>
      </w:r>
    </w:p>
    <w:p w14:paraId="4BC0A269" w14:textId="0D9D53AA" w:rsidR="00823B3A" w:rsidRPr="00100F0A" w:rsidRDefault="00823B3A" w:rsidP="00823B3A">
      <w:pPr>
        <w:pStyle w:val="Heading3"/>
      </w:pPr>
      <w:r w:rsidRPr="00100F0A">
        <w:t>M160c HCB</w:t>
      </w:r>
    </w:p>
    <w:p w14:paraId="38237528" w14:textId="679F5488" w:rsidR="00823B3A" w:rsidRDefault="00823B3A" w:rsidP="00823B3A">
      <w:pPr>
        <w:rPr>
          <w:color w:val="080808"/>
        </w:rPr>
      </w:pPr>
      <w:r w:rsidRPr="00100F0A">
        <w:t xml:space="preserve">A subset of the waste group </w:t>
      </w:r>
      <w:r w:rsidRPr="00100F0A">
        <w:rPr>
          <w:i/>
        </w:rPr>
        <w:t>M160 Organohalogen compounds—other than substances referred to in this Table or Table 2</w:t>
      </w:r>
      <w:r w:rsidRPr="00100F0A">
        <w:t xml:space="preserve">, </w:t>
      </w:r>
      <w:r w:rsidRPr="00100F0A">
        <w:rPr>
          <w:i/>
        </w:rPr>
        <w:t xml:space="preserve">M160c </w:t>
      </w:r>
      <w:r w:rsidRPr="00100F0A">
        <w:rPr>
          <w:i/>
          <w:color w:val="080808"/>
        </w:rPr>
        <w:t>Hexachlorobenzene (HCB)</w:t>
      </w:r>
      <w:r w:rsidRPr="00100F0A">
        <w:t xml:space="preserve"> has been used historically as a pesticide and industrial by-product. HCB </w:t>
      </w:r>
      <w:r w:rsidRPr="00100F0A">
        <w:rPr>
          <w:color w:val="080808"/>
        </w:rPr>
        <w:t xml:space="preserve">was one of the 12 </w:t>
      </w:r>
      <w:r w:rsidR="00374225">
        <w:rPr>
          <w:color w:val="080808"/>
        </w:rPr>
        <w:t>POP</w:t>
      </w:r>
      <w:r w:rsidRPr="00100F0A">
        <w:rPr>
          <w:color w:val="080808"/>
        </w:rPr>
        <w:t xml:space="preserve"> originally listed in annexes to the Stockholm Convention in 2004, when Australia ratified its inclusion and became a party to the Convention</w:t>
      </w:r>
      <w:r w:rsidRPr="00100F0A">
        <w:t xml:space="preserve">. Its significance to hazardous waste in Australia </w:t>
      </w:r>
      <w:r w:rsidRPr="00100F0A">
        <w:rPr>
          <w:color w:val="080808"/>
        </w:rPr>
        <w:t>is the single, well-documented stockpile, estimated to be 15,000 tonnes, stored at Orica’s Port Botany facility in Sydney, for which a more permanent acceptable destruction or other management solution has not been found.</w:t>
      </w:r>
    </w:p>
    <w:p w14:paraId="64D1935F" w14:textId="570FA117" w:rsidR="00052F25" w:rsidRDefault="00052F25" w:rsidP="00823B3A"/>
    <w:p w14:paraId="0DA3D9AF" w14:textId="61E2B862" w:rsidR="00052F25" w:rsidRDefault="00052F25">
      <w:r>
        <w:br w:type="page"/>
      </w:r>
    </w:p>
    <w:p w14:paraId="43523F4C" w14:textId="77777777" w:rsidR="00823B3A" w:rsidRPr="00100F0A" w:rsidRDefault="00823B3A" w:rsidP="00823B3A">
      <w:pPr>
        <w:pStyle w:val="Heading3-nonumber"/>
      </w:pPr>
      <w:r w:rsidRPr="00100F0A">
        <w:t>Summary analysis</w:t>
      </w:r>
    </w:p>
    <w:tbl>
      <w:tblPr>
        <w:tblStyle w:val="BETable11"/>
        <w:tblW w:w="5182" w:type="pct"/>
        <w:tblInd w:w="0" w:type="dxa"/>
        <w:tblBorders>
          <w:top w:val="single" w:sz="4" w:space="0" w:color="AAABD6"/>
          <w:left w:val="single" w:sz="4" w:space="0" w:color="AAABD6"/>
          <w:bottom w:val="single" w:sz="4" w:space="0" w:color="AAABD6"/>
          <w:right w:val="single" w:sz="4" w:space="0" w:color="AAABD6"/>
          <w:insideH w:val="single" w:sz="4" w:space="0" w:color="AAABD6"/>
          <w:insideV w:val="single" w:sz="4" w:space="0" w:color="AAABD6"/>
        </w:tblBorders>
        <w:tblLook w:val="04A0" w:firstRow="1" w:lastRow="0" w:firstColumn="1" w:lastColumn="0" w:noHBand="0" w:noVBand="1"/>
      </w:tblPr>
      <w:tblGrid>
        <w:gridCol w:w="1129"/>
        <w:gridCol w:w="4111"/>
        <w:gridCol w:w="4111"/>
      </w:tblGrid>
      <w:tr w:rsidR="00823B3A" w:rsidRPr="00100F0A" w14:paraId="793FB9D8" w14:textId="77777777" w:rsidTr="00B179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Borders>
              <w:top w:val="nil"/>
              <w:left w:val="single" w:sz="4" w:space="0" w:color="AAABD6"/>
              <w:bottom w:val="nil"/>
            </w:tcBorders>
            <w:shd w:val="clear" w:color="auto" w:fill="AAABD6"/>
          </w:tcPr>
          <w:p w14:paraId="45531030" w14:textId="77777777" w:rsidR="00823B3A" w:rsidRPr="00100F0A" w:rsidRDefault="00823B3A" w:rsidP="00B179AD">
            <w:pPr>
              <w:pStyle w:val="BodyText"/>
              <w:rPr>
                <w:color w:val="FFFFFF" w:themeColor="background1"/>
              </w:rPr>
            </w:pPr>
            <w:r w:rsidRPr="00100F0A">
              <w:rPr>
                <w:color w:val="FFFFFF" w:themeColor="background1"/>
              </w:rPr>
              <w:t>Industry sources</w:t>
            </w:r>
          </w:p>
        </w:tc>
        <w:tc>
          <w:tcPr>
            <w:tcW w:w="2198" w:type="pct"/>
            <w:tcBorders>
              <w:top w:val="nil"/>
              <w:bottom w:val="nil"/>
            </w:tcBorders>
            <w:shd w:val="clear" w:color="auto" w:fill="AAABD6"/>
          </w:tcPr>
          <w:p w14:paraId="1EA0E984" w14:textId="77777777" w:rsidR="00823B3A" w:rsidRPr="00100F0A" w:rsidRDefault="00823B3A" w:rsidP="00B179AD">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Considerations</w:t>
            </w:r>
          </w:p>
        </w:tc>
        <w:tc>
          <w:tcPr>
            <w:tcW w:w="2198" w:type="pct"/>
            <w:tcBorders>
              <w:top w:val="nil"/>
              <w:bottom w:val="nil"/>
              <w:right w:val="single" w:sz="4" w:space="0" w:color="AAABD6"/>
            </w:tcBorders>
            <w:shd w:val="clear" w:color="auto" w:fill="AAABD6"/>
          </w:tcPr>
          <w:p w14:paraId="1E2B2BE5" w14:textId="77777777" w:rsidR="00823B3A" w:rsidRPr="00100F0A" w:rsidRDefault="00823B3A" w:rsidP="00B179AD">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r>
      <w:tr w:rsidR="00823B3A" w:rsidRPr="00100F0A" w14:paraId="27DDAF2A" w14:textId="77777777" w:rsidTr="00B179AD">
        <w:tc>
          <w:tcPr>
            <w:cnfStyle w:val="001000000000" w:firstRow="0" w:lastRow="0" w:firstColumn="1" w:lastColumn="0" w:oddVBand="0" w:evenVBand="0" w:oddHBand="0" w:evenHBand="0" w:firstRowFirstColumn="0" w:firstRowLastColumn="0" w:lastRowFirstColumn="0" w:lastRowLastColumn="0"/>
            <w:tcW w:w="604" w:type="pct"/>
            <w:tcBorders>
              <w:top w:val="nil"/>
            </w:tcBorders>
          </w:tcPr>
          <w:p w14:paraId="1CC98284" w14:textId="77777777" w:rsidR="00823B3A" w:rsidRPr="00100F0A" w:rsidRDefault="00823B3A" w:rsidP="00B179AD">
            <w:pPr>
              <w:rPr>
                <w:color w:val="000000"/>
              </w:rPr>
            </w:pPr>
            <w:r w:rsidRPr="00100F0A">
              <w:rPr>
                <w:color w:val="000000"/>
              </w:rPr>
              <w:t>Sydney's Orica Port Botany stockpile is the only source of HCB waste in Australia</w:t>
            </w:r>
          </w:p>
        </w:tc>
        <w:tc>
          <w:tcPr>
            <w:tcW w:w="2198" w:type="pct"/>
            <w:tcBorders>
              <w:top w:val="nil"/>
            </w:tcBorders>
          </w:tcPr>
          <w:p w14:paraId="79A0BCEB" w14:textId="77777777" w:rsidR="00823B3A" w:rsidRPr="00100F0A" w:rsidRDefault="00823B3A" w:rsidP="00B179AD">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Stockpile is currently 15,000 t (ORICA 2017)</w:t>
            </w:r>
          </w:p>
          <w:p w14:paraId="267C81B4" w14:textId="0202E414" w:rsidR="00823B3A" w:rsidRPr="00100F0A" w:rsidRDefault="00823B3A" w:rsidP="00B179AD">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This is made up of 10,300</w:t>
            </w:r>
            <w:r w:rsidR="00052F25">
              <w:rPr>
                <w:color w:val="000000"/>
              </w:rPr>
              <w:t xml:space="preserve"> </w:t>
            </w:r>
            <w:r w:rsidRPr="00100F0A">
              <w:rPr>
                <w:color w:val="000000"/>
              </w:rPr>
              <w:t>t of concentrated waste and ~5,000</w:t>
            </w:r>
            <w:r w:rsidR="00052F25">
              <w:rPr>
                <w:color w:val="000000"/>
              </w:rPr>
              <w:t xml:space="preserve"> </w:t>
            </w:r>
            <w:r w:rsidRPr="00100F0A">
              <w:rPr>
                <w:color w:val="000000"/>
              </w:rPr>
              <w:t>t of contaminated packaging material</w:t>
            </w:r>
          </w:p>
          <w:p w14:paraId="11889376" w14:textId="6C1A0C2D" w:rsidR="00823B3A" w:rsidRPr="00100F0A" w:rsidRDefault="00823B3A" w:rsidP="00B179AD">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The concentrated waste is re-packaged periodically (ORICA 2017)</w:t>
            </w:r>
          </w:p>
          <w:p w14:paraId="3F8DCAC4" w14:textId="6B3F4E18" w:rsidR="00823B3A" w:rsidRPr="00100F0A" w:rsidRDefault="00823B3A" w:rsidP="00B179AD">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This was estimated to be 10% (SIA 2008) but we will assume 5% due to new purpose-built repackaging plant (ORICA 2017)</w:t>
            </w:r>
          </w:p>
          <w:p w14:paraId="3DA8A42F" w14:textId="76A3D538" w:rsidR="00823B3A" w:rsidRPr="00100F0A" w:rsidRDefault="00823B3A" w:rsidP="00B179AD">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Two shipments were successfully sent to Finland and destroyed by high temperature incineration in 2017</w:t>
            </w:r>
          </w:p>
          <w:p w14:paraId="09AF76E5" w14:textId="0637B1C5" w:rsidR="00823B3A" w:rsidRPr="00100F0A" w:rsidRDefault="00823B3A" w:rsidP="00B179AD">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pPr>
            <w:r w:rsidRPr="00100F0A">
              <w:rPr>
                <w:color w:val="000000"/>
              </w:rPr>
              <w:t>These shipments totalled 1,635</w:t>
            </w:r>
            <w:r w:rsidR="00052F25">
              <w:rPr>
                <w:color w:val="000000"/>
              </w:rPr>
              <w:t xml:space="preserve"> </w:t>
            </w:r>
            <w:r w:rsidRPr="00100F0A">
              <w:rPr>
                <w:color w:val="000000"/>
              </w:rPr>
              <w:t>t, and are envisaged to continue</w:t>
            </w:r>
          </w:p>
        </w:tc>
        <w:tc>
          <w:tcPr>
            <w:tcW w:w="2198" w:type="pct"/>
            <w:tcBorders>
              <w:top w:val="nil"/>
            </w:tcBorders>
          </w:tcPr>
          <w:p w14:paraId="2B70DE2C" w14:textId="77777777" w:rsidR="00823B3A" w:rsidRPr="00100F0A" w:rsidRDefault="00823B3A" w:rsidP="00B179AD">
            <w:pPr>
              <w:cnfStyle w:val="000000000000" w:firstRow="0" w:lastRow="0" w:firstColumn="0" w:lastColumn="0" w:oddVBand="0" w:evenVBand="0" w:oddHBand="0" w:evenHBand="0" w:firstRowFirstColumn="0" w:firstRowLastColumn="0" w:lastRowFirstColumn="0" w:lastRowLastColumn="0"/>
            </w:pPr>
            <w:r w:rsidRPr="00100F0A">
              <w:t>There are no new arisings of the concentrated waste – only this stockpile is under consideration.</w:t>
            </w:r>
          </w:p>
          <w:p w14:paraId="2408138E" w14:textId="21AB7FC0" w:rsidR="00823B3A" w:rsidRPr="00100F0A" w:rsidRDefault="00823B3A" w:rsidP="00B179AD">
            <w:pPr>
              <w:cnfStyle w:val="000000000000" w:firstRow="0" w:lastRow="0" w:firstColumn="0" w:lastColumn="0" w:oddVBand="0" w:evenVBand="0" w:oddHBand="0" w:evenHBand="0" w:firstRowFirstColumn="0" w:firstRowLastColumn="0" w:lastRowFirstColumn="0" w:lastRowLastColumn="0"/>
            </w:pPr>
            <w:r w:rsidRPr="00100F0A">
              <w:rPr>
                <w:u w:val="single"/>
              </w:rPr>
              <w:t>High</w:t>
            </w:r>
            <w:r w:rsidRPr="00100F0A">
              <w:t>: Assume 2017 treatment rate will become an annual rate of destruction, noting 5% re-packaging based annual stockpile growth rate. Round 1,635 t to 1,500</w:t>
            </w:r>
            <w:r w:rsidR="00052F25">
              <w:t xml:space="preserve"> </w:t>
            </w:r>
            <w:r w:rsidRPr="00100F0A">
              <w:t>tpa.</w:t>
            </w:r>
          </w:p>
          <w:p w14:paraId="64E2F2B2" w14:textId="4B50B088" w:rsidR="00823B3A" w:rsidRPr="00100F0A" w:rsidRDefault="00823B3A" w:rsidP="00B179AD">
            <w:pPr>
              <w:cnfStyle w:val="000000000000" w:firstRow="0" w:lastRow="0" w:firstColumn="0" w:lastColumn="0" w:oddVBand="0" w:evenVBand="0" w:oddHBand="0" w:evenHBand="0" w:firstRowFirstColumn="0" w:firstRowLastColumn="0" w:lastRowFirstColumn="0" w:lastRowLastColumn="0"/>
            </w:pPr>
            <w:r w:rsidRPr="00100F0A">
              <w:rPr>
                <w:u w:val="single"/>
              </w:rPr>
              <w:t>Best</w:t>
            </w:r>
            <w:r w:rsidRPr="00100F0A">
              <w:t>: Assume 2/3 of 2017 treatment rate will become the annual rate of destruction, noting 5% re-packaging based annual stockpile growth rate. Rounding this becomes 1,000</w:t>
            </w:r>
            <w:r w:rsidR="00052F25">
              <w:t xml:space="preserve"> </w:t>
            </w:r>
            <w:r w:rsidRPr="00100F0A">
              <w:t>tpa destroyed.</w:t>
            </w:r>
          </w:p>
          <w:p w14:paraId="718574C5" w14:textId="71912BB1" w:rsidR="00823B3A" w:rsidRPr="00100F0A" w:rsidRDefault="00823B3A" w:rsidP="00B179AD">
            <w:pPr>
              <w:cnfStyle w:val="000000000000" w:firstRow="0" w:lastRow="0" w:firstColumn="0" w:lastColumn="0" w:oddVBand="0" w:evenVBand="0" w:oddHBand="0" w:evenHBand="0" w:firstRowFirstColumn="0" w:firstRowLastColumn="0" w:lastRowFirstColumn="0" w:lastRowLastColumn="0"/>
            </w:pPr>
            <w:r w:rsidRPr="00100F0A">
              <w:rPr>
                <w:u w:val="single"/>
              </w:rPr>
              <w:t>Low</w:t>
            </w:r>
            <w:r w:rsidRPr="00100F0A">
              <w:t>: Assume ½ of 2017 treatment rate will become the annual rate of destruction, noting 5% re-packaging based annual stockpile growth rate. Rounding this becomes 750</w:t>
            </w:r>
            <w:r w:rsidR="00052F25">
              <w:t xml:space="preserve"> </w:t>
            </w:r>
            <w:r w:rsidRPr="00100F0A">
              <w:t>tpa destroyed.</w:t>
            </w:r>
          </w:p>
        </w:tc>
      </w:tr>
    </w:tbl>
    <w:p w14:paraId="7E95B300" w14:textId="1B086FC6" w:rsidR="00823B3A" w:rsidRPr="00100F0A" w:rsidRDefault="00823B3A" w:rsidP="00823B3A">
      <w:pPr>
        <w:pStyle w:val="Caption"/>
        <w:rPr>
          <w:vertAlign w:val="superscript"/>
        </w:rPr>
      </w:pPr>
      <w:bookmarkStart w:id="221" w:name="_Toc13225647"/>
      <w:r w:rsidRPr="00100F0A">
        <w:t xml:space="preserve">Table </w:t>
      </w:r>
      <w:r w:rsidRPr="00100F0A">
        <w:rPr>
          <w:noProof/>
        </w:rPr>
        <w:fldChar w:fldCharType="begin"/>
      </w:r>
      <w:r w:rsidRPr="00100F0A">
        <w:rPr>
          <w:noProof/>
        </w:rPr>
        <w:instrText xml:space="preserve"> SEQ Table \* ARABIC </w:instrText>
      </w:r>
      <w:r w:rsidRPr="00100F0A">
        <w:rPr>
          <w:noProof/>
        </w:rPr>
        <w:fldChar w:fldCharType="separate"/>
      </w:r>
      <w:r w:rsidR="00EB634D">
        <w:rPr>
          <w:noProof/>
        </w:rPr>
        <w:t>28</w:t>
      </w:r>
      <w:r w:rsidRPr="00100F0A">
        <w:rPr>
          <w:noProof/>
        </w:rPr>
        <w:fldChar w:fldCharType="end"/>
      </w:r>
      <w:r w:rsidR="00AD2F76">
        <w:rPr>
          <w:noProof/>
        </w:rPr>
        <w:t>:</w:t>
      </w:r>
      <w:r w:rsidRPr="00100F0A">
        <w:tab/>
        <w:t>Best, high and low projected tonnes for HCB waste to 2037</w:t>
      </w:r>
      <w:bookmarkEnd w:id="221"/>
    </w:p>
    <w:tbl>
      <w:tblPr>
        <w:tblStyle w:val="BETable1"/>
        <w:tblW w:w="9010" w:type="dxa"/>
        <w:tblBorders>
          <w:top w:val="single" w:sz="4" w:space="0" w:color="AAABD6"/>
          <w:left w:val="single" w:sz="4" w:space="0" w:color="AAABD6"/>
          <w:right w:val="single" w:sz="4" w:space="0" w:color="AAABD6"/>
          <w:insideH w:val="single" w:sz="4" w:space="0" w:color="AAABD6"/>
          <w:insideV w:val="single" w:sz="4" w:space="0" w:color="AAABD6"/>
        </w:tblBorders>
        <w:tblLayout w:type="fixed"/>
        <w:tblLook w:val="04A0" w:firstRow="1" w:lastRow="0" w:firstColumn="1" w:lastColumn="0" w:noHBand="0" w:noVBand="1"/>
      </w:tblPr>
      <w:tblGrid>
        <w:gridCol w:w="505"/>
        <w:gridCol w:w="567"/>
        <w:gridCol w:w="1196"/>
        <w:gridCol w:w="4395"/>
        <w:gridCol w:w="505"/>
        <w:gridCol w:w="708"/>
        <w:gridCol w:w="393"/>
        <w:gridCol w:w="741"/>
      </w:tblGrid>
      <w:tr w:rsidR="00823B3A" w:rsidRPr="00100F0A" w14:paraId="1E2A9580" w14:textId="77777777" w:rsidTr="00B179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dxa"/>
            <w:tcBorders>
              <w:top w:val="single" w:sz="4" w:space="0" w:color="AAABD6"/>
              <w:left w:val="single" w:sz="4" w:space="0" w:color="AAABD6"/>
              <w:bottom w:val="single" w:sz="4" w:space="0" w:color="AAABD6"/>
            </w:tcBorders>
            <w:shd w:val="clear" w:color="auto" w:fill="AAABD6"/>
          </w:tcPr>
          <w:p w14:paraId="5000F18C" w14:textId="77777777" w:rsidR="00823B3A" w:rsidRPr="00100F0A" w:rsidRDefault="00823B3A" w:rsidP="00B179AD">
            <w:pPr>
              <w:rPr>
                <w:color w:val="FFFFFF" w:themeColor="background1"/>
              </w:rPr>
            </w:pPr>
          </w:p>
        </w:tc>
        <w:tc>
          <w:tcPr>
            <w:tcW w:w="1763" w:type="dxa"/>
            <w:gridSpan w:val="2"/>
            <w:tcBorders>
              <w:top w:val="single" w:sz="4" w:space="0" w:color="AAABD6"/>
              <w:bottom w:val="single" w:sz="4" w:space="0" w:color="AAABD6"/>
            </w:tcBorders>
            <w:shd w:val="clear" w:color="auto" w:fill="AAABD6"/>
          </w:tcPr>
          <w:p w14:paraId="4F3F6D16" w14:textId="77777777" w:rsidR="00823B3A" w:rsidRPr="00100F0A" w:rsidRDefault="00823B3A" w:rsidP="00B179A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Applies to</w:t>
            </w:r>
          </w:p>
        </w:tc>
        <w:tc>
          <w:tcPr>
            <w:tcW w:w="4395" w:type="dxa"/>
            <w:tcBorders>
              <w:top w:val="single" w:sz="4" w:space="0" w:color="AAABD6"/>
              <w:bottom w:val="single" w:sz="4" w:space="0" w:color="AAABD6"/>
            </w:tcBorders>
            <w:shd w:val="clear" w:color="auto" w:fill="AAABD6"/>
          </w:tcPr>
          <w:p w14:paraId="4F48CE0B" w14:textId="77777777" w:rsidR="00823B3A" w:rsidRPr="00100F0A" w:rsidRDefault="00823B3A" w:rsidP="00B179A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c>
          <w:tcPr>
            <w:tcW w:w="1213" w:type="dxa"/>
            <w:gridSpan w:val="2"/>
            <w:tcBorders>
              <w:top w:val="single" w:sz="4" w:space="0" w:color="AAABD6"/>
              <w:bottom w:val="single" w:sz="4" w:space="0" w:color="AAABD6"/>
            </w:tcBorders>
            <w:shd w:val="clear" w:color="auto" w:fill="AAABD6"/>
          </w:tcPr>
          <w:p w14:paraId="371548CC" w14:textId="77777777" w:rsidR="00823B3A" w:rsidRPr="00100F0A" w:rsidRDefault="00823B3A" w:rsidP="004206B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2018</w:t>
            </w:r>
          </w:p>
        </w:tc>
        <w:tc>
          <w:tcPr>
            <w:tcW w:w="393" w:type="dxa"/>
            <w:tcBorders>
              <w:top w:val="single" w:sz="4" w:space="0" w:color="AAABD6"/>
              <w:bottom w:val="single" w:sz="4" w:space="0" w:color="AAABD6"/>
            </w:tcBorders>
            <w:shd w:val="clear" w:color="auto" w:fill="AAABD6"/>
          </w:tcPr>
          <w:p w14:paraId="46969AEB" w14:textId="77777777" w:rsidR="00823B3A" w:rsidRPr="00100F0A" w:rsidRDefault="00823B3A" w:rsidP="004206B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w:t>
            </w:r>
          </w:p>
        </w:tc>
        <w:tc>
          <w:tcPr>
            <w:tcW w:w="741" w:type="dxa"/>
            <w:tcBorders>
              <w:top w:val="single" w:sz="4" w:space="0" w:color="AAABD6"/>
              <w:bottom w:val="single" w:sz="4" w:space="0" w:color="AAABD6"/>
              <w:right w:val="single" w:sz="4" w:space="0" w:color="AAABD6"/>
            </w:tcBorders>
            <w:shd w:val="clear" w:color="auto" w:fill="AAABD6"/>
          </w:tcPr>
          <w:p w14:paraId="1AC1F6ED" w14:textId="77777777" w:rsidR="00823B3A" w:rsidRPr="00100F0A" w:rsidRDefault="00823B3A" w:rsidP="004206B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2037</w:t>
            </w:r>
          </w:p>
        </w:tc>
      </w:tr>
      <w:tr w:rsidR="00823B3A" w:rsidRPr="00100F0A" w14:paraId="7F181A66" w14:textId="77777777" w:rsidTr="00B179AD">
        <w:tc>
          <w:tcPr>
            <w:cnfStyle w:val="001000000000" w:firstRow="0" w:lastRow="0" w:firstColumn="1" w:lastColumn="0" w:oddVBand="0" w:evenVBand="0" w:oddHBand="0" w:evenHBand="0" w:firstRowFirstColumn="0" w:firstRowLastColumn="0" w:lastRowFirstColumn="0" w:lastRowLastColumn="0"/>
            <w:tcW w:w="9010" w:type="dxa"/>
            <w:gridSpan w:val="8"/>
            <w:tcBorders>
              <w:top w:val="single" w:sz="4" w:space="0" w:color="AAABD6"/>
              <w:bottom w:val="single" w:sz="4" w:space="0" w:color="AAABD6"/>
            </w:tcBorders>
          </w:tcPr>
          <w:p w14:paraId="62B61A34" w14:textId="77777777" w:rsidR="00823B3A" w:rsidRPr="00100F0A" w:rsidRDefault="00823B3A" w:rsidP="00B30B8D">
            <w:r w:rsidRPr="00100F0A">
              <w:rPr>
                <w:iCs/>
                <w:color w:val="4D4DB8"/>
              </w:rPr>
              <w:t>Arisings – absolute tonnes pa</w:t>
            </w:r>
          </w:p>
        </w:tc>
      </w:tr>
      <w:tr w:rsidR="00823B3A" w:rsidRPr="00100F0A" w14:paraId="2CD41BE3" w14:textId="77777777" w:rsidTr="00B179AD">
        <w:tc>
          <w:tcPr>
            <w:cnfStyle w:val="001000000000" w:firstRow="0" w:lastRow="0" w:firstColumn="1" w:lastColumn="0" w:oddVBand="0" w:evenVBand="0" w:oddHBand="0" w:evenHBand="0" w:firstRowFirstColumn="0" w:firstRowLastColumn="0" w:lastRowFirstColumn="0" w:lastRowLastColumn="0"/>
            <w:tcW w:w="505" w:type="dxa"/>
            <w:tcBorders>
              <w:top w:val="single" w:sz="4" w:space="0" w:color="AAABD6"/>
              <w:bottom w:val="single" w:sz="4" w:space="0" w:color="AAABD6"/>
            </w:tcBorders>
          </w:tcPr>
          <w:p w14:paraId="5AB9AF44" w14:textId="77777777" w:rsidR="00823B3A" w:rsidRPr="00100F0A" w:rsidRDefault="00823B3A" w:rsidP="00B179AD">
            <w:r w:rsidRPr="00100F0A">
              <w:t>Best</w:t>
            </w:r>
          </w:p>
        </w:tc>
        <w:tc>
          <w:tcPr>
            <w:tcW w:w="567" w:type="dxa"/>
            <w:tcBorders>
              <w:top w:val="single" w:sz="4" w:space="0" w:color="AAABD6"/>
              <w:bottom w:val="single" w:sz="4" w:space="0" w:color="AAABD6"/>
            </w:tcBorders>
          </w:tcPr>
          <w:p w14:paraId="2085B96B" w14:textId="77777777" w:rsidR="00823B3A" w:rsidRPr="00100F0A" w:rsidRDefault="00823B3A" w:rsidP="00B179AD">
            <w:pPr>
              <w:cnfStyle w:val="000000000000" w:firstRow="0" w:lastRow="0" w:firstColumn="0" w:lastColumn="0" w:oddVBand="0" w:evenVBand="0" w:oddHBand="0" w:evenHBand="0" w:firstRowFirstColumn="0" w:firstRowLastColumn="0" w:lastRowFirstColumn="0" w:lastRowLastColumn="0"/>
            </w:pPr>
            <w:r w:rsidRPr="00100F0A">
              <w:t>NSW</w:t>
            </w:r>
          </w:p>
        </w:tc>
        <w:tc>
          <w:tcPr>
            <w:tcW w:w="6096" w:type="dxa"/>
            <w:gridSpan w:val="3"/>
            <w:tcBorders>
              <w:top w:val="single" w:sz="4" w:space="0" w:color="AAABD6"/>
              <w:bottom w:val="single" w:sz="4" w:space="0" w:color="AAABD6"/>
            </w:tcBorders>
            <w:vAlign w:val="center"/>
          </w:tcPr>
          <w:p w14:paraId="4526FF0F" w14:textId="57BEF226" w:rsidR="00823B3A" w:rsidRPr="00100F0A" w:rsidRDefault="00823B3A" w:rsidP="00B30B8D">
            <w:pPr>
              <w:cnfStyle w:val="000000000000" w:firstRow="0" w:lastRow="0" w:firstColumn="0" w:lastColumn="0" w:oddVBand="0" w:evenVBand="0" w:oddHBand="0" w:evenHBand="0" w:firstRowFirstColumn="0" w:firstRowLastColumn="0" w:lastRowFirstColumn="0" w:lastRowLastColumn="0"/>
            </w:pPr>
            <w:r w:rsidRPr="00100F0A">
              <w:rPr>
                <w:color w:val="000000"/>
              </w:rPr>
              <w:t>Conc. stockpile treated, packaging reduced. 1</w:t>
            </w:r>
            <w:r w:rsidR="00C36B00">
              <w:rPr>
                <w:color w:val="000000"/>
              </w:rPr>
              <w:t>,</w:t>
            </w:r>
            <w:r w:rsidRPr="00100F0A">
              <w:rPr>
                <w:color w:val="000000"/>
              </w:rPr>
              <w:t>000</w:t>
            </w:r>
            <w:r w:rsidR="00C36B00">
              <w:rPr>
                <w:color w:val="000000"/>
              </w:rPr>
              <w:t xml:space="preserve"> </w:t>
            </w:r>
            <w:r w:rsidRPr="00100F0A">
              <w:rPr>
                <w:color w:val="000000"/>
              </w:rPr>
              <w:t>tpa (2/3 of 2017 rate)</w:t>
            </w:r>
          </w:p>
        </w:tc>
        <w:tc>
          <w:tcPr>
            <w:tcW w:w="708" w:type="dxa"/>
            <w:tcBorders>
              <w:top w:val="single" w:sz="4" w:space="0" w:color="AAABD6"/>
              <w:bottom w:val="single" w:sz="4" w:space="0" w:color="AAABD6"/>
            </w:tcBorders>
          </w:tcPr>
          <w:p w14:paraId="0413BD57" w14:textId="77777777" w:rsidR="00823B3A" w:rsidRPr="00100F0A" w:rsidRDefault="00823B3A"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1,000</w:t>
            </w:r>
          </w:p>
        </w:tc>
        <w:tc>
          <w:tcPr>
            <w:tcW w:w="393" w:type="dxa"/>
            <w:tcBorders>
              <w:top w:val="single" w:sz="4" w:space="0" w:color="AAABD6"/>
              <w:bottom w:val="single" w:sz="4" w:space="0" w:color="AAABD6"/>
            </w:tcBorders>
          </w:tcPr>
          <w:p w14:paraId="045372C0" w14:textId="77777777" w:rsidR="00823B3A" w:rsidRPr="00100F0A" w:rsidRDefault="00823B3A"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741" w:type="dxa"/>
            <w:tcBorders>
              <w:top w:val="single" w:sz="4" w:space="0" w:color="AAABD6"/>
              <w:bottom w:val="single" w:sz="4" w:space="0" w:color="AAABD6"/>
            </w:tcBorders>
          </w:tcPr>
          <w:p w14:paraId="1065CF73" w14:textId="77777777" w:rsidR="00823B3A" w:rsidRPr="00100F0A" w:rsidRDefault="00823B3A"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0</w:t>
            </w:r>
          </w:p>
        </w:tc>
      </w:tr>
      <w:tr w:rsidR="00823B3A" w:rsidRPr="00100F0A" w14:paraId="1B34A147" w14:textId="77777777" w:rsidTr="00B179AD">
        <w:tc>
          <w:tcPr>
            <w:cnfStyle w:val="001000000000" w:firstRow="0" w:lastRow="0" w:firstColumn="1" w:lastColumn="0" w:oddVBand="0" w:evenVBand="0" w:oddHBand="0" w:evenHBand="0" w:firstRowFirstColumn="0" w:firstRowLastColumn="0" w:lastRowFirstColumn="0" w:lastRowLastColumn="0"/>
            <w:tcW w:w="505" w:type="dxa"/>
            <w:tcBorders>
              <w:top w:val="dotted" w:sz="4" w:space="0" w:color="AAABD6"/>
              <w:bottom w:val="dotted" w:sz="4" w:space="0" w:color="AAABD6"/>
            </w:tcBorders>
          </w:tcPr>
          <w:p w14:paraId="603E9447" w14:textId="77777777" w:rsidR="00823B3A" w:rsidRPr="00100F0A" w:rsidRDefault="00823B3A" w:rsidP="00B179AD">
            <w:r w:rsidRPr="00100F0A">
              <w:t>High</w:t>
            </w:r>
          </w:p>
        </w:tc>
        <w:tc>
          <w:tcPr>
            <w:tcW w:w="567" w:type="dxa"/>
            <w:tcBorders>
              <w:top w:val="dotted" w:sz="4" w:space="0" w:color="AAABD6"/>
              <w:bottom w:val="dotted" w:sz="4" w:space="0" w:color="AAABD6"/>
            </w:tcBorders>
            <w:vAlign w:val="center"/>
          </w:tcPr>
          <w:p w14:paraId="5BCB4634" w14:textId="77777777" w:rsidR="00823B3A" w:rsidRPr="00100F0A" w:rsidRDefault="00823B3A" w:rsidP="00B179AD">
            <w:pPr>
              <w:cnfStyle w:val="000000000000" w:firstRow="0" w:lastRow="0" w:firstColumn="0" w:lastColumn="0" w:oddVBand="0" w:evenVBand="0" w:oddHBand="0" w:evenHBand="0" w:firstRowFirstColumn="0" w:firstRowLastColumn="0" w:lastRowFirstColumn="0" w:lastRowLastColumn="0"/>
            </w:pPr>
            <w:r w:rsidRPr="00100F0A">
              <w:t>NSW</w:t>
            </w:r>
          </w:p>
        </w:tc>
        <w:tc>
          <w:tcPr>
            <w:tcW w:w="6096" w:type="dxa"/>
            <w:gridSpan w:val="3"/>
            <w:vAlign w:val="center"/>
          </w:tcPr>
          <w:p w14:paraId="20510DA3" w14:textId="535C8215" w:rsidR="00823B3A" w:rsidRPr="00100F0A" w:rsidRDefault="00823B3A" w:rsidP="00B30B8D">
            <w:pPr>
              <w:cnfStyle w:val="000000000000" w:firstRow="0" w:lastRow="0" w:firstColumn="0" w:lastColumn="0" w:oddVBand="0" w:evenVBand="0" w:oddHBand="0" w:evenHBand="0" w:firstRowFirstColumn="0" w:firstRowLastColumn="0" w:lastRowFirstColumn="0" w:lastRowLastColumn="0"/>
            </w:pPr>
            <w:r w:rsidRPr="00100F0A">
              <w:rPr>
                <w:color w:val="000000"/>
              </w:rPr>
              <w:t>Conc. Stockpile &amp; packaging fully treated - at 1</w:t>
            </w:r>
            <w:r w:rsidR="00C36B00">
              <w:rPr>
                <w:color w:val="000000"/>
              </w:rPr>
              <w:t>,</w:t>
            </w:r>
            <w:r w:rsidRPr="00100F0A">
              <w:rPr>
                <w:color w:val="000000"/>
              </w:rPr>
              <w:t>500</w:t>
            </w:r>
            <w:r w:rsidR="00C36B00">
              <w:rPr>
                <w:color w:val="000000"/>
              </w:rPr>
              <w:t xml:space="preserve"> </w:t>
            </w:r>
            <w:r w:rsidRPr="00100F0A">
              <w:rPr>
                <w:color w:val="000000"/>
              </w:rPr>
              <w:t>tpa (2017 rate)</w:t>
            </w:r>
          </w:p>
        </w:tc>
        <w:tc>
          <w:tcPr>
            <w:tcW w:w="708" w:type="dxa"/>
            <w:tcBorders>
              <w:top w:val="dotted" w:sz="4" w:space="0" w:color="AAABD6"/>
              <w:bottom w:val="dotted" w:sz="4" w:space="0" w:color="AAABD6"/>
            </w:tcBorders>
          </w:tcPr>
          <w:p w14:paraId="6084EA66" w14:textId="77777777" w:rsidR="00823B3A" w:rsidRPr="00100F0A" w:rsidRDefault="00823B3A"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1,500</w:t>
            </w:r>
          </w:p>
        </w:tc>
        <w:tc>
          <w:tcPr>
            <w:tcW w:w="393" w:type="dxa"/>
            <w:tcBorders>
              <w:top w:val="dotted" w:sz="4" w:space="0" w:color="AAABD6"/>
              <w:bottom w:val="dotted" w:sz="4" w:space="0" w:color="AAABD6"/>
            </w:tcBorders>
          </w:tcPr>
          <w:p w14:paraId="66213022" w14:textId="77777777" w:rsidR="00823B3A" w:rsidRPr="00100F0A" w:rsidRDefault="00823B3A"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741" w:type="dxa"/>
            <w:tcBorders>
              <w:top w:val="dotted" w:sz="4" w:space="0" w:color="AAABD6"/>
              <w:bottom w:val="dotted" w:sz="4" w:space="0" w:color="AAABD6"/>
            </w:tcBorders>
          </w:tcPr>
          <w:p w14:paraId="22406377" w14:textId="77777777" w:rsidR="00823B3A" w:rsidRPr="00100F0A" w:rsidRDefault="00823B3A"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0</w:t>
            </w:r>
          </w:p>
        </w:tc>
      </w:tr>
      <w:tr w:rsidR="00823B3A" w:rsidRPr="00100F0A" w14:paraId="7B961FCD" w14:textId="77777777" w:rsidTr="00B179AD">
        <w:tc>
          <w:tcPr>
            <w:cnfStyle w:val="001000000000" w:firstRow="0" w:lastRow="0" w:firstColumn="1" w:lastColumn="0" w:oddVBand="0" w:evenVBand="0" w:oddHBand="0" w:evenHBand="0" w:firstRowFirstColumn="0" w:firstRowLastColumn="0" w:lastRowFirstColumn="0" w:lastRowLastColumn="0"/>
            <w:tcW w:w="505" w:type="dxa"/>
            <w:tcBorders>
              <w:top w:val="single" w:sz="4" w:space="0" w:color="AAABD6"/>
              <w:bottom w:val="single" w:sz="4" w:space="0" w:color="AAABD6"/>
            </w:tcBorders>
          </w:tcPr>
          <w:p w14:paraId="4D1BDA7D" w14:textId="77777777" w:rsidR="00823B3A" w:rsidRPr="00100F0A" w:rsidRDefault="00823B3A" w:rsidP="00B179AD">
            <w:r w:rsidRPr="00100F0A">
              <w:t>Low</w:t>
            </w:r>
          </w:p>
        </w:tc>
        <w:tc>
          <w:tcPr>
            <w:tcW w:w="567" w:type="dxa"/>
            <w:tcBorders>
              <w:top w:val="single" w:sz="4" w:space="0" w:color="AAABD6"/>
              <w:bottom w:val="single" w:sz="4" w:space="0" w:color="AAABD6"/>
            </w:tcBorders>
            <w:vAlign w:val="center"/>
          </w:tcPr>
          <w:p w14:paraId="4099C201" w14:textId="77777777" w:rsidR="00823B3A" w:rsidRPr="00100F0A" w:rsidRDefault="00823B3A" w:rsidP="00B179AD">
            <w:pPr>
              <w:cnfStyle w:val="000000000000" w:firstRow="0" w:lastRow="0" w:firstColumn="0" w:lastColumn="0" w:oddVBand="0" w:evenVBand="0" w:oddHBand="0" w:evenHBand="0" w:firstRowFirstColumn="0" w:firstRowLastColumn="0" w:lastRowFirstColumn="0" w:lastRowLastColumn="0"/>
            </w:pPr>
            <w:r w:rsidRPr="00100F0A">
              <w:t>NSW</w:t>
            </w:r>
          </w:p>
        </w:tc>
        <w:tc>
          <w:tcPr>
            <w:tcW w:w="6096" w:type="dxa"/>
            <w:gridSpan w:val="3"/>
            <w:tcBorders>
              <w:top w:val="single" w:sz="4" w:space="0" w:color="AAABD6"/>
              <w:bottom w:val="single" w:sz="4" w:space="0" w:color="AAABD6"/>
            </w:tcBorders>
            <w:vAlign w:val="center"/>
          </w:tcPr>
          <w:p w14:paraId="65B47CF9" w14:textId="72C05662" w:rsidR="00823B3A" w:rsidRPr="00100F0A" w:rsidRDefault="00823B3A" w:rsidP="00B30B8D">
            <w:pPr>
              <w:cnfStyle w:val="000000000000" w:firstRow="0" w:lastRow="0" w:firstColumn="0" w:lastColumn="0" w:oddVBand="0" w:evenVBand="0" w:oddHBand="0" w:evenHBand="0" w:firstRowFirstColumn="0" w:firstRowLastColumn="0" w:lastRowFirstColumn="0" w:lastRowLastColumn="0"/>
              <w:rPr>
                <w:rFonts w:cs="Calibri"/>
                <w:color w:val="000000"/>
              </w:rPr>
            </w:pPr>
            <w:r w:rsidRPr="00100F0A">
              <w:rPr>
                <w:color w:val="000000"/>
              </w:rPr>
              <w:t>Conc. stockpile only treated. Destruction at 750</w:t>
            </w:r>
            <w:r w:rsidR="00C36B00">
              <w:rPr>
                <w:color w:val="000000"/>
              </w:rPr>
              <w:t xml:space="preserve"> </w:t>
            </w:r>
            <w:r w:rsidRPr="00100F0A">
              <w:rPr>
                <w:color w:val="000000"/>
              </w:rPr>
              <w:t>tpa (half of 2017 rate)</w:t>
            </w:r>
          </w:p>
        </w:tc>
        <w:tc>
          <w:tcPr>
            <w:tcW w:w="708" w:type="dxa"/>
            <w:tcBorders>
              <w:top w:val="single" w:sz="4" w:space="0" w:color="AAABD6"/>
              <w:bottom w:val="single" w:sz="4" w:space="0" w:color="AAABD6"/>
            </w:tcBorders>
          </w:tcPr>
          <w:p w14:paraId="582B49C7" w14:textId="77777777" w:rsidR="00823B3A" w:rsidRPr="00100F0A" w:rsidRDefault="00823B3A" w:rsidP="004206B0">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themeColor="text1"/>
              </w:rPr>
              <w:t>750</w:t>
            </w:r>
          </w:p>
        </w:tc>
        <w:tc>
          <w:tcPr>
            <w:tcW w:w="393" w:type="dxa"/>
            <w:tcBorders>
              <w:top w:val="single" w:sz="4" w:space="0" w:color="AAABD6"/>
              <w:bottom w:val="single" w:sz="4" w:space="0" w:color="AAABD6"/>
            </w:tcBorders>
          </w:tcPr>
          <w:p w14:paraId="0FBA31A9" w14:textId="77777777" w:rsidR="00823B3A" w:rsidRPr="00100F0A" w:rsidRDefault="00823B3A"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741" w:type="dxa"/>
            <w:tcBorders>
              <w:top w:val="single" w:sz="4" w:space="0" w:color="AAABD6"/>
              <w:bottom w:val="single" w:sz="4" w:space="0" w:color="AAABD6"/>
            </w:tcBorders>
          </w:tcPr>
          <w:p w14:paraId="750FD61D" w14:textId="77777777" w:rsidR="00823B3A" w:rsidRPr="00100F0A" w:rsidRDefault="00823B3A" w:rsidP="004206B0">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color w:val="000000" w:themeColor="text1"/>
              </w:rPr>
              <w:t>0</w:t>
            </w:r>
          </w:p>
        </w:tc>
      </w:tr>
    </w:tbl>
    <w:p w14:paraId="494EF2AF" w14:textId="7F5A228F" w:rsidR="00823B3A" w:rsidRPr="00100F0A" w:rsidRDefault="00823B3A" w:rsidP="00823B3A">
      <w:pPr>
        <w:pStyle w:val="Caption"/>
      </w:pPr>
      <w:bookmarkStart w:id="222" w:name="_Toc13225597"/>
      <w:r w:rsidRPr="00100F0A">
        <w:t xml:space="preserve">Figure </w:t>
      </w:r>
      <w:r w:rsidRPr="00100F0A">
        <w:rPr>
          <w:noProof/>
        </w:rPr>
        <w:fldChar w:fldCharType="begin"/>
      </w:r>
      <w:r w:rsidRPr="00100F0A">
        <w:rPr>
          <w:noProof/>
        </w:rPr>
        <w:instrText xml:space="preserve"> SEQ Figure \* ARABIC </w:instrText>
      </w:r>
      <w:r w:rsidRPr="00100F0A">
        <w:rPr>
          <w:noProof/>
        </w:rPr>
        <w:fldChar w:fldCharType="separate"/>
      </w:r>
      <w:r w:rsidR="00EB634D">
        <w:rPr>
          <w:noProof/>
        </w:rPr>
        <w:t>24</w:t>
      </w:r>
      <w:r w:rsidRPr="00100F0A">
        <w:rPr>
          <w:noProof/>
        </w:rPr>
        <w:fldChar w:fldCharType="end"/>
      </w:r>
      <w:r w:rsidR="00AD2F76">
        <w:rPr>
          <w:noProof/>
        </w:rPr>
        <w:t>:</w:t>
      </w:r>
      <w:r w:rsidRPr="00100F0A">
        <w:tab/>
        <w:t>Best, high and low national projection estimates of HCB waste to 2037</w:t>
      </w:r>
      <w:bookmarkEnd w:id="222"/>
    </w:p>
    <w:p w14:paraId="4E18D153" w14:textId="2017CB53" w:rsidR="00160185" w:rsidRPr="00100F0A" w:rsidRDefault="00160185" w:rsidP="00160185">
      <w:pPr>
        <w:pStyle w:val="BodyText"/>
      </w:pPr>
      <w:r w:rsidRPr="00100F0A">
        <w:rPr>
          <w:noProof/>
          <w:lang w:eastAsia="en-AU"/>
        </w:rPr>
        <w:drawing>
          <wp:inline distT="0" distB="0" distL="0" distR="0" wp14:anchorId="15FAB929" wp14:editId="7F750D18">
            <wp:extent cx="5735320" cy="1964690"/>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5320" cy="1964690"/>
                    </a:xfrm>
                    <a:prstGeom prst="rect">
                      <a:avLst/>
                    </a:prstGeom>
                  </pic:spPr>
                </pic:pic>
              </a:graphicData>
            </a:graphic>
          </wp:inline>
        </w:drawing>
      </w:r>
    </w:p>
    <w:p w14:paraId="4BDFF2F6" w14:textId="77777777" w:rsidR="00160185" w:rsidRPr="00100F0A" w:rsidRDefault="00160185" w:rsidP="00160185">
      <w:pPr>
        <w:pStyle w:val="BodyText"/>
      </w:pPr>
    </w:p>
    <w:p w14:paraId="04495226" w14:textId="34BB58F3" w:rsidR="00736026" w:rsidRPr="00100F0A" w:rsidRDefault="00736026" w:rsidP="00736026">
      <w:pPr>
        <w:pStyle w:val="Heading3"/>
      </w:pPr>
      <w:r w:rsidRPr="00100F0A">
        <w:t>M270a PFOS contaminated biosolids</w:t>
      </w:r>
    </w:p>
    <w:p w14:paraId="0BE128B1" w14:textId="1250263E" w:rsidR="00736026" w:rsidRPr="00100F0A" w:rsidRDefault="00736026" w:rsidP="00736026">
      <w:r w:rsidRPr="00100F0A">
        <w:t xml:space="preserve">The waste group </w:t>
      </w:r>
      <w:r w:rsidRPr="00100F0A">
        <w:rPr>
          <w:i/>
        </w:rPr>
        <w:t xml:space="preserve">M270 </w:t>
      </w:r>
      <w:r w:rsidRPr="00100F0A">
        <w:rPr>
          <w:rFonts w:eastAsia="Times New Roman" w:cs="Calibri"/>
          <w:i/>
          <w:iCs/>
          <w:color w:val="000000"/>
        </w:rPr>
        <w:t>Per- and poly-fluoroalkyl substances (PFAS) contaminated materials, including waste PFAS- containing products and contaminated containers,</w:t>
      </w:r>
      <w:r w:rsidRPr="00100F0A">
        <w:rPr>
          <w:i/>
        </w:rPr>
        <w:t xml:space="preserve"> </w:t>
      </w:r>
      <w:r w:rsidRPr="00100F0A">
        <w:t>has been split into three sub-groups for projection purposes, on the basis that each type of PFAS waste is different in how it arises and poses different management challenges:</w:t>
      </w:r>
    </w:p>
    <w:p w14:paraId="57E2BA35" w14:textId="27D7C256" w:rsidR="00736026" w:rsidRPr="00100F0A" w:rsidRDefault="00736026" w:rsidP="00736026">
      <w:pPr>
        <w:pStyle w:val="Bullet1"/>
      </w:pPr>
      <w:r w:rsidRPr="00100F0A">
        <w:t xml:space="preserve">M270a </w:t>
      </w:r>
      <w:r w:rsidR="00C36B00">
        <w:t>p</w:t>
      </w:r>
      <w:r w:rsidRPr="00100F0A">
        <w:t>erfluorooctanesulfonic acid or perfluorooctane sulfonate (PFOS) contaminated biosolids</w:t>
      </w:r>
    </w:p>
    <w:p w14:paraId="300E6E07" w14:textId="1B471E5C" w:rsidR="00736026" w:rsidRPr="00100F0A" w:rsidRDefault="00736026" w:rsidP="00736026">
      <w:pPr>
        <w:pStyle w:val="Bullet1"/>
      </w:pPr>
      <w:r w:rsidRPr="00100F0A">
        <w:t xml:space="preserve">M270b </w:t>
      </w:r>
      <w:r w:rsidR="00C36B00">
        <w:t>p</w:t>
      </w:r>
      <w:r w:rsidRPr="00100F0A">
        <w:rPr>
          <w:rFonts w:cs="Calibri"/>
          <w:iCs/>
          <w:color w:val="000000"/>
        </w:rPr>
        <w:t xml:space="preserve">er- and poly-fluoroalkyl substances (PFAS) contaminated </w:t>
      </w:r>
      <w:r w:rsidRPr="00100F0A">
        <w:t>soils</w:t>
      </w:r>
    </w:p>
    <w:p w14:paraId="349FD62A" w14:textId="77777777" w:rsidR="00736026" w:rsidRPr="00100F0A" w:rsidRDefault="00736026" w:rsidP="00736026">
      <w:pPr>
        <w:pStyle w:val="Bullet1"/>
      </w:pPr>
      <w:r w:rsidRPr="00100F0A">
        <w:t>M270c AFFF concentrates (containing PFOS).</w:t>
      </w:r>
    </w:p>
    <w:p w14:paraId="43569AE5" w14:textId="5C312052" w:rsidR="00736026" w:rsidRPr="00100F0A" w:rsidRDefault="00736026" w:rsidP="00736026">
      <w:pPr>
        <w:rPr>
          <w:color w:val="080808"/>
        </w:rPr>
      </w:pPr>
      <w:r w:rsidRPr="00100F0A">
        <w:rPr>
          <w:color w:val="080808"/>
        </w:rPr>
        <w:t xml:space="preserve">The environmental and potential human health impacts from exposure to a group of manufactured chemicals known as PFAS are of increasing concern worldwide. The Heads of EPAs Australia and New Zealand (HEPA) and DoEE have collaborated to develop the PFAS National Environmental Management Plan (NEMP). The </w:t>
      </w:r>
      <w:r w:rsidR="00C36B00">
        <w:rPr>
          <w:color w:val="080808"/>
        </w:rPr>
        <w:t>NEM</w:t>
      </w:r>
      <w:r w:rsidRPr="00100F0A">
        <w:rPr>
          <w:color w:val="080808"/>
        </w:rPr>
        <w:t>P is designed to achieve a clear, effective coherent and nationally consistent approach to the environmental regulation of PFAS.</w:t>
      </w:r>
    </w:p>
    <w:p w14:paraId="6C8118D5" w14:textId="77777777" w:rsidR="00736026" w:rsidRPr="00100F0A" w:rsidRDefault="00736026" w:rsidP="00736026">
      <w:pPr>
        <w:rPr>
          <w:color w:val="080808"/>
        </w:rPr>
      </w:pPr>
    </w:p>
    <w:p w14:paraId="2FA294D2" w14:textId="77777777" w:rsidR="00736026" w:rsidRPr="00100F0A" w:rsidRDefault="00736026" w:rsidP="00736026">
      <w:pPr>
        <w:rPr>
          <w:color w:val="080808"/>
        </w:rPr>
      </w:pPr>
      <w:r w:rsidRPr="00100F0A">
        <w:rPr>
          <w:color w:val="080808"/>
        </w:rPr>
        <w:t>PFAS have been widely used for many decades in household products such as non-stick cookware, stain protection and food packaging as well as industrial and commercial applications, such as firefighting foams, mist suppressants and coatings. PFAS are persistent and highly resistant to physical, chemical and biological degradation. Consequently, they are found in humans, animals and the environment around Australia.</w:t>
      </w:r>
    </w:p>
    <w:p w14:paraId="0B34166E" w14:textId="77777777" w:rsidR="00736026" w:rsidRPr="00100F0A" w:rsidRDefault="00736026" w:rsidP="00736026"/>
    <w:p w14:paraId="684D4124" w14:textId="69EA1D0B" w:rsidR="00736026" w:rsidRPr="00100F0A" w:rsidRDefault="00736026" w:rsidP="00736026">
      <w:pPr>
        <w:pStyle w:val="BodyText"/>
      </w:pPr>
      <w:r w:rsidRPr="00100F0A">
        <w:t xml:space="preserve">PFOS, the PFAS compound of most concern, was the key ingredient in Scotchguard, a fabric protector made by 3M, and numerous stain repellents and is currently used in an industrial context as a mist dispersant in surface coating and in firefighting foams. It was added to Annex B of the </w:t>
      </w:r>
      <w:r w:rsidRPr="00A307F3">
        <w:t>Stockholm Convention</w:t>
      </w:r>
      <w:r w:rsidRPr="00D9242C">
        <w:t xml:space="preserve"> in May 2009. Under the domestic treaty</w:t>
      </w:r>
      <w:r w:rsidR="00C36B00" w:rsidRPr="00D9242C">
        <w:t>-</w:t>
      </w:r>
      <w:r w:rsidRPr="00100F0A">
        <w:t>making process</w:t>
      </w:r>
      <w:r w:rsidR="00C36B00">
        <w:t>,</w:t>
      </w:r>
      <w:r w:rsidRPr="00100F0A">
        <w:t xml:space="preserve"> Australia must determine whether to ratify listing of the PFOS after having taken into consideration the costs and benefits of the feasible technical options that it would need to implement to satisfy ratification. This decision has not yet been made.</w:t>
      </w:r>
    </w:p>
    <w:p w14:paraId="76C8F158" w14:textId="77777777" w:rsidR="00736026" w:rsidRPr="00100F0A" w:rsidRDefault="00736026" w:rsidP="00736026"/>
    <w:p w14:paraId="15DFB30F" w14:textId="3B67B5B0" w:rsidR="00736026" w:rsidRPr="00100F0A" w:rsidRDefault="00736026" w:rsidP="00736026">
      <w:pPr>
        <w:rPr>
          <w:color w:val="080808"/>
        </w:rPr>
      </w:pPr>
      <w:r w:rsidRPr="00100F0A">
        <w:rPr>
          <w:i/>
        </w:rPr>
        <w:t xml:space="preserve">M270a </w:t>
      </w:r>
      <w:r w:rsidR="00C36B00">
        <w:rPr>
          <w:i/>
        </w:rPr>
        <w:t>p</w:t>
      </w:r>
      <w:r w:rsidRPr="00100F0A">
        <w:rPr>
          <w:i/>
        </w:rPr>
        <w:t>erfluorooctanesulfonic acid or perfluorooctane sulfonate (PFOS) contaminated biosolids</w:t>
      </w:r>
      <w:r w:rsidRPr="00100F0A">
        <w:t xml:space="preserve"> is the subject of this section – the focus is more specifically on PFOS rather than the broader PFAS because the former is Stockholm-listed and the focus of more direct concern in a biosolids context.</w:t>
      </w:r>
    </w:p>
    <w:p w14:paraId="41E5041E" w14:textId="0CEFF567" w:rsidR="00736026" w:rsidRPr="00100F0A" w:rsidRDefault="00736026" w:rsidP="00736026">
      <w:pPr>
        <w:spacing w:before="100" w:beforeAutospacing="1" w:after="100" w:afterAutospacing="1"/>
        <w:rPr>
          <w:rFonts w:ascii="Times New Roman" w:eastAsia="Times New Roman" w:hAnsi="Times New Roman" w:cs="Times New Roman"/>
          <w:sz w:val="24"/>
          <w:szCs w:val="24"/>
        </w:rPr>
      </w:pPr>
      <w:r w:rsidRPr="00100F0A">
        <w:rPr>
          <w:rFonts w:eastAsia="Times New Roman" w:cs="Times New Roman"/>
        </w:rPr>
        <w:t>Biosolids are a product of sewage sludge (the sludge collected from wastewater treatment) once it has undergone further treatment to reduce disease</w:t>
      </w:r>
      <w:r w:rsidR="00F73DAF">
        <w:rPr>
          <w:rFonts w:eastAsia="Times New Roman" w:cs="Times New Roman"/>
        </w:rPr>
        <w:t>-</w:t>
      </w:r>
      <w:r w:rsidRPr="00100F0A">
        <w:rPr>
          <w:rFonts w:eastAsia="Times New Roman" w:cs="Times New Roman"/>
        </w:rPr>
        <w:t>causing pathogens and volatile organic matter, producing a stabilised product. Biosolids are typically 75-80% water in their wet state, compared to sewage sludge which is approximately 97% water. Biosolids have significant potential for beneficial reuse, which currently occurs throughout Australia.</w:t>
      </w:r>
    </w:p>
    <w:p w14:paraId="09DBB92F" w14:textId="2237E02F" w:rsidR="00736026" w:rsidRPr="00100F0A" w:rsidRDefault="00736026" w:rsidP="00736026">
      <w:pPr>
        <w:spacing w:before="100" w:beforeAutospacing="1" w:after="100" w:afterAutospacing="1"/>
        <w:rPr>
          <w:rFonts w:eastAsia="Times New Roman" w:cs="Times New Roman"/>
        </w:rPr>
      </w:pPr>
      <w:r w:rsidRPr="00100F0A">
        <w:rPr>
          <w:rFonts w:eastAsia="Times New Roman" w:cs="Times New Roman"/>
        </w:rPr>
        <w:t xml:space="preserve">All of the Stockholm Convention </w:t>
      </w:r>
      <w:r w:rsidR="00374225">
        <w:rPr>
          <w:rFonts w:eastAsia="Times New Roman" w:cs="Times New Roman"/>
        </w:rPr>
        <w:t>POP</w:t>
      </w:r>
      <w:r w:rsidRPr="00100F0A">
        <w:rPr>
          <w:rFonts w:eastAsia="Times New Roman" w:cs="Times New Roman"/>
        </w:rPr>
        <w:t xml:space="preserve"> are potentially problematic in biosolids because of its propensity to act as a sink for pollutants that are non-polar or hydrophobic (tending to repel or fail to mix with water); in other words, these </w:t>
      </w:r>
      <w:r w:rsidR="00374225">
        <w:rPr>
          <w:rFonts w:eastAsia="Times New Roman" w:cs="Times New Roman"/>
        </w:rPr>
        <w:t>POP</w:t>
      </w:r>
      <w:r w:rsidRPr="00100F0A">
        <w:rPr>
          <w:rFonts w:eastAsia="Times New Roman" w:cs="Times New Roman"/>
        </w:rPr>
        <w:t xml:space="preserve"> have a strong tendency to avoid water and adhere to organic solids in the wastewater stream. There is further complexity with PFOS because it is not non-polar </w:t>
      </w:r>
      <w:r w:rsidRPr="00100F0A">
        <w:rPr>
          <w:rFonts w:eastAsia="Times New Roman" w:cs="Times New Roman"/>
          <w:i/>
          <w:iCs/>
        </w:rPr>
        <w:t>per se</w:t>
      </w:r>
      <w:r w:rsidRPr="00100F0A">
        <w:rPr>
          <w:rFonts w:eastAsia="Times New Roman" w:cs="Times New Roman"/>
        </w:rPr>
        <w:t xml:space="preserve">; its long-chain perfluorinated structure means it can be both hydrophobic and lipophobic (tending to repel or fail to mix with oils). PFOS tends to bind to proteins (the most likely mode of adherence to biosolids) but it is also much more leachable in the environment than the other </w:t>
      </w:r>
      <w:r w:rsidR="00374225">
        <w:rPr>
          <w:rFonts w:eastAsia="Times New Roman" w:cs="Times New Roman"/>
        </w:rPr>
        <w:t>POP</w:t>
      </w:r>
      <w:r w:rsidRPr="00100F0A">
        <w:rPr>
          <w:rFonts w:eastAsia="Times New Roman" w:cs="Times New Roman"/>
        </w:rPr>
        <w:t>, due to its unusual hydrophobic/lipophobic properties.</w:t>
      </w:r>
    </w:p>
    <w:p w14:paraId="4D5C0216" w14:textId="54A01FBF" w:rsidR="00736026" w:rsidRPr="00100F0A" w:rsidRDefault="00736026" w:rsidP="00736026">
      <w:pPr>
        <w:pStyle w:val="BodyText"/>
      </w:pPr>
      <w:r w:rsidRPr="00100F0A">
        <w:t>The Stockholm Convention, and a number of individual European countries, either regulate now or are proposing to regulate PFOS specifically in biosolids, at much more stringent levels of concentration than in other materials/wastes.</w:t>
      </w:r>
    </w:p>
    <w:p w14:paraId="5DC8E0CE" w14:textId="77777777" w:rsidR="00736026" w:rsidRPr="00100F0A" w:rsidRDefault="00736026" w:rsidP="00736026">
      <w:pPr>
        <w:pStyle w:val="BodyText"/>
      </w:pPr>
    </w:p>
    <w:p w14:paraId="7E651E5E" w14:textId="1DEED6D4" w:rsidR="00736026" w:rsidRPr="00100F0A" w:rsidRDefault="00736026" w:rsidP="00736026">
      <w:pPr>
        <w:pStyle w:val="BodyText"/>
        <w:rPr>
          <w:rFonts w:ascii="Times New Roman" w:hAnsi="Times New Roman"/>
          <w:sz w:val="24"/>
          <w:szCs w:val="24"/>
        </w:rPr>
      </w:pPr>
      <w:r w:rsidRPr="00100F0A">
        <w:t xml:space="preserve">PFOS, </w:t>
      </w:r>
      <w:r w:rsidRPr="00100F0A">
        <w:rPr>
          <w:rFonts w:cs="Calibri"/>
          <w:iCs/>
          <w:color w:val="000000"/>
        </w:rPr>
        <w:t xml:space="preserve">M160a-c wastes (POP-BDEs, HBCD and HCB), plus other chemicals listed on the Stockholm Convention (such as various organochlorine and organophosphorus pesticides), are collectively referred to as </w:t>
      </w:r>
      <w:r w:rsidR="00374225">
        <w:rPr>
          <w:rFonts w:cs="Calibri"/>
          <w:iCs/>
          <w:color w:val="000000"/>
        </w:rPr>
        <w:t>POP</w:t>
      </w:r>
      <w:r w:rsidRPr="00100F0A">
        <w:rPr>
          <w:rFonts w:cs="Calibri"/>
          <w:iCs/>
          <w:color w:val="000000"/>
        </w:rPr>
        <w:t>.</w:t>
      </w:r>
    </w:p>
    <w:p w14:paraId="084AECB2" w14:textId="77777777" w:rsidR="00736026" w:rsidRPr="00100F0A" w:rsidRDefault="00736026" w:rsidP="00736026">
      <w:pPr>
        <w:spacing w:before="100" w:beforeAutospacing="1" w:after="100" w:afterAutospacing="1"/>
        <w:rPr>
          <w:rFonts w:eastAsia="Times New Roman" w:cs="Times New Roman"/>
        </w:rPr>
      </w:pPr>
    </w:p>
    <w:p w14:paraId="3D67158C" w14:textId="77777777" w:rsidR="00736026" w:rsidRPr="00100F0A" w:rsidRDefault="00736026" w:rsidP="00736026">
      <w:pPr>
        <w:sectPr w:rsidR="00736026" w:rsidRPr="00100F0A" w:rsidSect="000A339B">
          <w:headerReference w:type="default" r:id="rId63"/>
          <w:pgSz w:w="11907" w:h="16840" w:code="9"/>
          <w:pgMar w:top="1440" w:right="1077" w:bottom="1440" w:left="1797" w:header="709" w:footer="709" w:gutter="0"/>
          <w:cols w:space="708"/>
          <w:docGrid w:linePitch="360"/>
        </w:sectPr>
      </w:pPr>
    </w:p>
    <w:p w14:paraId="36B26E22" w14:textId="77777777" w:rsidR="00736026" w:rsidRPr="00100F0A" w:rsidRDefault="00736026" w:rsidP="00736026">
      <w:pPr>
        <w:pStyle w:val="Heading3-nonumber"/>
      </w:pPr>
      <w:r w:rsidRPr="00100F0A">
        <w:t>Summary analysis</w:t>
      </w:r>
    </w:p>
    <w:tbl>
      <w:tblPr>
        <w:tblStyle w:val="BETable11"/>
        <w:tblW w:w="5000" w:type="pct"/>
        <w:tblInd w:w="0" w:type="dxa"/>
        <w:tblBorders>
          <w:top w:val="single" w:sz="4" w:space="0" w:color="AAABD6"/>
          <w:left w:val="single" w:sz="4" w:space="0" w:color="AAABD6"/>
          <w:bottom w:val="single" w:sz="4" w:space="0" w:color="AAABD6"/>
          <w:right w:val="single" w:sz="4" w:space="0" w:color="AAABD6"/>
          <w:insideH w:val="single" w:sz="4" w:space="0" w:color="AAABD6"/>
          <w:insideV w:val="single" w:sz="4" w:space="0" w:color="AAABD6"/>
        </w:tblBorders>
        <w:tblLook w:val="04A0" w:firstRow="1" w:lastRow="0" w:firstColumn="1" w:lastColumn="0" w:noHBand="0" w:noVBand="1"/>
      </w:tblPr>
      <w:tblGrid>
        <w:gridCol w:w="1414"/>
        <w:gridCol w:w="4961"/>
        <w:gridCol w:w="3831"/>
        <w:gridCol w:w="3744"/>
      </w:tblGrid>
      <w:tr w:rsidR="00736026" w:rsidRPr="00100F0A" w14:paraId="7153FA51" w14:textId="77777777" w:rsidTr="002B2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Borders>
              <w:top w:val="nil"/>
              <w:left w:val="single" w:sz="4" w:space="0" w:color="AAABD6"/>
              <w:bottom w:val="nil"/>
            </w:tcBorders>
            <w:shd w:val="clear" w:color="auto" w:fill="AAABD6"/>
          </w:tcPr>
          <w:p w14:paraId="7637D2C2" w14:textId="77777777" w:rsidR="00736026" w:rsidRPr="00100F0A" w:rsidRDefault="00736026" w:rsidP="002B2606">
            <w:pPr>
              <w:pStyle w:val="BodyText"/>
              <w:rPr>
                <w:color w:val="FFFFFF" w:themeColor="background1"/>
              </w:rPr>
            </w:pPr>
            <w:r w:rsidRPr="00100F0A">
              <w:rPr>
                <w:color w:val="FFFFFF" w:themeColor="background1"/>
              </w:rPr>
              <w:t>Industry sources</w:t>
            </w:r>
          </w:p>
        </w:tc>
        <w:tc>
          <w:tcPr>
            <w:tcW w:w="1778" w:type="pct"/>
            <w:tcBorders>
              <w:top w:val="nil"/>
              <w:bottom w:val="nil"/>
            </w:tcBorders>
            <w:shd w:val="clear" w:color="auto" w:fill="AAABD6"/>
          </w:tcPr>
          <w:p w14:paraId="569D5675" w14:textId="77777777" w:rsidR="00736026" w:rsidRPr="00100F0A" w:rsidRDefault="00736026" w:rsidP="002B2606">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Considerations</w:t>
            </w:r>
          </w:p>
        </w:tc>
        <w:tc>
          <w:tcPr>
            <w:tcW w:w="1373" w:type="pct"/>
            <w:tcBorders>
              <w:top w:val="nil"/>
              <w:bottom w:val="nil"/>
            </w:tcBorders>
            <w:shd w:val="clear" w:color="auto" w:fill="AAABD6"/>
          </w:tcPr>
          <w:p w14:paraId="6D0ABB9D" w14:textId="77777777" w:rsidR="00736026" w:rsidRPr="00100F0A" w:rsidRDefault="00736026" w:rsidP="002B2606">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Comments</w:t>
            </w:r>
          </w:p>
        </w:tc>
        <w:tc>
          <w:tcPr>
            <w:tcW w:w="1342" w:type="pct"/>
            <w:tcBorders>
              <w:top w:val="nil"/>
              <w:bottom w:val="nil"/>
              <w:right w:val="single" w:sz="4" w:space="0" w:color="AAABD6"/>
            </w:tcBorders>
            <w:shd w:val="clear" w:color="auto" w:fill="AAABD6"/>
          </w:tcPr>
          <w:p w14:paraId="4FCC7291" w14:textId="77777777" w:rsidR="00736026" w:rsidRPr="00100F0A" w:rsidRDefault="00736026" w:rsidP="002B2606">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r>
      <w:tr w:rsidR="00736026" w:rsidRPr="00100F0A" w14:paraId="736A9596" w14:textId="77777777" w:rsidTr="002B2606">
        <w:tc>
          <w:tcPr>
            <w:cnfStyle w:val="001000000000" w:firstRow="0" w:lastRow="0" w:firstColumn="1" w:lastColumn="0" w:oddVBand="0" w:evenVBand="0" w:oddHBand="0" w:evenHBand="0" w:firstRowFirstColumn="0" w:firstRowLastColumn="0" w:lastRowFirstColumn="0" w:lastRowLastColumn="0"/>
            <w:tcW w:w="507" w:type="pct"/>
            <w:tcBorders>
              <w:top w:val="nil"/>
            </w:tcBorders>
          </w:tcPr>
          <w:p w14:paraId="3DB6E6DE" w14:textId="77777777" w:rsidR="00736026" w:rsidRPr="00100F0A" w:rsidRDefault="00736026" w:rsidP="002B2606">
            <w:pPr>
              <w:rPr>
                <w:color w:val="000000"/>
              </w:rPr>
            </w:pPr>
            <w:r w:rsidRPr="00100F0A">
              <w:rPr>
                <w:color w:val="000000"/>
              </w:rPr>
              <w:t>Biosolids - newly produced from wastewater treatment plants</w:t>
            </w:r>
          </w:p>
        </w:tc>
        <w:tc>
          <w:tcPr>
            <w:tcW w:w="1778" w:type="pct"/>
            <w:tcBorders>
              <w:top w:val="nil"/>
            </w:tcBorders>
          </w:tcPr>
          <w:p w14:paraId="2CC3ACCA" w14:textId="6EB440D4" w:rsidR="00736026" w:rsidRPr="00100F0A" w:rsidRDefault="00736026" w:rsidP="002B2606">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Australian biosolids are unlikely to exhibit PFOS &gt;50</w:t>
            </w:r>
            <w:r w:rsidR="00F73DAF">
              <w:rPr>
                <w:color w:val="000000"/>
              </w:rPr>
              <w:t xml:space="preserve"> </w:t>
            </w:r>
            <w:r w:rsidRPr="00100F0A">
              <w:rPr>
                <w:color w:val="000000"/>
              </w:rPr>
              <w:t>mg/kg (the Stockholm Convention’s level of concern), but a much lower biosolids-specific limit is likely (many overseas examples). Biosolids limit of 0.1</w:t>
            </w:r>
            <w:r w:rsidR="00F73DAF">
              <w:rPr>
                <w:color w:val="000000"/>
              </w:rPr>
              <w:t xml:space="preserve"> </w:t>
            </w:r>
            <w:r w:rsidRPr="00100F0A">
              <w:rPr>
                <w:color w:val="000000"/>
              </w:rPr>
              <w:t>mg/kg applies in Germany; 0.39 (all PFAS) for biosolids in Qld (BE et al 2017)</w:t>
            </w:r>
          </w:p>
          <w:p w14:paraId="69C88890" w14:textId="57F517FC" w:rsidR="00736026" w:rsidRPr="00100F0A" w:rsidRDefault="00736026" w:rsidP="002B2606">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Based on limited data (Gallen et al 2016) a 0.1</w:t>
            </w:r>
            <w:r w:rsidR="00F73DAF">
              <w:rPr>
                <w:color w:val="000000"/>
              </w:rPr>
              <w:t xml:space="preserve"> mg/kg</w:t>
            </w:r>
            <w:r w:rsidRPr="00100F0A">
              <w:rPr>
                <w:color w:val="000000"/>
              </w:rPr>
              <w:t xml:space="preserve"> limit could mean as much as 370</w:t>
            </w:r>
            <w:r w:rsidR="00F73DAF">
              <w:rPr>
                <w:color w:val="000000"/>
              </w:rPr>
              <w:t xml:space="preserve"> </w:t>
            </w:r>
            <w:r w:rsidRPr="00100F0A">
              <w:rPr>
                <w:color w:val="000000"/>
              </w:rPr>
              <w:t>kt of biosolids in Aust</w:t>
            </w:r>
            <w:r w:rsidR="00F73DAF">
              <w:rPr>
                <w:color w:val="000000"/>
              </w:rPr>
              <w:t>ralia</w:t>
            </w:r>
            <w:r w:rsidRPr="00100F0A">
              <w:rPr>
                <w:color w:val="000000"/>
              </w:rPr>
              <w:t xml:space="preserve"> are contaminated</w:t>
            </w:r>
          </w:p>
          <w:p w14:paraId="4D2BEB95" w14:textId="6341F80A" w:rsidR="00736026" w:rsidRPr="00100F0A" w:rsidRDefault="00736026" w:rsidP="002B2606">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PFOS-contaminated biosolids above Stockholm levels will no longer be allowed to be applied to land (post</w:t>
            </w:r>
            <w:r w:rsidR="00F73DAF">
              <w:rPr>
                <w:color w:val="000000"/>
              </w:rPr>
              <w:t>-</w:t>
            </w:r>
            <w:r w:rsidRPr="00100F0A">
              <w:rPr>
                <w:color w:val="000000"/>
              </w:rPr>
              <w:t>PFOS ratification). They will require environmentally sound management.</w:t>
            </w:r>
          </w:p>
        </w:tc>
        <w:tc>
          <w:tcPr>
            <w:tcW w:w="1373" w:type="pct"/>
            <w:tcBorders>
              <w:top w:val="nil"/>
            </w:tcBorders>
          </w:tcPr>
          <w:p w14:paraId="28F982DB" w14:textId="78584FDD" w:rsidR="00736026" w:rsidRPr="00100F0A" w:rsidRDefault="00736026" w:rsidP="002B2606">
            <w:pPr>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A PFAS NEMP was agreed across Australian states and territories in 2018. It is understood that biosolids-specific issues, limits and actions will be the subject of the next iteration of the NEMP.</w:t>
            </w:r>
          </w:p>
          <w:p w14:paraId="071DC93A" w14:textId="77777777" w:rsidR="00736026" w:rsidRPr="00100F0A" w:rsidRDefault="00736026" w:rsidP="002B2606">
            <w:pPr>
              <w:cnfStyle w:val="000000000000" w:firstRow="0" w:lastRow="0" w:firstColumn="0" w:lastColumn="0" w:oddVBand="0" w:evenVBand="0" w:oddHBand="0" w:evenHBand="0" w:firstRowFirstColumn="0" w:firstRowLastColumn="0" w:lastRowFirstColumn="0" w:lastRowLastColumn="0"/>
              <w:rPr>
                <w:color w:val="000000"/>
              </w:rPr>
            </w:pPr>
          </w:p>
          <w:p w14:paraId="1CBD7C5B" w14:textId="77777777" w:rsidR="00736026" w:rsidRPr="00100F0A" w:rsidRDefault="00736026" w:rsidP="002B2606">
            <w:pPr>
              <w:cnfStyle w:val="000000000000" w:firstRow="0" w:lastRow="0" w:firstColumn="0" w:lastColumn="0" w:oddVBand="0" w:evenVBand="0" w:oddHBand="0" w:evenHBand="0" w:firstRowFirstColumn="0" w:firstRowLastColumn="0" w:lastRowFirstColumn="0" w:lastRowLastColumn="0"/>
            </w:pPr>
            <w:r w:rsidRPr="00100F0A">
              <w:rPr>
                <w:color w:val="000000"/>
              </w:rPr>
              <w:t>The NEMP makes Stockholm POP ratification somewhat redundant, since the NEMP’s existence provides the policy settings for dealing with PFAS contamination and waste issues. The new NEPM code M270, and its requirement for tracking, is proof of this.</w:t>
            </w:r>
          </w:p>
        </w:tc>
        <w:tc>
          <w:tcPr>
            <w:tcW w:w="1342" w:type="pct"/>
            <w:tcBorders>
              <w:top w:val="nil"/>
            </w:tcBorders>
          </w:tcPr>
          <w:p w14:paraId="2C587112" w14:textId="6EFCBF21" w:rsidR="00736026" w:rsidRPr="00100F0A" w:rsidRDefault="00736026" w:rsidP="002B2606">
            <w:pPr>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Assume regulatory implementation of NEMP begins 2020</w:t>
            </w:r>
          </w:p>
          <w:p w14:paraId="57F69A5A" w14:textId="713D39EA" w:rsidR="00736026" w:rsidRPr="00100F0A" w:rsidRDefault="00736026" w:rsidP="002B2606">
            <w:pPr>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Scenarios are based on what PFOS biosolids-specific limits may be applied in future</w:t>
            </w:r>
          </w:p>
          <w:p w14:paraId="2A8C4E3B" w14:textId="77777777" w:rsidR="00736026" w:rsidRPr="00100F0A" w:rsidRDefault="00736026" w:rsidP="002B2606">
            <w:pPr>
              <w:cnfStyle w:val="000000000000" w:firstRow="0" w:lastRow="0" w:firstColumn="0" w:lastColumn="0" w:oddVBand="0" w:evenVBand="0" w:oddHBand="0" w:evenHBand="0" w:firstRowFirstColumn="0" w:firstRowLastColumn="0" w:lastRowFirstColumn="0" w:lastRowLastColumn="0"/>
              <w:rPr>
                <w:color w:val="000000"/>
              </w:rPr>
            </w:pPr>
          </w:p>
          <w:p w14:paraId="63A1F79C" w14:textId="0903B489" w:rsidR="00736026" w:rsidRPr="00100F0A" w:rsidRDefault="00736026" w:rsidP="002B2606">
            <w:pPr>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u w:val="single"/>
              </w:rPr>
              <w:t>Best</w:t>
            </w:r>
            <w:r w:rsidRPr="00100F0A">
              <w:rPr>
                <w:color w:val="000000"/>
              </w:rPr>
              <w:t>: Limit of 1</w:t>
            </w:r>
            <w:r w:rsidR="00F73DAF">
              <w:rPr>
                <w:color w:val="000000"/>
              </w:rPr>
              <w:t xml:space="preserve"> </w:t>
            </w:r>
            <w:r w:rsidRPr="00100F0A">
              <w:rPr>
                <w:color w:val="000000"/>
              </w:rPr>
              <w:t>mg/kg results in 2% of total Aust</w:t>
            </w:r>
            <w:r w:rsidR="00F73DAF">
              <w:rPr>
                <w:color w:val="000000"/>
              </w:rPr>
              <w:t>ralian</w:t>
            </w:r>
            <w:r w:rsidRPr="00100F0A">
              <w:rPr>
                <w:color w:val="000000"/>
              </w:rPr>
              <w:t xml:space="preserve"> biosolids contaminated</w:t>
            </w:r>
          </w:p>
          <w:p w14:paraId="57A51521" w14:textId="3DE190B4" w:rsidR="00736026" w:rsidRPr="00100F0A" w:rsidRDefault="00736026" w:rsidP="002B2606">
            <w:pPr>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u w:val="single"/>
              </w:rPr>
              <w:t>High</w:t>
            </w:r>
            <w:r w:rsidRPr="00100F0A">
              <w:rPr>
                <w:color w:val="000000"/>
              </w:rPr>
              <w:t>: Limit of 0.1</w:t>
            </w:r>
            <w:r w:rsidR="00F73DAF">
              <w:rPr>
                <w:color w:val="000000"/>
              </w:rPr>
              <w:t xml:space="preserve"> </w:t>
            </w:r>
            <w:r w:rsidRPr="00100F0A">
              <w:rPr>
                <w:color w:val="000000"/>
              </w:rPr>
              <w:t>mg/kg results in 25% of total Aust</w:t>
            </w:r>
            <w:r w:rsidR="00F73DAF">
              <w:rPr>
                <w:color w:val="000000"/>
              </w:rPr>
              <w:t>ralian</w:t>
            </w:r>
            <w:r w:rsidRPr="00100F0A">
              <w:rPr>
                <w:color w:val="000000"/>
              </w:rPr>
              <w:t xml:space="preserve"> biosolids contaminated</w:t>
            </w:r>
          </w:p>
          <w:p w14:paraId="73287DAF" w14:textId="431C25E3" w:rsidR="00736026" w:rsidRPr="00100F0A" w:rsidRDefault="00736026" w:rsidP="002B2606">
            <w:pPr>
              <w:cnfStyle w:val="000000000000" w:firstRow="0" w:lastRow="0" w:firstColumn="0" w:lastColumn="0" w:oddVBand="0" w:evenVBand="0" w:oddHBand="0" w:evenHBand="0" w:firstRowFirstColumn="0" w:firstRowLastColumn="0" w:lastRowFirstColumn="0" w:lastRowLastColumn="0"/>
            </w:pPr>
            <w:r w:rsidRPr="00100F0A">
              <w:rPr>
                <w:color w:val="000000"/>
                <w:u w:val="single"/>
              </w:rPr>
              <w:t>Low</w:t>
            </w:r>
            <w:r w:rsidRPr="00100F0A">
              <w:rPr>
                <w:color w:val="000000"/>
              </w:rPr>
              <w:t>: Limit of 50</w:t>
            </w:r>
            <w:r w:rsidR="00F73DAF">
              <w:rPr>
                <w:color w:val="000000"/>
              </w:rPr>
              <w:t xml:space="preserve"> </w:t>
            </w:r>
            <w:r w:rsidRPr="00100F0A">
              <w:rPr>
                <w:color w:val="000000"/>
              </w:rPr>
              <w:t>mg/kg (current, non-biosolids specific limit) results in 0.1% of total Aust</w:t>
            </w:r>
            <w:r w:rsidR="00F73DAF">
              <w:rPr>
                <w:color w:val="000000"/>
              </w:rPr>
              <w:t>ralian</w:t>
            </w:r>
            <w:r w:rsidRPr="00100F0A">
              <w:rPr>
                <w:color w:val="000000"/>
              </w:rPr>
              <w:t xml:space="preserve"> biosolids contaminated.</w:t>
            </w:r>
          </w:p>
        </w:tc>
      </w:tr>
    </w:tbl>
    <w:p w14:paraId="5AF994CD" w14:textId="77777777" w:rsidR="00736026" w:rsidRPr="00100F0A" w:rsidRDefault="00736026" w:rsidP="00736026">
      <w:pPr>
        <w:pStyle w:val="BodyText"/>
      </w:pPr>
    </w:p>
    <w:p w14:paraId="33CE594F" w14:textId="77777777" w:rsidR="00736026" w:rsidRPr="00100F0A" w:rsidRDefault="00736026" w:rsidP="00736026">
      <w:pPr>
        <w:pStyle w:val="Heading3-nonumber"/>
      </w:pPr>
      <w:r w:rsidRPr="00100F0A">
        <w:t>Starting point arising estimate</w:t>
      </w:r>
    </w:p>
    <w:p w14:paraId="0E450791" w14:textId="3F54ED17" w:rsidR="00736026" w:rsidRPr="00100F0A" w:rsidRDefault="00736026" w:rsidP="00736026">
      <w:pPr>
        <w:pStyle w:val="BodyText"/>
      </w:pPr>
      <w:r w:rsidRPr="00100F0A">
        <w:t>PFOS-contaminated biosolids are not represented in hazardous waste tracking data. Consequently, assumptions must be used to estimate a feasible starting-point tonnage that describes what might become available to the hazardous waste market once ratification occurs, or a subsequent revision of the NEMP instigates a lower, biosolids-specific limit. These are as follows:</w:t>
      </w:r>
    </w:p>
    <w:p w14:paraId="093FED51" w14:textId="38186D83" w:rsidR="00736026" w:rsidRPr="00100F0A" w:rsidRDefault="00736026" w:rsidP="00736026">
      <w:pPr>
        <w:pStyle w:val="Bullet1"/>
      </w:pPr>
      <w:r w:rsidRPr="00100F0A">
        <w:t>PFOS</w:t>
      </w:r>
      <w:r w:rsidR="00F73DAF">
        <w:t>-</w:t>
      </w:r>
      <w:r w:rsidRPr="00100F0A">
        <w:t>contaminated biosolids are produced by states and territories in proportion to their population (except ACT - incinerates on-site)</w:t>
      </w:r>
    </w:p>
    <w:p w14:paraId="747FF345" w14:textId="1C2E127C" w:rsidR="00736026" w:rsidRPr="00100F0A" w:rsidRDefault="00736026" w:rsidP="00736026">
      <w:pPr>
        <w:pStyle w:val="Bullet1"/>
      </w:pPr>
      <w:r w:rsidRPr="00100F0A">
        <w:t>Scenarios based on potential biosolids reg</w:t>
      </w:r>
      <w:r w:rsidR="00F73DAF">
        <w:t>ulatory</w:t>
      </w:r>
      <w:r w:rsidRPr="00100F0A">
        <w:t xml:space="preserve"> limits of 1 mg/kg (best); 0.1</w:t>
      </w:r>
      <w:r w:rsidR="00F73DAF">
        <w:t xml:space="preserve"> </w:t>
      </w:r>
      <w:r w:rsidRPr="00100F0A">
        <w:t>mg/kg (high) and the existing LPCL of 50</w:t>
      </w:r>
      <w:r w:rsidR="00F73DAF">
        <w:t xml:space="preserve"> </w:t>
      </w:r>
      <w:r w:rsidRPr="00100F0A">
        <w:t>mg/kg (low). These produce the following tonnages (on a dewatered biosolids basis), beginning to arise in 2020:</w:t>
      </w:r>
    </w:p>
    <w:p w14:paraId="6BA49CC5" w14:textId="77777777" w:rsidR="00736026" w:rsidRPr="00100F0A" w:rsidRDefault="00736026" w:rsidP="00736026">
      <w:pPr>
        <w:pStyle w:val="Bullet2"/>
      </w:pPr>
      <w:r w:rsidRPr="00100F0A">
        <w:t>Best = 31,143 tpa</w:t>
      </w:r>
    </w:p>
    <w:p w14:paraId="251F1167" w14:textId="77777777" w:rsidR="00736026" w:rsidRPr="00100F0A" w:rsidRDefault="00736026" w:rsidP="00736026">
      <w:pPr>
        <w:pStyle w:val="Bullet2"/>
      </w:pPr>
      <w:r w:rsidRPr="00100F0A">
        <w:t>High = 389,286 tpa</w:t>
      </w:r>
    </w:p>
    <w:p w14:paraId="33EB5C2F" w14:textId="77777777" w:rsidR="00736026" w:rsidRPr="00100F0A" w:rsidRDefault="00736026" w:rsidP="00736026">
      <w:pPr>
        <w:pStyle w:val="Bullet2"/>
      </w:pPr>
      <w:r w:rsidRPr="00100F0A">
        <w:t>Low = 1,557 tpa.</w:t>
      </w:r>
    </w:p>
    <w:p w14:paraId="673C40A7" w14:textId="77777777" w:rsidR="00736026" w:rsidRPr="00100F0A" w:rsidRDefault="00736026" w:rsidP="00736026">
      <w:pPr>
        <w:pStyle w:val="BodyText"/>
      </w:pPr>
    </w:p>
    <w:p w14:paraId="0D892EBF" w14:textId="77777777" w:rsidR="00736026" w:rsidRPr="00100F0A" w:rsidRDefault="00736026" w:rsidP="005E702F">
      <w:pPr>
        <w:pStyle w:val="BodyText"/>
        <w:rPr>
          <w:color w:val="4D4DB8"/>
          <w:szCs w:val="18"/>
        </w:rPr>
      </w:pPr>
      <w:r w:rsidRPr="00100F0A">
        <w:br w:type="page"/>
      </w:r>
    </w:p>
    <w:p w14:paraId="19C7B0A0" w14:textId="77777777" w:rsidR="00F73DAF" w:rsidRPr="00A307F3" w:rsidRDefault="00F73DAF" w:rsidP="00736026">
      <w:pPr>
        <w:pStyle w:val="Caption"/>
        <w:rPr>
          <w:sz w:val="14"/>
          <w:szCs w:val="14"/>
        </w:rPr>
      </w:pPr>
      <w:bookmarkStart w:id="223" w:name="_Toc524007920"/>
    </w:p>
    <w:p w14:paraId="62D31453" w14:textId="55DBBF1A" w:rsidR="00736026" w:rsidRPr="00100F0A" w:rsidRDefault="00736026" w:rsidP="00736026">
      <w:pPr>
        <w:pStyle w:val="Caption"/>
      </w:pPr>
      <w:bookmarkStart w:id="224" w:name="_Toc13225648"/>
      <w:r w:rsidRPr="00100F0A">
        <w:t xml:space="preserve">Table </w:t>
      </w:r>
      <w:r w:rsidRPr="00100F0A">
        <w:rPr>
          <w:noProof/>
        </w:rPr>
        <w:fldChar w:fldCharType="begin"/>
      </w:r>
      <w:r w:rsidRPr="00100F0A">
        <w:rPr>
          <w:noProof/>
        </w:rPr>
        <w:instrText xml:space="preserve"> SEQ Table \* ARABIC </w:instrText>
      </w:r>
      <w:r w:rsidRPr="00100F0A">
        <w:rPr>
          <w:noProof/>
        </w:rPr>
        <w:fldChar w:fldCharType="separate"/>
      </w:r>
      <w:r w:rsidR="00EB634D">
        <w:rPr>
          <w:noProof/>
        </w:rPr>
        <w:t>29</w:t>
      </w:r>
      <w:r w:rsidRPr="00100F0A">
        <w:rPr>
          <w:noProof/>
        </w:rPr>
        <w:fldChar w:fldCharType="end"/>
      </w:r>
      <w:r w:rsidR="00AD2F76">
        <w:rPr>
          <w:noProof/>
        </w:rPr>
        <w:t>:</w:t>
      </w:r>
      <w:r w:rsidRPr="00100F0A">
        <w:tab/>
        <w:t xml:space="preserve">Best, high and low projected tonnes for PFOS </w:t>
      </w:r>
      <w:r w:rsidR="00F73DAF">
        <w:t>c</w:t>
      </w:r>
      <w:r w:rsidRPr="00100F0A">
        <w:t>ontaminated biosolids waste to 2037</w:t>
      </w:r>
      <w:bookmarkEnd w:id="223"/>
      <w:bookmarkEnd w:id="224"/>
    </w:p>
    <w:tbl>
      <w:tblPr>
        <w:tblStyle w:val="BETable1"/>
        <w:tblW w:w="16317" w:type="dxa"/>
        <w:jc w:val="center"/>
        <w:tblInd w:w="0" w:type="dxa"/>
        <w:tblLayout w:type="fixed"/>
        <w:tblLook w:val="04A0" w:firstRow="1" w:lastRow="0" w:firstColumn="1" w:lastColumn="0" w:noHBand="0" w:noVBand="1"/>
      </w:tblPr>
      <w:tblGrid>
        <w:gridCol w:w="454"/>
        <w:gridCol w:w="675"/>
        <w:gridCol w:w="1418"/>
        <w:gridCol w:w="510"/>
        <w:gridCol w:w="510"/>
        <w:gridCol w:w="510"/>
        <w:gridCol w:w="680"/>
        <w:gridCol w:w="680"/>
        <w:gridCol w:w="680"/>
        <w:gridCol w:w="680"/>
        <w:gridCol w:w="680"/>
        <w:gridCol w:w="680"/>
        <w:gridCol w:w="680"/>
        <w:gridCol w:w="680"/>
        <w:gridCol w:w="680"/>
        <w:gridCol w:w="680"/>
        <w:gridCol w:w="680"/>
        <w:gridCol w:w="680"/>
        <w:gridCol w:w="680"/>
        <w:gridCol w:w="680"/>
        <w:gridCol w:w="680"/>
        <w:gridCol w:w="680"/>
        <w:gridCol w:w="680"/>
        <w:gridCol w:w="680"/>
      </w:tblGrid>
      <w:tr w:rsidR="00A1102D" w:rsidRPr="00100F0A" w14:paraId="34C3C259" w14:textId="77777777" w:rsidTr="002B260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AAABD6"/>
              <w:left w:val="single" w:sz="4" w:space="0" w:color="AAABD6"/>
              <w:bottom w:val="single" w:sz="4" w:space="0" w:color="AAABD6"/>
            </w:tcBorders>
            <w:shd w:val="clear" w:color="auto" w:fill="AAABD6"/>
          </w:tcPr>
          <w:p w14:paraId="56BFA42B" w14:textId="77777777" w:rsidR="00736026" w:rsidRPr="00100F0A" w:rsidRDefault="00736026" w:rsidP="002B2606">
            <w:pPr>
              <w:rPr>
                <w:color w:val="FFFFFF" w:themeColor="background1"/>
                <w:sz w:val="16"/>
                <w:szCs w:val="16"/>
              </w:rPr>
            </w:pPr>
          </w:p>
        </w:tc>
        <w:tc>
          <w:tcPr>
            <w:tcW w:w="675" w:type="dxa"/>
            <w:tcBorders>
              <w:top w:val="single" w:sz="4" w:space="0" w:color="AAABD6"/>
              <w:bottom w:val="single" w:sz="4" w:space="0" w:color="AAABD6"/>
            </w:tcBorders>
            <w:shd w:val="clear" w:color="auto" w:fill="AAABD6"/>
          </w:tcPr>
          <w:p w14:paraId="1109F4AB" w14:textId="77777777" w:rsidR="00736026" w:rsidRPr="00100F0A" w:rsidRDefault="00736026" w:rsidP="002B2606">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Applies to</w:t>
            </w:r>
          </w:p>
        </w:tc>
        <w:tc>
          <w:tcPr>
            <w:tcW w:w="1418" w:type="dxa"/>
            <w:tcBorders>
              <w:top w:val="single" w:sz="4" w:space="0" w:color="AAABD6"/>
              <w:bottom w:val="single" w:sz="4" w:space="0" w:color="AAABD6"/>
            </w:tcBorders>
            <w:shd w:val="clear" w:color="auto" w:fill="AAABD6"/>
          </w:tcPr>
          <w:p w14:paraId="45FBFEF1" w14:textId="77777777" w:rsidR="00736026" w:rsidRPr="00100F0A" w:rsidRDefault="00736026" w:rsidP="002B2606">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Approach</w:t>
            </w:r>
          </w:p>
        </w:tc>
        <w:tc>
          <w:tcPr>
            <w:tcW w:w="510" w:type="dxa"/>
            <w:tcBorders>
              <w:top w:val="single" w:sz="4" w:space="0" w:color="AAABD6"/>
              <w:bottom w:val="single" w:sz="4" w:space="0" w:color="AAABD6"/>
            </w:tcBorders>
            <w:shd w:val="clear" w:color="auto" w:fill="AAABD6"/>
          </w:tcPr>
          <w:p w14:paraId="6F702D94" w14:textId="77777777" w:rsidR="00736026" w:rsidRPr="00100F0A" w:rsidRDefault="00736026" w:rsidP="002B260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2017</w:t>
            </w:r>
          </w:p>
        </w:tc>
        <w:tc>
          <w:tcPr>
            <w:tcW w:w="510" w:type="dxa"/>
            <w:tcBorders>
              <w:top w:val="single" w:sz="4" w:space="0" w:color="AAABD6"/>
              <w:bottom w:val="single" w:sz="4" w:space="0" w:color="AAABD6"/>
              <w:right w:val="single" w:sz="4" w:space="0" w:color="AAABD6"/>
            </w:tcBorders>
            <w:shd w:val="clear" w:color="auto" w:fill="AAABD6"/>
          </w:tcPr>
          <w:p w14:paraId="3D91724A" w14:textId="77777777" w:rsidR="00736026" w:rsidRPr="00100F0A" w:rsidRDefault="00736026" w:rsidP="002B260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2018</w:t>
            </w:r>
          </w:p>
        </w:tc>
        <w:tc>
          <w:tcPr>
            <w:tcW w:w="510" w:type="dxa"/>
            <w:tcBorders>
              <w:top w:val="single" w:sz="4" w:space="0" w:color="AAABD6"/>
              <w:bottom w:val="single" w:sz="4" w:space="0" w:color="AAABD6"/>
              <w:right w:val="single" w:sz="4" w:space="0" w:color="AAABD6"/>
            </w:tcBorders>
            <w:shd w:val="clear" w:color="auto" w:fill="AAABD6"/>
          </w:tcPr>
          <w:p w14:paraId="0FDA4D8A" w14:textId="77777777" w:rsidR="00736026" w:rsidRPr="00100F0A" w:rsidRDefault="00736026" w:rsidP="002B260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2019</w:t>
            </w:r>
          </w:p>
        </w:tc>
        <w:tc>
          <w:tcPr>
            <w:tcW w:w="680" w:type="dxa"/>
            <w:tcBorders>
              <w:top w:val="single" w:sz="4" w:space="0" w:color="AAABD6"/>
              <w:bottom w:val="single" w:sz="4" w:space="0" w:color="AAABD6"/>
              <w:right w:val="single" w:sz="4" w:space="0" w:color="AAABD6"/>
            </w:tcBorders>
            <w:shd w:val="clear" w:color="auto" w:fill="AAABD6"/>
          </w:tcPr>
          <w:p w14:paraId="44DD53A4" w14:textId="77777777" w:rsidR="00736026" w:rsidRPr="00100F0A" w:rsidRDefault="00736026" w:rsidP="002B260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2020</w:t>
            </w:r>
          </w:p>
        </w:tc>
        <w:tc>
          <w:tcPr>
            <w:tcW w:w="680" w:type="dxa"/>
            <w:tcBorders>
              <w:top w:val="single" w:sz="4" w:space="0" w:color="AAABD6"/>
              <w:bottom w:val="single" w:sz="4" w:space="0" w:color="AAABD6"/>
              <w:right w:val="single" w:sz="4" w:space="0" w:color="AAABD6"/>
            </w:tcBorders>
            <w:shd w:val="clear" w:color="auto" w:fill="AAABD6"/>
          </w:tcPr>
          <w:p w14:paraId="79DE905E" w14:textId="77777777" w:rsidR="00736026" w:rsidRPr="00100F0A" w:rsidRDefault="00736026" w:rsidP="002B260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2021</w:t>
            </w:r>
          </w:p>
        </w:tc>
        <w:tc>
          <w:tcPr>
            <w:tcW w:w="680" w:type="dxa"/>
            <w:tcBorders>
              <w:top w:val="single" w:sz="4" w:space="0" w:color="AAABD6"/>
              <w:bottom w:val="single" w:sz="4" w:space="0" w:color="AAABD6"/>
              <w:right w:val="single" w:sz="4" w:space="0" w:color="AAABD6"/>
            </w:tcBorders>
            <w:shd w:val="clear" w:color="auto" w:fill="AAABD6"/>
          </w:tcPr>
          <w:p w14:paraId="6A556586" w14:textId="77777777" w:rsidR="00736026" w:rsidRPr="00100F0A" w:rsidRDefault="00736026" w:rsidP="002B260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2022</w:t>
            </w:r>
          </w:p>
        </w:tc>
        <w:tc>
          <w:tcPr>
            <w:tcW w:w="680" w:type="dxa"/>
            <w:tcBorders>
              <w:top w:val="single" w:sz="4" w:space="0" w:color="AAABD6"/>
              <w:bottom w:val="single" w:sz="4" w:space="0" w:color="AAABD6"/>
              <w:right w:val="single" w:sz="4" w:space="0" w:color="AAABD6"/>
            </w:tcBorders>
            <w:shd w:val="clear" w:color="auto" w:fill="AAABD6"/>
          </w:tcPr>
          <w:p w14:paraId="6924BDCA" w14:textId="77777777" w:rsidR="00736026" w:rsidRPr="00100F0A" w:rsidRDefault="00736026" w:rsidP="002B260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2023</w:t>
            </w:r>
          </w:p>
        </w:tc>
        <w:tc>
          <w:tcPr>
            <w:tcW w:w="680" w:type="dxa"/>
            <w:tcBorders>
              <w:top w:val="single" w:sz="4" w:space="0" w:color="AAABD6"/>
              <w:bottom w:val="single" w:sz="4" w:space="0" w:color="AAABD6"/>
              <w:right w:val="single" w:sz="4" w:space="0" w:color="AAABD6"/>
            </w:tcBorders>
            <w:shd w:val="clear" w:color="auto" w:fill="AAABD6"/>
          </w:tcPr>
          <w:p w14:paraId="4191CEBE" w14:textId="77777777" w:rsidR="00736026" w:rsidRPr="00100F0A" w:rsidRDefault="00736026" w:rsidP="002B260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2024</w:t>
            </w:r>
          </w:p>
        </w:tc>
        <w:tc>
          <w:tcPr>
            <w:tcW w:w="680" w:type="dxa"/>
            <w:tcBorders>
              <w:top w:val="single" w:sz="4" w:space="0" w:color="AAABD6"/>
              <w:bottom w:val="single" w:sz="4" w:space="0" w:color="AAABD6"/>
              <w:right w:val="single" w:sz="4" w:space="0" w:color="AAABD6"/>
            </w:tcBorders>
            <w:shd w:val="clear" w:color="auto" w:fill="AAABD6"/>
          </w:tcPr>
          <w:p w14:paraId="11B51921" w14:textId="77777777" w:rsidR="00736026" w:rsidRPr="00100F0A" w:rsidRDefault="00736026" w:rsidP="002B260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2025</w:t>
            </w:r>
          </w:p>
        </w:tc>
        <w:tc>
          <w:tcPr>
            <w:tcW w:w="680" w:type="dxa"/>
            <w:tcBorders>
              <w:top w:val="single" w:sz="4" w:space="0" w:color="AAABD6"/>
              <w:bottom w:val="single" w:sz="4" w:space="0" w:color="AAABD6"/>
              <w:right w:val="single" w:sz="4" w:space="0" w:color="AAABD6"/>
            </w:tcBorders>
            <w:shd w:val="clear" w:color="auto" w:fill="AAABD6"/>
          </w:tcPr>
          <w:p w14:paraId="6B91D31D" w14:textId="77777777" w:rsidR="00736026" w:rsidRPr="00100F0A" w:rsidRDefault="00736026" w:rsidP="002B260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2026</w:t>
            </w:r>
          </w:p>
        </w:tc>
        <w:tc>
          <w:tcPr>
            <w:tcW w:w="680" w:type="dxa"/>
            <w:tcBorders>
              <w:top w:val="single" w:sz="4" w:space="0" w:color="AAABD6"/>
              <w:bottom w:val="single" w:sz="4" w:space="0" w:color="AAABD6"/>
              <w:right w:val="single" w:sz="4" w:space="0" w:color="AAABD6"/>
            </w:tcBorders>
            <w:shd w:val="clear" w:color="auto" w:fill="AAABD6"/>
          </w:tcPr>
          <w:p w14:paraId="545CEE5A" w14:textId="77777777" w:rsidR="00736026" w:rsidRPr="00100F0A" w:rsidRDefault="00736026" w:rsidP="002B260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2027</w:t>
            </w:r>
          </w:p>
        </w:tc>
        <w:tc>
          <w:tcPr>
            <w:tcW w:w="680" w:type="dxa"/>
            <w:tcBorders>
              <w:top w:val="single" w:sz="4" w:space="0" w:color="AAABD6"/>
              <w:bottom w:val="single" w:sz="4" w:space="0" w:color="AAABD6"/>
              <w:right w:val="single" w:sz="4" w:space="0" w:color="AAABD6"/>
            </w:tcBorders>
            <w:shd w:val="clear" w:color="auto" w:fill="AAABD6"/>
          </w:tcPr>
          <w:p w14:paraId="0C30E56A" w14:textId="77777777" w:rsidR="00736026" w:rsidRPr="00100F0A" w:rsidRDefault="00736026" w:rsidP="002B260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2028</w:t>
            </w:r>
          </w:p>
        </w:tc>
        <w:tc>
          <w:tcPr>
            <w:tcW w:w="680" w:type="dxa"/>
            <w:tcBorders>
              <w:top w:val="single" w:sz="4" w:space="0" w:color="AAABD6"/>
              <w:bottom w:val="single" w:sz="4" w:space="0" w:color="AAABD6"/>
              <w:right w:val="single" w:sz="4" w:space="0" w:color="AAABD6"/>
            </w:tcBorders>
            <w:shd w:val="clear" w:color="auto" w:fill="AAABD6"/>
          </w:tcPr>
          <w:p w14:paraId="4ADDCA81" w14:textId="77777777" w:rsidR="00736026" w:rsidRPr="00100F0A" w:rsidRDefault="00736026" w:rsidP="002B260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2029</w:t>
            </w:r>
          </w:p>
        </w:tc>
        <w:tc>
          <w:tcPr>
            <w:tcW w:w="680" w:type="dxa"/>
            <w:tcBorders>
              <w:top w:val="single" w:sz="4" w:space="0" w:color="AAABD6"/>
              <w:bottom w:val="single" w:sz="4" w:space="0" w:color="AAABD6"/>
              <w:right w:val="single" w:sz="4" w:space="0" w:color="AAABD6"/>
            </w:tcBorders>
            <w:shd w:val="clear" w:color="auto" w:fill="AAABD6"/>
          </w:tcPr>
          <w:p w14:paraId="39AE9D24" w14:textId="77777777" w:rsidR="00736026" w:rsidRPr="00100F0A" w:rsidRDefault="00736026" w:rsidP="002B260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2030</w:t>
            </w:r>
          </w:p>
        </w:tc>
        <w:tc>
          <w:tcPr>
            <w:tcW w:w="680" w:type="dxa"/>
            <w:tcBorders>
              <w:top w:val="single" w:sz="4" w:space="0" w:color="AAABD6"/>
              <w:bottom w:val="single" w:sz="4" w:space="0" w:color="AAABD6"/>
              <w:right w:val="single" w:sz="4" w:space="0" w:color="AAABD6"/>
            </w:tcBorders>
            <w:shd w:val="clear" w:color="auto" w:fill="AAABD6"/>
          </w:tcPr>
          <w:p w14:paraId="7ACF4597" w14:textId="77777777" w:rsidR="00736026" w:rsidRPr="00100F0A" w:rsidRDefault="00736026" w:rsidP="002B260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2031</w:t>
            </w:r>
          </w:p>
        </w:tc>
        <w:tc>
          <w:tcPr>
            <w:tcW w:w="680" w:type="dxa"/>
            <w:tcBorders>
              <w:top w:val="single" w:sz="4" w:space="0" w:color="AAABD6"/>
              <w:bottom w:val="single" w:sz="4" w:space="0" w:color="AAABD6"/>
              <w:right w:val="single" w:sz="4" w:space="0" w:color="AAABD6"/>
            </w:tcBorders>
            <w:shd w:val="clear" w:color="auto" w:fill="AAABD6"/>
          </w:tcPr>
          <w:p w14:paraId="7CADB80C" w14:textId="77777777" w:rsidR="00736026" w:rsidRPr="00100F0A" w:rsidRDefault="00736026" w:rsidP="002B260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2032</w:t>
            </w:r>
          </w:p>
        </w:tc>
        <w:tc>
          <w:tcPr>
            <w:tcW w:w="680" w:type="dxa"/>
            <w:tcBorders>
              <w:top w:val="single" w:sz="4" w:space="0" w:color="AAABD6"/>
              <w:bottom w:val="single" w:sz="4" w:space="0" w:color="AAABD6"/>
              <w:right w:val="single" w:sz="4" w:space="0" w:color="AAABD6"/>
            </w:tcBorders>
            <w:shd w:val="clear" w:color="auto" w:fill="AAABD6"/>
          </w:tcPr>
          <w:p w14:paraId="2F7AB0DA" w14:textId="77777777" w:rsidR="00736026" w:rsidRPr="00100F0A" w:rsidRDefault="00736026" w:rsidP="002B260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2033</w:t>
            </w:r>
          </w:p>
        </w:tc>
        <w:tc>
          <w:tcPr>
            <w:tcW w:w="680" w:type="dxa"/>
            <w:tcBorders>
              <w:top w:val="single" w:sz="4" w:space="0" w:color="AAABD6"/>
              <w:bottom w:val="single" w:sz="4" w:space="0" w:color="AAABD6"/>
              <w:right w:val="single" w:sz="4" w:space="0" w:color="AAABD6"/>
            </w:tcBorders>
            <w:shd w:val="clear" w:color="auto" w:fill="AAABD6"/>
          </w:tcPr>
          <w:p w14:paraId="10DF64DA" w14:textId="77777777" w:rsidR="00736026" w:rsidRPr="00100F0A" w:rsidRDefault="00736026" w:rsidP="002B260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2034</w:t>
            </w:r>
          </w:p>
        </w:tc>
        <w:tc>
          <w:tcPr>
            <w:tcW w:w="680" w:type="dxa"/>
            <w:tcBorders>
              <w:top w:val="single" w:sz="4" w:space="0" w:color="AAABD6"/>
              <w:bottom w:val="single" w:sz="4" w:space="0" w:color="AAABD6"/>
              <w:right w:val="single" w:sz="4" w:space="0" w:color="AAABD6"/>
            </w:tcBorders>
            <w:shd w:val="clear" w:color="auto" w:fill="AAABD6"/>
          </w:tcPr>
          <w:p w14:paraId="652CC7E0" w14:textId="77777777" w:rsidR="00736026" w:rsidRPr="00100F0A" w:rsidRDefault="00736026" w:rsidP="002B260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2035</w:t>
            </w:r>
          </w:p>
        </w:tc>
        <w:tc>
          <w:tcPr>
            <w:tcW w:w="680" w:type="dxa"/>
            <w:tcBorders>
              <w:top w:val="single" w:sz="4" w:space="0" w:color="AAABD6"/>
              <w:bottom w:val="single" w:sz="4" w:space="0" w:color="AAABD6"/>
              <w:right w:val="single" w:sz="4" w:space="0" w:color="AAABD6"/>
            </w:tcBorders>
            <w:shd w:val="clear" w:color="auto" w:fill="AAABD6"/>
          </w:tcPr>
          <w:p w14:paraId="01FCBD90" w14:textId="77777777" w:rsidR="00736026" w:rsidRPr="00100F0A" w:rsidRDefault="00736026" w:rsidP="002B260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2036</w:t>
            </w:r>
          </w:p>
        </w:tc>
        <w:tc>
          <w:tcPr>
            <w:tcW w:w="680" w:type="dxa"/>
            <w:tcBorders>
              <w:top w:val="single" w:sz="4" w:space="0" w:color="AAABD6"/>
              <w:bottom w:val="single" w:sz="4" w:space="0" w:color="AAABD6"/>
              <w:right w:val="single" w:sz="4" w:space="0" w:color="AAABD6"/>
            </w:tcBorders>
            <w:shd w:val="clear" w:color="auto" w:fill="AAABD6"/>
          </w:tcPr>
          <w:p w14:paraId="5800E0FA" w14:textId="77777777" w:rsidR="00736026" w:rsidRPr="00100F0A" w:rsidRDefault="00736026" w:rsidP="002B260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2037</w:t>
            </w:r>
          </w:p>
        </w:tc>
      </w:tr>
      <w:tr w:rsidR="00736026" w:rsidRPr="00100F0A" w14:paraId="045A1D10" w14:textId="77777777" w:rsidTr="002B2606">
        <w:trPr>
          <w:jc w:val="center"/>
        </w:trPr>
        <w:tc>
          <w:tcPr>
            <w:cnfStyle w:val="001000000000" w:firstRow="0" w:lastRow="0" w:firstColumn="1" w:lastColumn="0" w:oddVBand="0" w:evenVBand="0" w:oddHBand="0" w:evenHBand="0" w:firstRowFirstColumn="0" w:firstRowLastColumn="0" w:lastRowFirstColumn="0" w:lastRowLastColumn="0"/>
            <w:tcW w:w="16317" w:type="dxa"/>
            <w:gridSpan w:val="24"/>
            <w:tcBorders>
              <w:top w:val="single" w:sz="4" w:space="0" w:color="AAABD6"/>
              <w:left w:val="single" w:sz="4" w:space="0" w:color="AAABD6"/>
              <w:bottom w:val="dotted" w:sz="4" w:space="0" w:color="AAABD6"/>
              <w:right w:val="single" w:sz="4" w:space="0" w:color="AAABD6"/>
            </w:tcBorders>
          </w:tcPr>
          <w:p w14:paraId="55038D8C" w14:textId="77777777" w:rsidR="00736026" w:rsidRPr="00100F0A" w:rsidRDefault="00736026" w:rsidP="002B2606">
            <w:pPr>
              <w:rPr>
                <w:color w:val="000000" w:themeColor="text1"/>
                <w:sz w:val="16"/>
                <w:szCs w:val="16"/>
              </w:rPr>
            </w:pPr>
            <w:r w:rsidRPr="00100F0A">
              <w:rPr>
                <w:iCs/>
                <w:color w:val="4D4DB8"/>
                <w:sz w:val="16"/>
                <w:szCs w:val="16"/>
              </w:rPr>
              <w:t>Arisings - rate</w:t>
            </w:r>
          </w:p>
        </w:tc>
      </w:tr>
      <w:tr w:rsidR="00736026" w:rsidRPr="00100F0A" w14:paraId="2548D1A3" w14:textId="77777777" w:rsidTr="002B2606">
        <w:trPr>
          <w:jc w:val="center"/>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AAABD6"/>
              <w:left w:val="single" w:sz="4" w:space="0" w:color="AAABD6"/>
              <w:bottom w:val="dotted" w:sz="4" w:space="0" w:color="AAABD6"/>
              <w:right w:val="single" w:sz="4" w:space="0" w:color="AAABD6"/>
            </w:tcBorders>
          </w:tcPr>
          <w:p w14:paraId="1019A331" w14:textId="77777777" w:rsidR="00736026" w:rsidRPr="00100F0A" w:rsidRDefault="00736026" w:rsidP="002B2606">
            <w:pPr>
              <w:rPr>
                <w:sz w:val="16"/>
                <w:szCs w:val="16"/>
              </w:rPr>
            </w:pPr>
            <w:r w:rsidRPr="00100F0A">
              <w:rPr>
                <w:sz w:val="16"/>
                <w:szCs w:val="16"/>
              </w:rPr>
              <w:t>Best</w:t>
            </w:r>
          </w:p>
        </w:tc>
        <w:tc>
          <w:tcPr>
            <w:tcW w:w="675" w:type="dxa"/>
            <w:vMerge w:val="restart"/>
            <w:tcBorders>
              <w:top w:val="single" w:sz="4" w:space="0" w:color="AAABD6"/>
              <w:left w:val="single" w:sz="4" w:space="0" w:color="AAABD6"/>
              <w:right w:val="single" w:sz="4" w:space="0" w:color="AAABD6"/>
            </w:tcBorders>
            <w:vAlign w:val="center"/>
          </w:tcPr>
          <w:p w14:paraId="42964101" w14:textId="77777777" w:rsidR="00736026" w:rsidRPr="00100F0A" w:rsidRDefault="00736026" w:rsidP="002B260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All</w:t>
            </w:r>
          </w:p>
        </w:tc>
        <w:tc>
          <w:tcPr>
            <w:tcW w:w="1418" w:type="dxa"/>
            <w:vMerge w:val="restart"/>
            <w:tcBorders>
              <w:top w:val="single" w:sz="4" w:space="0" w:color="AAABD6"/>
              <w:left w:val="single" w:sz="4" w:space="0" w:color="AAABD6"/>
              <w:right w:val="single" w:sz="4" w:space="0" w:color="AAABD6"/>
            </w:tcBorders>
            <w:vAlign w:val="center"/>
          </w:tcPr>
          <w:p w14:paraId="194891AB" w14:textId="7EB25001" w:rsidR="00736026" w:rsidRPr="00100F0A" w:rsidRDefault="00736026" w:rsidP="002B2606">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w:t>
            </w:r>
            <w:r w:rsidR="0051077E">
              <w:rPr>
                <w:color w:val="000000" w:themeColor="text1"/>
                <w:sz w:val="16"/>
                <w:szCs w:val="16"/>
              </w:rPr>
              <w:t xml:space="preserve"> </w:t>
            </w:r>
            <w:r w:rsidR="00D9242C">
              <w:rPr>
                <w:color w:val="000000" w:themeColor="text1"/>
                <w:sz w:val="16"/>
                <w:szCs w:val="16"/>
              </w:rPr>
              <w:t>yr</w:t>
            </w:r>
            <w:r w:rsidRPr="00100F0A">
              <w:rPr>
                <w:color w:val="000000" w:themeColor="text1"/>
                <w:sz w:val="16"/>
                <w:szCs w:val="16"/>
              </w:rPr>
              <w:t xml:space="preserve"> av. annual population growth </w:t>
            </w:r>
          </w:p>
        </w:tc>
        <w:tc>
          <w:tcPr>
            <w:tcW w:w="510" w:type="dxa"/>
            <w:tcBorders>
              <w:top w:val="single" w:sz="4" w:space="0" w:color="AAABD6"/>
              <w:left w:val="single" w:sz="4" w:space="0" w:color="AAABD6"/>
              <w:bottom w:val="dotted" w:sz="4" w:space="0" w:color="AAABD6"/>
              <w:right w:val="single" w:sz="4" w:space="0" w:color="AAABD6"/>
            </w:tcBorders>
          </w:tcPr>
          <w:p w14:paraId="1008F97B"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510" w:type="dxa"/>
            <w:tcBorders>
              <w:top w:val="single" w:sz="4" w:space="0" w:color="AAABD6"/>
              <w:left w:val="single" w:sz="4" w:space="0" w:color="AAABD6"/>
              <w:bottom w:val="dotted" w:sz="4" w:space="0" w:color="AAABD6"/>
              <w:right w:val="single" w:sz="4" w:space="0" w:color="AAABD6"/>
            </w:tcBorders>
          </w:tcPr>
          <w:p w14:paraId="4357AB8A"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510" w:type="dxa"/>
            <w:tcBorders>
              <w:top w:val="single" w:sz="4" w:space="0" w:color="AAABD6"/>
              <w:left w:val="single" w:sz="4" w:space="0" w:color="AAABD6"/>
              <w:bottom w:val="dotted" w:sz="4" w:space="0" w:color="AAABD6"/>
              <w:right w:val="single" w:sz="4" w:space="0" w:color="AAABD6"/>
            </w:tcBorders>
          </w:tcPr>
          <w:p w14:paraId="155CAE65"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single" w:sz="4" w:space="0" w:color="AAABD6"/>
              <w:left w:val="single" w:sz="4" w:space="0" w:color="AAABD6"/>
              <w:bottom w:val="dotted" w:sz="4" w:space="0" w:color="AAABD6"/>
              <w:right w:val="single" w:sz="4" w:space="0" w:color="AAABD6"/>
            </w:tcBorders>
          </w:tcPr>
          <w:p w14:paraId="1F9B0354"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single" w:sz="4" w:space="0" w:color="AAABD6"/>
              <w:left w:val="single" w:sz="4" w:space="0" w:color="AAABD6"/>
              <w:bottom w:val="dotted" w:sz="4" w:space="0" w:color="AAABD6"/>
              <w:right w:val="single" w:sz="4" w:space="0" w:color="AAABD6"/>
            </w:tcBorders>
          </w:tcPr>
          <w:p w14:paraId="18DB6E8E"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single" w:sz="4" w:space="0" w:color="AAABD6"/>
              <w:left w:val="single" w:sz="4" w:space="0" w:color="AAABD6"/>
              <w:bottom w:val="dotted" w:sz="4" w:space="0" w:color="AAABD6"/>
              <w:right w:val="single" w:sz="4" w:space="0" w:color="AAABD6"/>
            </w:tcBorders>
          </w:tcPr>
          <w:p w14:paraId="352D0A8A"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single" w:sz="4" w:space="0" w:color="AAABD6"/>
              <w:left w:val="single" w:sz="4" w:space="0" w:color="AAABD6"/>
              <w:bottom w:val="dotted" w:sz="4" w:space="0" w:color="AAABD6"/>
              <w:right w:val="single" w:sz="4" w:space="0" w:color="AAABD6"/>
            </w:tcBorders>
          </w:tcPr>
          <w:p w14:paraId="1BFA1884"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single" w:sz="4" w:space="0" w:color="AAABD6"/>
              <w:left w:val="single" w:sz="4" w:space="0" w:color="AAABD6"/>
              <w:bottom w:val="dotted" w:sz="4" w:space="0" w:color="AAABD6"/>
              <w:right w:val="single" w:sz="4" w:space="0" w:color="AAABD6"/>
            </w:tcBorders>
          </w:tcPr>
          <w:p w14:paraId="648B4543"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single" w:sz="4" w:space="0" w:color="AAABD6"/>
              <w:left w:val="single" w:sz="4" w:space="0" w:color="AAABD6"/>
              <w:bottom w:val="dotted" w:sz="4" w:space="0" w:color="AAABD6"/>
              <w:right w:val="single" w:sz="4" w:space="0" w:color="AAABD6"/>
            </w:tcBorders>
          </w:tcPr>
          <w:p w14:paraId="4DECF5DA"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single" w:sz="4" w:space="0" w:color="AAABD6"/>
              <w:left w:val="single" w:sz="4" w:space="0" w:color="AAABD6"/>
              <w:bottom w:val="dotted" w:sz="4" w:space="0" w:color="AAABD6"/>
              <w:right w:val="single" w:sz="4" w:space="0" w:color="AAABD6"/>
            </w:tcBorders>
          </w:tcPr>
          <w:p w14:paraId="16A09639"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single" w:sz="4" w:space="0" w:color="AAABD6"/>
              <w:left w:val="single" w:sz="4" w:space="0" w:color="AAABD6"/>
              <w:bottom w:val="dotted" w:sz="4" w:space="0" w:color="AAABD6"/>
              <w:right w:val="single" w:sz="4" w:space="0" w:color="AAABD6"/>
            </w:tcBorders>
          </w:tcPr>
          <w:p w14:paraId="29AFBD02"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single" w:sz="4" w:space="0" w:color="AAABD6"/>
              <w:left w:val="single" w:sz="4" w:space="0" w:color="AAABD6"/>
              <w:bottom w:val="dotted" w:sz="4" w:space="0" w:color="AAABD6"/>
              <w:right w:val="single" w:sz="4" w:space="0" w:color="AAABD6"/>
            </w:tcBorders>
          </w:tcPr>
          <w:p w14:paraId="55F2C753"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single" w:sz="4" w:space="0" w:color="AAABD6"/>
              <w:left w:val="single" w:sz="4" w:space="0" w:color="AAABD6"/>
              <w:bottom w:val="dotted" w:sz="4" w:space="0" w:color="AAABD6"/>
              <w:right w:val="single" w:sz="4" w:space="0" w:color="AAABD6"/>
            </w:tcBorders>
          </w:tcPr>
          <w:p w14:paraId="5DD58D92"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single" w:sz="4" w:space="0" w:color="AAABD6"/>
              <w:left w:val="single" w:sz="4" w:space="0" w:color="AAABD6"/>
              <w:bottom w:val="dotted" w:sz="4" w:space="0" w:color="AAABD6"/>
              <w:right w:val="single" w:sz="4" w:space="0" w:color="AAABD6"/>
            </w:tcBorders>
          </w:tcPr>
          <w:p w14:paraId="64A512BF"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single" w:sz="4" w:space="0" w:color="AAABD6"/>
              <w:left w:val="single" w:sz="4" w:space="0" w:color="AAABD6"/>
              <w:bottom w:val="dotted" w:sz="4" w:space="0" w:color="AAABD6"/>
              <w:right w:val="single" w:sz="4" w:space="0" w:color="AAABD6"/>
            </w:tcBorders>
          </w:tcPr>
          <w:p w14:paraId="2BCD1B21"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single" w:sz="4" w:space="0" w:color="AAABD6"/>
              <w:left w:val="single" w:sz="4" w:space="0" w:color="AAABD6"/>
              <w:bottom w:val="dotted" w:sz="4" w:space="0" w:color="AAABD6"/>
              <w:right w:val="single" w:sz="4" w:space="0" w:color="AAABD6"/>
            </w:tcBorders>
          </w:tcPr>
          <w:p w14:paraId="7696907C"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single" w:sz="4" w:space="0" w:color="AAABD6"/>
              <w:left w:val="single" w:sz="4" w:space="0" w:color="AAABD6"/>
              <w:bottom w:val="dotted" w:sz="4" w:space="0" w:color="AAABD6"/>
              <w:right w:val="single" w:sz="4" w:space="0" w:color="AAABD6"/>
            </w:tcBorders>
          </w:tcPr>
          <w:p w14:paraId="0931DA8A"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single" w:sz="4" w:space="0" w:color="AAABD6"/>
              <w:left w:val="single" w:sz="4" w:space="0" w:color="AAABD6"/>
              <w:bottom w:val="dotted" w:sz="4" w:space="0" w:color="AAABD6"/>
              <w:right w:val="single" w:sz="4" w:space="0" w:color="AAABD6"/>
            </w:tcBorders>
          </w:tcPr>
          <w:p w14:paraId="58998C6A"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single" w:sz="4" w:space="0" w:color="AAABD6"/>
              <w:left w:val="single" w:sz="4" w:space="0" w:color="AAABD6"/>
              <w:bottom w:val="dotted" w:sz="4" w:space="0" w:color="AAABD6"/>
              <w:right w:val="single" w:sz="4" w:space="0" w:color="AAABD6"/>
            </w:tcBorders>
          </w:tcPr>
          <w:p w14:paraId="15ACA5C3"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single" w:sz="4" w:space="0" w:color="AAABD6"/>
              <w:left w:val="single" w:sz="4" w:space="0" w:color="AAABD6"/>
              <w:bottom w:val="dotted" w:sz="4" w:space="0" w:color="AAABD6"/>
              <w:right w:val="single" w:sz="4" w:space="0" w:color="AAABD6"/>
            </w:tcBorders>
          </w:tcPr>
          <w:p w14:paraId="1B5FE8DB"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single" w:sz="4" w:space="0" w:color="AAABD6"/>
              <w:left w:val="single" w:sz="4" w:space="0" w:color="AAABD6"/>
              <w:bottom w:val="dotted" w:sz="4" w:space="0" w:color="AAABD6"/>
              <w:right w:val="single" w:sz="4" w:space="0" w:color="AAABD6"/>
            </w:tcBorders>
          </w:tcPr>
          <w:p w14:paraId="4974EA2E"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r>
      <w:tr w:rsidR="00736026" w:rsidRPr="00100F0A" w14:paraId="0EDA8B67" w14:textId="77777777" w:rsidTr="002B2606">
        <w:trPr>
          <w:jc w:val="center"/>
        </w:trPr>
        <w:tc>
          <w:tcPr>
            <w:cnfStyle w:val="001000000000" w:firstRow="0" w:lastRow="0" w:firstColumn="1" w:lastColumn="0" w:oddVBand="0" w:evenVBand="0" w:oddHBand="0" w:evenHBand="0" w:firstRowFirstColumn="0" w:firstRowLastColumn="0" w:lastRowFirstColumn="0" w:lastRowLastColumn="0"/>
            <w:tcW w:w="454" w:type="dxa"/>
            <w:tcBorders>
              <w:top w:val="dotted" w:sz="4" w:space="0" w:color="AAABD6"/>
              <w:left w:val="single" w:sz="4" w:space="0" w:color="AAABD6"/>
              <w:bottom w:val="dotted" w:sz="4" w:space="0" w:color="AAABD6"/>
              <w:right w:val="single" w:sz="4" w:space="0" w:color="AAABD6"/>
            </w:tcBorders>
          </w:tcPr>
          <w:p w14:paraId="759F1568" w14:textId="77777777" w:rsidR="00736026" w:rsidRPr="00100F0A" w:rsidRDefault="00736026" w:rsidP="002B2606">
            <w:pPr>
              <w:rPr>
                <w:sz w:val="16"/>
                <w:szCs w:val="16"/>
              </w:rPr>
            </w:pPr>
            <w:r w:rsidRPr="00100F0A">
              <w:rPr>
                <w:sz w:val="16"/>
                <w:szCs w:val="16"/>
              </w:rPr>
              <w:t>High</w:t>
            </w:r>
          </w:p>
        </w:tc>
        <w:tc>
          <w:tcPr>
            <w:tcW w:w="675" w:type="dxa"/>
            <w:vMerge/>
            <w:tcBorders>
              <w:left w:val="single" w:sz="4" w:space="0" w:color="AAABD6"/>
              <w:right w:val="single" w:sz="4" w:space="0" w:color="AAABD6"/>
            </w:tcBorders>
          </w:tcPr>
          <w:p w14:paraId="730523A6" w14:textId="77777777" w:rsidR="00736026" w:rsidRPr="00100F0A" w:rsidRDefault="00736026" w:rsidP="002B2606">
            <w:pPr>
              <w:cnfStyle w:val="000000000000" w:firstRow="0" w:lastRow="0" w:firstColumn="0" w:lastColumn="0" w:oddVBand="0" w:evenVBand="0" w:oddHBand="0" w:evenHBand="0" w:firstRowFirstColumn="0" w:firstRowLastColumn="0" w:lastRowFirstColumn="0" w:lastRowLastColumn="0"/>
              <w:rPr>
                <w:sz w:val="16"/>
                <w:szCs w:val="16"/>
              </w:rPr>
            </w:pPr>
          </w:p>
        </w:tc>
        <w:tc>
          <w:tcPr>
            <w:tcW w:w="1418" w:type="dxa"/>
            <w:vMerge/>
            <w:tcBorders>
              <w:left w:val="single" w:sz="4" w:space="0" w:color="AAABD6"/>
              <w:right w:val="single" w:sz="4" w:space="0" w:color="AAABD6"/>
            </w:tcBorders>
            <w:vAlign w:val="bottom"/>
          </w:tcPr>
          <w:p w14:paraId="273594A9" w14:textId="77777777" w:rsidR="00736026" w:rsidRPr="00100F0A" w:rsidRDefault="00736026" w:rsidP="002B2606">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10" w:type="dxa"/>
            <w:tcBorders>
              <w:top w:val="dotted" w:sz="4" w:space="0" w:color="AAABD6"/>
              <w:left w:val="single" w:sz="4" w:space="0" w:color="AAABD6"/>
              <w:bottom w:val="dotted" w:sz="4" w:space="0" w:color="AAABD6"/>
              <w:right w:val="single" w:sz="4" w:space="0" w:color="AAABD6"/>
            </w:tcBorders>
          </w:tcPr>
          <w:p w14:paraId="4D94ECE3"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510" w:type="dxa"/>
            <w:tcBorders>
              <w:top w:val="dotted" w:sz="4" w:space="0" w:color="AAABD6"/>
              <w:left w:val="single" w:sz="4" w:space="0" w:color="AAABD6"/>
              <w:bottom w:val="dotted" w:sz="4" w:space="0" w:color="AAABD6"/>
              <w:right w:val="single" w:sz="4" w:space="0" w:color="AAABD6"/>
            </w:tcBorders>
          </w:tcPr>
          <w:p w14:paraId="6550A3F8"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510" w:type="dxa"/>
            <w:tcBorders>
              <w:top w:val="dotted" w:sz="4" w:space="0" w:color="AAABD6"/>
              <w:left w:val="single" w:sz="4" w:space="0" w:color="AAABD6"/>
              <w:bottom w:val="dotted" w:sz="4" w:space="0" w:color="AAABD6"/>
              <w:right w:val="single" w:sz="4" w:space="0" w:color="AAABD6"/>
            </w:tcBorders>
          </w:tcPr>
          <w:p w14:paraId="61AF4353"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dotted" w:sz="4" w:space="0" w:color="AAABD6"/>
              <w:right w:val="single" w:sz="4" w:space="0" w:color="AAABD6"/>
            </w:tcBorders>
          </w:tcPr>
          <w:p w14:paraId="1BB6A604"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dotted" w:sz="4" w:space="0" w:color="AAABD6"/>
              <w:right w:val="single" w:sz="4" w:space="0" w:color="AAABD6"/>
            </w:tcBorders>
          </w:tcPr>
          <w:p w14:paraId="490B9948"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dotted" w:sz="4" w:space="0" w:color="AAABD6"/>
              <w:right w:val="single" w:sz="4" w:space="0" w:color="AAABD6"/>
            </w:tcBorders>
          </w:tcPr>
          <w:p w14:paraId="5D0430FA"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dotted" w:sz="4" w:space="0" w:color="AAABD6"/>
              <w:right w:val="single" w:sz="4" w:space="0" w:color="AAABD6"/>
            </w:tcBorders>
          </w:tcPr>
          <w:p w14:paraId="04D7CE26"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dotted" w:sz="4" w:space="0" w:color="AAABD6"/>
              <w:right w:val="single" w:sz="4" w:space="0" w:color="AAABD6"/>
            </w:tcBorders>
          </w:tcPr>
          <w:p w14:paraId="660C4DC9"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dotted" w:sz="4" w:space="0" w:color="AAABD6"/>
              <w:right w:val="single" w:sz="4" w:space="0" w:color="AAABD6"/>
            </w:tcBorders>
          </w:tcPr>
          <w:p w14:paraId="01110AE4"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dotted" w:sz="4" w:space="0" w:color="AAABD6"/>
              <w:right w:val="single" w:sz="4" w:space="0" w:color="AAABD6"/>
            </w:tcBorders>
          </w:tcPr>
          <w:p w14:paraId="05DB6B67"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dotted" w:sz="4" w:space="0" w:color="AAABD6"/>
              <w:right w:val="single" w:sz="4" w:space="0" w:color="AAABD6"/>
            </w:tcBorders>
          </w:tcPr>
          <w:p w14:paraId="4DB40617"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dotted" w:sz="4" w:space="0" w:color="AAABD6"/>
              <w:right w:val="single" w:sz="4" w:space="0" w:color="AAABD6"/>
            </w:tcBorders>
          </w:tcPr>
          <w:p w14:paraId="0E5A841F"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dotted" w:sz="4" w:space="0" w:color="AAABD6"/>
              <w:right w:val="single" w:sz="4" w:space="0" w:color="AAABD6"/>
            </w:tcBorders>
          </w:tcPr>
          <w:p w14:paraId="418B52BB"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dotted" w:sz="4" w:space="0" w:color="AAABD6"/>
              <w:right w:val="single" w:sz="4" w:space="0" w:color="AAABD6"/>
            </w:tcBorders>
          </w:tcPr>
          <w:p w14:paraId="18F1B5FD"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dotted" w:sz="4" w:space="0" w:color="AAABD6"/>
              <w:right w:val="single" w:sz="4" w:space="0" w:color="AAABD6"/>
            </w:tcBorders>
          </w:tcPr>
          <w:p w14:paraId="0BDF6D86"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dotted" w:sz="4" w:space="0" w:color="AAABD6"/>
              <w:right w:val="single" w:sz="4" w:space="0" w:color="AAABD6"/>
            </w:tcBorders>
          </w:tcPr>
          <w:p w14:paraId="15797384"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dotted" w:sz="4" w:space="0" w:color="AAABD6"/>
              <w:right w:val="single" w:sz="4" w:space="0" w:color="AAABD6"/>
            </w:tcBorders>
          </w:tcPr>
          <w:p w14:paraId="6F514D84"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dotted" w:sz="4" w:space="0" w:color="AAABD6"/>
              <w:right w:val="single" w:sz="4" w:space="0" w:color="AAABD6"/>
            </w:tcBorders>
          </w:tcPr>
          <w:p w14:paraId="1D17B47F"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dotted" w:sz="4" w:space="0" w:color="AAABD6"/>
              <w:right w:val="single" w:sz="4" w:space="0" w:color="AAABD6"/>
            </w:tcBorders>
          </w:tcPr>
          <w:p w14:paraId="31742336"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dotted" w:sz="4" w:space="0" w:color="AAABD6"/>
              <w:right w:val="single" w:sz="4" w:space="0" w:color="AAABD6"/>
            </w:tcBorders>
          </w:tcPr>
          <w:p w14:paraId="4F779580"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dotted" w:sz="4" w:space="0" w:color="AAABD6"/>
              <w:right w:val="single" w:sz="4" w:space="0" w:color="AAABD6"/>
            </w:tcBorders>
          </w:tcPr>
          <w:p w14:paraId="39AF22E5"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r>
      <w:tr w:rsidR="00736026" w:rsidRPr="00100F0A" w14:paraId="23648296" w14:textId="77777777" w:rsidTr="002B2606">
        <w:trPr>
          <w:jc w:val="center"/>
        </w:trPr>
        <w:tc>
          <w:tcPr>
            <w:cnfStyle w:val="001000000000" w:firstRow="0" w:lastRow="0" w:firstColumn="1" w:lastColumn="0" w:oddVBand="0" w:evenVBand="0" w:oddHBand="0" w:evenHBand="0" w:firstRowFirstColumn="0" w:firstRowLastColumn="0" w:lastRowFirstColumn="0" w:lastRowLastColumn="0"/>
            <w:tcW w:w="454" w:type="dxa"/>
            <w:tcBorders>
              <w:top w:val="dotted" w:sz="4" w:space="0" w:color="AAABD6"/>
              <w:left w:val="single" w:sz="4" w:space="0" w:color="AAABD6"/>
              <w:bottom w:val="single" w:sz="4" w:space="0" w:color="AAABD6"/>
              <w:right w:val="single" w:sz="4" w:space="0" w:color="AAABD6"/>
            </w:tcBorders>
          </w:tcPr>
          <w:p w14:paraId="7122AA95" w14:textId="77777777" w:rsidR="00736026" w:rsidRPr="00100F0A" w:rsidRDefault="00736026" w:rsidP="002B2606">
            <w:pPr>
              <w:rPr>
                <w:sz w:val="16"/>
                <w:szCs w:val="16"/>
              </w:rPr>
            </w:pPr>
            <w:r w:rsidRPr="00100F0A">
              <w:rPr>
                <w:sz w:val="16"/>
                <w:szCs w:val="16"/>
              </w:rPr>
              <w:t>Low</w:t>
            </w:r>
          </w:p>
        </w:tc>
        <w:tc>
          <w:tcPr>
            <w:tcW w:w="675" w:type="dxa"/>
            <w:vMerge/>
            <w:tcBorders>
              <w:left w:val="single" w:sz="4" w:space="0" w:color="AAABD6"/>
              <w:bottom w:val="dotted" w:sz="4" w:space="0" w:color="AAABD6"/>
              <w:right w:val="single" w:sz="4" w:space="0" w:color="AAABD6"/>
            </w:tcBorders>
          </w:tcPr>
          <w:p w14:paraId="59F710DC" w14:textId="77777777" w:rsidR="00736026" w:rsidRPr="00100F0A" w:rsidRDefault="00736026" w:rsidP="002B2606">
            <w:pPr>
              <w:cnfStyle w:val="000000000000" w:firstRow="0" w:lastRow="0" w:firstColumn="0" w:lastColumn="0" w:oddVBand="0" w:evenVBand="0" w:oddHBand="0" w:evenHBand="0" w:firstRowFirstColumn="0" w:firstRowLastColumn="0" w:lastRowFirstColumn="0" w:lastRowLastColumn="0"/>
              <w:rPr>
                <w:sz w:val="16"/>
                <w:szCs w:val="16"/>
              </w:rPr>
            </w:pPr>
          </w:p>
        </w:tc>
        <w:tc>
          <w:tcPr>
            <w:tcW w:w="1418" w:type="dxa"/>
            <w:vMerge/>
            <w:tcBorders>
              <w:left w:val="single" w:sz="4" w:space="0" w:color="AAABD6"/>
              <w:bottom w:val="single" w:sz="4" w:space="0" w:color="AAABD6"/>
              <w:right w:val="single" w:sz="4" w:space="0" w:color="AAABD6"/>
            </w:tcBorders>
            <w:vAlign w:val="bottom"/>
          </w:tcPr>
          <w:p w14:paraId="764EB623" w14:textId="77777777" w:rsidR="00736026" w:rsidRPr="00100F0A" w:rsidRDefault="00736026" w:rsidP="002B2606">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10" w:type="dxa"/>
            <w:tcBorders>
              <w:top w:val="dotted" w:sz="4" w:space="0" w:color="AAABD6"/>
              <w:left w:val="single" w:sz="4" w:space="0" w:color="AAABD6"/>
              <w:bottom w:val="single" w:sz="4" w:space="0" w:color="AAABD6"/>
              <w:right w:val="single" w:sz="4" w:space="0" w:color="AAABD6"/>
            </w:tcBorders>
          </w:tcPr>
          <w:p w14:paraId="44AE6456"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510" w:type="dxa"/>
            <w:tcBorders>
              <w:top w:val="dotted" w:sz="4" w:space="0" w:color="AAABD6"/>
              <w:left w:val="single" w:sz="4" w:space="0" w:color="AAABD6"/>
              <w:bottom w:val="single" w:sz="4" w:space="0" w:color="AAABD6"/>
              <w:right w:val="single" w:sz="4" w:space="0" w:color="AAABD6"/>
            </w:tcBorders>
          </w:tcPr>
          <w:p w14:paraId="714C0863"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510" w:type="dxa"/>
            <w:tcBorders>
              <w:top w:val="dotted" w:sz="4" w:space="0" w:color="AAABD6"/>
              <w:left w:val="single" w:sz="4" w:space="0" w:color="AAABD6"/>
              <w:bottom w:val="single" w:sz="4" w:space="0" w:color="AAABD6"/>
              <w:right w:val="single" w:sz="4" w:space="0" w:color="AAABD6"/>
            </w:tcBorders>
          </w:tcPr>
          <w:p w14:paraId="0CEAB34E"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single" w:sz="4" w:space="0" w:color="AAABD6"/>
              <w:right w:val="single" w:sz="4" w:space="0" w:color="AAABD6"/>
            </w:tcBorders>
          </w:tcPr>
          <w:p w14:paraId="22ED7C32"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single" w:sz="4" w:space="0" w:color="AAABD6"/>
              <w:right w:val="single" w:sz="4" w:space="0" w:color="AAABD6"/>
            </w:tcBorders>
          </w:tcPr>
          <w:p w14:paraId="0BC2613C"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single" w:sz="4" w:space="0" w:color="AAABD6"/>
              <w:right w:val="single" w:sz="4" w:space="0" w:color="AAABD6"/>
            </w:tcBorders>
          </w:tcPr>
          <w:p w14:paraId="3B18F0D2"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single" w:sz="4" w:space="0" w:color="AAABD6"/>
              <w:right w:val="single" w:sz="4" w:space="0" w:color="AAABD6"/>
            </w:tcBorders>
          </w:tcPr>
          <w:p w14:paraId="46DB80B4"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single" w:sz="4" w:space="0" w:color="AAABD6"/>
              <w:right w:val="single" w:sz="4" w:space="0" w:color="AAABD6"/>
            </w:tcBorders>
          </w:tcPr>
          <w:p w14:paraId="6DE5601D"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single" w:sz="4" w:space="0" w:color="AAABD6"/>
              <w:right w:val="single" w:sz="4" w:space="0" w:color="AAABD6"/>
            </w:tcBorders>
          </w:tcPr>
          <w:p w14:paraId="13A539DD"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single" w:sz="4" w:space="0" w:color="AAABD6"/>
              <w:right w:val="single" w:sz="4" w:space="0" w:color="AAABD6"/>
            </w:tcBorders>
          </w:tcPr>
          <w:p w14:paraId="44A99A8B"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single" w:sz="4" w:space="0" w:color="AAABD6"/>
              <w:right w:val="single" w:sz="4" w:space="0" w:color="AAABD6"/>
            </w:tcBorders>
          </w:tcPr>
          <w:p w14:paraId="399A965F"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single" w:sz="4" w:space="0" w:color="AAABD6"/>
              <w:right w:val="single" w:sz="4" w:space="0" w:color="AAABD6"/>
            </w:tcBorders>
          </w:tcPr>
          <w:p w14:paraId="7A87861C"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single" w:sz="4" w:space="0" w:color="AAABD6"/>
              <w:right w:val="single" w:sz="4" w:space="0" w:color="AAABD6"/>
            </w:tcBorders>
          </w:tcPr>
          <w:p w14:paraId="3C30EAF1"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single" w:sz="4" w:space="0" w:color="AAABD6"/>
              <w:right w:val="single" w:sz="4" w:space="0" w:color="AAABD6"/>
            </w:tcBorders>
          </w:tcPr>
          <w:p w14:paraId="3BB1E250"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single" w:sz="4" w:space="0" w:color="AAABD6"/>
              <w:right w:val="single" w:sz="4" w:space="0" w:color="AAABD6"/>
            </w:tcBorders>
          </w:tcPr>
          <w:p w14:paraId="3243EAD5"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single" w:sz="4" w:space="0" w:color="AAABD6"/>
              <w:right w:val="single" w:sz="4" w:space="0" w:color="AAABD6"/>
            </w:tcBorders>
          </w:tcPr>
          <w:p w14:paraId="7294CA10"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single" w:sz="4" w:space="0" w:color="AAABD6"/>
              <w:right w:val="single" w:sz="4" w:space="0" w:color="AAABD6"/>
            </w:tcBorders>
          </w:tcPr>
          <w:p w14:paraId="5118BC1A"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single" w:sz="4" w:space="0" w:color="AAABD6"/>
              <w:right w:val="single" w:sz="4" w:space="0" w:color="AAABD6"/>
            </w:tcBorders>
          </w:tcPr>
          <w:p w14:paraId="3CF507B0"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single" w:sz="4" w:space="0" w:color="AAABD6"/>
              <w:right w:val="single" w:sz="4" w:space="0" w:color="AAABD6"/>
            </w:tcBorders>
          </w:tcPr>
          <w:p w14:paraId="1F34C767"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single" w:sz="4" w:space="0" w:color="AAABD6"/>
              <w:right w:val="single" w:sz="4" w:space="0" w:color="AAABD6"/>
            </w:tcBorders>
          </w:tcPr>
          <w:p w14:paraId="46D27370"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c>
          <w:tcPr>
            <w:tcW w:w="680" w:type="dxa"/>
            <w:tcBorders>
              <w:top w:val="dotted" w:sz="4" w:space="0" w:color="AAABD6"/>
              <w:left w:val="single" w:sz="4" w:space="0" w:color="AAABD6"/>
              <w:bottom w:val="single" w:sz="4" w:space="0" w:color="AAABD6"/>
              <w:right w:val="single" w:sz="4" w:space="0" w:color="AAABD6"/>
            </w:tcBorders>
          </w:tcPr>
          <w:p w14:paraId="12A3724C"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w:t>
            </w:r>
          </w:p>
        </w:tc>
      </w:tr>
      <w:tr w:rsidR="00736026" w:rsidRPr="00100F0A" w14:paraId="37A25F0A" w14:textId="77777777" w:rsidTr="004206B0">
        <w:trPr>
          <w:jc w:val="center"/>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4" w:space="0" w:color="AAABD6"/>
              <w:left w:val="single" w:sz="4" w:space="0" w:color="AAABD6"/>
              <w:right w:val="single" w:sz="4" w:space="0" w:color="AAABD6"/>
            </w:tcBorders>
          </w:tcPr>
          <w:p w14:paraId="61F27813" w14:textId="77777777" w:rsidR="00736026" w:rsidRPr="00100F0A" w:rsidRDefault="00736026" w:rsidP="002B2606">
            <w:pPr>
              <w:rPr>
                <w:sz w:val="16"/>
                <w:szCs w:val="16"/>
              </w:rPr>
            </w:pPr>
            <w:r w:rsidRPr="00100F0A">
              <w:rPr>
                <w:iCs/>
                <w:color w:val="4D4DB8"/>
                <w:sz w:val="16"/>
                <w:szCs w:val="16"/>
              </w:rPr>
              <w:t>Arisings – absolute tonnes pa</w:t>
            </w:r>
          </w:p>
        </w:tc>
        <w:tc>
          <w:tcPr>
            <w:tcW w:w="0" w:type="dxa"/>
            <w:gridSpan w:val="2"/>
            <w:tcBorders>
              <w:top w:val="single" w:sz="4" w:space="0" w:color="AAABD6"/>
              <w:left w:val="single" w:sz="4" w:space="0" w:color="AAABD6"/>
              <w:bottom w:val="dotted" w:sz="4" w:space="0" w:color="AAABD6"/>
              <w:right w:val="single" w:sz="4" w:space="0" w:color="AAABD6"/>
            </w:tcBorders>
            <w:shd w:val="clear" w:color="auto" w:fill="auto"/>
          </w:tcPr>
          <w:p w14:paraId="2DF56AF6"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iCs/>
                <w:color w:val="4D4DB8"/>
                <w:sz w:val="16"/>
                <w:szCs w:val="16"/>
              </w:rPr>
            </w:pPr>
            <w:r w:rsidRPr="00100F0A">
              <w:rPr>
                <w:iCs/>
                <w:color w:val="4D4DB8"/>
                <w:sz w:val="16"/>
                <w:szCs w:val="16"/>
              </w:rPr>
              <w:t>Proportions</w:t>
            </w:r>
          </w:p>
        </w:tc>
        <w:tc>
          <w:tcPr>
            <w:tcW w:w="0" w:type="dxa"/>
            <w:gridSpan w:val="19"/>
            <w:tcBorders>
              <w:top w:val="single" w:sz="4" w:space="0" w:color="AAABD6"/>
              <w:left w:val="single" w:sz="4" w:space="0" w:color="AAABD6"/>
              <w:bottom w:val="dotted" w:sz="4" w:space="0" w:color="AAABD6"/>
              <w:right w:val="single" w:sz="4" w:space="0" w:color="AAABD6"/>
            </w:tcBorders>
          </w:tcPr>
          <w:p w14:paraId="3B153516"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r>
      <w:tr w:rsidR="005B545D" w:rsidRPr="00100F0A" w14:paraId="096CC6B6"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4" w:space="0" w:color="AAABD6"/>
              <w:left w:val="single" w:sz="4" w:space="0" w:color="AAABD6"/>
              <w:right w:val="single" w:sz="4" w:space="0" w:color="AAABD6"/>
            </w:tcBorders>
          </w:tcPr>
          <w:p w14:paraId="6B24D880" w14:textId="77777777" w:rsidR="00736026" w:rsidRPr="00100F0A" w:rsidRDefault="00736026" w:rsidP="002B2606">
            <w:pPr>
              <w:rPr>
                <w:sz w:val="16"/>
                <w:szCs w:val="16"/>
              </w:rPr>
            </w:pPr>
            <w:r w:rsidRPr="00100F0A">
              <w:rPr>
                <w:sz w:val="16"/>
                <w:szCs w:val="16"/>
              </w:rPr>
              <w:t>Best</w:t>
            </w:r>
          </w:p>
        </w:tc>
        <w:tc>
          <w:tcPr>
            <w:tcW w:w="0" w:type="dxa"/>
            <w:tcBorders>
              <w:top w:val="single" w:sz="4" w:space="0" w:color="AAABD6"/>
              <w:left w:val="single" w:sz="4" w:space="0" w:color="AAABD6"/>
              <w:bottom w:val="dotted" w:sz="4" w:space="0" w:color="AAABD6"/>
              <w:right w:val="single" w:sz="4" w:space="0" w:color="AAABD6"/>
            </w:tcBorders>
          </w:tcPr>
          <w:p w14:paraId="7F92867B" w14:textId="77777777" w:rsidR="00736026" w:rsidRPr="00100F0A" w:rsidRDefault="00736026" w:rsidP="002B260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ACT</w:t>
            </w:r>
          </w:p>
        </w:tc>
        <w:tc>
          <w:tcPr>
            <w:tcW w:w="0" w:type="dxa"/>
            <w:vMerge w:val="restart"/>
            <w:tcBorders>
              <w:top w:val="single" w:sz="4" w:space="0" w:color="AAABD6"/>
              <w:left w:val="single" w:sz="4" w:space="0" w:color="AAABD6"/>
              <w:right w:val="single" w:sz="4" w:space="0" w:color="AAABD6"/>
            </w:tcBorders>
            <w:vAlign w:val="center"/>
          </w:tcPr>
          <w:p w14:paraId="333E10C0" w14:textId="77777777" w:rsidR="00736026" w:rsidRPr="00100F0A" w:rsidRDefault="00736026" w:rsidP="002B260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2% of Australian biosolids</w:t>
            </w:r>
          </w:p>
        </w:tc>
        <w:tc>
          <w:tcPr>
            <w:tcW w:w="0" w:type="dxa"/>
            <w:tcBorders>
              <w:top w:val="single" w:sz="4" w:space="0" w:color="AAABD6"/>
              <w:left w:val="single" w:sz="4" w:space="0" w:color="AAABD6"/>
              <w:bottom w:val="dotted" w:sz="4" w:space="0" w:color="AAABD6"/>
              <w:right w:val="nil"/>
            </w:tcBorders>
            <w:shd w:val="clear" w:color="auto" w:fill="auto"/>
          </w:tcPr>
          <w:p w14:paraId="6F155729"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single" w:sz="4" w:space="0" w:color="AAABD6"/>
              <w:left w:val="nil"/>
              <w:bottom w:val="dotted" w:sz="4" w:space="0" w:color="AAABD6"/>
              <w:right w:val="single" w:sz="4" w:space="0" w:color="AAABD6"/>
            </w:tcBorders>
            <w:shd w:val="clear" w:color="auto" w:fill="auto"/>
          </w:tcPr>
          <w:p w14:paraId="20BDAFB1"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iCs/>
                <w:color w:val="4D4DB8"/>
                <w:sz w:val="16"/>
                <w:szCs w:val="16"/>
              </w:rPr>
            </w:pPr>
            <w:r w:rsidRPr="00100F0A">
              <w:rPr>
                <w:iCs/>
                <w:color w:val="4D4DB8"/>
                <w:sz w:val="16"/>
                <w:szCs w:val="16"/>
              </w:rPr>
              <w:t>-</w:t>
            </w:r>
          </w:p>
        </w:tc>
        <w:tc>
          <w:tcPr>
            <w:tcW w:w="0" w:type="dxa"/>
            <w:tcBorders>
              <w:top w:val="single" w:sz="4" w:space="0" w:color="AAABD6"/>
              <w:left w:val="single" w:sz="4" w:space="0" w:color="AAABD6"/>
              <w:bottom w:val="dotted" w:sz="4" w:space="0" w:color="AAABD6"/>
              <w:right w:val="single" w:sz="4" w:space="0" w:color="AAABD6"/>
            </w:tcBorders>
          </w:tcPr>
          <w:p w14:paraId="2809CD14"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 </w:t>
            </w:r>
          </w:p>
        </w:tc>
        <w:tc>
          <w:tcPr>
            <w:tcW w:w="0" w:type="dxa"/>
            <w:tcBorders>
              <w:top w:val="single" w:sz="4" w:space="0" w:color="AAABD6"/>
              <w:left w:val="single" w:sz="4" w:space="0" w:color="AAABD6"/>
              <w:bottom w:val="dotted" w:sz="4" w:space="0" w:color="AAABD6"/>
              <w:right w:val="single" w:sz="4" w:space="0" w:color="AAABD6"/>
            </w:tcBorders>
          </w:tcPr>
          <w:p w14:paraId="1B0D3F73"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0" w:type="dxa"/>
            <w:tcBorders>
              <w:top w:val="single" w:sz="4" w:space="0" w:color="AAABD6"/>
              <w:left w:val="single" w:sz="4" w:space="0" w:color="AAABD6"/>
              <w:bottom w:val="dotted" w:sz="4" w:space="0" w:color="AAABD6"/>
              <w:right w:val="single" w:sz="4" w:space="0" w:color="AAABD6"/>
            </w:tcBorders>
          </w:tcPr>
          <w:p w14:paraId="6647E7AE"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0" w:type="dxa"/>
            <w:tcBorders>
              <w:top w:val="single" w:sz="4" w:space="0" w:color="AAABD6"/>
              <w:left w:val="single" w:sz="4" w:space="0" w:color="AAABD6"/>
              <w:bottom w:val="dotted" w:sz="4" w:space="0" w:color="AAABD6"/>
              <w:right w:val="single" w:sz="4" w:space="0" w:color="AAABD6"/>
            </w:tcBorders>
          </w:tcPr>
          <w:p w14:paraId="6F8FF44C"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0" w:type="dxa"/>
            <w:tcBorders>
              <w:top w:val="single" w:sz="4" w:space="0" w:color="AAABD6"/>
              <w:left w:val="single" w:sz="4" w:space="0" w:color="AAABD6"/>
              <w:bottom w:val="dotted" w:sz="4" w:space="0" w:color="AAABD6"/>
              <w:right w:val="single" w:sz="4" w:space="0" w:color="AAABD6"/>
            </w:tcBorders>
          </w:tcPr>
          <w:p w14:paraId="009BEBA5"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0" w:type="dxa"/>
            <w:tcBorders>
              <w:top w:val="single" w:sz="4" w:space="0" w:color="AAABD6"/>
              <w:left w:val="single" w:sz="4" w:space="0" w:color="AAABD6"/>
              <w:bottom w:val="dotted" w:sz="4" w:space="0" w:color="AAABD6"/>
              <w:right w:val="single" w:sz="4" w:space="0" w:color="AAABD6"/>
            </w:tcBorders>
          </w:tcPr>
          <w:p w14:paraId="78ABB8EF"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0" w:type="dxa"/>
            <w:tcBorders>
              <w:top w:val="single" w:sz="4" w:space="0" w:color="AAABD6"/>
              <w:left w:val="single" w:sz="4" w:space="0" w:color="AAABD6"/>
              <w:bottom w:val="dotted" w:sz="4" w:space="0" w:color="AAABD6"/>
              <w:right w:val="single" w:sz="4" w:space="0" w:color="AAABD6"/>
            </w:tcBorders>
          </w:tcPr>
          <w:p w14:paraId="6EE2982B"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0" w:type="dxa"/>
            <w:tcBorders>
              <w:top w:val="single" w:sz="4" w:space="0" w:color="AAABD6"/>
              <w:left w:val="single" w:sz="4" w:space="0" w:color="AAABD6"/>
              <w:bottom w:val="dotted" w:sz="4" w:space="0" w:color="AAABD6"/>
              <w:right w:val="single" w:sz="4" w:space="0" w:color="AAABD6"/>
            </w:tcBorders>
          </w:tcPr>
          <w:p w14:paraId="05F48BDB"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0" w:type="dxa"/>
            <w:tcBorders>
              <w:top w:val="single" w:sz="4" w:space="0" w:color="AAABD6"/>
              <w:left w:val="single" w:sz="4" w:space="0" w:color="AAABD6"/>
              <w:bottom w:val="dotted" w:sz="4" w:space="0" w:color="AAABD6"/>
              <w:right w:val="single" w:sz="4" w:space="0" w:color="AAABD6"/>
            </w:tcBorders>
          </w:tcPr>
          <w:p w14:paraId="11A60922"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0" w:type="dxa"/>
            <w:tcBorders>
              <w:top w:val="single" w:sz="4" w:space="0" w:color="AAABD6"/>
              <w:left w:val="single" w:sz="4" w:space="0" w:color="AAABD6"/>
              <w:bottom w:val="dotted" w:sz="4" w:space="0" w:color="AAABD6"/>
              <w:right w:val="single" w:sz="4" w:space="0" w:color="AAABD6"/>
            </w:tcBorders>
          </w:tcPr>
          <w:p w14:paraId="29B91626"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0" w:type="dxa"/>
            <w:tcBorders>
              <w:top w:val="single" w:sz="4" w:space="0" w:color="AAABD6"/>
              <w:left w:val="single" w:sz="4" w:space="0" w:color="AAABD6"/>
              <w:bottom w:val="dotted" w:sz="4" w:space="0" w:color="AAABD6"/>
              <w:right w:val="single" w:sz="4" w:space="0" w:color="AAABD6"/>
            </w:tcBorders>
          </w:tcPr>
          <w:p w14:paraId="3C937D82"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0" w:type="dxa"/>
            <w:tcBorders>
              <w:top w:val="single" w:sz="4" w:space="0" w:color="AAABD6"/>
              <w:left w:val="single" w:sz="4" w:space="0" w:color="AAABD6"/>
              <w:bottom w:val="dotted" w:sz="4" w:space="0" w:color="AAABD6"/>
              <w:right w:val="single" w:sz="4" w:space="0" w:color="AAABD6"/>
            </w:tcBorders>
          </w:tcPr>
          <w:p w14:paraId="0142A591"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0" w:type="dxa"/>
            <w:tcBorders>
              <w:top w:val="single" w:sz="4" w:space="0" w:color="AAABD6"/>
              <w:left w:val="single" w:sz="4" w:space="0" w:color="AAABD6"/>
              <w:bottom w:val="dotted" w:sz="4" w:space="0" w:color="AAABD6"/>
              <w:right w:val="single" w:sz="4" w:space="0" w:color="AAABD6"/>
            </w:tcBorders>
          </w:tcPr>
          <w:p w14:paraId="74D66E22"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0" w:type="dxa"/>
            <w:tcBorders>
              <w:top w:val="single" w:sz="4" w:space="0" w:color="AAABD6"/>
              <w:left w:val="single" w:sz="4" w:space="0" w:color="AAABD6"/>
              <w:bottom w:val="dotted" w:sz="4" w:space="0" w:color="AAABD6"/>
              <w:right w:val="single" w:sz="4" w:space="0" w:color="AAABD6"/>
            </w:tcBorders>
          </w:tcPr>
          <w:p w14:paraId="614C12F9"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0" w:type="dxa"/>
            <w:tcBorders>
              <w:top w:val="single" w:sz="4" w:space="0" w:color="AAABD6"/>
              <w:left w:val="single" w:sz="4" w:space="0" w:color="AAABD6"/>
              <w:bottom w:val="dotted" w:sz="4" w:space="0" w:color="AAABD6"/>
              <w:right w:val="single" w:sz="4" w:space="0" w:color="AAABD6"/>
            </w:tcBorders>
          </w:tcPr>
          <w:p w14:paraId="3E80D32B"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0" w:type="dxa"/>
            <w:tcBorders>
              <w:top w:val="single" w:sz="4" w:space="0" w:color="AAABD6"/>
              <w:left w:val="single" w:sz="4" w:space="0" w:color="AAABD6"/>
              <w:bottom w:val="dotted" w:sz="4" w:space="0" w:color="AAABD6"/>
              <w:right w:val="single" w:sz="4" w:space="0" w:color="AAABD6"/>
            </w:tcBorders>
          </w:tcPr>
          <w:p w14:paraId="6F31E3FF"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0" w:type="dxa"/>
            <w:tcBorders>
              <w:top w:val="single" w:sz="4" w:space="0" w:color="AAABD6"/>
              <w:left w:val="single" w:sz="4" w:space="0" w:color="AAABD6"/>
              <w:bottom w:val="dotted" w:sz="4" w:space="0" w:color="AAABD6"/>
              <w:right w:val="single" w:sz="4" w:space="0" w:color="AAABD6"/>
            </w:tcBorders>
          </w:tcPr>
          <w:p w14:paraId="6804A37F"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0" w:type="dxa"/>
            <w:tcBorders>
              <w:top w:val="single" w:sz="4" w:space="0" w:color="AAABD6"/>
              <w:left w:val="single" w:sz="4" w:space="0" w:color="AAABD6"/>
              <w:bottom w:val="dotted" w:sz="4" w:space="0" w:color="AAABD6"/>
              <w:right w:val="single" w:sz="4" w:space="0" w:color="AAABD6"/>
            </w:tcBorders>
          </w:tcPr>
          <w:p w14:paraId="150134B4"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0" w:type="dxa"/>
            <w:tcBorders>
              <w:top w:val="single" w:sz="4" w:space="0" w:color="AAABD6"/>
              <w:left w:val="single" w:sz="4" w:space="0" w:color="AAABD6"/>
              <w:bottom w:val="dotted" w:sz="4" w:space="0" w:color="AAABD6"/>
              <w:right w:val="single" w:sz="4" w:space="0" w:color="AAABD6"/>
            </w:tcBorders>
          </w:tcPr>
          <w:p w14:paraId="6A4F90A4"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r>
      <w:tr w:rsidR="005B545D" w:rsidRPr="00100F0A" w14:paraId="1EE9AEE5"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tcPr>
          <w:p w14:paraId="2D0FF382" w14:textId="77777777" w:rsidR="00736026" w:rsidRPr="00100F0A" w:rsidRDefault="00736026" w:rsidP="002B2606">
            <w:pPr>
              <w:rPr>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57FD8F54" w14:textId="77777777" w:rsidR="00736026" w:rsidRPr="00100F0A" w:rsidRDefault="00736026" w:rsidP="002B260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NSW</w:t>
            </w:r>
          </w:p>
        </w:tc>
        <w:tc>
          <w:tcPr>
            <w:tcW w:w="0" w:type="dxa"/>
            <w:vMerge/>
            <w:tcBorders>
              <w:left w:val="single" w:sz="4" w:space="0" w:color="AAABD6"/>
              <w:right w:val="single" w:sz="4" w:space="0" w:color="AAABD6"/>
            </w:tcBorders>
          </w:tcPr>
          <w:p w14:paraId="35705FD6" w14:textId="77777777" w:rsidR="00736026" w:rsidRPr="00100F0A" w:rsidRDefault="00736026" w:rsidP="002B2606">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dotted" w:sz="4" w:space="0" w:color="AAABD6"/>
              <w:left w:val="single" w:sz="4" w:space="0" w:color="AAABD6"/>
              <w:bottom w:val="dotted" w:sz="4" w:space="0" w:color="AAABD6"/>
              <w:right w:val="nil"/>
            </w:tcBorders>
            <w:shd w:val="clear" w:color="auto" w:fill="auto"/>
          </w:tcPr>
          <w:p w14:paraId="331951CF"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tc>
        <w:tc>
          <w:tcPr>
            <w:tcW w:w="0" w:type="dxa"/>
            <w:tcBorders>
              <w:top w:val="dotted" w:sz="4" w:space="0" w:color="AAABD6"/>
              <w:left w:val="nil"/>
              <w:bottom w:val="dotted" w:sz="4" w:space="0" w:color="AAABD6"/>
              <w:right w:val="single" w:sz="4" w:space="0" w:color="AAABD6"/>
            </w:tcBorders>
            <w:shd w:val="clear" w:color="auto" w:fill="auto"/>
          </w:tcPr>
          <w:p w14:paraId="6D644D76"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iCs/>
                <w:color w:val="4D4DB8"/>
                <w:sz w:val="16"/>
                <w:szCs w:val="16"/>
              </w:rPr>
            </w:pPr>
            <w:r w:rsidRPr="00100F0A">
              <w:rPr>
                <w:iCs/>
                <w:color w:val="4D4DB8"/>
                <w:sz w:val="16"/>
                <w:szCs w:val="16"/>
              </w:rPr>
              <w:t>31%</w:t>
            </w:r>
          </w:p>
        </w:tc>
        <w:tc>
          <w:tcPr>
            <w:tcW w:w="0" w:type="dxa"/>
            <w:tcBorders>
              <w:top w:val="dotted" w:sz="4" w:space="0" w:color="AAABD6"/>
              <w:left w:val="single" w:sz="4" w:space="0" w:color="AAABD6"/>
              <w:bottom w:val="dotted" w:sz="4" w:space="0" w:color="AAABD6"/>
              <w:right w:val="single" w:sz="4" w:space="0" w:color="AAABD6"/>
            </w:tcBorders>
          </w:tcPr>
          <w:p w14:paraId="3BFC8AD9"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62677EB9"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9,957</w:t>
            </w:r>
          </w:p>
        </w:tc>
        <w:tc>
          <w:tcPr>
            <w:tcW w:w="0" w:type="dxa"/>
            <w:tcBorders>
              <w:top w:val="dotted" w:sz="4" w:space="0" w:color="AAABD6"/>
              <w:left w:val="single" w:sz="4" w:space="0" w:color="AAABD6"/>
              <w:bottom w:val="dotted" w:sz="4" w:space="0" w:color="AAABD6"/>
              <w:right w:val="single" w:sz="4" w:space="0" w:color="AAABD6"/>
            </w:tcBorders>
          </w:tcPr>
          <w:p w14:paraId="37755B85"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10,097</w:t>
            </w:r>
          </w:p>
        </w:tc>
        <w:tc>
          <w:tcPr>
            <w:tcW w:w="0" w:type="dxa"/>
            <w:tcBorders>
              <w:top w:val="dotted" w:sz="4" w:space="0" w:color="AAABD6"/>
              <w:left w:val="single" w:sz="4" w:space="0" w:color="AAABD6"/>
              <w:bottom w:val="dotted" w:sz="4" w:space="0" w:color="AAABD6"/>
              <w:right w:val="single" w:sz="4" w:space="0" w:color="AAABD6"/>
            </w:tcBorders>
          </w:tcPr>
          <w:p w14:paraId="2C44CEC4"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10,240</w:t>
            </w:r>
          </w:p>
        </w:tc>
        <w:tc>
          <w:tcPr>
            <w:tcW w:w="0" w:type="dxa"/>
            <w:tcBorders>
              <w:top w:val="dotted" w:sz="4" w:space="0" w:color="AAABD6"/>
              <w:left w:val="single" w:sz="4" w:space="0" w:color="AAABD6"/>
              <w:bottom w:val="dotted" w:sz="4" w:space="0" w:color="AAABD6"/>
              <w:right w:val="single" w:sz="4" w:space="0" w:color="AAABD6"/>
            </w:tcBorders>
          </w:tcPr>
          <w:p w14:paraId="66BCF9B0"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10,385</w:t>
            </w:r>
          </w:p>
        </w:tc>
        <w:tc>
          <w:tcPr>
            <w:tcW w:w="0" w:type="dxa"/>
            <w:tcBorders>
              <w:top w:val="dotted" w:sz="4" w:space="0" w:color="AAABD6"/>
              <w:left w:val="single" w:sz="4" w:space="0" w:color="AAABD6"/>
              <w:bottom w:val="dotted" w:sz="4" w:space="0" w:color="AAABD6"/>
              <w:right w:val="single" w:sz="4" w:space="0" w:color="AAABD6"/>
            </w:tcBorders>
          </w:tcPr>
          <w:p w14:paraId="7AC3AF86"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10,531</w:t>
            </w:r>
          </w:p>
        </w:tc>
        <w:tc>
          <w:tcPr>
            <w:tcW w:w="0" w:type="dxa"/>
            <w:tcBorders>
              <w:top w:val="dotted" w:sz="4" w:space="0" w:color="AAABD6"/>
              <w:left w:val="single" w:sz="4" w:space="0" w:color="AAABD6"/>
              <w:bottom w:val="dotted" w:sz="4" w:space="0" w:color="AAABD6"/>
              <w:right w:val="single" w:sz="4" w:space="0" w:color="AAABD6"/>
            </w:tcBorders>
          </w:tcPr>
          <w:p w14:paraId="403198AC"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10,680</w:t>
            </w:r>
          </w:p>
        </w:tc>
        <w:tc>
          <w:tcPr>
            <w:tcW w:w="0" w:type="dxa"/>
            <w:tcBorders>
              <w:top w:val="dotted" w:sz="4" w:space="0" w:color="AAABD6"/>
              <w:left w:val="single" w:sz="4" w:space="0" w:color="AAABD6"/>
              <w:bottom w:val="dotted" w:sz="4" w:space="0" w:color="AAABD6"/>
              <w:right w:val="single" w:sz="4" w:space="0" w:color="AAABD6"/>
            </w:tcBorders>
          </w:tcPr>
          <w:p w14:paraId="49BAD507"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10,831</w:t>
            </w:r>
          </w:p>
        </w:tc>
        <w:tc>
          <w:tcPr>
            <w:tcW w:w="0" w:type="dxa"/>
            <w:tcBorders>
              <w:top w:val="dotted" w:sz="4" w:space="0" w:color="AAABD6"/>
              <w:left w:val="single" w:sz="4" w:space="0" w:color="AAABD6"/>
              <w:bottom w:val="dotted" w:sz="4" w:space="0" w:color="AAABD6"/>
              <w:right w:val="single" w:sz="4" w:space="0" w:color="AAABD6"/>
            </w:tcBorders>
          </w:tcPr>
          <w:p w14:paraId="1F8B3F84"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10,984</w:t>
            </w:r>
          </w:p>
        </w:tc>
        <w:tc>
          <w:tcPr>
            <w:tcW w:w="0" w:type="dxa"/>
            <w:tcBorders>
              <w:top w:val="dotted" w:sz="4" w:space="0" w:color="AAABD6"/>
              <w:left w:val="single" w:sz="4" w:space="0" w:color="AAABD6"/>
              <w:bottom w:val="dotted" w:sz="4" w:space="0" w:color="AAABD6"/>
              <w:right w:val="single" w:sz="4" w:space="0" w:color="AAABD6"/>
            </w:tcBorders>
          </w:tcPr>
          <w:p w14:paraId="3C1079DA"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11,139</w:t>
            </w:r>
          </w:p>
        </w:tc>
        <w:tc>
          <w:tcPr>
            <w:tcW w:w="0" w:type="dxa"/>
            <w:tcBorders>
              <w:top w:val="dotted" w:sz="4" w:space="0" w:color="AAABD6"/>
              <w:left w:val="single" w:sz="4" w:space="0" w:color="AAABD6"/>
              <w:bottom w:val="dotted" w:sz="4" w:space="0" w:color="AAABD6"/>
              <w:right w:val="single" w:sz="4" w:space="0" w:color="AAABD6"/>
            </w:tcBorders>
          </w:tcPr>
          <w:p w14:paraId="5F1F844C"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11,296</w:t>
            </w:r>
          </w:p>
        </w:tc>
        <w:tc>
          <w:tcPr>
            <w:tcW w:w="0" w:type="dxa"/>
            <w:tcBorders>
              <w:top w:val="dotted" w:sz="4" w:space="0" w:color="AAABD6"/>
              <w:left w:val="single" w:sz="4" w:space="0" w:color="AAABD6"/>
              <w:bottom w:val="dotted" w:sz="4" w:space="0" w:color="AAABD6"/>
              <w:right w:val="single" w:sz="4" w:space="0" w:color="AAABD6"/>
            </w:tcBorders>
          </w:tcPr>
          <w:p w14:paraId="57234B39"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11,456</w:t>
            </w:r>
          </w:p>
        </w:tc>
        <w:tc>
          <w:tcPr>
            <w:tcW w:w="0" w:type="dxa"/>
            <w:tcBorders>
              <w:top w:val="dotted" w:sz="4" w:space="0" w:color="AAABD6"/>
              <w:left w:val="single" w:sz="4" w:space="0" w:color="AAABD6"/>
              <w:bottom w:val="dotted" w:sz="4" w:space="0" w:color="AAABD6"/>
              <w:right w:val="single" w:sz="4" w:space="0" w:color="AAABD6"/>
            </w:tcBorders>
          </w:tcPr>
          <w:p w14:paraId="0009ADF7"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11,617</w:t>
            </w:r>
          </w:p>
        </w:tc>
        <w:tc>
          <w:tcPr>
            <w:tcW w:w="0" w:type="dxa"/>
            <w:tcBorders>
              <w:top w:val="dotted" w:sz="4" w:space="0" w:color="AAABD6"/>
              <w:left w:val="single" w:sz="4" w:space="0" w:color="AAABD6"/>
              <w:bottom w:val="dotted" w:sz="4" w:space="0" w:color="AAABD6"/>
              <w:right w:val="single" w:sz="4" w:space="0" w:color="AAABD6"/>
            </w:tcBorders>
          </w:tcPr>
          <w:p w14:paraId="0E63918F"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11,781</w:t>
            </w:r>
          </w:p>
        </w:tc>
        <w:tc>
          <w:tcPr>
            <w:tcW w:w="0" w:type="dxa"/>
            <w:tcBorders>
              <w:top w:val="dotted" w:sz="4" w:space="0" w:color="AAABD6"/>
              <w:left w:val="single" w:sz="4" w:space="0" w:color="AAABD6"/>
              <w:bottom w:val="dotted" w:sz="4" w:space="0" w:color="AAABD6"/>
              <w:right w:val="single" w:sz="4" w:space="0" w:color="AAABD6"/>
            </w:tcBorders>
          </w:tcPr>
          <w:p w14:paraId="1CD3D09A"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11,948</w:t>
            </w:r>
          </w:p>
        </w:tc>
        <w:tc>
          <w:tcPr>
            <w:tcW w:w="0" w:type="dxa"/>
            <w:tcBorders>
              <w:top w:val="dotted" w:sz="4" w:space="0" w:color="AAABD6"/>
              <w:left w:val="single" w:sz="4" w:space="0" w:color="AAABD6"/>
              <w:bottom w:val="dotted" w:sz="4" w:space="0" w:color="AAABD6"/>
              <w:right w:val="single" w:sz="4" w:space="0" w:color="AAABD6"/>
            </w:tcBorders>
          </w:tcPr>
          <w:p w14:paraId="04F6672E"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12,117</w:t>
            </w:r>
          </w:p>
        </w:tc>
        <w:tc>
          <w:tcPr>
            <w:tcW w:w="0" w:type="dxa"/>
            <w:tcBorders>
              <w:top w:val="dotted" w:sz="4" w:space="0" w:color="AAABD6"/>
              <w:left w:val="single" w:sz="4" w:space="0" w:color="AAABD6"/>
              <w:bottom w:val="dotted" w:sz="4" w:space="0" w:color="AAABD6"/>
              <w:right w:val="single" w:sz="4" w:space="0" w:color="AAABD6"/>
            </w:tcBorders>
          </w:tcPr>
          <w:p w14:paraId="7BE0F8B2"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12,288</w:t>
            </w:r>
          </w:p>
        </w:tc>
        <w:tc>
          <w:tcPr>
            <w:tcW w:w="0" w:type="dxa"/>
            <w:tcBorders>
              <w:top w:val="dotted" w:sz="4" w:space="0" w:color="AAABD6"/>
              <w:left w:val="single" w:sz="4" w:space="0" w:color="AAABD6"/>
              <w:bottom w:val="dotted" w:sz="4" w:space="0" w:color="AAABD6"/>
              <w:right w:val="single" w:sz="4" w:space="0" w:color="AAABD6"/>
            </w:tcBorders>
          </w:tcPr>
          <w:p w14:paraId="00B1AC38"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12,461</w:t>
            </w:r>
          </w:p>
        </w:tc>
        <w:tc>
          <w:tcPr>
            <w:tcW w:w="0" w:type="dxa"/>
            <w:tcBorders>
              <w:top w:val="dotted" w:sz="4" w:space="0" w:color="AAABD6"/>
              <w:left w:val="single" w:sz="4" w:space="0" w:color="AAABD6"/>
              <w:bottom w:val="dotted" w:sz="4" w:space="0" w:color="AAABD6"/>
              <w:right w:val="single" w:sz="4" w:space="0" w:color="AAABD6"/>
            </w:tcBorders>
          </w:tcPr>
          <w:p w14:paraId="3B289505"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12,637</w:t>
            </w:r>
          </w:p>
        </w:tc>
      </w:tr>
      <w:tr w:rsidR="005B545D" w:rsidRPr="00100F0A" w14:paraId="2EEE40EF"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tcPr>
          <w:p w14:paraId="05E7507A" w14:textId="77777777" w:rsidR="00736026" w:rsidRPr="00100F0A" w:rsidRDefault="00736026" w:rsidP="002B2606">
            <w:pPr>
              <w:rPr>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1606FE29" w14:textId="77777777" w:rsidR="00736026" w:rsidRPr="00100F0A" w:rsidRDefault="00736026" w:rsidP="002B260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NT</w:t>
            </w:r>
          </w:p>
        </w:tc>
        <w:tc>
          <w:tcPr>
            <w:tcW w:w="0" w:type="dxa"/>
            <w:vMerge/>
            <w:tcBorders>
              <w:left w:val="single" w:sz="4" w:space="0" w:color="AAABD6"/>
              <w:right w:val="single" w:sz="4" w:space="0" w:color="AAABD6"/>
            </w:tcBorders>
          </w:tcPr>
          <w:p w14:paraId="25513A52" w14:textId="77777777" w:rsidR="00736026" w:rsidRPr="00100F0A" w:rsidRDefault="00736026" w:rsidP="002B2606">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dotted" w:sz="4" w:space="0" w:color="AAABD6"/>
              <w:left w:val="single" w:sz="4" w:space="0" w:color="AAABD6"/>
              <w:bottom w:val="dotted" w:sz="4" w:space="0" w:color="AAABD6"/>
              <w:right w:val="nil"/>
            </w:tcBorders>
            <w:shd w:val="clear" w:color="auto" w:fill="auto"/>
          </w:tcPr>
          <w:p w14:paraId="383723F2"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tc>
        <w:tc>
          <w:tcPr>
            <w:tcW w:w="0" w:type="dxa"/>
            <w:tcBorders>
              <w:top w:val="dotted" w:sz="4" w:space="0" w:color="AAABD6"/>
              <w:left w:val="nil"/>
              <w:bottom w:val="dotted" w:sz="4" w:space="0" w:color="AAABD6"/>
              <w:right w:val="single" w:sz="4" w:space="0" w:color="AAABD6"/>
            </w:tcBorders>
            <w:shd w:val="clear" w:color="auto" w:fill="auto"/>
          </w:tcPr>
          <w:p w14:paraId="366AD1AF"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iCs/>
                <w:color w:val="4D4DB8"/>
                <w:sz w:val="16"/>
                <w:szCs w:val="16"/>
              </w:rPr>
            </w:pPr>
            <w:r w:rsidRPr="00100F0A">
              <w:rPr>
                <w:iCs/>
                <w:color w:val="4D4DB8"/>
                <w:sz w:val="16"/>
                <w:szCs w:val="16"/>
              </w:rPr>
              <w:t>1%</w:t>
            </w:r>
          </w:p>
        </w:tc>
        <w:tc>
          <w:tcPr>
            <w:tcW w:w="0" w:type="dxa"/>
            <w:tcBorders>
              <w:top w:val="dotted" w:sz="4" w:space="0" w:color="AAABD6"/>
              <w:left w:val="single" w:sz="4" w:space="0" w:color="AAABD6"/>
              <w:bottom w:val="dotted" w:sz="4" w:space="0" w:color="AAABD6"/>
              <w:right w:val="single" w:sz="4" w:space="0" w:color="AAABD6"/>
            </w:tcBorders>
          </w:tcPr>
          <w:p w14:paraId="3AFAE717"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46801FE4"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332</w:t>
            </w:r>
          </w:p>
        </w:tc>
        <w:tc>
          <w:tcPr>
            <w:tcW w:w="0" w:type="dxa"/>
            <w:tcBorders>
              <w:top w:val="dotted" w:sz="4" w:space="0" w:color="AAABD6"/>
              <w:left w:val="single" w:sz="4" w:space="0" w:color="AAABD6"/>
              <w:bottom w:val="dotted" w:sz="4" w:space="0" w:color="AAABD6"/>
              <w:right w:val="single" w:sz="4" w:space="0" w:color="AAABD6"/>
            </w:tcBorders>
          </w:tcPr>
          <w:p w14:paraId="3C54530F"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337</w:t>
            </w:r>
          </w:p>
        </w:tc>
        <w:tc>
          <w:tcPr>
            <w:tcW w:w="0" w:type="dxa"/>
            <w:tcBorders>
              <w:top w:val="dotted" w:sz="4" w:space="0" w:color="AAABD6"/>
              <w:left w:val="single" w:sz="4" w:space="0" w:color="AAABD6"/>
              <w:bottom w:val="dotted" w:sz="4" w:space="0" w:color="AAABD6"/>
              <w:right w:val="single" w:sz="4" w:space="0" w:color="AAABD6"/>
            </w:tcBorders>
          </w:tcPr>
          <w:p w14:paraId="0A032924"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342</w:t>
            </w:r>
          </w:p>
        </w:tc>
        <w:tc>
          <w:tcPr>
            <w:tcW w:w="0" w:type="dxa"/>
            <w:tcBorders>
              <w:top w:val="dotted" w:sz="4" w:space="0" w:color="AAABD6"/>
              <w:left w:val="single" w:sz="4" w:space="0" w:color="AAABD6"/>
              <w:bottom w:val="dotted" w:sz="4" w:space="0" w:color="AAABD6"/>
              <w:right w:val="single" w:sz="4" w:space="0" w:color="AAABD6"/>
            </w:tcBorders>
          </w:tcPr>
          <w:p w14:paraId="364DF084"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347</w:t>
            </w:r>
          </w:p>
        </w:tc>
        <w:tc>
          <w:tcPr>
            <w:tcW w:w="0" w:type="dxa"/>
            <w:tcBorders>
              <w:top w:val="dotted" w:sz="4" w:space="0" w:color="AAABD6"/>
              <w:left w:val="single" w:sz="4" w:space="0" w:color="AAABD6"/>
              <w:bottom w:val="dotted" w:sz="4" w:space="0" w:color="AAABD6"/>
              <w:right w:val="single" w:sz="4" w:space="0" w:color="AAABD6"/>
            </w:tcBorders>
          </w:tcPr>
          <w:p w14:paraId="6710D8C2"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352</w:t>
            </w:r>
          </w:p>
        </w:tc>
        <w:tc>
          <w:tcPr>
            <w:tcW w:w="0" w:type="dxa"/>
            <w:tcBorders>
              <w:top w:val="dotted" w:sz="4" w:space="0" w:color="AAABD6"/>
              <w:left w:val="single" w:sz="4" w:space="0" w:color="AAABD6"/>
              <w:bottom w:val="dotted" w:sz="4" w:space="0" w:color="AAABD6"/>
              <w:right w:val="single" w:sz="4" w:space="0" w:color="AAABD6"/>
            </w:tcBorders>
          </w:tcPr>
          <w:p w14:paraId="0C587E65"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357</w:t>
            </w:r>
          </w:p>
        </w:tc>
        <w:tc>
          <w:tcPr>
            <w:tcW w:w="0" w:type="dxa"/>
            <w:tcBorders>
              <w:top w:val="dotted" w:sz="4" w:space="0" w:color="AAABD6"/>
              <w:left w:val="single" w:sz="4" w:space="0" w:color="AAABD6"/>
              <w:bottom w:val="dotted" w:sz="4" w:space="0" w:color="AAABD6"/>
              <w:right w:val="single" w:sz="4" w:space="0" w:color="AAABD6"/>
            </w:tcBorders>
          </w:tcPr>
          <w:p w14:paraId="39F59C18"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362</w:t>
            </w:r>
          </w:p>
        </w:tc>
        <w:tc>
          <w:tcPr>
            <w:tcW w:w="0" w:type="dxa"/>
            <w:tcBorders>
              <w:top w:val="dotted" w:sz="4" w:space="0" w:color="AAABD6"/>
              <w:left w:val="single" w:sz="4" w:space="0" w:color="AAABD6"/>
              <w:bottom w:val="dotted" w:sz="4" w:space="0" w:color="AAABD6"/>
              <w:right w:val="single" w:sz="4" w:space="0" w:color="AAABD6"/>
            </w:tcBorders>
          </w:tcPr>
          <w:p w14:paraId="1E720F6D"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367</w:t>
            </w:r>
          </w:p>
        </w:tc>
        <w:tc>
          <w:tcPr>
            <w:tcW w:w="0" w:type="dxa"/>
            <w:tcBorders>
              <w:top w:val="dotted" w:sz="4" w:space="0" w:color="AAABD6"/>
              <w:left w:val="single" w:sz="4" w:space="0" w:color="AAABD6"/>
              <w:bottom w:val="dotted" w:sz="4" w:space="0" w:color="AAABD6"/>
              <w:right w:val="single" w:sz="4" w:space="0" w:color="AAABD6"/>
            </w:tcBorders>
          </w:tcPr>
          <w:p w14:paraId="18C67FBF"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372</w:t>
            </w:r>
          </w:p>
        </w:tc>
        <w:tc>
          <w:tcPr>
            <w:tcW w:w="0" w:type="dxa"/>
            <w:tcBorders>
              <w:top w:val="dotted" w:sz="4" w:space="0" w:color="AAABD6"/>
              <w:left w:val="single" w:sz="4" w:space="0" w:color="AAABD6"/>
              <w:bottom w:val="dotted" w:sz="4" w:space="0" w:color="AAABD6"/>
              <w:right w:val="single" w:sz="4" w:space="0" w:color="AAABD6"/>
            </w:tcBorders>
          </w:tcPr>
          <w:p w14:paraId="121F903E"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377</w:t>
            </w:r>
          </w:p>
        </w:tc>
        <w:tc>
          <w:tcPr>
            <w:tcW w:w="0" w:type="dxa"/>
            <w:tcBorders>
              <w:top w:val="dotted" w:sz="4" w:space="0" w:color="AAABD6"/>
              <w:left w:val="single" w:sz="4" w:space="0" w:color="AAABD6"/>
              <w:bottom w:val="dotted" w:sz="4" w:space="0" w:color="AAABD6"/>
              <w:right w:val="single" w:sz="4" w:space="0" w:color="AAABD6"/>
            </w:tcBorders>
          </w:tcPr>
          <w:p w14:paraId="5FED436F"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382</w:t>
            </w:r>
          </w:p>
        </w:tc>
        <w:tc>
          <w:tcPr>
            <w:tcW w:w="0" w:type="dxa"/>
            <w:tcBorders>
              <w:top w:val="dotted" w:sz="4" w:space="0" w:color="AAABD6"/>
              <w:left w:val="single" w:sz="4" w:space="0" w:color="AAABD6"/>
              <w:bottom w:val="dotted" w:sz="4" w:space="0" w:color="AAABD6"/>
              <w:right w:val="single" w:sz="4" w:space="0" w:color="AAABD6"/>
            </w:tcBorders>
          </w:tcPr>
          <w:p w14:paraId="2C40D9E9"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388</w:t>
            </w:r>
          </w:p>
        </w:tc>
        <w:tc>
          <w:tcPr>
            <w:tcW w:w="0" w:type="dxa"/>
            <w:tcBorders>
              <w:top w:val="dotted" w:sz="4" w:space="0" w:color="AAABD6"/>
              <w:left w:val="single" w:sz="4" w:space="0" w:color="AAABD6"/>
              <w:bottom w:val="dotted" w:sz="4" w:space="0" w:color="AAABD6"/>
              <w:right w:val="single" w:sz="4" w:space="0" w:color="AAABD6"/>
            </w:tcBorders>
          </w:tcPr>
          <w:p w14:paraId="4EF4784A"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393</w:t>
            </w:r>
          </w:p>
        </w:tc>
        <w:tc>
          <w:tcPr>
            <w:tcW w:w="0" w:type="dxa"/>
            <w:tcBorders>
              <w:top w:val="dotted" w:sz="4" w:space="0" w:color="AAABD6"/>
              <w:left w:val="single" w:sz="4" w:space="0" w:color="AAABD6"/>
              <w:bottom w:val="dotted" w:sz="4" w:space="0" w:color="AAABD6"/>
              <w:right w:val="single" w:sz="4" w:space="0" w:color="AAABD6"/>
            </w:tcBorders>
          </w:tcPr>
          <w:p w14:paraId="13B79503"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399</w:t>
            </w:r>
          </w:p>
        </w:tc>
        <w:tc>
          <w:tcPr>
            <w:tcW w:w="0" w:type="dxa"/>
            <w:tcBorders>
              <w:top w:val="dotted" w:sz="4" w:space="0" w:color="AAABD6"/>
              <w:left w:val="single" w:sz="4" w:space="0" w:color="AAABD6"/>
              <w:bottom w:val="dotted" w:sz="4" w:space="0" w:color="AAABD6"/>
              <w:right w:val="single" w:sz="4" w:space="0" w:color="AAABD6"/>
            </w:tcBorders>
          </w:tcPr>
          <w:p w14:paraId="04DC5DAC"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404</w:t>
            </w:r>
          </w:p>
        </w:tc>
        <w:tc>
          <w:tcPr>
            <w:tcW w:w="0" w:type="dxa"/>
            <w:tcBorders>
              <w:top w:val="dotted" w:sz="4" w:space="0" w:color="AAABD6"/>
              <w:left w:val="single" w:sz="4" w:space="0" w:color="AAABD6"/>
              <w:bottom w:val="dotted" w:sz="4" w:space="0" w:color="AAABD6"/>
              <w:right w:val="single" w:sz="4" w:space="0" w:color="AAABD6"/>
            </w:tcBorders>
          </w:tcPr>
          <w:p w14:paraId="15025133"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410</w:t>
            </w:r>
          </w:p>
        </w:tc>
        <w:tc>
          <w:tcPr>
            <w:tcW w:w="0" w:type="dxa"/>
            <w:tcBorders>
              <w:top w:val="dotted" w:sz="4" w:space="0" w:color="AAABD6"/>
              <w:left w:val="single" w:sz="4" w:space="0" w:color="AAABD6"/>
              <w:bottom w:val="dotted" w:sz="4" w:space="0" w:color="AAABD6"/>
              <w:right w:val="single" w:sz="4" w:space="0" w:color="AAABD6"/>
            </w:tcBorders>
          </w:tcPr>
          <w:p w14:paraId="14F1D078"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416</w:t>
            </w:r>
          </w:p>
        </w:tc>
        <w:tc>
          <w:tcPr>
            <w:tcW w:w="0" w:type="dxa"/>
            <w:tcBorders>
              <w:top w:val="dotted" w:sz="4" w:space="0" w:color="AAABD6"/>
              <w:left w:val="single" w:sz="4" w:space="0" w:color="AAABD6"/>
              <w:bottom w:val="dotted" w:sz="4" w:space="0" w:color="AAABD6"/>
              <w:right w:val="single" w:sz="4" w:space="0" w:color="AAABD6"/>
            </w:tcBorders>
          </w:tcPr>
          <w:p w14:paraId="1BD75540"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422</w:t>
            </w:r>
          </w:p>
        </w:tc>
      </w:tr>
      <w:tr w:rsidR="005B545D" w:rsidRPr="00100F0A" w14:paraId="7E3ADEE1"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tcPr>
          <w:p w14:paraId="053DCBA6" w14:textId="77777777" w:rsidR="00736026" w:rsidRPr="00100F0A" w:rsidRDefault="00736026" w:rsidP="002B2606">
            <w:pPr>
              <w:rPr>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2EBA42F9" w14:textId="77777777" w:rsidR="00736026" w:rsidRPr="00100F0A" w:rsidRDefault="00736026" w:rsidP="002B260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Qld</w:t>
            </w:r>
          </w:p>
        </w:tc>
        <w:tc>
          <w:tcPr>
            <w:tcW w:w="0" w:type="dxa"/>
            <w:vMerge/>
            <w:tcBorders>
              <w:left w:val="single" w:sz="4" w:space="0" w:color="AAABD6"/>
              <w:right w:val="single" w:sz="4" w:space="0" w:color="AAABD6"/>
            </w:tcBorders>
          </w:tcPr>
          <w:p w14:paraId="3AA80F9E" w14:textId="77777777" w:rsidR="00736026" w:rsidRPr="00100F0A" w:rsidRDefault="00736026" w:rsidP="002B2606">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dotted" w:sz="4" w:space="0" w:color="AAABD6"/>
              <w:left w:val="single" w:sz="4" w:space="0" w:color="AAABD6"/>
              <w:bottom w:val="dotted" w:sz="4" w:space="0" w:color="AAABD6"/>
              <w:right w:val="nil"/>
            </w:tcBorders>
            <w:shd w:val="clear" w:color="auto" w:fill="auto"/>
          </w:tcPr>
          <w:p w14:paraId="5C6BECF9"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tc>
        <w:tc>
          <w:tcPr>
            <w:tcW w:w="0" w:type="dxa"/>
            <w:tcBorders>
              <w:top w:val="dotted" w:sz="4" w:space="0" w:color="AAABD6"/>
              <w:left w:val="nil"/>
              <w:bottom w:val="dotted" w:sz="4" w:space="0" w:color="AAABD6"/>
              <w:right w:val="single" w:sz="4" w:space="0" w:color="AAABD6"/>
            </w:tcBorders>
            <w:shd w:val="clear" w:color="auto" w:fill="auto"/>
          </w:tcPr>
          <w:p w14:paraId="336EFEB9"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iCs/>
                <w:color w:val="4D4DB8"/>
                <w:sz w:val="16"/>
                <w:szCs w:val="16"/>
              </w:rPr>
            </w:pPr>
            <w:r w:rsidRPr="00100F0A">
              <w:rPr>
                <w:iCs/>
                <w:color w:val="4D4DB8"/>
                <w:sz w:val="16"/>
                <w:szCs w:val="16"/>
              </w:rPr>
              <w:t>21%</w:t>
            </w:r>
          </w:p>
        </w:tc>
        <w:tc>
          <w:tcPr>
            <w:tcW w:w="0" w:type="dxa"/>
            <w:tcBorders>
              <w:top w:val="dotted" w:sz="4" w:space="0" w:color="AAABD6"/>
              <w:left w:val="single" w:sz="4" w:space="0" w:color="AAABD6"/>
              <w:bottom w:val="dotted" w:sz="4" w:space="0" w:color="AAABD6"/>
              <w:right w:val="single" w:sz="4" w:space="0" w:color="AAABD6"/>
            </w:tcBorders>
          </w:tcPr>
          <w:p w14:paraId="442ED91F"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544C52E7"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6,593</w:t>
            </w:r>
          </w:p>
        </w:tc>
        <w:tc>
          <w:tcPr>
            <w:tcW w:w="0" w:type="dxa"/>
            <w:tcBorders>
              <w:top w:val="dotted" w:sz="4" w:space="0" w:color="AAABD6"/>
              <w:left w:val="single" w:sz="4" w:space="0" w:color="AAABD6"/>
              <w:bottom w:val="dotted" w:sz="4" w:space="0" w:color="AAABD6"/>
              <w:right w:val="single" w:sz="4" w:space="0" w:color="AAABD6"/>
            </w:tcBorders>
          </w:tcPr>
          <w:p w14:paraId="0F153D31"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6,686</w:t>
            </w:r>
          </w:p>
        </w:tc>
        <w:tc>
          <w:tcPr>
            <w:tcW w:w="0" w:type="dxa"/>
            <w:tcBorders>
              <w:top w:val="dotted" w:sz="4" w:space="0" w:color="AAABD6"/>
              <w:left w:val="single" w:sz="4" w:space="0" w:color="AAABD6"/>
              <w:bottom w:val="dotted" w:sz="4" w:space="0" w:color="AAABD6"/>
              <w:right w:val="single" w:sz="4" w:space="0" w:color="AAABD6"/>
            </w:tcBorders>
          </w:tcPr>
          <w:p w14:paraId="3CD9290A"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6,780</w:t>
            </w:r>
          </w:p>
        </w:tc>
        <w:tc>
          <w:tcPr>
            <w:tcW w:w="0" w:type="dxa"/>
            <w:tcBorders>
              <w:top w:val="dotted" w:sz="4" w:space="0" w:color="AAABD6"/>
              <w:left w:val="single" w:sz="4" w:space="0" w:color="AAABD6"/>
              <w:bottom w:val="dotted" w:sz="4" w:space="0" w:color="AAABD6"/>
              <w:right w:val="single" w:sz="4" w:space="0" w:color="AAABD6"/>
            </w:tcBorders>
          </w:tcPr>
          <w:p w14:paraId="72082CDC"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6,876</w:t>
            </w:r>
          </w:p>
        </w:tc>
        <w:tc>
          <w:tcPr>
            <w:tcW w:w="0" w:type="dxa"/>
            <w:tcBorders>
              <w:top w:val="dotted" w:sz="4" w:space="0" w:color="AAABD6"/>
              <w:left w:val="single" w:sz="4" w:space="0" w:color="AAABD6"/>
              <w:bottom w:val="dotted" w:sz="4" w:space="0" w:color="AAABD6"/>
              <w:right w:val="single" w:sz="4" w:space="0" w:color="AAABD6"/>
            </w:tcBorders>
          </w:tcPr>
          <w:p w14:paraId="3EADF805"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6,973</w:t>
            </w:r>
          </w:p>
        </w:tc>
        <w:tc>
          <w:tcPr>
            <w:tcW w:w="0" w:type="dxa"/>
            <w:tcBorders>
              <w:top w:val="dotted" w:sz="4" w:space="0" w:color="AAABD6"/>
              <w:left w:val="single" w:sz="4" w:space="0" w:color="AAABD6"/>
              <w:bottom w:val="dotted" w:sz="4" w:space="0" w:color="AAABD6"/>
              <w:right w:val="single" w:sz="4" w:space="0" w:color="AAABD6"/>
            </w:tcBorders>
          </w:tcPr>
          <w:p w14:paraId="3310BAA6"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7,071</w:t>
            </w:r>
          </w:p>
        </w:tc>
        <w:tc>
          <w:tcPr>
            <w:tcW w:w="0" w:type="dxa"/>
            <w:tcBorders>
              <w:top w:val="dotted" w:sz="4" w:space="0" w:color="AAABD6"/>
              <w:left w:val="single" w:sz="4" w:space="0" w:color="AAABD6"/>
              <w:bottom w:val="dotted" w:sz="4" w:space="0" w:color="AAABD6"/>
              <w:right w:val="single" w:sz="4" w:space="0" w:color="AAABD6"/>
            </w:tcBorders>
          </w:tcPr>
          <w:p w14:paraId="23D53C30"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7,171</w:t>
            </w:r>
          </w:p>
        </w:tc>
        <w:tc>
          <w:tcPr>
            <w:tcW w:w="0" w:type="dxa"/>
            <w:tcBorders>
              <w:top w:val="dotted" w:sz="4" w:space="0" w:color="AAABD6"/>
              <w:left w:val="single" w:sz="4" w:space="0" w:color="AAABD6"/>
              <w:bottom w:val="dotted" w:sz="4" w:space="0" w:color="AAABD6"/>
              <w:right w:val="single" w:sz="4" w:space="0" w:color="AAABD6"/>
            </w:tcBorders>
          </w:tcPr>
          <w:p w14:paraId="4672B4A9"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7,273</w:t>
            </w:r>
          </w:p>
        </w:tc>
        <w:tc>
          <w:tcPr>
            <w:tcW w:w="0" w:type="dxa"/>
            <w:tcBorders>
              <w:top w:val="dotted" w:sz="4" w:space="0" w:color="AAABD6"/>
              <w:left w:val="single" w:sz="4" w:space="0" w:color="AAABD6"/>
              <w:bottom w:val="dotted" w:sz="4" w:space="0" w:color="AAABD6"/>
              <w:right w:val="single" w:sz="4" w:space="0" w:color="AAABD6"/>
            </w:tcBorders>
          </w:tcPr>
          <w:p w14:paraId="39898C37"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7,375</w:t>
            </w:r>
          </w:p>
        </w:tc>
        <w:tc>
          <w:tcPr>
            <w:tcW w:w="0" w:type="dxa"/>
            <w:tcBorders>
              <w:top w:val="dotted" w:sz="4" w:space="0" w:color="AAABD6"/>
              <w:left w:val="single" w:sz="4" w:space="0" w:color="AAABD6"/>
              <w:bottom w:val="dotted" w:sz="4" w:space="0" w:color="AAABD6"/>
              <w:right w:val="single" w:sz="4" w:space="0" w:color="AAABD6"/>
            </w:tcBorders>
          </w:tcPr>
          <w:p w14:paraId="6CD4E522"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7,479</w:t>
            </w:r>
          </w:p>
        </w:tc>
        <w:tc>
          <w:tcPr>
            <w:tcW w:w="0" w:type="dxa"/>
            <w:tcBorders>
              <w:top w:val="dotted" w:sz="4" w:space="0" w:color="AAABD6"/>
              <w:left w:val="single" w:sz="4" w:space="0" w:color="AAABD6"/>
              <w:bottom w:val="dotted" w:sz="4" w:space="0" w:color="AAABD6"/>
              <w:right w:val="single" w:sz="4" w:space="0" w:color="AAABD6"/>
            </w:tcBorders>
          </w:tcPr>
          <w:p w14:paraId="3E672A4F"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7,585</w:t>
            </w:r>
          </w:p>
        </w:tc>
        <w:tc>
          <w:tcPr>
            <w:tcW w:w="0" w:type="dxa"/>
            <w:tcBorders>
              <w:top w:val="dotted" w:sz="4" w:space="0" w:color="AAABD6"/>
              <w:left w:val="single" w:sz="4" w:space="0" w:color="AAABD6"/>
              <w:bottom w:val="dotted" w:sz="4" w:space="0" w:color="AAABD6"/>
              <w:right w:val="single" w:sz="4" w:space="0" w:color="AAABD6"/>
            </w:tcBorders>
          </w:tcPr>
          <w:p w14:paraId="16CEF457"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7,692</w:t>
            </w:r>
          </w:p>
        </w:tc>
        <w:tc>
          <w:tcPr>
            <w:tcW w:w="0" w:type="dxa"/>
            <w:tcBorders>
              <w:top w:val="dotted" w:sz="4" w:space="0" w:color="AAABD6"/>
              <w:left w:val="single" w:sz="4" w:space="0" w:color="AAABD6"/>
              <w:bottom w:val="dotted" w:sz="4" w:space="0" w:color="AAABD6"/>
              <w:right w:val="single" w:sz="4" w:space="0" w:color="AAABD6"/>
            </w:tcBorders>
          </w:tcPr>
          <w:p w14:paraId="1C8066B4"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7,801</w:t>
            </w:r>
          </w:p>
        </w:tc>
        <w:tc>
          <w:tcPr>
            <w:tcW w:w="0" w:type="dxa"/>
            <w:tcBorders>
              <w:top w:val="dotted" w:sz="4" w:space="0" w:color="AAABD6"/>
              <w:left w:val="single" w:sz="4" w:space="0" w:color="AAABD6"/>
              <w:bottom w:val="dotted" w:sz="4" w:space="0" w:color="AAABD6"/>
              <w:right w:val="single" w:sz="4" w:space="0" w:color="AAABD6"/>
            </w:tcBorders>
          </w:tcPr>
          <w:p w14:paraId="04F0CA9B"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7,911</w:t>
            </w:r>
          </w:p>
        </w:tc>
        <w:tc>
          <w:tcPr>
            <w:tcW w:w="0" w:type="dxa"/>
            <w:tcBorders>
              <w:top w:val="dotted" w:sz="4" w:space="0" w:color="AAABD6"/>
              <w:left w:val="single" w:sz="4" w:space="0" w:color="AAABD6"/>
              <w:bottom w:val="dotted" w:sz="4" w:space="0" w:color="AAABD6"/>
              <w:right w:val="single" w:sz="4" w:space="0" w:color="AAABD6"/>
            </w:tcBorders>
          </w:tcPr>
          <w:p w14:paraId="24994D2A"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8,023</w:t>
            </w:r>
          </w:p>
        </w:tc>
        <w:tc>
          <w:tcPr>
            <w:tcW w:w="0" w:type="dxa"/>
            <w:tcBorders>
              <w:top w:val="dotted" w:sz="4" w:space="0" w:color="AAABD6"/>
              <w:left w:val="single" w:sz="4" w:space="0" w:color="AAABD6"/>
              <w:bottom w:val="dotted" w:sz="4" w:space="0" w:color="AAABD6"/>
              <w:right w:val="single" w:sz="4" w:space="0" w:color="AAABD6"/>
            </w:tcBorders>
          </w:tcPr>
          <w:p w14:paraId="28320838"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8,136</w:t>
            </w:r>
          </w:p>
        </w:tc>
        <w:tc>
          <w:tcPr>
            <w:tcW w:w="0" w:type="dxa"/>
            <w:tcBorders>
              <w:top w:val="dotted" w:sz="4" w:space="0" w:color="AAABD6"/>
              <w:left w:val="single" w:sz="4" w:space="0" w:color="AAABD6"/>
              <w:bottom w:val="dotted" w:sz="4" w:space="0" w:color="AAABD6"/>
              <w:right w:val="single" w:sz="4" w:space="0" w:color="AAABD6"/>
            </w:tcBorders>
          </w:tcPr>
          <w:p w14:paraId="22721C85"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8,251</w:t>
            </w:r>
          </w:p>
        </w:tc>
        <w:tc>
          <w:tcPr>
            <w:tcW w:w="0" w:type="dxa"/>
            <w:tcBorders>
              <w:top w:val="dotted" w:sz="4" w:space="0" w:color="AAABD6"/>
              <w:left w:val="single" w:sz="4" w:space="0" w:color="AAABD6"/>
              <w:bottom w:val="dotted" w:sz="4" w:space="0" w:color="AAABD6"/>
              <w:right w:val="single" w:sz="4" w:space="0" w:color="AAABD6"/>
            </w:tcBorders>
          </w:tcPr>
          <w:p w14:paraId="0EBCDB6F"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8,367</w:t>
            </w:r>
          </w:p>
        </w:tc>
      </w:tr>
      <w:tr w:rsidR="005B545D" w:rsidRPr="00100F0A" w14:paraId="266AA26A"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tcPr>
          <w:p w14:paraId="3385485D" w14:textId="77777777" w:rsidR="00736026" w:rsidRPr="00100F0A" w:rsidRDefault="00736026" w:rsidP="002B2606">
            <w:pPr>
              <w:rPr>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1B35DD8C" w14:textId="77777777" w:rsidR="00736026" w:rsidRPr="00100F0A" w:rsidRDefault="00736026" w:rsidP="002B260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SA</w:t>
            </w:r>
          </w:p>
        </w:tc>
        <w:tc>
          <w:tcPr>
            <w:tcW w:w="0" w:type="dxa"/>
            <w:vMerge/>
            <w:tcBorders>
              <w:left w:val="single" w:sz="4" w:space="0" w:color="AAABD6"/>
              <w:right w:val="single" w:sz="4" w:space="0" w:color="AAABD6"/>
            </w:tcBorders>
          </w:tcPr>
          <w:p w14:paraId="7C80FB74" w14:textId="77777777" w:rsidR="00736026" w:rsidRPr="00100F0A" w:rsidRDefault="00736026" w:rsidP="002B2606">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dotted" w:sz="4" w:space="0" w:color="AAABD6"/>
              <w:left w:val="single" w:sz="4" w:space="0" w:color="AAABD6"/>
              <w:bottom w:val="dotted" w:sz="4" w:space="0" w:color="AAABD6"/>
              <w:right w:val="nil"/>
            </w:tcBorders>
            <w:shd w:val="clear" w:color="auto" w:fill="auto"/>
          </w:tcPr>
          <w:p w14:paraId="7B3B88CC"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tc>
        <w:tc>
          <w:tcPr>
            <w:tcW w:w="0" w:type="dxa"/>
            <w:tcBorders>
              <w:top w:val="dotted" w:sz="4" w:space="0" w:color="AAABD6"/>
              <w:left w:val="nil"/>
              <w:bottom w:val="dotted" w:sz="4" w:space="0" w:color="AAABD6"/>
              <w:right w:val="single" w:sz="4" w:space="0" w:color="AAABD6"/>
            </w:tcBorders>
            <w:shd w:val="clear" w:color="auto" w:fill="auto"/>
          </w:tcPr>
          <w:p w14:paraId="35FBFD76"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iCs/>
                <w:color w:val="4D4DB8"/>
                <w:sz w:val="16"/>
                <w:szCs w:val="16"/>
              </w:rPr>
            </w:pPr>
            <w:r w:rsidRPr="00100F0A">
              <w:rPr>
                <w:iCs/>
                <w:color w:val="4D4DB8"/>
                <w:sz w:val="16"/>
                <w:szCs w:val="16"/>
              </w:rPr>
              <w:t>7%</w:t>
            </w:r>
          </w:p>
        </w:tc>
        <w:tc>
          <w:tcPr>
            <w:tcW w:w="0" w:type="dxa"/>
            <w:tcBorders>
              <w:top w:val="dotted" w:sz="4" w:space="0" w:color="AAABD6"/>
              <w:left w:val="single" w:sz="4" w:space="0" w:color="AAABD6"/>
              <w:bottom w:val="dotted" w:sz="4" w:space="0" w:color="AAABD6"/>
              <w:right w:val="single" w:sz="4" w:space="0" w:color="AAABD6"/>
            </w:tcBorders>
          </w:tcPr>
          <w:p w14:paraId="1F375B61"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29B964F7"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2,211</w:t>
            </w:r>
          </w:p>
        </w:tc>
        <w:tc>
          <w:tcPr>
            <w:tcW w:w="0" w:type="dxa"/>
            <w:tcBorders>
              <w:top w:val="dotted" w:sz="4" w:space="0" w:color="AAABD6"/>
              <w:left w:val="single" w:sz="4" w:space="0" w:color="AAABD6"/>
              <w:bottom w:val="dotted" w:sz="4" w:space="0" w:color="AAABD6"/>
              <w:right w:val="single" w:sz="4" w:space="0" w:color="AAABD6"/>
            </w:tcBorders>
          </w:tcPr>
          <w:p w14:paraId="48633192"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2,242</w:t>
            </w:r>
          </w:p>
        </w:tc>
        <w:tc>
          <w:tcPr>
            <w:tcW w:w="0" w:type="dxa"/>
            <w:tcBorders>
              <w:top w:val="dotted" w:sz="4" w:space="0" w:color="AAABD6"/>
              <w:left w:val="single" w:sz="4" w:space="0" w:color="AAABD6"/>
              <w:bottom w:val="dotted" w:sz="4" w:space="0" w:color="AAABD6"/>
              <w:right w:val="single" w:sz="4" w:space="0" w:color="AAABD6"/>
            </w:tcBorders>
          </w:tcPr>
          <w:p w14:paraId="20717FB7"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2,274</w:t>
            </w:r>
          </w:p>
        </w:tc>
        <w:tc>
          <w:tcPr>
            <w:tcW w:w="0" w:type="dxa"/>
            <w:tcBorders>
              <w:top w:val="dotted" w:sz="4" w:space="0" w:color="AAABD6"/>
              <w:left w:val="single" w:sz="4" w:space="0" w:color="AAABD6"/>
              <w:bottom w:val="dotted" w:sz="4" w:space="0" w:color="AAABD6"/>
              <w:right w:val="single" w:sz="4" w:space="0" w:color="AAABD6"/>
            </w:tcBorders>
          </w:tcPr>
          <w:p w14:paraId="3D3D4282"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2,306</w:t>
            </w:r>
          </w:p>
        </w:tc>
        <w:tc>
          <w:tcPr>
            <w:tcW w:w="0" w:type="dxa"/>
            <w:tcBorders>
              <w:top w:val="dotted" w:sz="4" w:space="0" w:color="AAABD6"/>
              <w:left w:val="single" w:sz="4" w:space="0" w:color="AAABD6"/>
              <w:bottom w:val="dotted" w:sz="4" w:space="0" w:color="AAABD6"/>
              <w:right w:val="single" w:sz="4" w:space="0" w:color="AAABD6"/>
            </w:tcBorders>
          </w:tcPr>
          <w:p w14:paraId="722D4373"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2,339</w:t>
            </w:r>
          </w:p>
        </w:tc>
        <w:tc>
          <w:tcPr>
            <w:tcW w:w="0" w:type="dxa"/>
            <w:tcBorders>
              <w:top w:val="dotted" w:sz="4" w:space="0" w:color="AAABD6"/>
              <w:left w:val="single" w:sz="4" w:space="0" w:color="AAABD6"/>
              <w:bottom w:val="dotted" w:sz="4" w:space="0" w:color="AAABD6"/>
              <w:right w:val="single" w:sz="4" w:space="0" w:color="AAABD6"/>
            </w:tcBorders>
          </w:tcPr>
          <w:p w14:paraId="4D8184E5"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2,372</w:t>
            </w:r>
          </w:p>
        </w:tc>
        <w:tc>
          <w:tcPr>
            <w:tcW w:w="0" w:type="dxa"/>
            <w:tcBorders>
              <w:top w:val="dotted" w:sz="4" w:space="0" w:color="AAABD6"/>
              <w:left w:val="single" w:sz="4" w:space="0" w:color="AAABD6"/>
              <w:bottom w:val="dotted" w:sz="4" w:space="0" w:color="AAABD6"/>
              <w:right w:val="single" w:sz="4" w:space="0" w:color="AAABD6"/>
            </w:tcBorders>
          </w:tcPr>
          <w:p w14:paraId="7CD4113E"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2,405</w:t>
            </w:r>
          </w:p>
        </w:tc>
        <w:tc>
          <w:tcPr>
            <w:tcW w:w="0" w:type="dxa"/>
            <w:tcBorders>
              <w:top w:val="dotted" w:sz="4" w:space="0" w:color="AAABD6"/>
              <w:left w:val="single" w:sz="4" w:space="0" w:color="AAABD6"/>
              <w:bottom w:val="dotted" w:sz="4" w:space="0" w:color="AAABD6"/>
              <w:right w:val="single" w:sz="4" w:space="0" w:color="AAABD6"/>
            </w:tcBorders>
          </w:tcPr>
          <w:p w14:paraId="6EA65F5F"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2,439</w:t>
            </w:r>
          </w:p>
        </w:tc>
        <w:tc>
          <w:tcPr>
            <w:tcW w:w="0" w:type="dxa"/>
            <w:tcBorders>
              <w:top w:val="dotted" w:sz="4" w:space="0" w:color="AAABD6"/>
              <w:left w:val="single" w:sz="4" w:space="0" w:color="AAABD6"/>
              <w:bottom w:val="dotted" w:sz="4" w:space="0" w:color="AAABD6"/>
              <w:right w:val="single" w:sz="4" w:space="0" w:color="AAABD6"/>
            </w:tcBorders>
          </w:tcPr>
          <w:p w14:paraId="7FA5B66B"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2,474</w:t>
            </w:r>
          </w:p>
        </w:tc>
        <w:tc>
          <w:tcPr>
            <w:tcW w:w="0" w:type="dxa"/>
            <w:tcBorders>
              <w:top w:val="dotted" w:sz="4" w:space="0" w:color="AAABD6"/>
              <w:left w:val="single" w:sz="4" w:space="0" w:color="AAABD6"/>
              <w:bottom w:val="dotted" w:sz="4" w:space="0" w:color="AAABD6"/>
              <w:right w:val="single" w:sz="4" w:space="0" w:color="AAABD6"/>
            </w:tcBorders>
          </w:tcPr>
          <w:p w14:paraId="13543144"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2,508</w:t>
            </w:r>
          </w:p>
        </w:tc>
        <w:tc>
          <w:tcPr>
            <w:tcW w:w="0" w:type="dxa"/>
            <w:tcBorders>
              <w:top w:val="dotted" w:sz="4" w:space="0" w:color="AAABD6"/>
              <w:left w:val="single" w:sz="4" w:space="0" w:color="AAABD6"/>
              <w:bottom w:val="dotted" w:sz="4" w:space="0" w:color="AAABD6"/>
              <w:right w:val="single" w:sz="4" w:space="0" w:color="AAABD6"/>
            </w:tcBorders>
          </w:tcPr>
          <w:p w14:paraId="1FF2C410"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2,544</w:t>
            </w:r>
          </w:p>
        </w:tc>
        <w:tc>
          <w:tcPr>
            <w:tcW w:w="0" w:type="dxa"/>
            <w:tcBorders>
              <w:top w:val="dotted" w:sz="4" w:space="0" w:color="AAABD6"/>
              <w:left w:val="single" w:sz="4" w:space="0" w:color="AAABD6"/>
              <w:bottom w:val="dotted" w:sz="4" w:space="0" w:color="AAABD6"/>
              <w:right w:val="single" w:sz="4" w:space="0" w:color="AAABD6"/>
            </w:tcBorders>
          </w:tcPr>
          <w:p w14:paraId="3F5862CB"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2,580</w:t>
            </w:r>
          </w:p>
        </w:tc>
        <w:tc>
          <w:tcPr>
            <w:tcW w:w="0" w:type="dxa"/>
            <w:tcBorders>
              <w:top w:val="dotted" w:sz="4" w:space="0" w:color="AAABD6"/>
              <w:left w:val="single" w:sz="4" w:space="0" w:color="AAABD6"/>
              <w:bottom w:val="dotted" w:sz="4" w:space="0" w:color="AAABD6"/>
              <w:right w:val="single" w:sz="4" w:space="0" w:color="AAABD6"/>
            </w:tcBorders>
          </w:tcPr>
          <w:p w14:paraId="3CD2DC70"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2,616</w:t>
            </w:r>
          </w:p>
        </w:tc>
        <w:tc>
          <w:tcPr>
            <w:tcW w:w="0" w:type="dxa"/>
            <w:tcBorders>
              <w:top w:val="dotted" w:sz="4" w:space="0" w:color="AAABD6"/>
              <w:left w:val="single" w:sz="4" w:space="0" w:color="AAABD6"/>
              <w:bottom w:val="dotted" w:sz="4" w:space="0" w:color="AAABD6"/>
              <w:right w:val="single" w:sz="4" w:space="0" w:color="AAABD6"/>
            </w:tcBorders>
          </w:tcPr>
          <w:p w14:paraId="005F949A"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2,653</w:t>
            </w:r>
          </w:p>
        </w:tc>
        <w:tc>
          <w:tcPr>
            <w:tcW w:w="0" w:type="dxa"/>
            <w:tcBorders>
              <w:top w:val="dotted" w:sz="4" w:space="0" w:color="AAABD6"/>
              <w:left w:val="single" w:sz="4" w:space="0" w:color="AAABD6"/>
              <w:bottom w:val="dotted" w:sz="4" w:space="0" w:color="AAABD6"/>
              <w:right w:val="single" w:sz="4" w:space="0" w:color="AAABD6"/>
            </w:tcBorders>
          </w:tcPr>
          <w:p w14:paraId="6DD4783D"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2,691</w:t>
            </w:r>
          </w:p>
        </w:tc>
        <w:tc>
          <w:tcPr>
            <w:tcW w:w="0" w:type="dxa"/>
            <w:tcBorders>
              <w:top w:val="dotted" w:sz="4" w:space="0" w:color="AAABD6"/>
              <w:left w:val="single" w:sz="4" w:space="0" w:color="AAABD6"/>
              <w:bottom w:val="dotted" w:sz="4" w:space="0" w:color="AAABD6"/>
              <w:right w:val="single" w:sz="4" w:space="0" w:color="AAABD6"/>
            </w:tcBorders>
          </w:tcPr>
          <w:p w14:paraId="0B15A105"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2,729</w:t>
            </w:r>
          </w:p>
        </w:tc>
        <w:tc>
          <w:tcPr>
            <w:tcW w:w="0" w:type="dxa"/>
            <w:tcBorders>
              <w:top w:val="dotted" w:sz="4" w:space="0" w:color="AAABD6"/>
              <w:left w:val="single" w:sz="4" w:space="0" w:color="AAABD6"/>
              <w:bottom w:val="dotted" w:sz="4" w:space="0" w:color="AAABD6"/>
              <w:right w:val="single" w:sz="4" w:space="0" w:color="AAABD6"/>
            </w:tcBorders>
          </w:tcPr>
          <w:p w14:paraId="57CEEB0C"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2,767</w:t>
            </w:r>
          </w:p>
        </w:tc>
        <w:tc>
          <w:tcPr>
            <w:tcW w:w="0" w:type="dxa"/>
            <w:tcBorders>
              <w:top w:val="dotted" w:sz="4" w:space="0" w:color="AAABD6"/>
              <w:left w:val="single" w:sz="4" w:space="0" w:color="AAABD6"/>
              <w:bottom w:val="dotted" w:sz="4" w:space="0" w:color="AAABD6"/>
              <w:right w:val="single" w:sz="4" w:space="0" w:color="AAABD6"/>
            </w:tcBorders>
          </w:tcPr>
          <w:p w14:paraId="381C07F9"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2,806</w:t>
            </w:r>
          </w:p>
        </w:tc>
      </w:tr>
      <w:tr w:rsidR="005B545D" w:rsidRPr="00100F0A" w14:paraId="73529220"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tcPr>
          <w:p w14:paraId="63E596DF" w14:textId="77777777" w:rsidR="00736026" w:rsidRPr="00100F0A" w:rsidRDefault="00736026" w:rsidP="002B2606">
            <w:pPr>
              <w:rPr>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79D9C518" w14:textId="77777777" w:rsidR="00736026" w:rsidRPr="00100F0A" w:rsidRDefault="00736026" w:rsidP="002B260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Tas</w:t>
            </w:r>
          </w:p>
        </w:tc>
        <w:tc>
          <w:tcPr>
            <w:tcW w:w="0" w:type="dxa"/>
            <w:vMerge/>
            <w:tcBorders>
              <w:left w:val="single" w:sz="4" w:space="0" w:color="AAABD6"/>
              <w:right w:val="single" w:sz="4" w:space="0" w:color="AAABD6"/>
            </w:tcBorders>
          </w:tcPr>
          <w:p w14:paraId="326B32FD" w14:textId="77777777" w:rsidR="00736026" w:rsidRPr="00100F0A" w:rsidRDefault="00736026" w:rsidP="002B2606">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dotted" w:sz="4" w:space="0" w:color="AAABD6"/>
              <w:left w:val="single" w:sz="4" w:space="0" w:color="AAABD6"/>
              <w:bottom w:val="dotted" w:sz="4" w:space="0" w:color="AAABD6"/>
              <w:right w:val="nil"/>
            </w:tcBorders>
            <w:shd w:val="clear" w:color="auto" w:fill="auto"/>
          </w:tcPr>
          <w:p w14:paraId="558FE4C2"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tc>
        <w:tc>
          <w:tcPr>
            <w:tcW w:w="0" w:type="dxa"/>
            <w:tcBorders>
              <w:top w:val="dotted" w:sz="4" w:space="0" w:color="AAABD6"/>
              <w:left w:val="nil"/>
              <w:bottom w:val="dotted" w:sz="4" w:space="0" w:color="AAABD6"/>
              <w:right w:val="single" w:sz="4" w:space="0" w:color="AAABD6"/>
            </w:tcBorders>
            <w:shd w:val="clear" w:color="auto" w:fill="auto"/>
          </w:tcPr>
          <w:p w14:paraId="0C47BFF2"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iCs/>
                <w:color w:val="4D4DB8"/>
                <w:sz w:val="16"/>
                <w:szCs w:val="16"/>
              </w:rPr>
            </w:pPr>
            <w:r w:rsidRPr="00100F0A">
              <w:rPr>
                <w:iCs/>
                <w:color w:val="4D4DB8"/>
                <w:sz w:val="16"/>
                <w:szCs w:val="16"/>
              </w:rPr>
              <w:t>2%</w:t>
            </w:r>
          </w:p>
        </w:tc>
        <w:tc>
          <w:tcPr>
            <w:tcW w:w="0" w:type="dxa"/>
            <w:tcBorders>
              <w:top w:val="dotted" w:sz="4" w:space="0" w:color="AAABD6"/>
              <w:left w:val="single" w:sz="4" w:space="0" w:color="AAABD6"/>
              <w:bottom w:val="dotted" w:sz="4" w:space="0" w:color="AAABD6"/>
              <w:right w:val="single" w:sz="4" w:space="0" w:color="AAABD6"/>
            </w:tcBorders>
          </w:tcPr>
          <w:p w14:paraId="379B55BF"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5D354804"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658</w:t>
            </w:r>
          </w:p>
        </w:tc>
        <w:tc>
          <w:tcPr>
            <w:tcW w:w="0" w:type="dxa"/>
            <w:tcBorders>
              <w:top w:val="dotted" w:sz="4" w:space="0" w:color="AAABD6"/>
              <w:left w:val="single" w:sz="4" w:space="0" w:color="AAABD6"/>
              <w:bottom w:val="dotted" w:sz="4" w:space="0" w:color="AAABD6"/>
              <w:right w:val="single" w:sz="4" w:space="0" w:color="AAABD6"/>
            </w:tcBorders>
          </w:tcPr>
          <w:p w14:paraId="6018B42B"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667</w:t>
            </w:r>
          </w:p>
        </w:tc>
        <w:tc>
          <w:tcPr>
            <w:tcW w:w="0" w:type="dxa"/>
            <w:tcBorders>
              <w:top w:val="dotted" w:sz="4" w:space="0" w:color="AAABD6"/>
              <w:left w:val="single" w:sz="4" w:space="0" w:color="AAABD6"/>
              <w:bottom w:val="dotted" w:sz="4" w:space="0" w:color="AAABD6"/>
              <w:right w:val="single" w:sz="4" w:space="0" w:color="AAABD6"/>
            </w:tcBorders>
          </w:tcPr>
          <w:p w14:paraId="2EC4B2FC"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676</w:t>
            </w:r>
          </w:p>
        </w:tc>
        <w:tc>
          <w:tcPr>
            <w:tcW w:w="0" w:type="dxa"/>
            <w:tcBorders>
              <w:top w:val="dotted" w:sz="4" w:space="0" w:color="AAABD6"/>
              <w:left w:val="single" w:sz="4" w:space="0" w:color="AAABD6"/>
              <w:bottom w:val="dotted" w:sz="4" w:space="0" w:color="AAABD6"/>
              <w:right w:val="single" w:sz="4" w:space="0" w:color="AAABD6"/>
            </w:tcBorders>
          </w:tcPr>
          <w:p w14:paraId="4B132D76"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686</w:t>
            </w:r>
          </w:p>
        </w:tc>
        <w:tc>
          <w:tcPr>
            <w:tcW w:w="0" w:type="dxa"/>
            <w:tcBorders>
              <w:top w:val="dotted" w:sz="4" w:space="0" w:color="AAABD6"/>
              <w:left w:val="single" w:sz="4" w:space="0" w:color="AAABD6"/>
              <w:bottom w:val="dotted" w:sz="4" w:space="0" w:color="AAABD6"/>
              <w:right w:val="single" w:sz="4" w:space="0" w:color="AAABD6"/>
            </w:tcBorders>
          </w:tcPr>
          <w:p w14:paraId="39C3DF62"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695</w:t>
            </w:r>
          </w:p>
        </w:tc>
        <w:tc>
          <w:tcPr>
            <w:tcW w:w="0" w:type="dxa"/>
            <w:tcBorders>
              <w:top w:val="dotted" w:sz="4" w:space="0" w:color="AAABD6"/>
              <w:left w:val="single" w:sz="4" w:space="0" w:color="AAABD6"/>
              <w:bottom w:val="dotted" w:sz="4" w:space="0" w:color="AAABD6"/>
              <w:right w:val="single" w:sz="4" w:space="0" w:color="AAABD6"/>
            </w:tcBorders>
          </w:tcPr>
          <w:p w14:paraId="2A5D9270"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705</w:t>
            </w:r>
          </w:p>
        </w:tc>
        <w:tc>
          <w:tcPr>
            <w:tcW w:w="0" w:type="dxa"/>
            <w:tcBorders>
              <w:top w:val="dotted" w:sz="4" w:space="0" w:color="AAABD6"/>
              <w:left w:val="single" w:sz="4" w:space="0" w:color="AAABD6"/>
              <w:bottom w:val="dotted" w:sz="4" w:space="0" w:color="AAABD6"/>
              <w:right w:val="single" w:sz="4" w:space="0" w:color="AAABD6"/>
            </w:tcBorders>
          </w:tcPr>
          <w:p w14:paraId="62C79260"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715</w:t>
            </w:r>
          </w:p>
        </w:tc>
        <w:tc>
          <w:tcPr>
            <w:tcW w:w="0" w:type="dxa"/>
            <w:tcBorders>
              <w:top w:val="dotted" w:sz="4" w:space="0" w:color="AAABD6"/>
              <w:left w:val="single" w:sz="4" w:space="0" w:color="AAABD6"/>
              <w:bottom w:val="dotted" w:sz="4" w:space="0" w:color="AAABD6"/>
              <w:right w:val="single" w:sz="4" w:space="0" w:color="AAABD6"/>
            </w:tcBorders>
          </w:tcPr>
          <w:p w14:paraId="1D4755DA"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725</w:t>
            </w:r>
          </w:p>
        </w:tc>
        <w:tc>
          <w:tcPr>
            <w:tcW w:w="0" w:type="dxa"/>
            <w:tcBorders>
              <w:top w:val="dotted" w:sz="4" w:space="0" w:color="AAABD6"/>
              <w:left w:val="single" w:sz="4" w:space="0" w:color="AAABD6"/>
              <w:bottom w:val="dotted" w:sz="4" w:space="0" w:color="AAABD6"/>
              <w:right w:val="single" w:sz="4" w:space="0" w:color="AAABD6"/>
            </w:tcBorders>
          </w:tcPr>
          <w:p w14:paraId="54B55207"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736</w:t>
            </w:r>
          </w:p>
        </w:tc>
        <w:tc>
          <w:tcPr>
            <w:tcW w:w="0" w:type="dxa"/>
            <w:tcBorders>
              <w:top w:val="dotted" w:sz="4" w:space="0" w:color="AAABD6"/>
              <w:left w:val="single" w:sz="4" w:space="0" w:color="AAABD6"/>
              <w:bottom w:val="dotted" w:sz="4" w:space="0" w:color="AAABD6"/>
              <w:right w:val="single" w:sz="4" w:space="0" w:color="AAABD6"/>
            </w:tcBorders>
          </w:tcPr>
          <w:p w14:paraId="4B18BB79"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746</w:t>
            </w:r>
          </w:p>
        </w:tc>
        <w:tc>
          <w:tcPr>
            <w:tcW w:w="0" w:type="dxa"/>
            <w:tcBorders>
              <w:top w:val="dotted" w:sz="4" w:space="0" w:color="AAABD6"/>
              <w:left w:val="single" w:sz="4" w:space="0" w:color="AAABD6"/>
              <w:bottom w:val="dotted" w:sz="4" w:space="0" w:color="AAABD6"/>
              <w:right w:val="single" w:sz="4" w:space="0" w:color="AAABD6"/>
            </w:tcBorders>
          </w:tcPr>
          <w:p w14:paraId="0EDCDE23"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756</w:t>
            </w:r>
          </w:p>
        </w:tc>
        <w:tc>
          <w:tcPr>
            <w:tcW w:w="0" w:type="dxa"/>
            <w:tcBorders>
              <w:top w:val="dotted" w:sz="4" w:space="0" w:color="AAABD6"/>
              <w:left w:val="single" w:sz="4" w:space="0" w:color="AAABD6"/>
              <w:bottom w:val="dotted" w:sz="4" w:space="0" w:color="AAABD6"/>
              <w:right w:val="single" w:sz="4" w:space="0" w:color="AAABD6"/>
            </w:tcBorders>
          </w:tcPr>
          <w:p w14:paraId="4A429BA3"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767</w:t>
            </w:r>
          </w:p>
        </w:tc>
        <w:tc>
          <w:tcPr>
            <w:tcW w:w="0" w:type="dxa"/>
            <w:tcBorders>
              <w:top w:val="dotted" w:sz="4" w:space="0" w:color="AAABD6"/>
              <w:left w:val="single" w:sz="4" w:space="0" w:color="AAABD6"/>
              <w:bottom w:val="dotted" w:sz="4" w:space="0" w:color="AAABD6"/>
              <w:right w:val="single" w:sz="4" w:space="0" w:color="AAABD6"/>
            </w:tcBorders>
          </w:tcPr>
          <w:p w14:paraId="78599B85"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778</w:t>
            </w:r>
          </w:p>
        </w:tc>
        <w:tc>
          <w:tcPr>
            <w:tcW w:w="0" w:type="dxa"/>
            <w:tcBorders>
              <w:top w:val="dotted" w:sz="4" w:space="0" w:color="AAABD6"/>
              <w:left w:val="single" w:sz="4" w:space="0" w:color="AAABD6"/>
              <w:bottom w:val="dotted" w:sz="4" w:space="0" w:color="AAABD6"/>
              <w:right w:val="single" w:sz="4" w:space="0" w:color="AAABD6"/>
            </w:tcBorders>
          </w:tcPr>
          <w:p w14:paraId="20B03F52"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789</w:t>
            </w:r>
          </w:p>
        </w:tc>
        <w:tc>
          <w:tcPr>
            <w:tcW w:w="0" w:type="dxa"/>
            <w:tcBorders>
              <w:top w:val="dotted" w:sz="4" w:space="0" w:color="AAABD6"/>
              <w:left w:val="single" w:sz="4" w:space="0" w:color="AAABD6"/>
              <w:bottom w:val="dotted" w:sz="4" w:space="0" w:color="AAABD6"/>
              <w:right w:val="single" w:sz="4" w:space="0" w:color="AAABD6"/>
            </w:tcBorders>
          </w:tcPr>
          <w:p w14:paraId="2479E5F6"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800</w:t>
            </w:r>
          </w:p>
        </w:tc>
        <w:tc>
          <w:tcPr>
            <w:tcW w:w="0" w:type="dxa"/>
            <w:tcBorders>
              <w:top w:val="dotted" w:sz="4" w:space="0" w:color="AAABD6"/>
              <w:left w:val="single" w:sz="4" w:space="0" w:color="AAABD6"/>
              <w:bottom w:val="dotted" w:sz="4" w:space="0" w:color="AAABD6"/>
              <w:right w:val="single" w:sz="4" w:space="0" w:color="AAABD6"/>
            </w:tcBorders>
          </w:tcPr>
          <w:p w14:paraId="7377D88B"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811</w:t>
            </w:r>
          </w:p>
        </w:tc>
        <w:tc>
          <w:tcPr>
            <w:tcW w:w="0" w:type="dxa"/>
            <w:tcBorders>
              <w:top w:val="dotted" w:sz="4" w:space="0" w:color="AAABD6"/>
              <w:left w:val="single" w:sz="4" w:space="0" w:color="AAABD6"/>
              <w:bottom w:val="dotted" w:sz="4" w:space="0" w:color="AAABD6"/>
              <w:right w:val="single" w:sz="4" w:space="0" w:color="AAABD6"/>
            </w:tcBorders>
          </w:tcPr>
          <w:p w14:paraId="57BB45F4"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823</w:t>
            </w:r>
          </w:p>
        </w:tc>
        <w:tc>
          <w:tcPr>
            <w:tcW w:w="0" w:type="dxa"/>
            <w:tcBorders>
              <w:top w:val="dotted" w:sz="4" w:space="0" w:color="AAABD6"/>
              <w:left w:val="single" w:sz="4" w:space="0" w:color="AAABD6"/>
              <w:bottom w:val="dotted" w:sz="4" w:space="0" w:color="AAABD6"/>
              <w:right w:val="single" w:sz="4" w:space="0" w:color="AAABD6"/>
            </w:tcBorders>
          </w:tcPr>
          <w:p w14:paraId="46778C6A"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835</w:t>
            </w:r>
          </w:p>
        </w:tc>
      </w:tr>
      <w:tr w:rsidR="005B545D" w:rsidRPr="00100F0A" w14:paraId="5557738D"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tcPr>
          <w:p w14:paraId="41BCCABD" w14:textId="77777777" w:rsidR="00736026" w:rsidRPr="00100F0A" w:rsidRDefault="00736026" w:rsidP="002B2606">
            <w:pPr>
              <w:rPr>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02BA8AE8" w14:textId="77777777" w:rsidR="00736026" w:rsidRPr="00100F0A" w:rsidRDefault="00736026" w:rsidP="002B260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Vic</w:t>
            </w:r>
          </w:p>
        </w:tc>
        <w:tc>
          <w:tcPr>
            <w:tcW w:w="0" w:type="dxa"/>
            <w:vMerge/>
            <w:tcBorders>
              <w:left w:val="single" w:sz="4" w:space="0" w:color="AAABD6"/>
              <w:right w:val="single" w:sz="4" w:space="0" w:color="AAABD6"/>
            </w:tcBorders>
          </w:tcPr>
          <w:p w14:paraId="496F9C61" w14:textId="77777777" w:rsidR="00736026" w:rsidRPr="00100F0A" w:rsidRDefault="00736026" w:rsidP="002B2606">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dotted" w:sz="4" w:space="0" w:color="AAABD6"/>
              <w:left w:val="single" w:sz="4" w:space="0" w:color="AAABD6"/>
              <w:bottom w:val="dotted" w:sz="4" w:space="0" w:color="AAABD6"/>
              <w:right w:val="nil"/>
            </w:tcBorders>
            <w:shd w:val="clear" w:color="auto" w:fill="auto"/>
          </w:tcPr>
          <w:p w14:paraId="59CF14A0"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tc>
        <w:tc>
          <w:tcPr>
            <w:tcW w:w="0" w:type="dxa"/>
            <w:tcBorders>
              <w:top w:val="dotted" w:sz="4" w:space="0" w:color="AAABD6"/>
              <w:left w:val="nil"/>
              <w:bottom w:val="dotted" w:sz="4" w:space="0" w:color="AAABD6"/>
              <w:right w:val="single" w:sz="4" w:space="0" w:color="AAABD6"/>
            </w:tcBorders>
            <w:shd w:val="clear" w:color="auto" w:fill="auto"/>
          </w:tcPr>
          <w:p w14:paraId="7857115E"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iCs/>
                <w:color w:val="4D4DB8"/>
                <w:sz w:val="16"/>
                <w:szCs w:val="16"/>
              </w:rPr>
            </w:pPr>
            <w:r w:rsidRPr="00100F0A">
              <w:rPr>
                <w:iCs/>
                <w:color w:val="4D4DB8"/>
                <w:sz w:val="16"/>
                <w:szCs w:val="16"/>
              </w:rPr>
              <w:t>25%</w:t>
            </w:r>
          </w:p>
        </w:tc>
        <w:tc>
          <w:tcPr>
            <w:tcW w:w="0" w:type="dxa"/>
            <w:tcBorders>
              <w:top w:val="dotted" w:sz="4" w:space="0" w:color="AAABD6"/>
              <w:left w:val="single" w:sz="4" w:space="0" w:color="AAABD6"/>
              <w:bottom w:val="dotted" w:sz="4" w:space="0" w:color="AAABD6"/>
              <w:right w:val="single" w:sz="4" w:space="0" w:color="AAABD6"/>
            </w:tcBorders>
          </w:tcPr>
          <w:p w14:paraId="3F423BC9"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6AFC5294"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7,951</w:t>
            </w:r>
          </w:p>
        </w:tc>
        <w:tc>
          <w:tcPr>
            <w:tcW w:w="0" w:type="dxa"/>
            <w:tcBorders>
              <w:top w:val="dotted" w:sz="4" w:space="0" w:color="AAABD6"/>
              <w:left w:val="single" w:sz="4" w:space="0" w:color="AAABD6"/>
              <w:bottom w:val="dotted" w:sz="4" w:space="0" w:color="AAABD6"/>
              <w:right w:val="single" w:sz="4" w:space="0" w:color="AAABD6"/>
            </w:tcBorders>
          </w:tcPr>
          <w:p w14:paraId="6CF8D952"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8,064</w:t>
            </w:r>
          </w:p>
        </w:tc>
        <w:tc>
          <w:tcPr>
            <w:tcW w:w="0" w:type="dxa"/>
            <w:tcBorders>
              <w:top w:val="dotted" w:sz="4" w:space="0" w:color="AAABD6"/>
              <w:left w:val="single" w:sz="4" w:space="0" w:color="AAABD6"/>
              <w:bottom w:val="dotted" w:sz="4" w:space="0" w:color="AAABD6"/>
              <w:right w:val="single" w:sz="4" w:space="0" w:color="AAABD6"/>
            </w:tcBorders>
          </w:tcPr>
          <w:p w14:paraId="21B60BD0"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8,178</w:t>
            </w:r>
          </w:p>
        </w:tc>
        <w:tc>
          <w:tcPr>
            <w:tcW w:w="0" w:type="dxa"/>
            <w:tcBorders>
              <w:top w:val="dotted" w:sz="4" w:space="0" w:color="AAABD6"/>
              <w:left w:val="single" w:sz="4" w:space="0" w:color="AAABD6"/>
              <w:bottom w:val="dotted" w:sz="4" w:space="0" w:color="AAABD6"/>
              <w:right w:val="single" w:sz="4" w:space="0" w:color="AAABD6"/>
            </w:tcBorders>
          </w:tcPr>
          <w:p w14:paraId="5FEFE920"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8,293</w:t>
            </w:r>
          </w:p>
        </w:tc>
        <w:tc>
          <w:tcPr>
            <w:tcW w:w="0" w:type="dxa"/>
            <w:tcBorders>
              <w:top w:val="dotted" w:sz="4" w:space="0" w:color="AAABD6"/>
              <w:left w:val="single" w:sz="4" w:space="0" w:color="AAABD6"/>
              <w:bottom w:val="dotted" w:sz="4" w:space="0" w:color="AAABD6"/>
              <w:right w:val="single" w:sz="4" w:space="0" w:color="AAABD6"/>
            </w:tcBorders>
          </w:tcPr>
          <w:p w14:paraId="11CF642B"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8,410</w:t>
            </w:r>
          </w:p>
        </w:tc>
        <w:tc>
          <w:tcPr>
            <w:tcW w:w="0" w:type="dxa"/>
            <w:tcBorders>
              <w:top w:val="dotted" w:sz="4" w:space="0" w:color="AAABD6"/>
              <w:left w:val="single" w:sz="4" w:space="0" w:color="AAABD6"/>
              <w:bottom w:val="dotted" w:sz="4" w:space="0" w:color="AAABD6"/>
              <w:right w:val="single" w:sz="4" w:space="0" w:color="AAABD6"/>
            </w:tcBorders>
          </w:tcPr>
          <w:p w14:paraId="5C427C8B"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8,529</w:t>
            </w:r>
          </w:p>
        </w:tc>
        <w:tc>
          <w:tcPr>
            <w:tcW w:w="0" w:type="dxa"/>
            <w:tcBorders>
              <w:top w:val="dotted" w:sz="4" w:space="0" w:color="AAABD6"/>
              <w:left w:val="single" w:sz="4" w:space="0" w:color="AAABD6"/>
              <w:bottom w:val="dotted" w:sz="4" w:space="0" w:color="AAABD6"/>
              <w:right w:val="single" w:sz="4" w:space="0" w:color="AAABD6"/>
            </w:tcBorders>
          </w:tcPr>
          <w:p w14:paraId="7DB0BFCD"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8,649</w:t>
            </w:r>
          </w:p>
        </w:tc>
        <w:tc>
          <w:tcPr>
            <w:tcW w:w="0" w:type="dxa"/>
            <w:tcBorders>
              <w:top w:val="dotted" w:sz="4" w:space="0" w:color="AAABD6"/>
              <w:left w:val="single" w:sz="4" w:space="0" w:color="AAABD6"/>
              <w:bottom w:val="dotted" w:sz="4" w:space="0" w:color="AAABD6"/>
              <w:right w:val="single" w:sz="4" w:space="0" w:color="AAABD6"/>
            </w:tcBorders>
          </w:tcPr>
          <w:p w14:paraId="00BB1D7A"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8,771</w:t>
            </w:r>
          </w:p>
        </w:tc>
        <w:tc>
          <w:tcPr>
            <w:tcW w:w="0" w:type="dxa"/>
            <w:tcBorders>
              <w:top w:val="dotted" w:sz="4" w:space="0" w:color="AAABD6"/>
              <w:left w:val="single" w:sz="4" w:space="0" w:color="AAABD6"/>
              <w:bottom w:val="dotted" w:sz="4" w:space="0" w:color="AAABD6"/>
              <w:right w:val="single" w:sz="4" w:space="0" w:color="AAABD6"/>
            </w:tcBorders>
          </w:tcPr>
          <w:p w14:paraId="25668A7E"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8,895</w:t>
            </w:r>
          </w:p>
        </w:tc>
        <w:tc>
          <w:tcPr>
            <w:tcW w:w="0" w:type="dxa"/>
            <w:tcBorders>
              <w:top w:val="dotted" w:sz="4" w:space="0" w:color="AAABD6"/>
              <w:left w:val="single" w:sz="4" w:space="0" w:color="AAABD6"/>
              <w:bottom w:val="dotted" w:sz="4" w:space="0" w:color="AAABD6"/>
              <w:right w:val="single" w:sz="4" w:space="0" w:color="AAABD6"/>
            </w:tcBorders>
          </w:tcPr>
          <w:p w14:paraId="69DBCDF4"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9,021</w:t>
            </w:r>
          </w:p>
        </w:tc>
        <w:tc>
          <w:tcPr>
            <w:tcW w:w="0" w:type="dxa"/>
            <w:tcBorders>
              <w:top w:val="dotted" w:sz="4" w:space="0" w:color="AAABD6"/>
              <w:left w:val="single" w:sz="4" w:space="0" w:color="AAABD6"/>
              <w:bottom w:val="dotted" w:sz="4" w:space="0" w:color="AAABD6"/>
              <w:right w:val="single" w:sz="4" w:space="0" w:color="AAABD6"/>
            </w:tcBorders>
          </w:tcPr>
          <w:p w14:paraId="3078E83D"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9,148</w:t>
            </w:r>
          </w:p>
        </w:tc>
        <w:tc>
          <w:tcPr>
            <w:tcW w:w="0" w:type="dxa"/>
            <w:tcBorders>
              <w:top w:val="dotted" w:sz="4" w:space="0" w:color="AAABD6"/>
              <w:left w:val="single" w:sz="4" w:space="0" w:color="AAABD6"/>
              <w:bottom w:val="dotted" w:sz="4" w:space="0" w:color="AAABD6"/>
              <w:right w:val="single" w:sz="4" w:space="0" w:color="AAABD6"/>
            </w:tcBorders>
          </w:tcPr>
          <w:p w14:paraId="29723F2F"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9,278</w:t>
            </w:r>
          </w:p>
        </w:tc>
        <w:tc>
          <w:tcPr>
            <w:tcW w:w="0" w:type="dxa"/>
            <w:tcBorders>
              <w:top w:val="dotted" w:sz="4" w:space="0" w:color="AAABD6"/>
              <w:left w:val="single" w:sz="4" w:space="0" w:color="AAABD6"/>
              <w:bottom w:val="dotted" w:sz="4" w:space="0" w:color="AAABD6"/>
              <w:right w:val="single" w:sz="4" w:space="0" w:color="AAABD6"/>
            </w:tcBorders>
          </w:tcPr>
          <w:p w14:paraId="1EEEAB71"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9,409</w:t>
            </w:r>
          </w:p>
        </w:tc>
        <w:tc>
          <w:tcPr>
            <w:tcW w:w="0" w:type="dxa"/>
            <w:tcBorders>
              <w:top w:val="dotted" w:sz="4" w:space="0" w:color="AAABD6"/>
              <w:left w:val="single" w:sz="4" w:space="0" w:color="AAABD6"/>
              <w:bottom w:val="dotted" w:sz="4" w:space="0" w:color="AAABD6"/>
              <w:right w:val="single" w:sz="4" w:space="0" w:color="AAABD6"/>
            </w:tcBorders>
          </w:tcPr>
          <w:p w14:paraId="4533DED3"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9,541</w:t>
            </w:r>
          </w:p>
        </w:tc>
        <w:tc>
          <w:tcPr>
            <w:tcW w:w="0" w:type="dxa"/>
            <w:tcBorders>
              <w:top w:val="dotted" w:sz="4" w:space="0" w:color="AAABD6"/>
              <w:left w:val="single" w:sz="4" w:space="0" w:color="AAABD6"/>
              <w:bottom w:val="dotted" w:sz="4" w:space="0" w:color="AAABD6"/>
              <w:right w:val="single" w:sz="4" w:space="0" w:color="AAABD6"/>
            </w:tcBorders>
          </w:tcPr>
          <w:p w14:paraId="71F81725"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9,676</w:t>
            </w:r>
          </w:p>
        </w:tc>
        <w:tc>
          <w:tcPr>
            <w:tcW w:w="0" w:type="dxa"/>
            <w:tcBorders>
              <w:top w:val="dotted" w:sz="4" w:space="0" w:color="AAABD6"/>
              <w:left w:val="single" w:sz="4" w:space="0" w:color="AAABD6"/>
              <w:bottom w:val="dotted" w:sz="4" w:space="0" w:color="AAABD6"/>
              <w:right w:val="single" w:sz="4" w:space="0" w:color="AAABD6"/>
            </w:tcBorders>
          </w:tcPr>
          <w:p w14:paraId="559CE61E"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9,813</w:t>
            </w:r>
          </w:p>
        </w:tc>
        <w:tc>
          <w:tcPr>
            <w:tcW w:w="0" w:type="dxa"/>
            <w:tcBorders>
              <w:top w:val="dotted" w:sz="4" w:space="0" w:color="AAABD6"/>
              <w:left w:val="single" w:sz="4" w:space="0" w:color="AAABD6"/>
              <w:bottom w:val="dotted" w:sz="4" w:space="0" w:color="AAABD6"/>
              <w:right w:val="single" w:sz="4" w:space="0" w:color="AAABD6"/>
            </w:tcBorders>
          </w:tcPr>
          <w:p w14:paraId="7F34FA84"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9,951</w:t>
            </w:r>
          </w:p>
        </w:tc>
        <w:tc>
          <w:tcPr>
            <w:tcW w:w="0" w:type="dxa"/>
            <w:tcBorders>
              <w:top w:val="dotted" w:sz="4" w:space="0" w:color="AAABD6"/>
              <w:left w:val="single" w:sz="4" w:space="0" w:color="AAABD6"/>
              <w:bottom w:val="dotted" w:sz="4" w:space="0" w:color="AAABD6"/>
              <w:right w:val="single" w:sz="4" w:space="0" w:color="AAABD6"/>
            </w:tcBorders>
          </w:tcPr>
          <w:p w14:paraId="2E7B9031"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10,092</w:t>
            </w:r>
          </w:p>
        </w:tc>
      </w:tr>
      <w:tr w:rsidR="005B545D" w:rsidRPr="00100F0A" w14:paraId="19906BD4"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bottom w:val="single" w:sz="4" w:space="0" w:color="AAABD6"/>
              <w:right w:val="single" w:sz="4" w:space="0" w:color="AAABD6"/>
            </w:tcBorders>
          </w:tcPr>
          <w:p w14:paraId="16F8DA91" w14:textId="77777777" w:rsidR="00736026" w:rsidRPr="00100F0A" w:rsidRDefault="00736026" w:rsidP="002B2606">
            <w:pPr>
              <w:rPr>
                <w:sz w:val="16"/>
                <w:szCs w:val="16"/>
              </w:rPr>
            </w:pPr>
          </w:p>
        </w:tc>
        <w:tc>
          <w:tcPr>
            <w:tcW w:w="0" w:type="dxa"/>
            <w:tcBorders>
              <w:top w:val="dotted" w:sz="4" w:space="0" w:color="AAABD6"/>
              <w:left w:val="single" w:sz="4" w:space="0" w:color="AAABD6"/>
              <w:bottom w:val="single" w:sz="4" w:space="0" w:color="AAABD6"/>
              <w:right w:val="single" w:sz="4" w:space="0" w:color="AAABD6"/>
            </w:tcBorders>
          </w:tcPr>
          <w:p w14:paraId="63E5A731" w14:textId="77777777" w:rsidR="00736026" w:rsidRPr="00100F0A" w:rsidRDefault="00736026" w:rsidP="002B260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WA</w:t>
            </w:r>
          </w:p>
        </w:tc>
        <w:tc>
          <w:tcPr>
            <w:tcW w:w="0" w:type="dxa"/>
            <w:vMerge/>
            <w:tcBorders>
              <w:left w:val="single" w:sz="4" w:space="0" w:color="AAABD6"/>
              <w:bottom w:val="single" w:sz="4" w:space="0" w:color="AAABD6"/>
              <w:right w:val="single" w:sz="4" w:space="0" w:color="AAABD6"/>
            </w:tcBorders>
          </w:tcPr>
          <w:p w14:paraId="7C4BFDAE" w14:textId="77777777" w:rsidR="00736026" w:rsidRPr="00100F0A" w:rsidRDefault="00736026" w:rsidP="002B2606">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dotted" w:sz="4" w:space="0" w:color="AAABD6"/>
              <w:left w:val="single" w:sz="4" w:space="0" w:color="AAABD6"/>
              <w:bottom w:val="single" w:sz="4" w:space="0" w:color="AAABD6"/>
              <w:right w:val="nil"/>
            </w:tcBorders>
            <w:shd w:val="clear" w:color="auto" w:fill="auto"/>
          </w:tcPr>
          <w:p w14:paraId="0A4FF839"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tc>
        <w:tc>
          <w:tcPr>
            <w:tcW w:w="0" w:type="dxa"/>
            <w:tcBorders>
              <w:top w:val="dotted" w:sz="4" w:space="0" w:color="AAABD6"/>
              <w:left w:val="nil"/>
              <w:bottom w:val="single" w:sz="4" w:space="0" w:color="AAABD6"/>
              <w:right w:val="single" w:sz="4" w:space="0" w:color="AAABD6"/>
            </w:tcBorders>
            <w:shd w:val="clear" w:color="auto" w:fill="auto"/>
          </w:tcPr>
          <w:p w14:paraId="38F2477F"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iCs/>
                <w:color w:val="4D4DB8"/>
                <w:sz w:val="16"/>
                <w:szCs w:val="16"/>
              </w:rPr>
            </w:pPr>
            <w:r w:rsidRPr="00100F0A">
              <w:rPr>
                <w:iCs/>
                <w:color w:val="4D4DB8"/>
                <w:sz w:val="16"/>
                <w:szCs w:val="16"/>
              </w:rPr>
              <w:t>12%</w:t>
            </w:r>
          </w:p>
        </w:tc>
        <w:tc>
          <w:tcPr>
            <w:tcW w:w="0" w:type="dxa"/>
            <w:tcBorders>
              <w:top w:val="dotted" w:sz="4" w:space="0" w:color="AAABD6"/>
              <w:left w:val="single" w:sz="4" w:space="0" w:color="AAABD6"/>
              <w:bottom w:val="single" w:sz="4" w:space="0" w:color="AAABD6"/>
              <w:right w:val="single" w:sz="4" w:space="0" w:color="AAABD6"/>
            </w:tcBorders>
          </w:tcPr>
          <w:p w14:paraId="41ADB418"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 </w:t>
            </w:r>
          </w:p>
        </w:tc>
        <w:tc>
          <w:tcPr>
            <w:tcW w:w="0" w:type="dxa"/>
            <w:tcBorders>
              <w:top w:val="dotted" w:sz="4" w:space="0" w:color="AAABD6"/>
              <w:left w:val="single" w:sz="4" w:space="0" w:color="AAABD6"/>
              <w:bottom w:val="single" w:sz="4" w:space="0" w:color="AAABD6"/>
              <w:right w:val="single" w:sz="4" w:space="0" w:color="AAABD6"/>
            </w:tcBorders>
          </w:tcPr>
          <w:p w14:paraId="3FE2D835"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3,785</w:t>
            </w:r>
          </w:p>
        </w:tc>
        <w:tc>
          <w:tcPr>
            <w:tcW w:w="0" w:type="dxa"/>
            <w:tcBorders>
              <w:top w:val="dotted" w:sz="4" w:space="0" w:color="AAABD6"/>
              <w:left w:val="single" w:sz="4" w:space="0" w:color="AAABD6"/>
              <w:bottom w:val="single" w:sz="4" w:space="0" w:color="AAABD6"/>
              <w:right w:val="single" w:sz="4" w:space="0" w:color="AAABD6"/>
            </w:tcBorders>
          </w:tcPr>
          <w:p w14:paraId="7C8D3AC6"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3,839</w:t>
            </w:r>
          </w:p>
        </w:tc>
        <w:tc>
          <w:tcPr>
            <w:tcW w:w="0" w:type="dxa"/>
            <w:tcBorders>
              <w:top w:val="dotted" w:sz="4" w:space="0" w:color="AAABD6"/>
              <w:left w:val="single" w:sz="4" w:space="0" w:color="AAABD6"/>
              <w:bottom w:val="single" w:sz="4" w:space="0" w:color="AAABD6"/>
              <w:right w:val="single" w:sz="4" w:space="0" w:color="AAABD6"/>
            </w:tcBorders>
          </w:tcPr>
          <w:p w14:paraId="5114AFBF"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3,893</w:t>
            </w:r>
          </w:p>
        </w:tc>
        <w:tc>
          <w:tcPr>
            <w:tcW w:w="0" w:type="dxa"/>
            <w:tcBorders>
              <w:top w:val="dotted" w:sz="4" w:space="0" w:color="AAABD6"/>
              <w:left w:val="single" w:sz="4" w:space="0" w:color="AAABD6"/>
              <w:bottom w:val="single" w:sz="4" w:space="0" w:color="AAABD6"/>
              <w:right w:val="single" w:sz="4" w:space="0" w:color="AAABD6"/>
            </w:tcBorders>
          </w:tcPr>
          <w:p w14:paraId="21A708EE"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3,948</w:t>
            </w:r>
          </w:p>
        </w:tc>
        <w:tc>
          <w:tcPr>
            <w:tcW w:w="0" w:type="dxa"/>
            <w:tcBorders>
              <w:top w:val="dotted" w:sz="4" w:space="0" w:color="AAABD6"/>
              <w:left w:val="single" w:sz="4" w:space="0" w:color="AAABD6"/>
              <w:bottom w:val="single" w:sz="4" w:space="0" w:color="AAABD6"/>
              <w:right w:val="single" w:sz="4" w:space="0" w:color="AAABD6"/>
            </w:tcBorders>
          </w:tcPr>
          <w:p w14:paraId="200E646F"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4,004</w:t>
            </w:r>
          </w:p>
        </w:tc>
        <w:tc>
          <w:tcPr>
            <w:tcW w:w="0" w:type="dxa"/>
            <w:tcBorders>
              <w:top w:val="dotted" w:sz="4" w:space="0" w:color="AAABD6"/>
              <w:left w:val="single" w:sz="4" w:space="0" w:color="AAABD6"/>
              <w:bottom w:val="single" w:sz="4" w:space="0" w:color="AAABD6"/>
              <w:right w:val="single" w:sz="4" w:space="0" w:color="AAABD6"/>
            </w:tcBorders>
          </w:tcPr>
          <w:p w14:paraId="632FC539"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4,060</w:t>
            </w:r>
          </w:p>
        </w:tc>
        <w:tc>
          <w:tcPr>
            <w:tcW w:w="0" w:type="dxa"/>
            <w:tcBorders>
              <w:top w:val="dotted" w:sz="4" w:space="0" w:color="AAABD6"/>
              <w:left w:val="single" w:sz="4" w:space="0" w:color="AAABD6"/>
              <w:bottom w:val="single" w:sz="4" w:space="0" w:color="AAABD6"/>
              <w:right w:val="single" w:sz="4" w:space="0" w:color="AAABD6"/>
            </w:tcBorders>
          </w:tcPr>
          <w:p w14:paraId="3AADFFD0"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4,118</w:t>
            </w:r>
          </w:p>
        </w:tc>
        <w:tc>
          <w:tcPr>
            <w:tcW w:w="0" w:type="dxa"/>
            <w:tcBorders>
              <w:top w:val="dotted" w:sz="4" w:space="0" w:color="AAABD6"/>
              <w:left w:val="single" w:sz="4" w:space="0" w:color="AAABD6"/>
              <w:bottom w:val="single" w:sz="4" w:space="0" w:color="AAABD6"/>
              <w:right w:val="single" w:sz="4" w:space="0" w:color="AAABD6"/>
            </w:tcBorders>
          </w:tcPr>
          <w:p w14:paraId="403B9BD0"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4,176</w:t>
            </w:r>
          </w:p>
        </w:tc>
        <w:tc>
          <w:tcPr>
            <w:tcW w:w="0" w:type="dxa"/>
            <w:tcBorders>
              <w:top w:val="dotted" w:sz="4" w:space="0" w:color="AAABD6"/>
              <w:left w:val="single" w:sz="4" w:space="0" w:color="AAABD6"/>
              <w:bottom w:val="single" w:sz="4" w:space="0" w:color="AAABD6"/>
              <w:right w:val="single" w:sz="4" w:space="0" w:color="AAABD6"/>
            </w:tcBorders>
          </w:tcPr>
          <w:p w14:paraId="49D55ED1"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4,235</w:t>
            </w:r>
          </w:p>
        </w:tc>
        <w:tc>
          <w:tcPr>
            <w:tcW w:w="0" w:type="dxa"/>
            <w:tcBorders>
              <w:top w:val="dotted" w:sz="4" w:space="0" w:color="AAABD6"/>
              <w:left w:val="single" w:sz="4" w:space="0" w:color="AAABD6"/>
              <w:bottom w:val="single" w:sz="4" w:space="0" w:color="AAABD6"/>
              <w:right w:val="single" w:sz="4" w:space="0" w:color="AAABD6"/>
            </w:tcBorders>
          </w:tcPr>
          <w:p w14:paraId="19A3531E"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4,294</w:t>
            </w:r>
          </w:p>
        </w:tc>
        <w:tc>
          <w:tcPr>
            <w:tcW w:w="0" w:type="dxa"/>
            <w:tcBorders>
              <w:top w:val="dotted" w:sz="4" w:space="0" w:color="AAABD6"/>
              <w:left w:val="single" w:sz="4" w:space="0" w:color="AAABD6"/>
              <w:bottom w:val="single" w:sz="4" w:space="0" w:color="AAABD6"/>
              <w:right w:val="single" w:sz="4" w:space="0" w:color="AAABD6"/>
            </w:tcBorders>
          </w:tcPr>
          <w:p w14:paraId="29B85B8C"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4,355</w:t>
            </w:r>
          </w:p>
        </w:tc>
        <w:tc>
          <w:tcPr>
            <w:tcW w:w="0" w:type="dxa"/>
            <w:tcBorders>
              <w:top w:val="dotted" w:sz="4" w:space="0" w:color="AAABD6"/>
              <w:left w:val="single" w:sz="4" w:space="0" w:color="AAABD6"/>
              <w:bottom w:val="single" w:sz="4" w:space="0" w:color="AAABD6"/>
              <w:right w:val="single" w:sz="4" w:space="0" w:color="AAABD6"/>
            </w:tcBorders>
          </w:tcPr>
          <w:p w14:paraId="209CE5CC"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4,417</w:t>
            </w:r>
          </w:p>
        </w:tc>
        <w:tc>
          <w:tcPr>
            <w:tcW w:w="0" w:type="dxa"/>
            <w:tcBorders>
              <w:top w:val="dotted" w:sz="4" w:space="0" w:color="AAABD6"/>
              <w:left w:val="single" w:sz="4" w:space="0" w:color="AAABD6"/>
              <w:bottom w:val="single" w:sz="4" w:space="0" w:color="AAABD6"/>
              <w:right w:val="single" w:sz="4" w:space="0" w:color="AAABD6"/>
            </w:tcBorders>
          </w:tcPr>
          <w:p w14:paraId="3E289814"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4,479</w:t>
            </w:r>
          </w:p>
        </w:tc>
        <w:tc>
          <w:tcPr>
            <w:tcW w:w="0" w:type="dxa"/>
            <w:tcBorders>
              <w:top w:val="dotted" w:sz="4" w:space="0" w:color="AAABD6"/>
              <w:left w:val="single" w:sz="4" w:space="0" w:color="AAABD6"/>
              <w:bottom w:val="single" w:sz="4" w:space="0" w:color="AAABD6"/>
              <w:right w:val="single" w:sz="4" w:space="0" w:color="AAABD6"/>
            </w:tcBorders>
          </w:tcPr>
          <w:p w14:paraId="365F105B"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4,542</w:t>
            </w:r>
          </w:p>
        </w:tc>
        <w:tc>
          <w:tcPr>
            <w:tcW w:w="0" w:type="dxa"/>
            <w:tcBorders>
              <w:top w:val="dotted" w:sz="4" w:space="0" w:color="AAABD6"/>
              <w:left w:val="single" w:sz="4" w:space="0" w:color="AAABD6"/>
              <w:bottom w:val="single" w:sz="4" w:space="0" w:color="AAABD6"/>
              <w:right w:val="single" w:sz="4" w:space="0" w:color="AAABD6"/>
            </w:tcBorders>
          </w:tcPr>
          <w:p w14:paraId="78034BC5"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4,606</w:t>
            </w:r>
          </w:p>
        </w:tc>
        <w:tc>
          <w:tcPr>
            <w:tcW w:w="0" w:type="dxa"/>
            <w:tcBorders>
              <w:top w:val="dotted" w:sz="4" w:space="0" w:color="AAABD6"/>
              <w:left w:val="single" w:sz="4" w:space="0" w:color="AAABD6"/>
              <w:bottom w:val="single" w:sz="4" w:space="0" w:color="AAABD6"/>
              <w:right w:val="single" w:sz="4" w:space="0" w:color="AAABD6"/>
            </w:tcBorders>
          </w:tcPr>
          <w:p w14:paraId="317EC72B"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4,671</w:t>
            </w:r>
          </w:p>
        </w:tc>
        <w:tc>
          <w:tcPr>
            <w:tcW w:w="0" w:type="dxa"/>
            <w:tcBorders>
              <w:top w:val="dotted" w:sz="4" w:space="0" w:color="AAABD6"/>
              <w:left w:val="single" w:sz="4" w:space="0" w:color="AAABD6"/>
              <w:bottom w:val="single" w:sz="4" w:space="0" w:color="AAABD6"/>
              <w:right w:val="single" w:sz="4" w:space="0" w:color="AAABD6"/>
            </w:tcBorders>
          </w:tcPr>
          <w:p w14:paraId="67AB872C"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4,737</w:t>
            </w:r>
          </w:p>
        </w:tc>
        <w:tc>
          <w:tcPr>
            <w:tcW w:w="0" w:type="dxa"/>
            <w:tcBorders>
              <w:top w:val="dotted" w:sz="4" w:space="0" w:color="AAABD6"/>
              <w:left w:val="single" w:sz="4" w:space="0" w:color="AAABD6"/>
              <w:bottom w:val="single" w:sz="4" w:space="0" w:color="AAABD6"/>
              <w:right w:val="single" w:sz="4" w:space="0" w:color="AAABD6"/>
            </w:tcBorders>
          </w:tcPr>
          <w:p w14:paraId="3A6D98EC" w14:textId="77777777" w:rsidR="00736026" w:rsidRPr="00100F0A" w:rsidRDefault="00736026"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4,804</w:t>
            </w:r>
          </w:p>
        </w:tc>
      </w:tr>
      <w:tr w:rsidR="00F02371" w:rsidRPr="00100F0A" w14:paraId="0AE0D434"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val="restart"/>
            <w:tcBorders>
              <w:top w:val="single" w:sz="4" w:space="0" w:color="AAABD6"/>
              <w:left w:val="single" w:sz="4" w:space="0" w:color="AAABD6"/>
              <w:bottom w:val="single" w:sz="4" w:space="0" w:color="AAABD6"/>
              <w:right w:val="single" w:sz="4" w:space="0" w:color="AAABD6"/>
            </w:tcBorders>
          </w:tcPr>
          <w:p w14:paraId="5485728A" w14:textId="77777777" w:rsidR="00F02371" w:rsidRPr="00100F0A" w:rsidRDefault="00F02371" w:rsidP="002B2606">
            <w:pPr>
              <w:rPr>
                <w:sz w:val="16"/>
                <w:szCs w:val="16"/>
              </w:rPr>
            </w:pPr>
            <w:r w:rsidRPr="00100F0A">
              <w:rPr>
                <w:sz w:val="16"/>
                <w:szCs w:val="16"/>
              </w:rPr>
              <w:t>High</w:t>
            </w:r>
          </w:p>
        </w:tc>
        <w:tc>
          <w:tcPr>
            <w:tcW w:w="675" w:type="dxa"/>
            <w:tcBorders>
              <w:top w:val="single" w:sz="4" w:space="0" w:color="AAABD6"/>
              <w:left w:val="single" w:sz="4" w:space="0" w:color="AAABD6"/>
              <w:bottom w:val="dotted" w:sz="4" w:space="0" w:color="AAABD6"/>
              <w:right w:val="single" w:sz="4" w:space="0" w:color="AAABD6"/>
            </w:tcBorders>
          </w:tcPr>
          <w:p w14:paraId="1E87FFC3" w14:textId="77777777" w:rsidR="00F02371" w:rsidRPr="00100F0A" w:rsidRDefault="00F02371" w:rsidP="002B260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ACT</w:t>
            </w:r>
          </w:p>
        </w:tc>
        <w:tc>
          <w:tcPr>
            <w:tcW w:w="1418" w:type="dxa"/>
            <w:vMerge w:val="restart"/>
            <w:tcBorders>
              <w:top w:val="single" w:sz="4" w:space="0" w:color="AAABD6"/>
              <w:left w:val="single" w:sz="4" w:space="0" w:color="AAABD6"/>
              <w:right w:val="single" w:sz="4" w:space="0" w:color="AAABD6"/>
            </w:tcBorders>
            <w:vAlign w:val="center"/>
          </w:tcPr>
          <w:p w14:paraId="626B9755" w14:textId="77777777" w:rsidR="00F02371" w:rsidRPr="00100F0A" w:rsidRDefault="00F02371" w:rsidP="002B260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25% of Australian biosolids</w:t>
            </w:r>
          </w:p>
        </w:tc>
        <w:tc>
          <w:tcPr>
            <w:tcW w:w="1020" w:type="dxa"/>
            <w:gridSpan w:val="2"/>
            <w:vMerge w:val="restart"/>
            <w:tcBorders>
              <w:top w:val="single" w:sz="4" w:space="0" w:color="AAABD6"/>
              <w:left w:val="single" w:sz="4" w:space="0" w:color="AAABD6"/>
              <w:right w:val="single" w:sz="4" w:space="0" w:color="AAABD6"/>
            </w:tcBorders>
          </w:tcPr>
          <w:p w14:paraId="35CFFD01"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5BA0AE0C" w14:textId="7665ADF8"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 </w:t>
            </w:r>
          </w:p>
          <w:p w14:paraId="0729EE27"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6EA1F906"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56DB577C"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37B81713"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2C5A0460"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1466B3DD"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430EE8B9"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2E02C6F7"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 </w:t>
            </w:r>
          </w:p>
          <w:p w14:paraId="3B97CFB1"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4A078A99"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 </w:t>
            </w:r>
          </w:p>
          <w:p w14:paraId="1E5CEC7F"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6DE9809A"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31F78430"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7F97032B"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5F6191BD"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3D20E916"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329ABA46"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1EF422C6" w14:textId="74E8DBA1"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 </w:t>
            </w:r>
          </w:p>
        </w:tc>
        <w:tc>
          <w:tcPr>
            <w:tcW w:w="510" w:type="dxa"/>
            <w:tcBorders>
              <w:top w:val="single" w:sz="4" w:space="0" w:color="AAABD6"/>
              <w:left w:val="single" w:sz="4" w:space="0" w:color="AAABD6"/>
              <w:bottom w:val="dotted" w:sz="4" w:space="0" w:color="AAABD6"/>
              <w:right w:val="single" w:sz="4" w:space="0" w:color="AAABD6"/>
            </w:tcBorders>
          </w:tcPr>
          <w:p w14:paraId="16E6D5E2"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 </w:t>
            </w:r>
          </w:p>
        </w:tc>
        <w:tc>
          <w:tcPr>
            <w:tcW w:w="680" w:type="dxa"/>
            <w:tcBorders>
              <w:top w:val="single" w:sz="4" w:space="0" w:color="AAABD6"/>
              <w:left w:val="single" w:sz="4" w:space="0" w:color="AAABD6"/>
              <w:bottom w:val="dotted" w:sz="4" w:space="0" w:color="AAABD6"/>
              <w:right w:val="single" w:sz="4" w:space="0" w:color="AAABD6"/>
            </w:tcBorders>
          </w:tcPr>
          <w:p w14:paraId="30A7EB4F"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34FB15FC"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1F8727AF"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1F0A34D3"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65994ABB"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44D4DE18"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355929B8"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38A23A02"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4298211D"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613B2CD3"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36338BF2"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728C8EF7"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15558196"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0C5901AE"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4DA22DCD"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61C3F726"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35ED594D"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6D87B969"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r>
      <w:tr w:rsidR="00F02371" w:rsidRPr="00100F0A" w14:paraId="52611624"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bottom w:val="single" w:sz="4" w:space="0" w:color="AAABD6"/>
              <w:right w:val="single" w:sz="4" w:space="0" w:color="AAABD6"/>
            </w:tcBorders>
          </w:tcPr>
          <w:p w14:paraId="6E398776" w14:textId="77777777" w:rsidR="00F02371" w:rsidRPr="00100F0A" w:rsidRDefault="00F02371" w:rsidP="002B2606">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300E9907" w14:textId="77777777" w:rsidR="00F02371" w:rsidRPr="00100F0A" w:rsidRDefault="00F02371" w:rsidP="002B260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NSW</w:t>
            </w:r>
          </w:p>
        </w:tc>
        <w:tc>
          <w:tcPr>
            <w:tcW w:w="1418" w:type="dxa"/>
            <w:vMerge/>
            <w:tcBorders>
              <w:left w:val="single" w:sz="4" w:space="0" w:color="AAABD6"/>
              <w:right w:val="single" w:sz="4" w:space="0" w:color="AAABD6"/>
            </w:tcBorders>
          </w:tcPr>
          <w:p w14:paraId="3B116F65" w14:textId="77777777" w:rsidR="00F02371" w:rsidRPr="00100F0A" w:rsidRDefault="00F02371" w:rsidP="002B2606">
            <w:pPr>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gridSpan w:val="2"/>
            <w:vMerge/>
            <w:tcBorders>
              <w:left w:val="single" w:sz="4" w:space="0" w:color="AAABD6"/>
              <w:right w:val="single" w:sz="4" w:space="0" w:color="AAABD6"/>
            </w:tcBorders>
          </w:tcPr>
          <w:p w14:paraId="2AC19851" w14:textId="6536A7C4"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10" w:type="dxa"/>
            <w:tcBorders>
              <w:top w:val="dotted" w:sz="4" w:space="0" w:color="AAABD6"/>
              <w:left w:val="single" w:sz="4" w:space="0" w:color="AAABD6"/>
              <w:bottom w:val="dotted" w:sz="4" w:space="0" w:color="AAABD6"/>
              <w:right w:val="single" w:sz="4" w:space="0" w:color="AAABD6"/>
            </w:tcBorders>
          </w:tcPr>
          <w:p w14:paraId="5FFD1412"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680" w:type="dxa"/>
            <w:tcBorders>
              <w:top w:val="dotted" w:sz="4" w:space="0" w:color="AAABD6"/>
              <w:left w:val="single" w:sz="4" w:space="0" w:color="AAABD6"/>
              <w:bottom w:val="dotted" w:sz="4" w:space="0" w:color="AAABD6"/>
              <w:right w:val="single" w:sz="4" w:space="0" w:color="AAABD6"/>
            </w:tcBorders>
          </w:tcPr>
          <w:p w14:paraId="0AF7DCAB"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124,460</w:t>
            </w:r>
          </w:p>
        </w:tc>
        <w:tc>
          <w:tcPr>
            <w:tcW w:w="680" w:type="dxa"/>
            <w:tcBorders>
              <w:top w:val="dotted" w:sz="4" w:space="0" w:color="AAABD6"/>
              <w:left w:val="single" w:sz="4" w:space="0" w:color="AAABD6"/>
              <w:bottom w:val="dotted" w:sz="4" w:space="0" w:color="AAABD6"/>
              <w:right w:val="single" w:sz="4" w:space="0" w:color="AAABD6"/>
            </w:tcBorders>
          </w:tcPr>
          <w:p w14:paraId="61D955B3"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126,218</w:t>
            </w:r>
          </w:p>
        </w:tc>
        <w:tc>
          <w:tcPr>
            <w:tcW w:w="680" w:type="dxa"/>
            <w:tcBorders>
              <w:top w:val="dotted" w:sz="4" w:space="0" w:color="AAABD6"/>
              <w:left w:val="single" w:sz="4" w:space="0" w:color="AAABD6"/>
              <w:bottom w:val="dotted" w:sz="4" w:space="0" w:color="AAABD6"/>
              <w:right w:val="single" w:sz="4" w:space="0" w:color="AAABD6"/>
            </w:tcBorders>
          </w:tcPr>
          <w:p w14:paraId="69B99C1A"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128,000</w:t>
            </w:r>
          </w:p>
        </w:tc>
        <w:tc>
          <w:tcPr>
            <w:tcW w:w="680" w:type="dxa"/>
            <w:tcBorders>
              <w:top w:val="dotted" w:sz="4" w:space="0" w:color="AAABD6"/>
              <w:left w:val="single" w:sz="4" w:space="0" w:color="AAABD6"/>
              <w:bottom w:val="dotted" w:sz="4" w:space="0" w:color="AAABD6"/>
              <w:right w:val="single" w:sz="4" w:space="0" w:color="AAABD6"/>
            </w:tcBorders>
          </w:tcPr>
          <w:p w14:paraId="10A676C0"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129,807</w:t>
            </w:r>
          </w:p>
        </w:tc>
        <w:tc>
          <w:tcPr>
            <w:tcW w:w="680" w:type="dxa"/>
            <w:tcBorders>
              <w:top w:val="dotted" w:sz="4" w:space="0" w:color="AAABD6"/>
              <w:left w:val="single" w:sz="4" w:space="0" w:color="AAABD6"/>
              <w:bottom w:val="dotted" w:sz="4" w:space="0" w:color="AAABD6"/>
              <w:right w:val="single" w:sz="4" w:space="0" w:color="AAABD6"/>
            </w:tcBorders>
          </w:tcPr>
          <w:p w14:paraId="5D266D67"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131,640</w:t>
            </w:r>
          </w:p>
        </w:tc>
        <w:tc>
          <w:tcPr>
            <w:tcW w:w="680" w:type="dxa"/>
            <w:tcBorders>
              <w:top w:val="dotted" w:sz="4" w:space="0" w:color="AAABD6"/>
              <w:left w:val="single" w:sz="4" w:space="0" w:color="AAABD6"/>
              <w:bottom w:val="dotted" w:sz="4" w:space="0" w:color="AAABD6"/>
              <w:right w:val="single" w:sz="4" w:space="0" w:color="AAABD6"/>
            </w:tcBorders>
          </w:tcPr>
          <w:p w14:paraId="263FF777"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133,499</w:t>
            </w:r>
          </w:p>
        </w:tc>
        <w:tc>
          <w:tcPr>
            <w:tcW w:w="680" w:type="dxa"/>
            <w:tcBorders>
              <w:top w:val="dotted" w:sz="4" w:space="0" w:color="AAABD6"/>
              <w:left w:val="single" w:sz="4" w:space="0" w:color="AAABD6"/>
              <w:bottom w:val="dotted" w:sz="4" w:space="0" w:color="AAABD6"/>
              <w:right w:val="single" w:sz="4" w:space="0" w:color="AAABD6"/>
            </w:tcBorders>
          </w:tcPr>
          <w:p w14:paraId="7F054B0C"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135,385</w:t>
            </w:r>
          </w:p>
        </w:tc>
        <w:tc>
          <w:tcPr>
            <w:tcW w:w="680" w:type="dxa"/>
            <w:tcBorders>
              <w:top w:val="dotted" w:sz="4" w:space="0" w:color="AAABD6"/>
              <w:left w:val="single" w:sz="4" w:space="0" w:color="AAABD6"/>
              <w:bottom w:val="dotted" w:sz="4" w:space="0" w:color="AAABD6"/>
              <w:right w:val="single" w:sz="4" w:space="0" w:color="AAABD6"/>
            </w:tcBorders>
          </w:tcPr>
          <w:p w14:paraId="091CFBC1"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137,296</w:t>
            </w:r>
          </w:p>
        </w:tc>
        <w:tc>
          <w:tcPr>
            <w:tcW w:w="680" w:type="dxa"/>
            <w:tcBorders>
              <w:top w:val="dotted" w:sz="4" w:space="0" w:color="AAABD6"/>
              <w:left w:val="single" w:sz="4" w:space="0" w:color="AAABD6"/>
              <w:bottom w:val="dotted" w:sz="4" w:space="0" w:color="AAABD6"/>
              <w:right w:val="single" w:sz="4" w:space="0" w:color="AAABD6"/>
            </w:tcBorders>
          </w:tcPr>
          <w:p w14:paraId="37F2E046"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139,235</w:t>
            </w:r>
          </w:p>
        </w:tc>
        <w:tc>
          <w:tcPr>
            <w:tcW w:w="680" w:type="dxa"/>
            <w:tcBorders>
              <w:top w:val="dotted" w:sz="4" w:space="0" w:color="AAABD6"/>
              <w:left w:val="single" w:sz="4" w:space="0" w:color="AAABD6"/>
              <w:bottom w:val="dotted" w:sz="4" w:space="0" w:color="AAABD6"/>
              <w:right w:val="single" w:sz="4" w:space="0" w:color="AAABD6"/>
            </w:tcBorders>
          </w:tcPr>
          <w:p w14:paraId="7B92AA01"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141,201</w:t>
            </w:r>
          </w:p>
        </w:tc>
        <w:tc>
          <w:tcPr>
            <w:tcW w:w="680" w:type="dxa"/>
            <w:tcBorders>
              <w:top w:val="dotted" w:sz="4" w:space="0" w:color="AAABD6"/>
              <w:left w:val="single" w:sz="4" w:space="0" w:color="AAABD6"/>
              <w:bottom w:val="dotted" w:sz="4" w:space="0" w:color="AAABD6"/>
              <w:right w:val="single" w:sz="4" w:space="0" w:color="AAABD6"/>
            </w:tcBorders>
          </w:tcPr>
          <w:p w14:paraId="4490DAA1"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143,195</w:t>
            </w:r>
          </w:p>
        </w:tc>
        <w:tc>
          <w:tcPr>
            <w:tcW w:w="680" w:type="dxa"/>
            <w:tcBorders>
              <w:top w:val="dotted" w:sz="4" w:space="0" w:color="AAABD6"/>
              <w:left w:val="single" w:sz="4" w:space="0" w:color="AAABD6"/>
              <w:bottom w:val="dotted" w:sz="4" w:space="0" w:color="AAABD6"/>
              <w:right w:val="single" w:sz="4" w:space="0" w:color="AAABD6"/>
            </w:tcBorders>
          </w:tcPr>
          <w:p w14:paraId="04202C7B"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145,217</w:t>
            </w:r>
          </w:p>
        </w:tc>
        <w:tc>
          <w:tcPr>
            <w:tcW w:w="680" w:type="dxa"/>
            <w:tcBorders>
              <w:top w:val="dotted" w:sz="4" w:space="0" w:color="AAABD6"/>
              <w:left w:val="single" w:sz="4" w:space="0" w:color="AAABD6"/>
              <w:bottom w:val="dotted" w:sz="4" w:space="0" w:color="AAABD6"/>
              <w:right w:val="single" w:sz="4" w:space="0" w:color="AAABD6"/>
            </w:tcBorders>
          </w:tcPr>
          <w:p w14:paraId="615723ED"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147,268</w:t>
            </w:r>
          </w:p>
        </w:tc>
        <w:tc>
          <w:tcPr>
            <w:tcW w:w="680" w:type="dxa"/>
            <w:tcBorders>
              <w:top w:val="dotted" w:sz="4" w:space="0" w:color="AAABD6"/>
              <w:left w:val="single" w:sz="4" w:space="0" w:color="AAABD6"/>
              <w:bottom w:val="dotted" w:sz="4" w:space="0" w:color="AAABD6"/>
              <w:right w:val="single" w:sz="4" w:space="0" w:color="AAABD6"/>
            </w:tcBorders>
          </w:tcPr>
          <w:p w14:paraId="670A329B"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149,347</w:t>
            </w:r>
          </w:p>
        </w:tc>
        <w:tc>
          <w:tcPr>
            <w:tcW w:w="680" w:type="dxa"/>
            <w:tcBorders>
              <w:top w:val="dotted" w:sz="4" w:space="0" w:color="AAABD6"/>
              <w:left w:val="single" w:sz="4" w:space="0" w:color="AAABD6"/>
              <w:bottom w:val="dotted" w:sz="4" w:space="0" w:color="AAABD6"/>
              <w:right w:val="single" w:sz="4" w:space="0" w:color="AAABD6"/>
            </w:tcBorders>
          </w:tcPr>
          <w:p w14:paraId="0D4459A6"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151,456</w:t>
            </w:r>
          </w:p>
        </w:tc>
        <w:tc>
          <w:tcPr>
            <w:tcW w:w="680" w:type="dxa"/>
            <w:tcBorders>
              <w:top w:val="dotted" w:sz="4" w:space="0" w:color="AAABD6"/>
              <w:left w:val="single" w:sz="4" w:space="0" w:color="AAABD6"/>
              <w:bottom w:val="dotted" w:sz="4" w:space="0" w:color="AAABD6"/>
              <w:right w:val="single" w:sz="4" w:space="0" w:color="AAABD6"/>
            </w:tcBorders>
          </w:tcPr>
          <w:p w14:paraId="122FFA04"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153,595</w:t>
            </w:r>
          </w:p>
        </w:tc>
        <w:tc>
          <w:tcPr>
            <w:tcW w:w="680" w:type="dxa"/>
            <w:tcBorders>
              <w:top w:val="dotted" w:sz="4" w:space="0" w:color="AAABD6"/>
              <w:left w:val="single" w:sz="4" w:space="0" w:color="AAABD6"/>
              <w:bottom w:val="dotted" w:sz="4" w:space="0" w:color="AAABD6"/>
              <w:right w:val="single" w:sz="4" w:space="0" w:color="AAABD6"/>
            </w:tcBorders>
          </w:tcPr>
          <w:p w14:paraId="55973495"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155,764</w:t>
            </w:r>
          </w:p>
        </w:tc>
        <w:tc>
          <w:tcPr>
            <w:tcW w:w="680" w:type="dxa"/>
            <w:tcBorders>
              <w:top w:val="dotted" w:sz="4" w:space="0" w:color="AAABD6"/>
              <w:left w:val="single" w:sz="4" w:space="0" w:color="AAABD6"/>
              <w:bottom w:val="dotted" w:sz="4" w:space="0" w:color="AAABD6"/>
              <w:right w:val="single" w:sz="4" w:space="0" w:color="AAABD6"/>
            </w:tcBorders>
          </w:tcPr>
          <w:p w14:paraId="24C91CC2"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157,964</w:t>
            </w:r>
          </w:p>
        </w:tc>
      </w:tr>
      <w:tr w:rsidR="00F02371" w:rsidRPr="00100F0A" w14:paraId="560E61C8"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bottom w:val="single" w:sz="4" w:space="0" w:color="AAABD6"/>
              <w:right w:val="single" w:sz="4" w:space="0" w:color="AAABD6"/>
            </w:tcBorders>
          </w:tcPr>
          <w:p w14:paraId="719B50D8" w14:textId="77777777" w:rsidR="00F02371" w:rsidRPr="00100F0A" w:rsidRDefault="00F02371" w:rsidP="002B2606">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6E7972A4" w14:textId="77777777" w:rsidR="00F02371" w:rsidRPr="00100F0A" w:rsidRDefault="00F02371" w:rsidP="002B260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NT</w:t>
            </w:r>
          </w:p>
        </w:tc>
        <w:tc>
          <w:tcPr>
            <w:tcW w:w="1418" w:type="dxa"/>
            <w:vMerge/>
            <w:tcBorders>
              <w:left w:val="single" w:sz="4" w:space="0" w:color="AAABD6"/>
              <w:right w:val="single" w:sz="4" w:space="0" w:color="AAABD6"/>
            </w:tcBorders>
          </w:tcPr>
          <w:p w14:paraId="442FE74D" w14:textId="77777777" w:rsidR="00F02371" w:rsidRPr="00100F0A" w:rsidRDefault="00F02371" w:rsidP="002B2606">
            <w:pPr>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gridSpan w:val="2"/>
            <w:vMerge/>
            <w:tcBorders>
              <w:left w:val="single" w:sz="4" w:space="0" w:color="AAABD6"/>
              <w:right w:val="single" w:sz="4" w:space="0" w:color="AAABD6"/>
            </w:tcBorders>
          </w:tcPr>
          <w:p w14:paraId="53963F93" w14:textId="13716306"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10" w:type="dxa"/>
            <w:tcBorders>
              <w:top w:val="dotted" w:sz="4" w:space="0" w:color="AAABD6"/>
              <w:left w:val="single" w:sz="4" w:space="0" w:color="AAABD6"/>
              <w:bottom w:val="dotted" w:sz="4" w:space="0" w:color="AAABD6"/>
              <w:right w:val="single" w:sz="4" w:space="0" w:color="AAABD6"/>
            </w:tcBorders>
          </w:tcPr>
          <w:p w14:paraId="4611DDB8"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680" w:type="dxa"/>
            <w:tcBorders>
              <w:top w:val="dotted" w:sz="4" w:space="0" w:color="AAABD6"/>
              <w:left w:val="single" w:sz="4" w:space="0" w:color="AAABD6"/>
              <w:bottom w:val="dotted" w:sz="4" w:space="0" w:color="AAABD6"/>
              <w:right w:val="single" w:sz="4" w:space="0" w:color="AAABD6"/>
            </w:tcBorders>
          </w:tcPr>
          <w:p w14:paraId="3673A43A"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4,155</w:t>
            </w:r>
          </w:p>
        </w:tc>
        <w:tc>
          <w:tcPr>
            <w:tcW w:w="680" w:type="dxa"/>
            <w:tcBorders>
              <w:top w:val="dotted" w:sz="4" w:space="0" w:color="AAABD6"/>
              <w:left w:val="single" w:sz="4" w:space="0" w:color="AAABD6"/>
              <w:bottom w:val="dotted" w:sz="4" w:space="0" w:color="AAABD6"/>
              <w:right w:val="single" w:sz="4" w:space="0" w:color="AAABD6"/>
            </w:tcBorders>
          </w:tcPr>
          <w:p w14:paraId="0D700A62"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4,213</w:t>
            </w:r>
          </w:p>
        </w:tc>
        <w:tc>
          <w:tcPr>
            <w:tcW w:w="680" w:type="dxa"/>
            <w:tcBorders>
              <w:top w:val="dotted" w:sz="4" w:space="0" w:color="AAABD6"/>
              <w:left w:val="single" w:sz="4" w:space="0" w:color="AAABD6"/>
              <w:bottom w:val="dotted" w:sz="4" w:space="0" w:color="AAABD6"/>
              <w:right w:val="single" w:sz="4" w:space="0" w:color="AAABD6"/>
            </w:tcBorders>
          </w:tcPr>
          <w:p w14:paraId="1E4B05C1"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4,273</w:t>
            </w:r>
          </w:p>
        </w:tc>
        <w:tc>
          <w:tcPr>
            <w:tcW w:w="680" w:type="dxa"/>
            <w:tcBorders>
              <w:top w:val="dotted" w:sz="4" w:space="0" w:color="AAABD6"/>
              <w:left w:val="single" w:sz="4" w:space="0" w:color="AAABD6"/>
              <w:bottom w:val="dotted" w:sz="4" w:space="0" w:color="AAABD6"/>
              <w:right w:val="single" w:sz="4" w:space="0" w:color="AAABD6"/>
            </w:tcBorders>
          </w:tcPr>
          <w:p w14:paraId="3F2880C6"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4,333</w:t>
            </w:r>
          </w:p>
        </w:tc>
        <w:tc>
          <w:tcPr>
            <w:tcW w:w="680" w:type="dxa"/>
            <w:tcBorders>
              <w:top w:val="dotted" w:sz="4" w:space="0" w:color="AAABD6"/>
              <w:left w:val="single" w:sz="4" w:space="0" w:color="AAABD6"/>
              <w:bottom w:val="dotted" w:sz="4" w:space="0" w:color="AAABD6"/>
              <w:right w:val="single" w:sz="4" w:space="0" w:color="AAABD6"/>
            </w:tcBorders>
          </w:tcPr>
          <w:p w14:paraId="0FE10699"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4,394</w:t>
            </w:r>
          </w:p>
        </w:tc>
        <w:tc>
          <w:tcPr>
            <w:tcW w:w="680" w:type="dxa"/>
            <w:tcBorders>
              <w:top w:val="dotted" w:sz="4" w:space="0" w:color="AAABD6"/>
              <w:left w:val="single" w:sz="4" w:space="0" w:color="AAABD6"/>
              <w:bottom w:val="dotted" w:sz="4" w:space="0" w:color="AAABD6"/>
              <w:right w:val="single" w:sz="4" w:space="0" w:color="AAABD6"/>
            </w:tcBorders>
          </w:tcPr>
          <w:p w14:paraId="46C6C6D1"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4,457</w:t>
            </w:r>
          </w:p>
        </w:tc>
        <w:tc>
          <w:tcPr>
            <w:tcW w:w="680" w:type="dxa"/>
            <w:tcBorders>
              <w:top w:val="dotted" w:sz="4" w:space="0" w:color="AAABD6"/>
              <w:left w:val="single" w:sz="4" w:space="0" w:color="AAABD6"/>
              <w:bottom w:val="dotted" w:sz="4" w:space="0" w:color="AAABD6"/>
              <w:right w:val="single" w:sz="4" w:space="0" w:color="AAABD6"/>
            </w:tcBorders>
          </w:tcPr>
          <w:p w14:paraId="52C61259"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4,519</w:t>
            </w:r>
          </w:p>
        </w:tc>
        <w:tc>
          <w:tcPr>
            <w:tcW w:w="680" w:type="dxa"/>
            <w:tcBorders>
              <w:top w:val="dotted" w:sz="4" w:space="0" w:color="AAABD6"/>
              <w:left w:val="single" w:sz="4" w:space="0" w:color="AAABD6"/>
              <w:bottom w:val="dotted" w:sz="4" w:space="0" w:color="AAABD6"/>
              <w:right w:val="single" w:sz="4" w:space="0" w:color="AAABD6"/>
            </w:tcBorders>
          </w:tcPr>
          <w:p w14:paraId="13BAB2AE"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4,583</w:t>
            </w:r>
          </w:p>
        </w:tc>
        <w:tc>
          <w:tcPr>
            <w:tcW w:w="680" w:type="dxa"/>
            <w:tcBorders>
              <w:top w:val="dotted" w:sz="4" w:space="0" w:color="AAABD6"/>
              <w:left w:val="single" w:sz="4" w:space="0" w:color="AAABD6"/>
              <w:bottom w:val="dotted" w:sz="4" w:space="0" w:color="AAABD6"/>
              <w:right w:val="single" w:sz="4" w:space="0" w:color="AAABD6"/>
            </w:tcBorders>
          </w:tcPr>
          <w:p w14:paraId="7C658896"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4,648</w:t>
            </w:r>
          </w:p>
        </w:tc>
        <w:tc>
          <w:tcPr>
            <w:tcW w:w="680" w:type="dxa"/>
            <w:tcBorders>
              <w:top w:val="dotted" w:sz="4" w:space="0" w:color="AAABD6"/>
              <w:left w:val="single" w:sz="4" w:space="0" w:color="AAABD6"/>
              <w:bottom w:val="dotted" w:sz="4" w:space="0" w:color="AAABD6"/>
              <w:right w:val="single" w:sz="4" w:space="0" w:color="AAABD6"/>
            </w:tcBorders>
          </w:tcPr>
          <w:p w14:paraId="5E35D85A"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4,714</w:t>
            </w:r>
          </w:p>
        </w:tc>
        <w:tc>
          <w:tcPr>
            <w:tcW w:w="680" w:type="dxa"/>
            <w:tcBorders>
              <w:top w:val="dotted" w:sz="4" w:space="0" w:color="AAABD6"/>
              <w:left w:val="single" w:sz="4" w:space="0" w:color="AAABD6"/>
              <w:bottom w:val="dotted" w:sz="4" w:space="0" w:color="AAABD6"/>
              <w:right w:val="single" w:sz="4" w:space="0" w:color="AAABD6"/>
            </w:tcBorders>
          </w:tcPr>
          <w:p w14:paraId="52B9EA42"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4,780</w:t>
            </w:r>
          </w:p>
        </w:tc>
        <w:tc>
          <w:tcPr>
            <w:tcW w:w="680" w:type="dxa"/>
            <w:tcBorders>
              <w:top w:val="dotted" w:sz="4" w:space="0" w:color="AAABD6"/>
              <w:left w:val="single" w:sz="4" w:space="0" w:color="AAABD6"/>
              <w:bottom w:val="dotted" w:sz="4" w:space="0" w:color="AAABD6"/>
              <w:right w:val="single" w:sz="4" w:space="0" w:color="AAABD6"/>
            </w:tcBorders>
          </w:tcPr>
          <w:p w14:paraId="415CBF97"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4,848</w:t>
            </w:r>
          </w:p>
        </w:tc>
        <w:tc>
          <w:tcPr>
            <w:tcW w:w="680" w:type="dxa"/>
            <w:tcBorders>
              <w:top w:val="dotted" w:sz="4" w:space="0" w:color="AAABD6"/>
              <w:left w:val="single" w:sz="4" w:space="0" w:color="AAABD6"/>
              <w:bottom w:val="dotted" w:sz="4" w:space="0" w:color="AAABD6"/>
              <w:right w:val="single" w:sz="4" w:space="0" w:color="AAABD6"/>
            </w:tcBorders>
          </w:tcPr>
          <w:p w14:paraId="1E2EE6FD"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4,916</w:t>
            </w:r>
          </w:p>
        </w:tc>
        <w:tc>
          <w:tcPr>
            <w:tcW w:w="680" w:type="dxa"/>
            <w:tcBorders>
              <w:top w:val="dotted" w:sz="4" w:space="0" w:color="AAABD6"/>
              <w:left w:val="single" w:sz="4" w:space="0" w:color="AAABD6"/>
              <w:bottom w:val="dotted" w:sz="4" w:space="0" w:color="AAABD6"/>
              <w:right w:val="single" w:sz="4" w:space="0" w:color="AAABD6"/>
            </w:tcBorders>
          </w:tcPr>
          <w:p w14:paraId="0860374E"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4,986</w:t>
            </w:r>
          </w:p>
        </w:tc>
        <w:tc>
          <w:tcPr>
            <w:tcW w:w="680" w:type="dxa"/>
            <w:tcBorders>
              <w:top w:val="dotted" w:sz="4" w:space="0" w:color="AAABD6"/>
              <w:left w:val="single" w:sz="4" w:space="0" w:color="AAABD6"/>
              <w:bottom w:val="dotted" w:sz="4" w:space="0" w:color="AAABD6"/>
              <w:right w:val="single" w:sz="4" w:space="0" w:color="AAABD6"/>
            </w:tcBorders>
          </w:tcPr>
          <w:p w14:paraId="6E365212"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5,056</w:t>
            </w:r>
          </w:p>
        </w:tc>
        <w:tc>
          <w:tcPr>
            <w:tcW w:w="680" w:type="dxa"/>
            <w:tcBorders>
              <w:top w:val="dotted" w:sz="4" w:space="0" w:color="AAABD6"/>
              <w:left w:val="single" w:sz="4" w:space="0" w:color="AAABD6"/>
              <w:bottom w:val="dotted" w:sz="4" w:space="0" w:color="AAABD6"/>
              <w:right w:val="single" w:sz="4" w:space="0" w:color="AAABD6"/>
            </w:tcBorders>
          </w:tcPr>
          <w:p w14:paraId="34F77939"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5,127</w:t>
            </w:r>
          </w:p>
        </w:tc>
        <w:tc>
          <w:tcPr>
            <w:tcW w:w="680" w:type="dxa"/>
            <w:tcBorders>
              <w:top w:val="dotted" w:sz="4" w:space="0" w:color="AAABD6"/>
              <w:left w:val="single" w:sz="4" w:space="0" w:color="AAABD6"/>
              <w:bottom w:val="dotted" w:sz="4" w:space="0" w:color="AAABD6"/>
              <w:right w:val="single" w:sz="4" w:space="0" w:color="AAABD6"/>
            </w:tcBorders>
          </w:tcPr>
          <w:p w14:paraId="14F23CC7"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5,200</w:t>
            </w:r>
          </w:p>
        </w:tc>
        <w:tc>
          <w:tcPr>
            <w:tcW w:w="680" w:type="dxa"/>
            <w:tcBorders>
              <w:top w:val="dotted" w:sz="4" w:space="0" w:color="AAABD6"/>
              <w:left w:val="single" w:sz="4" w:space="0" w:color="AAABD6"/>
              <w:bottom w:val="dotted" w:sz="4" w:space="0" w:color="AAABD6"/>
              <w:right w:val="single" w:sz="4" w:space="0" w:color="AAABD6"/>
            </w:tcBorders>
          </w:tcPr>
          <w:p w14:paraId="2C125332"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5,273</w:t>
            </w:r>
          </w:p>
        </w:tc>
      </w:tr>
      <w:tr w:rsidR="00F02371" w:rsidRPr="00100F0A" w14:paraId="37042C50"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bottom w:val="single" w:sz="4" w:space="0" w:color="AAABD6"/>
              <w:right w:val="single" w:sz="4" w:space="0" w:color="AAABD6"/>
            </w:tcBorders>
          </w:tcPr>
          <w:p w14:paraId="00CA0D7A" w14:textId="77777777" w:rsidR="00F02371" w:rsidRPr="00100F0A" w:rsidRDefault="00F02371" w:rsidP="002B2606">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6273B04C" w14:textId="77777777" w:rsidR="00F02371" w:rsidRPr="00100F0A" w:rsidRDefault="00F02371" w:rsidP="002B260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Qld</w:t>
            </w:r>
          </w:p>
        </w:tc>
        <w:tc>
          <w:tcPr>
            <w:tcW w:w="1418" w:type="dxa"/>
            <w:vMerge/>
            <w:tcBorders>
              <w:left w:val="single" w:sz="4" w:space="0" w:color="AAABD6"/>
              <w:right w:val="single" w:sz="4" w:space="0" w:color="AAABD6"/>
            </w:tcBorders>
          </w:tcPr>
          <w:p w14:paraId="0B3F4F8C" w14:textId="77777777" w:rsidR="00F02371" w:rsidRPr="00100F0A" w:rsidRDefault="00F02371" w:rsidP="002B2606">
            <w:pPr>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gridSpan w:val="2"/>
            <w:vMerge/>
            <w:tcBorders>
              <w:left w:val="single" w:sz="4" w:space="0" w:color="AAABD6"/>
              <w:right w:val="single" w:sz="4" w:space="0" w:color="AAABD6"/>
            </w:tcBorders>
          </w:tcPr>
          <w:p w14:paraId="77A823A1" w14:textId="01133719"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10" w:type="dxa"/>
            <w:tcBorders>
              <w:top w:val="dotted" w:sz="4" w:space="0" w:color="AAABD6"/>
              <w:left w:val="single" w:sz="4" w:space="0" w:color="AAABD6"/>
              <w:bottom w:val="dotted" w:sz="4" w:space="0" w:color="AAABD6"/>
              <w:right w:val="single" w:sz="4" w:space="0" w:color="AAABD6"/>
            </w:tcBorders>
          </w:tcPr>
          <w:p w14:paraId="086BCC61"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680" w:type="dxa"/>
            <w:tcBorders>
              <w:top w:val="dotted" w:sz="4" w:space="0" w:color="AAABD6"/>
              <w:left w:val="single" w:sz="4" w:space="0" w:color="AAABD6"/>
              <w:bottom w:val="dotted" w:sz="4" w:space="0" w:color="AAABD6"/>
              <w:right w:val="single" w:sz="4" w:space="0" w:color="AAABD6"/>
            </w:tcBorders>
          </w:tcPr>
          <w:p w14:paraId="2A8C6681"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82,408</w:t>
            </w:r>
          </w:p>
        </w:tc>
        <w:tc>
          <w:tcPr>
            <w:tcW w:w="680" w:type="dxa"/>
            <w:tcBorders>
              <w:top w:val="dotted" w:sz="4" w:space="0" w:color="AAABD6"/>
              <w:left w:val="single" w:sz="4" w:space="0" w:color="AAABD6"/>
              <w:bottom w:val="dotted" w:sz="4" w:space="0" w:color="AAABD6"/>
              <w:right w:val="single" w:sz="4" w:space="0" w:color="AAABD6"/>
            </w:tcBorders>
          </w:tcPr>
          <w:p w14:paraId="67451E5B"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83,572</w:t>
            </w:r>
          </w:p>
        </w:tc>
        <w:tc>
          <w:tcPr>
            <w:tcW w:w="680" w:type="dxa"/>
            <w:tcBorders>
              <w:top w:val="dotted" w:sz="4" w:space="0" w:color="AAABD6"/>
              <w:left w:val="single" w:sz="4" w:space="0" w:color="AAABD6"/>
              <w:bottom w:val="dotted" w:sz="4" w:space="0" w:color="AAABD6"/>
              <w:right w:val="single" w:sz="4" w:space="0" w:color="AAABD6"/>
            </w:tcBorders>
          </w:tcPr>
          <w:p w14:paraId="61AA6B70"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84,752</w:t>
            </w:r>
          </w:p>
        </w:tc>
        <w:tc>
          <w:tcPr>
            <w:tcW w:w="680" w:type="dxa"/>
            <w:tcBorders>
              <w:top w:val="dotted" w:sz="4" w:space="0" w:color="AAABD6"/>
              <w:left w:val="single" w:sz="4" w:space="0" w:color="AAABD6"/>
              <w:bottom w:val="dotted" w:sz="4" w:space="0" w:color="AAABD6"/>
              <w:right w:val="single" w:sz="4" w:space="0" w:color="AAABD6"/>
            </w:tcBorders>
          </w:tcPr>
          <w:p w14:paraId="61E8947B"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85,949</w:t>
            </w:r>
          </w:p>
        </w:tc>
        <w:tc>
          <w:tcPr>
            <w:tcW w:w="680" w:type="dxa"/>
            <w:tcBorders>
              <w:top w:val="dotted" w:sz="4" w:space="0" w:color="AAABD6"/>
              <w:left w:val="single" w:sz="4" w:space="0" w:color="AAABD6"/>
              <w:bottom w:val="dotted" w:sz="4" w:space="0" w:color="AAABD6"/>
              <w:right w:val="single" w:sz="4" w:space="0" w:color="AAABD6"/>
            </w:tcBorders>
          </w:tcPr>
          <w:p w14:paraId="329528FF"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87,162</w:t>
            </w:r>
          </w:p>
        </w:tc>
        <w:tc>
          <w:tcPr>
            <w:tcW w:w="680" w:type="dxa"/>
            <w:tcBorders>
              <w:top w:val="dotted" w:sz="4" w:space="0" w:color="AAABD6"/>
              <w:left w:val="single" w:sz="4" w:space="0" w:color="AAABD6"/>
              <w:bottom w:val="dotted" w:sz="4" w:space="0" w:color="AAABD6"/>
              <w:right w:val="single" w:sz="4" w:space="0" w:color="AAABD6"/>
            </w:tcBorders>
          </w:tcPr>
          <w:p w14:paraId="1F529136"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88,393</w:t>
            </w:r>
          </w:p>
        </w:tc>
        <w:tc>
          <w:tcPr>
            <w:tcW w:w="680" w:type="dxa"/>
            <w:tcBorders>
              <w:top w:val="dotted" w:sz="4" w:space="0" w:color="AAABD6"/>
              <w:left w:val="single" w:sz="4" w:space="0" w:color="AAABD6"/>
              <w:bottom w:val="dotted" w:sz="4" w:space="0" w:color="AAABD6"/>
              <w:right w:val="single" w:sz="4" w:space="0" w:color="AAABD6"/>
            </w:tcBorders>
          </w:tcPr>
          <w:p w14:paraId="3D997E8A"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89,641</w:t>
            </w:r>
          </w:p>
        </w:tc>
        <w:tc>
          <w:tcPr>
            <w:tcW w:w="680" w:type="dxa"/>
            <w:tcBorders>
              <w:top w:val="dotted" w:sz="4" w:space="0" w:color="AAABD6"/>
              <w:left w:val="single" w:sz="4" w:space="0" w:color="AAABD6"/>
              <w:bottom w:val="dotted" w:sz="4" w:space="0" w:color="AAABD6"/>
              <w:right w:val="single" w:sz="4" w:space="0" w:color="AAABD6"/>
            </w:tcBorders>
          </w:tcPr>
          <w:p w14:paraId="44983745"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90,907</w:t>
            </w:r>
          </w:p>
        </w:tc>
        <w:tc>
          <w:tcPr>
            <w:tcW w:w="680" w:type="dxa"/>
            <w:tcBorders>
              <w:top w:val="dotted" w:sz="4" w:space="0" w:color="AAABD6"/>
              <w:left w:val="single" w:sz="4" w:space="0" w:color="AAABD6"/>
              <w:bottom w:val="dotted" w:sz="4" w:space="0" w:color="AAABD6"/>
              <w:right w:val="single" w:sz="4" w:space="0" w:color="AAABD6"/>
            </w:tcBorders>
          </w:tcPr>
          <w:p w14:paraId="1E8D2251"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92,191</w:t>
            </w:r>
          </w:p>
        </w:tc>
        <w:tc>
          <w:tcPr>
            <w:tcW w:w="680" w:type="dxa"/>
            <w:tcBorders>
              <w:top w:val="dotted" w:sz="4" w:space="0" w:color="AAABD6"/>
              <w:left w:val="single" w:sz="4" w:space="0" w:color="AAABD6"/>
              <w:bottom w:val="dotted" w:sz="4" w:space="0" w:color="AAABD6"/>
              <w:right w:val="single" w:sz="4" w:space="0" w:color="AAABD6"/>
            </w:tcBorders>
          </w:tcPr>
          <w:p w14:paraId="276A4582"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93,493</w:t>
            </w:r>
          </w:p>
        </w:tc>
        <w:tc>
          <w:tcPr>
            <w:tcW w:w="680" w:type="dxa"/>
            <w:tcBorders>
              <w:top w:val="dotted" w:sz="4" w:space="0" w:color="AAABD6"/>
              <w:left w:val="single" w:sz="4" w:space="0" w:color="AAABD6"/>
              <w:bottom w:val="dotted" w:sz="4" w:space="0" w:color="AAABD6"/>
              <w:right w:val="single" w:sz="4" w:space="0" w:color="AAABD6"/>
            </w:tcBorders>
          </w:tcPr>
          <w:p w14:paraId="32F95C07"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94,813</w:t>
            </w:r>
          </w:p>
        </w:tc>
        <w:tc>
          <w:tcPr>
            <w:tcW w:w="680" w:type="dxa"/>
            <w:tcBorders>
              <w:top w:val="dotted" w:sz="4" w:space="0" w:color="AAABD6"/>
              <w:left w:val="single" w:sz="4" w:space="0" w:color="AAABD6"/>
              <w:bottom w:val="dotted" w:sz="4" w:space="0" w:color="AAABD6"/>
              <w:right w:val="single" w:sz="4" w:space="0" w:color="AAABD6"/>
            </w:tcBorders>
          </w:tcPr>
          <w:p w14:paraId="234C3D2E"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96,152</w:t>
            </w:r>
          </w:p>
        </w:tc>
        <w:tc>
          <w:tcPr>
            <w:tcW w:w="680" w:type="dxa"/>
            <w:tcBorders>
              <w:top w:val="dotted" w:sz="4" w:space="0" w:color="AAABD6"/>
              <w:left w:val="single" w:sz="4" w:space="0" w:color="AAABD6"/>
              <w:bottom w:val="dotted" w:sz="4" w:space="0" w:color="AAABD6"/>
              <w:right w:val="single" w:sz="4" w:space="0" w:color="AAABD6"/>
            </w:tcBorders>
          </w:tcPr>
          <w:p w14:paraId="3ED3CFDF"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97,510</w:t>
            </w:r>
          </w:p>
        </w:tc>
        <w:tc>
          <w:tcPr>
            <w:tcW w:w="680" w:type="dxa"/>
            <w:tcBorders>
              <w:top w:val="dotted" w:sz="4" w:space="0" w:color="AAABD6"/>
              <w:left w:val="single" w:sz="4" w:space="0" w:color="AAABD6"/>
              <w:bottom w:val="dotted" w:sz="4" w:space="0" w:color="AAABD6"/>
              <w:right w:val="single" w:sz="4" w:space="0" w:color="AAABD6"/>
            </w:tcBorders>
          </w:tcPr>
          <w:p w14:paraId="5EDA86C3"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98,887</w:t>
            </w:r>
          </w:p>
        </w:tc>
        <w:tc>
          <w:tcPr>
            <w:tcW w:w="680" w:type="dxa"/>
            <w:tcBorders>
              <w:top w:val="dotted" w:sz="4" w:space="0" w:color="AAABD6"/>
              <w:left w:val="single" w:sz="4" w:space="0" w:color="AAABD6"/>
              <w:bottom w:val="dotted" w:sz="4" w:space="0" w:color="AAABD6"/>
              <w:right w:val="single" w:sz="4" w:space="0" w:color="AAABD6"/>
            </w:tcBorders>
          </w:tcPr>
          <w:p w14:paraId="0070BE23"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100,283</w:t>
            </w:r>
          </w:p>
        </w:tc>
        <w:tc>
          <w:tcPr>
            <w:tcW w:w="680" w:type="dxa"/>
            <w:tcBorders>
              <w:top w:val="dotted" w:sz="4" w:space="0" w:color="AAABD6"/>
              <w:left w:val="single" w:sz="4" w:space="0" w:color="AAABD6"/>
              <w:bottom w:val="dotted" w:sz="4" w:space="0" w:color="AAABD6"/>
              <w:right w:val="single" w:sz="4" w:space="0" w:color="AAABD6"/>
            </w:tcBorders>
          </w:tcPr>
          <w:p w14:paraId="003AE949"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101,699</w:t>
            </w:r>
          </w:p>
        </w:tc>
        <w:tc>
          <w:tcPr>
            <w:tcW w:w="680" w:type="dxa"/>
            <w:tcBorders>
              <w:top w:val="dotted" w:sz="4" w:space="0" w:color="AAABD6"/>
              <w:left w:val="single" w:sz="4" w:space="0" w:color="AAABD6"/>
              <w:bottom w:val="dotted" w:sz="4" w:space="0" w:color="AAABD6"/>
              <w:right w:val="single" w:sz="4" w:space="0" w:color="AAABD6"/>
            </w:tcBorders>
          </w:tcPr>
          <w:p w14:paraId="6F143B35"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103,135</w:t>
            </w:r>
          </w:p>
        </w:tc>
        <w:tc>
          <w:tcPr>
            <w:tcW w:w="680" w:type="dxa"/>
            <w:tcBorders>
              <w:top w:val="dotted" w:sz="4" w:space="0" w:color="AAABD6"/>
              <w:left w:val="single" w:sz="4" w:space="0" w:color="AAABD6"/>
              <w:bottom w:val="dotted" w:sz="4" w:space="0" w:color="AAABD6"/>
              <w:right w:val="single" w:sz="4" w:space="0" w:color="AAABD6"/>
            </w:tcBorders>
          </w:tcPr>
          <w:p w14:paraId="7630539A"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104,592</w:t>
            </w:r>
          </w:p>
        </w:tc>
      </w:tr>
      <w:tr w:rsidR="00F02371" w:rsidRPr="00100F0A" w14:paraId="1735B2AE"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bottom w:val="single" w:sz="4" w:space="0" w:color="AAABD6"/>
              <w:right w:val="single" w:sz="4" w:space="0" w:color="AAABD6"/>
            </w:tcBorders>
          </w:tcPr>
          <w:p w14:paraId="3624CC29" w14:textId="77777777" w:rsidR="00F02371" w:rsidRPr="00100F0A" w:rsidRDefault="00F02371" w:rsidP="002B2606">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3CB9053B" w14:textId="77777777" w:rsidR="00F02371" w:rsidRPr="00100F0A" w:rsidRDefault="00F02371" w:rsidP="002B260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SA</w:t>
            </w:r>
          </w:p>
        </w:tc>
        <w:tc>
          <w:tcPr>
            <w:tcW w:w="1418" w:type="dxa"/>
            <w:vMerge/>
            <w:tcBorders>
              <w:left w:val="single" w:sz="4" w:space="0" w:color="AAABD6"/>
              <w:right w:val="single" w:sz="4" w:space="0" w:color="AAABD6"/>
            </w:tcBorders>
          </w:tcPr>
          <w:p w14:paraId="210A7516" w14:textId="77777777" w:rsidR="00F02371" w:rsidRPr="00100F0A" w:rsidRDefault="00F02371" w:rsidP="002B2606">
            <w:pPr>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gridSpan w:val="2"/>
            <w:vMerge/>
            <w:tcBorders>
              <w:left w:val="single" w:sz="4" w:space="0" w:color="AAABD6"/>
              <w:right w:val="single" w:sz="4" w:space="0" w:color="AAABD6"/>
            </w:tcBorders>
          </w:tcPr>
          <w:p w14:paraId="4913B714" w14:textId="56F5422E"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10" w:type="dxa"/>
            <w:tcBorders>
              <w:top w:val="dotted" w:sz="4" w:space="0" w:color="AAABD6"/>
              <w:left w:val="single" w:sz="4" w:space="0" w:color="AAABD6"/>
              <w:bottom w:val="dotted" w:sz="4" w:space="0" w:color="AAABD6"/>
              <w:right w:val="single" w:sz="4" w:space="0" w:color="AAABD6"/>
            </w:tcBorders>
          </w:tcPr>
          <w:p w14:paraId="14635349"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680" w:type="dxa"/>
            <w:tcBorders>
              <w:top w:val="dotted" w:sz="4" w:space="0" w:color="AAABD6"/>
              <w:left w:val="single" w:sz="4" w:space="0" w:color="AAABD6"/>
              <w:bottom w:val="dotted" w:sz="4" w:space="0" w:color="AAABD6"/>
              <w:right w:val="single" w:sz="4" w:space="0" w:color="AAABD6"/>
            </w:tcBorders>
          </w:tcPr>
          <w:p w14:paraId="417EC2E7"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27,638</w:t>
            </w:r>
          </w:p>
        </w:tc>
        <w:tc>
          <w:tcPr>
            <w:tcW w:w="680" w:type="dxa"/>
            <w:tcBorders>
              <w:top w:val="dotted" w:sz="4" w:space="0" w:color="AAABD6"/>
              <w:left w:val="single" w:sz="4" w:space="0" w:color="AAABD6"/>
              <w:bottom w:val="dotted" w:sz="4" w:space="0" w:color="AAABD6"/>
              <w:right w:val="single" w:sz="4" w:space="0" w:color="AAABD6"/>
            </w:tcBorders>
          </w:tcPr>
          <w:p w14:paraId="3707F847"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28,028</w:t>
            </w:r>
          </w:p>
        </w:tc>
        <w:tc>
          <w:tcPr>
            <w:tcW w:w="680" w:type="dxa"/>
            <w:tcBorders>
              <w:top w:val="dotted" w:sz="4" w:space="0" w:color="AAABD6"/>
              <w:left w:val="single" w:sz="4" w:space="0" w:color="AAABD6"/>
              <w:bottom w:val="dotted" w:sz="4" w:space="0" w:color="AAABD6"/>
              <w:right w:val="single" w:sz="4" w:space="0" w:color="AAABD6"/>
            </w:tcBorders>
          </w:tcPr>
          <w:p w14:paraId="47CC85E6"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28,424</w:t>
            </w:r>
          </w:p>
        </w:tc>
        <w:tc>
          <w:tcPr>
            <w:tcW w:w="680" w:type="dxa"/>
            <w:tcBorders>
              <w:top w:val="dotted" w:sz="4" w:space="0" w:color="AAABD6"/>
              <w:left w:val="single" w:sz="4" w:space="0" w:color="AAABD6"/>
              <w:bottom w:val="dotted" w:sz="4" w:space="0" w:color="AAABD6"/>
              <w:right w:val="single" w:sz="4" w:space="0" w:color="AAABD6"/>
            </w:tcBorders>
          </w:tcPr>
          <w:p w14:paraId="0C3994AF"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28,825</w:t>
            </w:r>
          </w:p>
        </w:tc>
        <w:tc>
          <w:tcPr>
            <w:tcW w:w="680" w:type="dxa"/>
            <w:tcBorders>
              <w:top w:val="dotted" w:sz="4" w:space="0" w:color="AAABD6"/>
              <w:left w:val="single" w:sz="4" w:space="0" w:color="AAABD6"/>
              <w:bottom w:val="dotted" w:sz="4" w:space="0" w:color="AAABD6"/>
              <w:right w:val="single" w:sz="4" w:space="0" w:color="AAABD6"/>
            </w:tcBorders>
          </w:tcPr>
          <w:p w14:paraId="1809C608"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29,232</w:t>
            </w:r>
          </w:p>
        </w:tc>
        <w:tc>
          <w:tcPr>
            <w:tcW w:w="680" w:type="dxa"/>
            <w:tcBorders>
              <w:top w:val="dotted" w:sz="4" w:space="0" w:color="AAABD6"/>
              <w:left w:val="single" w:sz="4" w:space="0" w:color="AAABD6"/>
              <w:bottom w:val="dotted" w:sz="4" w:space="0" w:color="AAABD6"/>
              <w:right w:val="single" w:sz="4" w:space="0" w:color="AAABD6"/>
            </w:tcBorders>
          </w:tcPr>
          <w:p w14:paraId="49FEED2F"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29,645</w:t>
            </w:r>
          </w:p>
        </w:tc>
        <w:tc>
          <w:tcPr>
            <w:tcW w:w="680" w:type="dxa"/>
            <w:tcBorders>
              <w:top w:val="dotted" w:sz="4" w:space="0" w:color="AAABD6"/>
              <w:left w:val="single" w:sz="4" w:space="0" w:color="AAABD6"/>
              <w:bottom w:val="dotted" w:sz="4" w:space="0" w:color="AAABD6"/>
              <w:right w:val="single" w:sz="4" w:space="0" w:color="AAABD6"/>
            </w:tcBorders>
          </w:tcPr>
          <w:p w14:paraId="53DDFA77"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30,064</w:t>
            </w:r>
          </w:p>
        </w:tc>
        <w:tc>
          <w:tcPr>
            <w:tcW w:w="680" w:type="dxa"/>
            <w:tcBorders>
              <w:top w:val="dotted" w:sz="4" w:space="0" w:color="AAABD6"/>
              <w:left w:val="single" w:sz="4" w:space="0" w:color="AAABD6"/>
              <w:bottom w:val="dotted" w:sz="4" w:space="0" w:color="AAABD6"/>
              <w:right w:val="single" w:sz="4" w:space="0" w:color="AAABD6"/>
            </w:tcBorders>
          </w:tcPr>
          <w:p w14:paraId="05DE91A2"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30,488</w:t>
            </w:r>
          </w:p>
        </w:tc>
        <w:tc>
          <w:tcPr>
            <w:tcW w:w="680" w:type="dxa"/>
            <w:tcBorders>
              <w:top w:val="dotted" w:sz="4" w:space="0" w:color="AAABD6"/>
              <w:left w:val="single" w:sz="4" w:space="0" w:color="AAABD6"/>
              <w:bottom w:val="dotted" w:sz="4" w:space="0" w:color="AAABD6"/>
              <w:right w:val="single" w:sz="4" w:space="0" w:color="AAABD6"/>
            </w:tcBorders>
          </w:tcPr>
          <w:p w14:paraId="4685A4A1"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30,919</w:t>
            </w:r>
          </w:p>
        </w:tc>
        <w:tc>
          <w:tcPr>
            <w:tcW w:w="680" w:type="dxa"/>
            <w:tcBorders>
              <w:top w:val="dotted" w:sz="4" w:space="0" w:color="AAABD6"/>
              <w:left w:val="single" w:sz="4" w:space="0" w:color="AAABD6"/>
              <w:bottom w:val="dotted" w:sz="4" w:space="0" w:color="AAABD6"/>
              <w:right w:val="single" w:sz="4" w:space="0" w:color="AAABD6"/>
            </w:tcBorders>
          </w:tcPr>
          <w:p w14:paraId="100997D9"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31,356</w:t>
            </w:r>
          </w:p>
        </w:tc>
        <w:tc>
          <w:tcPr>
            <w:tcW w:w="680" w:type="dxa"/>
            <w:tcBorders>
              <w:top w:val="dotted" w:sz="4" w:space="0" w:color="AAABD6"/>
              <w:left w:val="single" w:sz="4" w:space="0" w:color="AAABD6"/>
              <w:bottom w:val="dotted" w:sz="4" w:space="0" w:color="AAABD6"/>
              <w:right w:val="single" w:sz="4" w:space="0" w:color="AAABD6"/>
            </w:tcBorders>
          </w:tcPr>
          <w:p w14:paraId="5B130DC3"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31,798</w:t>
            </w:r>
          </w:p>
        </w:tc>
        <w:tc>
          <w:tcPr>
            <w:tcW w:w="680" w:type="dxa"/>
            <w:tcBorders>
              <w:top w:val="dotted" w:sz="4" w:space="0" w:color="AAABD6"/>
              <w:left w:val="single" w:sz="4" w:space="0" w:color="AAABD6"/>
              <w:bottom w:val="dotted" w:sz="4" w:space="0" w:color="AAABD6"/>
              <w:right w:val="single" w:sz="4" w:space="0" w:color="AAABD6"/>
            </w:tcBorders>
          </w:tcPr>
          <w:p w14:paraId="0503D8F2"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32,247</w:t>
            </w:r>
          </w:p>
        </w:tc>
        <w:tc>
          <w:tcPr>
            <w:tcW w:w="680" w:type="dxa"/>
            <w:tcBorders>
              <w:top w:val="dotted" w:sz="4" w:space="0" w:color="AAABD6"/>
              <w:left w:val="single" w:sz="4" w:space="0" w:color="AAABD6"/>
              <w:bottom w:val="dotted" w:sz="4" w:space="0" w:color="AAABD6"/>
              <w:right w:val="single" w:sz="4" w:space="0" w:color="AAABD6"/>
            </w:tcBorders>
          </w:tcPr>
          <w:p w14:paraId="7FA66CFD"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32,703</w:t>
            </w:r>
          </w:p>
        </w:tc>
        <w:tc>
          <w:tcPr>
            <w:tcW w:w="680" w:type="dxa"/>
            <w:tcBorders>
              <w:top w:val="dotted" w:sz="4" w:space="0" w:color="AAABD6"/>
              <w:left w:val="single" w:sz="4" w:space="0" w:color="AAABD6"/>
              <w:bottom w:val="dotted" w:sz="4" w:space="0" w:color="AAABD6"/>
              <w:right w:val="single" w:sz="4" w:space="0" w:color="AAABD6"/>
            </w:tcBorders>
          </w:tcPr>
          <w:p w14:paraId="2EB02524"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33,165</w:t>
            </w:r>
          </w:p>
        </w:tc>
        <w:tc>
          <w:tcPr>
            <w:tcW w:w="680" w:type="dxa"/>
            <w:tcBorders>
              <w:top w:val="dotted" w:sz="4" w:space="0" w:color="AAABD6"/>
              <w:left w:val="single" w:sz="4" w:space="0" w:color="AAABD6"/>
              <w:bottom w:val="dotted" w:sz="4" w:space="0" w:color="AAABD6"/>
              <w:right w:val="single" w:sz="4" w:space="0" w:color="AAABD6"/>
            </w:tcBorders>
          </w:tcPr>
          <w:p w14:paraId="368D9A0A"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33,633</w:t>
            </w:r>
          </w:p>
        </w:tc>
        <w:tc>
          <w:tcPr>
            <w:tcW w:w="680" w:type="dxa"/>
            <w:tcBorders>
              <w:top w:val="dotted" w:sz="4" w:space="0" w:color="AAABD6"/>
              <w:left w:val="single" w:sz="4" w:space="0" w:color="AAABD6"/>
              <w:bottom w:val="dotted" w:sz="4" w:space="0" w:color="AAABD6"/>
              <w:right w:val="single" w:sz="4" w:space="0" w:color="AAABD6"/>
            </w:tcBorders>
          </w:tcPr>
          <w:p w14:paraId="715B41CE"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34,108</w:t>
            </w:r>
          </w:p>
        </w:tc>
        <w:tc>
          <w:tcPr>
            <w:tcW w:w="680" w:type="dxa"/>
            <w:tcBorders>
              <w:top w:val="dotted" w:sz="4" w:space="0" w:color="AAABD6"/>
              <w:left w:val="single" w:sz="4" w:space="0" w:color="AAABD6"/>
              <w:bottom w:val="dotted" w:sz="4" w:space="0" w:color="AAABD6"/>
              <w:right w:val="single" w:sz="4" w:space="0" w:color="AAABD6"/>
            </w:tcBorders>
          </w:tcPr>
          <w:p w14:paraId="54F86350"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34,589</w:t>
            </w:r>
          </w:p>
        </w:tc>
        <w:tc>
          <w:tcPr>
            <w:tcW w:w="680" w:type="dxa"/>
            <w:tcBorders>
              <w:top w:val="dotted" w:sz="4" w:space="0" w:color="AAABD6"/>
              <w:left w:val="single" w:sz="4" w:space="0" w:color="AAABD6"/>
              <w:bottom w:val="dotted" w:sz="4" w:space="0" w:color="AAABD6"/>
              <w:right w:val="single" w:sz="4" w:space="0" w:color="AAABD6"/>
            </w:tcBorders>
          </w:tcPr>
          <w:p w14:paraId="5806C80E"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35,078</w:t>
            </w:r>
          </w:p>
        </w:tc>
      </w:tr>
      <w:tr w:rsidR="00F02371" w:rsidRPr="00100F0A" w14:paraId="514F0E85"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bottom w:val="single" w:sz="4" w:space="0" w:color="AAABD6"/>
              <w:right w:val="single" w:sz="4" w:space="0" w:color="AAABD6"/>
            </w:tcBorders>
          </w:tcPr>
          <w:p w14:paraId="02147EC7" w14:textId="77777777" w:rsidR="00F02371" w:rsidRPr="00100F0A" w:rsidRDefault="00F02371" w:rsidP="002B2606">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6750494B" w14:textId="77777777" w:rsidR="00F02371" w:rsidRPr="00100F0A" w:rsidRDefault="00F02371" w:rsidP="002B260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Tas</w:t>
            </w:r>
          </w:p>
        </w:tc>
        <w:tc>
          <w:tcPr>
            <w:tcW w:w="1418" w:type="dxa"/>
            <w:vMerge/>
            <w:tcBorders>
              <w:left w:val="single" w:sz="4" w:space="0" w:color="AAABD6"/>
              <w:right w:val="single" w:sz="4" w:space="0" w:color="AAABD6"/>
            </w:tcBorders>
          </w:tcPr>
          <w:p w14:paraId="0E18BA83" w14:textId="77777777" w:rsidR="00F02371" w:rsidRPr="00100F0A" w:rsidRDefault="00F02371" w:rsidP="002B2606">
            <w:pPr>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gridSpan w:val="2"/>
            <w:vMerge/>
            <w:tcBorders>
              <w:left w:val="single" w:sz="4" w:space="0" w:color="AAABD6"/>
              <w:right w:val="single" w:sz="4" w:space="0" w:color="AAABD6"/>
            </w:tcBorders>
          </w:tcPr>
          <w:p w14:paraId="5BEBC00D" w14:textId="3B3D75CF"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10" w:type="dxa"/>
            <w:tcBorders>
              <w:top w:val="dotted" w:sz="4" w:space="0" w:color="AAABD6"/>
              <w:left w:val="single" w:sz="4" w:space="0" w:color="AAABD6"/>
              <w:bottom w:val="dotted" w:sz="4" w:space="0" w:color="AAABD6"/>
              <w:right w:val="single" w:sz="4" w:space="0" w:color="AAABD6"/>
            </w:tcBorders>
          </w:tcPr>
          <w:p w14:paraId="7E33A6C8"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680" w:type="dxa"/>
            <w:tcBorders>
              <w:top w:val="dotted" w:sz="4" w:space="0" w:color="AAABD6"/>
              <w:left w:val="single" w:sz="4" w:space="0" w:color="AAABD6"/>
              <w:bottom w:val="dotted" w:sz="4" w:space="0" w:color="AAABD6"/>
              <w:right w:val="single" w:sz="4" w:space="0" w:color="AAABD6"/>
            </w:tcBorders>
          </w:tcPr>
          <w:p w14:paraId="1E9254B9"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8,219</w:t>
            </w:r>
          </w:p>
        </w:tc>
        <w:tc>
          <w:tcPr>
            <w:tcW w:w="680" w:type="dxa"/>
            <w:tcBorders>
              <w:top w:val="dotted" w:sz="4" w:space="0" w:color="AAABD6"/>
              <w:left w:val="single" w:sz="4" w:space="0" w:color="AAABD6"/>
              <w:bottom w:val="dotted" w:sz="4" w:space="0" w:color="AAABD6"/>
              <w:right w:val="single" w:sz="4" w:space="0" w:color="AAABD6"/>
            </w:tcBorders>
          </w:tcPr>
          <w:p w14:paraId="6EC8FFAA"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8,335</w:t>
            </w:r>
          </w:p>
        </w:tc>
        <w:tc>
          <w:tcPr>
            <w:tcW w:w="680" w:type="dxa"/>
            <w:tcBorders>
              <w:top w:val="dotted" w:sz="4" w:space="0" w:color="AAABD6"/>
              <w:left w:val="single" w:sz="4" w:space="0" w:color="AAABD6"/>
              <w:bottom w:val="dotted" w:sz="4" w:space="0" w:color="AAABD6"/>
              <w:right w:val="single" w:sz="4" w:space="0" w:color="AAABD6"/>
            </w:tcBorders>
          </w:tcPr>
          <w:p w14:paraId="30052162"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8,453</w:t>
            </w:r>
          </w:p>
        </w:tc>
        <w:tc>
          <w:tcPr>
            <w:tcW w:w="680" w:type="dxa"/>
            <w:tcBorders>
              <w:top w:val="dotted" w:sz="4" w:space="0" w:color="AAABD6"/>
              <w:left w:val="single" w:sz="4" w:space="0" w:color="AAABD6"/>
              <w:bottom w:val="dotted" w:sz="4" w:space="0" w:color="AAABD6"/>
              <w:right w:val="single" w:sz="4" w:space="0" w:color="AAABD6"/>
            </w:tcBorders>
          </w:tcPr>
          <w:p w14:paraId="4FDE738F"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8,572</w:t>
            </w:r>
          </w:p>
        </w:tc>
        <w:tc>
          <w:tcPr>
            <w:tcW w:w="680" w:type="dxa"/>
            <w:tcBorders>
              <w:top w:val="dotted" w:sz="4" w:space="0" w:color="AAABD6"/>
              <w:left w:val="single" w:sz="4" w:space="0" w:color="AAABD6"/>
              <w:bottom w:val="dotted" w:sz="4" w:space="0" w:color="AAABD6"/>
              <w:right w:val="single" w:sz="4" w:space="0" w:color="AAABD6"/>
            </w:tcBorders>
          </w:tcPr>
          <w:p w14:paraId="24040F51"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8,693</w:t>
            </w:r>
          </w:p>
        </w:tc>
        <w:tc>
          <w:tcPr>
            <w:tcW w:w="680" w:type="dxa"/>
            <w:tcBorders>
              <w:top w:val="dotted" w:sz="4" w:space="0" w:color="AAABD6"/>
              <w:left w:val="single" w:sz="4" w:space="0" w:color="AAABD6"/>
              <w:bottom w:val="dotted" w:sz="4" w:space="0" w:color="AAABD6"/>
              <w:right w:val="single" w:sz="4" w:space="0" w:color="AAABD6"/>
            </w:tcBorders>
          </w:tcPr>
          <w:p w14:paraId="4ACC4C26"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8,816</w:t>
            </w:r>
          </w:p>
        </w:tc>
        <w:tc>
          <w:tcPr>
            <w:tcW w:w="680" w:type="dxa"/>
            <w:tcBorders>
              <w:top w:val="dotted" w:sz="4" w:space="0" w:color="AAABD6"/>
              <w:left w:val="single" w:sz="4" w:space="0" w:color="AAABD6"/>
              <w:bottom w:val="dotted" w:sz="4" w:space="0" w:color="AAABD6"/>
              <w:right w:val="single" w:sz="4" w:space="0" w:color="AAABD6"/>
            </w:tcBorders>
          </w:tcPr>
          <w:p w14:paraId="1A9230B6"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8,940</w:t>
            </w:r>
          </w:p>
        </w:tc>
        <w:tc>
          <w:tcPr>
            <w:tcW w:w="680" w:type="dxa"/>
            <w:tcBorders>
              <w:top w:val="dotted" w:sz="4" w:space="0" w:color="AAABD6"/>
              <w:left w:val="single" w:sz="4" w:space="0" w:color="AAABD6"/>
              <w:bottom w:val="dotted" w:sz="4" w:space="0" w:color="AAABD6"/>
              <w:right w:val="single" w:sz="4" w:space="0" w:color="AAABD6"/>
            </w:tcBorders>
          </w:tcPr>
          <w:p w14:paraId="756386F6"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9,067</w:t>
            </w:r>
          </w:p>
        </w:tc>
        <w:tc>
          <w:tcPr>
            <w:tcW w:w="680" w:type="dxa"/>
            <w:tcBorders>
              <w:top w:val="dotted" w:sz="4" w:space="0" w:color="AAABD6"/>
              <w:left w:val="single" w:sz="4" w:space="0" w:color="AAABD6"/>
              <w:bottom w:val="dotted" w:sz="4" w:space="0" w:color="AAABD6"/>
              <w:right w:val="single" w:sz="4" w:space="0" w:color="AAABD6"/>
            </w:tcBorders>
          </w:tcPr>
          <w:p w14:paraId="063D8B33"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9,195</w:t>
            </w:r>
          </w:p>
        </w:tc>
        <w:tc>
          <w:tcPr>
            <w:tcW w:w="680" w:type="dxa"/>
            <w:tcBorders>
              <w:top w:val="dotted" w:sz="4" w:space="0" w:color="AAABD6"/>
              <w:left w:val="single" w:sz="4" w:space="0" w:color="AAABD6"/>
              <w:bottom w:val="dotted" w:sz="4" w:space="0" w:color="AAABD6"/>
              <w:right w:val="single" w:sz="4" w:space="0" w:color="AAABD6"/>
            </w:tcBorders>
          </w:tcPr>
          <w:p w14:paraId="0211D283"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9,325</w:t>
            </w:r>
          </w:p>
        </w:tc>
        <w:tc>
          <w:tcPr>
            <w:tcW w:w="680" w:type="dxa"/>
            <w:tcBorders>
              <w:top w:val="dotted" w:sz="4" w:space="0" w:color="AAABD6"/>
              <w:left w:val="single" w:sz="4" w:space="0" w:color="AAABD6"/>
              <w:bottom w:val="dotted" w:sz="4" w:space="0" w:color="AAABD6"/>
              <w:right w:val="single" w:sz="4" w:space="0" w:color="AAABD6"/>
            </w:tcBorders>
          </w:tcPr>
          <w:p w14:paraId="00C59ACD"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9,456</w:t>
            </w:r>
          </w:p>
        </w:tc>
        <w:tc>
          <w:tcPr>
            <w:tcW w:w="680" w:type="dxa"/>
            <w:tcBorders>
              <w:top w:val="dotted" w:sz="4" w:space="0" w:color="AAABD6"/>
              <w:left w:val="single" w:sz="4" w:space="0" w:color="AAABD6"/>
              <w:bottom w:val="dotted" w:sz="4" w:space="0" w:color="AAABD6"/>
              <w:right w:val="single" w:sz="4" w:space="0" w:color="AAABD6"/>
            </w:tcBorders>
          </w:tcPr>
          <w:p w14:paraId="37D04839"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9,590</w:t>
            </w:r>
          </w:p>
        </w:tc>
        <w:tc>
          <w:tcPr>
            <w:tcW w:w="680" w:type="dxa"/>
            <w:tcBorders>
              <w:top w:val="dotted" w:sz="4" w:space="0" w:color="AAABD6"/>
              <w:left w:val="single" w:sz="4" w:space="0" w:color="AAABD6"/>
              <w:bottom w:val="dotted" w:sz="4" w:space="0" w:color="AAABD6"/>
              <w:right w:val="single" w:sz="4" w:space="0" w:color="AAABD6"/>
            </w:tcBorders>
          </w:tcPr>
          <w:p w14:paraId="4C6F8173"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9,725</w:t>
            </w:r>
          </w:p>
        </w:tc>
        <w:tc>
          <w:tcPr>
            <w:tcW w:w="680" w:type="dxa"/>
            <w:tcBorders>
              <w:top w:val="dotted" w:sz="4" w:space="0" w:color="AAABD6"/>
              <w:left w:val="single" w:sz="4" w:space="0" w:color="AAABD6"/>
              <w:bottom w:val="dotted" w:sz="4" w:space="0" w:color="AAABD6"/>
              <w:right w:val="single" w:sz="4" w:space="0" w:color="AAABD6"/>
            </w:tcBorders>
          </w:tcPr>
          <w:p w14:paraId="6CC60233"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9,863</w:t>
            </w:r>
          </w:p>
        </w:tc>
        <w:tc>
          <w:tcPr>
            <w:tcW w:w="680" w:type="dxa"/>
            <w:tcBorders>
              <w:top w:val="dotted" w:sz="4" w:space="0" w:color="AAABD6"/>
              <w:left w:val="single" w:sz="4" w:space="0" w:color="AAABD6"/>
              <w:bottom w:val="dotted" w:sz="4" w:space="0" w:color="AAABD6"/>
              <w:right w:val="single" w:sz="4" w:space="0" w:color="AAABD6"/>
            </w:tcBorders>
          </w:tcPr>
          <w:p w14:paraId="034F4E2D"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10,002</w:t>
            </w:r>
          </w:p>
        </w:tc>
        <w:tc>
          <w:tcPr>
            <w:tcW w:w="680" w:type="dxa"/>
            <w:tcBorders>
              <w:top w:val="dotted" w:sz="4" w:space="0" w:color="AAABD6"/>
              <w:left w:val="single" w:sz="4" w:space="0" w:color="AAABD6"/>
              <w:bottom w:val="dotted" w:sz="4" w:space="0" w:color="AAABD6"/>
              <w:right w:val="single" w:sz="4" w:space="0" w:color="AAABD6"/>
            </w:tcBorders>
          </w:tcPr>
          <w:p w14:paraId="1476BA57"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10,143</w:t>
            </w:r>
          </w:p>
        </w:tc>
        <w:tc>
          <w:tcPr>
            <w:tcW w:w="680" w:type="dxa"/>
            <w:tcBorders>
              <w:top w:val="dotted" w:sz="4" w:space="0" w:color="AAABD6"/>
              <w:left w:val="single" w:sz="4" w:space="0" w:color="AAABD6"/>
              <w:bottom w:val="dotted" w:sz="4" w:space="0" w:color="AAABD6"/>
              <w:right w:val="single" w:sz="4" w:space="0" w:color="AAABD6"/>
            </w:tcBorders>
          </w:tcPr>
          <w:p w14:paraId="29D7529B"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10,286</w:t>
            </w:r>
          </w:p>
        </w:tc>
        <w:tc>
          <w:tcPr>
            <w:tcW w:w="680" w:type="dxa"/>
            <w:tcBorders>
              <w:top w:val="dotted" w:sz="4" w:space="0" w:color="AAABD6"/>
              <w:left w:val="single" w:sz="4" w:space="0" w:color="AAABD6"/>
              <w:bottom w:val="dotted" w:sz="4" w:space="0" w:color="AAABD6"/>
              <w:right w:val="single" w:sz="4" w:space="0" w:color="AAABD6"/>
            </w:tcBorders>
          </w:tcPr>
          <w:p w14:paraId="4488DB3A"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10,432</w:t>
            </w:r>
          </w:p>
        </w:tc>
      </w:tr>
      <w:tr w:rsidR="00F02371" w:rsidRPr="00100F0A" w14:paraId="400042F4"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bottom w:val="single" w:sz="4" w:space="0" w:color="AAABD6"/>
              <w:right w:val="single" w:sz="4" w:space="0" w:color="AAABD6"/>
            </w:tcBorders>
          </w:tcPr>
          <w:p w14:paraId="60ECE4F9" w14:textId="77777777" w:rsidR="00F02371" w:rsidRPr="00100F0A" w:rsidRDefault="00F02371" w:rsidP="002B2606">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7B190A6E" w14:textId="77777777" w:rsidR="00F02371" w:rsidRPr="00100F0A" w:rsidRDefault="00F02371" w:rsidP="002B260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Vic</w:t>
            </w:r>
          </w:p>
        </w:tc>
        <w:tc>
          <w:tcPr>
            <w:tcW w:w="1418" w:type="dxa"/>
            <w:vMerge/>
            <w:tcBorders>
              <w:left w:val="single" w:sz="4" w:space="0" w:color="AAABD6"/>
              <w:right w:val="single" w:sz="4" w:space="0" w:color="AAABD6"/>
            </w:tcBorders>
          </w:tcPr>
          <w:p w14:paraId="0AB22656" w14:textId="77777777" w:rsidR="00F02371" w:rsidRPr="00100F0A" w:rsidRDefault="00F02371" w:rsidP="002B2606">
            <w:pPr>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gridSpan w:val="2"/>
            <w:vMerge/>
            <w:tcBorders>
              <w:left w:val="single" w:sz="4" w:space="0" w:color="AAABD6"/>
              <w:right w:val="single" w:sz="4" w:space="0" w:color="AAABD6"/>
            </w:tcBorders>
          </w:tcPr>
          <w:p w14:paraId="034453F0" w14:textId="2DF9A855"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10" w:type="dxa"/>
            <w:tcBorders>
              <w:top w:val="dotted" w:sz="4" w:space="0" w:color="AAABD6"/>
              <w:left w:val="single" w:sz="4" w:space="0" w:color="AAABD6"/>
              <w:bottom w:val="dotted" w:sz="4" w:space="0" w:color="AAABD6"/>
              <w:right w:val="single" w:sz="4" w:space="0" w:color="AAABD6"/>
            </w:tcBorders>
          </w:tcPr>
          <w:p w14:paraId="6F54C8AB"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680" w:type="dxa"/>
            <w:tcBorders>
              <w:top w:val="dotted" w:sz="4" w:space="0" w:color="AAABD6"/>
              <w:left w:val="single" w:sz="4" w:space="0" w:color="AAABD6"/>
              <w:bottom w:val="dotted" w:sz="4" w:space="0" w:color="AAABD6"/>
              <w:right w:val="single" w:sz="4" w:space="0" w:color="AAABD6"/>
            </w:tcBorders>
          </w:tcPr>
          <w:p w14:paraId="22A347F4"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99,393</w:t>
            </w:r>
          </w:p>
        </w:tc>
        <w:tc>
          <w:tcPr>
            <w:tcW w:w="680" w:type="dxa"/>
            <w:tcBorders>
              <w:top w:val="dotted" w:sz="4" w:space="0" w:color="AAABD6"/>
              <w:left w:val="single" w:sz="4" w:space="0" w:color="AAABD6"/>
              <w:bottom w:val="dotted" w:sz="4" w:space="0" w:color="AAABD6"/>
              <w:right w:val="single" w:sz="4" w:space="0" w:color="AAABD6"/>
            </w:tcBorders>
          </w:tcPr>
          <w:p w14:paraId="6D0C218C"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100,796</w:t>
            </w:r>
          </w:p>
        </w:tc>
        <w:tc>
          <w:tcPr>
            <w:tcW w:w="680" w:type="dxa"/>
            <w:tcBorders>
              <w:top w:val="dotted" w:sz="4" w:space="0" w:color="AAABD6"/>
              <w:left w:val="single" w:sz="4" w:space="0" w:color="AAABD6"/>
              <w:bottom w:val="dotted" w:sz="4" w:space="0" w:color="AAABD6"/>
              <w:right w:val="single" w:sz="4" w:space="0" w:color="AAABD6"/>
            </w:tcBorders>
          </w:tcPr>
          <w:p w14:paraId="056FE3C3"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102,219</w:t>
            </w:r>
          </w:p>
        </w:tc>
        <w:tc>
          <w:tcPr>
            <w:tcW w:w="680" w:type="dxa"/>
            <w:tcBorders>
              <w:top w:val="dotted" w:sz="4" w:space="0" w:color="AAABD6"/>
              <w:left w:val="single" w:sz="4" w:space="0" w:color="AAABD6"/>
              <w:bottom w:val="dotted" w:sz="4" w:space="0" w:color="AAABD6"/>
              <w:right w:val="single" w:sz="4" w:space="0" w:color="AAABD6"/>
            </w:tcBorders>
          </w:tcPr>
          <w:p w14:paraId="30815288"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103,663</w:t>
            </w:r>
          </w:p>
        </w:tc>
        <w:tc>
          <w:tcPr>
            <w:tcW w:w="680" w:type="dxa"/>
            <w:tcBorders>
              <w:top w:val="dotted" w:sz="4" w:space="0" w:color="AAABD6"/>
              <w:left w:val="single" w:sz="4" w:space="0" w:color="AAABD6"/>
              <w:bottom w:val="dotted" w:sz="4" w:space="0" w:color="AAABD6"/>
              <w:right w:val="single" w:sz="4" w:space="0" w:color="AAABD6"/>
            </w:tcBorders>
          </w:tcPr>
          <w:p w14:paraId="6C480910"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105,127</w:t>
            </w:r>
          </w:p>
        </w:tc>
        <w:tc>
          <w:tcPr>
            <w:tcW w:w="680" w:type="dxa"/>
            <w:tcBorders>
              <w:top w:val="dotted" w:sz="4" w:space="0" w:color="AAABD6"/>
              <w:left w:val="single" w:sz="4" w:space="0" w:color="AAABD6"/>
              <w:bottom w:val="dotted" w:sz="4" w:space="0" w:color="AAABD6"/>
              <w:right w:val="single" w:sz="4" w:space="0" w:color="AAABD6"/>
            </w:tcBorders>
          </w:tcPr>
          <w:p w14:paraId="2290ACF7"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106,611</w:t>
            </w:r>
          </w:p>
        </w:tc>
        <w:tc>
          <w:tcPr>
            <w:tcW w:w="680" w:type="dxa"/>
            <w:tcBorders>
              <w:top w:val="dotted" w:sz="4" w:space="0" w:color="AAABD6"/>
              <w:left w:val="single" w:sz="4" w:space="0" w:color="AAABD6"/>
              <w:bottom w:val="dotted" w:sz="4" w:space="0" w:color="AAABD6"/>
              <w:right w:val="single" w:sz="4" w:space="0" w:color="AAABD6"/>
            </w:tcBorders>
          </w:tcPr>
          <w:p w14:paraId="234846D7"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108,117</w:t>
            </w:r>
          </w:p>
        </w:tc>
        <w:tc>
          <w:tcPr>
            <w:tcW w:w="680" w:type="dxa"/>
            <w:tcBorders>
              <w:top w:val="dotted" w:sz="4" w:space="0" w:color="AAABD6"/>
              <w:left w:val="single" w:sz="4" w:space="0" w:color="AAABD6"/>
              <w:bottom w:val="dotted" w:sz="4" w:space="0" w:color="AAABD6"/>
              <w:right w:val="single" w:sz="4" w:space="0" w:color="AAABD6"/>
            </w:tcBorders>
          </w:tcPr>
          <w:p w14:paraId="26D2680B"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109,643</w:t>
            </w:r>
          </w:p>
        </w:tc>
        <w:tc>
          <w:tcPr>
            <w:tcW w:w="680" w:type="dxa"/>
            <w:tcBorders>
              <w:top w:val="dotted" w:sz="4" w:space="0" w:color="AAABD6"/>
              <w:left w:val="single" w:sz="4" w:space="0" w:color="AAABD6"/>
              <w:bottom w:val="dotted" w:sz="4" w:space="0" w:color="AAABD6"/>
              <w:right w:val="single" w:sz="4" w:space="0" w:color="AAABD6"/>
            </w:tcBorders>
          </w:tcPr>
          <w:p w14:paraId="70EE41D7"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111,192</w:t>
            </w:r>
          </w:p>
        </w:tc>
        <w:tc>
          <w:tcPr>
            <w:tcW w:w="680" w:type="dxa"/>
            <w:tcBorders>
              <w:top w:val="dotted" w:sz="4" w:space="0" w:color="AAABD6"/>
              <w:left w:val="single" w:sz="4" w:space="0" w:color="AAABD6"/>
              <w:bottom w:val="dotted" w:sz="4" w:space="0" w:color="AAABD6"/>
              <w:right w:val="single" w:sz="4" w:space="0" w:color="AAABD6"/>
            </w:tcBorders>
          </w:tcPr>
          <w:p w14:paraId="7F60B8C2"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112,762</w:t>
            </w:r>
          </w:p>
        </w:tc>
        <w:tc>
          <w:tcPr>
            <w:tcW w:w="680" w:type="dxa"/>
            <w:tcBorders>
              <w:top w:val="dotted" w:sz="4" w:space="0" w:color="AAABD6"/>
              <w:left w:val="single" w:sz="4" w:space="0" w:color="AAABD6"/>
              <w:bottom w:val="dotted" w:sz="4" w:space="0" w:color="AAABD6"/>
              <w:right w:val="single" w:sz="4" w:space="0" w:color="AAABD6"/>
            </w:tcBorders>
          </w:tcPr>
          <w:p w14:paraId="3C9CDACB"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114,354</w:t>
            </w:r>
          </w:p>
        </w:tc>
        <w:tc>
          <w:tcPr>
            <w:tcW w:w="680" w:type="dxa"/>
            <w:tcBorders>
              <w:top w:val="dotted" w:sz="4" w:space="0" w:color="AAABD6"/>
              <w:left w:val="single" w:sz="4" w:space="0" w:color="AAABD6"/>
              <w:bottom w:val="dotted" w:sz="4" w:space="0" w:color="AAABD6"/>
              <w:right w:val="single" w:sz="4" w:space="0" w:color="AAABD6"/>
            </w:tcBorders>
          </w:tcPr>
          <w:p w14:paraId="6882825F"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115,969</w:t>
            </w:r>
          </w:p>
        </w:tc>
        <w:tc>
          <w:tcPr>
            <w:tcW w:w="680" w:type="dxa"/>
            <w:tcBorders>
              <w:top w:val="dotted" w:sz="4" w:space="0" w:color="AAABD6"/>
              <w:left w:val="single" w:sz="4" w:space="0" w:color="AAABD6"/>
              <w:bottom w:val="dotted" w:sz="4" w:space="0" w:color="AAABD6"/>
              <w:right w:val="single" w:sz="4" w:space="0" w:color="AAABD6"/>
            </w:tcBorders>
          </w:tcPr>
          <w:p w14:paraId="71D0748A"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117,606</w:t>
            </w:r>
          </w:p>
        </w:tc>
        <w:tc>
          <w:tcPr>
            <w:tcW w:w="680" w:type="dxa"/>
            <w:tcBorders>
              <w:top w:val="dotted" w:sz="4" w:space="0" w:color="AAABD6"/>
              <w:left w:val="single" w:sz="4" w:space="0" w:color="AAABD6"/>
              <w:bottom w:val="dotted" w:sz="4" w:space="0" w:color="AAABD6"/>
              <w:right w:val="single" w:sz="4" w:space="0" w:color="AAABD6"/>
            </w:tcBorders>
          </w:tcPr>
          <w:p w14:paraId="6513BFE7"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119,267</w:t>
            </w:r>
          </w:p>
        </w:tc>
        <w:tc>
          <w:tcPr>
            <w:tcW w:w="680" w:type="dxa"/>
            <w:tcBorders>
              <w:top w:val="dotted" w:sz="4" w:space="0" w:color="AAABD6"/>
              <w:left w:val="single" w:sz="4" w:space="0" w:color="AAABD6"/>
              <w:bottom w:val="dotted" w:sz="4" w:space="0" w:color="AAABD6"/>
              <w:right w:val="single" w:sz="4" w:space="0" w:color="AAABD6"/>
            </w:tcBorders>
          </w:tcPr>
          <w:p w14:paraId="41B5DECE"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120,951</w:t>
            </w:r>
          </w:p>
        </w:tc>
        <w:tc>
          <w:tcPr>
            <w:tcW w:w="680" w:type="dxa"/>
            <w:tcBorders>
              <w:top w:val="dotted" w:sz="4" w:space="0" w:color="AAABD6"/>
              <w:left w:val="single" w:sz="4" w:space="0" w:color="AAABD6"/>
              <w:bottom w:val="dotted" w:sz="4" w:space="0" w:color="AAABD6"/>
              <w:right w:val="single" w:sz="4" w:space="0" w:color="AAABD6"/>
            </w:tcBorders>
          </w:tcPr>
          <w:p w14:paraId="79314F29"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122,659</w:t>
            </w:r>
          </w:p>
        </w:tc>
        <w:tc>
          <w:tcPr>
            <w:tcW w:w="680" w:type="dxa"/>
            <w:tcBorders>
              <w:top w:val="dotted" w:sz="4" w:space="0" w:color="AAABD6"/>
              <w:left w:val="single" w:sz="4" w:space="0" w:color="AAABD6"/>
              <w:bottom w:val="dotted" w:sz="4" w:space="0" w:color="AAABD6"/>
              <w:right w:val="single" w:sz="4" w:space="0" w:color="AAABD6"/>
            </w:tcBorders>
          </w:tcPr>
          <w:p w14:paraId="73B6DF4A"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124,391</w:t>
            </w:r>
          </w:p>
        </w:tc>
        <w:tc>
          <w:tcPr>
            <w:tcW w:w="680" w:type="dxa"/>
            <w:tcBorders>
              <w:top w:val="dotted" w:sz="4" w:space="0" w:color="AAABD6"/>
              <w:left w:val="single" w:sz="4" w:space="0" w:color="AAABD6"/>
              <w:bottom w:val="dotted" w:sz="4" w:space="0" w:color="AAABD6"/>
              <w:right w:val="single" w:sz="4" w:space="0" w:color="AAABD6"/>
            </w:tcBorders>
          </w:tcPr>
          <w:p w14:paraId="49A0FC6A"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126,148</w:t>
            </w:r>
          </w:p>
        </w:tc>
      </w:tr>
      <w:tr w:rsidR="00F02371" w:rsidRPr="00100F0A" w14:paraId="2D4BEDB4"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bottom w:val="single" w:sz="4" w:space="0" w:color="AAABD6"/>
              <w:right w:val="single" w:sz="4" w:space="0" w:color="AAABD6"/>
            </w:tcBorders>
          </w:tcPr>
          <w:p w14:paraId="65155950" w14:textId="77777777" w:rsidR="00F02371" w:rsidRPr="00100F0A" w:rsidRDefault="00F02371" w:rsidP="002B2606">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7F10479F" w14:textId="77777777" w:rsidR="00F02371" w:rsidRPr="00100F0A" w:rsidRDefault="00F02371" w:rsidP="002B260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WA</w:t>
            </w:r>
          </w:p>
        </w:tc>
        <w:tc>
          <w:tcPr>
            <w:tcW w:w="1418" w:type="dxa"/>
            <w:vMerge/>
            <w:tcBorders>
              <w:left w:val="single" w:sz="4" w:space="0" w:color="AAABD6"/>
              <w:bottom w:val="dotted" w:sz="4" w:space="0" w:color="AAABD6"/>
              <w:right w:val="single" w:sz="4" w:space="0" w:color="AAABD6"/>
            </w:tcBorders>
          </w:tcPr>
          <w:p w14:paraId="2E989EBE" w14:textId="77777777" w:rsidR="00F02371" w:rsidRPr="00100F0A" w:rsidRDefault="00F02371" w:rsidP="002B2606">
            <w:pPr>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gridSpan w:val="2"/>
            <w:vMerge/>
            <w:tcBorders>
              <w:left w:val="single" w:sz="4" w:space="0" w:color="AAABD6"/>
              <w:right w:val="single" w:sz="4" w:space="0" w:color="AAABD6"/>
            </w:tcBorders>
          </w:tcPr>
          <w:p w14:paraId="3B7B7A23" w14:textId="1AE1C6C6"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10" w:type="dxa"/>
            <w:tcBorders>
              <w:top w:val="dotted" w:sz="4" w:space="0" w:color="AAABD6"/>
              <w:left w:val="single" w:sz="4" w:space="0" w:color="AAABD6"/>
              <w:bottom w:val="dotted" w:sz="4" w:space="0" w:color="AAABD6"/>
              <w:right w:val="single" w:sz="4" w:space="0" w:color="AAABD6"/>
            </w:tcBorders>
          </w:tcPr>
          <w:p w14:paraId="0B095DD2"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 </w:t>
            </w:r>
          </w:p>
        </w:tc>
        <w:tc>
          <w:tcPr>
            <w:tcW w:w="680" w:type="dxa"/>
            <w:tcBorders>
              <w:top w:val="dotted" w:sz="4" w:space="0" w:color="AAABD6"/>
              <w:left w:val="single" w:sz="4" w:space="0" w:color="AAABD6"/>
              <w:bottom w:val="dotted" w:sz="4" w:space="0" w:color="AAABD6"/>
              <w:right w:val="single" w:sz="4" w:space="0" w:color="AAABD6"/>
            </w:tcBorders>
          </w:tcPr>
          <w:p w14:paraId="0160F13F"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47,316</w:t>
            </w:r>
          </w:p>
        </w:tc>
        <w:tc>
          <w:tcPr>
            <w:tcW w:w="680" w:type="dxa"/>
            <w:tcBorders>
              <w:top w:val="dotted" w:sz="4" w:space="0" w:color="AAABD6"/>
              <w:left w:val="single" w:sz="4" w:space="0" w:color="AAABD6"/>
              <w:bottom w:val="dotted" w:sz="4" w:space="0" w:color="AAABD6"/>
              <w:right w:val="single" w:sz="4" w:space="0" w:color="AAABD6"/>
            </w:tcBorders>
          </w:tcPr>
          <w:p w14:paraId="7F13BAF3"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47,984</w:t>
            </w:r>
          </w:p>
        </w:tc>
        <w:tc>
          <w:tcPr>
            <w:tcW w:w="680" w:type="dxa"/>
            <w:tcBorders>
              <w:top w:val="dotted" w:sz="4" w:space="0" w:color="AAABD6"/>
              <w:left w:val="single" w:sz="4" w:space="0" w:color="AAABD6"/>
              <w:bottom w:val="dotted" w:sz="4" w:space="0" w:color="AAABD6"/>
              <w:right w:val="single" w:sz="4" w:space="0" w:color="AAABD6"/>
            </w:tcBorders>
          </w:tcPr>
          <w:p w14:paraId="32F7FDE8"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48,662</w:t>
            </w:r>
          </w:p>
        </w:tc>
        <w:tc>
          <w:tcPr>
            <w:tcW w:w="680" w:type="dxa"/>
            <w:tcBorders>
              <w:top w:val="dotted" w:sz="4" w:space="0" w:color="AAABD6"/>
              <w:left w:val="single" w:sz="4" w:space="0" w:color="AAABD6"/>
              <w:bottom w:val="dotted" w:sz="4" w:space="0" w:color="AAABD6"/>
              <w:right w:val="single" w:sz="4" w:space="0" w:color="AAABD6"/>
            </w:tcBorders>
          </w:tcPr>
          <w:p w14:paraId="6ED4756F"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49,349</w:t>
            </w:r>
          </w:p>
        </w:tc>
        <w:tc>
          <w:tcPr>
            <w:tcW w:w="680" w:type="dxa"/>
            <w:tcBorders>
              <w:top w:val="dotted" w:sz="4" w:space="0" w:color="AAABD6"/>
              <w:left w:val="single" w:sz="4" w:space="0" w:color="AAABD6"/>
              <w:bottom w:val="dotted" w:sz="4" w:space="0" w:color="AAABD6"/>
              <w:right w:val="single" w:sz="4" w:space="0" w:color="AAABD6"/>
            </w:tcBorders>
          </w:tcPr>
          <w:p w14:paraId="67AA2074"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50,046</w:t>
            </w:r>
          </w:p>
        </w:tc>
        <w:tc>
          <w:tcPr>
            <w:tcW w:w="680" w:type="dxa"/>
            <w:tcBorders>
              <w:top w:val="dotted" w:sz="4" w:space="0" w:color="AAABD6"/>
              <w:left w:val="single" w:sz="4" w:space="0" w:color="AAABD6"/>
              <w:bottom w:val="dotted" w:sz="4" w:space="0" w:color="AAABD6"/>
              <w:right w:val="single" w:sz="4" w:space="0" w:color="AAABD6"/>
            </w:tcBorders>
          </w:tcPr>
          <w:p w14:paraId="04ABE92C"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50,752</w:t>
            </w:r>
          </w:p>
        </w:tc>
        <w:tc>
          <w:tcPr>
            <w:tcW w:w="680" w:type="dxa"/>
            <w:tcBorders>
              <w:top w:val="dotted" w:sz="4" w:space="0" w:color="AAABD6"/>
              <w:left w:val="single" w:sz="4" w:space="0" w:color="AAABD6"/>
              <w:bottom w:val="dotted" w:sz="4" w:space="0" w:color="AAABD6"/>
              <w:right w:val="single" w:sz="4" w:space="0" w:color="AAABD6"/>
            </w:tcBorders>
          </w:tcPr>
          <w:p w14:paraId="521CE718"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51,469</w:t>
            </w:r>
          </w:p>
        </w:tc>
        <w:tc>
          <w:tcPr>
            <w:tcW w:w="680" w:type="dxa"/>
            <w:tcBorders>
              <w:top w:val="dotted" w:sz="4" w:space="0" w:color="AAABD6"/>
              <w:left w:val="single" w:sz="4" w:space="0" w:color="AAABD6"/>
              <w:bottom w:val="dotted" w:sz="4" w:space="0" w:color="AAABD6"/>
              <w:right w:val="single" w:sz="4" w:space="0" w:color="AAABD6"/>
            </w:tcBorders>
          </w:tcPr>
          <w:p w14:paraId="39DA60B5"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52,196</w:t>
            </w:r>
          </w:p>
        </w:tc>
        <w:tc>
          <w:tcPr>
            <w:tcW w:w="680" w:type="dxa"/>
            <w:tcBorders>
              <w:top w:val="dotted" w:sz="4" w:space="0" w:color="AAABD6"/>
              <w:left w:val="single" w:sz="4" w:space="0" w:color="AAABD6"/>
              <w:bottom w:val="dotted" w:sz="4" w:space="0" w:color="AAABD6"/>
              <w:right w:val="single" w:sz="4" w:space="0" w:color="AAABD6"/>
            </w:tcBorders>
          </w:tcPr>
          <w:p w14:paraId="09BCC331"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52,933</w:t>
            </w:r>
          </w:p>
        </w:tc>
        <w:tc>
          <w:tcPr>
            <w:tcW w:w="680" w:type="dxa"/>
            <w:tcBorders>
              <w:top w:val="dotted" w:sz="4" w:space="0" w:color="AAABD6"/>
              <w:left w:val="single" w:sz="4" w:space="0" w:color="AAABD6"/>
              <w:bottom w:val="dotted" w:sz="4" w:space="0" w:color="AAABD6"/>
              <w:right w:val="single" w:sz="4" w:space="0" w:color="AAABD6"/>
            </w:tcBorders>
          </w:tcPr>
          <w:p w14:paraId="2998F490"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53,680</w:t>
            </w:r>
          </w:p>
        </w:tc>
        <w:tc>
          <w:tcPr>
            <w:tcW w:w="680" w:type="dxa"/>
            <w:tcBorders>
              <w:top w:val="dotted" w:sz="4" w:space="0" w:color="AAABD6"/>
              <w:left w:val="single" w:sz="4" w:space="0" w:color="AAABD6"/>
              <w:bottom w:val="dotted" w:sz="4" w:space="0" w:color="AAABD6"/>
              <w:right w:val="single" w:sz="4" w:space="0" w:color="AAABD6"/>
            </w:tcBorders>
          </w:tcPr>
          <w:p w14:paraId="6BEAEFE8"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54,438</w:t>
            </w:r>
          </w:p>
        </w:tc>
        <w:tc>
          <w:tcPr>
            <w:tcW w:w="680" w:type="dxa"/>
            <w:tcBorders>
              <w:top w:val="dotted" w:sz="4" w:space="0" w:color="AAABD6"/>
              <w:left w:val="single" w:sz="4" w:space="0" w:color="AAABD6"/>
              <w:bottom w:val="dotted" w:sz="4" w:space="0" w:color="AAABD6"/>
              <w:right w:val="single" w:sz="4" w:space="0" w:color="AAABD6"/>
            </w:tcBorders>
          </w:tcPr>
          <w:p w14:paraId="2F028EF1"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55,207</w:t>
            </w:r>
          </w:p>
        </w:tc>
        <w:tc>
          <w:tcPr>
            <w:tcW w:w="680" w:type="dxa"/>
            <w:tcBorders>
              <w:top w:val="dotted" w:sz="4" w:space="0" w:color="AAABD6"/>
              <w:left w:val="single" w:sz="4" w:space="0" w:color="AAABD6"/>
              <w:bottom w:val="dotted" w:sz="4" w:space="0" w:color="AAABD6"/>
              <w:right w:val="single" w:sz="4" w:space="0" w:color="AAABD6"/>
            </w:tcBorders>
          </w:tcPr>
          <w:p w14:paraId="1032908A"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55,987</w:t>
            </w:r>
          </w:p>
        </w:tc>
        <w:tc>
          <w:tcPr>
            <w:tcW w:w="680" w:type="dxa"/>
            <w:tcBorders>
              <w:top w:val="dotted" w:sz="4" w:space="0" w:color="AAABD6"/>
              <w:left w:val="single" w:sz="4" w:space="0" w:color="AAABD6"/>
              <w:bottom w:val="dotted" w:sz="4" w:space="0" w:color="AAABD6"/>
              <w:right w:val="single" w:sz="4" w:space="0" w:color="AAABD6"/>
            </w:tcBorders>
          </w:tcPr>
          <w:p w14:paraId="7EDFC191"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56,777</w:t>
            </w:r>
          </w:p>
        </w:tc>
        <w:tc>
          <w:tcPr>
            <w:tcW w:w="680" w:type="dxa"/>
            <w:tcBorders>
              <w:top w:val="dotted" w:sz="4" w:space="0" w:color="AAABD6"/>
              <w:left w:val="single" w:sz="4" w:space="0" w:color="AAABD6"/>
              <w:bottom w:val="dotted" w:sz="4" w:space="0" w:color="AAABD6"/>
              <w:right w:val="single" w:sz="4" w:space="0" w:color="AAABD6"/>
            </w:tcBorders>
          </w:tcPr>
          <w:p w14:paraId="6911C3CC"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57,579</w:t>
            </w:r>
          </w:p>
        </w:tc>
        <w:tc>
          <w:tcPr>
            <w:tcW w:w="680" w:type="dxa"/>
            <w:tcBorders>
              <w:top w:val="dotted" w:sz="4" w:space="0" w:color="AAABD6"/>
              <w:left w:val="single" w:sz="4" w:space="0" w:color="AAABD6"/>
              <w:bottom w:val="dotted" w:sz="4" w:space="0" w:color="AAABD6"/>
              <w:right w:val="single" w:sz="4" w:space="0" w:color="AAABD6"/>
            </w:tcBorders>
          </w:tcPr>
          <w:p w14:paraId="69914724"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58,392</w:t>
            </w:r>
          </w:p>
        </w:tc>
        <w:tc>
          <w:tcPr>
            <w:tcW w:w="680" w:type="dxa"/>
            <w:tcBorders>
              <w:top w:val="dotted" w:sz="4" w:space="0" w:color="AAABD6"/>
              <w:left w:val="single" w:sz="4" w:space="0" w:color="AAABD6"/>
              <w:bottom w:val="dotted" w:sz="4" w:space="0" w:color="AAABD6"/>
              <w:right w:val="single" w:sz="4" w:space="0" w:color="AAABD6"/>
            </w:tcBorders>
          </w:tcPr>
          <w:p w14:paraId="05632EB6"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59,217</w:t>
            </w:r>
          </w:p>
        </w:tc>
        <w:tc>
          <w:tcPr>
            <w:tcW w:w="680" w:type="dxa"/>
            <w:tcBorders>
              <w:top w:val="dotted" w:sz="4" w:space="0" w:color="AAABD6"/>
              <w:left w:val="single" w:sz="4" w:space="0" w:color="AAABD6"/>
              <w:bottom w:val="dotted" w:sz="4" w:space="0" w:color="AAABD6"/>
              <w:right w:val="single" w:sz="4" w:space="0" w:color="AAABD6"/>
            </w:tcBorders>
          </w:tcPr>
          <w:p w14:paraId="4903AE8B"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60,053</w:t>
            </w:r>
          </w:p>
        </w:tc>
      </w:tr>
      <w:tr w:rsidR="00F02371" w:rsidRPr="00100F0A" w14:paraId="3ADEC854"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val="restart"/>
            <w:tcBorders>
              <w:top w:val="single" w:sz="4" w:space="0" w:color="AAABD6"/>
              <w:left w:val="single" w:sz="4" w:space="0" w:color="AAABD6"/>
              <w:right w:val="single" w:sz="4" w:space="0" w:color="AAABD6"/>
            </w:tcBorders>
          </w:tcPr>
          <w:p w14:paraId="54EAD8BF" w14:textId="77777777" w:rsidR="00F02371" w:rsidRPr="00100F0A" w:rsidRDefault="00F02371" w:rsidP="002B2606">
            <w:pPr>
              <w:rPr>
                <w:sz w:val="16"/>
                <w:szCs w:val="16"/>
              </w:rPr>
            </w:pPr>
            <w:r w:rsidRPr="00100F0A">
              <w:rPr>
                <w:sz w:val="16"/>
                <w:szCs w:val="16"/>
              </w:rPr>
              <w:t>Low</w:t>
            </w:r>
          </w:p>
        </w:tc>
        <w:tc>
          <w:tcPr>
            <w:tcW w:w="675" w:type="dxa"/>
            <w:tcBorders>
              <w:top w:val="single" w:sz="4" w:space="0" w:color="AAABD6"/>
              <w:left w:val="single" w:sz="4" w:space="0" w:color="AAABD6"/>
              <w:bottom w:val="dotted" w:sz="4" w:space="0" w:color="AAABD6"/>
              <w:right w:val="single" w:sz="4" w:space="0" w:color="AAABD6"/>
            </w:tcBorders>
          </w:tcPr>
          <w:p w14:paraId="508A06BB" w14:textId="77777777" w:rsidR="00F02371" w:rsidRPr="00100F0A" w:rsidRDefault="00F02371" w:rsidP="002B260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ACT</w:t>
            </w:r>
          </w:p>
        </w:tc>
        <w:tc>
          <w:tcPr>
            <w:tcW w:w="1418" w:type="dxa"/>
            <w:vMerge w:val="restart"/>
            <w:tcBorders>
              <w:top w:val="single" w:sz="4" w:space="0" w:color="AAABD6"/>
              <w:left w:val="single" w:sz="4" w:space="0" w:color="AAABD6"/>
              <w:right w:val="single" w:sz="4" w:space="0" w:color="AAABD6"/>
            </w:tcBorders>
            <w:vAlign w:val="center"/>
          </w:tcPr>
          <w:p w14:paraId="5A310AA0" w14:textId="77777777" w:rsidR="00F02371" w:rsidRPr="00100F0A" w:rsidRDefault="00F02371" w:rsidP="002B260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0.1% of Australian biosolids</w:t>
            </w:r>
          </w:p>
        </w:tc>
        <w:tc>
          <w:tcPr>
            <w:tcW w:w="1020" w:type="dxa"/>
            <w:gridSpan w:val="2"/>
            <w:vMerge/>
            <w:tcBorders>
              <w:left w:val="single" w:sz="4" w:space="0" w:color="AAABD6"/>
              <w:right w:val="single" w:sz="4" w:space="0" w:color="AAABD6"/>
            </w:tcBorders>
          </w:tcPr>
          <w:p w14:paraId="6AB02BED" w14:textId="02327EFE"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10" w:type="dxa"/>
            <w:tcBorders>
              <w:top w:val="single" w:sz="4" w:space="0" w:color="AAABD6"/>
              <w:left w:val="single" w:sz="4" w:space="0" w:color="AAABD6"/>
              <w:bottom w:val="dotted" w:sz="4" w:space="0" w:color="AAABD6"/>
              <w:right w:val="single" w:sz="4" w:space="0" w:color="AAABD6"/>
            </w:tcBorders>
          </w:tcPr>
          <w:p w14:paraId="039207F5"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 </w:t>
            </w:r>
          </w:p>
        </w:tc>
        <w:tc>
          <w:tcPr>
            <w:tcW w:w="680" w:type="dxa"/>
            <w:tcBorders>
              <w:top w:val="single" w:sz="4" w:space="0" w:color="AAABD6"/>
              <w:left w:val="single" w:sz="4" w:space="0" w:color="AAABD6"/>
              <w:bottom w:val="dotted" w:sz="4" w:space="0" w:color="AAABD6"/>
              <w:right w:val="single" w:sz="4" w:space="0" w:color="AAABD6"/>
            </w:tcBorders>
          </w:tcPr>
          <w:p w14:paraId="1447E1DA"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24B0233E"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1444BA19"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2BA409E1"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4F1BCA70"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78321263"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33F848CA"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570D4BB7"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341E9F9F"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15DE5F12"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0EF1F3E2"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7325DD5F"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0EAA6F2A"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3B77563B"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6C33E335"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1DA056ED"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2B338084"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71D60731"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0</w:t>
            </w:r>
          </w:p>
        </w:tc>
      </w:tr>
      <w:tr w:rsidR="00F02371" w:rsidRPr="00100F0A" w14:paraId="62F448E9"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right w:val="single" w:sz="4" w:space="0" w:color="AAABD6"/>
            </w:tcBorders>
          </w:tcPr>
          <w:p w14:paraId="0FB81D27" w14:textId="77777777" w:rsidR="00F02371" w:rsidRPr="00100F0A" w:rsidRDefault="00F02371" w:rsidP="002B2606">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25432475" w14:textId="77777777" w:rsidR="00F02371" w:rsidRPr="00100F0A" w:rsidRDefault="00F02371" w:rsidP="002B260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NSW</w:t>
            </w:r>
          </w:p>
        </w:tc>
        <w:tc>
          <w:tcPr>
            <w:tcW w:w="1418" w:type="dxa"/>
            <w:vMerge/>
            <w:tcBorders>
              <w:left w:val="single" w:sz="4" w:space="0" w:color="AAABD6"/>
              <w:right w:val="single" w:sz="4" w:space="0" w:color="AAABD6"/>
            </w:tcBorders>
          </w:tcPr>
          <w:p w14:paraId="1BDA5454" w14:textId="77777777" w:rsidR="00F02371" w:rsidRPr="00100F0A" w:rsidRDefault="00F02371" w:rsidP="002B2606">
            <w:pPr>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gridSpan w:val="2"/>
            <w:vMerge/>
            <w:tcBorders>
              <w:left w:val="single" w:sz="4" w:space="0" w:color="AAABD6"/>
              <w:right w:val="single" w:sz="4" w:space="0" w:color="AAABD6"/>
            </w:tcBorders>
          </w:tcPr>
          <w:p w14:paraId="7082A59B" w14:textId="6996A0CB"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10" w:type="dxa"/>
            <w:tcBorders>
              <w:top w:val="dotted" w:sz="4" w:space="0" w:color="AAABD6"/>
              <w:left w:val="single" w:sz="4" w:space="0" w:color="AAABD6"/>
              <w:bottom w:val="dotted" w:sz="4" w:space="0" w:color="AAABD6"/>
              <w:right w:val="single" w:sz="4" w:space="0" w:color="AAABD6"/>
            </w:tcBorders>
          </w:tcPr>
          <w:p w14:paraId="5F180F43"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680" w:type="dxa"/>
            <w:tcBorders>
              <w:top w:val="dotted" w:sz="4" w:space="0" w:color="AAABD6"/>
              <w:left w:val="single" w:sz="4" w:space="0" w:color="AAABD6"/>
              <w:bottom w:val="dotted" w:sz="4" w:space="0" w:color="AAABD6"/>
              <w:right w:val="single" w:sz="4" w:space="0" w:color="AAABD6"/>
            </w:tcBorders>
          </w:tcPr>
          <w:p w14:paraId="390E632B"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498</w:t>
            </w:r>
          </w:p>
        </w:tc>
        <w:tc>
          <w:tcPr>
            <w:tcW w:w="680" w:type="dxa"/>
            <w:tcBorders>
              <w:top w:val="dotted" w:sz="4" w:space="0" w:color="AAABD6"/>
              <w:left w:val="single" w:sz="4" w:space="0" w:color="AAABD6"/>
              <w:bottom w:val="dotted" w:sz="4" w:space="0" w:color="AAABD6"/>
              <w:right w:val="single" w:sz="4" w:space="0" w:color="AAABD6"/>
            </w:tcBorders>
          </w:tcPr>
          <w:p w14:paraId="77FF3CB0"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505</w:t>
            </w:r>
          </w:p>
        </w:tc>
        <w:tc>
          <w:tcPr>
            <w:tcW w:w="680" w:type="dxa"/>
            <w:tcBorders>
              <w:top w:val="dotted" w:sz="4" w:space="0" w:color="AAABD6"/>
              <w:left w:val="single" w:sz="4" w:space="0" w:color="AAABD6"/>
              <w:bottom w:val="dotted" w:sz="4" w:space="0" w:color="AAABD6"/>
              <w:right w:val="single" w:sz="4" w:space="0" w:color="AAABD6"/>
            </w:tcBorders>
          </w:tcPr>
          <w:p w14:paraId="15C82480"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512</w:t>
            </w:r>
          </w:p>
        </w:tc>
        <w:tc>
          <w:tcPr>
            <w:tcW w:w="680" w:type="dxa"/>
            <w:tcBorders>
              <w:top w:val="dotted" w:sz="4" w:space="0" w:color="AAABD6"/>
              <w:left w:val="single" w:sz="4" w:space="0" w:color="AAABD6"/>
              <w:bottom w:val="dotted" w:sz="4" w:space="0" w:color="AAABD6"/>
              <w:right w:val="single" w:sz="4" w:space="0" w:color="AAABD6"/>
            </w:tcBorders>
          </w:tcPr>
          <w:p w14:paraId="3A2D0004"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519</w:t>
            </w:r>
          </w:p>
        </w:tc>
        <w:tc>
          <w:tcPr>
            <w:tcW w:w="680" w:type="dxa"/>
            <w:tcBorders>
              <w:top w:val="dotted" w:sz="4" w:space="0" w:color="AAABD6"/>
              <w:left w:val="single" w:sz="4" w:space="0" w:color="AAABD6"/>
              <w:bottom w:val="dotted" w:sz="4" w:space="0" w:color="AAABD6"/>
              <w:right w:val="single" w:sz="4" w:space="0" w:color="AAABD6"/>
            </w:tcBorders>
          </w:tcPr>
          <w:p w14:paraId="6B667829"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527</w:t>
            </w:r>
          </w:p>
        </w:tc>
        <w:tc>
          <w:tcPr>
            <w:tcW w:w="680" w:type="dxa"/>
            <w:tcBorders>
              <w:top w:val="dotted" w:sz="4" w:space="0" w:color="AAABD6"/>
              <w:left w:val="single" w:sz="4" w:space="0" w:color="AAABD6"/>
              <w:bottom w:val="dotted" w:sz="4" w:space="0" w:color="AAABD6"/>
              <w:right w:val="single" w:sz="4" w:space="0" w:color="AAABD6"/>
            </w:tcBorders>
          </w:tcPr>
          <w:p w14:paraId="551CAD83"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534</w:t>
            </w:r>
          </w:p>
        </w:tc>
        <w:tc>
          <w:tcPr>
            <w:tcW w:w="680" w:type="dxa"/>
            <w:tcBorders>
              <w:top w:val="dotted" w:sz="4" w:space="0" w:color="AAABD6"/>
              <w:left w:val="single" w:sz="4" w:space="0" w:color="AAABD6"/>
              <w:bottom w:val="dotted" w:sz="4" w:space="0" w:color="AAABD6"/>
              <w:right w:val="single" w:sz="4" w:space="0" w:color="AAABD6"/>
            </w:tcBorders>
          </w:tcPr>
          <w:p w14:paraId="483954BA"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542</w:t>
            </w:r>
          </w:p>
        </w:tc>
        <w:tc>
          <w:tcPr>
            <w:tcW w:w="680" w:type="dxa"/>
            <w:tcBorders>
              <w:top w:val="dotted" w:sz="4" w:space="0" w:color="AAABD6"/>
              <w:left w:val="single" w:sz="4" w:space="0" w:color="AAABD6"/>
              <w:bottom w:val="dotted" w:sz="4" w:space="0" w:color="AAABD6"/>
              <w:right w:val="single" w:sz="4" w:space="0" w:color="AAABD6"/>
            </w:tcBorders>
          </w:tcPr>
          <w:p w14:paraId="5A74511D"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549</w:t>
            </w:r>
          </w:p>
        </w:tc>
        <w:tc>
          <w:tcPr>
            <w:tcW w:w="680" w:type="dxa"/>
            <w:tcBorders>
              <w:top w:val="dotted" w:sz="4" w:space="0" w:color="AAABD6"/>
              <w:left w:val="single" w:sz="4" w:space="0" w:color="AAABD6"/>
              <w:bottom w:val="dotted" w:sz="4" w:space="0" w:color="AAABD6"/>
              <w:right w:val="single" w:sz="4" w:space="0" w:color="AAABD6"/>
            </w:tcBorders>
          </w:tcPr>
          <w:p w14:paraId="3B58B4CE"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557</w:t>
            </w:r>
          </w:p>
        </w:tc>
        <w:tc>
          <w:tcPr>
            <w:tcW w:w="680" w:type="dxa"/>
            <w:tcBorders>
              <w:top w:val="dotted" w:sz="4" w:space="0" w:color="AAABD6"/>
              <w:left w:val="single" w:sz="4" w:space="0" w:color="AAABD6"/>
              <w:bottom w:val="dotted" w:sz="4" w:space="0" w:color="AAABD6"/>
              <w:right w:val="single" w:sz="4" w:space="0" w:color="AAABD6"/>
            </w:tcBorders>
          </w:tcPr>
          <w:p w14:paraId="551D128F"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565</w:t>
            </w:r>
          </w:p>
        </w:tc>
        <w:tc>
          <w:tcPr>
            <w:tcW w:w="680" w:type="dxa"/>
            <w:tcBorders>
              <w:top w:val="dotted" w:sz="4" w:space="0" w:color="AAABD6"/>
              <w:left w:val="single" w:sz="4" w:space="0" w:color="AAABD6"/>
              <w:bottom w:val="dotted" w:sz="4" w:space="0" w:color="AAABD6"/>
              <w:right w:val="single" w:sz="4" w:space="0" w:color="AAABD6"/>
            </w:tcBorders>
          </w:tcPr>
          <w:p w14:paraId="575DDBFA"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573</w:t>
            </w:r>
          </w:p>
        </w:tc>
        <w:tc>
          <w:tcPr>
            <w:tcW w:w="680" w:type="dxa"/>
            <w:tcBorders>
              <w:top w:val="dotted" w:sz="4" w:space="0" w:color="AAABD6"/>
              <w:left w:val="single" w:sz="4" w:space="0" w:color="AAABD6"/>
              <w:bottom w:val="dotted" w:sz="4" w:space="0" w:color="AAABD6"/>
              <w:right w:val="single" w:sz="4" w:space="0" w:color="AAABD6"/>
            </w:tcBorders>
          </w:tcPr>
          <w:p w14:paraId="46CCF277"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581</w:t>
            </w:r>
          </w:p>
        </w:tc>
        <w:tc>
          <w:tcPr>
            <w:tcW w:w="680" w:type="dxa"/>
            <w:tcBorders>
              <w:top w:val="dotted" w:sz="4" w:space="0" w:color="AAABD6"/>
              <w:left w:val="single" w:sz="4" w:space="0" w:color="AAABD6"/>
              <w:bottom w:val="dotted" w:sz="4" w:space="0" w:color="AAABD6"/>
              <w:right w:val="single" w:sz="4" w:space="0" w:color="AAABD6"/>
            </w:tcBorders>
          </w:tcPr>
          <w:p w14:paraId="3F7EA79B"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589</w:t>
            </w:r>
          </w:p>
        </w:tc>
        <w:tc>
          <w:tcPr>
            <w:tcW w:w="680" w:type="dxa"/>
            <w:tcBorders>
              <w:top w:val="dotted" w:sz="4" w:space="0" w:color="AAABD6"/>
              <w:left w:val="single" w:sz="4" w:space="0" w:color="AAABD6"/>
              <w:bottom w:val="dotted" w:sz="4" w:space="0" w:color="AAABD6"/>
              <w:right w:val="single" w:sz="4" w:space="0" w:color="AAABD6"/>
            </w:tcBorders>
          </w:tcPr>
          <w:p w14:paraId="78F0C01E"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597</w:t>
            </w:r>
          </w:p>
        </w:tc>
        <w:tc>
          <w:tcPr>
            <w:tcW w:w="680" w:type="dxa"/>
            <w:tcBorders>
              <w:top w:val="dotted" w:sz="4" w:space="0" w:color="AAABD6"/>
              <w:left w:val="single" w:sz="4" w:space="0" w:color="AAABD6"/>
              <w:bottom w:val="dotted" w:sz="4" w:space="0" w:color="AAABD6"/>
              <w:right w:val="single" w:sz="4" w:space="0" w:color="AAABD6"/>
            </w:tcBorders>
          </w:tcPr>
          <w:p w14:paraId="470744CC"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606</w:t>
            </w:r>
          </w:p>
        </w:tc>
        <w:tc>
          <w:tcPr>
            <w:tcW w:w="680" w:type="dxa"/>
            <w:tcBorders>
              <w:top w:val="dotted" w:sz="4" w:space="0" w:color="AAABD6"/>
              <w:left w:val="single" w:sz="4" w:space="0" w:color="AAABD6"/>
              <w:bottom w:val="dotted" w:sz="4" w:space="0" w:color="AAABD6"/>
              <w:right w:val="single" w:sz="4" w:space="0" w:color="AAABD6"/>
            </w:tcBorders>
          </w:tcPr>
          <w:p w14:paraId="7CE7105C"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614</w:t>
            </w:r>
          </w:p>
        </w:tc>
        <w:tc>
          <w:tcPr>
            <w:tcW w:w="680" w:type="dxa"/>
            <w:tcBorders>
              <w:top w:val="dotted" w:sz="4" w:space="0" w:color="AAABD6"/>
              <w:left w:val="single" w:sz="4" w:space="0" w:color="AAABD6"/>
              <w:bottom w:val="dotted" w:sz="4" w:space="0" w:color="AAABD6"/>
              <w:right w:val="single" w:sz="4" w:space="0" w:color="AAABD6"/>
            </w:tcBorders>
          </w:tcPr>
          <w:p w14:paraId="476B99D9"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623</w:t>
            </w:r>
          </w:p>
        </w:tc>
        <w:tc>
          <w:tcPr>
            <w:tcW w:w="680" w:type="dxa"/>
            <w:tcBorders>
              <w:top w:val="dotted" w:sz="4" w:space="0" w:color="AAABD6"/>
              <w:left w:val="single" w:sz="4" w:space="0" w:color="AAABD6"/>
              <w:bottom w:val="dotted" w:sz="4" w:space="0" w:color="AAABD6"/>
              <w:right w:val="single" w:sz="4" w:space="0" w:color="AAABD6"/>
            </w:tcBorders>
          </w:tcPr>
          <w:p w14:paraId="05FA0090"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632</w:t>
            </w:r>
          </w:p>
        </w:tc>
      </w:tr>
      <w:tr w:rsidR="00F02371" w:rsidRPr="00100F0A" w14:paraId="089806A8"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right w:val="single" w:sz="4" w:space="0" w:color="AAABD6"/>
            </w:tcBorders>
          </w:tcPr>
          <w:p w14:paraId="509E001D" w14:textId="77777777" w:rsidR="00F02371" w:rsidRPr="00100F0A" w:rsidRDefault="00F02371" w:rsidP="002B2606">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587740D6" w14:textId="77777777" w:rsidR="00F02371" w:rsidRPr="00100F0A" w:rsidRDefault="00F02371" w:rsidP="002B260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NT</w:t>
            </w:r>
          </w:p>
        </w:tc>
        <w:tc>
          <w:tcPr>
            <w:tcW w:w="1418" w:type="dxa"/>
            <w:vMerge/>
            <w:tcBorders>
              <w:left w:val="single" w:sz="4" w:space="0" w:color="AAABD6"/>
              <w:right w:val="single" w:sz="4" w:space="0" w:color="AAABD6"/>
            </w:tcBorders>
          </w:tcPr>
          <w:p w14:paraId="71FF2596" w14:textId="77777777" w:rsidR="00F02371" w:rsidRPr="00100F0A" w:rsidRDefault="00F02371" w:rsidP="002B2606">
            <w:pPr>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gridSpan w:val="2"/>
            <w:vMerge/>
            <w:tcBorders>
              <w:left w:val="single" w:sz="4" w:space="0" w:color="AAABD6"/>
              <w:right w:val="single" w:sz="4" w:space="0" w:color="AAABD6"/>
            </w:tcBorders>
          </w:tcPr>
          <w:p w14:paraId="3184AEC3" w14:textId="4AB7BFD8"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10" w:type="dxa"/>
            <w:tcBorders>
              <w:top w:val="dotted" w:sz="4" w:space="0" w:color="AAABD6"/>
              <w:left w:val="single" w:sz="4" w:space="0" w:color="AAABD6"/>
              <w:bottom w:val="dotted" w:sz="4" w:space="0" w:color="AAABD6"/>
              <w:right w:val="single" w:sz="4" w:space="0" w:color="AAABD6"/>
            </w:tcBorders>
          </w:tcPr>
          <w:p w14:paraId="4A312D08"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680" w:type="dxa"/>
            <w:tcBorders>
              <w:top w:val="dotted" w:sz="4" w:space="0" w:color="AAABD6"/>
              <w:left w:val="single" w:sz="4" w:space="0" w:color="AAABD6"/>
              <w:bottom w:val="dotted" w:sz="4" w:space="0" w:color="AAABD6"/>
              <w:right w:val="single" w:sz="4" w:space="0" w:color="AAABD6"/>
            </w:tcBorders>
          </w:tcPr>
          <w:p w14:paraId="5B995C9A"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17</w:t>
            </w:r>
          </w:p>
        </w:tc>
        <w:tc>
          <w:tcPr>
            <w:tcW w:w="680" w:type="dxa"/>
            <w:tcBorders>
              <w:top w:val="dotted" w:sz="4" w:space="0" w:color="AAABD6"/>
              <w:left w:val="single" w:sz="4" w:space="0" w:color="AAABD6"/>
              <w:bottom w:val="dotted" w:sz="4" w:space="0" w:color="AAABD6"/>
              <w:right w:val="single" w:sz="4" w:space="0" w:color="AAABD6"/>
            </w:tcBorders>
          </w:tcPr>
          <w:p w14:paraId="258271D7"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17</w:t>
            </w:r>
          </w:p>
        </w:tc>
        <w:tc>
          <w:tcPr>
            <w:tcW w:w="680" w:type="dxa"/>
            <w:tcBorders>
              <w:top w:val="dotted" w:sz="4" w:space="0" w:color="AAABD6"/>
              <w:left w:val="single" w:sz="4" w:space="0" w:color="AAABD6"/>
              <w:bottom w:val="dotted" w:sz="4" w:space="0" w:color="AAABD6"/>
              <w:right w:val="single" w:sz="4" w:space="0" w:color="AAABD6"/>
            </w:tcBorders>
          </w:tcPr>
          <w:p w14:paraId="1855FC2E"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17</w:t>
            </w:r>
          </w:p>
        </w:tc>
        <w:tc>
          <w:tcPr>
            <w:tcW w:w="680" w:type="dxa"/>
            <w:tcBorders>
              <w:top w:val="dotted" w:sz="4" w:space="0" w:color="AAABD6"/>
              <w:left w:val="single" w:sz="4" w:space="0" w:color="AAABD6"/>
              <w:bottom w:val="dotted" w:sz="4" w:space="0" w:color="AAABD6"/>
              <w:right w:val="single" w:sz="4" w:space="0" w:color="AAABD6"/>
            </w:tcBorders>
          </w:tcPr>
          <w:p w14:paraId="35B83798"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17</w:t>
            </w:r>
          </w:p>
        </w:tc>
        <w:tc>
          <w:tcPr>
            <w:tcW w:w="680" w:type="dxa"/>
            <w:tcBorders>
              <w:top w:val="dotted" w:sz="4" w:space="0" w:color="AAABD6"/>
              <w:left w:val="single" w:sz="4" w:space="0" w:color="AAABD6"/>
              <w:bottom w:val="dotted" w:sz="4" w:space="0" w:color="AAABD6"/>
              <w:right w:val="single" w:sz="4" w:space="0" w:color="AAABD6"/>
            </w:tcBorders>
          </w:tcPr>
          <w:p w14:paraId="7739959C"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18</w:t>
            </w:r>
          </w:p>
        </w:tc>
        <w:tc>
          <w:tcPr>
            <w:tcW w:w="680" w:type="dxa"/>
            <w:tcBorders>
              <w:top w:val="dotted" w:sz="4" w:space="0" w:color="AAABD6"/>
              <w:left w:val="single" w:sz="4" w:space="0" w:color="AAABD6"/>
              <w:bottom w:val="dotted" w:sz="4" w:space="0" w:color="AAABD6"/>
              <w:right w:val="single" w:sz="4" w:space="0" w:color="AAABD6"/>
            </w:tcBorders>
          </w:tcPr>
          <w:p w14:paraId="772D883D"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18</w:t>
            </w:r>
          </w:p>
        </w:tc>
        <w:tc>
          <w:tcPr>
            <w:tcW w:w="680" w:type="dxa"/>
            <w:tcBorders>
              <w:top w:val="dotted" w:sz="4" w:space="0" w:color="AAABD6"/>
              <w:left w:val="single" w:sz="4" w:space="0" w:color="AAABD6"/>
              <w:bottom w:val="dotted" w:sz="4" w:space="0" w:color="AAABD6"/>
              <w:right w:val="single" w:sz="4" w:space="0" w:color="AAABD6"/>
            </w:tcBorders>
          </w:tcPr>
          <w:p w14:paraId="28D0950E"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18</w:t>
            </w:r>
          </w:p>
        </w:tc>
        <w:tc>
          <w:tcPr>
            <w:tcW w:w="680" w:type="dxa"/>
            <w:tcBorders>
              <w:top w:val="dotted" w:sz="4" w:space="0" w:color="AAABD6"/>
              <w:left w:val="single" w:sz="4" w:space="0" w:color="AAABD6"/>
              <w:bottom w:val="dotted" w:sz="4" w:space="0" w:color="AAABD6"/>
              <w:right w:val="single" w:sz="4" w:space="0" w:color="AAABD6"/>
            </w:tcBorders>
          </w:tcPr>
          <w:p w14:paraId="64F30E87"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18</w:t>
            </w:r>
          </w:p>
        </w:tc>
        <w:tc>
          <w:tcPr>
            <w:tcW w:w="680" w:type="dxa"/>
            <w:tcBorders>
              <w:top w:val="dotted" w:sz="4" w:space="0" w:color="AAABD6"/>
              <w:left w:val="single" w:sz="4" w:space="0" w:color="AAABD6"/>
              <w:bottom w:val="dotted" w:sz="4" w:space="0" w:color="AAABD6"/>
              <w:right w:val="single" w:sz="4" w:space="0" w:color="AAABD6"/>
            </w:tcBorders>
          </w:tcPr>
          <w:p w14:paraId="5B814614"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19</w:t>
            </w:r>
          </w:p>
        </w:tc>
        <w:tc>
          <w:tcPr>
            <w:tcW w:w="680" w:type="dxa"/>
            <w:tcBorders>
              <w:top w:val="dotted" w:sz="4" w:space="0" w:color="AAABD6"/>
              <w:left w:val="single" w:sz="4" w:space="0" w:color="AAABD6"/>
              <w:bottom w:val="dotted" w:sz="4" w:space="0" w:color="AAABD6"/>
              <w:right w:val="single" w:sz="4" w:space="0" w:color="AAABD6"/>
            </w:tcBorders>
          </w:tcPr>
          <w:p w14:paraId="096A62D5"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19</w:t>
            </w:r>
          </w:p>
        </w:tc>
        <w:tc>
          <w:tcPr>
            <w:tcW w:w="680" w:type="dxa"/>
            <w:tcBorders>
              <w:top w:val="dotted" w:sz="4" w:space="0" w:color="AAABD6"/>
              <w:left w:val="single" w:sz="4" w:space="0" w:color="AAABD6"/>
              <w:bottom w:val="dotted" w:sz="4" w:space="0" w:color="AAABD6"/>
              <w:right w:val="single" w:sz="4" w:space="0" w:color="AAABD6"/>
            </w:tcBorders>
          </w:tcPr>
          <w:p w14:paraId="515E38A1"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19</w:t>
            </w:r>
          </w:p>
        </w:tc>
        <w:tc>
          <w:tcPr>
            <w:tcW w:w="680" w:type="dxa"/>
            <w:tcBorders>
              <w:top w:val="dotted" w:sz="4" w:space="0" w:color="AAABD6"/>
              <w:left w:val="single" w:sz="4" w:space="0" w:color="AAABD6"/>
              <w:bottom w:val="dotted" w:sz="4" w:space="0" w:color="AAABD6"/>
              <w:right w:val="single" w:sz="4" w:space="0" w:color="AAABD6"/>
            </w:tcBorders>
          </w:tcPr>
          <w:p w14:paraId="26AF5B9F"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19</w:t>
            </w:r>
          </w:p>
        </w:tc>
        <w:tc>
          <w:tcPr>
            <w:tcW w:w="680" w:type="dxa"/>
            <w:tcBorders>
              <w:top w:val="dotted" w:sz="4" w:space="0" w:color="AAABD6"/>
              <w:left w:val="single" w:sz="4" w:space="0" w:color="AAABD6"/>
              <w:bottom w:val="dotted" w:sz="4" w:space="0" w:color="AAABD6"/>
              <w:right w:val="single" w:sz="4" w:space="0" w:color="AAABD6"/>
            </w:tcBorders>
          </w:tcPr>
          <w:p w14:paraId="305AA227"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w:t>
            </w:r>
          </w:p>
        </w:tc>
        <w:tc>
          <w:tcPr>
            <w:tcW w:w="680" w:type="dxa"/>
            <w:tcBorders>
              <w:top w:val="dotted" w:sz="4" w:space="0" w:color="AAABD6"/>
              <w:left w:val="single" w:sz="4" w:space="0" w:color="AAABD6"/>
              <w:bottom w:val="dotted" w:sz="4" w:space="0" w:color="AAABD6"/>
              <w:right w:val="single" w:sz="4" w:space="0" w:color="AAABD6"/>
            </w:tcBorders>
          </w:tcPr>
          <w:p w14:paraId="200B7F45"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w:t>
            </w:r>
          </w:p>
        </w:tc>
        <w:tc>
          <w:tcPr>
            <w:tcW w:w="680" w:type="dxa"/>
            <w:tcBorders>
              <w:top w:val="dotted" w:sz="4" w:space="0" w:color="AAABD6"/>
              <w:left w:val="single" w:sz="4" w:space="0" w:color="AAABD6"/>
              <w:bottom w:val="dotted" w:sz="4" w:space="0" w:color="AAABD6"/>
              <w:right w:val="single" w:sz="4" w:space="0" w:color="AAABD6"/>
            </w:tcBorders>
          </w:tcPr>
          <w:p w14:paraId="741E5062"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w:t>
            </w:r>
          </w:p>
        </w:tc>
        <w:tc>
          <w:tcPr>
            <w:tcW w:w="680" w:type="dxa"/>
            <w:tcBorders>
              <w:top w:val="dotted" w:sz="4" w:space="0" w:color="AAABD6"/>
              <w:left w:val="single" w:sz="4" w:space="0" w:color="AAABD6"/>
              <w:bottom w:val="dotted" w:sz="4" w:space="0" w:color="AAABD6"/>
              <w:right w:val="single" w:sz="4" w:space="0" w:color="AAABD6"/>
            </w:tcBorders>
          </w:tcPr>
          <w:p w14:paraId="49FEA308"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21</w:t>
            </w:r>
          </w:p>
        </w:tc>
        <w:tc>
          <w:tcPr>
            <w:tcW w:w="680" w:type="dxa"/>
            <w:tcBorders>
              <w:top w:val="dotted" w:sz="4" w:space="0" w:color="AAABD6"/>
              <w:left w:val="single" w:sz="4" w:space="0" w:color="AAABD6"/>
              <w:bottom w:val="dotted" w:sz="4" w:space="0" w:color="AAABD6"/>
              <w:right w:val="single" w:sz="4" w:space="0" w:color="AAABD6"/>
            </w:tcBorders>
          </w:tcPr>
          <w:p w14:paraId="48C1453E"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21</w:t>
            </w:r>
          </w:p>
        </w:tc>
        <w:tc>
          <w:tcPr>
            <w:tcW w:w="680" w:type="dxa"/>
            <w:tcBorders>
              <w:top w:val="dotted" w:sz="4" w:space="0" w:color="AAABD6"/>
              <w:left w:val="single" w:sz="4" w:space="0" w:color="AAABD6"/>
              <w:bottom w:val="dotted" w:sz="4" w:space="0" w:color="AAABD6"/>
              <w:right w:val="single" w:sz="4" w:space="0" w:color="AAABD6"/>
            </w:tcBorders>
          </w:tcPr>
          <w:p w14:paraId="398A4579"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21</w:t>
            </w:r>
          </w:p>
        </w:tc>
      </w:tr>
      <w:tr w:rsidR="00F02371" w:rsidRPr="00100F0A" w14:paraId="7475722F"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right w:val="single" w:sz="4" w:space="0" w:color="AAABD6"/>
            </w:tcBorders>
          </w:tcPr>
          <w:p w14:paraId="4B440A63" w14:textId="77777777" w:rsidR="00F02371" w:rsidRPr="00100F0A" w:rsidRDefault="00F02371" w:rsidP="002B2606">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0C4F4A04" w14:textId="77777777" w:rsidR="00F02371" w:rsidRPr="00100F0A" w:rsidRDefault="00F02371" w:rsidP="002B260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Qld</w:t>
            </w:r>
          </w:p>
        </w:tc>
        <w:tc>
          <w:tcPr>
            <w:tcW w:w="1418" w:type="dxa"/>
            <w:vMerge/>
            <w:tcBorders>
              <w:left w:val="single" w:sz="4" w:space="0" w:color="AAABD6"/>
              <w:right w:val="single" w:sz="4" w:space="0" w:color="AAABD6"/>
            </w:tcBorders>
          </w:tcPr>
          <w:p w14:paraId="58D72AF5" w14:textId="77777777" w:rsidR="00F02371" w:rsidRPr="00100F0A" w:rsidRDefault="00F02371" w:rsidP="002B2606">
            <w:pPr>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gridSpan w:val="2"/>
            <w:vMerge/>
            <w:tcBorders>
              <w:left w:val="single" w:sz="4" w:space="0" w:color="AAABD6"/>
              <w:right w:val="single" w:sz="4" w:space="0" w:color="AAABD6"/>
            </w:tcBorders>
          </w:tcPr>
          <w:p w14:paraId="496C2F89" w14:textId="11B116FB"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10" w:type="dxa"/>
            <w:tcBorders>
              <w:top w:val="dotted" w:sz="4" w:space="0" w:color="AAABD6"/>
              <w:left w:val="single" w:sz="4" w:space="0" w:color="AAABD6"/>
              <w:bottom w:val="dotted" w:sz="4" w:space="0" w:color="AAABD6"/>
              <w:right w:val="single" w:sz="4" w:space="0" w:color="AAABD6"/>
            </w:tcBorders>
          </w:tcPr>
          <w:p w14:paraId="56687B80"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680" w:type="dxa"/>
            <w:tcBorders>
              <w:top w:val="dotted" w:sz="4" w:space="0" w:color="AAABD6"/>
              <w:left w:val="single" w:sz="4" w:space="0" w:color="AAABD6"/>
              <w:bottom w:val="dotted" w:sz="4" w:space="0" w:color="AAABD6"/>
              <w:right w:val="single" w:sz="4" w:space="0" w:color="AAABD6"/>
            </w:tcBorders>
          </w:tcPr>
          <w:p w14:paraId="0156CA73"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330</w:t>
            </w:r>
          </w:p>
        </w:tc>
        <w:tc>
          <w:tcPr>
            <w:tcW w:w="680" w:type="dxa"/>
            <w:tcBorders>
              <w:top w:val="dotted" w:sz="4" w:space="0" w:color="AAABD6"/>
              <w:left w:val="single" w:sz="4" w:space="0" w:color="AAABD6"/>
              <w:bottom w:val="dotted" w:sz="4" w:space="0" w:color="AAABD6"/>
              <w:right w:val="single" w:sz="4" w:space="0" w:color="AAABD6"/>
            </w:tcBorders>
          </w:tcPr>
          <w:p w14:paraId="79A1554C"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334</w:t>
            </w:r>
          </w:p>
        </w:tc>
        <w:tc>
          <w:tcPr>
            <w:tcW w:w="680" w:type="dxa"/>
            <w:tcBorders>
              <w:top w:val="dotted" w:sz="4" w:space="0" w:color="AAABD6"/>
              <w:left w:val="single" w:sz="4" w:space="0" w:color="AAABD6"/>
              <w:bottom w:val="dotted" w:sz="4" w:space="0" w:color="AAABD6"/>
              <w:right w:val="single" w:sz="4" w:space="0" w:color="AAABD6"/>
            </w:tcBorders>
          </w:tcPr>
          <w:p w14:paraId="3D52354E"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339</w:t>
            </w:r>
          </w:p>
        </w:tc>
        <w:tc>
          <w:tcPr>
            <w:tcW w:w="680" w:type="dxa"/>
            <w:tcBorders>
              <w:top w:val="dotted" w:sz="4" w:space="0" w:color="AAABD6"/>
              <w:left w:val="single" w:sz="4" w:space="0" w:color="AAABD6"/>
              <w:bottom w:val="dotted" w:sz="4" w:space="0" w:color="AAABD6"/>
              <w:right w:val="single" w:sz="4" w:space="0" w:color="AAABD6"/>
            </w:tcBorders>
          </w:tcPr>
          <w:p w14:paraId="15D3B78C"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344</w:t>
            </w:r>
          </w:p>
        </w:tc>
        <w:tc>
          <w:tcPr>
            <w:tcW w:w="680" w:type="dxa"/>
            <w:tcBorders>
              <w:top w:val="dotted" w:sz="4" w:space="0" w:color="AAABD6"/>
              <w:left w:val="single" w:sz="4" w:space="0" w:color="AAABD6"/>
              <w:bottom w:val="dotted" w:sz="4" w:space="0" w:color="AAABD6"/>
              <w:right w:val="single" w:sz="4" w:space="0" w:color="AAABD6"/>
            </w:tcBorders>
          </w:tcPr>
          <w:p w14:paraId="763530E6"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349</w:t>
            </w:r>
          </w:p>
        </w:tc>
        <w:tc>
          <w:tcPr>
            <w:tcW w:w="680" w:type="dxa"/>
            <w:tcBorders>
              <w:top w:val="dotted" w:sz="4" w:space="0" w:color="AAABD6"/>
              <w:left w:val="single" w:sz="4" w:space="0" w:color="AAABD6"/>
              <w:bottom w:val="dotted" w:sz="4" w:space="0" w:color="AAABD6"/>
              <w:right w:val="single" w:sz="4" w:space="0" w:color="AAABD6"/>
            </w:tcBorders>
          </w:tcPr>
          <w:p w14:paraId="71A1ECD9"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354</w:t>
            </w:r>
          </w:p>
        </w:tc>
        <w:tc>
          <w:tcPr>
            <w:tcW w:w="680" w:type="dxa"/>
            <w:tcBorders>
              <w:top w:val="dotted" w:sz="4" w:space="0" w:color="AAABD6"/>
              <w:left w:val="single" w:sz="4" w:space="0" w:color="AAABD6"/>
              <w:bottom w:val="dotted" w:sz="4" w:space="0" w:color="AAABD6"/>
              <w:right w:val="single" w:sz="4" w:space="0" w:color="AAABD6"/>
            </w:tcBorders>
          </w:tcPr>
          <w:p w14:paraId="6C08466D"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359</w:t>
            </w:r>
          </w:p>
        </w:tc>
        <w:tc>
          <w:tcPr>
            <w:tcW w:w="680" w:type="dxa"/>
            <w:tcBorders>
              <w:top w:val="dotted" w:sz="4" w:space="0" w:color="AAABD6"/>
              <w:left w:val="single" w:sz="4" w:space="0" w:color="AAABD6"/>
              <w:bottom w:val="dotted" w:sz="4" w:space="0" w:color="AAABD6"/>
              <w:right w:val="single" w:sz="4" w:space="0" w:color="AAABD6"/>
            </w:tcBorders>
          </w:tcPr>
          <w:p w14:paraId="1482BEB5"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364</w:t>
            </w:r>
          </w:p>
        </w:tc>
        <w:tc>
          <w:tcPr>
            <w:tcW w:w="680" w:type="dxa"/>
            <w:tcBorders>
              <w:top w:val="dotted" w:sz="4" w:space="0" w:color="AAABD6"/>
              <w:left w:val="single" w:sz="4" w:space="0" w:color="AAABD6"/>
              <w:bottom w:val="dotted" w:sz="4" w:space="0" w:color="AAABD6"/>
              <w:right w:val="single" w:sz="4" w:space="0" w:color="AAABD6"/>
            </w:tcBorders>
          </w:tcPr>
          <w:p w14:paraId="76DAEA03"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369</w:t>
            </w:r>
          </w:p>
        </w:tc>
        <w:tc>
          <w:tcPr>
            <w:tcW w:w="680" w:type="dxa"/>
            <w:tcBorders>
              <w:top w:val="dotted" w:sz="4" w:space="0" w:color="AAABD6"/>
              <w:left w:val="single" w:sz="4" w:space="0" w:color="AAABD6"/>
              <w:bottom w:val="dotted" w:sz="4" w:space="0" w:color="AAABD6"/>
              <w:right w:val="single" w:sz="4" w:space="0" w:color="AAABD6"/>
            </w:tcBorders>
          </w:tcPr>
          <w:p w14:paraId="47506123"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374</w:t>
            </w:r>
          </w:p>
        </w:tc>
        <w:tc>
          <w:tcPr>
            <w:tcW w:w="680" w:type="dxa"/>
            <w:tcBorders>
              <w:top w:val="dotted" w:sz="4" w:space="0" w:color="AAABD6"/>
              <w:left w:val="single" w:sz="4" w:space="0" w:color="AAABD6"/>
              <w:bottom w:val="dotted" w:sz="4" w:space="0" w:color="AAABD6"/>
              <w:right w:val="single" w:sz="4" w:space="0" w:color="AAABD6"/>
            </w:tcBorders>
          </w:tcPr>
          <w:p w14:paraId="71AB52DB"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379</w:t>
            </w:r>
          </w:p>
        </w:tc>
        <w:tc>
          <w:tcPr>
            <w:tcW w:w="680" w:type="dxa"/>
            <w:tcBorders>
              <w:top w:val="dotted" w:sz="4" w:space="0" w:color="AAABD6"/>
              <w:left w:val="single" w:sz="4" w:space="0" w:color="AAABD6"/>
              <w:bottom w:val="dotted" w:sz="4" w:space="0" w:color="AAABD6"/>
              <w:right w:val="single" w:sz="4" w:space="0" w:color="AAABD6"/>
            </w:tcBorders>
          </w:tcPr>
          <w:p w14:paraId="54967EEA"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385</w:t>
            </w:r>
          </w:p>
        </w:tc>
        <w:tc>
          <w:tcPr>
            <w:tcW w:w="680" w:type="dxa"/>
            <w:tcBorders>
              <w:top w:val="dotted" w:sz="4" w:space="0" w:color="AAABD6"/>
              <w:left w:val="single" w:sz="4" w:space="0" w:color="AAABD6"/>
              <w:bottom w:val="dotted" w:sz="4" w:space="0" w:color="AAABD6"/>
              <w:right w:val="single" w:sz="4" w:space="0" w:color="AAABD6"/>
            </w:tcBorders>
          </w:tcPr>
          <w:p w14:paraId="2C8FAB74"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390</w:t>
            </w:r>
          </w:p>
        </w:tc>
        <w:tc>
          <w:tcPr>
            <w:tcW w:w="680" w:type="dxa"/>
            <w:tcBorders>
              <w:top w:val="dotted" w:sz="4" w:space="0" w:color="AAABD6"/>
              <w:left w:val="single" w:sz="4" w:space="0" w:color="AAABD6"/>
              <w:bottom w:val="dotted" w:sz="4" w:space="0" w:color="AAABD6"/>
              <w:right w:val="single" w:sz="4" w:space="0" w:color="AAABD6"/>
            </w:tcBorders>
          </w:tcPr>
          <w:p w14:paraId="1EB14FD1"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396</w:t>
            </w:r>
          </w:p>
        </w:tc>
        <w:tc>
          <w:tcPr>
            <w:tcW w:w="680" w:type="dxa"/>
            <w:tcBorders>
              <w:top w:val="dotted" w:sz="4" w:space="0" w:color="AAABD6"/>
              <w:left w:val="single" w:sz="4" w:space="0" w:color="AAABD6"/>
              <w:bottom w:val="dotted" w:sz="4" w:space="0" w:color="AAABD6"/>
              <w:right w:val="single" w:sz="4" w:space="0" w:color="AAABD6"/>
            </w:tcBorders>
          </w:tcPr>
          <w:p w14:paraId="134FD421"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401</w:t>
            </w:r>
          </w:p>
        </w:tc>
        <w:tc>
          <w:tcPr>
            <w:tcW w:w="680" w:type="dxa"/>
            <w:tcBorders>
              <w:top w:val="dotted" w:sz="4" w:space="0" w:color="AAABD6"/>
              <w:left w:val="single" w:sz="4" w:space="0" w:color="AAABD6"/>
              <w:bottom w:val="dotted" w:sz="4" w:space="0" w:color="AAABD6"/>
              <w:right w:val="single" w:sz="4" w:space="0" w:color="AAABD6"/>
            </w:tcBorders>
          </w:tcPr>
          <w:p w14:paraId="7889A93C"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407</w:t>
            </w:r>
          </w:p>
        </w:tc>
        <w:tc>
          <w:tcPr>
            <w:tcW w:w="680" w:type="dxa"/>
            <w:tcBorders>
              <w:top w:val="dotted" w:sz="4" w:space="0" w:color="AAABD6"/>
              <w:left w:val="single" w:sz="4" w:space="0" w:color="AAABD6"/>
              <w:bottom w:val="dotted" w:sz="4" w:space="0" w:color="AAABD6"/>
              <w:right w:val="single" w:sz="4" w:space="0" w:color="AAABD6"/>
            </w:tcBorders>
          </w:tcPr>
          <w:p w14:paraId="542E6C4A"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413</w:t>
            </w:r>
          </w:p>
        </w:tc>
        <w:tc>
          <w:tcPr>
            <w:tcW w:w="680" w:type="dxa"/>
            <w:tcBorders>
              <w:top w:val="dotted" w:sz="4" w:space="0" w:color="AAABD6"/>
              <w:left w:val="single" w:sz="4" w:space="0" w:color="AAABD6"/>
              <w:bottom w:val="dotted" w:sz="4" w:space="0" w:color="AAABD6"/>
              <w:right w:val="single" w:sz="4" w:space="0" w:color="AAABD6"/>
            </w:tcBorders>
          </w:tcPr>
          <w:p w14:paraId="13FD38B7"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418</w:t>
            </w:r>
          </w:p>
        </w:tc>
      </w:tr>
      <w:tr w:rsidR="00F02371" w:rsidRPr="00100F0A" w14:paraId="7A61C50D"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right w:val="single" w:sz="4" w:space="0" w:color="AAABD6"/>
            </w:tcBorders>
          </w:tcPr>
          <w:p w14:paraId="58AA6DA2" w14:textId="77777777" w:rsidR="00F02371" w:rsidRPr="00100F0A" w:rsidRDefault="00F02371" w:rsidP="002B2606">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1D3CC3BC" w14:textId="77777777" w:rsidR="00F02371" w:rsidRPr="00100F0A" w:rsidRDefault="00F02371" w:rsidP="002B260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SA</w:t>
            </w:r>
          </w:p>
        </w:tc>
        <w:tc>
          <w:tcPr>
            <w:tcW w:w="1418" w:type="dxa"/>
            <w:vMerge/>
            <w:tcBorders>
              <w:left w:val="single" w:sz="4" w:space="0" w:color="AAABD6"/>
              <w:right w:val="single" w:sz="4" w:space="0" w:color="AAABD6"/>
            </w:tcBorders>
          </w:tcPr>
          <w:p w14:paraId="3F2DBBA5" w14:textId="77777777" w:rsidR="00F02371" w:rsidRPr="00100F0A" w:rsidRDefault="00F02371" w:rsidP="002B2606">
            <w:pPr>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gridSpan w:val="2"/>
            <w:vMerge/>
            <w:tcBorders>
              <w:left w:val="single" w:sz="4" w:space="0" w:color="AAABD6"/>
              <w:right w:val="single" w:sz="4" w:space="0" w:color="AAABD6"/>
            </w:tcBorders>
          </w:tcPr>
          <w:p w14:paraId="6C441F3A" w14:textId="26A71473"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10" w:type="dxa"/>
            <w:tcBorders>
              <w:top w:val="dotted" w:sz="4" w:space="0" w:color="AAABD6"/>
              <w:left w:val="single" w:sz="4" w:space="0" w:color="AAABD6"/>
              <w:bottom w:val="dotted" w:sz="4" w:space="0" w:color="AAABD6"/>
              <w:right w:val="single" w:sz="4" w:space="0" w:color="AAABD6"/>
            </w:tcBorders>
          </w:tcPr>
          <w:p w14:paraId="0C6EDAA7"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680" w:type="dxa"/>
            <w:tcBorders>
              <w:top w:val="dotted" w:sz="4" w:space="0" w:color="AAABD6"/>
              <w:left w:val="single" w:sz="4" w:space="0" w:color="AAABD6"/>
              <w:bottom w:val="dotted" w:sz="4" w:space="0" w:color="AAABD6"/>
              <w:right w:val="single" w:sz="4" w:space="0" w:color="AAABD6"/>
            </w:tcBorders>
          </w:tcPr>
          <w:p w14:paraId="13C6DF69"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111</w:t>
            </w:r>
          </w:p>
        </w:tc>
        <w:tc>
          <w:tcPr>
            <w:tcW w:w="680" w:type="dxa"/>
            <w:tcBorders>
              <w:top w:val="dotted" w:sz="4" w:space="0" w:color="AAABD6"/>
              <w:left w:val="single" w:sz="4" w:space="0" w:color="AAABD6"/>
              <w:bottom w:val="dotted" w:sz="4" w:space="0" w:color="AAABD6"/>
              <w:right w:val="single" w:sz="4" w:space="0" w:color="AAABD6"/>
            </w:tcBorders>
          </w:tcPr>
          <w:p w14:paraId="4F756F19"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112</w:t>
            </w:r>
          </w:p>
        </w:tc>
        <w:tc>
          <w:tcPr>
            <w:tcW w:w="680" w:type="dxa"/>
            <w:tcBorders>
              <w:top w:val="dotted" w:sz="4" w:space="0" w:color="AAABD6"/>
              <w:left w:val="single" w:sz="4" w:space="0" w:color="AAABD6"/>
              <w:bottom w:val="dotted" w:sz="4" w:space="0" w:color="AAABD6"/>
              <w:right w:val="single" w:sz="4" w:space="0" w:color="AAABD6"/>
            </w:tcBorders>
          </w:tcPr>
          <w:p w14:paraId="6733F583"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114</w:t>
            </w:r>
          </w:p>
        </w:tc>
        <w:tc>
          <w:tcPr>
            <w:tcW w:w="680" w:type="dxa"/>
            <w:tcBorders>
              <w:top w:val="dotted" w:sz="4" w:space="0" w:color="AAABD6"/>
              <w:left w:val="single" w:sz="4" w:space="0" w:color="AAABD6"/>
              <w:bottom w:val="dotted" w:sz="4" w:space="0" w:color="AAABD6"/>
              <w:right w:val="single" w:sz="4" w:space="0" w:color="AAABD6"/>
            </w:tcBorders>
          </w:tcPr>
          <w:p w14:paraId="4F5E7DDA"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115</w:t>
            </w:r>
          </w:p>
        </w:tc>
        <w:tc>
          <w:tcPr>
            <w:tcW w:w="680" w:type="dxa"/>
            <w:tcBorders>
              <w:top w:val="dotted" w:sz="4" w:space="0" w:color="AAABD6"/>
              <w:left w:val="single" w:sz="4" w:space="0" w:color="AAABD6"/>
              <w:bottom w:val="dotted" w:sz="4" w:space="0" w:color="AAABD6"/>
              <w:right w:val="single" w:sz="4" w:space="0" w:color="AAABD6"/>
            </w:tcBorders>
          </w:tcPr>
          <w:p w14:paraId="770EF72C"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117</w:t>
            </w:r>
          </w:p>
        </w:tc>
        <w:tc>
          <w:tcPr>
            <w:tcW w:w="680" w:type="dxa"/>
            <w:tcBorders>
              <w:top w:val="dotted" w:sz="4" w:space="0" w:color="AAABD6"/>
              <w:left w:val="single" w:sz="4" w:space="0" w:color="AAABD6"/>
              <w:bottom w:val="dotted" w:sz="4" w:space="0" w:color="AAABD6"/>
              <w:right w:val="single" w:sz="4" w:space="0" w:color="AAABD6"/>
            </w:tcBorders>
          </w:tcPr>
          <w:p w14:paraId="142D512B"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119</w:t>
            </w:r>
          </w:p>
        </w:tc>
        <w:tc>
          <w:tcPr>
            <w:tcW w:w="680" w:type="dxa"/>
            <w:tcBorders>
              <w:top w:val="dotted" w:sz="4" w:space="0" w:color="AAABD6"/>
              <w:left w:val="single" w:sz="4" w:space="0" w:color="AAABD6"/>
              <w:bottom w:val="dotted" w:sz="4" w:space="0" w:color="AAABD6"/>
              <w:right w:val="single" w:sz="4" w:space="0" w:color="AAABD6"/>
            </w:tcBorders>
          </w:tcPr>
          <w:p w14:paraId="298F8D9A"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120</w:t>
            </w:r>
          </w:p>
        </w:tc>
        <w:tc>
          <w:tcPr>
            <w:tcW w:w="680" w:type="dxa"/>
            <w:tcBorders>
              <w:top w:val="dotted" w:sz="4" w:space="0" w:color="AAABD6"/>
              <w:left w:val="single" w:sz="4" w:space="0" w:color="AAABD6"/>
              <w:bottom w:val="dotted" w:sz="4" w:space="0" w:color="AAABD6"/>
              <w:right w:val="single" w:sz="4" w:space="0" w:color="AAABD6"/>
            </w:tcBorders>
          </w:tcPr>
          <w:p w14:paraId="03382284"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122</w:t>
            </w:r>
          </w:p>
        </w:tc>
        <w:tc>
          <w:tcPr>
            <w:tcW w:w="680" w:type="dxa"/>
            <w:tcBorders>
              <w:top w:val="dotted" w:sz="4" w:space="0" w:color="AAABD6"/>
              <w:left w:val="single" w:sz="4" w:space="0" w:color="AAABD6"/>
              <w:bottom w:val="dotted" w:sz="4" w:space="0" w:color="AAABD6"/>
              <w:right w:val="single" w:sz="4" w:space="0" w:color="AAABD6"/>
            </w:tcBorders>
          </w:tcPr>
          <w:p w14:paraId="1B90E611"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124</w:t>
            </w:r>
          </w:p>
        </w:tc>
        <w:tc>
          <w:tcPr>
            <w:tcW w:w="680" w:type="dxa"/>
            <w:tcBorders>
              <w:top w:val="dotted" w:sz="4" w:space="0" w:color="AAABD6"/>
              <w:left w:val="single" w:sz="4" w:space="0" w:color="AAABD6"/>
              <w:bottom w:val="dotted" w:sz="4" w:space="0" w:color="AAABD6"/>
              <w:right w:val="single" w:sz="4" w:space="0" w:color="AAABD6"/>
            </w:tcBorders>
          </w:tcPr>
          <w:p w14:paraId="20D6D1ED"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125</w:t>
            </w:r>
          </w:p>
        </w:tc>
        <w:tc>
          <w:tcPr>
            <w:tcW w:w="680" w:type="dxa"/>
            <w:tcBorders>
              <w:top w:val="dotted" w:sz="4" w:space="0" w:color="AAABD6"/>
              <w:left w:val="single" w:sz="4" w:space="0" w:color="AAABD6"/>
              <w:bottom w:val="dotted" w:sz="4" w:space="0" w:color="AAABD6"/>
              <w:right w:val="single" w:sz="4" w:space="0" w:color="AAABD6"/>
            </w:tcBorders>
          </w:tcPr>
          <w:p w14:paraId="6C4040F8"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127</w:t>
            </w:r>
          </w:p>
        </w:tc>
        <w:tc>
          <w:tcPr>
            <w:tcW w:w="680" w:type="dxa"/>
            <w:tcBorders>
              <w:top w:val="dotted" w:sz="4" w:space="0" w:color="AAABD6"/>
              <w:left w:val="single" w:sz="4" w:space="0" w:color="AAABD6"/>
              <w:bottom w:val="dotted" w:sz="4" w:space="0" w:color="AAABD6"/>
              <w:right w:val="single" w:sz="4" w:space="0" w:color="AAABD6"/>
            </w:tcBorders>
          </w:tcPr>
          <w:p w14:paraId="78095C0E"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129</w:t>
            </w:r>
          </w:p>
        </w:tc>
        <w:tc>
          <w:tcPr>
            <w:tcW w:w="680" w:type="dxa"/>
            <w:tcBorders>
              <w:top w:val="dotted" w:sz="4" w:space="0" w:color="AAABD6"/>
              <w:left w:val="single" w:sz="4" w:space="0" w:color="AAABD6"/>
              <w:bottom w:val="dotted" w:sz="4" w:space="0" w:color="AAABD6"/>
              <w:right w:val="single" w:sz="4" w:space="0" w:color="AAABD6"/>
            </w:tcBorders>
          </w:tcPr>
          <w:p w14:paraId="1A1D8FEE"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131</w:t>
            </w:r>
          </w:p>
        </w:tc>
        <w:tc>
          <w:tcPr>
            <w:tcW w:w="680" w:type="dxa"/>
            <w:tcBorders>
              <w:top w:val="dotted" w:sz="4" w:space="0" w:color="AAABD6"/>
              <w:left w:val="single" w:sz="4" w:space="0" w:color="AAABD6"/>
              <w:bottom w:val="dotted" w:sz="4" w:space="0" w:color="AAABD6"/>
              <w:right w:val="single" w:sz="4" w:space="0" w:color="AAABD6"/>
            </w:tcBorders>
          </w:tcPr>
          <w:p w14:paraId="7B276743"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133</w:t>
            </w:r>
          </w:p>
        </w:tc>
        <w:tc>
          <w:tcPr>
            <w:tcW w:w="680" w:type="dxa"/>
            <w:tcBorders>
              <w:top w:val="dotted" w:sz="4" w:space="0" w:color="AAABD6"/>
              <w:left w:val="single" w:sz="4" w:space="0" w:color="AAABD6"/>
              <w:bottom w:val="dotted" w:sz="4" w:space="0" w:color="AAABD6"/>
              <w:right w:val="single" w:sz="4" w:space="0" w:color="AAABD6"/>
            </w:tcBorders>
          </w:tcPr>
          <w:p w14:paraId="31B17252"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135</w:t>
            </w:r>
          </w:p>
        </w:tc>
        <w:tc>
          <w:tcPr>
            <w:tcW w:w="680" w:type="dxa"/>
            <w:tcBorders>
              <w:top w:val="dotted" w:sz="4" w:space="0" w:color="AAABD6"/>
              <w:left w:val="single" w:sz="4" w:space="0" w:color="AAABD6"/>
              <w:bottom w:val="dotted" w:sz="4" w:space="0" w:color="AAABD6"/>
              <w:right w:val="single" w:sz="4" w:space="0" w:color="AAABD6"/>
            </w:tcBorders>
          </w:tcPr>
          <w:p w14:paraId="7F7B8CBA"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136</w:t>
            </w:r>
          </w:p>
        </w:tc>
        <w:tc>
          <w:tcPr>
            <w:tcW w:w="680" w:type="dxa"/>
            <w:tcBorders>
              <w:top w:val="dotted" w:sz="4" w:space="0" w:color="AAABD6"/>
              <w:left w:val="single" w:sz="4" w:space="0" w:color="AAABD6"/>
              <w:bottom w:val="dotted" w:sz="4" w:space="0" w:color="AAABD6"/>
              <w:right w:val="single" w:sz="4" w:space="0" w:color="AAABD6"/>
            </w:tcBorders>
          </w:tcPr>
          <w:p w14:paraId="41D2ACB6"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138</w:t>
            </w:r>
          </w:p>
        </w:tc>
        <w:tc>
          <w:tcPr>
            <w:tcW w:w="680" w:type="dxa"/>
            <w:tcBorders>
              <w:top w:val="dotted" w:sz="4" w:space="0" w:color="AAABD6"/>
              <w:left w:val="single" w:sz="4" w:space="0" w:color="AAABD6"/>
              <w:bottom w:val="dotted" w:sz="4" w:space="0" w:color="AAABD6"/>
              <w:right w:val="single" w:sz="4" w:space="0" w:color="AAABD6"/>
            </w:tcBorders>
          </w:tcPr>
          <w:p w14:paraId="4A38A6BF"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140</w:t>
            </w:r>
          </w:p>
        </w:tc>
      </w:tr>
      <w:tr w:rsidR="00F02371" w:rsidRPr="00100F0A" w14:paraId="37B48ABC"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right w:val="single" w:sz="4" w:space="0" w:color="AAABD6"/>
            </w:tcBorders>
          </w:tcPr>
          <w:p w14:paraId="13D1717F" w14:textId="77777777" w:rsidR="00F02371" w:rsidRPr="00100F0A" w:rsidRDefault="00F02371" w:rsidP="002B2606">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64FBCCA8" w14:textId="77777777" w:rsidR="00F02371" w:rsidRPr="00100F0A" w:rsidRDefault="00F02371" w:rsidP="002B260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Tas</w:t>
            </w:r>
          </w:p>
        </w:tc>
        <w:tc>
          <w:tcPr>
            <w:tcW w:w="1418" w:type="dxa"/>
            <w:vMerge/>
            <w:tcBorders>
              <w:left w:val="single" w:sz="4" w:space="0" w:color="AAABD6"/>
              <w:right w:val="single" w:sz="4" w:space="0" w:color="AAABD6"/>
            </w:tcBorders>
          </w:tcPr>
          <w:p w14:paraId="2AE739BA" w14:textId="77777777" w:rsidR="00F02371" w:rsidRPr="00100F0A" w:rsidRDefault="00F02371" w:rsidP="002B2606">
            <w:pPr>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gridSpan w:val="2"/>
            <w:vMerge/>
            <w:tcBorders>
              <w:left w:val="single" w:sz="4" w:space="0" w:color="AAABD6"/>
              <w:right w:val="single" w:sz="4" w:space="0" w:color="AAABD6"/>
            </w:tcBorders>
          </w:tcPr>
          <w:p w14:paraId="6B52B99D" w14:textId="6E106B6D"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10" w:type="dxa"/>
            <w:tcBorders>
              <w:top w:val="dotted" w:sz="4" w:space="0" w:color="AAABD6"/>
              <w:left w:val="single" w:sz="4" w:space="0" w:color="AAABD6"/>
              <w:bottom w:val="dotted" w:sz="4" w:space="0" w:color="AAABD6"/>
              <w:right w:val="single" w:sz="4" w:space="0" w:color="AAABD6"/>
            </w:tcBorders>
          </w:tcPr>
          <w:p w14:paraId="5FA7AFCC"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680" w:type="dxa"/>
            <w:tcBorders>
              <w:top w:val="dotted" w:sz="4" w:space="0" w:color="AAABD6"/>
              <w:left w:val="single" w:sz="4" w:space="0" w:color="AAABD6"/>
              <w:bottom w:val="dotted" w:sz="4" w:space="0" w:color="AAABD6"/>
              <w:right w:val="single" w:sz="4" w:space="0" w:color="AAABD6"/>
            </w:tcBorders>
          </w:tcPr>
          <w:p w14:paraId="3F101760"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33</w:t>
            </w:r>
          </w:p>
        </w:tc>
        <w:tc>
          <w:tcPr>
            <w:tcW w:w="680" w:type="dxa"/>
            <w:tcBorders>
              <w:top w:val="dotted" w:sz="4" w:space="0" w:color="AAABD6"/>
              <w:left w:val="single" w:sz="4" w:space="0" w:color="AAABD6"/>
              <w:bottom w:val="dotted" w:sz="4" w:space="0" w:color="AAABD6"/>
              <w:right w:val="single" w:sz="4" w:space="0" w:color="AAABD6"/>
            </w:tcBorders>
          </w:tcPr>
          <w:p w14:paraId="675D97C9"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33</w:t>
            </w:r>
          </w:p>
        </w:tc>
        <w:tc>
          <w:tcPr>
            <w:tcW w:w="680" w:type="dxa"/>
            <w:tcBorders>
              <w:top w:val="dotted" w:sz="4" w:space="0" w:color="AAABD6"/>
              <w:left w:val="single" w:sz="4" w:space="0" w:color="AAABD6"/>
              <w:bottom w:val="dotted" w:sz="4" w:space="0" w:color="AAABD6"/>
              <w:right w:val="single" w:sz="4" w:space="0" w:color="AAABD6"/>
            </w:tcBorders>
          </w:tcPr>
          <w:p w14:paraId="0C94F907"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34</w:t>
            </w:r>
          </w:p>
        </w:tc>
        <w:tc>
          <w:tcPr>
            <w:tcW w:w="680" w:type="dxa"/>
            <w:tcBorders>
              <w:top w:val="dotted" w:sz="4" w:space="0" w:color="AAABD6"/>
              <w:left w:val="single" w:sz="4" w:space="0" w:color="AAABD6"/>
              <w:bottom w:val="dotted" w:sz="4" w:space="0" w:color="AAABD6"/>
              <w:right w:val="single" w:sz="4" w:space="0" w:color="AAABD6"/>
            </w:tcBorders>
          </w:tcPr>
          <w:p w14:paraId="4A223073"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34</w:t>
            </w:r>
          </w:p>
        </w:tc>
        <w:tc>
          <w:tcPr>
            <w:tcW w:w="680" w:type="dxa"/>
            <w:tcBorders>
              <w:top w:val="dotted" w:sz="4" w:space="0" w:color="AAABD6"/>
              <w:left w:val="single" w:sz="4" w:space="0" w:color="AAABD6"/>
              <w:bottom w:val="dotted" w:sz="4" w:space="0" w:color="AAABD6"/>
              <w:right w:val="single" w:sz="4" w:space="0" w:color="AAABD6"/>
            </w:tcBorders>
          </w:tcPr>
          <w:p w14:paraId="1CA97A61"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35</w:t>
            </w:r>
          </w:p>
        </w:tc>
        <w:tc>
          <w:tcPr>
            <w:tcW w:w="680" w:type="dxa"/>
            <w:tcBorders>
              <w:top w:val="dotted" w:sz="4" w:space="0" w:color="AAABD6"/>
              <w:left w:val="single" w:sz="4" w:space="0" w:color="AAABD6"/>
              <w:bottom w:val="dotted" w:sz="4" w:space="0" w:color="AAABD6"/>
              <w:right w:val="single" w:sz="4" w:space="0" w:color="AAABD6"/>
            </w:tcBorders>
          </w:tcPr>
          <w:p w14:paraId="2CC8A378"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35</w:t>
            </w:r>
          </w:p>
        </w:tc>
        <w:tc>
          <w:tcPr>
            <w:tcW w:w="680" w:type="dxa"/>
            <w:tcBorders>
              <w:top w:val="dotted" w:sz="4" w:space="0" w:color="AAABD6"/>
              <w:left w:val="single" w:sz="4" w:space="0" w:color="AAABD6"/>
              <w:bottom w:val="dotted" w:sz="4" w:space="0" w:color="AAABD6"/>
              <w:right w:val="single" w:sz="4" w:space="0" w:color="AAABD6"/>
            </w:tcBorders>
          </w:tcPr>
          <w:p w14:paraId="28341055"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36</w:t>
            </w:r>
          </w:p>
        </w:tc>
        <w:tc>
          <w:tcPr>
            <w:tcW w:w="680" w:type="dxa"/>
            <w:tcBorders>
              <w:top w:val="dotted" w:sz="4" w:space="0" w:color="AAABD6"/>
              <w:left w:val="single" w:sz="4" w:space="0" w:color="AAABD6"/>
              <w:bottom w:val="dotted" w:sz="4" w:space="0" w:color="AAABD6"/>
              <w:right w:val="single" w:sz="4" w:space="0" w:color="AAABD6"/>
            </w:tcBorders>
          </w:tcPr>
          <w:p w14:paraId="70634945"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36</w:t>
            </w:r>
          </w:p>
        </w:tc>
        <w:tc>
          <w:tcPr>
            <w:tcW w:w="680" w:type="dxa"/>
            <w:tcBorders>
              <w:top w:val="dotted" w:sz="4" w:space="0" w:color="AAABD6"/>
              <w:left w:val="single" w:sz="4" w:space="0" w:color="AAABD6"/>
              <w:bottom w:val="dotted" w:sz="4" w:space="0" w:color="AAABD6"/>
              <w:right w:val="single" w:sz="4" w:space="0" w:color="AAABD6"/>
            </w:tcBorders>
          </w:tcPr>
          <w:p w14:paraId="2BFEC558"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37</w:t>
            </w:r>
          </w:p>
        </w:tc>
        <w:tc>
          <w:tcPr>
            <w:tcW w:w="680" w:type="dxa"/>
            <w:tcBorders>
              <w:top w:val="dotted" w:sz="4" w:space="0" w:color="AAABD6"/>
              <w:left w:val="single" w:sz="4" w:space="0" w:color="AAABD6"/>
              <w:bottom w:val="dotted" w:sz="4" w:space="0" w:color="AAABD6"/>
              <w:right w:val="single" w:sz="4" w:space="0" w:color="AAABD6"/>
            </w:tcBorders>
          </w:tcPr>
          <w:p w14:paraId="67E57C63"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37</w:t>
            </w:r>
          </w:p>
        </w:tc>
        <w:tc>
          <w:tcPr>
            <w:tcW w:w="680" w:type="dxa"/>
            <w:tcBorders>
              <w:top w:val="dotted" w:sz="4" w:space="0" w:color="AAABD6"/>
              <w:left w:val="single" w:sz="4" w:space="0" w:color="AAABD6"/>
              <w:bottom w:val="dotted" w:sz="4" w:space="0" w:color="AAABD6"/>
              <w:right w:val="single" w:sz="4" w:space="0" w:color="AAABD6"/>
            </w:tcBorders>
          </w:tcPr>
          <w:p w14:paraId="69E1BD60"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38</w:t>
            </w:r>
          </w:p>
        </w:tc>
        <w:tc>
          <w:tcPr>
            <w:tcW w:w="680" w:type="dxa"/>
            <w:tcBorders>
              <w:top w:val="dotted" w:sz="4" w:space="0" w:color="AAABD6"/>
              <w:left w:val="single" w:sz="4" w:space="0" w:color="AAABD6"/>
              <w:bottom w:val="dotted" w:sz="4" w:space="0" w:color="AAABD6"/>
              <w:right w:val="single" w:sz="4" w:space="0" w:color="AAABD6"/>
            </w:tcBorders>
          </w:tcPr>
          <w:p w14:paraId="142AFCCC"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38</w:t>
            </w:r>
          </w:p>
        </w:tc>
        <w:tc>
          <w:tcPr>
            <w:tcW w:w="680" w:type="dxa"/>
            <w:tcBorders>
              <w:top w:val="dotted" w:sz="4" w:space="0" w:color="AAABD6"/>
              <w:left w:val="single" w:sz="4" w:space="0" w:color="AAABD6"/>
              <w:bottom w:val="dotted" w:sz="4" w:space="0" w:color="AAABD6"/>
              <w:right w:val="single" w:sz="4" w:space="0" w:color="AAABD6"/>
            </w:tcBorders>
          </w:tcPr>
          <w:p w14:paraId="5030C752"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39</w:t>
            </w:r>
          </w:p>
        </w:tc>
        <w:tc>
          <w:tcPr>
            <w:tcW w:w="680" w:type="dxa"/>
            <w:tcBorders>
              <w:top w:val="dotted" w:sz="4" w:space="0" w:color="AAABD6"/>
              <w:left w:val="single" w:sz="4" w:space="0" w:color="AAABD6"/>
              <w:bottom w:val="dotted" w:sz="4" w:space="0" w:color="AAABD6"/>
              <w:right w:val="single" w:sz="4" w:space="0" w:color="AAABD6"/>
            </w:tcBorders>
          </w:tcPr>
          <w:p w14:paraId="7A5B6AE1"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39</w:t>
            </w:r>
          </w:p>
        </w:tc>
        <w:tc>
          <w:tcPr>
            <w:tcW w:w="680" w:type="dxa"/>
            <w:tcBorders>
              <w:top w:val="dotted" w:sz="4" w:space="0" w:color="AAABD6"/>
              <w:left w:val="single" w:sz="4" w:space="0" w:color="AAABD6"/>
              <w:bottom w:val="dotted" w:sz="4" w:space="0" w:color="AAABD6"/>
              <w:right w:val="single" w:sz="4" w:space="0" w:color="AAABD6"/>
            </w:tcBorders>
          </w:tcPr>
          <w:p w14:paraId="20202EA1"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40</w:t>
            </w:r>
          </w:p>
        </w:tc>
        <w:tc>
          <w:tcPr>
            <w:tcW w:w="680" w:type="dxa"/>
            <w:tcBorders>
              <w:top w:val="dotted" w:sz="4" w:space="0" w:color="AAABD6"/>
              <w:left w:val="single" w:sz="4" w:space="0" w:color="AAABD6"/>
              <w:bottom w:val="dotted" w:sz="4" w:space="0" w:color="AAABD6"/>
              <w:right w:val="single" w:sz="4" w:space="0" w:color="AAABD6"/>
            </w:tcBorders>
          </w:tcPr>
          <w:p w14:paraId="0DA997C1"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41</w:t>
            </w:r>
          </w:p>
        </w:tc>
        <w:tc>
          <w:tcPr>
            <w:tcW w:w="680" w:type="dxa"/>
            <w:tcBorders>
              <w:top w:val="dotted" w:sz="4" w:space="0" w:color="AAABD6"/>
              <w:left w:val="single" w:sz="4" w:space="0" w:color="AAABD6"/>
              <w:bottom w:val="dotted" w:sz="4" w:space="0" w:color="AAABD6"/>
              <w:right w:val="single" w:sz="4" w:space="0" w:color="AAABD6"/>
            </w:tcBorders>
          </w:tcPr>
          <w:p w14:paraId="3E2F829B"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41</w:t>
            </w:r>
          </w:p>
        </w:tc>
        <w:tc>
          <w:tcPr>
            <w:tcW w:w="680" w:type="dxa"/>
            <w:tcBorders>
              <w:top w:val="dotted" w:sz="4" w:space="0" w:color="AAABD6"/>
              <w:left w:val="single" w:sz="4" w:space="0" w:color="AAABD6"/>
              <w:bottom w:val="dotted" w:sz="4" w:space="0" w:color="AAABD6"/>
              <w:right w:val="single" w:sz="4" w:space="0" w:color="AAABD6"/>
            </w:tcBorders>
          </w:tcPr>
          <w:p w14:paraId="3FB256B1"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42</w:t>
            </w:r>
          </w:p>
        </w:tc>
      </w:tr>
      <w:tr w:rsidR="00F02371" w:rsidRPr="00100F0A" w14:paraId="27E807BD"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right w:val="single" w:sz="4" w:space="0" w:color="AAABD6"/>
            </w:tcBorders>
          </w:tcPr>
          <w:p w14:paraId="243B1E3F" w14:textId="77777777" w:rsidR="00F02371" w:rsidRPr="00100F0A" w:rsidRDefault="00F02371" w:rsidP="002B2606">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0B042976" w14:textId="77777777" w:rsidR="00F02371" w:rsidRPr="00100F0A" w:rsidRDefault="00F02371" w:rsidP="002B260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Vic</w:t>
            </w:r>
          </w:p>
        </w:tc>
        <w:tc>
          <w:tcPr>
            <w:tcW w:w="1418" w:type="dxa"/>
            <w:vMerge/>
            <w:tcBorders>
              <w:left w:val="single" w:sz="4" w:space="0" w:color="AAABD6"/>
              <w:right w:val="single" w:sz="4" w:space="0" w:color="AAABD6"/>
            </w:tcBorders>
          </w:tcPr>
          <w:p w14:paraId="39B74DCA" w14:textId="77777777" w:rsidR="00F02371" w:rsidRPr="00100F0A" w:rsidRDefault="00F02371" w:rsidP="002B2606">
            <w:pPr>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gridSpan w:val="2"/>
            <w:vMerge/>
            <w:tcBorders>
              <w:left w:val="single" w:sz="4" w:space="0" w:color="AAABD6"/>
              <w:right w:val="single" w:sz="4" w:space="0" w:color="AAABD6"/>
            </w:tcBorders>
          </w:tcPr>
          <w:p w14:paraId="74B71B90" w14:textId="4C2D2019"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10" w:type="dxa"/>
            <w:tcBorders>
              <w:top w:val="dotted" w:sz="4" w:space="0" w:color="AAABD6"/>
              <w:left w:val="single" w:sz="4" w:space="0" w:color="AAABD6"/>
              <w:bottom w:val="dotted" w:sz="4" w:space="0" w:color="AAABD6"/>
              <w:right w:val="single" w:sz="4" w:space="0" w:color="AAABD6"/>
            </w:tcBorders>
          </w:tcPr>
          <w:p w14:paraId="2FA951C2"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680" w:type="dxa"/>
            <w:tcBorders>
              <w:top w:val="dotted" w:sz="4" w:space="0" w:color="AAABD6"/>
              <w:left w:val="single" w:sz="4" w:space="0" w:color="AAABD6"/>
              <w:bottom w:val="dotted" w:sz="4" w:space="0" w:color="AAABD6"/>
              <w:right w:val="single" w:sz="4" w:space="0" w:color="AAABD6"/>
            </w:tcBorders>
          </w:tcPr>
          <w:p w14:paraId="0DB24F6E"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398</w:t>
            </w:r>
          </w:p>
        </w:tc>
        <w:tc>
          <w:tcPr>
            <w:tcW w:w="680" w:type="dxa"/>
            <w:tcBorders>
              <w:top w:val="dotted" w:sz="4" w:space="0" w:color="AAABD6"/>
              <w:left w:val="single" w:sz="4" w:space="0" w:color="AAABD6"/>
              <w:bottom w:val="dotted" w:sz="4" w:space="0" w:color="AAABD6"/>
              <w:right w:val="single" w:sz="4" w:space="0" w:color="AAABD6"/>
            </w:tcBorders>
          </w:tcPr>
          <w:p w14:paraId="0C9DDB2C"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403</w:t>
            </w:r>
          </w:p>
        </w:tc>
        <w:tc>
          <w:tcPr>
            <w:tcW w:w="680" w:type="dxa"/>
            <w:tcBorders>
              <w:top w:val="dotted" w:sz="4" w:space="0" w:color="AAABD6"/>
              <w:left w:val="single" w:sz="4" w:space="0" w:color="AAABD6"/>
              <w:bottom w:val="dotted" w:sz="4" w:space="0" w:color="AAABD6"/>
              <w:right w:val="single" w:sz="4" w:space="0" w:color="AAABD6"/>
            </w:tcBorders>
          </w:tcPr>
          <w:p w14:paraId="1EEDE0E8"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409</w:t>
            </w:r>
          </w:p>
        </w:tc>
        <w:tc>
          <w:tcPr>
            <w:tcW w:w="680" w:type="dxa"/>
            <w:tcBorders>
              <w:top w:val="dotted" w:sz="4" w:space="0" w:color="AAABD6"/>
              <w:left w:val="single" w:sz="4" w:space="0" w:color="AAABD6"/>
              <w:bottom w:val="dotted" w:sz="4" w:space="0" w:color="AAABD6"/>
              <w:right w:val="single" w:sz="4" w:space="0" w:color="AAABD6"/>
            </w:tcBorders>
          </w:tcPr>
          <w:p w14:paraId="26D9E76B"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415</w:t>
            </w:r>
          </w:p>
        </w:tc>
        <w:tc>
          <w:tcPr>
            <w:tcW w:w="680" w:type="dxa"/>
            <w:tcBorders>
              <w:top w:val="dotted" w:sz="4" w:space="0" w:color="AAABD6"/>
              <w:left w:val="single" w:sz="4" w:space="0" w:color="AAABD6"/>
              <w:bottom w:val="dotted" w:sz="4" w:space="0" w:color="AAABD6"/>
              <w:right w:val="single" w:sz="4" w:space="0" w:color="AAABD6"/>
            </w:tcBorders>
          </w:tcPr>
          <w:p w14:paraId="108FC41F"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421</w:t>
            </w:r>
          </w:p>
        </w:tc>
        <w:tc>
          <w:tcPr>
            <w:tcW w:w="680" w:type="dxa"/>
            <w:tcBorders>
              <w:top w:val="dotted" w:sz="4" w:space="0" w:color="AAABD6"/>
              <w:left w:val="single" w:sz="4" w:space="0" w:color="AAABD6"/>
              <w:bottom w:val="dotted" w:sz="4" w:space="0" w:color="AAABD6"/>
              <w:right w:val="single" w:sz="4" w:space="0" w:color="AAABD6"/>
            </w:tcBorders>
          </w:tcPr>
          <w:p w14:paraId="7663A157"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426</w:t>
            </w:r>
          </w:p>
        </w:tc>
        <w:tc>
          <w:tcPr>
            <w:tcW w:w="680" w:type="dxa"/>
            <w:tcBorders>
              <w:top w:val="dotted" w:sz="4" w:space="0" w:color="AAABD6"/>
              <w:left w:val="single" w:sz="4" w:space="0" w:color="AAABD6"/>
              <w:bottom w:val="dotted" w:sz="4" w:space="0" w:color="AAABD6"/>
              <w:right w:val="single" w:sz="4" w:space="0" w:color="AAABD6"/>
            </w:tcBorders>
          </w:tcPr>
          <w:p w14:paraId="67317CC4"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432</w:t>
            </w:r>
          </w:p>
        </w:tc>
        <w:tc>
          <w:tcPr>
            <w:tcW w:w="680" w:type="dxa"/>
            <w:tcBorders>
              <w:top w:val="dotted" w:sz="4" w:space="0" w:color="AAABD6"/>
              <w:left w:val="single" w:sz="4" w:space="0" w:color="AAABD6"/>
              <w:bottom w:val="dotted" w:sz="4" w:space="0" w:color="AAABD6"/>
              <w:right w:val="single" w:sz="4" w:space="0" w:color="AAABD6"/>
            </w:tcBorders>
          </w:tcPr>
          <w:p w14:paraId="708C5646"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439</w:t>
            </w:r>
          </w:p>
        </w:tc>
        <w:tc>
          <w:tcPr>
            <w:tcW w:w="680" w:type="dxa"/>
            <w:tcBorders>
              <w:top w:val="dotted" w:sz="4" w:space="0" w:color="AAABD6"/>
              <w:left w:val="single" w:sz="4" w:space="0" w:color="AAABD6"/>
              <w:bottom w:val="dotted" w:sz="4" w:space="0" w:color="AAABD6"/>
              <w:right w:val="single" w:sz="4" w:space="0" w:color="AAABD6"/>
            </w:tcBorders>
          </w:tcPr>
          <w:p w14:paraId="52D6AAEC"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445</w:t>
            </w:r>
          </w:p>
        </w:tc>
        <w:tc>
          <w:tcPr>
            <w:tcW w:w="680" w:type="dxa"/>
            <w:tcBorders>
              <w:top w:val="dotted" w:sz="4" w:space="0" w:color="AAABD6"/>
              <w:left w:val="single" w:sz="4" w:space="0" w:color="AAABD6"/>
              <w:bottom w:val="dotted" w:sz="4" w:space="0" w:color="AAABD6"/>
              <w:right w:val="single" w:sz="4" w:space="0" w:color="AAABD6"/>
            </w:tcBorders>
          </w:tcPr>
          <w:p w14:paraId="1068045E"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451</w:t>
            </w:r>
          </w:p>
        </w:tc>
        <w:tc>
          <w:tcPr>
            <w:tcW w:w="680" w:type="dxa"/>
            <w:tcBorders>
              <w:top w:val="dotted" w:sz="4" w:space="0" w:color="AAABD6"/>
              <w:left w:val="single" w:sz="4" w:space="0" w:color="AAABD6"/>
              <w:bottom w:val="dotted" w:sz="4" w:space="0" w:color="AAABD6"/>
              <w:right w:val="single" w:sz="4" w:space="0" w:color="AAABD6"/>
            </w:tcBorders>
          </w:tcPr>
          <w:p w14:paraId="017C3B75"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457</w:t>
            </w:r>
          </w:p>
        </w:tc>
        <w:tc>
          <w:tcPr>
            <w:tcW w:w="680" w:type="dxa"/>
            <w:tcBorders>
              <w:top w:val="dotted" w:sz="4" w:space="0" w:color="AAABD6"/>
              <w:left w:val="single" w:sz="4" w:space="0" w:color="AAABD6"/>
              <w:bottom w:val="dotted" w:sz="4" w:space="0" w:color="AAABD6"/>
              <w:right w:val="single" w:sz="4" w:space="0" w:color="AAABD6"/>
            </w:tcBorders>
          </w:tcPr>
          <w:p w14:paraId="1601988D"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464</w:t>
            </w:r>
          </w:p>
        </w:tc>
        <w:tc>
          <w:tcPr>
            <w:tcW w:w="680" w:type="dxa"/>
            <w:tcBorders>
              <w:top w:val="dotted" w:sz="4" w:space="0" w:color="AAABD6"/>
              <w:left w:val="single" w:sz="4" w:space="0" w:color="AAABD6"/>
              <w:bottom w:val="dotted" w:sz="4" w:space="0" w:color="AAABD6"/>
              <w:right w:val="single" w:sz="4" w:space="0" w:color="AAABD6"/>
            </w:tcBorders>
          </w:tcPr>
          <w:p w14:paraId="564610AB"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470</w:t>
            </w:r>
          </w:p>
        </w:tc>
        <w:tc>
          <w:tcPr>
            <w:tcW w:w="680" w:type="dxa"/>
            <w:tcBorders>
              <w:top w:val="dotted" w:sz="4" w:space="0" w:color="AAABD6"/>
              <w:left w:val="single" w:sz="4" w:space="0" w:color="AAABD6"/>
              <w:bottom w:val="dotted" w:sz="4" w:space="0" w:color="AAABD6"/>
              <w:right w:val="single" w:sz="4" w:space="0" w:color="AAABD6"/>
            </w:tcBorders>
          </w:tcPr>
          <w:p w14:paraId="58FA6558"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477</w:t>
            </w:r>
          </w:p>
        </w:tc>
        <w:tc>
          <w:tcPr>
            <w:tcW w:w="680" w:type="dxa"/>
            <w:tcBorders>
              <w:top w:val="dotted" w:sz="4" w:space="0" w:color="AAABD6"/>
              <w:left w:val="single" w:sz="4" w:space="0" w:color="AAABD6"/>
              <w:bottom w:val="dotted" w:sz="4" w:space="0" w:color="AAABD6"/>
              <w:right w:val="single" w:sz="4" w:space="0" w:color="AAABD6"/>
            </w:tcBorders>
          </w:tcPr>
          <w:p w14:paraId="190ED4D0"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484</w:t>
            </w:r>
          </w:p>
        </w:tc>
        <w:tc>
          <w:tcPr>
            <w:tcW w:w="680" w:type="dxa"/>
            <w:tcBorders>
              <w:top w:val="dotted" w:sz="4" w:space="0" w:color="AAABD6"/>
              <w:left w:val="single" w:sz="4" w:space="0" w:color="AAABD6"/>
              <w:bottom w:val="dotted" w:sz="4" w:space="0" w:color="AAABD6"/>
              <w:right w:val="single" w:sz="4" w:space="0" w:color="AAABD6"/>
            </w:tcBorders>
          </w:tcPr>
          <w:p w14:paraId="6906DBFE"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491</w:t>
            </w:r>
          </w:p>
        </w:tc>
        <w:tc>
          <w:tcPr>
            <w:tcW w:w="680" w:type="dxa"/>
            <w:tcBorders>
              <w:top w:val="dotted" w:sz="4" w:space="0" w:color="AAABD6"/>
              <w:left w:val="single" w:sz="4" w:space="0" w:color="AAABD6"/>
              <w:bottom w:val="dotted" w:sz="4" w:space="0" w:color="AAABD6"/>
              <w:right w:val="single" w:sz="4" w:space="0" w:color="AAABD6"/>
            </w:tcBorders>
          </w:tcPr>
          <w:p w14:paraId="47329476"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498</w:t>
            </w:r>
          </w:p>
        </w:tc>
        <w:tc>
          <w:tcPr>
            <w:tcW w:w="680" w:type="dxa"/>
            <w:tcBorders>
              <w:top w:val="dotted" w:sz="4" w:space="0" w:color="AAABD6"/>
              <w:left w:val="single" w:sz="4" w:space="0" w:color="AAABD6"/>
              <w:bottom w:val="dotted" w:sz="4" w:space="0" w:color="AAABD6"/>
              <w:right w:val="single" w:sz="4" w:space="0" w:color="AAABD6"/>
            </w:tcBorders>
          </w:tcPr>
          <w:p w14:paraId="7A765000"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505</w:t>
            </w:r>
          </w:p>
        </w:tc>
      </w:tr>
      <w:tr w:rsidR="00F02371" w:rsidRPr="00100F0A" w14:paraId="46952C49"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bottom w:val="single" w:sz="4" w:space="0" w:color="AAABD6"/>
              <w:right w:val="single" w:sz="4" w:space="0" w:color="AAABD6"/>
            </w:tcBorders>
          </w:tcPr>
          <w:p w14:paraId="0B7D9B54" w14:textId="77777777" w:rsidR="00F02371" w:rsidRPr="00100F0A" w:rsidRDefault="00F02371" w:rsidP="002B2606">
            <w:pPr>
              <w:rPr>
                <w:sz w:val="16"/>
                <w:szCs w:val="16"/>
              </w:rPr>
            </w:pPr>
          </w:p>
        </w:tc>
        <w:tc>
          <w:tcPr>
            <w:tcW w:w="675" w:type="dxa"/>
            <w:tcBorders>
              <w:top w:val="dotted" w:sz="4" w:space="0" w:color="AAABD6"/>
              <w:left w:val="single" w:sz="4" w:space="0" w:color="AAABD6"/>
              <w:bottom w:val="single" w:sz="4" w:space="0" w:color="AAABD6"/>
              <w:right w:val="single" w:sz="4" w:space="0" w:color="AAABD6"/>
            </w:tcBorders>
          </w:tcPr>
          <w:p w14:paraId="6CBCABCC" w14:textId="77777777" w:rsidR="00F02371" w:rsidRPr="00100F0A" w:rsidRDefault="00F02371" w:rsidP="002B260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WA</w:t>
            </w:r>
          </w:p>
        </w:tc>
        <w:tc>
          <w:tcPr>
            <w:tcW w:w="1418" w:type="dxa"/>
            <w:vMerge/>
            <w:tcBorders>
              <w:left w:val="single" w:sz="4" w:space="0" w:color="AAABD6"/>
              <w:bottom w:val="single" w:sz="4" w:space="0" w:color="AAABD6"/>
              <w:right w:val="single" w:sz="4" w:space="0" w:color="AAABD6"/>
            </w:tcBorders>
          </w:tcPr>
          <w:p w14:paraId="1D17997D" w14:textId="77777777" w:rsidR="00F02371" w:rsidRPr="00100F0A" w:rsidRDefault="00F02371" w:rsidP="002B2606">
            <w:pPr>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gridSpan w:val="2"/>
            <w:vMerge/>
            <w:tcBorders>
              <w:left w:val="single" w:sz="4" w:space="0" w:color="AAABD6"/>
              <w:bottom w:val="single" w:sz="4" w:space="0" w:color="AAABD6"/>
              <w:right w:val="single" w:sz="4" w:space="0" w:color="AAABD6"/>
            </w:tcBorders>
          </w:tcPr>
          <w:p w14:paraId="0A922B54" w14:textId="260D56DE"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10" w:type="dxa"/>
            <w:tcBorders>
              <w:top w:val="dotted" w:sz="4" w:space="0" w:color="AAABD6"/>
              <w:left w:val="single" w:sz="4" w:space="0" w:color="AAABD6"/>
              <w:bottom w:val="single" w:sz="4" w:space="0" w:color="AAABD6"/>
              <w:right w:val="single" w:sz="4" w:space="0" w:color="AAABD6"/>
            </w:tcBorders>
          </w:tcPr>
          <w:p w14:paraId="2494FB93"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 </w:t>
            </w:r>
          </w:p>
        </w:tc>
        <w:tc>
          <w:tcPr>
            <w:tcW w:w="680" w:type="dxa"/>
            <w:tcBorders>
              <w:top w:val="dotted" w:sz="4" w:space="0" w:color="AAABD6"/>
              <w:left w:val="single" w:sz="4" w:space="0" w:color="AAABD6"/>
              <w:bottom w:val="single" w:sz="4" w:space="0" w:color="AAABD6"/>
              <w:right w:val="single" w:sz="4" w:space="0" w:color="AAABD6"/>
            </w:tcBorders>
          </w:tcPr>
          <w:p w14:paraId="028409E0"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189</w:t>
            </w:r>
          </w:p>
        </w:tc>
        <w:tc>
          <w:tcPr>
            <w:tcW w:w="680" w:type="dxa"/>
            <w:tcBorders>
              <w:top w:val="dotted" w:sz="4" w:space="0" w:color="AAABD6"/>
              <w:left w:val="single" w:sz="4" w:space="0" w:color="AAABD6"/>
              <w:bottom w:val="single" w:sz="4" w:space="0" w:color="AAABD6"/>
              <w:right w:val="single" w:sz="4" w:space="0" w:color="AAABD6"/>
            </w:tcBorders>
          </w:tcPr>
          <w:p w14:paraId="1E7B9731"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192</w:t>
            </w:r>
          </w:p>
        </w:tc>
        <w:tc>
          <w:tcPr>
            <w:tcW w:w="680" w:type="dxa"/>
            <w:tcBorders>
              <w:top w:val="dotted" w:sz="4" w:space="0" w:color="AAABD6"/>
              <w:left w:val="single" w:sz="4" w:space="0" w:color="AAABD6"/>
              <w:bottom w:val="single" w:sz="4" w:space="0" w:color="AAABD6"/>
              <w:right w:val="single" w:sz="4" w:space="0" w:color="AAABD6"/>
            </w:tcBorders>
          </w:tcPr>
          <w:p w14:paraId="0663EADA"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195</w:t>
            </w:r>
          </w:p>
        </w:tc>
        <w:tc>
          <w:tcPr>
            <w:tcW w:w="680" w:type="dxa"/>
            <w:tcBorders>
              <w:top w:val="dotted" w:sz="4" w:space="0" w:color="AAABD6"/>
              <w:left w:val="single" w:sz="4" w:space="0" w:color="AAABD6"/>
              <w:bottom w:val="single" w:sz="4" w:space="0" w:color="AAABD6"/>
              <w:right w:val="single" w:sz="4" w:space="0" w:color="AAABD6"/>
            </w:tcBorders>
          </w:tcPr>
          <w:p w14:paraId="42357294"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197</w:t>
            </w:r>
          </w:p>
        </w:tc>
        <w:tc>
          <w:tcPr>
            <w:tcW w:w="680" w:type="dxa"/>
            <w:tcBorders>
              <w:top w:val="dotted" w:sz="4" w:space="0" w:color="AAABD6"/>
              <w:left w:val="single" w:sz="4" w:space="0" w:color="AAABD6"/>
              <w:bottom w:val="single" w:sz="4" w:space="0" w:color="AAABD6"/>
              <w:right w:val="single" w:sz="4" w:space="0" w:color="AAABD6"/>
            </w:tcBorders>
          </w:tcPr>
          <w:p w14:paraId="17797940"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200</w:t>
            </w:r>
          </w:p>
        </w:tc>
        <w:tc>
          <w:tcPr>
            <w:tcW w:w="680" w:type="dxa"/>
            <w:tcBorders>
              <w:top w:val="dotted" w:sz="4" w:space="0" w:color="AAABD6"/>
              <w:left w:val="single" w:sz="4" w:space="0" w:color="AAABD6"/>
              <w:bottom w:val="single" w:sz="4" w:space="0" w:color="AAABD6"/>
              <w:right w:val="single" w:sz="4" w:space="0" w:color="AAABD6"/>
            </w:tcBorders>
          </w:tcPr>
          <w:p w14:paraId="2A2D4BCA"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203</w:t>
            </w:r>
          </w:p>
        </w:tc>
        <w:tc>
          <w:tcPr>
            <w:tcW w:w="680" w:type="dxa"/>
            <w:tcBorders>
              <w:top w:val="dotted" w:sz="4" w:space="0" w:color="AAABD6"/>
              <w:left w:val="single" w:sz="4" w:space="0" w:color="AAABD6"/>
              <w:bottom w:val="single" w:sz="4" w:space="0" w:color="AAABD6"/>
              <w:right w:val="single" w:sz="4" w:space="0" w:color="AAABD6"/>
            </w:tcBorders>
          </w:tcPr>
          <w:p w14:paraId="26C15F6C"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206</w:t>
            </w:r>
          </w:p>
        </w:tc>
        <w:tc>
          <w:tcPr>
            <w:tcW w:w="680" w:type="dxa"/>
            <w:tcBorders>
              <w:top w:val="dotted" w:sz="4" w:space="0" w:color="AAABD6"/>
              <w:left w:val="single" w:sz="4" w:space="0" w:color="AAABD6"/>
              <w:bottom w:val="single" w:sz="4" w:space="0" w:color="AAABD6"/>
              <w:right w:val="single" w:sz="4" w:space="0" w:color="AAABD6"/>
            </w:tcBorders>
          </w:tcPr>
          <w:p w14:paraId="6376804F"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209</w:t>
            </w:r>
          </w:p>
        </w:tc>
        <w:tc>
          <w:tcPr>
            <w:tcW w:w="680" w:type="dxa"/>
            <w:tcBorders>
              <w:top w:val="dotted" w:sz="4" w:space="0" w:color="AAABD6"/>
              <w:left w:val="single" w:sz="4" w:space="0" w:color="AAABD6"/>
              <w:bottom w:val="single" w:sz="4" w:space="0" w:color="AAABD6"/>
              <w:right w:val="single" w:sz="4" w:space="0" w:color="AAABD6"/>
            </w:tcBorders>
          </w:tcPr>
          <w:p w14:paraId="54253AE1"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212</w:t>
            </w:r>
          </w:p>
        </w:tc>
        <w:tc>
          <w:tcPr>
            <w:tcW w:w="680" w:type="dxa"/>
            <w:tcBorders>
              <w:top w:val="dotted" w:sz="4" w:space="0" w:color="AAABD6"/>
              <w:left w:val="single" w:sz="4" w:space="0" w:color="AAABD6"/>
              <w:bottom w:val="single" w:sz="4" w:space="0" w:color="AAABD6"/>
              <w:right w:val="single" w:sz="4" w:space="0" w:color="AAABD6"/>
            </w:tcBorders>
          </w:tcPr>
          <w:p w14:paraId="33509DF5"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215</w:t>
            </w:r>
          </w:p>
        </w:tc>
        <w:tc>
          <w:tcPr>
            <w:tcW w:w="680" w:type="dxa"/>
            <w:tcBorders>
              <w:top w:val="dotted" w:sz="4" w:space="0" w:color="AAABD6"/>
              <w:left w:val="single" w:sz="4" w:space="0" w:color="AAABD6"/>
              <w:bottom w:val="single" w:sz="4" w:space="0" w:color="AAABD6"/>
              <w:right w:val="single" w:sz="4" w:space="0" w:color="AAABD6"/>
            </w:tcBorders>
          </w:tcPr>
          <w:p w14:paraId="36C8A023"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218</w:t>
            </w:r>
          </w:p>
        </w:tc>
        <w:tc>
          <w:tcPr>
            <w:tcW w:w="680" w:type="dxa"/>
            <w:tcBorders>
              <w:top w:val="dotted" w:sz="4" w:space="0" w:color="AAABD6"/>
              <w:left w:val="single" w:sz="4" w:space="0" w:color="AAABD6"/>
              <w:bottom w:val="single" w:sz="4" w:space="0" w:color="AAABD6"/>
              <w:right w:val="single" w:sz="4" w:space="0" w:color="AAABD6"/>
            </w:tcBorders>
          </w:tcPr>
          <w:p w14:paraId="49B43A47"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221</w:t>
            </w:r>
          </w:p>
        </w:tc>
        <w:tc>
          <w:tcPr>
            <w:tcW w:w="680" w:type="dxa"/>
            <w:tcBorders>
              <w:top w:val="dotted" w:sz="4" w:space="0" w:color="AAABD6"/>
              <w:left w:val="single" w:sz="4" w:space="0" w:color="AAABD6"/>
              <w:bottom w:val="single" w:sz="4" w:space="0" w:color="AAABD6"/>
              <w:right w:val="single" w:sz="4" w:space="0" w:color="AAABD6"/>
            </w:tcBorders>
          </w:tcPr>
          <w:p w14:paraId="222C8E49"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224</w:t>
            </w:r>
          </w:p>
        </w:tc>
        <w:tc>
          <w:tcPr>
            <w:tcW w:w="680" w:type="dxa"/>
            <w:tcBorders>
              <w:top w:val="dotted" w:sz="4" w:space="0" w:color="AAABD6"/>
              <w:left w:val="single" w:sz="4" w:space="0" w:color="AAABD6"/>
              <w:bottom w:val="single" w:sz="4" w:space="0" w:color="AAABD6"/>
              <w:right w:val="single" w:sz="4" w:space="0" w:color="AAABD6"/>
            </w:tcBorders>
          </w:tcPr>
          <w:p w14:paraId="225B4DDA"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227</w:t>
            </w:r>
          </w:p>
        </w:tc>
        <w:tc>
          <w:tcPr>
            <w:tcW w:w="680" w:type="dxa"/>
            <w:tcBorders>
              <w:top w:val="dotted" w:sz="4" w:space="0" w:color="AAABD6"/>
              <w:left w:val="single" w:sz="4" w:space="0" w:color="AAABD6"/>
              <w:bottom w:val="single" w:sz="4" w:space="0" w:color="AAABD6"/>
              <w:right w:val="single" w:sz="4" w:space="0" w:color="AAABD6"/>
            </w:tcBorders>
          </w:tcPr>
          <w:p w14:paraId="23C67B0A"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230</w:t>
            </w:r>
          </w:p>
        </w:tc>
        <w:tc>
          <w:tcPr>
            <w:tcW w:w="680" w:type="dxa"/>
            <w:tcBorders>
              <w:top w:val="dotted" w:sz="4" w:space="0" w:color="AAABD6"/>
              <w:left w:val="single" w:sz="4" w:space="0" w:color="AAABD6"/>
              <w:bottom w:val="single" w:sz="4" w:space="0" w:color="AAABD6"/>
              <w:right w:val="single" w:sz="4" w:space="0" w:color="AAABD6"/>
            </w:tcBorders>
          </w:tcPr>
          <w:p w14:paraId="106AF61E"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234</w:t>
            </w:r>
          </w:p>
        </w:tc>
        <w:tc>
          <w:tcPr>
            <w:tcW w:w="680" w:type="dxa"/>
            <w:tcBorders>
              <w:top w:val="dotted" w:sz="4" w:space="0" w:color="AAABD6"/>
              <w:left w:val="single" w:sz="4" w:space="0" w:color="AAABD6"/>
              <w:bottom w:val="single" w:sz="4" w:space="0" w:color="AAABD6"/>
              <w:right w:val="single" w:sz="4" w:space="0" w:color="AAABD6"/>
            </w:tcBorders>
          </w:tcPr>
          <w:p w14:paraId="72709B50"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237</w:t>
            </w:r>
          </w:p>
        </w:tc>
        <w:tc>
          <w:tcPr>
            <w:tcW w:w="680" w:type="dxa"/>
            <w:tcBorders>
              <w:top w:val="dotted" w:sz="4" w:space="0" w:color="AAABD6"/>
              <w:left w:val="single" w:sz="4" w:space="0" w:color="AAABD6"/>
              <w:bottom w:val="single" w:sz="4" w:space="0" w:color="AAABD6"/>
              <w:right w:val="single" w:sz="4" w:space="0" w:color="AAABD6"/>
            </w:tcBorders>
          </w:tcPr>
          <w:p w14:paraId="650331AA" w14:textId="77777777" w:rsidR="00F02371" w:rsidRPr="00100F0A" w:rsidRDefault="00F02371" w:rsidP="002B260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240</w:t>
            </w:r>
          </w:p>
        </w:tc>
      </w:tr>
    </w:tbl>
    <w:p w14:paraId="63D0CB14" w14:textId="77777777" w:rsidR="00736026" w:rsidRPr="00100F0A" w:rsidRDefault="00736026" w:rsidP="00736026">
      <w:pPr>
        <w:pStyle w:val="BodyText"/>
      </w:pPr>
    </w:p>
    <w:p w14:paraId="6E8BB907" w14:textId="77777777" w:rsidR="00712CEA" w:rsidRPr="00100F0A" w:rsidRDefault="00712CEA" w:rsidP="00712CEA">
      <w:pPr>
        <w:pStyle w:val="BodyText"/>
        <w:sectPr w:rsidR="00712CEA" w:rsidRPr="00100F0A" w:rsidSect="002169F6">
          <w:pgSz w:w="16840" w:h="11907" w:orient="landscape" w:code="9"/>
          <w:pgMar w:top="1077" w:right="1440" w:bottom="1797" w:left="1440" w:header="709" w:footer="709" w:gutter="0"/>
          <w:cols w:space="708"/>
          <w:docGrid w:linePitch="360"/>
        </w:sectPr>
      </w:pPr>
    </w:p>
    <w:p w14:paraId="7FCDC8B3" w14:textId="7A0F0F77" w:rsidR="00712CEA" w:rsidRPr="00100F0A" w:rsidRDefault="00712CEA" w:rsidP="00712CEA">
      <w:pPr>
        <w:pStyle w:val="Caption"/>
      </w:pPr>
      <w:bookmarkStart w:id="225" w:name="_Toc13225598"/>
      <w:r w:rsidRPr="00100F0A">
        <w:t xml:space="preserve">Figure </w:t>
      </w:r>
      <w:r w:rsidRPr="00100F0A">
        <w:rPr>
          <w:noProof/>
        </w:rPr>
        <w:fldChar w:fldCharType="begin"/>
      </w:r>
      <w:r w:rsidRPr="00100F0A">
        <w:rPr>
          <w:noProof/>
        </w:rPr>
        <w:instrText xml:space="preserve"> SEQ Figure \* ARABIC </w:instrText>
      </w:r>
      <w:r w:rsidRPr="00100F0A">
        <w:rPr>
          <w:noProof/>
        </w:rPr>
        <w:fldChar w:fldCharType="separate"/>
      </w:r>
      <w:r w:rsidR="00EB634D">
        <w:rPr>
          <w:noProof/>
        </w:rPr>
        <w:t>25</w:t>
      </w:r>
      <w:r w:rsidRPr="00100F0A">
        <w:rPr>
          <w:noProof/>
        </w:rPr>
        <w:fldChar w:fldCharType="end"/>
      </w:r>
      <w:r w:rsidR="00AD2F76">
        <w:rPr>
          <w:noProof/>
        </w:rPr>
        <w:t>:</w:t>
      </w:r>
      <w:r w:rsidRPr="00100F0A">
        <w:tab/>
        <w:t>Best, high and low national projection estimates of PFOS contaminated biosolids waste to 2037</w:t>
      </w:r>
      <w:bookmarkEnd w:id="225"/>
    </w:p>
    <w:p w14:paraId="14996E1F" w14:textId="3523478A" w:rsidR="00712CEA" w:rsidRDefault="00712CEA" w:rsidP="00712CEA">
      <w:pPr>
        <w:pStyle w:val="BodyText"/>
      </w:pPr>
      <w:r w:rsidRPr="00100F0A">
        <w:rPr>
          <w:noProof/>
          <w:lang w:eastAsia="en-AU"/>
        </w:rPr>
        <w:drawing>
          <wp:inline distT="0" distB="0" distL="0" distR="0" wp14:anchorId="6D77B34E" wp14:editId="48844A6E">
            <wp:extent cx="5735955" cy="2047240"/>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5955" cy="2047240"/>
                    </a:xfrm>
                    <a:prstGeom prst="rect">
                      <a:avLst/>
                    </a:prstGeom>
                  </pic:spPr>
                </pic:pic>
              </a:graphicData>
            </a:graphic>
          </wp:inline>
        </w:drawing>
      </w:r>
    </w:p>
    <w:p w14:paraId="257C4FE7" w14:textId="2D12116F" w:rsidR="00E31EA1" w:rsidRDefault="00E31EA1" w:rsidP="00712CEA">
      <w:pPr>
        <w:pStyle w:val="BodyText"/>
      </w:pPr>
    </w:p>
    <w:p w14:paraId="356BA200" w14:textId="7EFF012B" w:rsidR="002169F6" w:rsidRPr="00100F0A" w:rsidRDefault="002169F6" w:rsidP="002169F6">
      <w:pPr>
        <w:pStyle w:val="Heading3"/>
      </w:pPr>
      <w:bookmarkStart w:id="226" w:name="_Ref530074783"/>
      <w:r w:rsidRPr="00100F0A">
        <w:t>M270b PFAS contaminated soils</w:t>
      </w:r>
      <w:bookmarkEnd w:id="226"/>
    </w:p>
    <w:p w14:paraId="7D329BC9" w14:textId="37464003" w:rsidR="002169F6" w:rsidRPr="00100F0A" w:rsidRDefault="002169F6" w:rsidP="002169F6">
      <w:r w:rsidRPr="00100F0A">
        <w:t xml:space="preserve">The waste group </w:t>
      </w:r>
      <w:r w:rsidRPr="00100F0A">
        <w:rPr>
          <w:i/>
        </w:rPr>
        <w:t xml:space="preserve">M270 </w:t>
      </w:r>
      <w:r w:rsidRPr="00100F0A">
        <w:rPr>
          <w:rFonts w:eastAsia="Times New Roman" w:cs="Calibri"/>
          <w:i/>
          <w:iCs/>
          <w:color w:val="000000"/>
        </w:rPr>
        <w:t>Per- and poly-fluoroalkyl substances (PFAS) contaminated materials, including waste PFAS- containing products and contaminated containers,</w:t>
      </w:r>
      <w:r w:rsidRPr="00100F0A">
        <w:rPr>
          <w:i/>
        </w:rPr>
        <w:t xml:space="preserve"> </w:t>
      </w:r>
      <w:r w:rsidRPr="00100F0A">
        <w:t xml:space="preserve">has been split into three sub-groups for projection purposes, on the basis that each type of PFAS waste is different in how it arises and poses different management challenges. </w:t>
      </w:r>
      <w:r w:rsidRPr="00100F0A">
        <w:rPr>
          <w:i/>
        </w:rPr>
        <w:t xml:space="preserve">M270b </w:t>
      </w:r>
      <w:r w:rsidRPr="00100F0A">
        <w:rPr>
          <w:rFonts w:eastAsia="Times New Roman" w:cs="Calibri"/>
          <w:i/>
          <w:iCs/>
          <w:color w:val="000000"/>
        </w:rPr>
        <w:t xml:space="preserve">Per- and poly-fluoroalkyl substances (PFAS) contaminated </w:t>
      </w:r>
      <w:r w:rsidRPr="00100F0A">
        <w:rPr>
          <w:i/>
        </w:rPr>
        <w:t>soils</w:t>
      </w:r>
      <w:r w:rsidRPr="00100F0A">
        <w:t xml:space="preserve"> is the subject of this section – the focus is more generally on PFAS rather than PFOS alone because the former is the subject of the PFAS NEMP, which triggers management actions for PFAS beyond just PFOS.</w:t>
      </w:r>
    </w:p>
    <w:p w14:paraId="0F92C249" w14:textId="3494CCF4" w:rsidR="002169F6" w:rsidRPr="00100F0A" w:rsidRDefault="002169F6" w:rsidP="002169F6">
      <w:pPr>
        <w:rPr>
          <w:color w:val="080808"/>
        </w:rPr>
      </w:pPr>
    </w:p>
    <w:p w14:paraId="0C342E09" w14:textId="03134A2F" w:rsidR="002169F6" w:rsidRPr="00100F0A" w:rsidRDefault="002169F6" w:rsidP="002169F6">
      <w:pPr>
        <w:rPr>
          <w:color w:val="080808"/>
        </w:rPr>
      </w:pPr>
      <w:r w:rsidRPr="00100F0A">
        <w:rPr>
          <w:color w:val="080808"/>
        </w:rPr>
        <w:t>Soils contaminated in PFOS and broader PFAS chemicals are a major concern and driver of the PFAS NEMP process. Volumes are likely to be very large, due to the widespread historical use of PFOS-based firefighting foams, particularly at military, airport, major hazard facilities and other sites where firefighting training, testing and actual fire management has taken place.</w:t>
      </w:r>
    </w:p>
    <w:p w14:paraId="1611A8DF" w14:textId="3E88248B" w:rsidR="008052E3" w:rsidRPr="00100F0A" w:rsidRDefault="008052E3" w:rsidP="002169F6">
      <w:pPr>
        <w:rPr>
          <w:color w:val="080808"/>
        </w:rPr>
      </w:pPr>
    </w:p>
    <w:p w14:paraId="03FC4EB1" w14:textId="77777777" w:rsidR="00061EA7" w:rsidRPr="00100F0A" w:rsidRDefault="00061EA7" w:rsidP="00061EA7">
      <w:pPr>
        <w:pStyle w:val="Heading4"/>
        <w:rPr>
          <w:b w:val="0"/>
        </w:rPr>
      </w:pPr>
      <w:r w:rsidRPr="00100F0A">
        <w:rPr>
          <w:b w:val="0"/>
        </w:rPr>
        <w:t xml:space="preserve">PFAS contaminated soils – a large, new and current addition to the market  </w:t>
      </w:r>
    </w:p>
    <w:p w14:paraId="01639A92" w14:textId="5E72B65A" w:rsidR="00061EA7" w:rsidRPr="00100F0A" w:rsidRDefault="00061EA7" w:rsidP="00061EA7">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before="120"/>
        <w:rPr>
          <w:sz w:val="20"/>
          <w:szCs w:val="20"/>
        </w:rPr>
      </w:pPr>
      <w:r w:rsidRPr="00100F0A">
        <w:rPr>
          <w:sz w:val="20"/>
          <w:szCs w:val="20"/>
        </w:rPr>
        <w:t xml:space="preserve">Aqueous film forming foams (AFFF) that contain PFOS have been widely used at sites such as airports, oil refineries, military bases, firefighting training facilities and other </w:t>
      </w:r>
      <w:r w:rsidR="00E31EA1">
        <w:rPr>
          <w:sz w:val="20"/>
          <w:szCs w:val="20"/>
        </w:rPr>
        <w:t>m</w:t>
      </w:r>
      <w:r w:rsidRPr="00100F0A">
        <w:rPr>
          <w:sz w:val="20"/>
          <w:szCs w:val="20"/>
        </w:rPr>
        <w:t xml:space="preserve">ajor </w:t>
      </w:r>
      <w:r w:rsidR="00E31EA1">
        <w:rPr>
          <w:sz w:val="20"/>
          <w:szCs w:val="20"/>
        </w:rPr>
        <w:t>h</w:t>
      </w:r>
      <w:r w:rsidRPr="00100F0A">
        <w:rPr>
          <w:sz w:val="20"/>
          <w:szCs w:val="20"/>
        </w:rPr>
        <w:t xml:space="preserve">azard </w:t>
      </w:r>
      <w:r w:rsidR="00E31EA1">
        <w:rPr>
          <w:sz w:val="20"/>
          <w:szCs w:val="20"/>
        </w:rPr>
        <w:t>f</w:t>
      </w:r>
      <w:r w:rsidRPr="00100F0A">
        <w:rPr>
          <w:sz w:val="20"/>
          <w:szCs w:val="20"/>
        </w:rPr>
        <w:t xml:space="preserve">acilities (as defined in </w:t>
      </w:r>
      <w:r w:rsidR="00E31EA1">
        <w:rPr>
          <w:sz w:val="20"/>
          <w:szCs w:val="20"/>
        </w:rPr>
        <w:t>w</w:t>
      </w:r>
      <w:r w:rsidRPr="00100F0A">
        <w:rPr>
          <w:sz w:val="20"/>
          <w:szCs w:val="20"/>
        </w:rPr>
        <w:t xml:space="preserve">orkplace </w:t>
      </w:r>
      <w:r w:rsidR="00E31EA1">
        <w:rPr>
          <w:sz w:val="20"/>
          <w:szCs w:val="20"/>
        </w:rPr>
        <w:t>h</w:t>
      </w:r>
      <w:r w:rsidRPr="00100F0A">
        <w:rPr>
          <w:sz w:val="20"/>
          <w:szCs w:val="20"/>
        </w:rPr>
        <w:t xml:space="preserve">ealth and </w:t>
      </w:r>
      <w:r w:rsidR="00E31EA1">
        <w:rPr>
          <w:sz w:val="20"/>
          <w:szCs w:val="20"/>
        </w:rPr>
        <w:t>s</w:t>
      </w:r>
      <w:r w:rsidRPr="00100F0A">
        <w:rPr>
          <w:sz w:val="20"/>
          <w:szCs w:val="20"/>
        </w:rPr>
        <w:t>afety legislation) for emergency and training purposes. Training exercises may occur on a weekly basis or even several times per week depending on the site. At sites where fire training drills occur, these are usually conducted on concrete slab training pads. Hydrocarbon-fuel (e.g. kerosene) is ignited and firefighters are then employed to extinguish the fire. The resultant exposure has led to the training ground infrastructure being contaminated by residual chemicals from the fuels used and most significantly from the fire-fighting foams.</w:t>
      </w:r>
    </w:p>
    <w:p w14:paraId="652D8457" w14:textId="329EE606" w:rsidR="00061EA7" w:rsidRPr="00100F0A" w:rsidRDefault="00061EA7" w:rsidP="00061EA7">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before="120"/>
        <w:rPr>
          <w:sz w:val="20"/>
          <w:szCs w:val="20"/>
        </w:rPr>
      </w:pPr>
      <w:r w:rsidRPr="00100F0A">
        <w:rPr>
          <w:sz w:val="20"/>
          <w:szCs w:val="20"/>
        </w:rPr>
        <w:t>PFOS contamination at these fire training grounds has bled into surrounding soil with run-off to surface water and seepage to groundwater causing large plumes of contamination. Th</w:t>
      </w:r>
      <w:r w:rsidR="00E31EA1">
        <w:rPr>
          <w:sz w:val="20"/>
          <w:szCs w:val="20"/>
        </w:rPr>
        <w:t>i</w:t>
      </w:r>
      <w:r w:rsidRPr="00100F0A">
        <w:rPr>
          <w:sz w:val="20"/>
          <w:szCs w:val="20"/>
        </w:rPr>
        <w:t>s contaminated soil ha</w:t>
      </w:r>
      <w:r w:rsidR="00E31EA1">
        <w:rPr>
          <w:sz w:val="20"/>
          <w:szCs w:val="20"/>
        </w:rPr>
        <w:t>s</w:t>
      </w:r>
      <w:r w:rsidRPr="00100F0A">
        <w:rPr>
          <w:sz w:val="20"/>
          <w:szCs w:val="20"/>
        </w:rPr>
        <w:t xml:space="preserve"> gained vastly increased regulatory attention in the last 2-3 years, as media reports of environmental and potential human health impacts from PFOS use have increased, starting with Oakey Army facility in </w:t>
      </w:r>
      <w:r w:rsidR="00FC25F6">
        <w:rPr>
          <w:sz w:val="20"/>
          <w:szCs w:val="20"/>
        </w:rPr>
        <w:t>Qld</w:t>
      </w:r>
      <w:r w:rsidRPr="00100F0A">
        <w:rPr>
          <w:sz w:val="20"/>
          <w:szCs w:val="20"/>
        </w:rPr>
        <w:t xml:space="preserve"> in 2010 and the Williamtown RAAF Base near Newcastle NSW in 2012.</w:t>
      </w:r>
    </w:p>
    <w:p w14:paraId="1E3AEB61" w14:textId="4B721B23" w:rsidR="00061EA7" w:rsidRPr="00100F0A" w:rsidRDefault="00061EA7" w:rsidP="00061EA7">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before="120"/>
        <w:rPr>
          <w:sz w:val="20"/>
          <w:szCs w:val="20"/>
        </w:rPr>
      </w:pPr>
      <w:r w:rsidRPr="00100F0A">
        <w:rPr>
          <w:sz w:val="20"/>
          <w:szCs w:val="20"/>
        </w:rPr>
        <w:t xml:space="preserve">Total estimates of PFOS-contaminated soil that may be present in Australia have not yet been made, or at least not on the public record. However, given the vast extent of the use of these foams, and the emerging large numbers of sites under investigation, volumes of PFAS-contaminated soil are likely </w:t>
      </w:r>
      <w:r w:rsidR="00387CBE" w:rsidRPr="00100F0A">
        <w:rPr>
          <w:sz w:val="20"/>
          <w:szCs w:val="20"/>
        </w:rPr>
        <w:t xml:space="preserve">to </w:t>
      </w:r>
      <w:r w:rsidRPr="00100F0A">
        <w:rPr>
          <w:sz w:val="20"/>
          <w:szCs w:val="20"/>
        </w:rPr>
        <w:t>arise in large quantities over the next decade.</w:t>
      </w:r>
    </w:p>
    <w:p w14:paraId="07EEB574" w14:textId="1206B284" w:rsidR="008052E3" w:rsidRPr="00100F0A" w:rsidRDefault="008052E3" w:rsidP="002169F6">
      <w:pPr>
        <w:rPr>
          <w:color w:val="080808"/>
        </w:rPr>
      </w:pPr>
    </w:p>
    <w:p w14:paraId="48D6B5A2" w14:textId="77777777" w:rsidR="002169F6" w:rsidRPr="00100F0A" w:rsidRDefault="002169F6" w:rsidP="002169F6">
      <w:pPr>
        <w:rPr>
          <w:color w:val="080808"/>
        </w:rPr>
      </w:pPr>
    </w:p>
    <w:p w14:paraId="46A6ABA2" w14:textId="77777777" w:rsidR="008052E3" w:rsidRPr="00100F0A" w:rsidRDefault="008052E3">
      <w:pPr>
        <w:sectPr w:rsidR="008052E3" w:rsidRPr="00100F0A" w:rsidSect="008052E3">
          <w:pgSz w:w="11907" w:h="16840" w:code="9"/>
          <w:pgMar w:top="1440" w:right="1077" w:bottom="1440" w:left="1797" w:header="709" w:footer="709" w:gutter="0"/>
          <w:cols w:space="708"/>
          <w:docGrid w:linePitch="360"/>
        </w:sectPr>
      </w:pPr>
    </w:p>
    <w:p w14:paraId="7002E1B0" w14:textId="3626F87B" w:rsidR="002169F6" w:rsidRPr="00100F0A" w:rsidRDefault="002169F6" w:rsidP="002169F6">
      <w:pPr>
        <w:pStyle w:val="Heading3-nonumber"/>
      </w:pPr>
      <w:r w:rsidRPr="00100F0A">
        <w:t>Summary analysis</w:t>
      </w:r>
    </w:p>
    <w:tbl>
      <w:tblPr>
        <w:tblStyle w:val="BETable11"/>
        <w:tblW w:w="5053" w:type="pct"/>
        <w:tblInd w:w="-147" w:type="dxa"/>
        <w:tblBorders>
          <w:top w:val="single" w:sz="4" w:space="0" w:color="AAABD6"/>
          <w:left w:val="single" w:sz="4" w:space="0" w:color="AAABD6"/>
          <w:bottom w:val="single" w:sz="4" w:space="0" w:color="AAABD6"/>
          <w:right w:val="single" w:sz="4" w:space="0" w:color="AAABD6"/>
          <w:insideH w:val="single" w:sz="4" w:space="0" w:color="AAABD6"/>
          <w:insideV w:val="single" w:sz="4" w:space="0" w:color="AAABD6"/>
        </w:tblBorders>
        <w:tblLook w:val="04A0" w:firstRow="1" w:lastRow="0" w:firstColumn="1" w:lastColumn="0" w:noHBand="0" w:noVBand="1"/>
      </w:tblPr>
      <w:tblGrid>
        <w:gridCol w:w="1115"/>
        <w:gridCol w:w="4557"/>
        <w:gridCol w:w="2959"/>
        <w:gridCol w:w="5467"/>
      </w:tblGrid>
      <w:tr w:rsidR="00061EA7" w:rsidRPr="00100F0A" w14:paraId="0BAB8247" w14:textId="77777777" w:rsidTr="00061E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tcBorders>
              <w:top w:val="nil"/>
              <w:left w:val="single" w:sz="4" w:space="0" w:color="AAABD6"/>
              <w:bottom w:val="nil"/>
            </w:tcBorders>
            <w:shd w:val="clear" w:color="auto" w:fill="AAABD6"/>
          </w:tcPr>
          <w:p w14:paraId="399914F9" w14:textId="77777777" w:rsidR="002169F6" w:rsidRPr="00100F0A" w:rsidRDefault="002169F6" w:rsidP="002169F6">
            <w:pPr>
              <w:pStyle w:val="BodyText"/>
              <w:rPr>
                <w:color w:val="FFFFFF" w:themeColor="background1"/>
              </w:rPr>
            </w:pPr>
            <w:r w:rsidRPr="00100F0A">
              <w:rPr>
                <w:color w:val="FFFFFF" w:themeColor="background1"/>
              </w:rPr>
              <w:t>Industry sources</w:t>
            </w:r>
          </w:p>
        </w:tc>
        <w:tc>
          <w:tcPr>
            <w:tcW w:w="1616" w:type="pct"/>
            <w:tcBorders>
              <w:top w:val="nil"/>
              <w:bottom w:val="nil"/>
            </w:tcBorders>
            <w:shd w:val="clear" w:color="auto" w:fill="AAABD6"/>
          </w:tcPr>
          <w:p w14:paraId="40C66DFF" w14:textId="77777777" w:rsidR="002169F6" w:rsidRPr="00100F0A" w:rsidRDefault="002169F6" w:rsidP="002169F6">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Considerations</w:t>
            </w:r>
          </w:p>
        </w:tc>
        <w:tc>
          <w:tcPr>
            <w:tcW w:w="1049" w:type="pct"/>
            <w:tcBorders>
              <w:top w:val="nil"/>
              <w:bottom w:val="nil"/>
            </w:tcBorders>
            <w:shd w:val="clear" w:color="auto" w:fill="AAABD6"/>
          </w:tcPr>
          <w:p w14:paraId="1776ABCD" w14:textId="77777777" w:rsidR="002169F6" w:rsidRPr="00100F0A" w:rsidRDefault="002169F6" w:rsidP="002169F6">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Comments</w:t>
            </w:r>
          </w:p>
        </w:tc>
        <w:tc>
          <w:tcPr>
            <w:tcW w:w="1939" w:type="pct"/>
            <w:tcBorders>
              <w:top w:val="nil"/>
              <w:bottom w:val="nil"/>
              <w:right w:val="single" w:sz="4" w:space="0" w:color="AAABD6"/>
            </w:tcBorders>
            <w:shd w:val="clear" w:color="auto" w:fill="AAABD6"/>
          </w:tcPr>
          <w:p w14:paraId="3EA99AFC" w14:textId="77777777" w:rsidR="002169F6" w:rsidRPr="00100F0A" w:rsidRDefault="002169F6" w:rsidP="002169F6">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r>
      <w:tr w:rsidR="00061EA7" w:rsidRPr="00100F0A" w14:paraId="3420F461" w14:textId="77777777" w:rsidTr="00061EA7">
        <w:tc>
          <w:tcPr>
            <w:cnfStyle w:val="001000000000" w:firstRow="0" w:lastRow="0" w:firstColumn="1" w:lastColumn="0" w:oddVBand="0" w:evenVBand="0" w:oddHBand="0" w:evenHBand="0" w:firstRowFirstColumn="0" w:firstRowLastColumn="0" w:lastRowFirstColumn="0" w:lastRowLastColumn="0"/>
            <w:tcW w:w="395" w:type="pct"/>
            <w:tcBorders>
              <w:top w:val="nil"/>
            </w:tcBorders>
          </w:tcPr>
          <w:p w14:paraId="4DB19145" w14:textId="14EB494D" w:rsidR="002169F6" w:rsidRPr="00100F0A" w:rsidRDefault="002169F6" w:rsidP="002169F6">
            <w:pPr>
              <w:pStyle w:val="BodyText"/>
            </w:pPr>
            <w:r w:rsidRPr="00100F0A">
              <w:t>Sources are widespread</w:t>
            </w:r>
            <w:r w:rsidR="00C31C60">
              <w:t>,</w:t>
            </w:r>
            <w:r w:rsidRPr="00100F0A">
              <w:t xml:space="preserve"> particularly from previous use of AFFF firefighting foams</w:t>
            </w:r>
          </w:p>
          <w:p w14:paraId="301ED5BD" w14:textId="77777777" w:rsidR="002169F6" w:rsidRPr="00100F0A" w:rsidRDefault="002169F6" w:rsidP="002169F6">
            <w:pPr>
              <w:rPr>
                <w:color w:val="000000"/>
              </w:rPr>
            </w:pPr>
          </w:p>
        </w:tc>
        <w:tc>
          <w:tcPr>
            <w:tcW w:w="1616" w:type="pct"/>
            <w:tcBorders>
              <w:top w:val="nil"/>
            </w:tcBorders>
          </w:tcPr>
          <w:p w14:paraId="29FA8D0D" w14:textId="269570B1" w:rsidR="002169F6" w:rsidRPr="00100F0A" w:rsidRDefault="002169F6" w:rsidP="00E96D3C">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PFAS-contaminated soil, concrete and other materials are the subject of current regulator attention, via the NEMP and subsequent state/ territory actions</w:t>
            </w:r>
          </w:p>
          <w:p w14:paraId="0C01F9F4" w14:textId="7A5E0388" w:rsidR="002169F6" w:rsidRPr="00100F0A" w:rsidRDefault="002169F6" w:rsidP="00E96D3C">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 xml:space="preserve">Soil contaminated in PFAS </w:t>
            </w:r>
            <w:r w:rsidR="00C31C60">
              <w:rPr>
                <w:color w:val="000000"/>
              </w:rPr>
              <w:t>is</w:t>
            </w:r>
            <w:r w:rsidRPr="00100F0A">
              <w:rPr>
                <w:color w:val="000000"/>
              </w:rPr>
              <w:t xml:space="preserve"> likely to be very high volume, given environmental values (HEPA 2018) are &lt;&lt;50</w:t>
            </w:r>
            <w:r w:rsidR="00C31C60">
              <w:rPr>
                <w:color w:val="000000"/>
              </w:rPr>
              <w:t xml:space="preserve"> </w:t>
            </w:r>
            <w:r w:rsidRPr="00100F0A">
              <w:rPr>
                <w:color w:val="000000"/>
              </w:rPr>
              <w:t>mg/kg</w:t>
            </w:r>
          </w:p>
          <w:p w14:paraId="42DEAB08" w14:textId="03BA6488" w:rsidR="002169F6" w:rsidRPr="00100F0A" w:rsidRDefault="002169F6" w:rsidP="00E96D3C">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Volumes are uncertain since the number of potentially affected sites is likely to be at least in the hundreds</w:t>
            </w:r>
          </w:p>
          <w:p w14:paraId="73541DE1" w14:textId="20AF6D15" w:rsidR="002169F6" w:rsidRPr="00100F0A" w:rsidRDefault="002169F6" w:rsidP="00E96D3C">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Potential volumes arising depend on levels of contamination within those soil/concrete volumes</w:t>
            </w:r>
          </w:p>
          <w:p w14:paraId="7D0B47FB" w14:textId="6FFB269A" w:rsidR="002169F6" w:rsidRPr="00100F0A" w:rsidRDefault="002169F6" w:rsidP="00E96D3C">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Contaminated waters would likely be remediated on</w:t>
            </w:r>
            <w:r w:rsidR="00C31C60">
              <w:rPr>
                <w:color w:val="000000"/>
              </w:rPr>
              <w:t>-</w:t>
            </w:r>
            <w:r w:rsidRPr="00100F0A">
              <w:rPr>
                <w:color w:val="000000"/>
              </w:rPr>
              <w:t>site using granular activated carbon (GAC) or similar media, creating waste GAC.</w:t>
            </w:r>
          </w:p>
        </w:tc>
        <w:tc>
          <w:tcPr>
            <w:tcW w:w="1049" w:type="pct"/>
            <w:tcBorders>
              <w:top w:val="nil"/>
            </w:tcBorders>
          </w:tcPr>
          <w:p w14:paraId="34D56324" w14:textId="04F87089"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A PFAS National Environmental Management Plan (NEMP) was agreed across Australian states and territories and the Commonwealth in 2018. Contaminated soils and their remediation/management are a major focus of the NEMP.</w:t>
            </w:r>
          </w:p>
          <w:p w14:paraId="794938C3"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pPr>
            <w:r w:rsidRPr="00100F0A">
              <w:rPr>
                <w:color w:val="000000"/>
              </w:rPr>
              <w:t>The NEMP makes Stockholm POP ratification somewhat redundant, since the NEMP’s existence provides the policy settings for dealing with PFAS contamination and waste issues. The new NEPM code M270, and its requirement for tracking, is proof of this.</w:t>
            </w:r>
          </w:p>
        </w:tc>
        <w:tc>
          <w:tcPr>
            <w:tcW w:w="1939" w:type="pct"/>
            <w:tcBorders>
              <w:top w:val="nil"/>
            </w:tcBorders>
          </w:tcPr>
          <w:p w14:paraId="09138522"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 xml:space="preserve">Assume regulatory implementation of NEMP begins 2020. </w:t>
            </w:r>
          </w:p>
          <w:p w14:paraId="4CE7193B" w14:textId="4682635E"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 xml:space="preserve">Scenarios are based on arisings estimates (see Starting point arising estimate </w:t>
            </w:r>
            <w:r w:rsidR="00387CBE" w:rsidRPr="00100F0A">
              <w:rPr>
                <w:color w:val="000000"/>
              </w:rPr>
              <w:t>below.</w:t>
            </w:r>
          </w:p>
          <w:p w14:paraId="58BFC8E5"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color w:val="000000"/>
              </w:rPr>
            </w:pPr>
          </w:p>
          <w:p w14:paraId="508AD893" w14:textId="6CFFF900" w:rsidR="002169F6" w:rsidRPr="00100F0A" w:rsidRDefault="002169F6" w:rsidP="00E96D3C">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A single stockpile in WA has 900,000</w:t>
            </w:r>
            <w:r w:rsidR="00555948">
              <w:rPr>
                <w:color w:val="000000"/>
              </w:rPr>
              <w:t xml:space="preserve"> </w:t>
            </w:r>
            <w:r w:rsidRPr="00100F0A">
              <w:rPr>
                <w:color w:val="000000"/>
              </w:rPr>
              <w:t>m</w:t>
            </w:r>
            <w:r w:rsidRPr="00100F0A">
              <w:rPr>
                <w:color w:val="000000"/>
                <w:vertAlign w:val="superscript"/>
              </w:rPr>
              <w:t>3</w:t>
            </w:r>
            <w:r w:rsidRPr="00100F0A">
              <w:rPr>
                <w:color w:val="000000"/>
              </w:rPr>
              <w:t>. NT report four known stockpiles of 100,000</w:t>
            </w:r>
            <w:r w:rsidR="006C17DC">
              <w:rPr>
                <w:color w:val="000000"/>
              </w:rPr>
              <w:t xml:space="preserve"> </w:t>
            </w:r>
            <w:r w:rsidRPr="00100F0A">
              <w:rPr>
                <w:color w:val="000000"/>
              </w:rPr>
              <w:t>m</w:t>
            </w:r>
            <w:r w:rsidRPr="00100F0A">
              <w:rPr>
                <w:color w:val="000000"/>
                <w:vertAlign w:val="superscript"/>
              </w:rPr>
              <w:t>3</w:t>
            </w:r>
            <w:r w:rsidRPr="00100F0A">
              <w:rPr>
                <w:color w:val="000000"/>
              </w:rPr>
              <w:t>, plus &gt;100 sites of unknown scale</w:t>
            </w:r>
          </w:p>
          <w:p w14:paraId="79A36201" w14:textId="132AF9DF" w:rsidR="002169F6" w:rsidRPr="00100F0A" w:rsidRDefault="002169F6" w:rsidP="00E96D3C">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 xml:space="preserve">Hundreds of </w:t>
            </w:r>
            <w:r w:rsidR="006C17DC">
              <w:rPr>
                <w:color w:val="000000"/>
              </w:rPr>
              <w:t>d</w:t>
            </w:r>
            <w:r w:rsidRPr="00100F0A">
              <w:rPr>
                <w:color w:val="000000"/>
              </w:rPr>
              <w:t>efence, airports, fire-fighting facilities and major hazard facilities exist in Australia</w:t>
            </w:r>
          </w:p>
          <w:p w14:paraId="0BF3C211" w14:textId="77777777" w:rsidR="002169F6" w:rsidRPr="00100F0A" w:rsidRDefault="002169F6" w:rsidP="00E96D3C">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All are likely to have held AFFF stocks and many used them in training drills in previous years</w:t>
            </w:r>
          </w:p>
          <w:p w14:paraId="2168C9D7" w14:textId="297AD43C" w:rsidR="002169F6" w:rsidRPr="00100F0A" w:rsidRDefault="002169F6" w:rsidP="00E96D3C">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Standard N120 contaminated soils are reported at ~ 1.5</w:t>
            </w:r>
            <w:r w:rsidR="006C17DC">
              <w:rPr>
                <w:color w:val="000000"/>
              </w:rPr>
              <w:t xml:space="preserve"> </w:t>
            </w:r>
            <w:r w:rsidRPr="00100F0A">
              <w:rPr>
                <w:color w:val="000000"/>
              </w:rPr>
              <w:t>Mtpa nationally</w:t>
            </w:r>
          </w:p>
          <w:p w14:paraId="4C13F168" w14:textId="641FEEF7" w:rsidR="002169F6" w:rsidRPr="00100F0A" w:rsidRDefault="002169F6" w:rsidP="00E96D3C">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pPr>
            <w:r w:rsidRPr="00100F0A">
              <w:rPr>
                <w:color w:val="000000"/>
              </w:rPr>
              <w:t>Assume PFAS soil arisings to be in a similar order to N120, each year, once regulatory implementation of PFAS NEMP is up and running</w:t>
            </w:r>
          </w:p>
        </w:tc>
      </w:tr>
    </w:tbl>
    <w:p w14:paraId="519BC8BD" w14:textId="77777777" w:rsidR="002169F6" w:rsidRPr="00100F0A" w:rsidRDefault="002169F6" w:rsidP="002169F6">
      <w:pPr>
        <w:pStyle w:val="Heading3-nonumber"/>
      </w:pPr>
      <w:r w:rsidRPr="00100F0A">
        <w:t>Starting point arising estimate</w:t>
      </w:r>
    </w:p>
    <w:p w14:paraId="6070EC79" w14:textId="25C18F1C" w:rsidR="002169F6" w:rsidRPr="00100F0A" w:rsidRDefault="002169F6" w:rsidP="002169F6">
      <w:pPr>
        <w:pStyle w:val="BodyText"/>
      </w:pPr>
      <w:r w:rsidRPr="00100F0A">
        <w:t>PFOS-contaminated soils are not represented in hazardous waste tracking data. Consequently, assumptions must be used to estimate a feasible starting-point tonnage that describes what might become available to the hazardous waste market once ratification occurs, or upon implementation of the NEMP. These are as follows:</w:t>
      </w:r>
    </w:p>
    <w:p w14:paraId="672CDAC9" w14:textId="77777777" w:rsidR="002169F6" w:rsidRPr="00100F0A" w:rsidRDefault="002169F6" w:rsidP="002169F6">
      <w:pPr>
        <w:pStyle w:val="Bullet1"/>
      </w:pPr>
      <w:r w:rsidRPr="00100F0A">
        <w:t>PFOS contaminated soils are produced by states and territories in proportion to their population</w:t>
      </w:r>
    </w:p>
    <w:p w14:paraId="3ED24263" w14:textId="0D9BDF8B" w:rsidR="002169F6" w:rsidRPr="00100F0A" w:rsidRDefault="002169F6" w:rsidP="002169F6">
      <w:pPr>
        <w:pStyle w:val="Bullet1"/>
      </w:pPr>
      <w:r w:rsidRPr="00100F0A">
        <w:t>Scenarios are simply an estimate of the amount of PFAS contaminated soils likely to present as a hazardous waste arising – since N120 contaminated soils arise consistently around 1.5</w:t>
      </w:r>
      <w:r w:rsidR="006C17DC">
        <w:t xml:space="preserve"> </w:t>
      </w:r>
      <w:r w:rsidRPr="00100F0A">
        <w:t>Mt</w:t>
      </w:r>
      <w:r w:rsidR="006C17DC">
        <w:t>pa</w:t>
      </w:r>
      <w:r w:rsidRPr="00100F0A">
        <w:t>, the best case is estimated to be approximately ½ of this figure; the high case 2/3 of this figure and the low case 1/10 of the high case figure</w:t>
      </w:r>
    </w:p>
    <w:p w14:paraId="2349A2FD" w14:textId="77777777" w:rsidR="002169F6" w:rsidRPr="00100F0A" w:rsidRDefault="002169F6" w:rsidP="002169F6">
      <w:pPr>
        <w:pStyle w:val="Bullet2"/>
      </w:pPr>
      <w:r w:rsidRPr="00100F0A">
        <w:t>Best = 750,000 tpa</w:t>
      </w:r>
    </w:p>
    <w:p w14:paraId="5AFE8146" w14:textId="77777777" w:rsidR="002169F6" w:rsidRPr="00100F0A" w:rsidRDefault="002169F6" w:rsidP="002169F6">
      <w:pPr>
        <w:pStyle w:val="Bullet2"/>
      </w:pPr>
      <w:r w:rsidRPr="00100F0A">
        <w:t>High = 1,000,000 tpa</w:t>
      </w:r>
    </w:p>
    <w:p w14:paraId="70B25190" w14:textId="77777777" w:rsidR="002169F6" w:rsidRPr="00100F0A" w:rsidRDefault="002169F6" w:rsidP="002169F6">
      <w:pPr>
        <w:pStyle w:val="Bullet2"/>
      </w:pPr>
      <w:r w:rsidRPr="00100F0A">
        <w:t>Low = 100,000 tpa.</w:t>
      </w:r>
    </w:p>
    <w:p w14:paraId="285D4360" w14:textId="040AD804" w:rsidR="002169F6" w:rsidRPr="00100F0A" w:rsidRDefault="002169F6" w:rsidP="002169F6">
      <w:pPr>
        <w:pStyle w:val="Bullet1"/>
      </w:pPr>
      <w:r w:rsidRPr="00100F0A">
        <w:t>Given the number of variables, no attempt has been made to model annual growth in these figures.</w:t>
      </w:r>
    </w:p>
    <w:p w14:paraId="7D7CECD0" w14:textId="77777777" w:rsidR="006C17DC" w:rsidRDefault="006C17DC" w:rsidP="002169F6">
      <w:pPr>
        <w:pStyle w:val="Caption"/>
      </w:pPr>
    </w:p>
    <w:p w14:paraId="05E81934" w14:textId="3A4501FB" w:rsidR="002169F6" w:rsidRPr="00100F0A" w:rsidRDefault="002169F6" w:rsidP="002169F6">
      <w:pPr>
        <w:pStyle w:val="Caption"/>
      </w:pPr>
      <w:bookmarkStart w:id="227" w:name="_Toc13225649"/>
      <w:r w:rsidRPr="00100F0A">
        <w:t xml:space="preserve">Table </w:t>
      </w:r>
      <w:r w:rsidR="00971D78" w:rsidRPr="00100F0A">
        <w:rPr>
          <w:noProof/>
        </w:rPr>
        <w:fldChar w:fldCharType="begin"/>
      </w:r>
      <w:r w:rsidR="00971D78" w:rsidRPr="00100F0A">
        <w:rPr>
          <w:noProof/>
        </w:rPr>
        <w:instrText xml:space="preserve"> SEQ Table \* ARABIC </w:instrText>
      </w:r>
      <w:r w:rsidR="00971D78" w:rsidRPr="00100F0A">
        <w:rPr>
          <w:noProof/>
        </w:rPr>
        <w:fldChar w:fldCharType="separate"/>
      </w:r>
      <w:r w:rsidR="00EB634D">
        <w:rPr>
          <w:noProof/>
        </w:rPr>
        <w:t>30</w:t>
      </w:r>
      <w:r w:rsidR="00971D78" w:rsidRPr="00100F0A">
        <w:rPr>
          <w:noProof/>
        </w:rPr>
        <w:fldChar w:fldCharType="end"/>
      </w:r>
      <w:r w:rsidR="00AD2F76">
        <w:rPr>
          <w:noProof/>
        </w:rPr>
        <w:t>:</w:t>
      </w:r>
      <w:r w:rsidRPr="00100F0A">
        <w:tab/>
        <w:t>Best, high and low projected tonnes for PFOS contaminated soils waste to 2037</w:t>
      </w:r>
      <w:bookmarkEnd w:id="227"/>
    </w:p>
    <w:tbl>
      <w:tblPr>
        <w:tblStyle w:val="BETable1"/>
        <w:tblW w:w="16317" w:type="dxa"/>
        <w:jc w:val="center"/>
        <w:tblInd w:w="0" w:type="dxa"/>
        <w:tblLayout w:type="fixed"/>
        <w:tblLook w:val="04A0" w:firstRow="1" w:lastRow="0" w:firstColumn="1" w:lastColumn="0" w:noHBand="0" w:noVBand="1"/>
      </w:tblPr>
      <w:tblGrid>
        <w:gridCol w:w="454"/>
        <w:gridCol w:w="675"/>
        <w:gridCol w:w="1418"/>
        <w:gridCol w:w="510"/>
        <w:gridCol w:w="510"/>
        <w:gridCol w:w="510"/>
        <w:gridCol w:w="680"/>
        <w:gridCol w:w="680"/>
        <w:gridCol w:w="680"/>
        <w:gridCol w:w="680"/>
        <w:gridCol w:w="680"/>
        <w:gridCol w:w="680"/>
        <w:gridCol w:w="680"/>
        <w:gridCol w:w="680"/>
        <w:gridCol w:w="680"/>
        <w:gridCol w:w="680"/>
        <w:gridCol w:w="680"/>
        <w:gridCol w:w="680"/>
        <w:gridCol w:w="680"/>
        <w:gridCol w:w="680"/>
        <w:gridCol w:w="680"/>
        <w:gridCol w:w="680"/>
        <w:gridCol w:w="680"/>
        <w:gridCol w:w="680"/>
      </w:tblGrid>
      <w:tr w:rsidR="00A1102D" w:rsidRPr="00100F0A" w14:paraId="2A20E43C" w14:textId="77777777" w:rsidTr="002169F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AAABD6"/>
              <w:left w:val="single" w:sz="4" w:space="0" w:color="AAABD6"/>
              <w:bottom w:val="single" w:sz="4" w:space="0" w:color="AAABD6"/>
            </w:tcBorders>
            <w:shd w:val="clear" w:color="auto" w:fill="AAABD6"/>
          </w:tcPr>
          <w:p w14:paraId="341B8581" w14:textId="77777777" w:rsidR="002169F6" w:rsidRPr="00100F0A" w:rsidRDefault="002169F6" w:rsidP="002169F6">
            <w:pPr>
              <w:rPr>
                <w:color w:val="FFFFFF" w:themeColor="background1"/>
                <w:sz w:val="16"/>
                <w:szCs w:val="16"/>
              </w:rPr>
            </w:pPr>
          </w:p>
        </w:tc>
        <w:tc>
          <w:tcPr>
            <w:tcW w:w="675" w:type="dxa"/>
            <w:tcBorders>
              <w:top w:val="single" w:sz="4" w:space="0" w:color="AAABD6"/>
              <w:bottom w:val="single" w:sz="4" w:space="0" w:color="AAABD6"/>
            </w:tcBorders>
            <w:shd w:val="clear" w:color="auto" w:fill="AAABD6"/>
          </w:tcPr>
          <w:p w14:paraId="1EDD86BF" w14:textId="77777777" w:rsidR="002169F6" w:rsidRPr="00100F0A" w:rsidRDefault="002169F6" w:rsidP="002169F6">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Applies to</w:t>
            </w:r>
          </w:p>
        </w:tc>
        <w:tc>
          <w:tcPr>
            <w:tcW w:w="1418" w:type="dxa"/>
            <w:tcBorders>
              <w:top w:val="single" w:sz="4" w:space="0" w:color="AAABD6"/>
              <w:bottom w:val="single" w:sz="4" w:space="0" w:color="AAABD6"/>
            </w:tcBorders>
            <w:shd w:val="clear" w:color="auto" w:fill="AAABD6"/>
          </w:tcPr>
          <w:p w14:paraId="338721E8" w14:textId="77777777" w:rsidR="002169F6" w:rsidRPr="00100F0A" w:rsidRDefault="002169F6" w:rsidP="002169F6">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Approach</w:t>
            </w:r>
          </w:p>
        </w:tc>
        <w:tc>
          <w:tcPr>
            <w:tcW w:w="510" w:type="dxa"/>
            <w:tcBorders>
              <w:top w:val="single" w:sz="4" w:space="0" w:color="AAABD6"/>
              <w:bottom w:val="single" w:sz="4" w:space="0" w:color="AAABD6"/>
            </w:tcBorders>
            <w:shd w:val="clear" w:color="auto" w:fill="AAABD6"/>
          </w:tcPr>
          <w:p w14:paraId="622C96EC"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2017</w:t>
            </w:r>
          </w:p>
        </w:tc>
        <w:tc>
          <w:tcPr>
            <w:tcW w:w="510" w:type="dxa"/>
            <w:tcBorders>
              <w:top w:val="single" w:sz="4" w:space="0" w:color="AAABD6"/>
              <w:bottom w:val="single" w:sz="4" w:space="0" w:color="AAABD6"/>
              <w:right w:val="single" w:sz="4" w:space="0" w:color="AAABD6"/>
            </w:tcBorders>
            <w:shd w:val="clear" w:color="auto" w:fill="AAABD6"/>
          </w:tcPr>
          <w:p w14:paraId="63A6CD2D"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2018</w:t>
            </w:r>
          </w:p>
        </w:tc>
        <w:tc>
          <w:tcPr>
            <w:tcW w:w="510" w:type="dxa"/>
            <w:tcBorders>
              <w:top w:val="single" w:sz="4" w:space="0" w:color="AAABD6"/>
              <w:bottom w:val="single" w:sz="4" w:space="0" w:color="AAABD6"/>
              <w:right w:val="single" w:sz="4" w:space="0" w:color="AAABD6"/>
            </w:tcBorders>
            <w:shd w:val="clear" w:color="auto" w:fill="AAABD6"/>
          </w:tcPr>
          <w:p w14:paraId="111A1157"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2019</w:t>
            </w:r>
          </w:p>
        </w:tc>
        <w:tc>
          <w:tcPr>
            <w:tcW w:w="680" w:type="dxa"/>
            <w:tcBorders>
              <w:top w:val="single" w:sz="4" w:space="0" w:color="AAABD6"/>
              <w:bottom w:val="single" w:sz="4" w:space="0" w:color="AAABD6"/>
              <w:right w:val="single" w:sz="4" w:space="0" w:color="AAABD6"/>
            </w:tcBorders>
            <w:shd w:val="clear" w:color="auto" w:fill="AAABD6"/>
          </w:tcPr>
          <w:p w14:paraId="3017EFDA"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2020</w:t>
            </w:r>
          </w:p>
        </w:tc>
        <w:tc>
          <w:tcPr>
            <w:tcW w:w="680" w:type="dxa"/>
            <w:tcBorders>
              <w:top w:val="single" w:sz="4" w:space="0" w:color="AAABD6"/>
              <w:bottom w:val="single" w:sz="4" w:space="0" w:color="AAABD6"/>
              <w:right w:val="single" w:sz="4" w:space="0" w:color="AAABD6"/>
            </w:tcBorders>
            <w:shd w:val="clear" w:color="auto" w:fill="AAABD6"/>
          </w:tcPr>
          <w:p w14:paraId="21594F58"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2021</w:t>
            </w:r>
          </w:p>
        </w:tc>
        <w:tc>
          <w:tcPr>
            <w:tcW w:w="680" w:type="dxa"/>
            <w:tcBorders>
              <w:top w:val="single" w:sz="4" w:space="0" w:color="AAABD6"/>
              <w:bottom w:val="single" w:sz="4" w:space="0" w:color="AAABD6"/>
              <w:right w:val="single" w:sz="4" w:space="0" w:color="AAABD6"/>
            </w:tcBorders>
            <w:shd w:val="clear" w:color="auto" w:fill="AAABD6"/>
          </w:tcPr>
          <w:p w14:paraId="7A45B1F1"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2022</w:t>
            </w:r>
          </w:p>
        </w:tc>
        <w:tc>
          <w:tcPr>
            <w:tcW w:w="680" w:type="dxa"/>
            <w:tcBorders>
              <w:top w:val="single" w:sz="4" w:space="0" w:color="AAABD6"/>
              <w:bottom w:val="single" w:sz="4" w:space="0" w:color="AAABD6"/>
              <w:right w:val="single" w:sz="4" w:space="0" w:color="AAABD6"/>
            </w:tcBorders>
            <w:shd w:val="clear" w:color="auto" w:fill="AAABD6"/>
          </w:tcPr>
          <w:p w14:paraId="5EC8559F"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2023</w:t>
            </w:r>
          </w:p>
        </w:tc>
        <w:tc>
          <w:tcPr>
            <w:tcW w:w="680" w:type="dxa"/>
            <w:tcBorders>
              <w:top w:val="single" w:sz="4" w:space="0" w:color="AAABD6"/>
              <w:bottom w:val="single" w:sz="4" w:space="0" w:color="AAABD6"/>
              <w:right w:val="single" w:sz="4" w:space="0" w:color="AAABD6"/>
            </w:tcBorders>
            <w:shd w:val="clear" w:color="auto" w:fill="AAABD6"/>
          </w:tcPr>
          <w:p w14:paraId="4689A454"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2024</w:t>
            </w:r>
          </w:p>
        </w:tc>
        <w:tc>
          <w:tcPr>
            <w:tcW w:w="680" w:type="dxa"/>
            <w:tcBorders>
              <w:top w:val="single" w:sz="4" w:space="0" w:color="AAABD6"/>
              <w:bottom w:val="single" w:sz="4" w:space="0" w:color="AAABD6"/>
              <w:right w:val="single" w:sz="4" w:space="0" w:color="AAABD6"/>
            </w:tcBorders>
            <w:shd w:val="clear" w:color="auto" w:fill="AAABD6"/>
          </w:tcPr>
          <w:p w14:paraId="2972161D"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2025</w:t>
            </w:r>
          </w:p>
        </w:tc>
        <w:tc>
          <w:tcPr>
            <w:tcW w:w="680" w:type="dxa"/>
            <w:tcBorders>
              <w:top w:val="single" w:sz="4" w:space="0" w:color="AAABD6"/>
              <w:bottom w:val="single" w:sz="4" w:space="0" w:color="AAABD6"/>
              <w:right w:val="single" w:sz="4" w:space="0" w:color="AAABD6"/>
            </w:tcBorders>
            <w:shd w:val="clear" w:color="auto" w:fill="AAABD6"/>
          </w:tcPr>
          <w:p w14:paraId="18C72A15"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2026</w:t>
            </w:r>
          </w:p>
        </w:tc>
        <w:tc>
          <w:tcPr>
            <w:tcW w:w="680" w:type="dxa"/>
            <w:tcBorders>
              <w:top w:val="single" w:sz="4" w:space="0" w:color="AAABD6"/>
              <w:bottom w:val="single" w:sz="4" w:space="0" w:color="AAABD6"/>
              <w:right w:val="single" w:sz="4" w:space="0" w:color="AAABD6"/>
            </w:tcBorders>
            <w:shd w:val="clear" w:color="auto" w:fill="AAABD6"/>
          </w:tcPr>
          <w:p w14:paraId="2BA62F69"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2027</w:t>
            </w:r>
          </w:p>
        </w:tc>
        <w:tc>
          <w:tcPr>
            <w:tcW w:w="680" w:type="dxa"/>
            <w:tcBorders>
              <w:top w:val="single" w:sz="4" w:space="0" w:color="AAABD6"/>
              <w:bottom w:val="single" w:sz="4" w:space="0" w:color="AAABD6"/>
              <w:right w:val="single" w:sz="4" w:space="0" w:color="AAABD6"/>
            </w:tcBorders>
            <w:shd w:val="clear" w:color="auto" w:fill="AAABD6"/>
          </w:tcPr>
          <w:p w14:paraId="2175A96F"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2028</w:t>
            </w:r>
          </w:p>
        </w:tc>
        <w:tc>
          <w:tcPr>
            <w:tcW w:w="680" w:type="dxa"/>
            <w:tcBorders>
              <w:top w:val="single" w:sz="4" w:space="0" w:color="AAABD6"/>
              <w:bottom w:val="single" w:sz="4" w:space="0" w:color="AAABD6"/>
              <w:right w:val="single" w:sz="4" w:space="0" w:color="AAABD6"/>
            </w:tcBorders>
            <w:shd w:val="clear" w:color="auto" w:fill="AAABD6"/>
          </w:tcPr>
          <w:p w14:paraId="39F1DC72"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2029</w:t>
            </w:r>
          </w:p>
        </w:tc>
        <w:tc>
          <w:tcPr>
            <w:tcW w:w="680" w:type="dxa"/>
            <w:tcBorders>
              <w:top w:val="single" w:sz="4" w:space="0" w:color="AAABD6"/>
              <w:bottom w:val="single" w:sz="4" w:space="0" w:color="AAABD6"/>
              <w:right w:val="single" w:sz="4" w:space="0" w:color="AAABD6"/>
            </w:tcBorders>
            <w:shd w:val="clear" w:color="auto" w:fill="AAABD6"/>
          </w:tcPr>
          <w:p w14:paraId="0EA2C215"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2030</w:t>
            </w:r>
          </w:p>
        </w:tc>
        <w:tc>
          <w:tcPr>
            <w:tcW w:w="680" w:type="dxa"/>
            <w:tcBorders>
              <w:top w:val="single" w:sz="4" w:space="0" w:color="AAABD6"/>
              <w:bottom w:val="single" w:sz="4" w:space="0" w:color="AAABD6"/>
              <w:right w:val="single" w:sz="4" w:space="0" w:color="AAABD6"/>
            </w:tcBorders>
            <w:shd w:val="clear" w:color="auto" w:fill="AAABD6"/>
          </w:tcPr>
          <w:p w14:paraId="14FC49BE"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2031</w:t>
            </w:r>
          </w:p>
        </w:tc>
        <w:tc>
          <w:tcPr>
            <w:tcW w:w="680" w:type="dxa"/>
            <w:tcBorders>
              <w:top w:val="single" w:sz="4" w:space="0" w:color="AAABD6"/>
              <w:bottom w:val="single" w:sz="4" w:space="0" w:color="AAABD6"/>
              <w:right w:val="single" w:sz="4" w:space="0" w:color="AAABD6"/>
            </w:tcBorders>
            <w:shd w:val="clear" w:color="auto" w:fill="AAABD6"/>
          </w:tcPr>
          <w:p w14:paraId="2DA5B4A6"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2032</w:t>
            </w:r>
          </w:p>
        </w:tc>
        <w:tc>
          <w:tcPr>
            <w:tcW w:w="680" w:type="dxa"/>
            <w:tcBorders>
              <w:top w:val="single" w:sz="4" w:space="0" w:color="AAABD6"/>
              <w:bottom w:val="single" w:sz="4" w:space="0" w:color="AAABD6"/>
              <w:right w:val="single" w:sz="4" w:space="0" w:color="AAABD6"/>
            </w:tcBorders>
            <w:shd w:val="clear" w:color="auto" w:fill="AAABD6"/>
          </w:tcPr>
          <w:p w14:paraId="491007BD"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2033</w:t>
            </w:r>
          </w:p>
        </w:tc>
        <w:tc>
          <w:tcPr>
            <w:tcW w:w="680" w:type="dxa"/>
            <w:tcBorders>
              <w:top w:val="single" w:sz="4" w:space="0" w:color="AAABD6"/>
              <w:bottom w:val="single" w:sz="4" w:space="0" w:color="AAABD6"/>
              <w:right w:val="single" w:sz="4" w:space="0" w:color="AAABD6"/>
            </w:tcBorders>
            <w:shd w:val="clear" w:color="auto" w:fill="AAABD6"/>
          </w:tcPr>
          <w:p w14:paraId="0705C9C9"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2034</w:t>
            </w:r>
          </w:p>
        </w:tc>
        <w:tc>
          <w:tcPr>
            <w:tcW w:w="680" w:type="dxa"/>
            <w:tcBorders>
              <w:top w:val="single" w:sz="4" w:space="0" w:color="AAABD6"/>
              <w:bottom w:val="single" w:sz="4" w:space="0" w:color="AAABD6"/>
              <w:right w:val="single" w:sz="4" w:space="0" w:color="AAABD6"/>
            </w:tcBorders>
            <w:shd w:val="clear" w:color="auto" w:fill="AAABD6"/>
          </w:tcPr>
          <w:p w14:paraId="041ADB9F"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2035</w:t>
            </w:r>
          </w:p>
        </w:tc>
        <w:tc>
          <w:tcPr>
            <w:tcW w:w="680" w:type="dxa"/>
            <w:tcBorders>
              <w:top w:val="single" w:sz="4" w:space="0" w:color="AAABD6"/>
              <w:bottom w:val="single" w:sz="4" w:space="0" w:color="AAABD6"/>
              <w:right w:val="single" w:sz="4" w:space="0" w:color="AAABD6"/>
            </w:tcBorders>
            <w:shd w:val="clear" w:color="auto" w:fill="AAABD6"/>
          </w:tcPr>
          <w:p w14:paraId="15680DB3"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2036</w:t>
            </w:r>
          </w:p>
        </w:tc>
        <w:tc>
          <w:tcPr>
            <w:tcW w:w="680" w:type="dxa"/>
            <w:tcBorders>
              <w:top w:val="single" w:sz="4" w:space="0" w:color="AAABD6"/>
              <w:bottom w:val="single" w:sz="4" w:space="0" w:color="AAABD6"/>
              <w:right w:val="single" w:sz="4" w:space="0" w:color="AAABD6"/>
            </w:tcBorders>
            <w:shd w:val="clear" w:color="auto" w:fill="AAABD6"/>
          </w:tcPr>
          <w:p w14:paraId="53E24293" w14:textId="77777777" w:rsidR="002169F6" w:rsidRPr="00100F0A" w:rsidRDefault="002169F6" w:rsidP="002169F6">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2037</w:t>
            </w:r>
          </w:p>
        </w:tc>
      </w:tr>
      <w:tr w:rsidR="002169F6" w:rsidRPr="00100F0A" w14:paraId="2F823299" w14:textId="77777777" w:rsidTr="004206B0">
        <w:trPr>
          <w:jc w:val="center"/>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4" w:space="0" w:color="AAABD6"/>
              <w:left w:val="single" w:sz="4" w:space="0" w:color="AAABD6"/>
              <w:right w:val="single" w:sz="4" w:space="0" w:color="AAABD6"/>
            </w:tcBorders>
          </w:tcPr>
          <w:p w14:paraId="4AE09BAD" w14:textId="6EBF78BB" w:rsidR="002169F6" w:rsidRPr="00100F0A" w:rsidRDefault="002169F6" w:rsidP="002169F6">
            <w:pPr>
              <w:rPr>
                <w:sz w:val="16"/>
                <w:szCs w:val="16"/>
              </w:rPr>
            </w:pPr>
            <w:r w:rsidRPr="00100F0A">
              <w:rPr>
                <w:iCs/>
                <w:color w:val="4D4DB8"/>
                <w:sz w:val="16"/>
                <w:szCs w:val="16"/>
              </w:rPr>
              <w:t>Arisings – absolute tpa</w:t>
            </w:r>
          </w:p>
        </w:tc>
        <w:tc>
          <w:tcPr>
            <w:tcW w:w="0" w:type="dxa"/>
            <w:gridSpan w:val="2"/>
            <w:tcBorders>
              <w:top w:val="single" w:sz="4" w:space="0" w:color="AAABD6"/>
              <w:left w:val="single" w:sz="4" w:space="0" w:color="AAABD6"/>
              <w:bottom w:val="dotted" w:sz="4" w:space="0" w:color="AAABD6"/>
              <w:right w:val="single" w:sz="4" w:space="0" w:color="AAABD6"/>
            </w:tcBorders>
            <w:shd w:val="clear" w:color="auto" w:fill="auto"/>
          </w:tcPr>
          <w:p w14:paraId="25C1196F"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iCs/>
                <w:color w:val="4D4DB8"/>
                <w:sz w:val="16"/>
                <w:szCs w:val="16"/>
              </w:rPr>
            </w:pPr>
            <w:r w:rsidRPr="00100F0A">
              <w:rPr>
                <w:iCs/>
                <w:color w:val="4D4DB8"/>
                <w:sz w:val="16"/>
                <w:szCs w:val="16"/>
              </w:rPr>
              <w:t>Proportions</w:t>
            </w:r>
          </w:p>
        </w:tc>
        <w:tc>
          <w:tcPr>
            <w:tcW w:w="0" w:type="dxa"/>
            <w:gridSpan w:val="19"/>
            <w:tcBorders>
              <w:top w:val="single" w:sz="4" w:space="0" w:color="AAABD6"/>
              <w:left w:val="single" w:sz="4" w:space="0" w:color="AAABD6"/>
              <w:bottom w:val="dotted" w:sz="4" w:space="0" w:color="AAABD6"/>
              <w:right w:val="single" w:sz="4" w:space="0" w:color="AAABD6"/>
            </w:tcBorders>
          </w:tcPr>
          <w:p w14:paraId="7BF98C24"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r>
      <w:tr w:rsidR="005B545D" w:rsidRPr="00100F0A" w14:paraId="13AAE23C"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4" w:space="0" w:color="AAABD6"/>
              <w:left w:val="single" w:sz="4" w:space="0" w:color="AAABD6"/>
              <w:right w:val="single" w:sz="4" w:space="0" w:color="AAABD6"/>
            </w:tcBorders>
          </w:tcPr>
          <w:p w14:paraId="30DBD241" w14:textId="77777777" w:rsidR="002169F6" w:rsidRPr="00100F0A" w:rsidRDefault="002169F6" w:rsidP="002169F6">
            <w:pPr>
              <w:rPr>
                <w:sz w:val="16"/>
                <w:szCs w:val="16"/>
              </w:rPr>
            </w:pPr>
            <w:r w:rsidRPr="00100F0A">
              <w:rPr>
                <w:sz w:val="16"/>
                <w:szCs w:val="16"/>
              </w:rPr>
              <w:t>Best</w:t>
            </w:r>
          </w:p>
        </w:tc>
        <w:tc>
          <w:tcPr>
            <w:tcW w:w="0" w:type="dxa"/>
            <w:tcBorders>
              <w:top w:val="single" w:sz="4" w:space="0" w:color="AAABD6"/>
              <w:left w:val="single" w:sz="4" w:space="0" w:color="AAABD6"/>
              <w:bottom w:val="dotted" w:sz="4" w:space="0" w:color="AAABD6"/>
              <w:right w:val="single" w:sz="4" w:space="0" w:color="AAABD6"/>
            </w:tcBorders>
          </w:tcPr>
          <w:p w14:paraId="7C1DC3B4"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ACT</w:t>
            </w:r>
          </w:p>
        </w:tc>
        <w:tc>
          <w:tcPr>
            <w:tcW w:w="0" w:type="dxa"/>
            <w:vMerge w:val="restart"/>
            <w:tcBorders>
              <w:top w:val="single" w:sz="4" w:space="0" w:color="AAABD6"/>
              <w:left w:val="single" w:sz="4" w:space="0" w:color="AAABD6"/>
              <w:right w:val="single" w:sz="4" w:space="0" w:color="AAABD6"/>
            </w:tcBorders>
            <w:vAlign w:val="center"/>
          </w:tcPr>
          <w:p w14:paraId="1CE9C428"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1/2 of traditional contaminated soil arisings</w:t>
            </w:r>
          </w:p>
        </w:tc>
        <w:tc>
          <w:tcPr>
            <w:tcW w:w="0" w:type="dxa"/>
            <w:tcBorders>
              <w:top w:val="single" w:sz="4" w:space="0" w:color="AAABD6"/>
              <w:left w:val="single" w:sz="4" w:space="0" w:color="AAABD6"/>
              <w:bottom w:val="dotted" w:sz="4" w:space="0" w:color="AAABD6"/>
              <w:right w:val="nil"/>
            </w:tcBorders>
            <w:shd w:val="clear" w:color="auto" w:fill="auto"/>
          </w:tcPr>
          <w:p w14:paraId="4F16FE6F"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single" w:sz="4" w:space="0" w:color="AAABD6"/>
              <w:left w:val="nil"/>
              <w:bottom w:val="dotted" w:sz="4" w:space="0" w:color="AAABD6"/>
              <w:right w:val="single" w:sz="4" w:space="0" w:color="AAABD6"/>
            </w:tcBorders>
            <w:shd w:val="clear" w:color="auto" w:fill="auto"/>
          </w:tcPr>
          <w:p w14:paraId="402BC23D"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iCs/>
                <w:color w:val="4D4DB8"/>
                <w:sz w:val="16"/>
                <w:szCs w:val="16"/>
              </w:rPr>
            </w:pPr>
            <w:r w:rsidRPr="00100F0A">
              <w:rPr>
                <w:iCs/>
                <w:color w:val="4D4DB8"/>
                <w:sz w:val="16"/>
                <w:szCs w:val="16"/>
              </w:rPr>
              <w:t>2%</w:t>
            </w:r>
          </w:p>
        </w:tc>
        <w:tc>
          <w:tcPr>
            <w:tcW w:w="0" w:type="dxa"/>
            <w:tcBorders>
              <w:top w:val="single" w:sz="4" w:space="0" w:color="AAABD6"/>
              <w:left w:val="single" w:sz="4" w:space="0" w:color="AAABD6"/>
              <w:bottom w:val="dotted" w:sz="4" w:space="0" w:color="AAABD6"/>
              <w:right w:val="single" w:sz="4" w:space="0" w:color="AAABD6"/>
            </w:tcBorders>
          </w:tcPr>
          <w:p w14:paraId="69C776CC"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 </w:t>
            </w:r>
          </w:p>
        </w:tc>
        <w:tc>
          <w:tcPr>
            <w:tcW w:w="0" w:type="dxa"/>
            <w:tcBorders>
              <w:top w:val="single" w:sz="4" w:space="0" w:color="AAABD6"/>
              <w:left w:val="single" w:sz="4" w:space="0" w:color="AAABD6"/>
              <w:bottom w:val="dotted" w:sz="4" w:space="0" w:color="AAABD6"/>
              <w:right w:val="single" w:sz="4" w:space="0" w:color="AAABD6"/>
            </w:tcBorders>
            <w:vAlign w:val="bottom"/>
          </w:tcPr>
          <w:p w14:paraId="24256BBE"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12,587</w:t>
            </w:r>
          </w:p>
        </w:tc>
        <w:tc>
          <w:tcPr>
            <w:tcW w:w="0" w:type="dxa"/>
            <w:tcBorders>
              <w:top w:val="single" w:sz="4" w:space="0" w:color="AAABD6"/>
              <w:left w:val="single" w:sz="4" w:space="0" w:color="AAABD6"/>
              <w:bottom w:val="dotted" w:sz="4" w:space="0" w:color="AAABD6"/>
              <w:right w:val="single" w:sz="4" w:space="0" w:color="AAABD6"/>
            </w:tcBorders>
            <w:vAlign w:val="bottom"/>
          </w:tcPr>
          <w:p w14:paraId="4AA3269F"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12,587</w:t>
            </w:r>
          </w:p>
        </w:tc>
        <w:tc>
          <w:tcPr>
            <w:tcW w:w="0" w:type="dxa"/>
            <w:tcBorders>
              <w:top w:val="single" w:sz="4" w:space="0" w:color="AAABD6"/>
              <w:left w:val="single" w:sz="4" w:space="0" w:color="AAABD6"/>
              <w:bottom w:val="dotted" w:sz="4" w:space="0" w:color="AAABD6"/>
              <w:right w:val="single" w:sz="4" w:space="0" w:color="AAABD6"/>
            </w:tcBorders>
            <w:vAlign w:val="bottom"/>
          </w:tcPr>
          <w:p w14:paraId="700D905A"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12,587</w:t>
            </w:r>
          </w:p>
        </w:tc>
        <w:tc>
          <w:tcPr>
            <w:tcW w:w="0" w:type="dxa"/>
            <w:tcBorders>
              <w:top w:val="single" w:sz="4" w:space="0" w:color="AAABD6"/>
              <w:left w:val="single" w:sz="4" w:space="0" w:color="AAABD6"/>
              <w:bottom w:val="dotted" w:sz="4" w:space="0" w:color="AAABD6"/>
              <w:right w:val="single" w:sz="4" w:space="0" w:color="AAABD6"/>
            </w:tcBorders>
            <w:vAlign w:val="bottom"/>
          </w:tcPr>
          <w:p w14:paraId="5367D0CB"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12,587</w:t>
            </w:r>
          </w:p>
        </w:tc>
        <w:tc>
          <w:tcPr>
            <w:tcW w:w="0" w:type="dxa"/>
            <w:tcBorders>
              <w:top w:val="single" w:sz="4" w:space="0" w:color="AAABD6"/>
              <w:left w:val="single" w:sz="4" w:space="0" w:color="AAABD6"/>
              <w:bottom w:val="dotted" w:sz="4" w:space="0" w:color="AAABD6"/>
              <w:right w:val="single" w:sz="4" w:space="0" w:color="AAABD6"/>
            </w:tcBorders>
            <w:vAlign w:val="bottom"/>
          </w:tcPr>
          <w:p w14:paraId="50C1DE93"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12,587</w:t>
            </w:r>
          </w:p>
        </w:tc>
        <w:tc>
          <w:tcPr>
            <w:tcW w:w="0" w:type="dxa"/>
            <w:tcBorders>
              <w:top w:val="single" w:sz="4" w:space="0" w:color="AAABD6"/>
              <w:left w:val="single" w:sz="4" w:space="0" w:color="AAABD6"/>
              <w:bottom w:val="dotted" w:sz="4" w:space="0" w:color="AAABD6"/>
              <w:right w:val="single" w:sz="4" w:space="0" w:color="AAABD6"/>
            </w:tcBorders>
            <w:vAlign w:val="bottom"/>
          </w:tcPr>
          <w:p w14:paraId="38849DA5"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12,587</w:t>
            </w:r>
          </w:p>
        </w:tc>
        <w:tc>
          <w:tcPr>
            <w:tcW w:w="0" w:type="dxa"/>
            <w:tcBorders>
              <w:top w:val="single" w:sz="4" w:space="0" w:color="AAABD6"/>
              <w:left w:val="single" w:sz="4" w:space="0" w:color="AAABD6"/>
              <w:bottom w:val="dotted" w:sz="4" w:space="0" w:color="AAABD6"/>
              <w:right w:val="single" w:sz="4" w:space="0" w:color="AAABD6"/>
            </w:tcBorders>
            <w:vAlign w:val="bottom"/>
          </w:tcPr>
          <w:p w14:paraId="52A0A087"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12,587</w:t>
            </w:r>
          </w:p>
        </w:tc>
        <w:tc>
          <w:tcPr>
            <w:tcW w:w="0" w:type="dxa"/>
            <w:tcBorders>
              <w:top w:val="single" w:sz="4" w:space="0" w:color="AAABD6"/>
              <w:left w:val="single" w:sz="4" w:space="0" w:color="AAABD6"/>
              <w:bottom w:val="dotted" w:sz="4" w:space="0" w:color="AAABD6"/>
              <w:right w:val="single" w:sz="4" w:space="0" w:color="AAABD6"/>
            </w:tcBorders>
            <w:vAlign w:val="bottom"/>
          </w:tcPr>
          <w:p w14:paraId="773B2FDC"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12,587</w:t>
            </w:r>
          </w:p>
        </w:tc>
        <w:tc>
          <w:tcPr>
            <w:tcW w:w="0" w:type="dxa"/>
            <w:tcBorders>
              <w:top w:val="single" w:sz="4" w:space="0" w:color="AAABD6"/>
              <w:left w:val="single" w:sz="4" w:space="0" w:color="AAABD6"/>
              <w:bottom w:val="dotted" w:sz="4" w:space="0" w:color="AAABD6"/>
              <w:right w:val="single" w:sz="4" w:space="0" w:color="AAABD6"/>
            </w:tcBorders>
            <w:vAlign w:val="bottom"/>
          </w:tcPr>
          <w:p w14:paraId="34A7FC70"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12,587</w:t>
            </w:r>
          </w:p>
        </w:tc>
        <w:tc>
          <w:tcPr>
            <w:tcW w:w="0" w:type="dxa"/>
            <w:tcBorders>
              <w:top w:val="single" w:sz="4" w:space="0" w:color="AAABD6"/>
              <w:left w:val="single" w:sz="4" w:space="0" w:color="AAABD6"/>
              <w:bottom w:val="dotted" w:sz="4" w:space="0" w:color="AAABD6"/>
              <w:right w:val="single" w:sz="4" w:space="0" w:color="AAABD6"/>
            </w:tcBorders>
            <w:vAlign w:val="bottom"/>
          </w:tcPr>
          <w:p w14:paraId="2B8C35B9"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12,587</w:t>
            </w:r>
          </w:p>
        </w:tc>
        <w:tc>
          <w:tcPr>
            <w:tcW w:w="0" w:type="dxa"/>
            <w:tcBorders>
              <w:top w:val="single" w:sz="4" w:space="0" w:color="AAABD6"/>
              <w:left w:val="single" w:sz="4" w:space="0" w:color="AAABD6"/>
              <w:bottom w:val="dotted" w:sz="4" w:space="0" w:color="AAABD6"/>
              <w:right w:val="single" w:sz="4" w:space="0" w:color="AAABD6"/>
            </w:tcBorders>
            <w:vAlign w:val="bottom"/>
          </w:tcPr>
          <w:p w14:paraId="3CF5B64D"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12,587</w:t>
            </w:r>
          </w:p>
        </w:tc>
        <w:tc>
          <w:tcPr>
            <w:tcW w:w="0" w:type="dxa"/>
            <w:tcBorders>
              <w:top w:val="single" w:sz="4" w:space="0" w:color="AAABD6"/>
              <w:left w:val="single" w:sz="4" w:space="0" w:color="AAABD6"/>
              <w:bottom w:val="dotted" w:sz="4" w:space="0" w:color="AAABD6"/>
              <w:right w:val="single" w:sz="4" w:space="0" w:color="AAABD6"/>
            </w:tcBorders>
            <w:vAlign w:val="bottom"/>
          </w:tcPr>
          <w:p w14:paraId="395F7560"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12,587</w:t>
            </w:r>
          </w:p>
        </w:tc>
        <w:tc>
          <w:tcPr>
            <w:tcW w:w="0" w:type="dxa"/>
            <w:tcBorders>
              <w:top w:val="single" w:sz="4" w:space="0" w:color="AAABD6"/>
              <w:left w:val="single" w:sz="4" w:space="0" w:color="AAABD6"/>
              <w:bottom w:val="dotted" w:sz="4" w:space="0" w:color="AAABD6"/>
              <w:right w:val="single" w:sz="4" w:space="0" w:color="AAABD6"/>
            </w:tcBorders>
            <w:vAlign w:val="bottom"/>
          </w:tcPr>
          <w:p w14:paraId="1E26AFB4"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12,587</w:t>
            </w:r>
          </w:p>
        </w:tc>
        <w:tc>
          <w:tcPr>
            <w:tcW w:w="0" w:type="dxa"/>
            <w:tcBorders>
              <w:top w:val="single" w:sz="4" w:space="0" w:color="AAABD6"/>
              <w:left w:val="single" w:sz="4" w:space="0" w:color="AAABD6"/>
              <w:bottom w:val="dotted" w:sz="4" w:space="0" w:color="AAABD6"/>
              <w:right w:val="single" w:sz="4" w:space="0" w:color="AAABD6"/>
            </w:tcBorders>
            <w:vAlign w:val="bottom"/>
          </w:tcPr>
          <w:p w14:paraId="4D2F5F56"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12,587</w:t>
            </w:r>
          </w:p>
        </w:tc>
        <w:tc>
          <w:tcPr>
            <w:tcW w:w="0" w:type="dxa"/>
            <w:tcBorders>
              <w:top w:val="single" w:sz="4" w:space="0" w:color="AAABD6"/>
              <w:left w:val="single" w:sz="4" w:space="0" w:color="AAABD6"/>
              <w:bottom w:val="dotted" w:sz="4" w:space="0" w:color="AAABD6"/>
              <w:right w:val="single" w:sz="4" w:space="0" w:color="AAABD6"/>
            </w:tcBorders>
            <w:vAlign w:val="bottom"/>
          </w:tcPr>
          <w:p w14:paraId="2D694301"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12,587</w:t>
            </w:r>
          </w:p>
        </w:tc>
        <w:tc>
          <w:tcPr>
            <w:tcW w:w="0" w:type="dxa"/>
            <w:tcBorders>
              <w:top w:val="single" w:sz="4" w:space="0" w:color="AAABD6"/>
              <w:left w:val="single" w:sz="4" w:space="0" w:color="AAABD6"/>
              <w:bottom w:val="dotted" w:sz="4" w:space="0" w:color="AAABD6"/>
              <w:right w:val="single" w:sz="4" w:space="0" w:color="AAABD6"/>
            </w:tcBorders>
            <w:vAlign w:val="bottom"/>
          </w:tcPr>
          <w:p w14:paraId="3A3C5242"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12,587</w:t>
            </w:r>
          </w:p>
        </w:tc>
        <w:tc>
          <w:tcPr>
            <w:tcW w:w="0" w:type="dxa"/>
            <w:tcBorders>
              <w:top w:val="single" w:sz="4" w:space="0" w:color="AAABD6"/>
              <w:left w:val="single" w:sz="4" w:space="0" w:color="AAABD6"/>
              <w:bottom w:val="dotted" w:sz="4" w:space="0" w:color="AAABD6"/>
              <w:right w:val="single" w:sz="4" w:space="0" w:color="AAABD6"/>
            </w:tcBorders>
            <w:vAlign w:val="bottom"/>
          </w:tcPr>
          <w:p w14:paraId="372C8019"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12,587</w:t>
            </w:r>
          </w:p>
        </w:tc>
        <w:tc>
          <w:tcPr>
            <w:tcW w:w="0" w:type="dxa"/>
            <w:tcBorders>
              <w:top w:val="single" w:sz="4" w:space="0" w:color="AAABD6"/>
              <w:left w:val="single" w:sz="4" w:space="0" w:color="AAABD6"/>
              <w:bottom w:val="dotted" w:sz="4" w:space="0" w:color="AAABD6"/>
              <w:right w:val="single" w:sz="4" w:space="0" w:color="AAABD6"/>
            </w:tcBorders>
            <w:vAlign w:val="bottom"/>
          </w:tcPr>
          <w:p w14:paraId="413B1BEB"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12,587</w:t>
            </w:r>
          </w:p>
        </w:tc>
      </w:tr>
      <w:tr w:rsidR="005B545D" w:rsidRPr="00100F0A" w14:paraId="5F1B019B"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tcPr>
          <w:p w14:paraId="1DB5E5CD" w14:textId="77777777" w:rsidR="002169F6" w:rsidRPr="00100F0A" w:rsidRDefault="002169F6" w:rsidP="002169F6">
            <w:pPr>
              <w:rPr>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663DA051"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NSW</w:t>
            </w:r>
          </w:p>
        </w:tc>
        <w:tc>
          <w:tcPr>
            <w:tcW w:w="0" w:type="dxa"/>
            <w:vMerge/>
            <w:tcBorders>
              <w:left w:val="single" w:sz="4" w:space="0" w:color="AAABD6"/>
              <w:right w:val="single" w:sz="4" w:space="0" w:color="AAABD6"/>
            </w:tcBorders>
          </w:tcPr>
          <w:p w14:paraId="653C4221"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dotted" w:sz="4" w:space="0" w:color="AAABD6"/>
              <w:left w:val="single" w:sz="4" w:space="0" w:color="AAABD6"/>
              <w:bottom w:val="dotted" w:sz="4" w:space="0" w:color="AAABD6"/>
              <w:right w:val="nil"/>
            </w:tcBorders>
            <w:shd w:val="clear" w:color="auto" w:fill="auto"/>
          </w:tcPr>
          <w:p w14:paraId="53C1CBBF"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tc>
        <w:tc>
          <w:tcPr>
            <w:tcW w:w="0" w:type="dxa"/>
            <w:tcBorders>
              <w:top w:val="dotted" w:sz="4" w:space="0" w:color="AAABD6"/>
              <w:left w:val="nil"/>
              <w:bottom w:val="dotted" w:sz="4" w:space="0" w:color="AAABD6"/>
              <w:right w:val="single" w:sz="4" w:space="0" w:color="AAABD6"/>
            </w:tcBorders>
            <w:shd w:val="clear" w:color="auto" w:fill="auto"/>
          </w:tcPr>
          <w:p w14:paraId="4CB23D78"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iCs/>
                <w:color w:val="4D4DB8"/>
                <w:sz w:val="16"/>
                <w:szCs w:val="16"/>
              </w:rPr>
            </w:pPr>
            <w:r w:rsidRPr="00100F0A">
              <w:rPr>
                <w:iCs/>
                <w:color w:val="4D4DB8"/>
                <w:sz w:val="16"/>
                <w:szCs w:val="16"/>
              </w:rPr>
              <w:t>31%</w:t>
            </w:r>
          </w:p>
        </w:tc>
        <w:tc>
          <w:tcPr>
            <w:tcW w:w="0" w:type="dxa"/>
            <w:tcBorders>
              <w:top w:val="dotted" w:sz="4" w:space="0" w:color="AAABD6"/>
              <w:left w:val="single" w:sz="4" w:space="0" w:color="AAABD6"/>
              <w:bottom w:val="dotted" w:sz="4" w:space="0" w:color="AAABD6"/>
              <w:right w:val="single" w:sz="4" w:space="0" w:color="AAABD6"/>
            </w:tcBorders>
          </w:tcPr>
          <w:p w14:paraId="6CED11B0"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0" w:type="dxa"/>
            <w:tcBorders>
              <w:top w:val="dotted" w:sz="4" w:space="0" w:color="AAABD6"/>
              <w:left w:val="single" w:sz="4" w:space="0" w:color="AAABD6"/>
              <w:bottom w:val="dotted" w:sz="4" w:space="0" w:color="AAABD6"/>
              <w:right w:val="single" w:sz="4" w:space="0" w:color="AAABD6"/>
            </w:tcBorders>
            <w:vAlign w:val="bottom"/>
          </w:tcPr>
          <w:p w14:paraId="5DCC78C2"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233,154</w:t>
            </w:r>
          </w:p>
        </w:tc>
        <w:tc>
          <w:tcPr>
            <w:tcW w:w="0" w:type="dxa"/>
            <w:tcBorders>
              <w:top w:val="dotted" w:sz="4" w:space="0" w:color="AAABD6"/>
              <w:left w:val="single" w:sz="4" w:space="0" w:color="AAABD6"/>
              <w:bottom w:val="dotted" w:sz="4" w:space="0" w:color="AAABD6"/>
              <w:right w:val="single" w:sz="4" w:space="0" w:color="AAABD6"/>
            </w:tcBorders>
            <w:vAlign w:val="bottom"/>
          </w:tcPr>
          <w:p w14:paraId="08419301"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233,154</w:t>
            </w:r>
          </w:p>
        </w:tc>
        <w:tc>
          <w:tcPr>
            <w:tcW w:w="0" w:type="dxa"/>
            <w:tcBorders>
              <w:top w:val="dotted" w:sz="4" w:space="0" w:color="AAABD6"/>
              <w:left w:val="single" w:sz="4" w:space="0" w:color="AAABD6"/>
              <w:bottom w:val="dotted" w:sz="4" w:space="0" w:color="AAABD6"/>
              <w:right w:val="single" w:sz="4" w:space="0" w:color="AAABD6"/>
            </w:tcBorders>
            <w:vAlign w:val="bottom"/>
          </w:tcPr>
          <w:p w14:paraId="56B14FC0"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233,154</w:t>
            </w:r>
          </w:p>
        </w:tc>
        <w:tc>
          <w:tcPr>
            <w:tcW w:w="0" w:type="dxa"/>
            <w:tcBorders>
              <w:top w:val="dotted" w:sz="4" w:space="0" w:color="AAABD6"/>
              <w:left w:val="single" w:sz="4" w:space="0" w:color="AAABD6"/>
              <w:bottom w:val="dotted" w:sz="4" w:space="0" w:color="AAABD6"/>
              <w:right w:val="single" w:sz="4" w:space="0" w:color="AAABD6"/>
            </w:tcBorders>
            <w:vAlign w:val="bottom"/>
          </w:tcPr>
          <w:p w14:paraId="6B4D500A"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233,154</w:t>
            </w:r>
          </w:p>
        </w:tc>
        <w:tc>
          <w:tcPr>
            <w:tcW w:w="0" w:type="dxa"/>
            <w:tcBorders>
              <w:top w:val="dotted" w:sz="4" w:space="0" w:color="AAABD6"/>
              <w:left w:val="single" w:sz="4" w:space="0" w:color="AAABD6"/>
              <w:bottom w:val="dotted" w:sz="4" w:space="0" w:color="AAABD6"/>
              <w:right w:val="single" w:sz="4" w:space="0" w:color="AAABD6"/>
            </w:tcBorders>
            <w:vAlign w:val="bottom"/>
          </w:tcPr>
          <w:p w14:paraId="100480ED"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233,154</w:t>
            </w:r>
          </w:p>
        </w:tc>
        <w:tc>
          <w:tcPr>
            <w:tcW w:w="0" w:type="dxa"/>
            <w:tcBorders>
              <w:top w:val="dotted" w:sz="4" w:space="0" w:color="AAABD6"/>
              <w:left w:val="single" w:sz="4" w:space="0" w:color="AAABD6"/>
              <w:bottom w:val="dotted" w:sz="4" w:space="0" w:color="AAABD6"/>
              <w:right w:val="single" w:sz="4" w:space="0" w:color="AAABD6"/>
            </w:tcBorders>
            <w:vAlign w:val="bottom"/>
          </w:tcPr>
          <w:p w14:paraId="17D2D027"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233,154</w:t>
            </w:r>
          </w:p>
        </w:tc>
        <w:tc>
          <w:tcPr>
            <w:tcW w:w="0" w:type="dxa"/>
            <w:tcBorders>
              <w:top w:val="dotted" w:sz="4" w:space="0" w:color="AAABD6"/>
              <w:left w:val="single" w:sz="4" w:space="0" w:color="AAABD6"/>
              <w:bottom w:val="dotted" w:sz="4" w:space="0" w:color="AAABD6"/>
              <w:right w:val="single" w:sz="4" w:space="0" w:color="AAABD6"/>
            </w:tcBorders>
            <w:vAlign w:val="bottom"/>
          </w:tcPr>
          <w:p w14:paraId="0D8829A9"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233,154</w:t>
            </w:r>
          </w:p>
        </w:tc>
        <w:tc>
          <w:tcPr>
            <w:tcW w:w="0" w:type="dxa"/>
            <w:tcBorders>
              <w:top w:val="dotted" w:sz="4" w:space="0" w:color="AAABD6"/>
              <w:left w:val="single" w:sz="4" w:space="0" w:color="AAABD6"/>
              <w:bottom w:val="dotted" w:sz="4" w:space="0" w:color="AAABD6"/>
              <w:right w:val="single" w:sz="4" w:space="0" w:color="AAABD6"/>
            </w:tcBorders>
            <w:vAlign w:val="bottom"/>
          </w:tcPr>
          <w:p w14:paraId="3BB2E26E"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233,154</w:t>
            </w:r>
          </w:p>
        </w:tc>
        <w:tc>
          <w:tcPr>
            <w:tcW w:w="0" w:type="dxa"/>
            <w:tcBorders>
              <w:top w:val="dotted" w:sz="4" w:space="0" w:color="AAABD6"/>
              <w:left w:val="single" w:sz="4" w:space="0" w:color="AAABD6"/>
              <w:bottom w:val="dotted" w:sz="4" w:space="0" w:color="AAABD6"/>
              <w:right w:val="single" w:sz="4" w:space="0" w:color="AAABD6"/>
            </w:tcBorders>
            <w:vAlign w:val="bottom"/>
          </w:tcPr>
          <w:p w14:paraId="58A56BFA"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233,154</w:t>
            </w:r>
          </w:p>
        </w:tc>
        <w:tc>
          <w:tcPr>
            <w:tcW w:w="0" w:type="dxa"/>
            <w:tcBorders>
              <w:top w:val="dotted" w:sz="4" w:space="0" w:color="AAABD6"/>
              <w:left w:val="single" w:sz="4" w:space="0" w:color="AAABD6"/>
              <w:bottom w:val="dotted" w:sz="4" w:space="0" w:color="AAABD6"/>
              <w:right w:val="single" w:sz="4" w:space="0" w:color="AAABD6"/>
            </w:tcBorders>
            <w:vAlign w:val="bottom"/>
          </w:tcPr>
          <w:p w14:paraId="5D2C43BD"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233,154</w:t>
            </w:r>
          </w:p>
        </w:tc>
        <w:tc>
          <w:tcPr>
            <w:tcW w:w="0" w:type="dxa"/>
            <w:tcBorders>
              <w:top w:val="dotted" w:sz="4" w:space="0" w:color="AAABD6"/>
              <w:left w:val="single" w:sz="4" w:space="0" w:color="AAABD6"/>
              <w:bottom w:val="dotted" w:sz="4" w:space="0" w:color="AAABD6"/>
              <w:right w:val="single" w:sz="4" w:space="0" w:color="AAABD6"/>
            </w:tcBorders>
            <w:vAlign w:val="bottom"/>
          </w:tcPr>
          <w:p w14:paraId="062F9569"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233,154</w:t>
            </w:r>
          </w:p>
        </w:tc>
        <w:tc>
          <w:tcPr>
            <w:tcW w:w="0" w:type="dxa"/>
            <w:tcBorders>
              <w:top w:val="dotted" w:sz="4" w:space="0" w:color="AAABD6"/>
              <w:left w:val="single" w:sz="4" w:space="0" w:color="AAABD6"/>
              <w:bottom w:val="dotted" w:sz="4" w:space="0" w:color="AAABD6"/>
              <w:right w:val="single" w:sz="4" w:space="0" w:color="AAABD6"/>
            </w:tcBorders>
            <w:vAlign w:val="bottom"/>
          </w:tcPr>
          <w:p w14:paraId="6A839843"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233,154</w:t>
            </w:r>
          </w:p>
        </w:tc>
        <w:tc>
          <w:tcPr>
            <w:tcW w:w="0" w:type="dxa"/>
            <w:tcBorders>
              <w:top w:val="dotted" w:sz="4" w:space="0" w:color="AAABD6"/>
              <w:left w:val="single" w:sz="4" w:space="0" w:color="AAABD6"/>
              <w:bottom w:val="dotted" w:sz="4" w:space="0" w:color="AAABD6"/>
              <w:right w:val="single" w:sz="4" w:space="0" w:color="AAABD6"/>
            </w:tcBorders>
            <w:vAlign w:val="bottom"/>
          </w:tcPr>
          <w:p w14:paraId="5575283E"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233,154</w:t>
            </w:r>
          </w:p>
        </w:tc>
        <w:tc>
          <w:tcPr>
            <w:tcW w:w="0" w:type="dxa"/>
            <w:tcBorders>
              <w:top w:val="dotted" w:sz="4" w:space="0" w:color="AAABD6"/>
              <w:left w:val="single" w:sz="4" w:space="0" w:color="AAABD6"/>
              <w:bottom w:val="dotted" w:sz="4" w:space="0" w:color="AAABD6"/>
              <w:right w:val="single" w:sz="4" w:space="0" w:color="AAABD6"/>
            </w:tcBorders>
            <w:vAlign w:val="bottom"/>
          </w:tcPr>
          <w:p w14:paraId="0A95AD91"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233,154</w:t>
            </w:r>
          </w:p>
        </w:tc>
        <w:tc>
          <w:tcPr>
            <w:tcW w:w="0" w:type="dxa"/>
            <w:tcBorders>
              <w:top w:val="dotted" w:sz="4" w:space="0" w:color="AAABD6"/>
              <w:left w:val="single" w:sz="4" w:space="0" w:color="AAABD6"/>
              <w:bottom w:val="dotted" w:sz="4" w:space="0" w:color="AAABD6"/>
              <w:right w:val="single" w:sz="4" w:space="0" w:color="AAABD6"/>
            </w:tcBorders>
            <w:vAlign w:val="bottom"/>
          </w:tcPr>
          <w:p w14:paraId="2B303B64"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233,154</w:t>
            </w:r>
          </w:p>
        </w:tc>
        <w:tc>
          <w:tcPr>
            <w:tcW w:w="0" w:type="dxa"/>
            <w:tcBorders>
              <w:top w:val="dotted" w:sz="4" w:space="0" w:color="AAABD6"/>
              <w:left w:val="single" w:sz="4" w:space="0" w:color="AAABD6"/>
              <w:bottom w:val="dotted" w:sz="4" w:space="0" w:color="AAABD6"/>
              <w:right w:val="single" w:sz="4" w:space="0" w:color="AAABD6"/>
            </w:tcBorders>
            <w:vAlign w:val="bottom"/>
          </w:tcPr>
          <w:p w14:paraId="74632924"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233,154</w:t>
            </w:r>
          </w:p>
        </w:tc>
        <w:tc>
          <w:tcPr>
            <w:tcW w:w="0" w:type="dxa"/>
            <w:tcBorders>
              <w:top w:val="dotted" w:sz="4" w:space="0" w:color="AAABD6"/>
              <w:left w:val="single" w:sz="4" w:space="0" w:color="AAABD6"/>
              <w:bottom w:val="dotted" w:sz="4" w:space="0" w:color="AAABD6"/>
              <w:right w:val="single" w:sz="4" w:space="0" w:color="AAABD6"/>
            </w:tcBorders>
            <w:vAlign w:val="bottom"/>
          </w:tcPr>
          <w:p w14:paraId="1B2E44AA"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233,154</w:t>
            </w:r>
          </w:p>
        </w:tc>
        <w:tc>
          <w:tcPr>
            <w:tcW w:w="0" w:type="dxa"/>
            <w:tcBorders>
              <w:top w:val="dotted" w:sz="4" w:space="0" w:color="AAABD6"/>
              <w:left w:val="single" w:sz="4" w:space="0" w:color="AAABD6"/>
              <w:bottom w:val="dotted" w:sz="4" w:space="0" w:color="AAABD6"/>
              <w:right w:val="single" w:sz="4" w:space="0" w:color="AAABD6"/>
            </w:tcBorders>
            <w:vAlign w:val="bottom"/>
          </w:tcPr>
          <w:p w14:paraId="590CE787"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233,154</w:t>
            </w:r>
          </w:p>
        </w:tc>
      </w:tr>
      <w:tr w:rsidR="005B545D" w:rsidRPr="00100F0A" w14:paraId="4CD5E53D"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tcPr>
          <w:p w14:paraId="2A196FCD" w14:textId="77777777" w:rsidR="002169F6" w:rsidRPr="00100F0A" w:rsidRDefault="002169F6" w:rsidP="002169F6">
            <w:pPr>
              <w:rPr>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2CE2D2CE"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NT</w:t>
            </w:r>
          </w:p>
        </w:tc>
        <w:tc>
          <w:tcPr>
            <w:tcW w:w="0" w:type="dxa"/>
            <w:vMerge/>
            <w:tcBorders>
              <w:left w:val="single" w:sz="4" w:space="0" w:color="AAABD6"/>
              <w:right w:val="single" w:sz="4" w:space="0" w:color="AAABD6"/>
            </w:tcBorders>
          </w:tcPr>
          <w:p w14:paraId="14BDFFAE"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dotted" w:sz="4" w:space="0" w:color="AAABD6"/>
              <w:left w:val="single" w:sz="4" w:space="0" w:color="AAABD6"/>
              <w:bottom w:val="dotted" w:sz="4" w:space="0" w:color="AAABD6"/>
              <w:right w:val="nil"/>
            </w:tcBorders>
            <w:shd w:val="clear" w:color="auto" w:fill="auto"/>
          </w:tcPr>
          <w:p w14:paraId="58067DB1"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tc>
        <w:tc>
          <w:tcPr>
            <w:tcW w:w="0" w:type="dxa"/>
            <w:tcBorders>
              <w:top w:val="dotted" w:sz="4" w:space="0" w:color="AAABD6"/>
              <w:left w:val="nil"/>
              <w:bottom w:val="dotted" w:sz="4" w:space="0" w:color="AAABD6"/>
              <w:right w:val="single" w:sz="4" w:space="0" w:color="AAABD6"/>
            </w:tcBorders>
            <w:shd w:val="clear" w:color="auto" w:fill="auto"/>
          </w:tcPr>
          <w:p w14:paraId="0C10D415"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iCs/>
                <w:color w:val="4D4DB8"/>
                <w:sz w:val="16"/>
                <w:szCs w:val="16"/>
              </w:rPr>
            </w:pPr>
            <w:r w:rsidRPr="00100F0A">
              <w:rPr>
                <w:iCs/>
                <w:color w:val="4D4DB8"/>
                <w:sz w:val="16"/>
                <w:szCs w:val="16"/>
              </w:rPr>
              <w:t>1%</w:t>
            </w:r>
          </w:p>
        </w:tc>
        <w:tc>
          <w:tcPr>
            <w:tcW w:w="0" w:type="dxa"/>
            <w:tcBorders>
              <w:top w:val="dotted" w:sz="4" w:space="0" w:color="AAABD6"/>
              <w:left w:val="single" w:sz="4" w:space="0" w:color="AAABD6"/>
              <w:bottom w:val="dotted" w:sz="4" w:space="0" w:color="AAABD6"/>
              <w:right w:val="single" w:sz="4" w:space="0" w:color="AAABD6"/>
            </w:tcBorders>
          </w:tcPr>
          <w:p w14:paraId="7CA4E8DD"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0" w:type="dxa"/>
            <w:tcBorders>
              <w:top w:val="dotted" w:sz="4" w:space="0" w:color="AAABD6"/>
              <w:left w:val="single" w:sz="4" w:space="0" w:color="AAABD6"/>
              <w:bottom w:val="dotted" w:sz="4" w:space="0" w:color="AAABD6"/>
              <w:right w:val="single" w:sz="4" w:space="0" w:color="AAABD6"/>
            </w:tcBorders>
            <w:vAlign w:val="bottom"/>
          </w:tcPr>
          <w:p w14:paraId="5D86722D"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7,783</w:t>
            </w:r>
          </w:p>
        </w:tc>
        <w:tc>
          <w:tcPr>
            <w:tcW w:w="0" w:type="dxa"/>
            <w:tcBorders>
              <w:top w:val="dotted" w:sz="4" w:space="0" w:color="AAABD6"/>
              <w:left w:val="single" w:sz="4" w:space="0" w:color="AAABD6"/>
              <w:bottom w:val="dotted" w:sz="4" w:space="0" w:color="AAABD6"/>
              <w:right w:val="single" w:sz="4" w:space="0" w:color="AAABD6"/>
            </w:tcBorders>
            <w:vAlign w:val="bottom"/>
          </w:tcPr>
          <w:p w14:paraId="09D706FC"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7,783</w:t>
            </w:r>
          </w:p>
        </w:tc>
        <w:tc>
          <w:tcPr>
            <w:tcW w:w="0" w:type="dxa"/>
            <w:tcBorders>
              <w:top w:val="dotted" w:sz="4" w:space="0" w:color="AAABD6"/>
              <w:left w:val="single" w:sz="4" w:space="0" w:color="AAABD6"/>
              <w:bottom w:val="dotted" w:sz="4" w:space="0" w:color="AAABD6"/>
              <w:right w:val="single" w:sz="4" w:space="0" w:color="AAABD6"/>
            </w:tcBorders>
            <w:vAlign w:val="bottom"/>
          </w:tcPr>
          <w:p w14:paraId="1933B4D6"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7,783</w:t>
            </w:r>
          </w:p>
        </w:tc>
        <w:tc>
          <w:tcPr>
            <w:tcW w:w="0" w:type="dxa"/>
            <w:tcBorders>
              <w:top w:val="dotted" w:sz="4" w:space="0" w:color="AAABD6"/>
              <w:left w:val="single" w:sz="4" w:space="0" w:color="AAABD6"/>
              <w:bottom w:val="dotted" w:sz="4" w:space="0" w:color="AAABD6"/>
              <w:right w:val="single" w:sz="4" w:space="0" w:color="AAABD6"/>
            </w:tcBorders>
            <w:vAlign w:val="bottom"/>
          </w:tcPr>
          <w:p w14:paraId="6FAD2D90"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7,783</w:t>
            </w:r>
          </w:p>
        </w:tc>
        <w:tc>
          <w:tcPr>
            <w:tcW w:w="0" w:type="dxa"/>
            <w:tcBorders>
              <w:top w:val="dotted" w:sz="4" w:space="0" w:color="AAABD6"/>
              <w:left w:val="single" w:sz="4" w:space="0" w:color="AAABD6"/>
              <w:bottom w:val="dotted" w:sz="4" w:space="0" w:color="AAABD6"/>
              <w:right w:val="single" w:sz="4" w:space="0" w:color="AAABD6"/>
            </w:tcBorders>
            <w:vAlign w:val="bottom"/>
          </w:tcPr>
          <w:p w14:paraId="61B9D383"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7,783</w:t>
            </w:r>
          </w:p>
        </w:tc>
        <w:tc>
          <w:tcPr>
            <w:tcW w:w="0" w:type="dxa"/>
            <w:tcBorders>
              <w:top w:val="dotted" w:sz="4" w:space="0" w:color="AAABD6"/>
              <w:left w:val="single" w:sz="4" w:space="0" w:color="AAABD6"/>
              <w:bottom w:val="dotted" w:sz="4" w:space="0" w:color="AAABD6"/>
              <w:right w:val="single" w:sz="4" w:space="0" w:color="AAABD6"/>
            </w:tcBorders>
            <w:vAlign w:val="bottom"/>
          </w:tcPr>
          <w:p w14:paraId="30F43F81"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7,783</w:t>
            </w:r>
          </w:p>
        </w:tc>
        <w:tc>
          <w:tcPr>
            <w:tcW w:w="0" w:type="dxa"/>
            <w:tcBorders>
              <w:top w:val="dotted" w:sz="4" w:space="0" w:color="AAABD6"/>
              <w:left w:val="single" w:sz="4" w:space="0" w:color="AAABD6"/>
              <w:bottom w:val="dotted" w:sz="4" w:space="0" w:color="AAABD6"/>
              <w:right w:val="single" w:sz="4" w:space="0" w:color="AAABD6"/>
            </w:tcBorders>
            <w:vAlign w:val="bottom"/>
          </w:tcPr>
          <w:p w14:paraId="2534F575"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7,783</w:t>
            </w:r>
          </w:p>
        </w:tc>
        <w:tc>
          <w:tcPr>
            <w:tcW w:w="0" w:type="dxa"/>
            <w:tcBorders>
              <w:top w:val="dotted" w:sz="4" w:space="0" w:color="AAABD6"/>
              <w:left w:val="single" w:sz="4" w:space="0" w:color="AAABD6"/>
              <w:bottom w:val="dotted" w:sz="4" w:space="0" w:color="AAABD6"/>
              <w:right w:val="single" w:sz="4" w:space="0" w:color="AAABD6"/>
            </w:tcBorders>
            <w:vAlign w:val="bottom"/>
          </w:tcPr>
          <w:p w14:paraId="7BB948D1"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7,783</w:t>
            </w:r>
          </w:p>
        </w:tc>
        <w:tc>
          <w:tcPr>
            <w:tcW w:w="0" w:type="dxa"/>
            <w:tcBorders>
              <w:top w:val="dotted" w:sz="4" w:space="0" w:color="AAABD6"/>
              <w:left w:val="single" w:sz="4" w:space="0" w:color="AAABD6"/>
              <w:bottom w:val="dotted" w:sz="4" w:space="0" w:color="AAABD6"/>
              <w:right w:val="single" w:sz="4" w:space="0" w:color="AAABD6"/>
            </w:tcBorders>
            <w:vAlign w:val="bottom"/>
          </w:tcPr>
          <w:p w14:paraId="0E2B666D"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7,783</w:t>
            </w:r>
          </w:p>
        </w:tc>
        <w:tc>
          <w:tcPr>
            <w:tcW w:w="0" w:type="dxa"/>
            <w:tcBorders>
              <w:top w:val="dotted" w:sz="4" w:space="0" w:color="AAABD6"/>
              <w:left w:val="single" w:sz="4" w:space="0" w:color="AAABD6"/>
              <w:bottom w:val="dotted" w:sz="4" w:space="0" w:color="AAABD6"/>
              <w:right w:val="single" w:sz="4" w:space="0" w:color="AAABD6"/>
            </w:tcBorders>
            <w:vAlign w:val="bottom"/>
          </w:tcPr>
          <w:p w14:paraId="320517AD"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7,783</w:t>
            </w:r>
          </w:p>
        </w:tc>
        <w:tc>
          <w:tcPr>
            <w:tcW w:w="0" w:type="dxa"/>
            <w:tcBorders>
              <w:top w:val="dotted" w:sz="4" w:space="0" w:color="AAABD6"/>
              <w:left w:val="single" w:sz="4" w:space="0" w:color="AAABD6"/>
              <w:bottom w:val="dotted" w:sz="4" w:space="0" w:color="AAABD6"/>
              <w:right w:val="single" w:sz="4" w:space="0" w:color="AAABD6"/>
            </w:tcBorders>
            <w:vAlign w:val="bottom"/>
          </w:tcPr>
          <w:p w14:paraId="086A048B"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7,783</w:t>
            </w:r>
          </w:p>
        </w:tc>
        <w:tc>
          <w:tcPr>
            <w:tcW w:w="0" w:type="dxa"/>
            <w:tcBorders>
              <w:top w:val="dotted" w:sz="4" w:space="0" w:color="AAABD6"/>
              <w:left w:val="single" w:sz="4" w:space="0" w:color="AAABD6"/>
              <w:bottom w:val="dotted" w:sz="4" w:space="0" w:color="AAABD6"/>
              <w:right w:val="single" w:sz="4" w:space="0" w:color="AAABD6"/>
            </w:tcBorders>
            <w:vAlign w:val="bottom"/>
          </w:tcPr>
          <w:p w14:paraId="663D00EA"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7,783</w:t>
            </w:r>
          </w:p>
        </w:tc>
        <w:tc>
          <w:tcPr>
            <w:tcW w:w="0" w:type="dxa"/>
            <w:tcBorders>
              <w:top w:val="dotted" w:sz="4" w:space="0" w:color="AAABD6"/>
              <w:left w:val="single" w:sz="4" w:space="0" w:color="AAABD6"/>
              <w:bottom w:val="dotted" w:sz="4" w:space="0" w:color="AAABD6"/>
              <w:right w:val="single" w:sz="4" w:space="0" w:color="AAABD6"/>
            </w:tcBorders>
            <w:vAlign w:val="bottom"/>
          </w:tcPr>
          <w:p w14:paraId="4D590898"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7,783</w:t>
            </w:r>
          </w:p>
        </w:tc>
        <w:tc>
          <w:tcPr>
            <w:tcW w:w="0" w:type="dxa"/>
            <w:tcBorders>
              <w:top w:val="dotted" w:sz="4" w:space="0" w:color="AAABD6"/>
              <w:left w:val="single" w:sz="4" w:space="0" w:color="AAABD6"/>
              <w:bottom w:val="dotted" w:sz="4" w:space="0" w:color="AAABD6"/>
              <w:right w:val="single" w:sz="4" w:space="0" w:color="AAABD6"/>
            </w:tcBorders>
            <w:vAlign w:val="bottom"/>
          </w:tcPr>
          <w:p w14:paraId="6BAB8529"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7,783</w:t>
            </w:r>
          </w:p>
        </w:tc>
        <w:tc>
          <w:tcPr>
            <w:tcW w:w="0" w:type="dxa"/>
            <w:tcBorders>
              <w:top w:val="dotted" w:sz="4" w:space="0" w:color="AAABD6"/>
              <w:left w:val="single" w:sz="4" w:space="0" w:color="AAABD6"/>
              <w:bottom w:val="dotted" w:sz="4" w:space="0" w:color="AAABD6"/>
              <w:right w:val="single" w:sz="4" w:space="0" w:color="AAABD6"/>
            </w:tcBorders>
            <w:vAlign w:val="bottom"/>
          </w:tcPr>
          <w:p w14:paraId="2E205CD9"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7,783</w:t>
            </w:r>
          </w:p>
        </w:tc>
        <w:tc>
          <w:tcPr>
            <w:tcW w:w="0" w:type="dxa"/>
            <w:tcBorders>
              <w:top w:val="dotted" w:sz="4" w:space="0" w:color="AAABD6"/>
              <w:left w:val="single" w:sz="4" w:space="0" w:color="AAABD6"/>
              <w:bottom w:val="dotted" w:sz="4" w:space="0" w:color="AAABD6"/>
              <w:right w:val="single" w:sz="4" w:space="0" w:color="AAABD6"/>
            </w:tcBorders>
            <w:vAlign w:val="bottom"/>
          </w:tcPr>
          <w:p w14:paraId="2A96BA7D"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7,783</w:t>
            </w:r>
          </w:p>
        </w:tc>
        <w:tc>
          <w:tcPr>
            <w:tcW w:w="0" w:type="dxa"/>
            <w:tcBorders>
              <w:top w:val="dotted" w:sz="4" w:space="0" w:color="AAABD6"/>
              <w:left w:val="single" w:sz="4" w:space="0" w:color="AAABD6"/>
              <w:bottom w:val="dotted" w:sz="4" w:space="0" w:color="AAABD6"/>
              <w:right w:val="single" w:sz="4" w:space="0" w:color="AAABD6"/>
            </w:tcBorders>
            <w:vAlign w:val="bottom"/>
          </w:tcPr>
          <w:p w14:paraId="737D1616"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7,783</w:t>
            </w:r>
          </w:p>
        </w:tc>
        <w:tc>
          <w:tcPr>
            <w:tcW w:w="0" w:type="dxa"/>
            <w:tcBorders>
              <w:top w:val="dotted" w:sz="4" w:space="0" w:color="AAABD6"/>
              <w:left w:val="single" w:sz="4" w:space="0" w:color="AAABD6"/>
              <w:bottom w:val="dotted" w:sz="4" w:space="0" w:color="AAABD6"/>
              <w:right w:val="single" w:sz="4" w:space="0" w:color="AAABD6"/>
            </w:tcBorders>
            <w:vAlign w:val="bottom"/>
          </w:tcPr>
          <w:p w14:paraId="20C5518A"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7,783</w:t>
            </w:r>
          </w:p>
        </w:tc>
      </w:tr>
      <w:tr w:rsidR="005B545D" w:rsidRPr="00100F0A" w14:paraId="6C766748"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tcPr>
          <w:p w14:paraId="44C8214A" w14:textId="77777777" w:rsidR="002169F6" w:rsidRPr="00100F0A" w:rsidRDefault="002169F6" w:rsidP="002169F6">
            <w:pPr>
              <w:rPr>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4CB1DC57"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Qld</w:t>
            </w:r>
          </w:p>
        </w:tc>
        <w:tc>
          <w:tcPr>
            <w:tcW w:w="0" w:type="dxa"/>
            <w:vMerge/>
            <w:tcBorders>
              <w:left w:val="single" w:sz="4" w:space="0" w:color="AAABD6"/>
              <w:right w:val="single" w:sz="4" w:space="0" w:color="AAABD6"/>
            </w:tcBorders>
          </w:tcPr>
          <w:p w14:paraId="5E5EC1E2"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dotted" w:sz="4" w:space="0" w:color="AAABD6"/>
              <w:left w:val="single" w:sz="4" w:space="0" w:color="AAABD6"/>
              <w:bottom w:val="dotted" w:sz="4" w:space="0" w:color="AAABD6"/>
              <w:right w:val="nil"/>
            </w:tcBorders>
            <w:shd w:val="clear" w:color="auto" w:fill="auto"/>
          </w:tcPr>
          <w:p w14:paraId="7440D17E"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tc>
        <w:tc>
          <w:tcPr>
            <w:tcW w:w="0" w:type="dxa"/>
            <w:tcBorders>
              <w:top w:val="dotted" w:sz="4" w:space="0" w:color="AAABD6"/>
              <w:left w:val="nil"/>
              <w:bottom w:val="dotted" w:sz="4" w:space="0" w:color="AAABD6"/>
              <w:right w:val="single" w:sz="4" w:space="0" w:color="AAABD6"/>
            </w:tcBorders>
            <w:shd w:val="clear" w:color="auto" w:fill="auto"/>
          </w:tcPr>
          <w:p w14:paraId="75B1B92B"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iCs/>
                <w:color w:val="4D4DB8"/>
                <w:sz w:val="16"/>
                <w:szCs w:val="16"/>
              </w:rPr>
            </w:pPr>
            <w:r w:rsidRPr="00100F0A">
              <w:rPr>
                <w:iCs/>
                <w:color w:val="4D4DB8"/>
                <w:sz w:val="16"/>
                <w:szCs w:val="16"/>
              </w:rPr>
              <w:t>21%</w:t>
            </w:r>
          </w:p>
        </w:tc>
        <w:tc>
          <w:tcPr>
            <w:tcW w:w="0" w:type="dxa"/>
            <w:tcBorders>
              <w:top w:val="dotted" w:sz="4" w:space="0" w:color="AAABD6"/>
              <w:left w:val="single" w:sz="4" w:space="0" w:color="AAABD6"/>
              <w:bottom w:val="dotted" w:sz="4" w:space="0" w:color="AAABD6"/>
              <w:right w:val="single" w:sz="4" w:space="0" w:color="AAABD6"/>
            </w:tcBorders>
          </w:tcPr>
          <w:p w14:paraId="3E19A420"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0" w:type="dxa"/>
            <w:tcBorders>
              <w:top w:val="dotted" w:sz="4" w:space="0" w:color="AAABD6"/>
              <w:left w:val="single" w:sz="4" w:space="0" w:color="AAABD6"/>
              <w:bottom w:val="dotted" w:sz="4" w:space="0" w:color="AAABD6"/>
              <w:right w:val="single" w:sz="4" w:space="0" w:color="AAABD6"/>
            </w:tcBorders>
            <w:vAlign w:val="bottom"/>
          </w:tcPr>
          <w:p w14:paraId="78BA430D"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154,377</w:t>
            </w:r>
          </w:p>
        </w:tc>
        <w:tc>
          <w:tcPr>
            <w:tcW w:w="0" w:type="dxa"/>
            <w:tcBorders>
              <w:top w:val="dotted" w:sz="4" w:space="0" w:color="AAABD6"/>
              <w:left w:val="single" w:sz="4" w:space="0" w:color="AAABD6"/>
              <w:bottom w:val="dotted" w:sz="4" w:space="0" w:color="AAABD6"/>
              <w:right w:val="single" w:sz="4" w:space="0" w:color="AAABD6"/>
            </w:tcBorders>
            <w:vAlign w:val="bottom"/>
          </w:tcPr>
          <w:p w14:paraId="1CAB4B5A"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154,377</w:t>
            </w:r>
          </w:p>
        </w:tc>
        <w:tc>
          <w:tcPr>
            <w:tcW w:w="0" w:type="dxa"/>
            <w:tcBorders>
              <w:top w:val="dotted" w:sz="4" w:space="0" w:color="AAABD6"/>
              <w:left w:val="single" w:sz="4" w:space="0" w:color="AAABD6"/>
              <w:bottom w:val="dotted" w:sz="4" w:space="0" w:color="AAABD6"/>
              <w:right w:val="single" w:sz="4" w:space="0" w:color="AAABD6"/>
            </w:tcBorders>
            <w:vAlign w:val="bottom"/>
          </w:tcPr>
          <w:p w14:paraId="72767876"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154,377</w:t>
            </w:r>
          </w:p>
        </w:tc>
        <w:tc>
          <w:tcPr>
            <w:tcW w:w="0" w:type="dxa"/>
            <w:tcBorders>
              <w:top w:val="dotted" w:sz="4" w:space="0" w:color="AAABD6"/>
              <w:left w:val="single" w:sz="4" w:space="0" w:color="AAABD6"/>
              <w:bottom w:val="dotted" w:sz="4" w:space="0" w:color="AAABD6"/>
              <w:right w:val="single" w:sz="4" w:space="0" w:color="AAABD6"/>
            </w:tcBorders>
            <w:vAlign w:val="bottom"/>
          </w:tcPr>
          <w:p w14:paraId="45F82C9F"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154,377</w:t>
            </w:r>
          </w:p>
        </w:tc>
        <w:tc>
          <w:tcPr>
            <w:tcW w:w="0" w:type="dxa"/>
            <w:tcBorders>
              <w:top w:val="dotted" w:sz="4" w:space="0" w:color="AAABD6"/>
              <w:left w:val="single" w:sz="4" w:space="0" w:color="AAABD6"/>
              <w:bottom w:val="dotted" w:sz="4" w:space="0" w:color="AAABD6"/>
              <w:right w:val="single" w:sz="4" w:space="0" w:color="AAABD6"/>
            </w:tcBorders>
            <w:vAlign w:val="bottom"/>
          </w:tcPr>
          <w:p w14:paraId="5CD49D03"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154,377</w:t>
            </w:r>
          </w:p>
        </w:tc>
        <w:tc>
          <w:tcPr>
            <w:tcW w:w="0" w:type="dxa"/>
            <w:tcBorders>
              <w:top w:val="dotted" w:sz="4" w:space="0" w:color="AAABD6"/>
              <w:left w:val="single" w:sz="4" w:space="0" w:color="AAABD6"/>
              <w:bottom w:val="dotted" w:sz="4" w:space="0" w:color="AAABD6"/>
              <w:right w:val="single" w:sz="4" w:space="0" w:color="AAABD6"/>
            </w:tcBorders>
            <w:vAlign w:val="bottom"/>
          </w:tcPr>
          <w:p w14:paraId="63986058"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154,377</w:t>
            </w:r>
          </w:p>
        </w:tc>
        <w:tc>
          <w:tcPr>
            <w:tcW w:w="0" w:type="dxa"/>
            <w:tcBorders>
              <w:top w:val="dotted" w:sz="4" w:space="0" w:color="AAABD6"/>
              <w:left w:val="single" w:sz="4" w:space="0" w:color="AAABD6"/>
              <w:bottom w:val="dotted" w:sz="4" w:space="0" w:color="AAABD6"/>
              <w:right w:val="single" w:sz="4" w:space="0" w:color="AAABD6"/>
            </w:tcBorders>
            <w:vAlign w:val="bottom"/>
          </w:tcPr>
          <w:p w14:paraId="67B4EB28"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154,377</w:t>
            </w:r>
          </w:p>
        </w:tc>
        <w:tc>
          <w:tcPr>
            <w:tcW w:w="0" w:type="dxa"/>
            <w:tcBorders>
              <w:top w:val="dotted" w:sz="4" w:space="0" w:color="AAABD6"/>
              <w:left w:val="single" w:sz="4" w:space="0" w:color="AAABD6"/>
              <w:bottom w:val="dotted" w:sz="4" w:space="0" w:color="AAABD6"/>
              <w:right w:val="single" w:sz="4" w:space="0" w:color="AAABD6"/>
            </w:tcBorders>
            <w:vAlign w:val="bottom"/>
          </w:tcPr>
          <w:p w14:paraId="22AE398C"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154,377</w:t>
            </w:r>
          </w:p>
        </w:tc>
        <w:tc>
          <w:tcPr>
            <w:tcW w:w="0" w:type="dxa"/>
            <w:tcBorders>
              <w:top w:val="dotted" w:sz="4" w:space="0" w:color="AAABD6"/>
              <w:left w:val="single" w:sz="4" w:space="0" w:color="AAABD6"/>
              <w:bottom w:val="dotted" w:sz="4" w:space="0" w:color="AAABD6"/>
              <w:right w:val="single" w:sz="4" w:space="0" w:color="AAABD6"/>
            </w:tcBorders>
            <w:vAlign w:val="bottom"/>
          </w:tcPr>
          <w:p w14:paraId="10E26570"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154,377</w:t>
            </w:r>
          </w:p>
        </w:tc>
        <w:tc>
          <w:tcPr>
            <w:tcW w:w="0" w:type="dxa"/>
            <w:tcBorders>
              <w:top w:val="dotted" w:sz="4" w:space="0" w:color="AAABD6"/>
              <w:left w:val="single" w:sz="4" w:space="0" w:color="AAABD6"/>
              <w:bottom w:val="dotted" w:sz="4" w:space="0" w:color="AAABD6"/>
              <w:right w:val="single" w:sz="4" w:space="0" w:color="AAABD6"/>
            </w:tcBorders>
            <w:vAlign w:val="bottom"/>
          </w:tcPr>
          <w:p w14:paraId="585A284B"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154,377</w:t>
            </w:r>
          </w:p>
        </w:tc>
        <w:tc>
          <w:tcPr>
            <w:tcW w:w="0" w:type="dxa"/>
            <w:tcBorders>
              <w:top w:val="dotted" w:sz="4" w:space="0" w:color="AAABD6"/>
              <w:left w:val="single" w:sz="4" w:space="0" w:color="AAABD6"/>
              <w:bottom w:val="dotted" w:sz="4" w:space="0" w:color="AAABD6"/>
              <w:right w:val="single" w:sz="4" w:space="0" w:color="AAABD6"/>
            </w:tcBorders>
            <w:vAlign w:val="bottom"/>
          </w:tcPr>
          <w:p w14:paraId="15C89E57"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154,377</w:t>
            </w:r>
          </w:p>
        </w:tc>
        <w:tc>
          <w:tcPr>
            <w:tcW w:w="0" w:type="dxa"/>
            <w:tcBorders>
              <w:top w:val="dotted" w:sz="4" w:space="0" w:color="AAABD6"/>
              <w:left w:val="single" w:sz="4" w:space="0" w:color="AAABD6"/>
              <w:bottom w:val="dotted" w:sz="4" w:space="0" w:color="AAABD6"/>
              <w:right w:val="single" w:sz="4" w:space="0" w:color="AAABD6"/>
            </w:tcBorders>
            <w:vAlign w:val="bottom"/>
          </w:tcPr>
          <w:p w14:paraId="4C6F21F5"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154,377</w:t>
            </w:r>
          </w:p>
        </w:tc>
        <w:tc>
          <w:tcPr>
            <w:tcW w:w="0" w:type="dxa"/>
            <w:tcBorders>
              <w:top w:val="dotted" w:sz="4" w:space="0" w:color="AAABD6"/>
              <w:left w:val="single" w:sz="4" w:space="0" w:color="AAABD6"/>
              <w:bottom w:val="dotted" w:sz="4" w:space="0" w:color="AAABD6"/>
              <w:right w:val="single" w:sz="4" w:space="0" w:color="AAABD6"/>
            </w:tcBorders>
            <w:vAlign w:val="bottom"/>
          </w:tcPr>
          <w:p w14:paraId="5E76903D"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154,377</w:t>
            </w:r>
          </w:p>
        </w:tc>
        <w:tc>
          <w:tcPr>
            <w:tcW w:w="0" w:type="dxa"/>
            <w:tcBorders>
              <w:top w:val="dotted" w:sz="4" w:space="0" w:color="AAABD6"/>
              <w:left w:val="single" w:sz="4" w:space="0" w:color="AAABD6"/>
              <w:bottom w:val="dotted" w:sz="4" w:space="0" w:color="AAABD6"/>
              <w:right w:val="single" w:sz="4" w:space="0" w:color="AAABD6"/>
            </w:tcBorders>
            <w:vAlign w:val="bottom"/>
          </w:tcPr>
          <w:p w14:paraId="05886502"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154,377</w:t>
            </w:r>
          </w:p>
        </w:tc>
        <w:tc>
          <w:tcPr>
            <w:tcW w:w="0" w:type="dxa"/>
            <w:tcBorders>
              <w:top w:val="dotted" w:sz="4" w:space="0" w:color="AAABD6"/>
              <w:left w:val="single" w:sz="4" w:space="0" w:color="AAABD6"/>
              <w:bottom w:val="dotted" w:sz="4" w:space="0" w:color="AAABD6"/>
              <w:right w:val="single" w:sz="4" w:space="0" w:color="AAABD6"/>
            </w:tcBorders>
            <w:vAlign w:val="bottom"/>
          </w:tcPr>
          <w:p w14:paraId="5C979FF8"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154,377</w:t>
            </w:r>
          </w:p>
        </w:tc>
        <w:tc>
          <w:tcPr>
            <w:tcW w:w="0" w:type="dxa"/>
            <w:tcBorders>
              <w:top w:val="dotted" w:sz="4" w:space="0" w:color="AAABD6"/>
              <w:left w:val="single" w:sz="4" w:space="0" w:color="AAABD6"/>
              <w:bottom w:val="dotted" w:sz="4" w:space="0" w:color="AAABD6"/>
              <w:right w:val="single" w:sz="4" w:space="0" w:color="AAABD6"/>
            </w:tcBorders>
            <w:vAlign w:val="bottom"/>
          </w:tcPr>
          <w:p w14:paraId="3FE0C74F"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154,377</w:t>
            </w:r>
          </w:p>
        </w:tc>
        <w:tc>
          <w:tcPr>
            <w:tcW w:w="0" w:type="dxa"/>
            <w:tcBorders>
              <w:top w:val="dotted" w:sz="4" w:space="0" w:color="AAABD6"/>
              <w:left w:val="single" w:sz="4" w:space="0" w:color="AAABD6"/>
              <w:bottom w:val="dotted" w:sz="4" w:space="0" w:color="AAABD6"/>
              <w:right w:val="single" w:sz="4" w:space="0" w:color="AAABD6"/>
            </w:tcBorders>
            <w:vAlign w:val="bottom"/>
          </w:tcPr>
          <w:p w14:paraId="2D4AEFDA"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154,377</w:t>
            </w:r>
          </w:p>
        </w:tc>
        <w:tc>
          <w:tcPr>
            <w:tcW w:w="0" w:type="dxa"/>
            <w:tcBorders>
              <w:top w:val="dotted" w:sz="4" w:space="0" w:color="AAABD6"/>
              <w:left w:val="single" w:sz="4" w:space="0" w:color="AAABD6"/>
              <w:bottom w:val="dotted" w:sz="4" w:space="0" w:color="AAABD6"/>
              <w:right w:val="single" w:sz="4" w:space="0" w:color="AAABD6"/>
            </w:tcBorders>
            <w:vAlign w:val="bottom"/>
          </w:tcPr>
          <w:p w14:paraId="2EE042FB"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154,377</w:t>
            </w:r>
          </w:p>
        </w:tc>
      </w:tr>
      <w:tr w:rsidR="005B545D" w:rsidRPr="00100F0A" w14:paraId="70E1F24C"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tcPr>
          <w:p w14:paraId="156515AB" w14:textId="77777777" w:rsidR="002169F6" w:rsidRPr="00100F0A" w:rsidRDefault="002169F6" w:rsidP="002169F6">
            <w:pPr>
              <w:rPr>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61FCF2CC"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SA</w:t>
            </w:r>
          </w:p>
        </w:tc>
        <w:tc>
          <w:tcPr>
            <w:tcW w:w="0" w:type="dxa"/>
            <w:vMerge/>
            <w:tcBorders>
              <w:left w:val="single" w:sz="4" w:space="0" w:color="AAABD6"/>
              <w:right w:val="single" w:sz="4" w:space="0" w:color="AAABD6"/>
            </w:tcBorders>
          </w:tcPr>
          <w:p w14:paraId="3FFB665C"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dotted" w:sz="4" w:space="0" w:color="AAABD6"/>
              <w:left w:val="single" w:sz="4" w:space="0" w:color="AAABD6"/>
              <w:bottom w:val="dotted" w:sz="4" w:space="0" w:color="AAABD6"/>
              <w:right w:val="nil"/>
            </w:tcBorders>
            <w:shd w:val="clear" w:color="auto" w:fill="auto"/>
          </w:tcPr>
          <w:p w14:paraId="2A92A0A1"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tc>
        <w:tc>
          <w:tcPr>
            <w:tcW w:w="0" w:type="dxa"/>
            <w:tcBorders>
              <w:top w:val="dotted" w:sz="4" w:space="0" w:color="AAABD6"/>
              <w:left w:val="nil"/>
              <w:bottom w:val="dotted" w:sz="4" w:space="0" w:color="AAABD6"/>
              <w:right w:val="single" w:sz="4" w:space="0" w:color="AAABD6"/>
            </w:tcBorders>
            <w:shd w:val="clear" w:color="auto" w:fill="auto"/>
          </w:tcPr>
          <w:p w14:paraId="562905B9"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iCs/>
                <w:color w:val="4D4DB8"/>
                <w:sz w:val="16"/>
                <w:szCs w:val="16"/>
              </w:rPr>
            </w:pPr>
            <w:r w:rsidRPr="00100F0A">
              <w:rPr>
                <w:iCs/>
                <w:color w:val="4D4DB8"/>
                <w:sz w:val="16"/>
                <w:szCs w:val="16"/>
              </w:rPr>
              <w:t>7%</w:t>
            </w:r>
          </w:p>
        </w:tc>
        <w:tc>
          <w:tcPr>
            <w:tcW w:w="0" w:type="dxa"/>
            <w:tcBorders>
              <w:top w:val="dotted" w:sz="4" w:space="0" w:color="AAABD6"/>
              <w:left w:val="single" w:sz="4" w:space="0" w:color="AAABD6"/>
              <w:bottom w:val="dotted" w:sz="4" w:space="0" w:color="AAABD6"/>
              <w:right w:val="single" w:sz="4" w:space="0" w:color="AAABD6"/>
            </w:tcBorders>
          </w:tcPr>
          <w:p w14:paraId="7ECD5DC0"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0" w:type="dxa"/>
            <w:tcBorders>
              <w:top w:val="dotted" w:sz="4" w:space="0" w:color="AAABD6"/>
              <w:left w:val="single" w:sz="4" w:space="0" w:color="AAABD6"/>
              <w:bottom w:val="dotted" w:sz="4" w:space="0" w:color="AAABD6"/>
              <w:right w:val="single" w:sz="4" w:space="0" w:color="AAABD6"/>
            </w:tcBorders>
            <w:vAlign w:val="bottom"/>
          </w:tcPr>
          <w:p w14:paraId="27927CE5"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51,775</w:t>
            </w:r>
          </w:p>
        </w:tc>
        <w:tc>
          <w:tcPr>
            <w:tcW w:w="0" w:type="dxa"/>
            <w:tcBorders>
              <w:top w:val="dotted" w:sz="4" w:space="0" w:color="AAABD6"/>
              <w:left w:val="single" w:sz="4" w:space="0" w:color="AAABD6"/>
              <w:bottom w:val="dotted" w:sz="4" w:space="0" w:color="AAABD6"/>
              <w:right w:val="single" w:sz="4" w:space="0" w:color="AAABD6"/>
            </w:tcBorders>
            <w:vAlign w:val="bottom"/>
          </w:tcPr>
          <w:p w14:paraId="39CE37A1"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51,775</w:t>
            </w:r>
          </w:p>
        </w:tc>
        <w:tc>
          <w:tcPr>
            <w:tcW w:w="0" w:type="dxa"/>
            <w:tcBorders>
              <w:top w:val="dotted" w:sz="4" w:space="0" w:color="AAABD6"/>
              <w:left w:val="single" w:sz="4" w:space="0" w:color="AAABD6"/>
              <w:bottom w:val="dotted" w:sz="4" w:space="0" w:color="AAABD6"/>
              <w:right w:val="single" w:sz="4" w:space="0" w:color="AAABD6"/>
            </w:tcBorders>
            <w:vAlign w:val="bottom"/>
          </w:tcPr>
          <w:p w14:paraId="3738FE8B"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51,775</w:t>
            </w:r>
          </w:p>
        </w:tc>
        <w:tc>
          <w:tcPr>
            <w:tcW w:w="0" w:type="dxa"/>
            <w:tcBorders>
              <w:top w:val="dotted" w:sz="4" w:space="0" w:color="AAABD6"/>
              <w:left w:val="single" w:sz="4" w:space="0" w:color="AAABD6"/>
              <w:bottom w:val="dotted" w:sz="4" w:space="0" w:color="AAABD6"/>
              <w:right w:val="single" w:sz="4" w:space="0" w:color="AAABD6"/>
            </w:tcBorders>
            <w:vAlign w:val="bottom"/>
          </w:tcPr>
          <w:p w14:paraId="2089F948"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51,775</w:t>
            </w:r>
          </w:p>
        </w:tc>
        <w:tc>
          <w:tcPr>
            <w:tcW w:w="0" w:type="dxa"/>
            <w:tcBorders>
              <w:top w:val="dotted" w:sz="4" w:space="0" w:color="AAABD6"/>
              <w:left w:val="single" w:sz="4" w:space="0" w:color="AAABD6"/>
              <w:bottom w:val="dotted" w:sz="4" w:space="0" w:color="AAABD6"/>
              <w:right w:val="single" w:sz="4" w:space="0" w:color="AAABD6"/>
            </w:tcBorders>
            <w:vAlign w:val="bottom"/>
          </w:tcPr>
          <w:p w14:paraId="682D1060"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51,775</w:t>
            </w:r>
          </w:p>
        </w:tc>
        <w:tc>
          <w:tcPr>
            <w:tcW w:w="0" w:type="dxa"/>
            <w:tcBorders>
              <w:top w:val="dotted" w:sz="4" w:space="0" w:color="AAABD6"/>
              <w:left w:val="single" w:sz="4" w:space="0" w:color="AAABD6"/>
              <w:bottom w:val="dotted" w:sz="4" w:space="0" w:color="AAABD6"/>
              <w:right w:val="single" w:sz="4" w:space="0" w:color="AAABD6"/>
            </w:tcBorders>
            <w:vAlign w:val="bottom"/>
          </w:tcPr>
          <w:p w14:paraId="23DA2F2F"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51,775</w:t>
            </w:r>
          </w:p>
        </w:tc>
        <w:tc>
          <w:tcPr>
            <w:tcW w:w="0" w:type="dxa"/>
            <w:tcBorders>
              <w:top w:val="dotted" w:sz="4" w:space="0" w:color="AAABD6"/>
              <w:left w:val="single" w:sz="4" w:space="0" w:color="AAABD6"/>
              <w:bottom w:val="dotted" w:sz="4" w:space="0" w:color="AAABD6"/>
              <w:right w:val="single" w:sz="4" w:space="0" w:color="AAABD6"/>
            </w:tcBorders>
            <w:vAlign w:val="bottom"/>
          </w:tcPr>
          <w:p w14:paraId="0450DEAB"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51,775</w:t>
            </w:r>
          </w:p>
        </w:tc>
        <w:tc>
          <w:tcPr>
            <w:tcW w:w="0" w:type="dxa"/>
            <w:tcBorders>
              <w:top w:val="dotted" w:sz="4" w:space="0" w:color="AAABD6"/>
              <w:left w:val="single" w:sz="4" w:space="0" w:color="AAABD6"/>
              <w:bottom w:val="dotted" w:sz="4" w:space="0" w:color="AAABD6"/>
              <w:right w:val="single" w:sz="4" w:space="0" w:color="AAABD6"/>
            </w:tcBorders>
            <w:vAlign w:val="bottom"/>
          </w:tcPr>
          <w:p w14:paraId="2D7AE944"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51,775</w:t>
            </w:r>
          </w:p>
        </w:tc>
        <w:tc>
          <w:tcPr>
            <w:tcW w:w="0" w:type="dxa"/>
            <w:tcBorders>
              <w:top w:val="dotted" w:sz="4" w:space="0" w:color="AAABD6"/>
              <w:left w:val="single" w:sz="4" w:space="0" w:color="AAABD6"/>
              <w:bottom w:val="dotted" w:sz="4" w:space="0" w:color="AAABD6"/>
              <w:right w:val="single" w:sz="4" w:space="0" w:color="AAABD6"/>
            </w:tcBorders>
            <w:vAlign w:val="bottom"/>
          </w:tcPr>
          <w:p w14:paraId="5F539072"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51,775</w:t>
            </w:r>
          </w:p>
        </w:tc>
        <w:tc>
          <w:tcPr>
            <w:tcW w:w="0" w:type="dxa"/>
            <w:tcBorders>
              <w:top w:val="dotted" w:sz="4" w:space="0" w:color="AAABD6"/>
              <w:left w:val="single" w:sz="4" w:space="0" w:color="AAABD6"/>
              <w:bottom w:val="dotted" w:sz="4" w:space="0" w:color="AAABD6"/>
              <w:right w:val="single" w:sz="4" w:space="0" w:color="AAABD6"/>
            </w:tcBorders>
            <w:vAlign w:val="bottom"/>
          </w:tcPr>
          <w:p w14:paraId="23D94ED7"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51,775</w:t>
            </w:r>
          </w:p>
        </w:tc>
        <w:tc>
          <w:tcPr>
            <w:tcW w:w="0" w:type="dxa"/>
            <w:tcBorders>
              <w:top w:val="dotted" w:sz="4" w:space="0" w:color="AAABD6"/>
              <w:left w:val="single" w:sz="4" w:space="0" w:color="AAABD6"/>
              <w:bottom w:val="dotted" w:sz="4" w:space="0" w:color="AAABD6"/>
              <w:right w:val="single" w:sz="4" w:space="0" w:color="AAABD6"/>
            </w:tcBorders>
            <w:vAlign w:val="bottom"/>
          </w:tcPr>
          <w:p w14:paraId="62B25762"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51,775</w:t>
            </w:r>
          </w:p>
        </w:tc>
        <w:tc>
          <w:tcPr>
            <w:tcW w:w="0" w:type="dxa"/>
            <w:tcBorders>
              <w:top w:val="dotted" w:sz="4" w:space="0" w:color="AAABD6"/>
              <w:left w:val="single" w:sz="4" w:space="0" w:color="AAABD6"/>
              <w:bottom w:val="dotted" w:sz="4" w:space="0" w:color="AAABD6"/>
              <w:right w:val="single" w:sz="4" w:space="0" w:color="AAABD6"/>
            </w:tcBorders>
            <w:vAlign w:val="bottom"/>
          </w:tcPr>
          <w:p w14:paraId="6ECF3D2A"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51,775</w:t>
            </w:r>
          </w:p>
        </w:tc>
        <w:tc>
          <w:tcPr>
            <w:tcW w:w="0" w:type="dxa"/>
            <w:tcBorders>
              <w:top w:val="dotted" w:sz="4" w:space="0" w:color="AAABD6"/>
              <w:left w:val="single" w:sz="4" w:space="0" w:color="AAABD6"/>
              <w:bottom w:val="dotted" w:sz="4" w:space="0" w:color="AAABD6"/>
              <w:right w:val="single" w:sz="4" w:space="0" w:color="AAABD6"/>
            </w:tcBorders>
            <w:vAlign w:val="bottom"/>
          </w:tcPr>
          <w:p w14:paraId="1F6A6A0C"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51,775</w:t>
            </w:r>
          </w:p>
        </w:tc>
        <w:tc>
          <w:tcPr>
            <w:tcW w:w="0" w:type="dxa"/>
            <w:tcBorders>
              <w:top w:val="dotted" w:sz="4" w:space="0" w:color="AAABD6"/>
              <w:left w:val="single" w:sz="4" w:space="0" w:color="AAABD6"/>
              <w:bottom w:val="dotted" w:sz="4" w:space="0" w:color="AAABD6"/>
              <w:right w:val="single" w:sz="4" w:space="0" w:color="AAABD6"/>
            </w:tcBorders>
            <w:vAlign w:val="bottom"/>
          </w:tcPr>
          <w:p w14:paraId="50731684"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51,775</w:t>
            </w:r>
          </w:p>
        </w:tc>
        <w:tc>
          <w:tcPr>
            <w:tcW w:w="0" w:type="dxa"/>
            <w:tcBorders>
              <w:top w:val="dotted" w:sz="4" w:space="0" w:color="AAABD6"/>
              <w:left w:val="single" w:sz="4" w:space="0" w:color="AAABD6"/>
              <w:bottom w:val="dotted" w:sz="4" w:space="0" w:color="AAABD6"/>
              <w:right w:val="single" w:sz="4" w:space="0" w:color="AAABD6"/>
            </w:tcBorders>
            <w:vAlign w:val="bottom"/>
          </w:tcPr>
          <w:p w14:paraId="6A339CB8"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51,775</w:t>
            </w:r>
          </w:p>
        </w:tc>
        <w:tc>
          <w:tcPr>
            <w:tcW w:w="0" w:type="dxa"/>
            <w:tcBorders>
              <w:top w:val="dotted" w:sz="4" w:space="0" w:color="AAABD6"/>
              <w:left w:val="single" w:sz="4" w:space="0" w:color="AAABD6"/>
              <w:bottom w:val="dotted" w:sz="4" w:space="0" w:color="AAABD6"/>
              <w:right w:val="single" w:sz="4" w:space="0" w:color="AAABD6"/>
            </w:tcBorders>
            <w:vAlign w:val="bottom"/>
          </w:tcPr>
          <w:p w14:paraId="591025B8"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51,775</w:t>
            </w:r>
          </w:p>
        </w:tc>
        <w:tc>
          <w:tcPr>
            <w:tcW w:w="0" w:type="dxa"/>
            <w:tcBorders>
              <w:top w:val="dotted" w:sz="4" w:space="0" w:color="AAABD6"/>
              <w:left w:val="single" w:sz="4" w:space="0" w:color="AAABD6"/>
              <w:bottom w:val="dotted" w:sz="4" w:space="0" w:color="AAABD6"/>
              <w:right w:val="single" w:sz="4" w:space="0" w:color="AAABD6"/>
            </w:tcBorders>
            <w:vAlign w:val="bottom"/>
          </w:tcPr>
          <w:p w14:paraId="5B83ECBE"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51,775</w:t>
            </w:r>
          </w:p>
        </w:tc>
        <w:tc>
          <w:tcPr>
            <w:tcW w:w="0" w:type="dxa"/>
            <w:tcBorders>
              <w:top w:val="dotted" w:sz="4" w:space="0" w:color="AAABD6"/>
              <w:left w:val="single" w:sz="4" w:space="0" w:color="AAABD6"/>
              <w:bottom w:val="dotted" w:sz="4" w:space="0" w:color="AAABD6"/>
              <w:right w:val="single" w:sz="4" w:space="0" w:color="AAABD6"/>
            </w:tcBorders>
            <w:vAlign w:val="bottom"/>
          </w:tcPr>
          <w:p w14:paraId="6F1E1A40"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51,775</w:t>
            </w:r>
          </w:p>
        </w:tc>
      </w:tr>
      <w:tr w:rsidR="005B545D" w:rsidRPr="00100F0A" w14:paraId="573E3FF3"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tcPr>
          <w:p w14:paraId="271940ED" w14:textId="77777777" w:rsidR="002169F6" w:rsidRPr="00100F0A" w:rsidRDefault="002169F6" w:rsidP="002169F6">
            <w:pPr>
              <w:rPr>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0EDC8C8F"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Tas</w:t>
            </w:r>
          </w:p>
        </w:tc>
        <w:tc>
          <w:tcPr>
            <w:tcW w:w="0" w:type="dxa"/>
            <w:vMerge/>
            <w:tcBorders>
              <w:left w:val="single" w:sz="4" w:space="0" w:color="AAABD6"/>
              <w:right w:val="single" w:sz="4" w:space="0" w:color="AAABD6"/>
            </w:tcBorders>
          </w:tcPr>
          <w:p w14:paraId="3E08EFDD"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dotted" w:sz="4" w:space="0" w:color="AAABD6"/>
              <w:left w:val="single" w:sz="4" w:space="0" w:color="AAABD6"/>
              <w:bottom w:val="dotted" w:sz="4" w:space="0" w:color="AAABD6"/>
              <w:right w:val="nil"/>
            </w:tcBorders>
            <w:shd w:val="clear" w:color="auto" w:fill="auto"/>
          </w:tcPr>
          <w:p w14:paraId="77E6C7AD"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tc>
        <w:tc>
          <w:tcPr>
            <w:tcW w:w="0" w:type="dxa"/>
            <w:tcBorders>
              <w:top w:val="dotted" w:sz="4" w:space="0" w:color="AAABD6"/>
              <w:left w:val="nil"/>
              <w:bottom w:val="dotted" w:sz="4" w:space="0" w:color="AAABD6"/>
              <w:right w:val="single" w:sz="4" w:space="0" w:color="AAABD6"/>
            </w:tcBorders>
            <w:shd w:val="clear" w:color="auto" w:fill="auto"/>
          </w:tcPr>
          <w:p w14:paraId="6B87223E"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iCs/>
                <w:color w:val="4D4DB8"/>
                <w:sz w:val="16"/>
                <w:szCs w:val="16"/>
              </w:rPr>
            </w:pPr>
            <w:r w:rsidRPr="00100F0A">
              <w:rPr>
                <w:iCs/>
                <w:color w:val="4D4DB8"/>
                <w:sz w:val="16"/>
                <w:szCs w:val="16"/>
              </w:rPr>
              <w:t>2%</w:t>
            </w:r>
          </w:p>
        </w:tc>
        <w:tc>
          <w:tcPr>
            <w:tcW w:w="0" w:type="dxa"/>
            <w:tcBorders>
              <w:top w:val="dotted" w:sz="4" w:space="0" w:color="AAABD6"/>
              <w:left w:val="single" w:sz="4" w:space="0" w:color="AAABD6"/>
              <w:bottom w:val="dotted" w:sz="4" w:space="0" w:color="AAABD6"/>
              <w:right w:val="single" w:sz="4" w:space="0" w:color="AAABD6"/>
            </w:tcBorders>
          </w:tcPr>
          <w:p w14:paraId="3A39A207"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0" w:type="dxa"/>
            <w:tcBorders>
              <w:top w:val="dotted" w:sz="4" w:space="0" w:color="AAABD6"/>
              <w:left w:val="single" w:sz="4" w:space="0" w:color="AAABD6"/>
              <w:bottom w:val="dotted" w:sz="4" w:space="0" w:color="AAABD6"/>
              <w:right w:val="single" w:sz="4" w:space="0" w:color="AAABD6"/>
            </w:tcBorders>
            <w:vAlign w:val="bottom"/>
          </w:tcPr>
          <w:p w14:paraId="5009C9F9"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15,397</w:t>
            </w:r>
          </w:p>
        </w:tc>
        <w:tc>
          <w:tcPr>
            <w:tcW w:w="0" w:type="dxa"/>
            <w:tcBorders>
              <w:top w:val="dotted" w:sz="4" w:space="0" w:color="AAABD6"/>
              <w:left w:val="single" w:sz="4" w:space="0" w:color="AAABD6"/>
              <w:bottom w:val="dotted" w:sz="4" w:space="0" w:color="AAABD6"/>
              <w:right w:val="single" w:sz="4" w:space="0" w:color="AAABD6"/>
            </w:tcBorders>
            <w:vAlign w:val="bottom"/>
          </w:tcPr>
          <w:p w14:paraId="229630B9"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15,397</w:t>
            </w:r>
          </w:p>
        </w:tc>
        <w:tc>
          <w:tcPr>
            <w:tcW w:w="0" w:type="dxa"/>
            <w:tcBorders>
              <w:top w:val="dotted" w:sz="4" w:space="0" w:color="AAABD6"/>
              <w:left w:val="single" w:sz="4" w:space="0" w:color="AAABD6"/>
              <w:bottom w:val="dotted" w:sz="4" w:space="0" w:color="AAABD6"/>
              <w:right w:val="single" w:sz="4" w:space="0" w:color="AAABD6"/>
            </w:tcBorders>
            <w:vAlign w:val="bottom"/>
          </w:tcPr>
          <w:p w14:paraId="76D7E5D2"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15,397</w:t>
            </w:r>
          </w:p>
        </w:tc>
        <w:tc>
          <w:tcPr>
            <w:tcW w:w="0" w:type="dxa"/>
            <w:tcBorders>
              <w:top w:val="dotted" w:sz="4" w:space="0" w:color="AAABD6"/>
              <w:left w:val="single" w:sz="4" w:space="0" w:color="AAABD6"/>
              <w:bottom w:val="dotted" w:sz="4" w:space="0" w:color="AAABD6"/>
              <w:right w:val="single" w:sz="4" w:space="0" w:color="AAABD6"/>
            </w:tcBorders>
            <w:vAlign w:val="bottom"/>
          </w:tcPr>
          <w:p w14:paraId="5398A778"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15,397</w:t>
            </w:r>
          </w:p>
        </w:tc>
        <w:tc>
          <w:tcPr>
            <w:tcW w:w="0" w:type="dxa"/>
            <w:tcBorders>
              <w:top w:val="dotted" w:sz="4" w:space="0" w:color="AAABD6"/>
              <w:left w:val="single" w:sz="4" w:space="0" w:color="AAABD6"/>
              <w:bottom w:val="dotted" w:sz="4" w:space="0" w:color="AAABD6"/>
              <w:right w:val="single" w:sz="4" w:space="0" w:color="AAABD6"/>
            </w:tcBorders>
            <w:vAlign w:val="bottom"/>
          </w:tcPr>
          <w:p w14:paraId="225D7BF0"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15,397</w:t>
            </w:r>
          </w:p>
        </w:tc>
        <w:tc>
          <w:tcPr>
            <w:tcW w:w="0" w:type="dxa"/>
            <w:tcBorders>
              <w:top w:val="dotted" w:sz="4" w:space="0" w:color="AAABD6"/>
              <w:left w:val="single" w:sz="4" w:space="0" w:color="AAABD6"/>
              <w:bottom w:val="dotted" w:sz="4" w:space="0" w:color="AAABD6"/>
              <w:right w:val="single" w:sz="4" w:space="0" w:color="AAABD6"/>
            </w:tcBorders>
            <w:vAlign w:val="bottom"/>
          </w:tcPr>
          <w:p w14:paraId="77687BC1"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15,397</w:t>
            </w:r>
          </w:p>
        </w:tc>
        <w:tc>
          <w:tcPr>
            <w:tcW w:w="0" w:type="dxa"/>
            <w:tcBorders>
              <w:top w:val="dotted" w:sz="4" w:space="0" w:color="AAABD6"/>
              <w:left w:val="single" w:sz="4" w:space="0" w:color="AAABD6"/>
              <w:bottom w:val="dotted" w:sz="4" w:space="0" w:color="AAABD6"/>
              <w:right w:val="single" w:sz="4" w:space="0" w:color="AAABD6"/>
            </w:tcBorders>
            <w:vAlign w:val="bottom"/>
          </w:tcPr>
          <w:p w14:paraId="7E608595"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15,397</w:t>
            </w:r>
          </w:p>
        </w:tc>
        <w:tc>
          <w:tcPr>
            <w:tcW w:w="0" w:type="dxa"/>
            <w:tcBorders>
              <w:top w:val="dotted" w:sz="4" w:space="0" w:color="AAABD6"/>
              <w:left w:val="single" w:sz="4" w:space="0" w:color="AAABD6"/>
              <w:bottom w:val="dotted" w:sz="4" w:space="0" w:color="AAABD6"/>
              <w:right w:val="single" w:sz="4" w:space="0" w:color="AAABD6"/>
            </w:tcBorders>
            <w:vAlign w:val="bottom"/>
          </w:tcPr>
          <w:p w14:paraId="57F1A9AD"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15,397</w:t>
            </w:r>
          </w:p>
        </w:tc>
        <w:tc>
          <w:tcPr>
            <w:tcW w:w="0" w:type="dxa"/>
            <w:tcBorders>
              <w:top w:val="dotted" w:sz="4" w:space="0" w:color="AAABD6"/>
              <w:left w:val="single" w:sz="4" w:space="0" w:color="AAABD6"/>
              <w:bottom w:val="dotted" w:sz="4" w:space="0" w:color="AAABD6"/>
              <w:right w:val="single" w:sz="4" w:space="0" w:color="AAABD6"/>
            </w:tcBorders>
            <w:vAlign w:val="bottom"/>
          </w:tcPr>
          <w:p w14:paraId="6D07381F"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15,397</w:t>
            </w:r>
          </w:p>
        </w:tc>
        <w:tc>
          <w:tcPr>
            <w:tcW w:w="0" w:type="dxa"/>
            <w:tcBorders>
              <w:top w:val="dotted" w:sz="4" w:space="0" w:color="AAABD6"/>
              <w:left w:val="single" w:sz="4" w:space="0" w:color="AAABD6"/>
              <w:bottom w:val="dotted" w:sz="4" w:space="0" w:color="AAABD6"/>
              <w:right w:val="single" w:sz="4" w:space="0" w:color="AAABD6"/>
            </w:tcBorders>
            <w:vAlign w:val="bottom"/>
          </w:tcPr>
          <w:p w14:paraId="4900FB24"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15,397</w:t>
            </w:r>
          </w:p>
        </w:tc>
        <w:tc>
          <w:tcPr>
            <w:tcW w:w="0" w:type="dxa"/>
            <w:tcBorders>
              <w:top w:val="dotted" w:sz="4" w:space="0" w:color="AAABD6"/>
              <w:left w:val="single" w:sz="4" w:space="0" w:color="AAABD6"/>
              <w:bottom w:val="dotted" w:sz="4" w:space="0" w:color="AAABD6"/>
              <w:right w:val="single" w:sz="4" w:space="0" w:color="AAABD6"/>
            </w:tcBorders>
            <w:vAlign w:val="bottom"/>
          </w:tcPr>
          <w:p w14:paraId="45AF73E9"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15,397</w:t>
            </w:r>
          </w:p>
        </w:tc>
        <w:tc>
          <w:tcPr>
            <w:tcW w:w="0" w:type="dxa"/>
            <w:tcBorders>
              <w:top w:val="dotted" w:sz="4" w:space="0" w:color="AAABD6"/>
              <w:left w:val="single" w:sz="4" w:space="0" w:color="AAABD6"/>
              <w:bottom w:val="dotted" w:sz="4" w:space="0" w:color="AAABD6"/>
              <w:right w:val="single" w:sz="4" w:space="0" w:color="AAABD6"/>
            </w:tcBorders>
            <w:vAlign w:val="bottom"/>
          </w:tcPr>
          <w:p w14:paraId="76FE97B2"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15,397</w:t>
            </w:r>
          </w:p>
        </w:tc>
        <w:tc>
          <w:tcPr>
            <w:tcW w:w="0" w:type="dxa"/>
            <w:tcBorders>
              <w:top w:val="dotted" w:sz="4" w:space="0" w:color="AAABD6"/>
              <w:left w:val="single" w:sz="4" w:space="0" w:color="AAABD6"/>
              <w:bottom w:val="dotted" w:sz="4" w:space="0" w:color="AAABD6"/>
              <w:right w:val="single" w:sz="4" w:space="0" w:color="AAABD6"/>
            </w:tcBorders>
            <w:vAlign w:val="bottom"/>
          </w:tcPr>
          <w:p w14:paraId="200E70A4"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15,397</w:t>
            </w:r>
          </w:p>
        </w:tc>
        <w:tc>
          <w:tcPr>
            <w:tcW w:w="0" w:type="dxa"/>
            <w:tcBorders>
              <w:top w:val="dotted" w:sz="4" w:space="0" w:color="AAABD6"/>
              <w:left w:val="single" w:sz="4" w:space="0" w:color="AAABD6"/>
              <w:bottom w:val="dotted" w:sz="4" w:space="0" w:color="AAABD6"/>
              <w:right w:val="single" w:sz="4" w:space="0" w:color="AAABD6"/>
            </w:tcBorders>
            <w:vAlign w:val="bottom"/>
          </w:tcPr>
          <w:p w14:paraId="6504097C"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15,397</w:t>
            </w:r>
          </w:p>
        </w:tc>
        <w:tc>
          <w:tcPr>
            <w:tcW w:w="0" w:type="dxa"/>
            <w:tcBorders>
              <w:top w:val="dotted" w:sz="4" w:space="0" w:color="AAABD6"/>
              <w:left w:val="single" w:sz="4" w:space="0" w:color="AAABD6"/>
              <w:bottom w:val="dotted" w:sz="4" w:space="0" w:color="AAABD6"/>
              <w:right w:val="single" w:sz="4" w:space="0" w:color="AAABD6"/>
            </w:tcBorders>
            <w:vAlign w:val="bottom"/>
          </w:tcPr>
          <w:p w14:paraId="66ECC5F1"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15,397</w:t>
            </w:r>
          </w:p>
        </w:tc>
        <w:tc>
          <w:tcPr>
            <w:tcW w:w="0" w:type="dxa"/>
            <w:tcBorders>
              <w:top w:val="dotted" w:sz="4" w:space="0" w:color="AAABD6"/>
              <w:left w:val="single" w:sz="4" w:space="0" w:color="AAABD6"/>
              <w:bottom w:val="dotted" w:sz="4" w:space="0" w:color="AAABD6"/>
              <w:right w:val="single" w:sz="4" w:space="0" w:color="AAABD6"/>
            </w:tcBorders>
            <w:vAlign w:val="bottom"/>
          </w:tcPr>
          <w:p w14:paraId="24729DF9"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15,397</w:t>
            </w:r>
          </w:p>
        </w:tc>
        <w:tc>
          <w:tcPr>
            <w:tcW w:w="0" w:type="dxa"/>
            <w:tcBorders>
              <w:top w:val="dotted" w:sz="4" w:space="0" w:color="AAABD6"/>
              <w:left w:val="single" w:sz="4" w:space="0" w:color="AAABD6"/>
              <w:bottom w:val="dotted" w:sz="4" w:space="0" w:color="AAABD6"/>
              <w:right w:val="single" w:sz="4" w:space="0" w:color="AAABD6"/>
            </w:tcBorders>
            <w:vAlign w:val="bottom"/>
          </w:tcPr>
          <w:p w14:paraId="5C2310C1"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15,397</w:t>
            </w:r>
          </w:p>
        </w:tc>
        <w:tc>
          <w:tcPr>
            <w:tcW w:w="0" w:type="dxa"/>
            <w:tcBorders>
              <w:top w:val="dotted" w:sz="4" w:space="0" w:color="AAABD6"/>
              <w:left w:val="single" w:sz="4" w:space="0" w:color="AAABD6"/>
              <w:bottom w:val="dotted" w:sz="4" w:space="0" w:color="AAABD6"/>
              <w:right w:val="single" w:sz="4" w:space="0" w:color="AAABD6"/>
            </w:tcBorders>
            <w:vAlign w:val="bottom"/>
          </w:tcPr>
          <w:p w14:paraId="484697E6"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15,397</w:t>
            </w:r>
          </w:p>
        </w:tc>
      </w:tr>
      <w:tr w:rsidR="005B545D" w:rsidRPr="00100F0A" w14:paraId="37B527F7"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tcPr>
          <w:p w14:paraId="0A282E9D" w14:textId="77777777" w:rsidR="002169F6" w:rsidRPr="00100F0A" w:rsidRDefault="002169F6" w:rsidP="002169F6">
            <w:pPr>
              <w:rPr>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4290EEA3"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Vic</w:t>
            </w:r>
          </w:p>
        </w:tc>
        <w:tc>
          <w:tcPr>
            <w:tcW w:w="0" w:type="dxa"/>
            <w:vMerge/>
            <w:tcBorders>
              <w:left w:val="single" w:sz="4" w:space="0" w:color="AAABD6"/>
              <w:right w:val="single" w:sz="4" w:space="0" w:color="AAABD6"/>
            </w:tcBorders>
          </w:tcPr>
          <w:p w14:paraId="4D1FC67F"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dotted" w:sz="4" w:space="0" w:color="AAABD6"/>
              <w:left w:val="single" w:sz="4" w:space="0" w:color="AAABD6"/>
              <w:bottom w:val="dotted" w:sz="4" w:space="0" w:color="AAABD6"/>
              <w:right w:val="nil"/>
            </w:tcBorders>
            <w:shd w:val="clear" w:color="auto" w:fill="auto"/>
          </w:tcPr>
          <w:p w14:paraId="570EC376"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tc>
        <w:tc>
          <w:tcPr>
            <w:tcW w:w="0" w:type="dxa"/>
            <w:tcBorders>
              <w:top w:val="dotted" w:sz="4" w:space="0" w:color="AAABD6"/>
              <w:left w:val="nil"/>
              <w:bottom w:val="dotted" w:sz="4" w:space="0" w:color="AAABD6"/>
              <w:right w:val="single" w:sz="4" w:space="0" w:color="AAABD6"/>
            </w:tcBorders>
            <w:shd w:val="clear" w:color="auto" w:fill="auto"/>
          </w:tcPr>
          <w:p w14:paraId="6C6D7116"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iCs/>
                <w:color w:val="4D4DB8"/>
                <w:sz w:val="16"/>
                <w:szCs w:val="16"/>
              </w:rPr>
            </w:pPr>
            <w:r w:rsidRPr="00100F0A">
              <w:rPr>
                <w:iCs/>
                <w:color w:val="4D4DB8"/>
                <w:sz w:val="16"/>
                <w:szCs w:val="16"/>
              </w:rPr>
              <w:t>25%</w:t>
            </w:r>
          </w:p>
        </w:tc>
        <w:tc>
          <w:tcPr>
            <w:tcW w:w="0" w:type="dxa"/>
            <w:tcBorders>
              <w:top w:val="dotted" w:sz="4" w:space="0" w:color="AAABD6"/>
              <w:left w:val="single" w:sz="4" w:space="0" w:color="AAABD6"/>
              <w:bottom w:val="dotted" w:sz="4" w:space="0" w:color="AAABD6"/>
              <w:right w:val="single" w:sz="4" w:space="0" w:color="AAABD6"/>
            </w:tcBorders>
          </w:tcPr>
          <w:p w14:paraId="3D98566C"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0" w:type="dxa"/>
            <w:tcBorders>
              <w:top w:val="dotted" w:sz="4" w:space="0" w:color="AAABD6"/>
              <w:left w:val="single" w:sz="4" w:space="0" w:color="AAABD6"/>
              <w:bottom w:val="dotted" w:sz="4" w:space="0" w:color="AAABD6"/>
              <w:right w:val="single" w:sz="4" w:space="0" w:color="AAABD6"/>
            </w:tcBorders>
            <w:vAlign w:val="bottom"/>
          </w:tcPr>
          <w:p w14:paraId="183849C6"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186,195</w:t>
            </w:r>
          </w:p>
        </w:tc>
        <w:tc>
          <w:tcPr>
            <w:tcW w:w="0" w:type="dxa"/>
            <w:tcBorders>
              <w:top w:val="dotted" w:sz="4" w:space="0" w:color="AAABD6"/>
              <w:left w:val="single" w:sz="4" w:space="0" w:color="AAABD6"/>
              <w:bottom w:val="dotted" w:sz="4" w:space="0" w:color="AAABD6"/>
              <w:right w:val="single" w:sz="4" w:space="0" w:color="AAABD6"/>
            </w:tcBorders>
            <w:vAlign w:val="bottom"/>
          </w:tcPr>
          <w:p w14:paraId="4272F0EB"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186,195</w:t>
            </w:r>
          </w:p>
        </w:tc>
        <w:tc>
          <w:tcPr>
            <w:tcW w:w="0" w:type="dxa"/>
            <w:tcBorders>
              <w:top w:val="dotted" w:sz="4" w:space="0" w:color="AAABD6"/>
              <w:left w:val="single" w:sz="4" w:space="0" w:color="AAABD6"/>
              <w:bottom w:val="dotted" w:sz="4" w:space="0" w:color="AAABD6"/>
              <w:right w:val="single" w:sz="4" w:space="0" w:color="AAABD6"/>
            </w:tcBorders>
            <w:vAlign w:val="bottom"/>
          </w:tcPr>
          <w:p w14:paraId="4E9145DB"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186,195</w:t>
            </w:r>
          </w:p>
        </w:tc>
        <w:tc>
          <w:tcPr>
            <w:tcW w:w="0" w:type="dxa"/>
            <w:tcBorders>
              <w:top w:val="dotted" w:sz="4" w:space="0" w:color="AAABD6"/>
              <w:left w:val="single" w:sz="4" w:space="0" w:color="AAABD6"/>
              <w:bottom w:val="dotted" w:sz="4" w:space="0" w:color="AAABD6"/>
              <w:right w:val="single" w:sz="4" w:space="0" w:color="AAABD6"/>
            </w:tcBorders>
            <w:vAlign w:val="bottom"/>
          </w:tcPr>
          <w:p w14:paraId="3631BE46"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186,195</w:t>
            </w:r>
          </w:p>
        </w:tc>
        <w:tc>
          <w:tcPr>
            <w:tcW w:w="0" w:type="dxa"/>
            <w:tcBorders>
              <w:top w:val="dotted" w:sz="4" w:space="0" w:color="AAABD6"/>
              <w:left w:val="single" w:sz="4" w:space="0" w:color="AAABD6"/>
              <w:bottom w:val="dotted" w:sz="4" w:space="0" w:color="AAABD6"/>
              <w:right w:val="single" w:sz="4" w:space="0" w:color="AAABD6"/>
            </w:tcBorders>
            <w:vAlign w:val="bottom"/>
          </w:tcPr>
          <w:p w14:paraId="2D5D437F"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186,195</w:t>
            </w:r>
          </w:p>
        </w:tc>
        <w:tc>
          <w:tcPr>
            <w:tcW w:w="0" w:type="dxa"/>
            <w:tcBorders>
              <w:top w:val="dotted" w:sz="4" w:space="0" w:color="AAABD6"/>
              <w:left w:val="single" w:sz="4" w:space="0" w:color="AAABD6"/>
              <w:bottom w:val="dotted" w:sz="4" w:space="0" w:color="AAABD6"/>
              <w:right w:val="single" w:sz="4" w:space="0" w:color="AAABD6"/>
            </w:tcBorders>
            <w:vAlign w:val="bottom"/>
          </w:tcPr>
          <w:p w14:paraId="6DF31E39"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186,195</w:t>
            </w:r>
          </w:p>
        </w:tc>
        <w:tc>
          <w:tcPr>
            <w:tcW w:w="0" w:type="dxa"/>
            <w:tcBorders>
              <w:top w:val="dotted" w:sz="4" w:space="0" w:color="AAABD6"/>
              <w:left w:val="single" w:sz="4" w:space="0" w:color="AAABD6"/>
              <w:bottom w:val="dotted" w:sz="4" w:space="0" w:color="AAABD6"/>
              <w:right w:val="single" w:sz="4" w:space="0" w:color="AAABD6"/>
            </w:tcBorders>
            <w:vAlign w:val="bottom"/>
          </w:tcPr>
          <w:p w14:paraId="22DB6EAA"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186,195</w:t>
            </w:r>
          </w:p>
        </w:tc>
        <w:tc>
          <w:tcPr>
            <w:tcW w:w="0" w:type="dxa"/>
            <w:tcBorders>
              <w:top w:val="dotted" w:sz="4" w:space="0" w:color="AAABD6"/>
              <w:left w:val="single" w:sz="4" w:space="0" w:color="AAABD6"/>
              <w:bottom w:val="dotted" w:sz="4" w:space="0" w:color="AAABD6"/>
              <w:right w:val="single" w:sz="4" w:space="0" w:color="AAABD6"/>
            </w:tcBorders>
            <w:vAlign w:val="bottom"/>
          </w:tcPr>
          <w:p w14:paraId="57313045"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186,195</w:t>
            </w:r>
          </w:p>
        </w:tc>
        <w:tc>
          <w:tcPr>
            <w:tcW w:w="0" w:type="dxa"/>
            <w:tcBorders>
              <w:top w:val="dotted" w:sz="4" w:space="0" w:color="AAABD6"/>
              <w:left w:val="single" w:sz="4" w:space="0" w:color="AAABD6"/>
              <w:bottom w:val="dotted" w:sz="4" w:space="0" w:color="AAABD6"/>
              <w:right w:val="single" w:sz="4" w:space="0" w:color="AAABD6"/>
            </w:tcBorders>
            <w:vAlign w:val="bottom"/>
          </w:tcPr>
          <w:p w14:paraId="1515AFF8"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186,195</w:t>
            </w:r>
          </w:p>
        </w:tc>
        <w:tc>
          <w:tcPr>
            <w:tcW w:w="0" w:type="dxa"/>
            <w:tcBorders>
              <w:top w:val="dotted" w:sz="4" w:space="0" w:color="AAABD6"/>
              <w:left w:val="single" w:sz="4" w:space="0" w:color="AAABD6"/>
              <w:bottom w:val="dotted" w:sz="4" w:space="0" w:color="AAABD6"/>
              <w:right w:val="single" w:sz="4" w:space="0" w:color="AAABD6"/>
            </w:tcBorders>
            <w:vAlign w:val="bottom"/>
          </w:tcPr>
          <w:p w14:paraId="7C0C7BF5"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186,195</w:t>
            </w:r>
          </w:p>
        </w:tc>
        <w:tc>
          <w:tcPr>
            <w:tcW w:w="0" w:type="dxa"/>
            <w:tcBorders>
              <w:top w:val="dotted" w:sz="4" w:space="0" w:color="AAABD6"/>
              <w:left w:val="single" w:sz="4" w:space="0" w:color="AAABD6"/>
              <w:bottom w:val="dotted" w:sz="4" w:space="0" w:color="AAABD6"/>
              <w:right w:val="single" w:sz="4" w:space="0" w:color="AAABD6"/>
            </w:tcBorders>
            <w:vAlign w:val="bottom"/>
          </w:tcPr>
          <w:p w14:paraId="05FC4F0F"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186,195</w:t>
            </w:r>
          </w:p>
        </w:tc>
        <w:tc>
          <w:tcPr>
            <w:tcW w:w="0" w:type="dxa"/>
            <w:tcBorders>
              <w:top w:val="dotted" w:sz="4" w:space="0" w:color="AAABD6"/>
              <w:left w:val="single" w:sz="4" w:space="0" w:color="AAABD6"/>
              <w:bottom w:val="dotted" w:sz="4" w:space="0" w:color="AAABD6"/>
              <w:right w:val="single" w:sz="4" w:space="0" w:color="AAABD6"/>
            </w:tcBorders>
            <w:vAlign w:val="bottom"/>
          </w:tcPr>
          <w:p w14:paraId="3B71990A"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186,195</w:t>
            </w:r>
          </w:p>
        </w:tc>
        <w:tc>
          <w:tcPr>
            <w:tcW w:w="0" w:type="dxa"/>
            <w:tcBorders>
              <w:top w:val="dotted" w:sz="4" w:space="0" w:color="AAABD6"/>
              <w:left w:val="single" w:sz="4" w:space="0" w:color="AAABD6"/>
              <w:bottom w:val="dotted" w:sz="4" w:space="0" w:color="AAABD6"/>
              <w:right w:val="single" w:sz="4" w:space="0" w:color="AAABD6"/>
            </w:tcBorders>
            <w:vAlign w:val="bottom"/>
          </w:tcPr>
          <w:p w14:paraId="1008DD04"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186,195</w:t>
            </w:r>
          </w:p>
        </w:tc>
        <w:tc>
          <w:tcPr>
            <w:tcW w:w="0" w:type="dxa"/>
            <w:tcBorders>
              <w:top w:val="dotted" w:sz="4" w:space="0" w:color="AAABD6"/>
              <w:left w:val="single" w:sz="4" w:space="0" w:color="AAABD6"/>
              <w:bottom w:val="dotted" w:sz="4" w:space="0" w:color="AAABD6"/>
              <w:right w:val="single" w:sz="4" w:space="0" w:color="AAABD6"/>
            </w:tcBorders>
            <w:vAlign w:val="bottom"/>
          </w:tcPr>
          <w:p w14:paraId="3F13A7C3"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186,195</w:t>
            </w:r>
          </w:p>
        </w:tc>
        <w:tc>
          <w:tcPr>
            <w:tcW w:w="0" w:type="dxa"/>
            <w:tcBorders>
              <w:top w:val="dotted" w:sz="4" w:space="0" w:color="AAABD6"/>
              <w:left w:val="single" w:sz="4" w:space="0" w:color="AAABD6"/>
              <w:bottom w:val="dotted" w:sz="4" w:space="0" w:color="AAABD6"/>
              <w:right w:val="single" w:sz="4" w:space="0" w:color="AAABD6"/>
            </w:tcBorders>
            <w:vAlign w:val="bottom"/>
          </w:tcPr>
          <w:p w14:paraId="7017BE5A"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186,195</w:t>
            </w:r>
          </w:p>
        </w:tc>
        <w:tc>
          <w:tcPr>
            <w:tcW w:w="0" w:type="dxa"/>
            <w:tcBorders>
              <w:top w:val="dotted" w:sz="4" w:space="0" w:color="AAABD6"/>
              <w:left w:val="single" w:sz="4" w:space="0" w:color="AAABD6"/>
              <w:bottom w:val="dotted" w:sz="4" w:space="0" w:color="AAABD6"/>
              <w:right w:val="single" w:sz="4" w:space="0" w:color="AAABD6"/>
            </w:tcBorders>
            <w:vAlign w:val="bottom"/>
          </w:tcPr>
          <w:p w14:paraId="59EE6CB8"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186,195</w:t>
            </w:r>
          </w:p>
        </w:tc>
        <w:tc>
          <w:tcPr>
            <w:tcW w:w="0" w:type="dxa"/>
            <w:tcBorders>
              <w:top w:val="dotted" w:sz="4" w:space="0" w:color="AAABD6"/>
              <w:left w:val="single" w:sz="4" w:space="0" w:color="AAABD6"/>
              <w:bottom w:val="dotted" w:sz="4" w:space="0" w:color="AAABD6"/>
              <w:right w:val="single" w:sz="4" w:space="0" w:color="AAABD6"/>
            </w:tcBorders>
            <w:vAlign w:val="bottom"/>
          </w:tcPr>
          <w:p w14:paraId="2ACDA995"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186,195</w:t>
            </w:r>
          </w:p>
        </w:tc>
        <w:tc>
          <w:tcPr>
            <w:tcW w:w="0" w:type="dxa"/>
            <w:tcBorders>
              <w:top w:val="dotted" w:sz="4" w:space="0" w:color="AAABD6"/>
              <w:left w:val="single" w:sz="4" w:space="0" w:color="AAABD6"/>
              <w:bottom w:val="dotted" w:sz="4" w:space="0" w:color="AAABD6"/>
              <w:right w:val="single" w:sz="4" w:space="0" w:color="AAABD6"/>
            </w:tcBorders>
            <w:vAlign w:val="bottom"/>
          </w:tcPr>
          <w:p w14:paraId="2EEF91B2"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186,195</w:t>
            </w:r>
          </w:p>
        </w:tc>
      </w:tr>
      <w:tr w:rsidR="005B545D" w:rsidRPr="00100F0A" w14:paraId="7EC669B6"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bottom w:val="single" w:sz="4" w:space="0" w:color="AAABD6"/>
              <w:right w:val="single" w:sz="4" w:space="0" w:color="AAABD6"/>
            </w:tcBorders>
          </w:tcPr>
          <w:p w14:paraId="3BCB0174" w14:textId="77777777" w:rsidR="002169F6" w:rsidRPr="00100F0A" w:rsidRDefault="002169F6" w:rsidP="002169F6">
            <w:pPr>
              <w:rPr>
                <w:sz w:val="16"/>
                <w:szCs w:val="16"/>
              </w:rPr>
            </w:pPr>
          </w:p>
        </w:tc>
        <w:tc>
          <w:tcPr>
            <w:tcW w:w="0" w:type="dxa"/>
            <w:tcBorders>
              <w:top w:val="dotted" w:sz="4" w:space="0" w:color="AAABD6"/>
              <w:left w:val="single" w:sz="4" w:space="0" w:color="AAABD6"/>
              <w:bottom w:val="single" w:sz="4" w:space="0" w:color="AAABD6"/>
              <w:right w:val="single" w:sz="4" w:space="0" w:color="AAABD6"/>
            </w:tcBorders>
          </w:tcPr>
          <w:p w14:paraId="760386FE"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WA</w:t>
            </w:r>
          </w:p>
        </w:tc>
        <w:tc>
          <w:tcPr>
            <w:tcW w:w="0" w:type="dxa"/>
            <w:vMerge/>
            <w:tcBorders>
              <w:left w:val="single" w:sz="4" w:space="0" w:color="AAABD6"/>
              <w:bottom w:val="single" w:sz="4" w:space="0" w:color="AAABD6"/>
              <w:right w:val="single" w:sz="4" w:space="0" w:color="AAABD6"/>
            </w:tcBorders>
          </w:tcPr>
          <w:p w14:paraId="005EC5E6" w14:textId="77777777" w:rsidR="002169F6" w:rsidRPr="00100F0A" w:rsidRDefault="002169F6"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dotted" w:sz="4" w:space="0" w:color="AAABD6"/>
              <w:left w:val="single" w:sz="4" w:space="0" w:color="AAABD6"/>
              <w:bottom w:val="single" w:sz="4" w:space="0" w:color="AAABD6"/>
              <w:right w:val="nil"/>
            </w:tcBorders>
            <w:shd w:val="clear" w:color="auto" w:fill="auto"/>
          </w:tcPr>
          <w:p w14:paraId="4EDAB357"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tc>
        <w:tc>
          <w:tcPr>
            <w:tcW w:w="0" w:type="dxa"/>
            <w:tcBorders>
              <w:top w:val="dotted" w:sz="4" w:space="0" w:color="AAABD6"/>
              <w:left w:val="nil"/>
              <w:bottom w:val="single" w:sz="4" w:space="0" w:color="AAABD6"/>
              <w:right w:val="single" w:sz="4" w:space="0" w:color="AAABD6"/>
            </w:tcBorders>
            <w:shd w:val="clear" w:color="auto" w:fill="auto"/>
          </w:tcPr>
          <w:p w14:paraId="371EDF95"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iCs/>
                <w:color w:val="4D4DB8"/>
                <w:sz w:val="16"/>
                <w:szCs w:val="16"/>
              </w:rPr>
            </w:pPr>
            <w:r w:rsidRPr="00100F0A">
              <w:rPr>
                <w:iCs/>
                <w:color w:val="4D4DB8"/>
                <w:sz w:val="16"/>
                <w:szCs w:val="16"/>
              </w:rPr>
              <w:t>12%</w:t>
            </w:r>
          </w:p>
        </w:tc>
        <w:tc>
          <w:tcPr>
            <w:tcW w:w="0" w:type="dxa"/>
            <w:tcBorders>
              <w:top w:val="dotted" w:sz="4" w:space="0" w:color="AAABD6"/>
              <w:left w:val="single" w:sz="4" w:space="0" w:color="AAABD6"/>
              <w:bottom w:val="single" w:sz="4" w:space="0" w:color="AAABD6"/>
              <w:right w:val="single" w:sz="4" w:space="0" w:color="AAABD6"/>
            </w:tcBorders>
          </w:tcPr>
          <w:p w14:paraId="36742A3A"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 </w:t>
            </w:r>
          </w:p>
        </w:tc>
        <w:tc>
          <w:tcPr>
            <w:tcW w:w="0" w:type="dxa"/>
            <w:tcBorders>
              <w:top w:val="dotted" w:sz="4" w:space="0" w:color="AAABD6"/>
              <w:left w:val="single" w:sz="4" w:space="0" w:color="AAABD6"/>
              <w:bottom w:val="single" w:sz="4" w:space="0" w:color="AAABD6"/>
              <w:right w:val="single" w:sz="4" w:space="0" w:color="AAABD6"/>
            </w:tcBorders>
            <w:vAlign w:val="bottom"/>
          </w:tcPr>
          <w:p w14:paraId="2184B768"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88,638</w:t>
            </w:r>
          </w:p>
        </w:tc>
        <w:tc>
          <w:tcPr>
            <w:tcW w:w="0" w:type="dxa"/>
            <w:tcBorders>
              <w:top w:val="dotted" w:sz="4" w:space="0" w:color="AAABD6"/>
              <w:left w:val="single" w:sz="4" w:space="0" w:color="AAABD6"/>
              <w:bottom w:val="single" w:sz="4" w:space="0" w:color="AAABD6"/>
              <w:right w:val="single" w:sz="4" w:space="0" w:color="AAABD6"/>
            </w:tcBorders>
            <w:vAlign w:val="bottom"/>
          </w:tcPr>
          <w:p w14:paraId="7B7CDD6E"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88,638</w:t>
            </w:r>
          </w:p>
        </w:tc>
        <w:tc>
          <w:tcPr>
            <w:tcW w:w="0" w:type="dxa"/>
            <w:tcBorders>
              <w:top w:val="dotted" w:sz="4" w:space="0" w:color="AAABD6"/>
              <w:left w:val="single" w:sz="4" w:space="0" w:color="AAABD6"/>
              <w:bottom w:val="single" w:sz="4" w:space="0" w:color="AAABD6"/>
              <w:right w:val="single" w:sz="4" w:space="0" w:color="AAABD6"/>
            </w:tcBorders>
            <w:vAlign w:val="bottom"/>
          </w:tcPr>
          <w:p w14:paraId="0047BE33"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88,638</w:t>
            </w:r>
          </w:p>
        </w:tc>
        <w:tc>
          <w:tcPr>
            <w:tcW w:w="0" w:type="dxa"/>
            <w:tcBorders>
              <w:top w:val="dotted" w:sz="4" w:space="0" w:color="AAABD6"/>
              <w:left w:val="single" w:sz="4" w:space="0" w:color="AAABD6"/>
              <w:bottom w:val="single" w:sz="4" w:space="0" w:color="AAABD6"/>
              <w:right w:val="single" w:sz="4" w:space="0" w:color="AAABD6"/>
            </w:tcBorders>
            <w:vAlign w:val="bottom"/>
          </w:tcPr>
          <w:p w14:paraId="5B585A1B"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88,638</w:t>
            </w:r>
          </w:p>
        </w:tc>
        <w:tc>
          <w:tcPr>
            <w:tcW w:w="0" w:type="dxa"/>
            <w:tcBorders>
              <w:top w:val="dotted" w:sz="4" w:space="0" w:color="AAABD6"/>
              <w:left w:val="single" w:sz="4" w:space="0" w:color="AAABD6"/>
              <w:bottom w:val="single" w:sz="4" w:space="0" w:color="AAABD6"/>
              <w:right w:val="single" w:sz="4" w:space="0" w:color="AAABD6"/>
            </w:tcBorders>
            <w:vAlign w:val="bottom"/>
          </w:tcPr>
          <w:p w14:paraId="6785A4C2"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88,638</w:t>
            </w:r>
          </w:p>
        </w:tc>
        <w:tc>
          <w:tcPr>
            <w:tcW w:w="0" w:type="dxa"/>
            <w:tcBorders>
              <w:top w:val="dotted" w:sz="4" w:space="0" w:color="AAABD6"/>
              <w:left w:val="single" w:sz="4" w:space="0" w:color="AAABD6"/>
              <w:bottom w:val="single" w:sz="4" w:space="0" w:color="AAABD6"/>
              <w:right w:val="single" w:sz="4" w:space="0" w:color="AAABD6"/>
            </w:tcBorders>
            <w:vAlign w:val="bottom"/>
          </w:tcPr>
          <w:p w14:paraId="0D0EA4BC"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88,638</w:t>
            </w:r>
          </w:p>
        </w:tc>
        <w:tc>
          <w:tcPr>
            <w:tcW w:w="0" w:type="dxa"/>
            <w:tcBorders>
              <w:top w:val="dotted" w:sz="4" w:space="0" w:color="AAABD6"/>
              <w:left w:val="single" w:sz="4" w:space="0" w:color="AAABD6"/>
              <w:bottom w:val="single" w:sz="4" w:space="0" w:color="AAABD6"/>
              <w:right w:val="single" w:sz="4" w:space="0" w:color="AAABD6"/>
            </w:tcBorders>
            <w:vAlign w:val="bottom"/>
          </w:tcPr>
          <w:p w14:paraId="05D27640"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88,638</w:t>
            </w:r>
          </w:p>
        </w:tc>
        <w:tc>
          <w:tcPr>
            <w:tcW w:w="0" w:type="dxa"/>
            <w:tcBorders>
              <w:top w:val="dotted" w:sz="4" w:space="0" w:color="AAABD6"/>
              <w:left w:val="single" w:sz="4" w:space="0" w:color="AAABD6"/>
              <w:bottom w:val="single" w:sz="4" w:space="0" w:color="AAABD6"/>
              <w:right w:val="single" w:sz="4" w:space="0" w:color="AAABD6"/>
            </w:tcBorders>
            <w:vAlign w:val="bottom"/>
          </w:tcPr>
          <w:p w14:paraId="760F2055"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88,638</w:t>
            </w:r>
          </w:p>
        </w:tc>
        <w:tc>
          <w:tcPr>
            <w:tcW w:w="0" w:type="dxa"/>
            <w:tcBorders>
              <w:top w:val="dotted" w:sz="4" w:space="0" w:color="AAABD6"/>
              <w:left w:val="single" w:sz="4" w:space="0" w:color="AAABD6"/>
              <w:bottom w:val="single" w:sz="4" w:space="0" w:color="AAABD6"/>
              <w:right w:val="single" w:sz="4" w:space="0" w:color="AAABD6"/>
            </w:tcBorders>
            <w:vAlign w:val="bottom"/>
          </w:tcPr>
          <w:p w14:paraId="3D5847BA"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88,638</w:t>
            </w:r>
          </w:p>
        </w:tc>
        <w:tc>
          <w:tcPr>
            <w:tcW w:w="0" w:type="dxa"/>
            <w:tcBorders>
              <w:top w:val="dotted" w:sz="4" w:space="0" w:color="AAABD6"/>
              <w:left w:val="single" w:sz="4" w:space="0" w:color="AAABD6"/>
              <w:bottom w:val="single" w:sz="4" w:space="0" w:color="AAABD6"/>
              <w:right w:val="single" w:sz="4" w:space="0" w:color="AAABD6"/>
            </w:tcBorders>
            <w:vAlign w:val="bottom"/>
          </w:tcPr>
          <w:p w14:paraId="7EC4854E"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88,638</w:t>
            </w:r>
          </w:p>
        </w:tc>
        <w:tc>
          <w:tcPr>
            <w:tcW w:w="0" w:type="dxa"/>
            <w:tcBorders>
              <w:top w:val="dotted" w:sz="4" w:space="0" w:color="AAABD6"/>
              <w:left w:val="single" w:sz="4" w:space="0" w:color="AAABD6"/>
              <w:bottom w:val="single" w:sz="4" w:space="0" w:color="AAABD6"/>
              <w:right w:val="single" w:sz="4" w:space="0" w:color="AAABD6"/>
            </w:tcBorders>
            <w:vAlign w:val="bottom"/>
          </w:tcPr>
          <w:p w14:paraId="543B0043"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88,638</w:t>
            </w:r>
          </w:p>
        </w:tc>
        <w:tc>
          <w:tcPr>
            <w:tcW w:w="0" w:type="dxa"/>
            <w:tcBorders>
              <w:top w:val="dotted" w:sz="4" w:space="0" w:color="AAABD6"/>
              <w:left w:val="single" w:sz="4" w:space="0" w:color="AAABD6"/>
              <w:bottom w:val="single" w:sz="4" w:space="0" w:color="AAABD6"/>
              <w:right w:val="single" w:sz="4" w:space="0" w:color="AAABD6"/>
            </w:tcBorders>
            <w:vAlign w:val="bottom"/>
          </w:tcPr>
          <w:p w14:paraId="7685FF26"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88,638</w:t>
            </w:r>
          </w:p>
        </w:tc>
        <w:tc>
          <w:tcPr>
            <w:tcW w:w="0" w:type="dxa"/>
            <w:tcBorders>
              <w:top w:val="dotted" w:sz="4" w:space="0" w:color="AAABD6"/>
              <w:left w:val="single" w:sz="4" w:space="0" w:color="AAABD6"/>
              <w:bottom w:val="single" w:sz="4" w:space="0" w:color="AAABD6"/>
              <w:right w:val="single" w:sz="4" w:space="0" w:color="AAABD6"/>
            </w:tcBorders>
            <w:vAlign w:val="bottom"/>
          </w:tcPr>
          <w:p w14:paraId="0D9A5BD4"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88,638</w:t>
            </w:r>
          </w:p>
        </w:tc>
        <w:tc>
          <w:tcPr>
            <w:tcW w:w="0" w:type="dxa"/>
            <w:tcBorders>
              <w:top w:val="dotted" w:sz="4" w:space="0" w:color="AAABD6"/>
              <w:left w:val="single" w:sz="4" w:space="0" w:color="AAABD6"/>
              <w:bottom w:val="single" w:sz="4" w:space="0" w:color="AAABD6"/>
              <w:right w:val="single" w:sz="4" w:space="0" w:color="AAABD6"/>
            </w:tcBorders>
            <w:vAlign w:val="bottom"/>
          </w:tcPr>
          <w:p w14:paraId="75C193C7"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88,638</w:t>
            </w:r>
          </w:p>
        </w:tc>
        <w:tc>
          <w:tcPr>
            <w:tcW w:w="0" w:type="dxa"/>
            <w:tcBorders>
              <w:top w:val="dotted" w:sz="4" w:space="0" w:color="AAABD6"/>
              <w:left w:val="single" w:sz="4" w:space="0" w:color="AAABD6"/>
              <w:bottom w:val="single" w:sz="4" w:space="0" w:color="AAABD6"/>
              <w:right w:val="single" w:sz="4" w:space="0" w:color="AAABD6"/>
            </w:tcBorders>
            <w:vAlign w:val="bottom"/>
          </w:tcPr>
          <w:p w14:paraId="1E4F293D"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88,638</w:t>
            </w:r>
          </w:p>
        </w:tc>
        <w:tc>
          <w:tcPr>
            <w:tcW w:w="0" w:type="dxa"/>
            <w:tcBorders>
              <w:top w:val="dotted" w:sz="4" w:space="0" w:color="AAABD6"/>
              <w:left w:val="single" w:sz="4" w:space="0" w:color="AAABD6"/>
              <w:bottom w:val="single" w:sz="4" w:space="0" w:color="AAABD6"/>
              <w:right w:val="single" w:sz="4" w:space="0" w:color="AAABD6"/>
            </w:tcBorders>
            <w:vAlign w:val="bottom"/>
          </w:tcPr>
          <w:p w14:paraId="5DEDCB05"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88,638</w:t>
            </w:r>
          </w:p>
        </w:tc>
        <w:tc>
          <w:tcPr>
            <w:tcW w:w="0" w:type="dxa"/>
            <w:tcBorders>
              <w:top w:val="dotted" w:sz="4" w:space="0" w:color="AAABD6"/>
              <w:left w:val="single" w:sz="4" w:space="0" w:color="AAABD6"/>
              <w:bottom w:val="single" w:sz="4" w:space="0" w:color="AAABD6"/>
              <w:right w:val="single" w:sz="4" w:space="0" w:color="AAABD6"/>
            </w:tcBorders>
            <w:vAlign w:val="bottom"/>
          </w:tcPr>
          <w:p w14:paraId="0692720F"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88,638</w:t>
            </w:r>
          </w:p>
        </w:tc>
        <w:tc>
          <w:tcPr>
            <w:tcW w:w="0" w:type="dxa"/>
            <w:tcBorders>
              <w:top w:val="dotted" w:sz="4" w:space="0" w:color="AAABD6"/>
              <w:left w:val="single" w:sz="4" w:space="0" w:color="AAABD6"/>
              <w:bottom w:val="single" w:sz="4" w:space="0" w:color="AAABD6"/>
              <w:right w:val="single" w:sz="4" w:space="0" w:color="AAABD6"/>
            </w:tcBorders>
            <w:vAlign w:val="bottom"/>
          </w:tcPr>
          <w:p w14:paraId="3B2E6ADD" w14:textId="77777777" w:rsidR="002169F6" w:rsidRPr="00100F0A" w:rsidRDefault="002169F6"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88,638</w:t>
            </w:r>
          </w:p>
        </w:tc>
      </w:tr>
      <w:tr w:rsidR="00F02371" w:rsidRPr="00100F0A" w14:paraId="5FF6BEA1"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val="restart"/>
            <w:tcBorders>
              <w:top w:val="single" w:sz="4" w:space="0" w:color="AAABD6"/>
              <w:left w:val="single" w:sz="4" w:space="0" w:color="AAABD6"/>
              <w:bottom w:val="single" w:sz="4" w:space="0" w:color="AAABD6"/>
              <w:right w:val="single" w:sz="4" w:space="0" w:color="AAABD6"/>
            </w:tcBorders>
          </w:tcPr>
          <w:p w14:paraId="1CD26B9F" w14:textId="77777777" w:rsidR="00F02371" w:rsidRPr="00100F0A" w:rsidRDefault="00F02371" w:rsidP="002169F6">
            <w:pPr>
              <w:rPr>
                <w:sz w:val="16"/>
                <w:szCs w:val="16"/>
              </w:rPr>
            </w:pPr>
            <w:r w:rsidRPr="00100F0A">
              <w:rPr>
                <w:sz w:val="16"/>
                <w:szCs w:val="16"/>
              </w:rPr>
              <w:t>High</w:t>
            </w:r>
          </w:p>
        </w:tc>
        <w:tc>
          <w:tcPr>
            <w:tcW w:w="675" w:type="dxa"/>
            <w:tcBorders>
              <w:top w:val="single" w:sz="4" w:space="0" w:color="AAABD6"/>
              <w:left w:val="single" w:sz="4" w:space="0" w:color="AAABD6"/>
              <w:bottom w:val="dotted" w:sz="4" w:space="0" w:color="AAABD6"/>
              <w:right w:val="single" w:sz="4" w:space="0" w:color="AAABD6"/>
            </w:tcBorders>
          </w:tcPr>
          <w:p w14:paraId="4F777A05"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ACT</w:t>
            </w:r>
          </w:p>
        </w:tc>
        <w:tc>
          <w:tcPr>
            <w:tcW w:w="1418" w:type="dxa"/>
            <w:vMerge w:val="restart"/>
            <w:tcBorders>
              <w:top w:val="single" w:sz="4" w:space="0" w:color="AAABD6"/>
              <w:left w:val="single" w:sz="4" w:space="0" w:color="AAABD6"/>
              <w:right w:val="single" w:sz="4" w:space="0" w:color="AAABD6"/>
            </w:tcBorders>
            <w:vAlign w:val="center"/>
          </w:tcPr>
          <w:p w14:paraId="3590E1B1"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2/3 of traditional contaminated soil arisings</w:t>
            </w:r>
          </w:p>
        </w:tc>
        <w:tc>
          <w:tcPr>
            <w:tcW w:w="1020" w:type="dxa"/>
            <w:gridSpan w:val="2"/>
            <w:vMerge w:val="restart"/>
            <w:tcBorders>
              <w:top w:val="single" w:sz="4" w:space="0" w:color="AAABD6"/>
              <w:left w:val="single" w:sz="4" w:space="0" w:color="AAABD6"/>
              <w:right w:val="single" w:sz="4" w:space="0" w:color="AAABD6"/>
            </w:tcBorders>
          </w:tcPr>
          <w:p w14:paraId="1015625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7AF25EF0" w14:textId="3777F59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 </w:t>
            </w:r>
          </w:p>
          <w:p w14:paraId="1F6B990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7DDB469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602FD18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25868E7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36139A2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290DDC3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13C5916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1D68067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 </w:t>
            </w:r>
          </w:p>
          <w:p w14:paraId="3ACBF7B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3DEAF91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 </w:t>
            </w:r>
          </w:p>
          <w:p w14:paraId="7A6246A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273EA04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2897DBF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64DEB5E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4EF6101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50D4887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048420F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325B9853" w14:textId="5BF14E23"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 </w:t>
            </w:r>
          </w:p>
        </w:tc>
        <w:tc>
          <w:tcPr>
            <w:tcW w:w="510" w:type="dxa"/>
            <w:tcBorders>
              <w:top w:val="single" w:sz="4" w:space="0" w:color="AAABD6"/>
              <w:left w:val="single" w:sz="4" w:space="0" w:color="AAABD6"/>
              <w:bottom w:val="dotted" w:sz="4" w:space="0" w:color="AAABD6"/>
              <w:right w:val="single" w:sz="4" w:space="0" w:color="AAABD6"/>
            </w:tcBorders>
          </w:tcPr>
          <w:p w14:paraId="7EEF6AE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 </w:t>
            </w:r>
          </w:p>
        </w:tc>
        <w:tc>
          <w:tcPr>
            <w:tcW w:w="680" w:type="dxa"/>
            <w:tcBorders>
              <w:top w:val="single" w:sz="4" w:space="0" w:color="AAABD6"/>
              <w:left w:val="single" w:sz="4" w:space="0" w:color="AAABD6"/>
              <w:bottom w:val="dotted" w:sz="4" w:space="0" w:color="AAABD6"/>
              <w:right w:val="single" w:sz="4" w:space="0" w:color="AAABD6"/>
            </w:tcBorders>
            <w:vAlign w:val="bottom"/>
          </w:tcPr>
          <w:p w14:paraId="41E566C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16,783</w:t>
            </w:r>
          </w:p>
        </w:tc>
        <w:tc>
          <w:tcPr>
            <w:tcW w:w="680" w:type="dxa"/>
            <w:tcBorders>
              <w:top w:val="single" w:sz="4" w:space="0" w:color="AAABD6"/>
              <w:left w:val="single" w:sz="4" w:space="0" w:color="AAABD6"/>
              <w:bottom w:val="dotted" w:sz="4" w:space="0" w:color="AAABD6"/>
              <w:right w:val="single" w:sz="4" w:space="0" w:color="AAABD6"/>
            </w:tcBorders>
            <w:vAlign w:val="bottom"/>
          </w:tcPr>
          <w:p w14:paraId="18A4BD2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16,783</w:t>
            </w:r>
          </w:p>
        </w:tc>
        <w:tc>
          <w:tcPr>
            <w:tcW w:w="680" w:type="dxa"/>
            <w:tcBorders>
              <w:top w:val="single" w:sz="4" w:space="0" w:color="AAABD6"/>
              <w:left w:val="single" w:sz="4" w:space="0" w:color="AAABD6"/>
              <w:bottom w:val="dotted" w:sz="4" w:space="0" w:color="AAABD6"/>
              <w:right w:val="single" w:sz="4" w:space="0" w:color="AAABD6"/>
            </w:tcBorders>
            <w:vAlign w:val="bottom"/>
          </w:tcPr>
          <w:p w14:paraId="02F876D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16,783</w:t>
            </w:r>
          </w:p>
        </w:tc>
        <w:tc>
          <w:tcPr>
            <w:tcW w:w="680" w:type="dxa"/>
            <w:tcBorders>
              <w:top w:val="single" w:sz="4" w:space="0" w:color="AAABD6"/>
              <w:left w:val="single" w:sz="4" w:space="0" w:color="AAABD6"/>
              <w:bottom w:val="dotted" w:sz="4" w:space="0" w:color="AAABD6"/>
              <w:right w:val="single" w:sz="4" w:space="0" w:color="AAABD6"/>
            </w:tcBorders>
            <w:vAlign w:val="bottom"/>
          </w:tcPr>
          <w:p w14:paraId="10F4573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16,783</w:t>
            </w:r>
          </w:p>
        </w:tc>
        <w:tc>
          <w:tcPr>
            <w:tcW w:w="680" w:type="dxa"/>
            <w:tcBorders>
              <w:top w:val="single" w:sz="4" w:space="0" w:color="AAABD6"/>
              <w:left w:val="single" w:sz="4" w:space="0" w:color="AAABD6"/>
              <w:bottom w:val="dotted" w:sz="4" w:space="0" w:color="AAABD6"/>
              <w:right w:val="single" w:sz="4" w:space="0" w:color="AAABD6"/>
            </w:tcBorders>
            <w:vAlign w:val="bottom"/>
          </w:tcPr>
          <w:p w14:paraId="08C1F66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16,783</w:t>
            </w:r>
          </w:p>
        </w:tc>
        <w:tc>
          <w:tcPr>
            <w:tcW w:w="680" w:type="dxa"/>
            <w:tcBorders>
              <w:top w:val="single" w:sz="4" w:space="0" w:color="AAABD6"/>
              <w:left w:val="single" w:sz="4" w:space="0" w:color="AAABD6"/>
              <w:bottom w:val="dotted" w:sz="4" w:space="0" w:color="AAABD6"/>
              <w:right w:val="single" w:sz="4" w:space="0" w:color="AAABD6"/>
            </w:tcBorders>
            <w:vAlign w:val="bottom"/>
          </w:tcPr>
          <w:p w14:paraId="1415B03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16,783</w:t>
            </w:r>
          </w:p>
        </w:tc>
        <w:tc>
          <w:tcPr>
            <w:tcW w:w="680" w:type="dxa"/>
            <w:tcBorders>
              <w:top w:val="single" w:sz="4" w:space="0" w:color="AAABD6"/>
              <w:left w:val="single" w:sz="4" w:space="0" w:color="AAABD6"/>
              <w:bottom w:val="dotted" w:sz="4" w:space="0" w:color="AAABD6"/>
              <w:right w:val="single" w:sz="4" w:space="0" w:color="AAABD6"/>
            </w:tcBorders>
            <w:vAlign w:val="bottom"/>
          </w:tcPr>
          <w:p w14:paraId="1F162B0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16,783</w:t>
            </w:r>
          </w:p>
        </w:tc>
        <w:tc>
          <w:tcPr>
            <w:tcW w:w="680" w:type="dxa"/>
            <w:tcBorders>
              <w:top w:val="single" w:sz="4" w:space="0" w:color="AAABD6"/>
              <w:left w:val="single" w:sz="4" w:space="0" w:color="AAABD6"/>
              <w:bottom w:val="dotted" w:sz="4" w:space="0" w:color="AAABD6"/>
              <w:right w:val="single" w:sz="4" w:space="0" w:color="AAABD6"/>
            </w:tcBorders>
            <w:vAlign w:val="bottom"/>
          </w:tcPr>
          <w:p w14:paraId="307DD82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16,783</w:t>
            </w:r>
          </w:p>
        </w:tc>
        <w:tc>
          <w:tcPr>
            <w:tcW w:w="680" w:type="dxa"/>
            <w:tcBorders>
              <w:top w:val="single" w:sz="4" w:space="0" w:color="AAABD6"/>
              <w:left w:val="single" w:sz="4" w:space="0" w:color="AAABD6"/>
              <w:bottom w:val="dotted" w:sz="4" w:space="0" w:color="AAABD6"/>
              <w:right w:val="single" w:sz="4" w:space="0" w:color="AAABD6"/>
            </w:tcBorders>
            <w:vAlign w:val="bottom"/>
          </w:tcPr>
          <w:p w14:paraId="66DB235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16,783</w:t>
            </w:r>
          </w:p>
        </w:tc>
        <w:tc>
          <w:tcPr>
            <w:tcW w:w="680" w:type="dxa"/>
            <w:tcBorders>
              <w:top w:val="single" w:sz="4" w:space="0" w:color="AAABD6"/>
              <w:left w:val="single" w:sz="4" w:space="0" w:color="AAABD6"/>
              <w:bottom w:val="dotted" w:sz="4" w:space="0" w:color="AAABD6"/>
              <w:right w:val="single" w:sz="4" w:space="0" w:color="AAABD6"/>
            </w:tcBorders>
            <w:vAlign w:val="bottom"/>
          </w:tcPr>
          <w:p w14:paraId="7FE8B20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16,783</w:t>
            </w:r>
          </w:p>
        </w:tc>
        <w:tc>
          <w:tcPr>
            <w:tcW w:w="680" w:type="dxa"/>
            <w:tcBorders>
              <w:top w:val="single" w:sz="4" w:space="0" w:color="AAABD6"/>
              <w:left w:val="single" w:sz="4" w:space="0" w:color="AAABD6"/>
              <w:bottom w:val="dotted" w:sz="4" w:space="0" w:color="AAABD6"/>
              <w:right w:val="single" w:sz="4" w:space="0" w:color="AAABD6"/>
            </w:tcBorders>
            <w:vAlign w:val="bottom"/>
          </w:tcPr>
          <w:p w14:paraId="1D01969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16,783</w:t>
            </w:r>
          </w:p>
        </w:tc>
        <w:tc>
          <w:tcPr>
            <w:tcW w:w="680" w:type="dxa"/>
            <w:tcBorders>
              <w:top w:val="single" w:sz="4" w:space="0" w:color="AAABD6"/>
              <w:left w:val="single" w:sz="4" w:space="0" w:color="AAABD6"/>
              <w:bottom w:val="dotted" w:sz="4" w:space="0" w:color="AAABD6"/>
              <w:right w:val="single" w:sz="4" w:space="0" w:color="AAABD6"/>
            </w:tcBorders>
            <w:vAlign w:val="bottom"/>
          </w:tcPr>
          <w:p w14:paraId="60FA408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16,783</w:t>
            </w:r>
          </w:p>
        </w:tc>
        <w:tc>
          <w:tcPr>
            <w:tcW w:w="680" w:type="dxa"/>
            <w:tcBorders>
              <w:top w:val="single" w:sz="4" w:space="0" w:color="AAABD6"/>
              <w:left w:val="single" w:sz="4" w:space="0" w:color="AAABD6"/>
              <w:bottom w:val="dotted" w:sz="4" w:space="0" w:color="AAABD6"/>
              <w:right w:val="single" w:sz="4" w:space="0" w:color="AAABD6"/>
            </w:tcBorders>
            <w:vAlign w:val="bottom"/>
          </w:tcPr>
          <w:p w14:paraId="7B8A143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16,783</w:t>
            </w:r>
          </w:p>
        </w:tc>
        <w:tc>
          <w:tcPr>
            <w:tcW w:w="680" w:type="dxa"/>
            <w:tcBorders>
              <w:top w:val="single" w:sz="4" w:space="0" w:color="AAABD6"/>
              <w:left w:val="single" w:sz="4" w:space="0" w:color="AAABD6"/>
              <w:bottom w:val="dotted" w:sz="4" w:space="0" w:color="AAABD6"/>
              <w:right w:val="single" w:sz="4" w:space="0" w:color="AAABD6"/>
            </w:tcBorders>
            <w:vAlign w:val="bottom"/>
          </w:tcPr>
          <w:p w14:paraId="7B36836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16,783</w:t>
            </w:r>
          </w:p>
        </w:tc>
        <w:tc>
          <w:tcPr>
            <w:tcW w:w="680" w:type="dxa"/>
            <w:tcBorders>
              <w:top w:val="single" w:sz="4" w:space="0" w:color="AAABD6"/>
              <w:left w:val="single" w:sz="4" w:space="0" w:color="AAABD6"/>
              <w:bottom w:val="dotted" w:sz="4" w:space="0" w:color="AAABD6"/>
              <w:right w:val="single" w:sz="4" w:space="0" w:color="AAABD6"/>
            </w:tcBorders>
            <w:vAlign w:val="bottom"/>
          </w:tcPr>
          <w:p w14:paraId="755B14C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16,783</w:t>
            </w:r>
          </w:p>
        </w:tc>
        <w:tc>
          <w:tcPr>
            <w:tcW w:w="680" w:type="dxa"/>
            <w:tcBorders>
              <w:top w:val="single" w:sz="4" w:space="0" w:color="AAABD6"/>
              <w:left w:val="single" w:sz="4" w:space="0" w:color="AAABD6"/>
              <w:bottom w:val="dotted" w:sz="4" w:space="0" w:color="AAABD6"/>
              <w:right w:val="single" w:sz="4" w:space="0" w:color="AAABD6"/>
            </w:tcBorders>
            <w:vAlign w:val="bottom"/>
          </w:tcPr>
          <w:p w14:paraId="4237F4F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16,783</w:t>
            </w:r>
          </w:p>
        </w:tc>
        <w:tc>
          <w:tcPr>
            <w:tcW w:w="680" w:type="dxa"/>
            <w:tcBorders>
              <w:top w:val="single" w:sz="4" w:space="0" w:color="AAABD6"/>
              <w:left w:val="single" w:sz="4" w:space="0" w:color="AAABD6"/>
              <w:bottom w:val="dotted" w:sz="4" w:space="0" w:color="AAABD6"/>
              <w:right w:val="single" w:sz="4" w:space="0" w:color="AAABD6"/>
            </w:tcBorders>
            <w:vAlign w:val="bottom"/>
          </w:tcPr>
          <w:p w14:paraId="77BDCB9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16,783</w:t>
            </w:r>
          </w:p>
        </w:tc>
        <w:tc>
          <w:tcPr>
            <w:tcW w:w="680" w:type="dxa"/>
            <w:tcBorders>
              <w:top w:val="single" w:sz="4" w:space="0" w:color="AAABD6"/>
              <w:left w:val="single" w:sz="4" w:space="0" w:color="AAABD6"/>
              <w:bottom w:val="dotted" w:sz="4" w:space="0" w:color="AAABD6"/>
              <w:right w:val="single" w:sz="4" w:space="0" w:color="AAABD6"/>
            </w:tcBorders>
            <w:vAlign w:val="bottom"/>
          </w:tcPr>
          <w:p w14:paraId="47388FF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16,783</w:t>
            </w:r>
          </w:p>
        </w:tc>
      </w:tr>
      <w:tr w:rsidR="00F02371" w:rsidRPr="00100F0A" w14:paraId="3F2AC1BD"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bottom w:val="single" w:sz="4" w:space="0" w:color="AAABD6"/>
              <w:right w:val="single" w:sz="4" w:space="0" w:color="AAABD6"/>
            </w:tcBorders>
          </w:tcPr>
          <w:p w14:paraId="17FC1B87" w14:textId="77777777" w:rsidR="00F02371" w:rsidRPr="00100F0A" w:rsidRDefault="00F02371" w:rsidP="002169F6">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3DB8D93E"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NSW</w:t>
            </w:r>
          </w:p>
        </w:tc>
        <w:tc>
          <w:tcPr>
            <w:tcW w:w="1418" w:type="dxa"/>
            <w:vMerge/>
            <w:tcBorders>
              <w:left w:val="single" w:sz="4" w:space="0" w:color="AAABD6"/>
              <w:right w:val="single" w:sz="4" w:space="0" w:color="AAABD6"/>
            </w:tcBorders>
          </w:tcPr>
          <w:p w14:paraId="7772F922"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gridSpan w:val="2"/>
            <w:vMerge/>
            <w:tcBorders>
              <w:left w:val="single" w:sz="4" w:space="0" w:color="AAABD6"/>
              <w:right w:val="single" w:sz="4" w:space="0" w:color="AAABD6"/>
            </w:tcBorders>
          </w:tcPr>
          <w:p w14:paraId="13C3C24D" w14:textId="2033A68B"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10" w:type="dxa"/>
            <w:tcBorders>
              <w:top w:val="dotted" w:sz="4" w:space="0" w:color="AAABD6"/>
              <w:left w:val="single" w:sz="4" w:space="0" w:color="AAABD6"/>
              <w:bottom w:val="dotted" w:sz="4" w:space="0" w:color="AAABD6"/>
              <w:right w:val="single" w:sz="4" w:space="0" w:color="AAABD6"/>
            </w:tcBorders>
          </w:tcPr>
          <w:p w14:paraId="5801B1A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680" w:type="dxa"/>
            <w:tcBorders>
              <w:top w:val="dotted" w:sz="4" w:space="0" w:color="AAABD6"/>
              <w:left w:val="single" w:sz="4" w:space="0" w:color="AAABD6"/>
              <w:bottom w:val="dotted" w:sz="4" w:space="0" w:color="AAABD6"/>
              <w:right w:val="single" w:sz="4" w:space="0" w:color="AAABD6"/>
            </w:tcBorders>
            <w:vAlign w:val="bottom"/>
          </w:tcPr>
          <w:p w14:paraId="540A326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310,872</w:t>
            </w:r>
          </w:p>
        </w:tc>
        <w:tc>
          <w:tcPr>
            <w:tcW w:w="680" w:type="dxa"/>
            <w:tcBorders>
              <w:top w:val="dotted" w:sz="4" w:space="0" w:color="AAABD6"/>
              <w:left w:val="single" w:sz="4" w:space="0" w:color="AAABD6"/>
              <w:bottom w:val="dotted" w:sz="4" w:space="0" w:color="AAABD6"/>
              <w:right w:val="single" w:sz="4" w:space="0" w:color="AAABD6"/>
            </w:tcBorders>
            <w:vAlign w:val="bottom"/>
          </w:tcPr>
          <w:p w14:paraId="263CA39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310,872</w:t>
            </w:r>
          </w:p>
        </w:tc>
        <w:tc>
          <w:tcPr>
            <w:tcW w:w="680" w:type="dxa"/>
            <w:tcBorders>
              <w:top w:val="dotted" w:sz="4" w:space="0" w:color="AAABD6"/>
              <w:left w:val="single" w:sz="4" w:space="0" w:color="AAABD6"/>
              <w:bottom w:val="dotted" w:sz="4" w:space="0" w:color="AAABD6"/>
              <w:right w:val="single" w:sz="4" w:space="0" w:color="AAABD6"/>
            </w:tcBorders>
            <w:vAlign w:val="bottom"/>
          </w:tcPr>
          <w:p w14:paraId="7F5C893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310,872</w:t>
            </w:r>
          </w:p>
        </w:tc>
        <w:tc>
          <w:tcPr>
            <w:tcW w:w="680" w:type="dxa"/>
            <w:tcBorders>
              <w:top w:val="dotted" w:sz="4" w:space="0" w:color="AAABD6"/>
              <w:left w:val="single" w:sz="4" w:space="0" w:color="AAABD6"/>
              <w:bottom w:val="dotted" w:sz="4" w:space="0" w:color="AAABD6"/>
              <w:right w:val="single" w:sz="4" w:space="0" w:color="AAABD6"/>
            </w:tcBorders>
            <w:vAlign w:val="bottom"/>
          </w:tcPr>
          <w:p w14:paraId="1C09912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310,872</w:t>
            </w:r>
          </w:p>
        </w:tc>
        <w:tc>
          <w:tcPr>
            <w:tcW w:w="680" w:type="dxa"/>
            <w:tcBorders>
              <w:top w:val="dotted" w:sz="4" w:space="0" w:color="AAABD6"/>
              <w:left w:val="single" w:sz="4" w:space="0" w:color="AAABD6"/>
              <w:bottom w:val="dotted" w:sz="4" w:space="0" w:color="AAABD6"/>
              <w:right w:val="single" w:sz="4" w:space="0" w:color="AAABD6"/>
            </w:tcBorders>
            <w:vAlign w:val="bottom"/>
          </w:tcPr>
          <w:p w14:paraId="36131ED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310,872</w:t>
            </w:r>
          </w:p>
        </w:tc>
        <w:tc>
          <w:tcPr>
            <w:tcW w:w="680" w:type="dxa"/>
            <w:tcBorders>
              <w:top w:val="dotted" w:sz="4" w:space="0" w:color="AAABD6"/>
              <w:left w:val="single" w:sz="4" w:space="0" w:color="AAABD6"/>
              <w:bottom w:val="dotted" w:sz="4" w:space="0" w:color="AAABD6"/>
              <w:right w:val="single" w:sz="4" w:space="0" w:color="AAABD6"/>
            </w:tcBorders>
            <w:vAlign w:val="bottom"/>
          </w:tcPr>
          <w:p w14:paraId="1692565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310,872</w:t>
            </w:r>
          </w:p>
        </w:tc>
        <w:tc>
          <w:tcPr>
            <w:tcW w:w="680" w:type="dxa"/>
            <w:tcBorders>
              <w:top w:val="dotted" w:sz="4" w:space="0" w:color="AAABD6"/>
              <w:left w:val="single" w:sz="4" w:space="0" w:color="AAABD6"/>
              <w:bottom w:val="dotted" w:sz="4" w:space="0" w:color="AAABD6"/>
              <w:right w:val="single" w:sz="4" w:space="0" w:color="AAABD6"/>
            </w:tcBorders>
            <w:vAlign w:val="bottom"/>
          </w:tcPr>
          <w:p w14:paraId="0706878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310,872</w:t>
            </w:r>
          </w:p>
        </w:tc>
        <w:tc>
          <w:tcPr>
            <w:tcW w:w="680" w:type="dxa"/>
            <w:tcBorders>
              <w:top w:val="dotted" w:sz="4" w:space="0" w:color="AAABD6"/>
              <w:left w:val="single" w:sz="4" w:space="0" w:color="AAABD6"/>
              <w:bottom w:val="dotted" w:sz="4" w:space="0" w:color="AAABD6"/>
              <w:right w:val="single" w:sz="4" w:space="0" w:color="AAABD6"/>
            </w:tcBorders>
            <w:vAlign w:val="bottom"/>
          </w:tcPr>
          <w:p w14:paraId="208AADB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310,872</w:t>
            </w:r>
          </w:p>
        </w:tc>
        <w:tc>
          <w:tcPr>
            <w:tcW w:w="680" w:type="dxa"/>
            <w:tcBorders>
              <w:top w:val="dotted" w:sz="4" w:space="0" w:color="AAABD6"/>
              <w:left w:val="single" w:sz="4" w:space="0" w:color="AAABD6"/>
              <w:bottom w:val="dotted" w:sz="4" w:space="0" w:color="AAABD6"/>
              <w:right w:val="single" w:sz="4" w:space="0" w:color="AAABD6"/>
            </w:tcBorders>
            <w:vAlign w:val="bottom"/>
          </w:tcPr>
          <w:p w14:paraId="03375DF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310,872</w:t>
            </w:r>
          </w:p>
        </w:tc>
        <w:tc>
          <w:tcPr>
            <w:tcW w:w="680" w:type="dxa"/>
            <w:tcBorders>
              <w:top w:val="dotted" w:sz="4" w:space="0" w:color="AAABD6"/>
              <w:left w:val="single" w:sz="4" w:space="0" w:color="AAABD6"/>
              <w:bottom w:val="dotted" w:sz="4" w:space="0" w:color="AAABD6"/>
              <w:right w:val="single" w:sz="4" w:space="0" w:color="AAABD6"/>
            </w:tcBorders>
            <w:vAlign w:val="bottom"/>
          </w:tcPr>
          <w:p w14:paraId="7E1C725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310,872</w:t>
            </w:r>
          </w:p>
        </w:tc>
        <w:tc>
          <w:tcPr>
            <w:tcW w:w="680" w:type="dxa"/>
            <w:tcBorders>
              <w:top w:val="dotted" w:sz="4" w:space="0" w:color="AAABD6"/>
              <w:left w:val="single" w:sz="4" w:space="0" w:color="AAABD6"/>
              <w:bottom w:val="dotted" w:sz="4" w:space="0" w:color="AAABD6"/>
              <w:right w:val="single" w:sz="4" w:space="0" w:color="AAABD6"/>
            </w:tcBorders>
            <w:vAlign w:val="bottom"/>
          </w:tcPr>
          <w:p w14:paraId="245B7AD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310,872</w:t>
            </w:r>
          </w:p>
        </w:tc>
        <w:tc>
          <w:tcPr>
            <w:tcW w:w="680" w:type="dxa"/>
            <w:tcBorders>
              <w:top w:val="dotted" w:sz="4" w:space="0" w:color="AAABD6"/>
              <w:left w:val="single" w:sz="4" w:space="0" w:color="AAABD6"/>
              <w:bottom w:val="dotted" w:sz="4" w:space="0" w:color="AAABD6"/>
              <w:right w:val="single" w:sz="4" w:space="0" w:color="AAABD6"/>
            </w:tcBorders>
            <w:vAlign w:val="bottom"/>
          </w:tcPr>
          <w:p w14:paraId="6484E8B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310,872</w:t>
            </w:r>
          </w:p>
        </w:tc>
        <w:tc>
          <w:tcPr>
            <w:tcW w:w="680" w:type="dxa"/>
            <w:tcBorders>
              <w:top w:val="dotted" w:sz="4" w:space="0" w:color="AAABD6"/>
              <w:left w:val="single" w:sz="4" w:space="0" w:color="AAABD6"/>
              <w:bottom w:val="dotted" w:sz="4" w:space="0" w:color="AAABD6"/>
              <w:right w:val="single" w:sz="4" w:space="0" w:color="AAABD6"/>
            </w:tcBorders>
            <w:vAlign w:val="bottom"/>
          </w:tcPr>
          <w:p w14:paraId="59E0A76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310,872</w:t>
            </w:r>
          </w:p>
        </w:tc>
        <w:tc>
          <w:tcPr>
            <w:tcW w:w="680" w:type="dxa"/>
            <w:tcBorders>
              <w:top w:val="dotted" w:sz="4" w:space="0" w:color="AAABD6"/>
              <w:left w:val="single" w:sz="4" w:space="0" w:color="AAABD6"/>
              <w:bottom w:val="dotted" w:sz="4" w:space="0" w:color="AAABD6"/>
              <w:right w:val="single" w:sz="4" w:space="0" w:color="AAABD6"/>
            </w:tcBorders>
            <w:vAlign w:val="bottom"/>
          </w:tcPr>
          <w:p w14:paraId="1A83A62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310,872</w:t>
            </w:r>
          </w:p>
        </w:tc>
        <w:tc>
          <w:tcPr>
            <w:tcW w:w="680" w:type="dxa"/>
            <w:tcBorders>
              <w:top w:val="dotted" w:sz="4" w:space="0" w:color="AAABD6"/>
              <w:left w:val="single" w:sz="4" w:space="0" w:color="AAABD6"/>
              <w:bottom w:val="dotted" w:sz="4" w:space="0" w:color="AAABD6"/>
              <w:right w:val="single" w:sz="4" w:space="0" w:color="AAABD6"/>
            </w:tcBorders>
            <w:vAlign w:val="bottom"/>
          </w:tcPr>
          <w:p w14:paraId="478966A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310,872</w:t>
            </w:r>
          </w:p>
        </w:tc>
        <w:tc>
          <w:tcPr>
            <w:tcW w:w="680" w:type="dxa"/>
            <w:tcBorders>
              <w:top w:val="dotted" w:sz="4" w:space="0" w:color="AAABD6"/>
              <w:left w:val="single" w:sz="4" w:space="0" w:color="AAABD6"/>
              <w:bottom w:val="dotted" w:sz="4" w:space="0" w:color="AAABD6"/>
              <w:right w:val="single" w:sz="4" w:space="0" w:color="AAABD6"/>
            </w:tcBorders>
            <w:vAlign w:val="bottom"/>
          </w:tcPr>
          <w:p w14:paraId="7D33072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310,872</w:t>
            </w:r>
          </w:p>
        </w:tc>
        <w:tc>
          <w:tcPr>
            <w:tcW w:w="680" w:type="dxa"/>
            <w:tcBorders>
              <w:top w:val="dotted" w:sz="4" w:space="0" w:color="AAABD6"/>
              <w:left w:val="single" w:sz="4" w:space="0" w:color="AAABD6"/>
              <w:bottom w:val="dotted" w:sz="4" w:space="0" w:color="AAABD6"/>
              <w:right w:val="single" w:sz="4" w:space="0" w:color="AAABD6"/>
            </w:tcBorders>
            <w:vAlign w:val="bottom"/>
          </w:tcPr>
          <w:p w14:paraId="29A5524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310,872</w:t>
            </w:r>
          </w:p>
        </w:tc>
        <w:tc>
          <w:tcPr>
            <w:tcW w:w="680" w:type="dxa"/>
            <w:tcBorders>
              <w:top w:val="dotted" w:sz="4" w:space="0" w:color="AAABD6"/>
              <w:left w:val="single" w:sz="4" w:space="0" w:color="AAABD6"/>
              <w:bottom w:val="dotted" w:sz="4" w:space="0" w:color="AAABD6"/>
              <w:right w:val="single" w:sz="4" w:space="0" w:color="AAABD6"/>
            </w:tcBorders>
            <w:vAlign w:val="bottom"/>
          </w:tcPr>
          <w:p w14:paraId="46517CB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310,872</w:t>
            </w:r>
          </w:p>
        </w:tc>
      </w:tr>
      <w:tr w:rsidR="00F02371" w:rsidRPr="00100F0A" w14:paraId="283A4FB5"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bottom w:val="single" w:sz="4" w:space="0" w:color="AAABD6"/>
              <w:right w:val="single" w:sz="4" w:space="0" w:color="AAABD6"/>
            </w:tcBorders>
          </w:tcPr>
          <w:p w14:paraId="66574527" w14:textId="77777777" w:rsidR="00F02371" w:rsidRPr="00100F0A" w:rsidRDefault="00F02371" w:rsidP="002169F6">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3D04CCAC"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NT</w:t>
            </w:r>
          </w:p>
        </w:tc>
        <w:tc>
          <w:tcPr>
            <w:tcW w:w="1418" w:type="dxa"/>
            <w:vMerge/>
            <w:tcBorders>
              <w:left w:val="single" w:sz="4" w:space="0" w:color="AAABD6"/>
              <w:right w:val="single" w:sz="4" w:space="0" w:color="AAABD6"/>
            </w:tcBorders>
          </w:tcPr>
          <w:p w14:paraId="7C2CC4B6"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gridSpan w:val="2"/>
            <w:vMerge/>
            <w:tcBorders>
              <w:left w:val="single" w:sz="4" w:space="0" w:color="AAABD6"/>
              <w:right w:val="single" w:sz="4" w:space="0" w:color="AAABD6"/>
            </w:tcBorders>
          </w:tcPr>
          <w:p w14:paraId="3BB904F2" w14:textId="026332F0"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10" w:type="dxa"/>
            <w:tcBorders>
              <w:top w:val="dotted" w:sz="4" w:space="0" w:color="AAABD6"/>
              <w:left w:val="single" w:sz="4" w:space="0" w:color="AAABD6"/>
              <w:bottom w:val="dotted" w:sz="4" w:space="0" w:color="AAABD6"/>
              <w:right w:val="single" w:sz="4" w:space="0" w:color="AAABD6"/>
            </w:tcBorders>
          </w:tcPr>
          <w:p w14:paraId="43FF97A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680" w:type="dxa"/>
            <w:tcBorders>
              <w:top w:val="dotted" w:sz="4" w:space="0" w:color="AAABD6"/>
              <w:left w:val="single" w:sz="4" w:space="0" w:color="AAABD6"/>
              <w:bottom w:val="dotted" w:sz="4" w:space="0" w:color="AAABD6"/>
              <w:right w:val="single" w:sz="4" w:space="0" w:color="AAABD6"/>
            </w:tcBorders>
            <w:vAlign w:val="bottom"/>
          </w:tcPr>
          <w:p w14:paraId="3F6A809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10,378</w:t>
            </w:r>
          </w:p>
        </w:tc>
        <w:tc>
          <w:tcPr>
            <w:tcW w:w="680" w:type="dxa"/>
            <w:tcBorders>
              <w:top w:val="dotted" w:sz="4" w:space="0" w:color="AAABD6"/>
              <w:left w:val="single" w:sz="4" w:space="0" w:color="AAABD6"/>
              <w:bottom w:val="dotted" w:sz="4" w:space="0" w:color="AAABD6"/>
              <w:right w:val="single" w:sz="4" w:space="0" w:color="AAABD6"/>
            </w:tcBorders>
            <w:vAlign w:val="bottom"/>
          </w:tcPr>
          <w:p w14:paraId="73D327C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10,378</w:t>
            </w:r>
          </w:p>
        </w:tc>
        <w:tc>
          <w:tcPr>
            <w:tcW w:w="680" w:type="dxa"/>
            <w:tcBorders>
              <w:top w:val="dotted" w:sz="4" w:space="0" w:color="AAABD6"/>
              <w:left w:val="single" w:sz="4" w:space="0" w:color="AAABD6"/>
              <w:bottom w:val="dotted" w:sz="4" w:space="0" w:color="AAABD6"/>
              <w:right w:val="single" w:sz="4" w:space="0" w:color="AAABD6"/>
            </w:tcBorders>
            <w:vAlign w:val="bottom"/>
          </w:tcPr>
          <w:p w14:paraId="06A99C6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10,378</w:t>
            </w:r>
          </w:p>
        </w:tc>
        <w:tc>
          <w:tcPr>
            <w:tcW w:w="680" w:type="dxa"/>
            <w:tcBorders>
              <w:top w:val="dotted" w:sz="4" w:space="0" w:color="AAABD6"/>
              <w:left w:val="single" w:sz="4" w:space="0" w:color="AAABD6"/>
              <w:bottom w:val="dotted" w:sz="4" w:space="0" w:color="AAABD6"/>
              <w:right w:val="single" w:sz="4" w:space="0" w:color="AAABD6"/>
            </w:tcBorders>
            <w:vAlign w:val="bottom"/>
          </w:tcPr>
          <w:p w14:paraId="33E16A7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10,378</w:t>
            </w:r>
          </w:p>
        </w:tc>
        <w:tc>
          <w:tcPr>
            <w:tcW w:w="680" w:type="dxa"/>
            <w:tcBorders>
              <w:top w:val="dotted" w:sz="4" w:space="0" w:color="AAABD6"/>
              <w:left w:val="single" w:sz="4" w:space="0" w:color="AAABD6"/>
              <w:bottom w:val="dotted" w:sz="4" w:space="0" w:color="AAABD6"/>
              <w:right w:val="single" w:sz="4" w:space="0" w:color="AAABD6"/>
            </w:tcBorders>
            <w:vAlign w:val="bottom"/>
          </w:tcPr>
          <w:p w14:paraId="69BF262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10,378</w:t>
            </w:r>
          </w:p>
        </w:tc>
        <w:tc>
          <w:tcPr>
            <w:tcW w:w="680" w:type="dxa"/>
            <w:tcBorders>
              <w:top w:val="dotted" w:sz="4" w:space="0" w:color="AAABD6"/>
              <w:left w:val="single" w:sz="4" w:space="0" w:color="AAABD6"/>
              <w:bottom w:val="dotted" w:sz="4" w:space="0" w:color="AAABD6"/>
              <w:right w:val="single" w:sz="4" w:space="0" w:color="AAABD6"/>
            </w:tcBorders>
            <w:vAlign w:val="bottom"/>
          </w:tcPr>
          <w:p w14:paraId="6527CA2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10,378</w:t>
            </w:r>
          </w:p>
        </w:tc>
        <w:tc>
          <w:tcPr>
            <w:tcW w:w="680" w:type="dxa"/>
            <w:tcBorders>
              <w:top w:val="dotted" w:sz="4" w:space="0" w:color="AAABD6"/>
              <w:left w:val="single" w:sz="4" w:space="0" w:color="AAABD6"/>
              <w:bottom w:val="dotted" w:sz="4" w:space="0" w:color="AAABD6"/>
              <w:right w:val="single" w:sz="4" w:space="0" w:color="AAABD6"/>
            </w:tcBorders>
            <w:vAlign w:val="bottom"/>
          </w:tcPr>
          <w:p w14:paraId="42845E5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10,378</w:t>
            </w:r>
          </w:p>
        </w:tc>
        <w:tc>
          <w:tcPr>
            <w:tcW w:w="680" w:type="dxa"/>
            <w:tcBorders>
              <w:top w:val="dotted" w:sz="4" w:space="0" w:color="AAABD6"/>
              <w:left w:val="single" w:sz="4" w:space="0" w:color="AAABD6"/>
              <w:bottom w:val="dotted" w:sz="4" w:space="0" w:color="AAABD6"/>
              <w:right w:val="single" w:sz="4" w:space="0" w:color="AAABD6"/>
            </w:tcBorders>
            <w:vAlign w:val="bottom"/>
          </w:tcPr>
          <w:p w14:paraId="6B25083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10,378</w:t>
            </w:r>
          </w:p>
        </w:tc>
        <w:tc>
          <w:tcPr>
            <w:tcW w:w="680" w:type="dxa"/>
            <w:tcBorders>
              <w:top w:val="dotted" w:sz="4" w:space="0" w:color="AAABD6"/>
              <w:left w:val="single" w:sz="4" w:space="0" w:color="AAABD6"/>
              <w:bottom w:val="dotted" w:sz="4" w:space="0" w:color="AAABD6"/>
              <w:right w:val="single" w:sz="4" w:space="0" w:color="AAABD6"/>
            </w:tcBorders>
            <w:vAlign w:val="bottom"/>
          </w:tcPr>
          <w:p w14:paraId="06B8746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10,378</w:t>
            </w:r>
          </w:p>
        </w:tc>
        <w:tc>
          <w:tcPr>
            <w:tcW w:w="680" w:type="dxa"/>
            <w:tcBorders>
              <w:top w:val="dotted" w:sz="4" w:space="0" w:color="AAABD6"/>
              <w:left w:val="single" w:sz="4" w:space="0" w:color="AAABD6"/>
              <w:bottom w:val="dotted" w:sz="4" w:space="0" w:color="AAABD6"/>
              <w:right w:val="single" w:sz="4" w:space="0" w:color="AAABD6"/>
            </w:tcBorders>
            <w:vAlign w:val="bottom"/>
          </w:tcPr>
          <w:p w14:paraId="6D557DC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10,378</w:t>
            </w:r>
          </w:p>
        </w:tc>
        <w:tc>
          <w:tcPr>
            <w:tcW w:w="680" w:type="dxa"/>
            <w:tcBorders>
              <w:top w:val="dotted" w:sz="4" w:space="0" w:color="AAABD6"/>
              <w:left w:val="single" w:sz="4" w:space="0" w:color="AAABD6"/>
              <w:bottom w:val="dotted" w:sz="4" w:space="0" w:color="AAABD6"/>
              <w:right w:val="single" w:sz="4" w:space="0" w:color="AAABD6"/>
            </w:tcBorders>
            <w:vAlign w:val="bottom"/>
          </w:tcPr>
          <w:p w14:paraId="03C76BF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10,378</w:t>
            </w:r>
          </w:p>
        </w:tc>
        <w:tc>
          <w:tcPr>
            <w:tcW w:w="680" w:type="dxa"/>
            <w:tcBorders>
              <w:top w:val="dotted" w:sz="4" w:space="0" w:color="AAABD6"/>
              <w:left w:val="single" w:sz="4" w:space="0" w:color="AAABD6"/>
              <w:bottom w:val="dotted" w:sz="4" w:space="0" w:color="AAABD6"/>
              <w:right w:val="single" w:sz="4" w:space="0" w:color="AAABD6"/>
            </w:tcBorders>
            <w:vAlign w:val="bottom"/>
          </w:tcPr>
          <w:p w14:paraId="1486154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10,378</w:t>
            </w:r>
          </w:p>
        </w:tc>
        <w:tc>
          <w:tcPr>
            <w:tcW w:w="680" w:type="dxa"/>
            <w:tcBorders>
              <w:top w:val="dotted" w:sz="4" w:space="0" w:color="AAABD6"/>
              <w:left w:val="single" w:sz="4" w:space="0" w:color="AAABD6"/>
              <w:bottom w:val="dotted" w:sz="4" w:space="0" w:color="AAABD6"/>
              <w:right w:val="single" w:sz="4" w:space="0" w:color="AAABD6"/>
            </w:tcBorders>
            <w:vAlign w:val="bottom"/>
          </w:tcPr>
          <w:p w14:paraId="76EB659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10,378</w:t>
            </w:r>
          </w:p>
        </w:tc>
        <w:tc>
          <w:tcPr>
            <w:tcW w:w="680" w:type="dxa"/>
            <w:tcBorders>
              <w:top w:val="dotted" w:sz="4" w:space="0" w:color="AAABD6"/>
              <w:left w:val="single" w:sz="4" w:space="0" w:color="AAABD6"/>
              <w:bottom w:val="dotted" w:sz="4" w:space="0" w:color="AAABD6"/>
              <w:right w:val="single" w:sz="4" w:space="0" w:color="AAABD6"/>
            </w:tcBorders>
            <w:vAlign w:val="bottom"/>
          </w:tcPr>
          <w:p w14:paraId="3FA5240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10,378</w:t>
            </w:r>
          </w:p>
        </w:tc>
        <w:tc>
          <w:tcPr>
            <w:tcW w:w="680" w:type="dxa"/>
            <w:tcBorders>
              <w:top w:val="dotted" w:sz="4" w:space="0" w:color="AAABD6"/>
              <w:left w:val="single" w:sz="4" w:space="0" w:color="AAABD6"/>
              <w:bottom w:val="dotted" w:sz="4" w:space="0" w:color="AAABD6"/>
              <w:right w:val="single" w:sz="4" w:space="0" w:color="AAABD6"/>
            </w:tcBorders>
            <w:vAlign w:val="bottom"/>
          </w:tcPr>
          <w:p w14:paraId="3D64EA9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10,378</w:t>
            </w:r>
          </w:p>
        </w:tc>
        <w:tc>
          <w:tcPr>
            <w:tcW w:w="680" w:type="dxa"/>
            <w:tcBorders>
              <w:top w:val="dotted" w:sz="4" w:space="0" w:color="AAABD6"/>
              <w:left w:val="single" w:sz="4" w:space="0" w:color="AAABD6"/>
              <w:bottom w:val="dotted" w:sz="4" w:space="0" w:color="AAABD6"/>
              <w:right w:val="single" w:sz="4" w:space="0" w:color="AAABD6"/>
            </w:tcBorders>
            <w:vAlign w:val="bottom"/>
          </w:tcPr>
          <w:p w14:paraId="6388F4A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10,378</w:t>
            </w:r>
          </w:p>
        </w:tc>
        <w:tc>
          <w:tcPr>
            <w:tcW w:w="680" w:type="dxa"/>
            <w:tcBorders>
              <w:top w:val="dotted" w:sz="4" w:space="0" w:color="AAABD6"/>
              <w:left w:val="single" w:sz="4" w:space="0" w:color="AAABD6"/>
              <w:bottom w:val="dotted" w:sz="4" w:space="0" w:color="AAABD6"/>
              <w:right w:val="single" w:sz="4" w:space="0" w:color="AAABD6"/>
            </w:tcBorders>
            <w:vAlign w:val="bottom"/>
          </w:tcPr>
          <w:p w14:paraId="181E9B4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10,378</w:t>
            </w:r>
          </w:p>
        </w:tc>
        <w:tc>
          <w:tcPr>
            <w:tcW w:w="680" w:type="dxa"/>
            <w:tcBorders>
              <w:top w:val="dotted" w:sz="4" w:space="0" w:color="AAABD6"/>
              <w:left w:val="single" w:sz="4" w:space="0" w:color="AAABD6"/>
              <w:bottom w:val="dotted" w:sz="4" w:space="0" w:color="AAABD6"/>
              <w:right w:val="single" w:sz="4" w:space="0" w:color="AAABD6"/>
            </w:tcBorders>
            <w:vAlign w:val="bottom"/>
          </w:tcPr>
          <w:p w14:paraId="6938199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10,378</w:t>
            </w:r>
          </w:p>
        </w:tc>
      </w:tr>
      <w:tr w:rsidR="00F02371" w:rsidRPr="00100F0A" w14:paraId="1098FB1C"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bottom w:val="single" w:sz="4" w:space="0" w:color="AAABD6"/>
              <w:right w:val="single" w:sz="4" w:space="0" w:color="AAABD6"/>
            </w:tcBorders>
          </w:tcPr>
          <w:p w14:paraId="60109FC7" w14:textId="77777777" w:rsidR="00F02371" w:rsidRPr="00100F0A" w:rsidRDefault="00F02371" w:rsidP="002169F6">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78CE8B01"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Qld</w:t>
            </w:r>
          </w:p>
        </w:tc>
        <w:tc>
          <w:tcPr>
            <w:tcW w:w="1418" w:type="dxa"/>
            <w:vMerge/>
            <w:tcBorders>
              <w:left w:val="single" w:sz="4" w:space="0" w:color="AAABD6"/>
              <w:right w:val="single" w:sz="4" w:space="0" w:color="AAABD6"/>
            </w:tcBorders>
          </w:tcPr>
          <w:p w14:paraId="26B78CEB"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gridSpan w:val="2"/>
            <w:vMerge/>
            <w:tcBorders>
              <w:left w:val="single" w:sz="4" w:space="0" w:color="AAABD6"/>
              <w:right w:val="single" w:sz="4" w:space="0" w:color="AAABD6"/>
            </w:tcBorders>
          </w:tcPr>
          <w:p w14:paraId="74F8426F" w14:textId="4178D798"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10" w:type="dxa"/>
            <w:tcBorders>
              <w:top w:val="dotted" w:sz="4" w:space="0" w:color="AAABD6"/>
              <w:left w:val="single" w:sz="4" w:space="0" w:color="AAABD6"/>
              <w:bottom w:val="dotted" w:sz="4" w:space="0" w:color="AAABD6"/>
              <w:right w:val="single" w:sz="4" w:space="0" w:color="AAABD6"/>
            </w:tcBorders>
          </w:tcPr>
          <w:p w14:paraId="7319808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680" w:type="dxa"/>
            <w:tcBorders>
              <w:top w:val="dotted" w:sz="4" w:space="0" w:color="AAABD6"/>
              <w:left w:val="single" w:sz="4" w:space="0" w:color="AAABD6"/>
              <w:bottom w:val="dotted" w:sz="4" w:space="0" w:color="AAABD6"/>
              <w:right w:val="single" w:sz="4" w:space="0" w:color="AAABD6"/>
            </w:tcBorders>
            <w:vAlign w:val="bottom"/>
          </w:tcPr>
          <w:p w14:paraId="3463A92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205,836</w:t>
            </w:r>
          </w:p>
        </w:tc>
        <w:tc>
          <w:tcPr>
            <w:tcW w:w="680" w:type="dxa"/>
            <w:tcBorders>
              <w:top w:val="dotted" w:sz="4" w:space="0" w:color="AAABD6"/>
              <w:left w:val="single" w:sz="4" w:space="0" w:color="AAABD6"/>
              <w:bottom w:val="dotted" w:sz="4" w:space="0" w:color="AAABD6"/>
              <w:right w:val="single" w:sz="4" w:space="0" w:color="AAABD6"/>
            </w:tcBorders>
            <w:vAlign w:val="bottom"/>
          </w:tcPr>
          <w:p w14:paraId="6E5D4AB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205,836</w:t>
            </w:r>
          </w:p>
        </w:tc>
        <w:tc>
          <w:tcPr>
            <w:tcW w:w="680" w:type="dxa"/>
            <w:tcBorders>
              <w:top w:val="dotted" w:sz="4" w:space="0" w:color="AAABD6"/>
              <w:left w:val="single" w:sz="4" w:space="0" w:color="AAABD6"/>
              <w:bottom w:val="dotted" w:sz="4" w:space="0" w:color="AAABD6"/>
              <w:right w:val="single" w:sz="4" w:space="0" w:color="AAABD6"/>
            </w:tcBorders>
            <w:vAlign w:val="bottom"/>
          </w:tcPr>
          <w:p w14:paraId="0C07E02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205,836</w:t>
            </w:r>
          </w:p>
        </w:tc>
        <w:tc>
          <w:tcPr>
            <w:tcW w:w="680" w:type="dxa"/>
            <w:tcBorders>
              <w:top w:val="dotted" w:sz="4" w:space="0" w:color="AAABD6"/>
              <w:left w:val="single" w:sz="4" w:space="0" w:color="AAABD6"/>
              <w:bottom w:val="dotted" w:sz="4" w:space="0" w:color="AAABD6"/>
              <w:right w:val="single" w:sz="4" w:space="0" w:color="AAABD6"/>
            </w:tcBorders>
            <w:vAlign w:val="bottom"/>
          </w:tcPr>
          <w:p w14:paraId="252F800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205,836</w:t>
            </w:r>
          </w:p>
        </w:tc>
        <w:tc>
          <w:tcPr>
            <w:tcW w:w="680" w:type="dxa"/>
            <w:tcBorders>
              <w:top w:val="dotted" w:sz="4" w:space="0" w:color="AAABD6"/>
              <w:left w:val="single" w:sz="4" w:space="0" w:color="AAABD6"/>
              <w:bottom w:val="dotted" w:sz="4" w:space="0" w:color="AAABD6"/>
              <w:right w:val="single" w:sz="4" w:space="0" w:color="AAABD6"/>
            </w:tcBorders>
            <w:vAlign w:val="bottom"/>
          </w:tcPr>
          <w:p w14:paraId="2A4E6A8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205,836</w:t>
            </w:r>
          </w:p>
        </w:tc>
        <w:tc>
          <w:tcPr>
            <w:tcW w:w="680" w:type="dxa"/>
            <w:tcBorders>
              <w:top w:val="dotted" w:sz="4" w:space="0" w:color="AAABD6"/>
              <w:left w:val="single" w:sz="4" w:space="0" w:color="AAABD6"/>
              <w:bottom w:val="dotted" w:sz="4" w:space="0" w:color="AAABD6"/>
              <w:right w:val="single" w:sz="4" w:space="0" w:color="AAABD6"/>
            </w:tcBorders>
            <w:vAlign w:val="bottom"/>
          </w:tcPr>
          <w:p w14:paraId="1D5A61F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205,836</w:t>
            </w:r>
          </w:p>
        </w:tc>
        <w:tc>
          <w:tcPr>
            <w:tcW w:w="680" w:type="dxa"/>
            <w:tcBorders>
              <w:top w:val="dotted" w:sz="4" w:space="0" w:color="AAABD6"/>
              <w:left w:val="single" w:sz="4" w:space="0" w:color="AAABD6"/>
              <w:bottom w:val="dotted" w:sz="4" w:space="0" w:color="AAABD6"/>
              <w:right w:val="single" w:sz="4" w:space="0" w:color="AAABD6"/>
            </w:tcBorders>
            <w:vAlign w:val="bottom"/>
          </w:tcPr>
          <w:p w14:paraId="2F6C0F4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205,836</w:t>
            </w:r>
          </w:p>
        </w:tc>
        <w:tc>
          <w:tcPr>
            <w:tcW w:w="680" w:type="dxa"/>
            <w:tcBorders>
              <w:top w:val="dotted" w:sz="4" w:space="0" w:color="AAABD6"/>
              <w:left w:val="single" w:sz="4" w:space="0" w:color="AAABD6"/>
              <w:bottom w:val="dotted" w:sz="4" w:space="0" w:color="AAABD6"/>
              <w:right w:val="single" w:sz="4" w:space="0" w:color="AAABD6"/>
            </w:tcBorders>
            <w:vAlign w:val="bottom"/>
          </w:tcPr>
          <w:p w14:paraId="5F93D20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205,836</w:t>
            </w:r>
          </w:p>
        </w:tc>
        <w:tc>
          <w:tcPr>
            <w:tcW w:w="680" w:type="dxa"/>
            <w:tcBorders>
              <w:top w:val="dotted" w:sz="4" w:space="0" w:color="AAABD6"/>
              <w:left w:val="single" w:sz="4" w:space="0" w:color="AAABD6"/>
              <w:bottom w:val="dotted" w:sz="4" w:space="0" w:color="AAABD6"/>
              <w:right w:val="single" w:sz="4" w:space="0" w:color="AAABD6"/>
            </w:tcBorders>
            <w:vAlign w:val="bottom"/>
          </w:tcPr>
          <w:p w14:paraId="44ECC38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205,836</w:t>
            </w:r>
          </w:p>
        </w:tc>
        <w:tc>
          <w:tcPr>
            <w:tcW w:w="680" w:type="dxa"/>
            <w:tcBorders>
              <w:top w:val="dotted" w:sz="4" w:space="0" w:color="AAABD6"/>
              <w:left w:val="single" w:sz="4" w:space="0" w:color="AAABD6"/>
              <w:bottom w:val="dotted" w:sz="4" w:space="0" w:color="AAABD6"/>
              <w:right w:val="single" w:sz="4" w:space="0" w:color="AAABD6"/>
            </w:tcBorders>
            <w:vAlign w:val="bottom"/>
          </w:tcPr>
          <w:p w14:paraId="4A154D2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205,836</w:t>
            </w:r>
          </w:p>
        </w:tc>
        <w:tc>
          <w:tcPr>
            <w:tcW w:w="680" w:type="dxa"/>
            <w:tcBorders>
              <w:top w:val="dotted" w:sz="4" w:space="0" w:color="AAABD6"/>
              <w:left w:val="single" w:sz="4" w:space="0" w:color="AAABD6"/>
              <w:bottom w:val="dotted" w:sz="4" w:space="0" w:color="AAABD6"/>
              <w:right w:val="single" w:sz="4" w:space="0" w:color="AAABD6"/>
            </w:tcBorders>
            <w:vAlign w:val="bottom"/>
          </w:tcPr>
          <w:p w14:paraId="2E3EE0B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205,836</w:t>
            </w:r>
          </w:p>
        </w:tc>
        <w:tc>
          <w:tcPr>
            <w:tcW w:w="680" w:type="dxa"/>
            <w:tcBorders>
              <w:top w:val="dotted" w:sz="4" w:space="0" w:color="AAABD6"/>
              <w:left w:val="single" w:sz="4" w:space="0" w:color="AAABD6"/>
              <w:bottom w:val="dotted" w:sz="4" w:space="0" w:color="AAABD6"/>
              <w:right w:val="single" w:sz="4" w:space="0" w:color="AAABD6"/>
            </w:tcBorders>
            <w:vAlign w:val="bottom"/>
          </w:tcPr>
          <w:p w14:paraId="3D3E86E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205,836</w:t>
            </w:r>
          </w:p>
        </w:tc>
        <w:tc>
          <w:tcPr>
            <w:tcW w:w="680" w:type="dxa"/>
            <w:tcBorders>
              <w:top w:val="dotted" w:sz="4" w:space="0" w:color="AAABD6"/>
              <w:left w:val="single" w:sz="4" w:space="0" w:color="AAABD6"/>
              <w:bottom w:val="dotted" w:sz="4" w:space="0" w:color="AAABD6"/>
              <w:right w:val="single" w:sz="4" w:space="0" w:color="AAABD6"/>
            </w:tcBorders>
            <w:vAlign w:val="bottom"/>
          </w:tcPr>
          <w:p w14:paraId="22C9D98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205,836</w:t>
            </w:r>
          </w:p>
        </w:tc>
        <w:tc>
          <w:tcPr>
            <w:tcW w:w="680" w:type="dxa"/>
            <w:tcBorders>
              <w:top w:val="dotted" w:sz="4" w:space="0" w:color="AAABD6"/>
              <w:left w:val="single" w:sz="4" w:space="0" w:color="AAABD6"/>
              <w:bottom w:val="dotted" w:sz="4" w:space="0" w:color="AAABD6"/>
              <w:right w:val="single" w:sz="4" w:space="0" w:color="AAABD6"/>
            </w:tcBorders>
            <w:vAlign w:val="bottom"/>
          </w:tcPr>
          <w:p w14:paraId="34ABF8A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205,836</w:t>
            </w:r>
          </w:p>
        </w:tc>
        <w:tc>
          <w:tcPr>
            <w:tcW w:w="680" w:type="dxa"/>
            <w:tcBorders>
              <w:top w:val="dotted" w:sz="4" w:space="0" w:color="AAABD6"/>
              <w:left w:val="single" w:sz="4" w:space="0" w:color="AAABD6"/>
              <w:bottom w:val="dotted" w:sz="4" w:space="0" w:color="AAABD6"/>
              <w:right w:val="single" w:sz="4" w:space="0" w:color="AAABD6"/>
            </w:tcBorders>
            <w:vAlign w:val="bottom"/>
          </w:tcPr>
          <w:p w14:paraId="446FC16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205,836</w:t>
            </w:r>
          </w:p>
        </w:tc>
        <w:tc>
          <w:tcPr>
            <w:tcW w:w="680" w:type="dxa"/>
            <w:tcBorders>
              <w:top w:val="dotted" w:sz="4" w:space="0" w:color="AAABD6"/>
              <w:left w:val="single" w:sz="4" w:space="0" w:color="AAABD6"/>
              <w:bottom w:val="dotted" w:sz="4" w:space="0" w:color="AAABD6"/>
              <w:right w:val="single" w:sz="4" w:space="0" w:color="AAABD6"/>
            </w:tcBorders>
            <w:vAlign w:val="bottom"/>
          </w:tcPr>
          <w:p w14:paraId="0E5AEA2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205,836</w:t>
            </w:r>
          </w:p>
        </w:tc>
        <w:tc>
          <w:tcPr>
            <w:tcW w:w="680" w:type="dxa"/>
            <w:tcBorders>
              <w:top w:val="dotted" w:sz="4" w:space="0" w:color="AAABD6"/>
              <w:left w:val="single" w:sz="4" w:space="0" w:color="AAABD6"/>
              <w:bottom w:val="dotted" w:sz="4" w:space="0" w:color="AAABD6"/>
              <w:right w:val="single" w:sz="4" w:space="0" w:color="AAABD6"/>
            </w:tcBorders>
            <w:vAlign w:val="bottom"/>
          </w:tcPr>
          <w:p w14:paraId="50D699D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205,836</w:t>
            </w:r>
          </w:p>
        </w:tc>
        <w:tc>
          <w:tcPr>
            <w:tcW w:w="680" w:type="dxa"/>
            <w:tcBorders>
              <w:top w:val="dotted" w:sz="4" w:space="0" w:color="AAABD6"/>
              <w:left w:val="single" w:sz="4" w:space="0" w:color="AAABD6"/>
              <w:bottom w:val="dotted" w:sz="4" w:space="0" w:color="AAABD6"/>
              <w:right w:val="single" w:sz="4" w:space="0" w:color="AAABD6"/>
            </w:tcBorders>
            <w:vAlign w:val="bottom"/>
          </w:tcPr>
          <w:p w14:paraId="53D795C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205,836</w:t>
            </w:r>
          </w:p>
        </w:tc>
      </w:tr>
      <w:tr w:rsidR="00F02371" w:rsidRPr="00100F0A" w14:paraId="32103480"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bottom w:val="single" w:sz="4" w:space="0" w:color="AAABD6"/>
              <w:right w:val="single" w:sz="4" w:space="0" w:color="AAABD6"/>
            </w:tcBorders>
          </w:tcPr>
          <w:p w14:paraId="57E62D86" w14:textId="77777777" w:rsidR="00F02371" w:rsidRPr="00100F0A" w:rsidRDefault="00F02371" w:rsidP="002169F6">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346D4B0B"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SA</w:t>
            </w:r>
          </w:p>
        </w:tc>
        <w:tc>
          <w:tcPr>
            <w:tcW w:w="1418" w:type="dxa"/>
            <w:vMerge/>
            <w:tcBorders>
              <w:left w:val="single" w:sz="4" w:space="0" w:color="AAABD6"/>
              <w:right w:val="single" w:sz="4" w:space="0" w:color="AAABD6"/>
            </w:tcBorders>
          </w:tcPr>
          <w:p w14:paraId="5FE4A4E9"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gridSpan w:val="2"/>
            <w:vMerge/>
            <w:tcBorders>
              <w:left w:val="single" w:sz="4" w:space="0" w:color="AAABD6"/>
              <w:right w:val="single" w:sz="4" w:space="0" w:color="AAABD6"/>
            </w:tcBorders>
          </w:tcPr>
          <w:p w14:paraId="05D142BB" w14:textId="58154820"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10" w:type="dxa"/>
            <w:tcBorders>
              <w:top w:val="dotted" w:sz="4" w:space="0" w:color="AAABD6"/>
              <w:left w:val="single" w:sz="4" w:space="0" w:color="AAABD6"/>
              <w:bottom w:val="dotted" w:sz="4" w:space="0" w:color="AAABD6"/>
              <w:right w:val="single" w:sz="4" w:space="0" w:color="AAABD6"/>
            </w:tcBorders>
          </w:tcPr>
          <w:p w14:paraId="47F9BF9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680" w:type="dxa"/>
            <w:tcBorders>
              <w:top w:val="dotted" w:sz="4" w:space="0" w:color="AAABD6"/>
              <w:left w:val="single" w:sz="4" w:space="0" w:color="AAABD6"/>
              <w:bottom w:val="dotted" w:sz="4" w:space="0" w:color="AAABD6"/>
              <w:right w:val="single" w:sz="4" w:space="0" w:color="AAABD6"/>
            </w:tcBorders>
            <w:vAlign w:val="bottom"/>
          </w:tcPr>
          <w:p w14:paraId="53391FB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69,033</w:t>
            </w:r>
          </w:p>
        </w:tc>
        <w:tc>
          <w:tcPr>
            <w:tcW w:w="680" w:type="dxa"/>
            <w:tcBorders>
              <w:top w:val="dotted" w:sz="4" w:space="0" w:color="AAABD6"/>
              <w:left w:val="single" w:sz="4" w:space="0" w:color="AAABD6"/>
              <w:bottom w:val="dotted" w:sz="4" w:space="0" w:color="AAABD6"/>
              <w:right w:val="single" w:sz="4" w:space="0" w:color="AAABD6"/>
            </w:tcBorders>
            <w:vAlign w:val="bottom"/>
          </w:tcPr>
          <w:p w14:paraId="51835B7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69,033</w:t>
            </w:r>
          </w:p>
        </w:tc>
        <w:tc>
          <w:tcPr>
            <w:tcW w:w="680" w:type="dxa"/>
            <w:tcBorders>
              <w:top w:val="dotted" w:sz="4" w:space="0" w:color="AAABD6"/>
              <w:left w:val="single" w:sz="4" w:space="0" w:color="AAABD6"/>
              <w:bottom w:val="dotted" w:sz="4" w:space="0" w:color="AAABD6"/>
              <w:right w:val="single" w:sz="4" w:space="0" w:color="AAABD6"/>
            </w:tcBorders>
            <w:vAlign w:val="bottom"/>
          </w:tcPr>
          <w:p w14:paraId="3759D5B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69,033</w:t>
            </w:r>
          </w:p>
        </w:tc>
        <w:tc>
          <w:tcPr>
            <w:tcW w:w="680" w:type="dxa"/>
            <w:tcBorders>
              <w:top w:val="dotted" w:sz="4" w:space="0" w:color="AAABD6"/>
              <w:left w:val="single" w:sz="4" w:space="0" w:color="AAABD6"/>
              <w:bottom w:val="dotted" w:sz="4" w:space="0" w:color="AAABD6"/>
              <w:right w:val="single" w:sz="4" w:space="0" w:color="AAABD6"/>
            </w:tcBorders>
            <w:vAlign w:val="bottom"/>
          </w:tcPr>
          <w:p w14:paraId="0C68279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69,033</w:t>
            </w:r>
          </w:p>
        </w:tc>
        <w:tc>
          <w:tcPr>
            <w:tcW w:w="680" w:type="dxa"/>
            <w:tcBorders>
              <w:top w:val="dotted" w:sz="4" w:space="0" w:color="AAABD6"/>
              <w:left w:val="single" w:sz="4" w:space="0" w:color="AAABD6"/>
              <w:bottom w:val="dotted" w:sz="4" w:space="0" w:color="AAABD6"/>
              <w:right w:val="single" w:sz="4" w:space="0" w:color="AAABD6"/>
            </w:tcBorders>
            <w:vAlign w:val="bottom"/>
          </w:tcPr>
          <w:p w14:paraId="12C2C2F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69,033</w:t>
            </w:r>
          </w:p>
        </w:tc>
        <w:tc>
          <w:tcPr>
            <w:tcW w:w="680" w:type="dxa"/>
            <w:tcBorders>
              <w:top w:val="dotted" w:sz="4" w:space="0" w:color="AAABD6"/>
              <w:left w:val="single" w:sz="4" w:space="0" w:color="AAABD6"/>
              <w:bottom w:val="dotted" w:sz="4" w:space="0" w:color="AAABD6"/>
              <w:right w:val="single" w:sz="4" w:space="0" w:color="AAABD6"/>
            </w:tcBorders>
            <w:vAlign w:val="bottom"/>
          </w:tcPr>
          <w:p w14:paraId="54BE36A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69,033</w:t>
            </w:r>
          </w:p>
        </w:tc>
        <w:tc>
          <w:tcPr>
            <w:tcW w:w="680" w:type="dxa"/>
            <w:tcBorders>
              <w:top w:val="dotted" w:sz="4" w:space="0" w:color="AAABD6"/>
              <w:left w:val="single" w:sz="4" w:space="0" w:color="AAABD6"/>
              <w:bottom w:val="dotted" w:sz="4" w:space="0" w:color="AAABD6"/>
              <w:right w:val="single" w:sz="4" w:space="0" w:color="AAABD6"/>
            </w:tcBorders>
            <w:vAlign w:val="bottom"/>
          </w:tcPr>
          <w:p w14:paraId="2044667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69,033</w:t>
            </w:r>
          </w:p>
        </w:tc>
        <w:tc>
          <w:tcPr>
            <w:tcW w:w="680" w:type="dxa"/>
            <w:tcBorders>
              <w:top w:val="dotted" w:sz="4" w:space="0" w:color="AAABD6"/>
              <w:left w:val="single" w:sz="4" w:space="0" w:color="AAABD6"/>
              <w:bottom w:val="dotted" w:sz="4" w:space="0" w:color="AAABD6"/>
              <w:right w:val="single" w:sz="4" w:space="0" w:color="AAABD6"/>
            </w:tcBorders>
            <w:vAlign w:val="bottom"/>
          </w:tcPr>
          <w:p w14:paraId="7B1C828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69,033</w:t>
            </w:r>
          </w:p>
        </w:tc>
        <w:tc>
          <w:tcPr>
            <w:tcW w:w="680" w:type="dxa"/>
            <w:tcBorders>
              <w:top w:val="dotted" w:sz="4" w:space="0" w:color="AAABD6"/>
              <w:left w:val="single" w:sz="4" w:space="0" w:color="AAABD6"/>
              <w:bottom w:val="dotted" w:sz="4" w:space="0" w:color="AAABD6"/>
              <w:right w:val="single" w:sz="4" w:space="0" w:color="AAABD6"/>
            </w:tcBorders>
            <w:vAlign w:val="bottom"/>
          </w:tcPr>
          <w:p w14:paraId="0FC7787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69,033</w:t>
            </w:r>
          </w:p>
        </w:tc>
        <w:tc>
          <w:tcPr>
            <w:tcW w:w="680" w:type="dxa"/>
            <w:tcBorders>
              <w:top w:val="dotted" w:sz="4" w:space="0" w:color="AAABD6"/>
              <w:left w:val="single" w:sz="4" w:space="0" w:color="AAABD6"/>
              <w:bottom w:val="dotted" w:sz="4" w:space="0" w:color="AAABD6"/>
              <w:right w:val="single" w:sz="4" w:space="0" w:color="AAABD6"/>
            </w:tcBorders>
            <w:vAlign w:val="bottom"/>
          </w:tcPr>
          <w:p w14:paraId="726437F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69,033</w:t>
            </w:r>
          </w:p>
        </w:tc>
        <w:tc>
          <w:tcPr>
            <w:tcW w:w="680" w:type="dxa"/>
            <w:tcBorders>
              <w:top w:val="dotted" w:sz="4" w:space="0" w:color="AAABD6"/>
              <w:left w:val="single" w:sz="4" w:space="0" w:color="AAABD6"/>
              <w:bottom w:val="dotted" w:sz="4" w:space="0" w:color="AAABD6"/>
              <w:right w:val="single" w:sz="4" w:space="0" w:color="AAABD6"/>
            </w:tcBorders>
            <w:vAlign w:val="bottom"/>
          </w:tcPr>
          <w:p w14:paraId="09C4631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69,033</w:t>
            </w:r>
          </w:p>
        </w:tc>
        <w:tc>
          <w:tcPr>
            <w:tcW w:w="680" w:type="dxa"/>
            <w:tcBorders>
              <w:top w:val="dotted" w:sz="4" w:space="0" w:color="AAABD6"/>
              <w:left w:val="single" w:sz="4" w:space="0" w:color="AAABD6"/>
              <w:bottom w:val="dotted" w:sz="4" w:space="0" w:color="AAABD6"/>
              <w:right w:val="single" w:sz="4" w:space="0" w:color="AAABD6"/>
            </w:tcBorders>
            <w:vAlign w:val="bottom"/>
          </w:tcPr>
          <w:p w14:paraId="4E1B1B9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69,033</w:t>
            </w:r>
          </w:p>
        </w:tc>
        <w:tc>
          <w:tcPr>
            <w:tcW w:w="680" w:type="dxa"/>
            <w:tcBorders>
              <w:top w:val="dotted" w:sz="4" w:space="0" w:color="AAABD6"/>
              <w:left w:val="single" w:sz="4" w:space="0" w:color="AAABD6"/>
              <w:bottom w:val="dotted" w:sz="4" w:space="0" w:color="AAABD6"/>
              <w:right w:val="single" w:sz="4" w:space="0" w:color="AAABD6"/>
            </w:tcBorders>
            <w:vAlign w:val="bottom"/>
          </w:tcPr>
          <w:p w14:paraId="00FE315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69,033</w:t>
            </w:r>
          </w:p>
        </w:tc>
        <w:tc>
          <w:tcPr>
            <w:tcW w:w="680" w:type="dxa"/>
            <w:tcBorders>
              <w:top w:val="dotted" w:sz="4" w:space="0" w:color="AAABD6"/>
              <w:left w:val="single" w:sz="4" w:space="0" w:color="AAABD6"/>
              <w:bottom w:val="dotted" w:sz="4" w:space="0" w:color="AAABD6"/>
              <w:right w:val="single" w:sz="4" w:space="0" w:color="AAABD6"/>
            </w:tcBorders>
            <w:vAlign w:val="bottom"/>
          </w:tcPr>
          <w:p w14:paraId="32B7CD5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69,033</w:t>
            </w:r>
          </w:p>
        </w:tc>
        <w:tc>
          <w:tcPr>
            <w:tcW w:w="680" w:type="dxa"/>
            <w:tcBorders>
              <w:top w:val="dotted" w:sz="4" w:space="0" w:color="AAABD6"/>
              <w:left w:val="single" w:sz="4" w:space="0" w:color="AAABD6"/>
              <w:bottom w:val="dotted" w:sz="4" w:space="0" w:color="AAABD6"/>
              <w:right w:val="single" w:sz="4" w:space="0" w:color="AAABD6"/>
            </w:tcBorders>
            <w:vAlign w:val="bottom"/>
          </w:tcPr>
          <w:p w14:paraId="504E652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69,033</w:t>
            </w:r>
          </w:p>
        </w:tc>
        <w:tc>
          <w:tcPr>
            <w:tcW w:w="680" w:type="dxa"/>
            <w:tcBorders>
              <w:top w:val="dotted" w:sz="4" w:space="0" w:color="AAABD6"/>
              <w:left w:val="single" w:sz="4" w:space="0" w:color="AAABD6"/>
              <w:bottom w:val="dotted" w:sz="4" w:space="0" w:color="AAABD6"/>
              <w:right w:val="single" w:sz="4" w:space="0" w:color="AAABD6"/>
            </w:tcBorders>
            <w:vAlign w:val="bottom"/>
          </w:tcPr>
          <w:p w14:paraId="6A8BF5A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69,033</w:t>
            </w:r>
          </w:p>
        </w:tc>
        <w:tc>
          <w:tcPr>
            <w:tcW w:w="680" w:type="dxa"/>
            <w:tcBorders>
              <w:top w:val="dotted" w:sz="4" w:space="0" w:color="AAABD6"/>
              <w:left w:val="single" w:sz="4" w:space="0" w:color="AAABD6"/>
              <w:bottom w:val="dotted" w:sz="4" w:space="0" w:color="AAABD6"/>
              <w:right w:val="single" w:sz="4" w:space="0" w:color="AAABD6"/>
            </w:tcBorders>
            <w:vAlign w:val="bottom"/>
          </w:tcPr>
          <w:p w14:paraId="165CE84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69,033</w:t>
            </w:r>
          </w:p>
        </w:tc>
        <w:tc>
          <w:tcPr>
            <w:tcW w:w="680" w:type="dxa"/>
            <w:tcBorders>
              <w:top w:val="dotted" w:sz="4" w:space="0" w:color="AAABD6"/>
              <w:left w:val="single" w:sz="4" w:space="0" w:color="AAABD6"/>
              <w:bottom w:val="dotted" w:sz="4" w:space="0" w:color="AAABD6"/>
              <w:right w:val="single" w:sz="4" w:space="0" w:color="AAABD6"/>
            </w:tcBorders>
            <w:vAlign w:val="bottom"/>
          </w:tcPr>
          <w:p w14:paraId="0547E45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69,033</w:t>
            </w:r>
          </w:p>
        </w:tc>
      </w:tr>
      <w:tr w:rsidR="00F02371" w:rsidRPr="00100F0A" w14:paraId="51AE00A0"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bottom w:val="single" w:sz="4" w:space="0" w:color="AAABD6"/>
              <w:right w:val="single" w:sz="4" w:space="0" w:color="AAABD6"/>
            </w:tcBorders>
          </w:tcPr>
          <w:p w14:paraId="32BAEA3E" w14:textId="77777777" w:rsidR="00F02371" w:rsidRPr="00100F0A" w:rsidRDefault="00F02371" w:rsidP="002169F6">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47B91AE6"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Tas</w:t>
            </w:r>
          </w:p>
        </w:tc>
        <w:tc>
          <w:tcPr>
            <w:tcW w:w="1418" w:type="dxa"/>
            <w:vMerge/>
            <w:tcBorders>
              <w:left w:val="single" w:sz="4" w:space="0" w:color="AAABD6"/>
              <w:right w:val="single" w:sz="4" w:space="0" w:color="AAABD6"/>
            </w:tcBorders>
          </w:tcPr>
          <w:p w14:paraId="2349C33F"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gridSpan w:val="2"/>
            <w:vMerge/>
            <w:tcBorders>
              <w:left w:val="single" w:sz="4" w:space="0" w:color="AAABD6"/>
              <w:right w:val="single" w:sz="4" w:space="0" w:color="AAABD6"/>
            </w:tcBorders>
          </w:tcPr>
          <w:p w14:paraId="64CEB464" w14:textId="28D020E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10" w:type="dxa"/>
            <w:tcBorders>
              <w:top w:val="dotted" w:sz="4" w:space="0" w:color="AAABD6"/>
              <w:left w:val="single" w:sz="4" w:space="0" w:color="AAABD6"/>
              <w:bottom w:val="dotted" w:sz="4" w:space="0" w:color="AAABD6"/>
              <w:right w:val="single" w:sz="4" w:space="0" w:color="AAABD6"/>
            </w:tcBorders>
          </w:tcPr>
          <w:p w14:paraId="68EB542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680" w:type="dxa"/>
            <w:tcBorders>
              <w:top w:val="dotted" w:sz="4" w:space="0" w:color="AAABD6"/>
              <w:left w:val="single" w:sz="4" w:space="0" w:color="AAABD6"/>
              <w:bottom w:val="dotted" w:sz="4" w:space="0" w:color="AAABD6"/>
              <w:right w:val="single" w:sz="4" w:space="0" w:color="AAABD6"/>
            </w:tcBorders>
            <w:vAlign w:val="bottom"/>
          </w:tcPr>
          <w:p w14:paraId="2708C86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20,529</w:t>
            </w:r>
          </w:p>
        </w:tc>
        <w:tc>
          <w:tcPr>
            <w:tcW w:w="680" w:type="dxa"/>
            <w:tcBorders>
              <w:top w:val="dotted" w:sz="4" w:space="0" w:color="AAABD6"/>
              <w:left w:val="single" w:sz="4" w:space="0" w:color="AAABD6"/>
              <w:bottom w:val="dotted" w:sz="4" w:space="0" w:color="AAABD6"/>
              <w:right w:val="single" w:sz="4" w:space="0" w:color="AAABD6"/>
            </w:tcBorders>
            <w:vAlign w:val="bottom"/>
          </w:tcPr>
          <w:p w14:paraId="16FD7FB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20,529</w:t>
            </w:r>
          </w:p>
        </w:tc>
        <w:tc>
          <w:tcPr>
            <w:tcW w:w="680" w:type="dxa"/>
            <w:tcBorders>
              <w:top w:val="dotted" w:sz="4" w:space="0" w:color="AAABD6"/>
              <w:left w:val="single" w:sz="4" w:space="0" w:color="AAABD6"/>
              <w:bottom w:val="dotted" w:sz="4" w:space="0" w:color="AAABD6"/>
              <w:right w:val="single" w:sz="4" w:space="0" w:color="AAABD6"/>
            </w:tcBorders>
            <w:vAlign w:val="bottom"/>
          </w:tcPr>
          <w:p w14:paraId="1618ACC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20,529</w:t>
            </w:r>
          </w:p>
        </w:tc>
        <w:tc>
          <w:tcPr>
            <w:tcW w:w="680" w:type="dxa"/>
            <w:tcBorders>
              <w:top w:val="dotted" w:sz="4" w:space="0" w:color="AAABD6"/>
              <w:left w:val="single" w:sz="4" w:space="0" w:color="AAABD6"/>
              <w:bottom w:val="dotted" w:sz="4" w:space="0" w:color="AAABD6"/>
              <w:right w:val="single" w:sz="4" w:space="0" w:color="AAABD6"/>
            </w:tcBorders>
            <w:vAlign w:val="bottom"/>
          </w:tcPr>
          <w:p w14:paraId="4BAA05D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20,529</w:t>
            </w:r>
          </w:p>
        </w:tc>
        <w:tc>
          <w:tcPr>
            <w:tcW w:w="680" w:type="dxa"/>
            <w:tcBorders>
              <w:top w:val="dotted" w:sz="4" w:space="0" w:color="AAABD6"/>
              <w:left w:val="single" w:sz="4" w:space="0" w:color="AAABD6"/>
              <w:bottom w:val="dotted" w:sz="4" w:space="0" w:color="AAABD6"/>
              <w:right w:val="single" w:sz="4" w:space="0" w:color="AAABD6"/>
            </w:tcBorders>
            <w:vAlign w:val="bottom"/>
          </w:tcPr>
          <w:p w14:paraId="54AF135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20,529</w:t>
            </w:r>
          </w:p>
        </w:tc>
        <w:tc>
          <w:tcPr>
            <w:tcW w:w="680" w:type="dxa"/>
            <w:tcBorders>
              <w:top w:val="dotted" w:sz="4" w:space="0" w:color="AAABD6"/>
              <w:left w:val="single" w:sz="4" w:space="0" w:color="AAABD6"/>
              <w:bottom w:val="dotted" w:sz="4" w:space="0" w:color="AAABD6"/>
              <w:right w:val="single" w:sz="4" w:space="0" w:color="AAABD6"/>
            </w:tcBorders>
            <w:vAlign w:val="bottom"/>
          </w:tcPr>
          <w:p w14:paraId="5B861C0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20,529</w:t>
            </w:r>
          </w:p>
        </w:tc>
        <w:tc>
          <w:tcPr>
            <w:tcW w:w="680" w:type="dxa"/>
            <w:tcBorders>
              <w:top w:val="dotted" w:sz="4" w:space="0" w:color="AAABD6"/>
              <w:left w:val="single" w:sz="4" w:space="0" w:color="AAABD6"/>
              <w:bottom w:val="dotted" w:sz="4" w:space="0" w:color="AAABD6"/>
              <w:right w:val="single" w:sz="4" w:space="0" w:color="AAABD6"/>
            </w:tcBorders>
            <w:vAlign w:val="bottom"/>
          </w:tcPr>
          <w:p w14:paraId="42EE9C4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20,529</w:t>
            </w:r>
          </w:p>
        </w:tc>
        <w:tc>
          <w:tcPr>
            <w:tcW w:w="680" w:type="dxa"/>
            <w:tcBorders>
              <w:top w:val="dotted" w:sz="4" w:space="0" w:color="AAABD6"/>
              <w:left w:val="single" w:sz="4" w:space="0" w:color="AAABD6"/>
              <w:bottom w:val="dotted" w:sz="4" w:space="0" w:color="AAABD6"/>
              <w:right w:val="single" w:sz="4" w:space="0" w:color="AAABD6"/>
            </w:tcBorders>
            <w:vAlign w:val="bottom"/>
          </w:tcPr>
          <w:p w14:paraId="56ED1D5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20,529</w:t>
            </w:r>
          </w:p>
        </w:tc>
        <w:tc>
          <w:tcPr>
            <w:tcW w:w="680" w:type="dxa"/>
            <w:tcBorders>
              <w:top w:val="dotted" w:sz="4" w:space="0" w:color="AAABD6"/>
              <w:left w:val="single" w:sz="4" w:space="0" w:color="AAABD6"/>
              <w:bottom w:val="dotted" w:sz="4" w:space="0" w:color="AAABD6"/>
              <w:right w:val="single" w:sz="4" w:space="0" w:color="AAABD6"/>
            </w:tcBorders>
            <w:vAlign w:val="bottom"/>
          </w:tcPr>
          <w:p w14:paraId="618A6CA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20,529</w:t>
            </w:r>
          </w:p>
        </w:tc>
        <w:tc>
          <w:tcPr>
            <w:tcW w:w="680" w:type="dxa"/>
            <w:tcBorders>
              <w:top w:val="dotted" w:sz="4" w:space="0" w:color="AAABD6"/>
              <w:left w:val="single" w:sz="4" w:space="0" w:color="AAABD6"/>
              <w:bottom w:val="dotted" w:sz="4" w:space="0" w:color="AAABD6"/>
              <w:right w:val="single" w:sz="4" w:space="0" w:color="AAABD6"/>
            </w:tcBorders>
            <w:vAlign w:val="bottom"/>
          </w:tcPr>
          <w:p w14:paraId="16769C9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20,529</w:t>
            </w:r>
          </w:p>
        </w:tc>
        <w:tc>
          <w:tcPr>
            <w:tcW w:w="680" w:type="dxa"/>
            <w:tcBorders>
              <w:top w:val="dotted" w:sz="4" w:space="0" w:color="AAABD6"/>
              <w:left w:val="single" w:sz="4" w:space="0" w:color="AAABD6"/>
              <w:bottom w:val="dotted" w:sz="4" w:space="0" w:color="AAABD6"/>
              <w:right w:val="single" w:sz="4" w:space="0" w:color="AAABD6"/>
            </w:tcBorders>
            <w:vAlign w:val="bottom"/>
          </w:tcPr>
          <w:p w14:paraId="5F62B5A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20,529</w:t>
            </w:r>
          </w:p>
        </w:tc>
        <w:tc>
          <w:tcPr>
            <w:tcW w:w="680" w:type="dxa"/>
            <w:tcBorders>
              <w:top w:val="dotted" w:sz="4" w:space="0" w:color="AAABD6"/>
              <w:left w:val="single" w:sz="4" w:space="0" w:color="AAABD6"/>
              <w:bottom w:val="dotted" w:sz="4" w:space="0" w:color="AAABD6"/>
              <w:right w:val="single" w:sz="4" w:space="0" w:color="AAABD6"/>
            </w:tcBorders>
            <w:vAlign w:val="bottom"/>
          </w:tcPr>
          <w:p w14:paraId="68DFD59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20,529</w:t>
            </w:r>
          </w:p>
        </w:tc>
        <w:tc>
          <w:tcPr>
            <w:tcW w:w="680" w:type="dxa"/>
            <w:tcBorders>
              <w:top w:val="dotted" w:sz="4" w:space="0" w:color="AAABD6"/>
              <w:left w:val="single" w:sz="4" w:space="0" w:color="AAABD6"/>
              <w:bottom w:val="dotted" w:sz="4" w:space="0" w:color="AAABD6"/>
              <w:right w:val="single" w:sz="4" w:space="0" w:color="AAABD6"/>
            </w:tcBorders>
            <w:vAlign w:val="bottom"/>
          </w:tcPr>
          <w:p w14:paraId="6E11900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20,529</w:t>
            </w:r>
          </w:p>
        </w:tc>
        <w:tc>
          <w:tcPr>
            <w:tcW w:w="680" w:type="dxa"/>
            <w:tcBorders>
              <w:top w:val="dotted" w:sz="4" w:space="0" w:color="AAABD6"/>
              <w:left w:val="single" w:sz="4" w:space="0" w:color="AAABD6"/>
              <w:bottom w:val="dotted" w:sz="4" w:space="0" w:color="AAABD6"/>
              <w:right w:val="single" w:sz="4" w:space="0" w:color="AAABD6"/>
            </w:tcBorders>
            <w:vAlign w:val="bottom"/>
          </w:tcPr>
          <w:p w14:paraId="32CECFF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20,529</w:t>
            </w:r>
          </w:p>
        </w:tc>
        <w:tc>
          <w:tcPr>
            <w:tcW w:w="680" w:type="dxa"/>
            <w:tcBorders>
              <w:top w:val="dotted" w:sz="4" w:space="0" w:color="AAABD6"/>
              <w:left w:val="single" w:sz="4" w:space="0" w:color="AAABD6"/>
              <w:bottom w:val="dotted" w:sz="4" w:space="0" w:color="AAABD6"/>
              <w:right w:val="single" w:sz="4" w:space="0" w:color="AAABD6"/>
            </w:tcBorders>
            <w:vAlign w:val="bottom"/>
          </w:tcPr>
          <w:p w14:paraId="430CB01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20,529</w:t>
            </w:r>
          </w:p>
        </w:tc>
        <w:tc>
          <w:tcPr>
            <w:tcW w:w="680" w:type="dxa"/>
            <w:tcBorders>
              <w:top w:val="dotted" w:sz="4" w:space="0" w:color="AAABD6"/>
              <w:left w:val="single" w:sz="4" w:space="0" w:color="AAABD6"/>
              <w:bottom w:val="dotted" w:sz="4" w:space="0" w:color="AAABD6"/>
              <w:right w:val="single" w:sz="4" w:space="0" w:color="AAABD6"/>
            </w:tcBorders>
            <w:vAlign w:val="bottom"/>
          </w:tcPr>
          <w:p w14:paraId="58CB294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20,529</w:t>
            </w:r>
          </w:p>
        </w:tc>
        <w:tc>
          <w:tcPr>
            <w:tcW w:w="680" w:type="dxa"/>
            <w:tcBorders>
              <w:top w:val="dotted" w:sz="4" w:space="0" w:color="AAABD6"/>
              <w:left w:val="single" w:sz="4" w:space="0" w:color="AAABD6"/>
              <w:bottom w:val="dotted" w:sz="4" w:space="0" w:color="AAABD6"/>
              <w:right w:val="single" w:sz="4" w:space="0" w:color="AAABD6"/>
            </w:tcBorders>
            <w:vAlign w:val="bottom"/>
          </w:tcPr>
          <w:p w14:paraId="04FB965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20,529</w:t>
            </w:r>
          </w:p>
        </w:tc>
        <w:tc>
          <w:tcPr>
            <w:tcW w:w="680" w:type="dxa"/>
            <w:tcBorders>
              <w:top w:val="dotted" w:sz="4" w:space="0" w:color="AAABD6"/>
              <w:left w:val="single" w:sz="4" w:space="0" w:color="AAABD6"/>
              <w:bottom w:val="dotted" w:sz="4" w:space="0" w:color="AAABD6"/>
              <w:right w:val="single" w:sz="4" w:space="0" w:color="AAABD6"/>
            </w:tcBorders>
            <w:vAlign w:val="bottom"/>
          </w:tcPr>
          <w:p w14:paraId="42C3194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20,529</w:t>
            </w:r>
          </w:p>
        </w:tc>
      </w:tr>
      <w:tr w:rsidR="00F02371" w:rsidRPr="00100F0A" w14:paraId="16AA1717"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bottom w:val="single" w:sz="4" w:space="0" w:color="AAABD6"/>
              <w:right w:val="single" w:sz="4" w:space="0" w:color="AAABD6"/>
            </w:tcBorders>
          </w:tcPr>
          <w:p w14:paraId="1B5AE4AD" w14:textId="77777777" w:rsidR="00F02371" w:rsidRPr="00100F0A" w:rsidRDefault="00F02371" w:rsidP="002169F6">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09037F91"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Vic</w:t>
            </w:r>
          </w:p>
        </w:tc>
        <w:tc>
          <w:tcPr>
            <w:tcW w:w="1418" w:type="dxa"/>
            <w:vMerge/>
            <w:tcBorders>
              <w:left w:val="single" w:sz="4" w:space="0" w:color="AAABD6"/>
              <w:right w:val="single" w:sz="4" w:space="0" w:color="AAABD6"/>
            </w:tcBorders>
          </w:tcPr>
          <w:p w14:paraId="6641926C"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gridSpan w:val="2"/>
            <w:vMerge/>
            <w:tcBorders>
              <w:left w:val="single" w:sz="4" w:space="0" w:color="AAABD6"/>
              <w:right w:val="single" w:sz="4" w:space="0" w:color="AAABD6"/>
            </w:tcBorders>
          </w:tcPr>
          <w:p w14:paraId="693F57A2" w14:textId="20565489"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10" w:type="dxa"/>
            <w:tcBorders>
              <w:top w:val="dotted" w:sz="4" w:space="0" w:color="AAABD6"/>
              <w:left w:val="single" w:sz="4" w:space="0" w:color="AAABD6"/>
              <w:bottom w:val="dotted" w:sz="4" w:space="0" w:color="AAABD6"/>
              <w:right w:val="single" w:sz="4" w:space="0" w:color="AAABD6"/>
            </w:tcBorders>
          </w:tcPr>
          <w:p w14:paraId="3E11DCF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680" w:type="dxa"/>
            <w:tcBorders>
              <w:top w:val="dotted" w:sz="4" w:space="0" w:color="AAABD6"/>
              <w:left w:val="single" w:sz="4" w:space="0" w:color="AAABD6"/>
              <w:bottom w:val="dotted" w:sz="4" w:space="0" w:color="AAABD6"/>
              <w:right w:val="single" w:sz="4" w:space="0" w:color="AAABD6"/>
            </w:tcBorders>
            <w:vAlign w:val="bottom"/>
          </w:tcPr>
          <w:p w14:paraId="4E568D8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248,259</w:t>
            </w:r>
          </w:p>
        </w:tc>
        <w:tc>
          <w:tcPr>
            <w:tcW w:w="680" w:type="dxa"/>
            <w:tcBorders>
              <w:top w:val="dotted" w:sz="4" w:space="0" w:color="AAABD6"/>
              <w:left w:val="single" w:sz="4" w:space="0" w:color="AAABD6"/>
              <w:bottom w:val="dotted" w:sz="4" w:space="0" w:color="AAABD6"/>
              <w:right w:val="single" w:sz="4" w:space="0" w:color="AAABD6"/>
            </w:tcBorders>
            <w:vAlign w:val="bottom"/>
          </w:tcPr>
          <w:p w14:paraId="69813F4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248,259</w:t>
            </w:r>
          </w:p>
        </w:tc>
        <w:tc>
          <w:tcPr>
            <w:tcW w:w="680" w:type="dxa"/>
            <w:tcBorders>
              <w:top w:val="dotted" w:sz="4" w:space="0" w:color="AAABD6"/>
              <w:left w:val="single" w:sz="4" w:space="0" w:color="AAABD6"/>
              <w:bottom w:val="dotted" w:sz="4" w:space="0" w:color="AAABD6"/>
              <w:right w:val="single" w:sz="4" w:space="0" w:color="AAABD6"/>
            </w:tcBorders>
            <w:vAlign w:val="bottom"/>
          </w:tcPr>
          <w:p w14:paraId="1E66481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248,259</w:t>
            </w:r>
          </w:p>
        </w:tc>
        <w:tc>
          <w:tcPr>
            <w:tcW w:w="680" w:type="dxa"/>
            <w:tcBorders>
              <w:top w:val="dotted" w:sz="4" w:space="0" w:color="AAABD6"/>
              <w:left w:val="single" w:sz="4" w:space="0" w:color="AAABD6"/>
              <w:bottom w:val="dotted" w:sz="4" w:space="0" w:color="AAABD6"/>
              <w:right w:val="single" w:sz="4" w:space="0" w:color="AAABD6"/>
            </w:tcBorders>
            <w:vAlign w:val="bottom"/>
          </w:tcPr>
          <w:p w14:paraId="54E8490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248,259</w:t>
            </w:r>
          </w:p>
        </w:tc>
        <w:tc>
          <w:tcPr>
            <w:tcW w:w="680" w:type="dxa"/>
            <w:tcBorders>
              <w:top w:val="dotted" w:sz="4" w:space="0" w:color="AAABD6"/>
              <w:left w:val="single" w:sz="4" w:space="0" w:color="AAABD6"/>
              <w:bottom w:val="dotted" w:sz="4" w:space="0" w:color="AAABD6"/>
              <w:right w:val="single" w:sz="4" w:space="0" w:color="AAABD6"/>
            </w:tcBorders>
            <w:vAlign w:val="bottom"/>
          </w:tcPr>
          <w:p w14:paraId="6E46BE5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248,259</w:t>
            </w:r>
          </w:p>
        </w:tc>
        <w:tc>
          <w:tcPr>
            <w:tcW w:w="680" w:type="dxa"/>
            <w:tcBorders>
              <w:top w:val="dotted" w:sz="4" w:space="0" w:color="AAABD6"/>
              <w:left w:val="single" w:sz="4" w:space="0" w:color="AAABD6"/>
              <w:bottom w:val="dotted" w:sz="4" w:space="0" w:color="AAABD6"/>
              <w:right w:val="single" w:sz="4" w:space="0" w:color="AAABD6"/>
            </w:tcBorders>
            <w:vAlign w:val="bottom"/>
          </w:tcPr>
          <w:p w14:paraId="2B00711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248,259</w:t>
            </w:r>
          </w:p>
        </w:tc>
        <w:tc>
          <w:tcPr>
            <w:tcW w:w="680" w:type="dxa"/>
            <w:tcBorders>
              <w:top w:val="dotted" w:sz="4" w:space="0" w:color="AAABD6"/>
              <w:left w:val="single" w:sz="4" w:space="0" w:color="AAABD6"/>
              <w:bottom w:val="dotted" w:sz="4" w:space="0" w:color="AAABD6"/>
              <w:right w:val="single" w:sz="4" w:space="0" w:color="AAABD6"/>
            </w:tcBorders>
            <w:vAlign w:val="bottom"/>
          </w:tcPr>
          <w:p w14:paraId="4B001BD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248,259</w:t>
            </w:r>
          </w:p>
        </w:tc>
        <w:tc>
          <w:tcPr>
            <w:tcW w:w="680" w:type="dxa"/>
            <w:tcBorders>
              <w:top w:val="dotted" w:sz="4" w:space="0" w:color="AAABD6"/>
              <w:left w:val="single" w:sz="4" w:space="0" w:color="AAABD6"/>
              <w:bottom w:val="dotted" w:sz="4" w:space="0" w:color="AAABD6"/>
              <w:right w:val="single" w:sz="4" w:space="0" w:color="AAABD6"/>
            </w:tcBorders>
            <w:vAlign w:val="bottom"/>
          </w:tcPr>
          <w:p w14:paraId="5E3994D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248,259</w:t>
            </w:r>
          </w:p>
        </w:tc>
        <w:tc>
          <w:tcPr>
            <w:tcW w:w="680" w:type="dxa"/>
            <w:tcBorders>
              <w:top w:val="dotted" w:sz="4" w:space="0" w:color="AAABD6"/>
              <w:left w:val="single" w:sz="4" w:space="0" w:color="AAABD6"/>
              <w:bottom w:val="dotted" w:sz="4" w:space="0" w:color="AAABD6"/>
              <w:right w:val="single" w:sz="4" w:space="0" w:color="AAABD6"/>
            </w:tcBorders>
            <w:vAlign w:val="bottom"/>
          </w:tcPr>
          <w:p w14:paraId="62101F1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248,259</w:t>
            </w:r>
          </w:p>
        </w:tc>
        <w:tc>
          <w:tcPr>
            <w:tcW w:w="680" w:type="dxa"/>
            <w:tcBorders>
              <w:top w:val="dotted" w:sz="4" w:space="0" w:color="AAABD6"/>
              <w:left w:val="single" w:sz="4" w:space="0" w:color="AAABD6"/>
              <w:bottom w:val="dotted" w:sz="4" w:space="0" w:color="AAABD6"/>
              <w:right w:val="single" w:sz="4" w:space="0" w:color="AAABD6"/>
            </w:tcBorders>
            <w:vAlign w:val="bottom"/>
          </w:tcPr>
          <w:p w14:paraId="1F84F85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248,259</w:t>
            </w:r>
          </w:p>
        </w:tc>
        <w:tc>
          <w:tcPr>
            <w:tcW w:w="680" w:type="dxa"/>
            <w:tcBorders>
              <w:top w:val="dotted" w:sz="4" w:space="0" w:color="AAABD6"/>
              <w:left w:val="single" w:sz="4" w:space="0" w:color="AAABD6"/>
              <w:bottom w:val="dotted" w:sz="4" w:space="0" w:color="AAABD6"/>
              <w:right w:val="single" w:sz="4" w:space="0" w:color="AAABD6"/>
            </w:tcBorders>
            <w:vAlign w:val="bottom"/>
          </w:tcPr>
          <w:p w14:paraId="4B38E72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248,259</w:t>
            </w:r>
          </w:p>
        </w:tc>
        <w:tc>
          <w:tcPr>
            <w:tcW w:w="680" w:type="dxa"/>
            <w:tcBorders>
              <w:top w:val="dotted" w:sz="4" w:space="0" w:color="AAABD6"/>
              <w:left w:val="single" w:sz="4" w:space="0" w:color="AAABD6"/>
              <w:bottom w:val="dotted" w:sz="4" w:space="0" w:color="AAABD6"/>
              <w:right w:val="single" w:sz="4" w:space="0" w:color="AAABD6"/>
            </w:tcBorders>
            <w:vAlign w:val="bottom"/>
          </w:tcPr>
          <w:p w14:paraId="61093F3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248,259</w:t>
            </w:r>
          </w:p>
        </w:tc>
        <w:tc>
          <w:tcPr>
            <w:tcW w:w="680" w:type="dxa"/>
            <w:tcBorders>
              <w:top w:val="dotted" w:sz="4" w:space="0" w:color="AAABD6"/>
              <w:left w:val="single" w:sz="4" w:space="0" w:color="AAABD6"/>
              <w:bottom w:val="dotted" w:sz="4" w:space="0" w:color="AAABD6"/>
              <w:right w:val="single" w:sz="4" w:space="0" w:color="AAABD6"/>
            </w:tcBorders>
            <w:vAlign w:val="bottom"/>
          </w:tcPr>
          <w:p w14:paraId="3ACB6F6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248,259</w:t>
            </w:r>
          </w:p>
        </w:tc>
        <w:tc>
          <w:tcPr>
            <w:tcW w:w="680" w:type="dxa"/>
            <w:tcBorders>
              <w:top w:val="dotted" w:sz="4" w:space="0" w:color="AAABD6"/>
              <w:left w:val="single" w:sz="4" w:space="0" w:color="AAABD6"/>
              <w:bottom w:val="dotted" w:sz="4" w:space="0" w:color="AAABD6"/>
              <w:right w:val="single" w:sz="4" w:space="0" w:color="AAABD6"/>
            </w:tcBorders>
            <w:vAlign w:val="bottom"/>
          </w:tcPr>
          <w:p w14:paraId="297DD2B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248,259</w:t>
            </w:r>
          </w:p>
        </w:tc>
        <w:tc>
          <w:tcPr>
            <w:tcW w:w="680" w:type="dxa"/>
            <w:tcBorders>
              <w:top w:val="dotted" w:sz="4" w:space="0" w:color="AAABD6"/>
              <w:left w:val="single" w:sz="4" w:space="0" w:color="AAABD6"/>
              <w:bottom w:val="dotted" w:sz="4" w:space="0" w:color="AAABD6"/>
              <w:right w:val="single" w:sz="4" w:space="0" w:color="AAABD6"/>
            </w:tcBorders>
            <w:vAlign w:val="bottom"/>
          </w:tcPr>
          <w:p w14:paraId="5B0A23A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248,259</w:t>
            </w:r>
          </w:p>
        </w:tc>
        <w:tc>
          <w:tcPr>
            <w:tcW w:w="680" w:type="dxa"/>
            <w:tcBorders>
              <w:top w:val="dotted" w:sz="4" w:space="0" w:color="AAABD6"/>
              <w:left w:val="single" w:sz="4" w:space="0" w:color="AAABD6"/>
              <w:bottom w:val="dotted" w:sz="4" w:space="0" w:color="AAABD6"/>
              <w:right w:val="single" w:sz="4" w:space="0" w:color="AAABD6"/>
            </w:tcBorders>
            <w:vAlign w:val="bottom"/>
          </w:tcPr>
          <w:p w14:paraId="2F05AD3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248,259</w:t>
            </w:r>
          </w:p>
        </w:tc>
        <w:tc>
          <w:tcPr>
            <w:tcW w:w="680" w:type="dxa"/>
            <w:tcBorders>
              <w:top w:val="dotted" w:sz="4" w:space="0" w:color="AAABD6"/>
              <w:left w:val="single" w:sz="4" w:space="0" w:color="AAABD6"/>
              <w:bottom w:val="dotted" w:sz="4" w:space="0" w:color="AAABD6"/>
              <w:right w:val="single" w:sz="4" w:space="0" w:color="AAABD6"/>
            </w:tcBorders>
            <w:vAlign w:val="bottom"/>
          </w:tcPr>
          <w:p w14:paraId="07D29C4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248,259</w:t>
            </w:r>
          </w:p>
        </w:tc>
        <w:tc>
          <w:tcPr>
            <w:tcW w:w="680" w:type="dxa"/>
            <w:tcBorders>
              <w:top w:val="dotted" w:sz="4" w:space="0" w:color="AAABD6"/>
              <w:left w:val="single" w:sz="4" w:space="0" w:color="AAABD6"/>
              <w:bottom w:val="dotted" w:sz="4" w:space="0" w:color="AAABD6"/>
              <w:right w:val="single" w:sz="4" w:space="0" w:color="AAABD6"/>
            </w:tcBorders>
            <w:vAlign w:val="bottom"/>
          </w:tcPr>
          <w:p w14:paraId="35C30BD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248,259</w:t>
            </w:r>
          </w:p>
        </w:tc>
      </w:tr>
      <w:tr w:rsidR="00F02371" w:rsidRPr="00100F0A" w14:paraId="41B04F63"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bottom w:val="single" w:sz="4" w:space="0" w:color="AAABD6"/>
              <w:right w:val="single" w:sz="4" w:space="0" w:color="AAABD6"/>
            </w:tcBorders>
          </w:tcPr>
          <w:p w14:paraId="16449AFC" w14:textId="77777777" w:rsidR="00F02371" w:rsidRPr="00100F0A" w:rsidRDefault="00F02371" w:rsidP="002169F6">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60FA6FEA"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WA</w:t>
            </w:r>
          </w:p>
        </w:tc>
        <w:tc>
          <w:tcPr>
            <w:tcW w:w="1418" w:type="dxa"/>
            <w:vMerge/>
            <w:tcBorders>
              <w:left w:val="single" w:sz="4" w:space="0" w:color="AAABD6"/>
              <w:bottom w:val="dotted" w:sz="4" w:space="0" w:color="AAABD6"/>
              <w:right w:val="single" w:sz="4" w:space="0" w:color="AAABD6"/>
            </w:tcBorders>
          </w:tcPr>
          <w:p w14:paraId="02A450F5"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gridSpan w:val="2"/>
            <w:vMerge/>
            <w:tcBorders>
              <w:left w:val="single" w:sz="4" w:space="0" w:color="AAABD6"/>
              <w:right w:val="single" w:sz="4" w:space="0" w:color="AAABD6"/>
            </w:tcBorders>
          </w:tcPr>
          <w:p w14:paraId="647CCB5F" w14:textId="30CDEC1D"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10" w:type="dxa"/>
            <w:tcBorders>
              <w:top w:val="dotted" w:sz="4" w:space="0" w:color="AAABD6"/>
              <w:left w:val="single" w:sz="4" w:space="0" w:color="AAABD6"/>
              <w:bottom w:val="dotted" w:sz="4" w:space="0" w:color="AAABD6"/>
              <w:right w:val="single" w:sz="4" w:space="0" w:color="AAABD6"/>
            </w:tcBorders>
          </w:tcPr>
          <w:p w14:paraId="2292F3A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 </w:t>
            </w:r>
          </w:p>
        </w:tc>
        <w:tc>
          <w:tcPr>
            <w:tcW w:w="680" w:type="dxa"/>
            <w:tcBorders>
              <w:top w:val="dotted" w:sz="4" w:space="0" w:color="AAABD6"/>
              <w:left w:val="single" w:sz="4" w:space="0" w:color="AAABD6"/>
              <w:bottom w:val="dotted" w:sz="4" w:space="0" w:color="AAABD6"/>
              <w:right w:val="single" w:sz="4" w:space="0" w:color="AAABD6"/>
            </w:tcBorders>
            <w:vAlign w:val="bottom"/>
          </w:tcPr>
          <w:p w14:paraId="7A98FB1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118,184</w:t>
            </w:r>
          </w:p>
        </w:tc>
        <w:tc>
          <w:tcPr>
            <w:tcW w:w="680" w:type="dxa"/>
            <w:tcBorders>
              <w:top w:val="dotted" w:sz="4" w:space="0" w:color="AAABD6"/>
              <w:left w:val="single" w:sz="4" w:space="0" w:color="AAABD6"/>
              <w:bottom w:val="dotted" w:sz="4" w:space="0" w:color="AAABD6"/>
              <w:right w:val="single" w:sz="4" w:space="0" w:color="AAABD6"/>
            </w:tcBorders>
            <w:vAlign w:val="bottom"/>
          </w:tcPr>
          <w:p w14:paraId="59E69E5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118,184</w:t>
            </w:r>
          </w:p>
        </w:tc>
        <w:tc>
          <w:tcPr>
            <w:tcW w:w="680" w:type="dxa"/>
            <w:tcBorders>
              <w:top w:val="dotted" w:sz="4" w:space="0" w:color="AAABD6"/>
              <w:left w:val="single" w:sz="4" w:space="0" w:color="AAABD6"/>
              <w:bottom w:val="dotted" w:sz="4" w:space="0" w:color="AAABD6"/>
              <w:right w:val="single" w:sz="4" w:space="0" w:color="AAABD6"/>
            </w:tcBorders>
            <w:vAlign w:val="bottom"/>
          </w:tcPr>
          <w:p w14:paraId="7F56485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118,184</w:t>
            </w:r>
          </w:p>
        </w:tc>
        <w:tc>
          <w:tcPr>
            <w:tcW w:w="680" w:type="dxa"/>
            <w:tcBorders>
              <w:top w:val="dotted" w:sz="4" w:space="0" w:color="AAABD6"/>
              <w:left w:val="single" w:sz="4" w:space="0" w:color="AAABD6"/>
              <w:bottom w:val="dotted" w:sz="4" w:space="0" w:color="AAABD6"/>
              <w:right w:val="single" w:sz="4" w:space="0" w:color="AAABD6"/>
            </w:tcBorders>
            <w:vAlign w:val="bottom"/>
          </w:tcPr>
          <w:p w14:paraId="2C22741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118,184</w:t>
            </w:r>
          </w:p>
        </w:tc>
        <w:tc>
          <w:tcPr>
            <w:tcW w:w="680" w:type="dxa"/>
            <w:tcBorders>
              <w:top w:val="dotted" w:sz="4" w:space="0" w:color="AAABD6"/>
              <w:left w:val="single" w:sz="4" w:space="0" w:color="AAABD6"/>
              <w:bottom w:val="dotted" w:sz="4" w:space="0" w:color="AAABD6"/>
              <w:right w:val="single" w:sz="4" w:space="0" w:color="AAABD6"/>
            </w:tcBorders>
            <w:vAlign w:val="bottom"/>
          </w:tcPr>
          <w:p w14:paraId="40CD916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118,184</w:t>
            </w:r>
          </w:p>
        </w:tc>
        <w:tc>
          <w:tcPr>
            <w:tcW w:w="680" w:type="dxa"/>
            <w:tcBorders>
              <w:top w:val="dotted" w:sz="4" w:space="0" w:color="AAABD6"/>
              <w:left w:val="single" w:sz="4" w:space="0" w:color="AAABD6"/>
              <w:bottom w:val="dotted" w:sz="4" w:space="0" w:color="AAABD6"/>
              <w:right w:val="single" w:sz="4" w:space="0" w:color="AAABD6"/>
            </w:tcBorders>
            <w:vAlign w:val="bottom"/>
          </w:tcPr>
          <w:p w14:paraId="29508CA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118,184</w:t>
            </w:r>
          </w:p>
        </w:tc>
        <w:tc>
          <w:tcPr>
            <w:tcW w:w="680" w:type="dxa"/>
            <w:tcBorders>
              <w:top w:val="dotted" w:sz="4" w:space="0" w:color="AAABD6"/>
              <w:left w:val="single" w:sz="4" w:space="0" w:color="AAABD6"/>
              <w:bottom w:val="dotted" w:sz="4" w:space="0" w:color="AAABD6"/>
              <w:right w:val="single" w:sz="4" w:space="0" w:color="AAABD6"/>
            </w:tcBorders>
            <w:vAlign w:val="bottom"/>
          </w:tcPr>
          <w:p w14:paraId="1230301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118,184</w:t>
            </w:r>
          </w:p>
        </w:tc>
        <w:tc>
          <w:tcPr>
            <w:tcW w:w="680" w:type="dxa"/>
            <w:tcBorders>
              <w:top w:val="dotted" w:sz="4" w:space="0" w:color="AAABD6"/>
              <w:left w:val="single" w:sz="4" w:space="0" w:color="AAABD6"/>
              <w:bottom w:val="dotted" w:sz="4" w:space="0" w:color="AAABD6"/>
              <w:right w:val="single" w:sz="4" w:space="0" w:color="AAABD6"/>
            </w:tcBorders>
            <w:vAlign w:val="bottom"/>
          </w:tcPr>
          <w:p w14:paraId="5DB1CB4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118,184</w:t>
            </w:r>
          </w:p>
        </w:tc>
        <w:tc>
          <w:tcPr>
            <w:tcW w:w="680" w:type="dxa"/>
            <w:tcBorders>
              <w:top w:val="dotted" w:sz="4" w:space="0" w:color="AAABD6"/>
              <w:left w:val="single" w:sz="4" w:space="0" w:color="AAABD6"/>
              <w:bottom w:val="dotted" w:sz="4" w:space="0" w:color="AAABD6"/>
              <w:right w:val="single" w:sz="4" w:space="0" w:color="AAABD6"/>
            </w:tcBorders>
            <w:vAlign w:val="bottom"/>
          </w:tcPr>
          <w:p w14:paraId="08CF61D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118,184</w:t>
            </w:r>
          </w:p>
        </w:tc>
        <w:tc>
          <w:tcPr>
            <w:tcW w:w="680" w:type="dxa"/>
            <w:tcBorders>
              <w:top w:val="dotted" w:sz="4" w:space="0" w:color="AAABD6"/>
              <w:left w:val="single" w:sz="4" w:space="0" w:color="AAABD6"/>
              <w:bottom w:val="dotted" w:sz="4" w:space="0" w:color="AAABD6"/>
              <w:right w:val="single" w:sz="4" w:space="0" w:color="AAABD6"/>
            </w:tcBorders>
            <w:vAlign w:val="bottom"/>
          </w:tcPr>
          <w:p w14:paraId="16E95E2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118,184</w:t>
            </w:r>
          </w:p>
        </w:tc>
        <w:tc>
          <w:tcPr>
            <w:tcW w:w="680" w:type="dxa"/>
            <w:tcBorders>
              <w:top w:val="dotted" w:sz="4" w:space="0" w:color="AAABD6"/>
              <w:left w:val="single" w:sz="4" w:space="0" w:color="AAABD6"/>
              <w:bottom w:val="dotted" w:sz="4" w:space="0" w:color="AAABD6"/>
              <w:right w:val="single" w:sz="4" w:space="0" w:color="AAABD6"/>
            </w:tcBorders>
            <w:vAlign w:val="bottom"/>
          </w:tcPr>
          <w:p w14:paraId="11CDF15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118,184</w:t>
            </w:r>
          </w:p>
        </w:tc>
        <w:tc>
          <w:tcPr>
            <w:tcW w:w="680" w:type="dxa"/>
            <w:tcBorders>
              <w:top w:val="dotted" w:sz="4" w:space="0" w:color="AAABD6"/>
              <w:left w:val="single" w:sz="4" w:space="0" w:color="AAABD6"/>
              <w:bottom w:val="dotted" w:sz="4" w:space="0" w:color="AAABD6"/>
              <w:right w:val="single" w:sz="4" w:space="0" w:color="AAABD6"/>
            </w:tcBorders>
            <w:vAlign w:val="bottom"/>
          </w:tcPr>
          <w:p w14:paraId="24B02AB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118,184</w:t>
            </w:r>
          </w:p>
        </w:tc>
        <w:tc>
          <w:tcPr>
            <w:tcW w:w="680" w:type="dxa"/>
            <w:tcBorders>
              <w:top w:val="dotted" w:sz="4" w:space="0" w:color="AAABD6"/>
              <w:left w:val="single" w:sz="4" w:space="0" w:color="AAABD6"/>
              <w:bottom w:val="dotted" w:sz="4" w:space="0" w:color="AAABD6"/>
              <w:right w:val="single" w:sz="4" w:space="0" w:color="AAABD6"/>
            </w:tcBorders>
            <w:vAlign w:val="bottom"/>
          </w:tcPr>
          <w:p w14:paraId="15626F7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118,184</w:t>
            </w:r>
          </w:p>
        </w:tc>
        <w:tc>
          <w:tcPr>
            <w:tcW w:w="680" w:type="dxa"/>
            <w:tcBorders>
              <w:top w:val="dotted" w:sz="4" w:space="0" w:color="AAABD6"/>
              <w:left w:val="single" w:sz="4" w:space="0" w:color="AAABD6"/>
              <w:bottom w:val="dotted" w:sz="4" w:space="0" w:color="AAABD6"/>
              <w:right w:val="single" w:sz="4" w:space="0" w:color="AAABD6"/>
            </w:tcBorders>
            <w:vAlign w:val="bottom"/>
          </w:tcPr>
          <w:p w14:paraId="7C5BE82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118,184</w:t>
            </w:r>
          </w:p>
        </w:tc>
        <w:tc>
          <w:tcPr>
            <w:tcW w:w="680" w:type="dxa"/>
            <w:tcBorders>
              <w:top w:val="dotted" w:sz="4" w:space="0" w:color="AAABD6"/>
              <w:left w:val="single" w:sz="4" w:space="0" w:color="AAABD6"/>
              <w:bottom w:val="dotted" w:sz="4" w:space="0" w:color="AAABD6"/>
              <w:right w:val="single" w:sz="4" w:space="0" w:color="AAABD6"/>
            </w:tcBorders>
            <w:vAlign w:val="bottom"/>
          </w:tcPr>
          <w:p w14:paraId="6CE6D10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118,184</w:t>
            </w:r>
          </w:p>
        </w:tc>
        <w:tc>
          <w:tcPr>
            <w:tcW w:w="680" w:type="dxa"/>
            <w:tcBorders>
              <w:top w:val="dotted" w:sz="4" w:space="0" w:color="AAABD6"/>
              <w:left w:val="single" w:sz="4" w:space="0" w:color="AAABD6"/>
              <w:bottom w:val="dotted" w:sz="4" w:space="0" w:color="AAABD6"/>
              <w:right w:val="single" w:sz="4" w:space="0" w:color="AAABD6"/>
            </w:tcBorders>
            <w:vAlign w:val="bottom"/>
          </w:tcPr>
          <w:p w14:paraId="6DEEBD4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118,184</w:t>
            </w:r>
          </w:p>
        </w:tc>
        <w:tc>
          <w:tcPr>
            <w:tcW w:w="680" w:type="dxa"/>
            <w:tcBorders>
              <w:top w:val="dotted" w:sz="4" w:space="0" w:color="AAABD6"/>
              <w:left w:val="single" w:sz="4" w:space="0" w:color="AAABD6"/>
              <w:bottom w:val="dotted" w:sz="4" w:space="0" w:color="AAABD6"/>
              <w:right w:val="single" w:sz="4" w:space="0" w:color="AAABD6"/>
            </w:tcBorders>
            <w:vAlign w:val="bottom"/>
          </w:tcPr>
          <w:p w14:paraId="7AE1549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118,184</w:t>
            </w:r>
          </w:p>
        </w:tc>
        <w:tc>
          <w:tcPr>
            <w:tcW w:w="680" w:type="dxa"/>
            <w:tcBorders>
              <w:top w:val="dotted" w:sz="4" w:space="0" w:color="AAABD6"/>
              <w:left w:val="single" w:sz="4" w:space="0" w:color="AAABD6"/>
              <w:bottom w:val="dotted" w:sz="4" w:space="0" w:color="AAABD6"/>
              <w:right w:val="single" w:sz="4" w:space="0" w:color="AAABD6"/>
            </w:tcBorders>
            <w:vAlign w:val="bottom"/>
          </w:tcPr>
          <w:p w14:paraId="31771D6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118,184</w:t>
            </w:r>
          </w:p>
        </w:tc>
      </w:tr>
      <w:tr w:rsidR="00F02371" w:rsidRPr="00100F0A" w14:paraId="1EB8D51D"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val="restart"/>
            <w:tcBorders>
              <w:top w:val="single" w:sz="4" w:space="0" w:color="AAABD6"/>
              <w:left w:val="single" w:sz="4" w:space="0" w:color="AAABD6"/>
              <w:right w:val="single" w:sz="4" w:space="0" w:color="AAABD6"/>
            </w:tcBorders>
          </w:tcPr>
          <w:p w14:paraId="23E267AD" w14:textId="77777777" w:rsidR="00F02371" w:rsidRPr="00100F0A" w:rsidRDefault="00F02371" w:rsidP="002169F6">
            <w:pPr>
              <w:rPr>
                <w:sz w:val="16"/>
                <w:szCs w:val="16"/>
              </w:rPr>
            </w:pPr>
            <w:r w:rsidRPr="00100F0A">
              <w:rPr>
                <w:sz w:val="16"/>
                <w:szCs w:val="16"/>
              </w:rPr>
              <w:t>Low</w:t>
            </w:r>
          </w:p>
        </w:tc>
        <w:tc>
          <w:tcPr>
            <w:tcW w:w="675" w:type="dxa"/>
            <w:tcBorders>
              <w:top w:val="single" w:sz="4" w:space="0" w:color="AAABD6"/>
              <w:left w:val="single" w:sz="4" w:space="0" w:color="AAABD6"/>
              <w:bottom w:val="dotted" w:sz="4" w:space="0" w:color="AAABD6"/>
              <w:right w:val="single" w:sz="4" w:space="0" w:color="AAABD6"/>
            </w:tcBorders>
          </w:tcPr>
          <w:p w14:paraId="3FB0221A"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ACT</w:t>
            </w:r>
          </w:p>
        </w:tc>
        <w:tc>
          <w:tcPr>
            <w:tcW w:w="1418" w:type="dxa"/>
            <w:vMerge w:val="restart"/>
            <w:tcBorders>
              <w:top w:val="single" w:sz="4" w:space="0" w:color="AAABD6"/>
              <w:left w:val="single" w:sz="4" w:space="0" w:color="AAABD6"/>
              <w:right w:val="single" w:sz="4" w:space="0" w:color="AAABD6"/>
            </w:tcBorders>
            <w:vAlign w:val="center"/>
          </w:tcPr>
          <w:p w14:paraId="63191982"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10% of high scenario</w:t>
            </w:r>
          </w:p>
        </w:tc>
        <w:tc>
          <w:tcPr>
            <w:tcW w:w="1020" w:type="dxa"/>
            <w:gridSpan w:val="2"/>
            <w:vMerge/>
            <w:tcBorders>
              <w:left w:val="single" w:sz="4" w:space="0" w:color="AAABD6"/>
              <w:right w:val="single" w:sz="4" w:space="0" w:color="AAABD6"/>
            </w:tcBorders>
          </w:tcPr>
          <w:p w14:paraId="417E89DD" w14:textId="37ACC60A"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10" w:type="dxa"/>
            <w:tcBorders>
              <w:top w:val="single" w:sz="4" w:space="0" w:color="AAABD6"/>
              <w:left w:val="single" w:sz="4" w:space="0" w:color="AAABD6"/>
              <w:bottom w:val="dotted" w:sz="4" w:space="0" w:color="AAABD6"/>
              <w:right w:val="single" w:sz="4" w:space="0" w:color="AAABD6"/>
            </w:tcBorders>
          </w:tcPr>
          <w:p w14:paraId="2E7BB2A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 </w:t>
            </w:r>
          </w:p>
        </w:tc>
        <w:tc>
          <w:tcPr>
            <w:tcW w:w="680" w:type="dxa"/>
            <w:tcBorders>
              <w:top w:val="single" w:sz="4" w:space="0" w:color="AAABD6"/>
              <w:left w:val="single" w:sz="4" w:space="0" w:color="AAABD6"/>
              <w:bottom w:val="dotted" w:sz="4" w:space="0" w:color="AAABD6"/>
              <w:right w:val="single" w:sz="4" w:space="0" w:color="AAABD6"/>
            </w:tcBorders>
            <w:vAlign w:val="bottom"/>
          </w:tcPr>
          <w:p w14:paraId="5A80D86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w:t>
            </w:r>
          </w:p>
        </w:tc>
        <w:tc>
          <w:tcPr>
            <w:tcW w:w="680" w:type="dxa"/>
            <w:tcBorders>
              <w:top w:val="single" w:sz="4" w:space="0" w:color="AAABD6"/>
              <w:left w:val="single" w:sz="4" w:space="0" w:color="AAABD6"/>
              <w:bottom w:val="dotted" w:sz="4" w:space="0" w:color="AAABD6"/>
              <w:right w:val="single" w:sz="4" w:space="0" w:color="AAABD6"/>
            </w:tcBorders>
            <w:vAlign w:val="bottom"/>
          </w:tcPr>
          <w:p w14:paraId="1BFAC24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w:t>
            </w:r>
          </w:p>
        </w:tc>
        <w:tc>
          <w:tcPr>
            <w:tcW w:w="680" w:type="dxa"/>
            <w:tcBorders>
              <w:top w:val="single" w:sz="4" w:space="0" w:color="AAABD6"/>
              <w:left w:val="single" w:sz="4" w:space="0" w:color="AAABD6"/>
              <w:bottom w:val="dotted" w:sz="4" w:space="0" w:color="AAABD6"/>
              <w:right w:val="single" w:sz="4" w:space="0" w:color="AAABD6"/>
            </w:tcBorders>
            <w:vAlign w:val="bottom"/>
          </w:tcPr>
          <w:p w14:paraId="7DFD10D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w:t>
            </w:r>
          </w:p>
        </w:tc>
        <w:tc>
          <w:tcPr>
            <w:tcW w:w="680" w:type="dxa"/>
            <w:tcBorders>
              <w:top w:val="single" w:sz="4" w:space="0" w:color="AAABD6"/>
              <w:left w:val="single" w:sz="4" w:space="0" w:color="AAABD6"/>
              <w:bottom w:val="dotted" w:sz="4" w:space="0" w:color="AAABD6"/>
              <w:right w:val="single" w:sz="4" w:space="0" w:color="AAABD6"/>
            </w:tcBorders>
            <w:vAlign w:val="bottom"/>
          </w:tcPr>
          <w:p w14:paraId="707BCE2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w:t>
            </w:r>
          </w:p>
        </w:tc>
        <w:tc>
          <w:tcPr>
            <w:tcW w:w="680" w:type="dxa"/>
            <w:tcBorders>
              <w:top w:val="single" w:sz="4" w:space="0" w:color="AAABD6"/>
              <w:left w:val="single" w:sz="4" w:space="0" w:color="AAABD6"/>
              <w:bottom w:val="dotted" w:sz="4" w:space="0" w:color="AAABD6"/>
              <w:right w:val="single" w:sz="4" w:space="0" w:color="AAABD6"/>
            </w:tcBorders>
            <w:vAlign w:val="bottom"/>
          </w:tcPr>
          <w:p w14:paraId="58A0F4C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w:t>
            </w:r>
          </w:p>
        </w:tc>
        <w:tc>
          <w:tcPr>
            <w:tcW w:w="680" w:type="dxa"/>
            <w:tcBorders>
              <w:top w:val="single" w:sz="4" w:space="0" w:color="AAABD6"/>
              <w:left w:val="single" w:sz="4" w:space="0" w:color="AAABD6"/>
              <w:bottom w:val="dotted" w:sz="4" w:space="0" w:color="AAABD6"/>
              <w:right w:val="single" w:sz="4" w:space="0" w:color="AAABD6"/>
            </w:tcBorders>
            <w:vAlign w:val="bottom"/>
          </w:tcPr>
          <w:p w14:paraId="31DC4AB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w:t>
            </w:r>
          </w:p>
        </w:tc>
        <w:tc>
          <w:tcPr>
            <w:tcW w:w="680" w:type="dxa"/>
            <w:tcBorders>
              <w:top w:val="single" w:sz="4" w:space="0" w:color="AAABD6"/>
              <w:left w:val="single" w:sz="4" w:space="0" w:color="AAABD6"/>
              <w:bottom w:val="dotted" w:sz="4" w:space="0" w:color="AAABD6"/>
              <w:right w:val="single" w:sz="4" w:space="0" w:color="AAABD6"/>
            </w:tcBorders>
            <w:vAlign w:val="bottom"/>
          </w:tcPr>
          <w:p w14:paraId="6B2A498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w:t>
            </w:r>
          </w:p>
        </w:tc>
        <w:tc>
          <w:tcPr>
            <w:tcW w:w="680" w:type="dxa"/>
            <w:tcBorders>
              <w:top w:val="single" w:sz="4" w:space="0" w:color="AAABD6"/>
              <w:left w:val="single" w:sz="4" w:space="0" w:color="AAABD6"/>
              <w:bottom w:val="dotted" w:sz="4" w:space="0" w:color="AAABD6"/>
              <w:right w:val="single" w:sz="4" w:space="0" w:color="AAABD6"/>
            </w:tcBorders>
            <w:vAlign w:val="bottom"/>
          </w:tcPr>
          <w:p w14:paraId="5054C3F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w:t>
            </w:r>
          </w:p>
        </w:tc>
        <w:tc>
          <w:tcPr>
            <w:tcW w:w="680" w:type="dxa"/>
            <w:tcBorders>
              <w:top w:val="single" w:sz="4" w:space="0" w:color="AAABD6"/>
              <w:left w:val="single" w:sz="4" w:space="0" w:color="AAABD6"/>
              <w:bottom w:val="dotted" w:sz="4" w:space="0" w:color="AAABD6"/>
              <w:right w:val="single" w:sz="4" w:space="0" w:color="AAABD6"/>
            </w:tcBorders>
            <w:vAlign w:val="bottom"/>
          </w:tcPr>
          <w:p w14:paraId="5EEE026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w:t>
            </w:r>
          </w:p>
        </w:tc>
        <w:tc>
          <w:tcPr>
            <w:tcW w:w="680" w:type="dxa"/>
            <w:tcBorders>
              <w:top w:val="single" w:sz="4" w:space="0" w:color="AAABD6"/>
              <w:left w:val="single" w:sz="4" w:space="0" w:color="AAABD6"/>
              <w:bottom w:val="dotted" w:sz="4" w:space="0" w:color="AAABD6"/>
              <w:right w:val="single" w:sz="4" w:space="0" w:color="AAABD6"/>
            </w:tcBorders>
            <w:vAlign w:val="bottom"/>
          </w:tcPr>
          <w:p w14:paraId="6BDE8A3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w:t>
            </w:r>
          </w:p>
        </w:tc>
        <w:tc>
          <w:tcPr>
            <w:tcW w:w="680" w:type="dxa"/>
            <w:tcBorders>
              <w:top w:val="single" w:sz="4" w:space="0" w:color="AAABD6"/>
              <w:left w:val="single" w:sz="4" w:space="0" w:color="AAABD6"/>
              <w:bottom w:val="dotted" w:sz="4" w:space="0" w:color="AAABD6"/>
              <w:right w:val="single" w:sz="4" w:space="0" w:color="AAABD6"/>
            </w:tcBorders>
            <w:vAlign w:val="bottom"/>
          </w:tcPr>
          <w:p w14:paraId="536A7D8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w:t>
            </w:r>
          </w:p>
        </w:tc>
        <w:tc>
          <w:tcPr>
            <w:tcW w:w="680" w:type="dxa"/>
            <w:tcBorders>
              <w:top w:val="single" w:sz="4" w:space="0" w:color="AAABD6"/>
              <w:left w:val="single" w:sz="4" w:space="0" w:color="AAABD6"/>
              <w:bottom w:val="dotted" w:sz="4" w:space="0" w:color="AAABD6"/>
              <w:right w:val="single" w:sz="4" w:space="0" w:color="AAABD6"/>
            </w:tcBorders>
            <w:vAlign w:val="bottom"/>
          </w:tcPr>
          <w:p w14:paraId="375DD05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w:t>
            </w:r>
          </w:p>
        </w:tc>
        <w:tc>
          <w:tcPr>
            <w:tcW w:w="680" w:type="dxa"/>
            <w:tcBorders>
              <w:top w:val="single" w:sz="4" w:space="0" w:color="AAABD6"/>
              <w:left w:val="single" w:sz="4" w:space="0" w:color="AAABD6"/>
              <w:bottom w:val="dotted" w:sz="4" w:space="0" w:color="AAABD6"/>
              <w:right w:val="single" w:sz="4" w:space="0" w:color="AAABD6"/>
            </w:tcBorders>
            <w:vAlign w:val="bottom"/>
          </w:tcPr>
          <w:p w14:paraId="250EC44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w:t>
            </w:r>
          </w:p>
        </w:tc>
        <w:tc>
          <w:tcPr>
            <w:tcW w:w="680" w:type="dxa"/>
            <w:tcBorders>
              <w:top w:val="single" w:sz="4" w:space="0" w:color="AAABD6"/>
              <w:left w:val="single" w:sz="4" w:space="0" w:color="AAABD6"/>
              <w:bottom w:val="dotted" w:sz="4" w:space="0" w:color="AAABD6"/>
              <w:right w:val="single" w:sz="4" w:space="0" w:color="AAABD6"/>
            </w:tcBorders>
            <w:vAlign w:val="bottom"/>
          </w:tcPr>
          <w:p w14:paraId="428D428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w:t>
            </w:r>
          </w:p>
        </w:tc>
        <w:tc>
          <w:tcPr>
            <w:tcW w:w="680" w:type="dxa"/>
            <w:tcBorders>
              <w:top w:val="single" w:sz="4" w:space="0" w:color="AAABD6"/>
              <w:left w:val="single" w:sz="4" w:space="0" w:color="AAABD6"/>
              <w:bottom w:val="dotted" w:sz="4" w:space="0" w:color="AAABD6"/>
              <w:right w:val="single" w:sz="4" w:space="0" w:color="AAABD6"/>
            </w:tcBorders>
            <w:vAlign w:val="bottom"/>
          </w:tcPr>
          <w:p w14:paraId="403EAB6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w:t>
            </w:r>
          </w:p>
        </w:tc>
        <w:tc>
          <w:tcPr>
            <w:tcW w:w="680" w:type="dxa"/>
            <w:tcBorders>
              <w:top w:val="single" w:sz="4" w:space="0" w:color="AAABD6"/>
              <w:left w:val="single" w:sz="4" w:space="0" w:color="AAABD6"/>
              <w:bottom w:val="dotted" w:sz="4" w:space="0" w:color="AAABD6"/>
              <w:right w:val="single" w:sz="4" w:space="0" w:color="AAABD6"/>
            </w:tcBorders>
            <w:vAlign w:val="bottom"/>
          </w:tcPr>
          <w:p w14:paraId="3F42979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w:t>
            </w:r>
          </w:p>
        </w:tc>
        <w:tc>
          <w:tcPr>
            <w:tcW w:w="680" w:type="dxa"/>
            <w:tcBorders>
              <w:top w:val="single" w:sz="4" w:space="0" w:color="AAABD6"/>
              <w:left w:val="single" w:sz="4" w:space="0" w:color="AAABD6"/>
              <w:bottom w:val="dotted" w:sz="4" w:space="0" w:color="AAABD6"/>
              <w:right w:val="single" w:sz="4" w:space="0" w:color="AAABD6"/>
            </w:tcBorders>
            <w:vAlign w:val="bottom"/>
          </w:tcPr>
          <w:p w14:paraId="78BF2BE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w:t>
            </w:r>
          </w:p>
        </w:tc>
        <w:tc>
          <w:tcPr>
            <w:tcW w:w="680" w:type="dxa"/>
            <w:tcBorders>
              <w:top w:val="single" w:sz="4" w:space="0" w:color="AAABD6"/>
              <w:left w:val="single" w:sz="4" w:space="0" w:color="AAABD6"/>
              <w:bottom w:val="dotted" w:sz="4" w:space="0" w:color="AAABD6"/>
              <w:right w:val="single" w:sz="4" w:space="0" w:color="AAABD6"/>
            </w:tcBorders>
            <w:vAlign w:val="bottom"/>
          </w:tcPr>
          <w:p w14:paraId="59048D9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1,678</w:t>
            </w:r>
          </w:p>
        </w:tc>
      </w:tr>
      <w:tr w:rsidR="00F02371" w:rsidRPr="00100F0A" w14:paraId="7E300A31"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right w:val="single" w:sz="4" w:space="0" w:color="AAABD6"/>
            </w:tcBorders>
          </w:tcPr>
          <w:p w14:paraId="33D48BA8" w14:textId="77777777" w:rsidR="00F02371" w:rsidRPr="00100F0A" w:rsidRDefault="00F02371" w:rsidP="002169F6">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7BFE88DD"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NSW</w:t>
            </w:r>
          </w:p>
        </w:tc>
        <w:tc>
          <w:tcPr>
            <w:tcW w:w="1418" w:type="dxa"/>
            <w:vMerge/>
            <w:tcBorders>
              <w:left w:val="single" w:sz="4" w:space="0" w:color="AAABD6"/>
              <w:right w:val="single" w:sz="4" w:space="0" w:color="AAABD6"/>
            </w:tcBorders>
          </w:tcPr>
          <w:p w14:paraId="6ED58882"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gridSpan w:val="2"/>
            <w:vMerge/>
            <w:tcBorders>
              <w:left w:val="single" w:sz="4" w:space="0" w:color="AAABD6"/>
              <w:right w:val="single" w:sz="4" w:space="0" w:color="AAABD6"/>
            </w:tcBorders>
          </w:tcPr>
          <w:p w14:paraId="697B58E1" w14:textId="3437095E"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10" w:type="dxa"/>
            <w:tcBorders>
              <w:top w:val="dotted" w:sz="4" w:space="0" w:color="AAABD6"/>
              <w:left w:val="single" w:sz="4" w:space="0" w:color="AAABD6"/>
              <w:bottom w:val="dotted" w:sz="4" w:space="0" w:color="AAABD6"/>
              <w:right w:val="single" w:sz="4" w:space="0" w:color="AAABD6"/>
            </w:tcBorders>
          </w:tcPr>
          <w:p w14:paraId="3C0DAD2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680" w:type="dxa"/>
            <w:tcBorders>
              <w:top w:val="dotted" w:sz="4" w:space="0" w:color="AAABD6"/>
              <w:left w:val="single" w:sz="4" w:space="0" w:color="AAABD6"/>
              <w:bottom w:val="dotted" w:sz="4" w:space="0" w:color="AAABD6"/>
              <w:right w:val="single" w:sz="4" w:space="0" w:color="AAABD6"/>
            </w:tcBorders>
            <w:vAlign w:val="bottom"/>
          </w:tcPr>
          <w:p w14:paraId="73B9270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w:t>
            </w:r>
          </w:p>
        </w:tc>
        <w:tc>
          <w:tcPr>
            <w:tcW w:w="680" w:type="dxa"/>
            <w:tcBorders>
              <w:top w:val="dotted" w:sz="4" w:space="0" w:color="AAABD6"/>
              <w:left w:val="single" w:sz="4" w:space="0" w:color="AAABD6"/>
              <w:bottom w:val="dotted" w:sz="4" w:space="0" w:color="AAABD6"/>
              <w:right w:val="single" w:sz="4" w:space="0" w:color="AAABD6"/>
            </w:tcBorders>
            <w:vAlign w:val="bottom"/>
          </w:tcPr>
          <w:p w14:paraId="211A502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w:t>
            </w:r>
          </w:p>
        </w:tc>
        <w:tc>
          <w:tcPr>
            <w:tcW w:w="680" w:type="dxa"/>
            <w:tcBorders>
              <w:top w:val="dotted" w:sz="4" w:space="0" w:color="AAABD6"/>
              <w:left w:val="single" w:sz="4" w:space="0" w:color="AAABD6"/>
              <w:bottom w:val="dotted" w:sz="4" w:space="0" w:color="AAABD6"/>
              <w:right w:val="single" w:sz="4" w:space="0" w:color="AAABD6"/>
            </w:tcBorders>
            <w:vAlign w:val="bottom"/>
          </w:tcPr>
          <w:p w14:paraId="09815BC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w:t>
            </w:r>
          </w:p>
        </w:tc>
        <w:tc>
          <w:tcPr>
            <w:tcW w:w="680" w:type="dxa"/>
            <w:tcBorders>
              <w:top w:val="dotted" w:sz="4" w:space="0" w:color="AAABD6"/>
              <w:left w:val="single" w:sz="4" w:space="0" w:color="AAABD6"/>
              <w:bottom w:val="dotted" w:sz="4" w:space="0" w:color="AAABD6"/>
              <w:right w:val="single" w:sz="4" w:space="0" w:color="AAABD6"/>
            </w:tcBorders>
            <w:vAlign w:val="bottom"/>
          </w:tcPr>
          <w:p w14:paraId="42ABC8C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w:t>
            </w:r>
          </w:p>
        </w:tc>
        <w:tc>
          <w:tcPr>
            <w:tcW w:w="680" w:type="dxa"/>
            <w:tcBorders>
              <w:top w:val="dotted" w:sz="4" w:space="0" w:color="AAABD6"/>
              <w:left w:val="single" w:sz="4" w:space="0" w:color="AAABD6"/>
              <w:bottom w:val="dotted" w:sz="4" w:space="0" w:color="AAABD6"/>
              <w:right w:val="single" w:sz="4" w:space="0" w:color="AAABD6"/>
            </w:tcBorders>
            <w:vAlign w:val="bottom"/>
          </w:tcPr>
          <w:p w14:paraId="5343279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w:t>
            </w:r>
          </w:p>
        </w:tc>
        <w:tc>
          <w:tcPr>
            <w:tcW w:w="680" w:type="dxa"/>
            <w:tcBorders>
              <w:top w:val="dotted" w:sz="4" w:space="0" w:color="AAABD6"/>
              <w:left w:val="single" w:sz="4" w:space="0" w:color="AAABD6"/>
              <w:bottom w:val="dotted" w:sz="4" w:space="0" w:color="AAABD6"/>
              <w:right w:val="single" w:sz="4" w:space="0" w:color="AAABD6"/>
            </w:tcBorders>
            <w:vAlign w:val="bottom"/>
          </w:tcPr>
          <w:p w14:paraId="5252411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w:t>
            </w:r>
          </w:p>
        </w:tc>
        <w:tc>
          <w:tcPr>
            <w:tcW w:w="680" w:type="dxa"/>
            <w:tcBorders>
              <w:top w:val="dotted" w:sz="4" w:space="0" w:color="AAABD6"/>
              <w:left w:val="single" w:sz="4" w:space="0" w:color="AAABD6"/>
              <w:bottom w:val="dotted" w:sz="4" w:space="0" w:color="AAABD6"/>
              <w:right w:val="single" w:sz="4" w:space="0" w:color="AAABD6"/>
            </w:tcBorders>
            <w:vAlign w:val="bottom"/>
          </w:tcPr>
          <w:p w14:paraId="3896FD0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w:t>
            </w:r>
          </w:p>
        </w:tc>
        <w:tc>
          <w:tcPr>
            <w:tcW w:w="680" w:type="dxa"/>
            <w:tcBorders>
              <w:top w:val="dotted" w:sz="4" w:space="0" w:color="AAABD6"/>
              <w:left w:val="single" w:sz="4" w:space="0" w:color="AAABD6"/>
              <w:bottom w:val="dotted" w:sz="4" w:space="0" w:color="AAABD6"/>
              <w:right w:val="single" w:sz="4" w:space="0" w:color="AAABD6"/>
            </w:tcBorders>
            <w:vAlign w:val="bottom"/>
          </w:tcPr>
          <w:p w14:paraId="13758C7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w:t>
            </w:r>
          </w:p>
        </w:tc>
        <w:tc>
          <w:tcPr>
            <w:tcW w:w="680" w:type="dxa"/>
            <w:tcBorders>
              <w:top w:val="dotted" w:sz="4" w:space="0" w:color="AAABD6"/>
              <w:left w:val="single" w:sz="4" w:space="0" w:color="AAABD6"/>
              <w:bottom w:val="dotted" w:sz="4" w:space="0" w:color="AAABD6"/>
              <w:right w:val="single" w:sz="4" w:space="0" w:color="AAABD6"/>
            </w:tcBorders>
            <w:vAlign w:val="bottom"/>
          </w:tcPr>
          <w:p w14:paraId="1F9AC7C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w:t>
            </w:r>
          </w:p>
        </w:tc>
        <w:tc>
          <w:tcPr>
            <w:tcW w:w="680" w:type="dxa"/>
            <w:tcBorders>
              <w:top w:val="dotted" w:sz="4" w:space="0" w:color="AAABD6"/>
              <w:left w:val="single" w:sz="4" w:space="0" w:color="AAABD6"/>
              <w:bottom w:val="dotted" w:sz="4" w:space="0" w:color="AAABD6"/>
              <w:right w:val="single" w:sz="4" w:space="0" w:color="AAABD6"/>
            </w:tcBorders>
            <w:vAlign w:val="bottom"/>
          </w:tcPr>
          <w:p w14:paraId="0FEE5A7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w:t>
            </w:r>
          </w:p>
        </w:tc>
        <w:tc>
          <w:tcPr>
            <w:tcW w:w="680" w:type="dxa"/>
            <w:tcBorders>
              <w:top w:val="dotted" w:sz="4" w:space="0" w:color="AAABD6"/>
              <w:left w:val="single" w:sz="4" w:space="0" w:color="AAABD6"/>
              <w:bottom w:val="dotted" w:sz="4" w:space="0" w:color="AAABD6"/>
              <w:right w:val="single" w:sz="4" w:space="0" w:color="AAABD6"/>
            </w:tcBorders>
            <w:vAlign w:val="bottom"/>
          </w:tcPr>
          <w:p w14:paraId="4611137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w:t>
            </w:r>
          </w:p>
        </w:tc>
        <w:tc>
          <w:tcPr>
            <w:tcW w:w="680" w:type="dxa"/>
            <w:tcBorders>
              <w:top w:val="dotted" w:sz="4" w:space="0" w:color="AAABD6"/>
              <w:left w:val="single" w:sz="4" w:space="0" w:color="AAABD6"/>
              <w:bottom w:val="dotted" w:sz="4" w:space="0" w:color="AAABD6"/>
              <w:right w:val="single" w:sz="4" w:space="0" w:color="AAABD6"/>
            </w:tcBorders>
            <w:vAlign w:val="bottom"/>
          </w:tcPr>
          <w:p w14:paraId="1823C73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w:t>
            </w:r>
          </w:p>
        </w:tc>
        <w:tc>
          <w:tcPr>
            <w:tcW w:w="680" w:type="dxa"/>
            <w:tcBorders>
              <w:top w:val="dotted" w:sz="4" w:space="0" w:color="AAABD6"/>
              <w:left w:val="single" w:sz="4" w:space="0" w:color="AAABD6"/>
              <w:bottom w:val="dotted" w:sz="4" w:space="0" w:color="AAABD6"/>
              <w:right w:val="single" w:sz="4" w:space="0" w:color="AAABD6"/>
            </w:tcBorders>
            <w:vAlign w:val="bottom"/>
          </w:tcPr>
          <w:p w14:paraId="2F9D874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w:t>
            </w:r>
          </w:p>
        </w:tc>
        <w:tc>
          <w:tcPr>
            <w:tcW w:w="680" w:type="dxa"/>
            <w:tcBorders>
              <w:top w:val="dotted" w:sz="4" w:space="0" w:color="AAABD6"/>
              <w:left w:val="single" w:sz="4" w:space="0" w:color="AAABD6"/>
              <w:bottom w:val="dotted" w:sz="4" w:space="0" w:color="AAABD6"/>
              <w:right w:val="single" w:sz="4" w:space="0" w:color="AAABD6"/>
            </w:tcBorders>
            <w:vAlign w:val="bottom"/>
          </w:tcPr>
          <w:p w14:paraId="495B9EE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w:t>
            </w:r>
          </w:p>
        </w:tc>
        <w:tc>
          <w:tcPr>
            <w:tcW w:w="680" w:type="dxa"/>
            <w:tcBorders>
              <w:top w:val="dotted" w:sz="4" w:space="0" w:color="AAABD6"/>
              <w:left w:val="single" w:sz="4" w:space="0" w:color="AAABD6"/>
              <w:bottom w:val="dotted" w:sz="4" w:space="0" w:color="AAABD6"/>
              <w:right w:val="single" w:sz="4" w:space="0" w:color="AAABD6"/>
            </w:tcBorders>
            <w:vAlign w:val="bottom"/>
          </w:tcPr>
          <w:p w14:paraId="5AEB3A1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w:t>
            </w:r>
          </w:p>
        </w:tc>
        <w:tc>
          <w:tcPr>
            <w:tcW w:w="680" w:type="dxa"/>
            <w:tcBorders>
              <w:top w:val="dotted" w:sz="4" w:space="0" w:color="AAABD6"/>
              <w:left w:val="single" w:sz="4" w:space="0" w:color="AAABD6"/>
              <w:bottom w:val="dotted" w:sz="4" w:space="0" w:color="AAABD6"/>
              <w:right w:val="single" w:sz="4" w:space="0" w:color="AAABD6"/>
            </w:tcBorders>
            <w:vAlign w:val="bottom"/>
          </w:tcPr>
          <w:p w14:paraId="0D21479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w:t>
            </w:r>
          </w:p>
        </w:tc>
        <w:tc>
          <w:tcPr>
            <w:tcW w:w="680" w:type="dxa"/>
            <w:tcBorders>
              <w:top w:val="dotted" w:sz="4" w:space="0" w:color="AAABD6"/>
              <w:left w:val="single" w:sz="4" w:space="0" w:color="AAABD6"/>
              <w:bottom w:val="dotted" w:sz="4" w:space="0" w:color="AAABD6"/>
              <w:right w:val="single" w:sz="4" w:space="0" w:color="AAABD6"/>
            </w:tcBorders>
            <w:vAlign w:val="bottom"/>
          </w:tcPr>
          <w:p w14:paraId="50C482F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w:t>
            </w:r>
          </w:p>
        </w:tc>
        <w:tc>
          <w:tcPr>
            <w:tcW w:w="680" w:type="dxa"/>
            <w:tcBorders>
              <w:top w:val="dotted" w:sz="4" w:space="0" w:color="AAABD6"/>
              <w:left w:val="single" w:sz="4" w:space="0" w:color="AAABD6"/>
              <w:bottom w:val="dotted" w:sz="4" w:space="0" w:color="AAABD6"/>
              <w:right w:val="single" w:sz="4" w:space="0" w:color="AAABD6"/>
            </w:tcBorders>
            <w:vAlign w:val="bottom"/>
          </w:tcPr>
          <w:p w14:paraId="1DE1E58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31,087</w:t>
            </w:r>
          </w:p>
        </w:tc>
      </w:tr>
      <w:tr w:rsidR="00F02371" w:rsidRPr="00100F0A" w14:paraId="6CC19ED2"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right w:val="single" w:sz="4" w:space="0" w:color="AAABD6"/>
            </w:tcBorders>
          </w:tcPr>
          <w:p w14:paraId="1403EDF1" w14:textId="77777777" w:rsidR="00F02371" w:rsidRPr="00100F0A" w:rsidRDefault="00F02371" w:rsidP="002169F6">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75CBFF01"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NT</w:t>
            </w:r>
          </w:p>
        </w:tc>
        <w:tc>
          <w:tcPr>
            <w:tcW w:w="1418" w:type="dxa"/>
            <w:vMerge/>
            <w:tcBorders>
              <w:left w:val="single" w:sz="4" w:space="0" w:color="AAABD6"/>
              <w:right w:val="single" w:sz="4" w:space="0" w:color="AAABD6"/>
            </w:tcBorders>
          </w:tcPr>
          <w:p w14:paraId="2E02BC01"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gridSpan w:val="2"/>
            <w:vMerge/>
            <w:tcBorders>
              <w:left w:val="single" w:sz="4" w:space="0" w:color="AAABD6"/>
              <w:right w:val="single" w:sz="4" w:space="0" w:color="AAABD6"/>
            </w:tcBorders>
          </w:tcPr>
          <w:p w14:paraId="4540BE41" w14:textId="12FC74C6"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10" w:type="dxa"/>
            <w:tcBorders>
              <w:top w:val="dotted" w:sz="4" w:space="0" w:color="AAABD6"/>
              <w:left w:val="single" w:sz="4" w:space="0" w:color="AAABD6"/>
              <w:bottom w:val="dotted" w:sz="4" w:space="0" w:color="AAABD6"/>
              <w:right w:val="single" w:sz="4" w:space="0" w:color="AAABD6"/>
            </w:tcBorders>
          </w:tcPr>
          <w:p w14:paraId="5FCF928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680" w:type="dxa"/>
            <w:tcBorders>
              <w:top w:val="dotted" w:sz="4" w:space="0" w:color="AAABD6"/>
              <w:left w:val="single" w:sz="4" w:space="0" w:color="AAABD6"/>
              <w:bottom w:val="dotted" w:sz="4" w:space="0" w:color="AAABD6"/>
              <w:right w:val="single" w:sz="4" w:space="0" w:color="AAABD6"/>
            </w:tcBorders>
            <w:vAlign w:val="bottom"/>
          </w:tcPr>
          <w:p w14:paraId="39348FB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1,038</w:t>
            </w:r>
          </w:p>
        </w:tc>
        <w:tc>
          <w:tcPr>
            <w:tcW w:w="680" w:type="dxa"/>
            <w:tcBorders>
              <w:top w:val="dotted" w:sz="4" w:space="0" w:color="AAABD6"/>
              <w:left w:val="single" w:sz="4" w:space="0" w:color="AAABD6"/>
              <w:bottom w:val="dotted" w:sz="4" w:space="0" w:color="AAABD6"/>
              <w:right w:val="single" w:sz="4" w:space="0" w:color="AAABD6"/>
            </w:tcBorders>
            <w:vAlign w:val="bottom"/>
          </w:tcPr>
          <w:p w14:paraId="30796CE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1,038</w:t>
            </w:r>
          </w:p>
        </w:tc>
        <w:tc>
          <w:tcPr>
            <w:tcW w:w="680" w:type="dxa"/>
            <w:tcBorders>
              <w:top w:val="dotted" w:sz="4" w:space="0" w:color="AAABD6"/>
              <w:left w:val="single" w:sz="4" w:space="0" w:color="AAABD6"/>
              <w:bottom w:val="dotted" w:sz="4" w:space="0" w:color="AAABD6"/>
              <w:right w:val="single" w:sz="4" w:space="0" w:color="AAABD6"/>
            </w:tcBorders>
            <w:vAlign w:val="bottom"/>
          </w:tcPr>
          <w:p w14:paraId="3D54314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1,038</w:t>
            </w:r>
          </w:p>
        </w:tc>
        <w:tc>
          <w:tcPr>
            <w:tcW w:w="680" w:type="dxa"/>
            <w:tcBorders>
              <w:top w:val="dotted" w:sz="4" w:space="0" w:color="AAABD6"/>
              <w:left w:val="single" w:sz="4" w:space="0" w:color="AAABD6"/>
              <w:bottom w:val="dotted" w:sz="4" w:space="0" w:color="AAABD6"/>
              <w:right w:val="single" w:sz="4" w:space="0" w:color="AAABD6"/>
            </w:tcBorders>
            <w:vAlign w:val="bottom"/>
          </w:tcPr>
          <w:p w14:paraId="61F2B28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1,038</w:t>
            </w:r>
          </w:p>
        </w:tc>
        <w:tc>
          <w:tcPr>
            <w:tcW w:w="680" w:type="dxa"/>
            <w:tcBorders>
              <w:top w:val="dotted" w:sz="4" w:space="0" w:color="AAABD6"/>
              <w:left w:val="single" w:sz="4" w:space="0" w:color="AAABD6"/>
              <w:bottom w:val="dotted" w:sz="4" w:space="0" w:color="AAABD6"/>
              <w:right w:val="single" w:sz="4" w:space="0" w:color="AAABD6"/>
            </w:tcBorders>
            <w:vAlign w:val="bottom"/>
          </w:tcPr>
          <w:p w14:paraId="36B7C10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1,038</w:t>
            </w:r>
          </w:p>
        </w:tc>
        <w:tc>
          <w:tcPr>
            <w:tcW w:w="680" w:type="dxa"/>
            <w:tcBorders>
              <w:top w:val="dotted" w:sz="4" w:space="0" w:color="AAABD6"/>
              <w:left w:val="single" w:sz="4" w:space="0" w:color="AAABD6"/>
              <w:bottom w:val="dotted" w:sz="4" w:space="0" w:color="AAABD6"/>
              <w:right w:val="single" w:sz="4" w:space="0" w:color="AAABD6"/>
            </w:tcBorders>
            <w:vAlign w:val="bottom"/>
          </w:tcPr>
          <w:p w14:paraId="4276120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1,038</w:t>
            </w:r>
          </w:p>
        </w:tc>
        <w:tc>
          <w:tcPr>
            <w:tcW w:w="680" w:type="dxa"/>
            <w:tcBorders>
              <w:top w:val="dotted" w:sz="4" w:space="0" w:color="AAABD6"/>
              <w:left w:val="single" w:sz="4" w:space="0" w:color="AAABD6"/>
              <w:bottom w:val="dotted" w:sz="4" w:space="0" w:color="AAABD6"/>
              <w:right w:val="single" w:sz="4" w:space="0" w:color="AAABD6"/>
            </w:tcBorders>
            <w:vAlign w:val="bottom"/>
          </w:tcPr>
          <w:p w14:paraId="469E452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1,038</w:t>
            </w:r>
          </w:p>
        </w:tc>
        <w:tc>
          <w:tcPr>
            <w:tcW w:w="680" w:type="dxa"/>
            <w:tcBorders>
              <w:top w:val="dotted" w:sz="4" w:space="0" w:color="AAABD6"/>
              <w:left w:val="single" w:sz="4" w:space="0" w:color="AAABD6"/>
              <w:bottom w:val="dotted" w:sz="4" w:space="0" w:color="AAABD6"/>
              <w:right w:val="single" w:sz="4" w:space="0" w:color="AAABD6"/>
            </w:tcBorders>
            <w:vAlign w:val="bottom"/>
          </w:tcPr>
          <w:p w14:paraId="40CF9BE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1,038</w:t>
            </w:r>
          </w:p>
        </w:tc>
        <w:tc>
          <w:tcPr>
            <w:tcW w:w="680" w:type="dxa"/>
            <w:tcBorders>
              <w:top w:val="dotted" w:sz="4" w:space="0" w:color="AAABD6"/>
              <w:left w:val="single" w:sz="4" w:space="0" w:color="AAABD6"/>
              <w:bottom w:val="dotted" w:sz="4" w:space="0" w:color="AAABD6"/>
              <w:right w:val="single" w:sz="4" w:space="0" w:color="AAABD6"/>
            </w:tcBorders>
            <w:vAlign w:val="bottom"/>
          </w:tcPr>
          <w:p w14:paraId="779C78E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1,038</w:t>
            </w:r>
          </w:p>
        </w:tc>
        <w:tc>
          <w:tcPr>
            <w:tcW w:w="680" w:type="dxa"/>
            <w:tcBorders>
              <w:top w:val="dotted" w:sz="4" w:space="0" w:color="AAABD6"/>
              <w:left w:val="single" w:sz="4" w:space="0" w:color="AAABD6"/>
              <w:bottom w:val="dotted" w:sz="4" w:space="0" w:color="AAABD6"/>
              <w:right w:val="single" w:sz="4" w:space="0" w:color="AAABD6"/>
            </w:tcBorders>
            <w:vAlign w:val="bottom"/>
          </w:tcPr>
          <w:p w14:paraId="48D7388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1,038</w:t>
            </w:r>
          </w:p>
        </w:tc>
        <w:tc>
          <w:tcPr>
            <w:tcW w:w="680" w:type="dxa"/>
            <w:tcBorders>
              <w:top w:val="dotted" w:sz="4" w:space="0" w:color="AAABD6"/>
              <w:left w:val="single" w:sz="4" w:space="0" w:color="AAABD6"/>
              <w:bottom w:val="dotted" w:sz="4" w:space="0" w:color="AAABD6"/>
              <w:right w:val="single" w:sz="4" w:space="0" w:color="AAABD6"/>
            </w:tcBorders>
            <w:vAlign w:val="bottom"/>
          </w:tcPr>
          <w:p w14:paraId="03A010E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1,038</w:t>
            </w:r>
          </w:p>
        </w:tc>
        <w:tc>
          <w:tcPr>
            <w:tcW w:w="680" w:type="dxa"/>
            <w:tcBorders>
              <w:top w:val="dotted" w:sz="4" w:space="0" w:color="AAABD6"/>
              <w:left w:val="single" w:sz="4" w:space="0" w:color="AAABD6"/>
              <w:bottom w:val="dotted" w:sz="4" w:space="0" w:color="AAABD6"/>
              <w:right w:val="single" w:sz="4" w:space="0" w:color="AAABD6"/>
            </w:tcBorders>
            <w:vAlign w:val="bottom"/>
          </w:tcPr>
          <w:p w14:paraId="2EB40A9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1,038</w:t>
            </w:r>
          </w:p>
        </w:tc>
        <w:tc>
          <w:tcPr>
            <w:tcW w:w="680" w:type="dxa"/>
            <w:tcBorders>
              <w:top w:val="dotted" w:sz="4" w:space="0" w:color="AAABD6"/>
              <w:left w:val="single" w:sz="4" w:space="0" w:color="AAABD6"/>
              <w:bottom w:val="dotted" w:sz="4" w:space="0" w:color="AAABD6"/>
              <w:right w:val="single" w:sz="4" w:space="0" w:color="AAABD6"/>
            </w:tcBorders>
            <w:vAlign w:val="bottom"/>
          </w:tcPr>
          <w:p w14:paraId="4C06F29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1,038</w:t>
            </w:r>
          </w:p>
        </w:tc>
        <w:tc>
          <w:tcPr>
            <w:tcW w:w="680" w:type="dxa"/>
            <w:tcBorders>
              <w:top w:val="dotted" w:sz="4" w:space="0" w:color="AAABD6"/>
              <w:left w:val="single" w:sz="4" w:space="0" w:color="AAABD6"/>
              <w:bottom w:val="dotted" w:sz="4" w:space="0" w:color="AAABD6"/>
              <w:right w:val="single" w:sz="4" w:space="0" w:color="AAABD6"/>
            </w:tcBorders>
            <w:vAlign w:val="bottom"/>
          </w:tcPr>
          <w:p w14:paraId="4195330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1,038</w:t>
            </w:r>
          </w:p>
        </w:tc>
        <w:tc>
          <w:tcPr>
            <w:tcW w:w="680" w:type="dxa"/>
            <w:tcBorders>
              <w:top w:val="dotted" w:sz="4" w:space="0" w:color="AAABD6"/>
              <w:left w:val="single" w:sz="4" w:space="0" w:color="AAABD6"/>
              <w:bottom w:val="dotted" w:sz="4" w:space="0" w:color="AAABD6"/>
              <w:right w:val="single" w:sz="4" w:space="0" w:color="AAABD6"/>
            </w:tcBorders>
            <w:vAlign w:val="bottom"/>
          </w:tcPr>
          <w:p w14:paraId="13D3081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1,038</w:t>
            </w:r>
          </w:p>
        </w:tc>
        <w:tc>
          <w:tcPr>
            <w:tcW w:w="680" w:type="dxa"/>
            <w:tcBorders>
              <w:top w:val="dotted" w:sz="4" w:space="0" w:color="AAABD6"/>
              <w:left w:val="single" w:sz="4" w:space="0" w:color="AAABD6"/>
              <w:bottom w:val="dotted" w:sz="4" w:space="0" w:color="AAABD6"/>
              <w:right w:val="single" w:sz="4" w:space="0" w:color="AAABD6"/>
            </w:tcBorders>
            <w:vAlign w:val="bottom"/>
          </w:tcPr>
          <w:p w14:paraId="21E9C92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1,038</w:t>
            </w:r>
          </w:p>
        </w:tc>
        <w:tc>
          <w:tcPr>
            <w:tcW w:w="680" w:type="dxa"/>
            <w:tcBorders>
              <w:top w:val="dotted" w:sz="4" w:space="0" w:color="AAABD6"/>
              <w:left w:val="single" w:sz="4" w:space="0" w:color="AAABD6"/>
              <w:bottom w:val="dotted" w:sz="4" w:space="0" w:color="AAABD6"/>
              <w:right w:val="single" w:sz="4" w:space="0" w:color="AAABD6"/>
            </w:tcBorders>
            <w:vAlign w:val="bottom"/>
          </w:tcPr>
          <w:p w14:paraId="20D58CA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1,038</w:t>
            </w:r>
          </w:p>
        </w:tc>
        <w:tc>
          <w:tcPr>
            <w:tcW w:w="680" w:type="dxa"/>
            <w:tcBorders>
              <w:top w:val="dotted" w:sz="4" w:space="0" w:color="AAABD6"/>
              <w:left w:val="single" w:sz="4" w:space="0" w:color="AAABD6"/>
              <w:bottom w:val="dotted" w:sz="4" w:space="0" w:color="AAABD6"/>
              <w:right w:val="single" w:sz="4" w:space="0" w:color="AAABD6"/>
            </w:tcBorders>
            <w:vAlign w:val="bottom"/>
          </w:tcPr>
          <w:p w14:paraId="3B815C6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1,038</w:t>
            </w:r>
          </w:p>
        </w:tc>
      </w:tr>
      <w:tr w:rsidR="00F02371" w:rsidRPr="00100F0A" w14:paraId="17BAC419"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right w:val="single" w:sz="4" w:space="0" w:color="AAABD6"/>
            </w:tcBorders>
          </w:tcPr>
          <w:p w14:paraId="5AF6D739" w14:textId="77777777" w:rsidR="00F02371" w:rsidRPr="00100F0A" w:rsidRDefault="00F02371" w:rsidP="002169F6">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4AAB8624"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Qld</w:t>
            </w:r>
          </w:p>
        </w:tc>
        <w:tc>
          <w:tcPr>
            <w:tcW w:w="1418" w:type="dxa"/>
            <w:vMerge/>
            <w:tcBorders>
              <w:left w:val="single" w:sz="4" w:space="0" w:color="AAABD6"/>
              <w:right w:val="single" w:sz="4" w:space="0" w:color="AAABD6"/>
            </w:tcBorders>
          </w:tcPr>
          <w:p w14:paraId="3145E427"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gridSpan w:val="2"/>
            <w:vMerge/>
            <w:tcBorders>
              <w:left w:val="single" w:sz="4" w:space="0" w:color="AAABD6"/>
              <w:right w:val="single" w:sz="4" w:space="0" w:color="AAABD6"/>
            </w:tcBorders>
          </w:tcPr>
          <w:p w14:paraId="19CBAB2E" w14:textId="66D86A83"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10" w:type="dxa"/>
            <w:tcBorders>
              <w:top w:val="dotted" w:sz="4" w:space="0" w:color="AAABD6"/>
              <w:left w:val="single" w:sz="4" w:space="0" w:color="AAABD6"/>
              <w:bottom w:val="dotted" w:sz="4" w:space="0" w:color="AAABD6"/>
              <w:right w:val="single" w:sz="4" w:space="0" w:color="AAABD6"/>
            </w:tcBorders>
          </w:tcPr>
          <w:p w14:paraId="3572CC7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680" w:type="dxa"/>
            <w:tcBorders>
              <w:top w:val="dotted" w:sz="4" w:space="0" w:color="AAABD6"/>
              <w:left w:val="single" w:sz="4" w:space="0" w:color="AAABD6"/>
              <w:bottom w:val="dotted" w:sz="4" w:space="0" w:color="AAABD6"/>
              <w:right w:val="single" w:sz="4" w:space="0" w:color="AAABD6"/>
            </w:tcBorders>
            <w:vAlign w:val="bottom"/>
          </w:tcPr>
          <w:p w14:paraId="101AD96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20,584</w:t>
            </w:r>
          </w:p>
        </w:tc>
        <w:tc>
          <w:tcPr>
            <w:tcW w:w="680" w:type="dxa"/>
            <w:tcBorders>
              <w:top w:val="dotted" w:sz="4" w:space="0" w:color="AAABD6"/>
              <w:left w:val="single" w:sz="4" w:space="0" w:color="AAABD6"/>
              <w:bottom w:val="dotted" w:sz="4" w:space="0" w:color="AAABD6"/>
              <w:right w:val="single" w:sz="4" w:space="0" w:color="AAABD6"/>
            </w:tcBorders>
            <w:vAlign w:val="bottom"/>
          </w:tcPr>
          <w:p w14:paraId="71124A8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20,584</w:t>
            </w:r>
          </w:p>
        </w:tc>
        <w:tc>
          <w:tcPr>
            <w:tcW w:w="680" w:type="dxa"/>
            <w:tcBorders>
              <w:top w:val="dotted" w:sz="4" w:space="0" w:color="AAABD6"/>
              <w:left w:val="single" w:sz="4" w:space="0" w:color="AAABD6"/>
              <w:bottom w:val="dotted" w:sz="4" w:space="0" w:color="AAABD6"/>
              <w:right w:val="single" w:sz="4" w:space="0" w:color="AAABD6"/>
            </w:tcBorders>
            <w:vAlign w:val="bottom"/>
          </w:tcPr>
          <w:p w14:paraId="65C1491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20,584</w:t>
            </w:r>
          </w:p>
        </w:tc>
        <w:tc>
          <w:tcPr>
            <w:tcW w:w="680" w:type="dxa"/>
            <w:tcBorders>
              <w:top w:val="dotted" w:sz="4" w:space="0" w:color="AAABD6"/>
              <w:left w:val="single" w:sz="4" w:space="0" w:color="AAABD6"/>
              <w:bottom w:val="dotted" w:sz="4" w:space="0" w:color="AAABD6"/>
              <w:right w:val="single" w:sz="4" w:space="0" w:color="AAABD6"/>
            </w:tcBorders>
            <w:vAlign w:val="bottom"/>
          </w:tcPr>
          <w:p w14:paraId="431F19A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20,584</w:t>
            </w:r>
          </w:p>
        </w:tc>
        <w:tc>
          <w:tcPr>
            <w:tcW w:w="680" w:type="dxa"/>
            <w:tcBorders>
              <w:top w:val="dotted" w:sz="4" w:space="0" w:color="AAABD6"/>
              <w:left w:val="single" w:sz="4" w:space="0" w:color="AAABD6"/>
              <w:bottom w:val="dotted" w:sz="4" w:space="0" w:color="AAABD6"/>
              <w:right w:val="single" w:sz="4" w:space="0" w:color="AAABD6"/>
            </w:tcBorders>
            <w:vAlign w:val="bottom"/>
          </w:tcPr>
          <w:p w14:paraId="1B2905E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20,584</w:t>
            </w:r>
          </w:p>
        </w:tc>
        <w:tc>
          <w:tcPr>
            <w:tcW w:w="680" w:type="dxa"/>
            <w:tcBorders>
              <w:top w:val="dotted" w:sz="4" w:space="0" w:color="AAABD6"/>
              <w:left w:val="single" w:sz="4" w:space="0" w:color="AAABD6"/>
              <w:bottom w:val="dotted" w:sz="4" w:space="0" w:color="AAABD6"/>
              <w:right w:val="single" w:sz="4" w:space="0" w:color="AAABD6"/>
            </w:tcBorders>
            <w:vAlign w:val="bottom"/>
          </w:tcPr>
          <w:p w14:paraId="0FD317C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20,584</w:t>
            </w:r>
          </w:p>
        </w:tc>
        <w:tc>
          <w:tcPr>
            <w:tcW w:w="680" w:type="dxa"/>
            <w:tcBorders>
              <w:top w:val="dotted" w:sz="4" w:space="0" w:color="AAABD6"/>
              <w:left w:val="single" w:sz="4" w:space="0" w:color="AAABD6"/>
              <w:bottom w:val="dotted" w:sz="4" w:space="0" w:color="AAABD6"/>
              <w:right w:val="single" w:sz="4" w:space="0" w:color="AAABD6"/>
            </w:tcBorders>
            <w:vAlign w:val="bottom"/>
          </w:tcPr>
          <w:p w14:paraId="3044DA8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20,584</w:t>
            </w:r>
          </w:p>
        </w:tc>
        <w:tc>
          <w:tcPr>
            <w:tcW w:w="680" w:type="dxa"/>
            <w:tcBorders>
              <w:top w:val="dotted" w:sz="4" w:space="0" w:color="AAABD6"/>
              <w:left w:val="single" w:sz="4" w:space="0" w:color="AAABD6"/>
              <w:bottom w:val="dotted" w:sz="4" w:space="0" w:color="AAABD6"/>
              <w:right w:val="single" w:sz="4" w:space="0" w:color="AAABD6"/>
            </w:tcBorders>
            <w:vAlign w:val="bottom"/>
          </w:tcPr>
          <w:p w14:paraId="5C7F683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20,584</w:t>
            </w:r>
          </w:p>
        </w:tc>
        <w:tc>
          <w:tcPr>
            <w:tcW w:w="680" w:type="dxa"/>
            <w:tcBorders>
              <w:top w:val="dotted" w:sz="4" w:space="0" w:color="AAABD6"/>
              <w:left w:val="single" w:sz="4" w:space="0" w:color="AAABD6"/>
              <w:bottom w:val="dotted" w:sz="4" w:space="0" w:color="AAABD6"/>
              <w:right w:val="single" w:sz="4" w:space="0" w:color="AAABD6"/>
            </w:tcBorders>
            <w:vAlign w:val="bottom"/>
          </w:tcPr>
          <w:p w14:paraId="1ECD1E2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20,584</w:t>
            </w:r>
          </w:p>
        </w:tc>
        <w:tc>
          <w:tcPr>
            <w:tcW w:w="680" w:type="dxa"/>
            <w:tcBorders>
              <w:top w:val="dotted" w:sz="4" w:space="0" w:color="AAABD6"/>
              <w:left w:val="single" w:sz="4" w:space="0" w:color="AAABD6"/>
              <w:bottom w:val="dotted" w:sz="4" w:space="0" w:color="AAABD6"/>
              <w:right w:val="single" w:sz="4" w:space="0" w:color="AAABD6"/>
            </w:tcBorders>
            <w:vAlign w:val="bottom"/>
          </w:tcPr>
          <w:p w14:paraId="3E09BB4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20,584</w:t>
            </w:r>
          </w:p>
        </w:tc>
        <w:tc>
          <w:tcPr>
            <w:tcW w:w="680" w:type="dxa"/>
            <w:tcBorders>
              <w:top w:val="dotted" w:sz="4" w:space="0" w:color="AAABD6"/>
              <w:left w:val="single" w:sz="4" w:space="0" w:color="AAABD6"/>
              <w:bottom w:val="dotted" w:sz="4" w:space="0" w:color="AAABD6"/>
              <w:right w:val="single" w:sz="4" w:space="0" w:color="AAABD6"/>
            </w:tcBorders>
            <w:vAlign w:val="bottom"/>
          </w:tcPr>
          <w:p w14:paraId="1662136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20,584</w:t>
            </w:r>
          </w:p>
        </w:tc>
        <w:tc>
          <w:tcPr>
            <w:tcW w:w="680" w:type="dxa"/>
            <w:tcBorders>
              <w:top w:val="dotted" w:sz="4" w:space="0" w:color="AAABD6"/>
              <w:left w:val="single" w:sz="4" w:space="0" w:color="AAABD6"/>
              <w:bottom w:val="dotted" w:sz="4" w:space="0" w:color="AAABD6"/>
              <w:right w:val="single" w:sz="4" w:space="0" w:color="AAABD6"/>
            </w:tcBorders>
            <w:vAlign w:val="bottom"/>
          </w:tcPr>
          <w:p w14:paraId="4B8ECE8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20,584</w:t>
            </w:r>
          </w:p>
        </w:tc>
        <w:tc>
          <w:tcPr>
            <w:tcW w:w="680" w:type="dxa"/>
            <w:tcBorders>
              <w:top w:val="dotted" w:sz="4" w:space="0" w:color="AAABD6"/>
              <w:left w:val="single" w:sz="4" w:space="0" w:color="AAABD6"/>
              <w:bottom w:val="dotted" w:sz="4" w:space="0" w:color="AAABD6"/>
              <w:right w:val="single" w:sz="4" w:space="0" w:color="AAABD6"/>
            </w:tcBorders>
            <w:vAlign w:val="bottom"/>
          </w:tcPr>
          <w:p w14:paraId="4096CE4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20,584</w:t>
            </w:r>
          </w:p>
        </w:tc>
        <w:tc>
          <w:tcPr>
            <w:tcW w:w="680" w:type="dxa"/>
            <w:tcBorders>
              <w:top w:val="dotted" w:sz="4" w:space="0" w:color="AAABD6"/>
              <w:left w:val="single" w:sz="4" w:space="0" w:color="AAABD6"/>
              <w:bottom w:val="dotted" w:sz="4" w:space="0" w:color="AAABD6"/>
              <w:right w:val="single" w:sz="4" w:space="0" w:color="AAABD6"/>
            </w:tcBorders>
            <w:vAlign w:val="bottom"/>
          </w:tcPr>
          <w:p w14:paraId="7474C94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20,584</w:t>
            </w:r>
          </w:p>
        </w:tc>
        <w:tc>
          <w:tcPr>
            <w:tcW w:w="680" w:type="dxa"/>
            <w:tcBorders>
              <w:top w:val="dotted" w:sz="4" w:space="0" w:color="AAABD6"/>
              <w:left w:val="single" w:sz="4" w:space="0" w:color="AAABD6"/>
              <w:bottom w:val="dotted" w:sz="4" w:space="0" w:color="AAABD6"/>
              <w:right w:val="single" w:sz="4" w:space="0" w:color="AAABD6"/>
            </w:tcBorders>
            <w:vAlign w:val="bottom"/>
          </w:tcPr>
          <w:p w14:paraId="3F5A347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20,584</w:t>
            </w:r>
          </w:p>
        </w:tc>
        <w:tc>
          <w:tcPr>
            <w:tcW w:w="680" w:type="dxa"/>
            <w:tcBorders>
              <w:top w:val="dotted" w:sz="4" w:space="0" w:color="AAABD6"/>
              <w:left w:val="single" w:sz="4" w:space="0" w:color="AAABD6"/>
              <w:bottom w:val="dotted" w:sz="4" w:space="0" w:color="AAABD6"/>
              <w:right w:val="single" w:sz="4" w:space="0" w:color="AAABD6"/>
            </w:tcBorders>
            <w:vAlign w:val="bottom"/>
          </w:tcPr>
          <w:p w14:paraId="029C396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20,584</w:t>
            </w:r>
          </w:p>
        </w:tc>
        <w:tc>
          <w:tcPr>
            <w:tcW w:w="680" w:type="dxa"/>
            <w:tcBorders>
              <w:top w:val="dotted" w:sz="4" w:space="0" w:color="AAABD6"/>
              <w:left w:val="single" w:sz="4" w:space="0" w:color="AAABD6"/>
              <w:bottom w:val="dotted" w:sz="4" w:space="0" w:color="AAABD6"/>
              <w:right w:val="single" w:sz="4" w:space="0" w:color="AAABD6"/>
            </w:tcBorders>
            <w:vAlign w:val="bottom"/>
          </w:tcPr>
          <w:p w14:paraId="3E534C1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20,584</w:t>
            </w:r>
          </w:p>
        </w:tc>
        <w:tc>
          <w:tcPr>
            <w:tcW w:w="680" w:type="dxa"/>
            <w:tcBorders>
              <w:top w:val="dotted" w:sz="4" w:space="0" w:color="AAABD6"/>
              <w:left w:val="single" w:sz="4" w:space="0" w:color="AAABD6"/>
              <w:bottom w:val="dotted" w:sz="4" w:space="0" w:color="AAABD6"/>
              <w:right w:val="single" w:sz="4" w:space="0" w:color="AAABD6"/>
            </w:tcBorders>
            <w:vAlign w:val="bottom"/>
          </w:tcPr>
          <w:p w14:paraId="1C9B954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20,584</w:t>
            </w:r>
          </w:p>
        </w:tc>
      </w:tr>
      <w:tr w:rsidR="00F02371" w:rsidRPr="00100F0A" w14:paraId="531B34D5"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right w:val="single" w:sz="4" w:space="0" w:color="AAABD6"/>
            </w:tcBorders>
          </w:tcPr>
          <w:p w14:paraId="7301BDDC" w14:textId="77777777" w:rsidR="00F02371" w:rsidRPr="00100F0A" w:rsidRDefault="00F02371" w:rsidP="002169F6">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24DD8567"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SA</w:t>
            </w:r>
          </w:p>
        </w:tc>
        <w:tc>
          <w:tcPr>
            <w:tcW w:w="1418" w:type="dxa"/>
            <w:vMerge/>
            <w:tcBorders>
              <w:left w:val="single" w:sz="4" w:space="0" w:color="AAABD6"/>
              <w:right w:val="single" w:sz="4" w:space="0" w:color="AAABD6"/>
            </w:tcBorders>
          </w:tcPr>
          <w:p w14:paraId="61538A38"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gridSpan w:val="2"/>
            <w:vMerge/>
            <w:tcBorders>
              <w:left w:val="single" w:sz="4" w:space="0" w:color="AAABD6"/>
              <w:right w:val="single" w:sz="4" w:space="0" w:color="AAABD6"/>
            </w:tcBorders>
          </w:tcPr>
          <w:p w14:paraId="2BBCE018" w14:textId="03283485"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10" w:type="dxa"/>
            <w:tcBorders>
              <w:top w:val="dotted" w:sz="4" w:space="0" w:color="AAABD6"/>
              <w:left w:val="single" w:sz="4" w:space="0" w:color="AAABD6"/>
              <w:bottom w:val="dotted" w:sz="4" w:space="0" w:color="AAABD6"/>
              <w:right w:val="single" w:sz="4" w:space="0" w:color="AAABD6"/>
            </w:tcBorders>
          </w:tcPr>
          <w:p w14:paraId="07EDC38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680" w:type="dxa"/>
            <w:tcBorders>
              <w:top w:val="dotted" w:sz="4" w:space="0" w:color="AAABD6"/>
              <w:left w:val="single" w:sz="4" w:space="0" w:color="AAABD6"/>
              <w:bottom w:val="dotted" w:sz="4" w:space="0" w:color="AAABD6"/>
              <w:right w:val="single" w:sz="4" w:space="0" w:color="AAABD6"/>
            </w:tcBorders>
            <w:vAlign w:val="bottom"/>
          </w:tcPr>
          <w:p w14:paraId="4771C39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w:t>
            </w:r>
          </w:p>
        </w:tc>
        <w:tc>
          <w:tcPr>
            <w:tcW w:w="680" w:type="dxa"/>
            <w:tcBorders>
              <w:top w:val="dotted" w:sz="4" w:space="0" w:color="AAABD6"/>
              <w:left w:val="single" w:sz="4" w:space="0" w:color="AAABD6"/>
              <w:bottom w:val="dotted" w:sz="4" w:space="0" w:color="AAABD6"/>
              <w:right w:val="single" w:sz="4" w:space="0" w:color="AAABD6"/>
            </w:tcBorders>
            <w:vAlign w:val="bottom"/>
          </w:tcPr>
          <w:p w14:paraId="726A4E2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w:t>
            </w:r>
          </w:p>
        </w:tc>
        <w:tc>
          <w:tcPr>
            <w:tcW w:w="680" w:type="dxa"/>
            <w:tcBorders>
              <w:top w:val="dotted" w:sz="4" w:space="0" w:color="AAABD6"/>
              <w:left w:val="single" w:sz="4" w:space="0" w:color="AAABD6"/>
              <w:bottom w:val="dotted" w:sz="4" w:space="0" w:color="AAABD6"/>
              <w:right w:val="single" w:sz="4" w:space="0" w:color="AAABD6"/>
            </w:tcBorders>
            <w:vAlign w:val="bottom"/>
          </w:tcPr>
          <w:p w14:paraId="734417A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w:t>
            </w:r>
          </w:p>
        </w:tc>
        <w:tc>
          <w:tcPr>
            <w:tcW w:w="680" w:type="dxa"/>
            <w:tcBorders>
              <w:top w:val="dotted" w:sz="4" w:space="0" w:color="AAABD6"/>
              <w:left w:val="single" w:sz="4" w:space="0" w:color="AAABD6"/>
              <w:bottom w:val="dotted" w:sz="4" w:space="0" w:color="AAABD6"/>
              <w:right w:val="single" w:sz="4" w:space="0" w:color="AAABD6"/>
            </w:tcBorders>
            <w:vAlign w:val="bottom"/>
          </w:tcPr>
          <w:p w14:paraId="164BA55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w:t>
            </w:r>
          </w:p>
        </w:tc>
        <w:tc>
          <w:tcPr>
            <w:tcW w:w="680" w:type="dxa"/>
            <w:tcBorders>
              <w:top w:val="dotted" w:sz="4" w:space="0" w:color="AAABD6"/>
              <w:left w:val="single" w:sz="4" w:space="0" w:color="AAABD6"/>
              <w:bottom w:val="dotted" w:sz="4" w:space="0" w:color="AAABD6"/>
              <w:right w:val="single" w:sz="4" w:space="0" w:color="AAABD6"/>
            </w:tcBorders>
            <w:vAlign w:val="bottom"/>
          </w:tcPr>
          <w:p w14:paraId="6F133F2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w:t>
            </w:r>
          </w:p>
        </w:tc>
        <w:tc>
          <w:tcPr>
            <w:tcW w:w="680" w:type="dxa"/>
            <w:tcBorders>
              <w:top w:val="dotted" w:sz="4" w:space="0" w:color="AAABD6"/>
              <w:left w:val="single" w:sz="4" w:space="0" w:color="AAABD6"/>
              <w:bottom w:val="dotted" w:sz="4" w:space="0" w:color="AAABD6"/>
              <w:right w:val="single" w:sz="4" w:space="0" w:color="AAABD6"/>
            </w:tcBorders>
            <w:vAlign w:val="bottom"/>
          </w:tcPr>
          <w:p w14:paraId="506A32E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w:t>
            </w:r>
          </w:p>
        </w:tc>
        <w:tc>
          <w:tcPr>
            <w:tcW w:w="680" w:type="dxa"/>
            <w:tcBorders>
              <w:top w:val="dotted" w:sz="4" w:space="0" w:color="AAABD6"/>
              <w:left w:val="single" w:sz="4" w:space="0" w:color="AAABD6"/>
              <w:bottom w:val="dotted" w:sz="4" w:space="0" w:color="AAABD6"/>
              <w:right w:val="single" w:sz="4" w:space="0" w:color="AAABD6"/>
            </w:tcBorders>
            <w:vAlign w:val="bottom"/>
          </w:tcPr>
          <w:p w14:paraId="153088D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w:t>
            </w:r>
          </w:p>
        </w:tc>
        <w:tc>
          <w:tcPr>
            <w:tcW w:w="680" w:type="dxa"/>
            <w:tcBorders>
              <w:top w:val="dotted" w:sz="4" w:space="0" w:color="AAABD6"/>
              <w:left w:val="single" w:sz="4" w:space="0" w:color="AAABD6"/>
              <w:bottom w:val="dotted" w:sz="4" w:space="0" w:color="AAABD6"/>
              <w:right w:val="single" w:sz="4" w:space="0" w:color="AAABD6"/>
            </w:tcBorders>
            <w:vAlign w:val="bottom"/>
          </w:tcPr>
          <w:p w14:paraId="01FE525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w:t>
            </w:r>
          </w:p>
        </w:tc>
        <w:tc>
          <w:tcPr>
            <w:tcW w:w="680" w:type="dxa"/>
            <w:tcBorders>
              <w:top w:val="dotted" w:sz="4" w:space="0" w:color="AAABD6"/>
              <w:left w:val="single" w:sz="4" w:space="0" w:color="AAABD6"/>
              <w:bottom w:val="dotted" w:sz="4" w:space="0" w:color="AAABD6"/>
              <w:right w:val="single" w:sz="4" w:space="0" w:color="AAABD6"/>
            </w:tcBorders>
            <w:vAlign w:val="bottom"/>
          </w:tcPr>
          <w:p w14:paraId="14A86F0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w:t>
            </w:r>
          </w:p>
        </w:tc>
        <w:tc>
          <w:tcPr>
            <w:tcW w:w="680" w:type="dxa"/>
            <w:tcBorders>
              <w:top w:val="dotted" w:sz="4" w:space="0" w:color="AAABD6"/>
              <w:left w:val="single" w:sz="4" w:space="0" w:color="AAABD6"/>
              <w:bottom w:val="dotted" w:sz="4" w:space="0" w:color="AAABD6"/>
              <w:right w:val="single" w:sz="4" w:space="0" w:color="AAABD6"/>
            </w:tcBorders>
            <w:vAlign w:val="bottom"/>
          </w:tcPr>
          <w:p w14:paraId="1CB725B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w:t>
            </w:r>
          </w:p>
        </w:tc>
        <w:tc>
          <w:tcPr>
            <w:tcW w:w="680" w:type="dxa"/>
            <w:tcBorders>
              <w:top w:val="dotted" w:sz="4" w:space="0" w:color="AAABD6"/>
              <w:left w:val="single" w:sz="4" w:space="0" w:color="AAABD6"/>
              <w:bottom w:val="dotted" w:sz="4" w:space="0" w:color="AAABD6"/>
              <w:right w:val="single" w:sz="4" w:space="0" w:color="AAABD6"/>
            </w:tcBorders>
            <w:vAlign w:val="bottom"/>
          </w:tcPr>
          <w:p w14:paraId="392F091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w:t>
            </w:r>
          </w:p>
        </w:tc>
        <w:tc>
          <w:tcPr>
            <w:tcW w:w="680" w:type="dxa"/>
            <w:tcBorders>
              <w:top w:val="dotted" w:sz="4" w:space="0" w:color="AAABD6"/>
              <w:left w:val="single" w:sz="4" w:space="0" w:color="AAABD6"/>
              <w:bottom w:val="dotted" w:sz="4" w:space="0" w:color="AAABD6"/>
              <w:right w:val="single" w:sz="4" w:space="0" w:color="AAABD6"/>
            </w:tcBorders>
            <w:vAlign w:val="bottom"/>
          </w:tcPr>
          <w:p w14:paraId="5C7BA95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w:t>
            </w:r>
          </w:p>
        </w:tc>
        <w:tc>
          <w:tcPr>
            <w:tcW w:w="680" w:type="dxa"/>
            <w:tcBorders>
              <w:top w:val="dotted" w:sz="4" w:space="0" w:color="AAABD6"/>
              <w:left w:val="single" w:sz="4" w:space="0" w:color="AAABD6"/>
              <w:bottom w:val="dotted" w:sz="4" w:space="0" w:color="AAABD6"/>
              <w:right w:val="single" w:sz="4" w:space="0" w:color="AAABD6"/>
            </w:tcBorders>
            <w:vAlign w:val="bottom"/>
          </w:tcPr>
          <w:p w14:paraId="0F1D4CF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w:t>
            </w:r>
          </w:p>
        </w:tc>
        <w:tc>
          <w:tcPr>
            <w:tcW w:w="680" w:type="dxa"/>
            <w:tcBorders>
              <w:top w:val="dotted" w:sz="4" w:space="0" w:color="AAABD6"/>
              <w:left w:val="single" w:sz="4" w:space="0" w:color="AAABD6"/>
              <w:bottom w:val="dotted" w:sz="4" w:space="0" w:color="AAABD6"/>
              <w:right w:val="single" w:sz="4" w:space="0" w:color="AAABD6"/>
            </w:tcBorders>
            <w:vAlign w:val="bottom"/>
          </w:tcPr>
          <w:p w14:paraId="721EAD6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w:t>
            </w:r>
          </w:p>
        </w:tc>
        <w:tc>
          <w:tcPr>
            <w:tcW w:w="680" w:type="dxa"/>
            <w:tcBorders>
              <w:top w:val="dotted" w:sz="4" w:space="0" w:color="AAABD6"/>
              <w:left w:val="single" w:sz="4" w:space="0" w:color="AAABD6"/>
              <w:bottom w:val="dotted" w:sz="4" w:space="0" w:color="AAABD6"/>
              <w:right w:val="single" w:sz="4" w:space="0" w:color="AAABD6"/>
            </w:tcBorders>
            <w:vAlign w:val="bottom"/>
          </w:tcPr>
          <w:p w14:paraId="1DEFCE3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w:t>
            </w:r>
          </w:p>
        </w:tc>
        <w:tc>
          <w:tcPr>
            <w:tcW w:w="680" w:type="dxa"/>
            <w:tcBorders>
              <w:top w:val="dotted" w:sz="4" w:space="0" w:color="AAABD6"/>
              <w:left w:val="single" w:sz="4" w:space="0" w:color="AAABD6"/>
              <w:bottom w:val="dotted" w:sz="4" w:space="0" w:color="AAABD6"/>
              <w:right w:val="single" w:sz="4" w:space="0" w:color="AAABD6"/>
            </w:tcBorders>
            <w:vAlign w:val="bottom"/>
          </w:tcPr>
          <w:p w14:paraId="13C7070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w:t>
            </w:r>
          </w:p>
        </w:tc>
        <w:tc>
          <w:tcPr>
            <w:tcW w:w="680" w:type="dxa"/>
            <w:tcBorders>
              <w:top w:val="dotted" w:sz="4" w:space="0" w:color="AAABD6"/>
              <w:left w:val="single" w:sz="4" w:space="0" w:color="AAABD6"/>
              <w:bottom w:val="dotted" w:sz="4" w:space="0" w:color="AAABD6"/>
              <w:right w:val="single" w:sz="4" w:space="0" w:color="AAABD6"/>
            </w:tcBorders>
            <w:vAlign w:val="bottom"/>
          </w:tcPr>
          <w:p w14:paraId="5564378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w:t>
            </w:r>
          </w:p>
        </w:tc>
        <w:tc>
          <w:tcPr>
            <w:tcW w:w="680" w:type="dxa"/>
            <w:tcBorders>
              <w:top w:val="dotted" w:sz="4" w:space="0" w:color="AAABD6"/>
              <w:left w:val="single" w:sz="4" w:space="0" w:color="AAABD6"/>
              <w:bottom w:val="dotted" w:sz="4" w:space="0" w:color="AAABD6"/>
              <w:right w:val="single" w:sz="4" w:space="0" w:color="AAABD6"/>
            </w:tcBorders>
            <w:vAlign w:val="bottom"/>
          </w:tcPr>
          <w:p w14:paraId="00B24C0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6,903</w:t>
            </w:r>
          </w:p>
        </w:tc>
      </w:tr>
      <w:tr w:rsidR="00F02371" w:rsidRPr="00100F0A" w14:paraId="4C0F825E"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right w:val="single" w:sz="4" w:space="0" w:color="AAABD6"/>
            </w:tcBorders>
          </w:tcPr>
          <w:p w14:paraId="55C6A120" w14:textId="77777777" w:rsidR="00F02371" w:rsidRPr="00100F0A" w:rsidRDefault="00F02371" w:rsidP="002169F6">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40203472"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Tas</w:t>
            </w:r>
          </w:p>
        </w:tc>
        <w:tc>
          <w:tcPr>
            <w:tcW w:w="1418" w:type="dxa"/>
            <w:vMerge/>
            <w:tcBorders>
              <w:left w:val="single" w:sz="4" w:space="0" w:color="AAABD6"/>
              <w:right w:val="single" w:sz="4" w:space="0" w:color="AAABD6"/>
            </w:tcBorders>
          </w:tcPr>
          <w:p w14:paraId="2E88E1DE"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gridSpan w:val="2"/>
            <w:vMerge/>
            <w:tcBorders>
              <w:left w:val="single" w:sz="4" w:space="0" w:color="AAABD6"/>
              <w:right w:val="single" w:sz="4" w:space="0" w:color="AAABD6"/>
            </w:tcBorders>
          </w:tcPr>
          <w:p w14:paraId="455B1097" w14:textId="2CEEDBD2"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10" w:type="dxa"/>
            <w:tcBorders>
              <w:top w:val="dotted" w:sz="4" w:space="0" w:color="AAABD6"/>
              <w:left w:val="single" w:sz="4" w:space="0" w:color="AAABD6"/>
              <w:bottom w:val="dotted" w:sz="4" w:space="0" w:color="AAABD6"/>
              <w:right w:val="single" w:sz="4" w:space="0" w:color="AAABD6"/>
            </w:tcBorders>
          </w:tcPr>
          <w:p w14:paraId="51983B69"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680" w:type="dxa"/>
            <w:tcBorders>
              <w:top w:val="dotted" w:sz="4" w:space="0" w:color="AAABD6"/>
              <w:left w:val="single" w:sz="4" w:space="0" w:color="AAABD6"/>
              <w:bottom w:val="dotted" w:sz="4" w:space="0" w:color="AAABD6"/>
              <w:right w:val="single" w:sz="4" w:space="0" w:color="AAABD6"/>
            </w:tcBorders>
            <w:vAlign w:val="bottom"/>
          </w:tcPr>
          <w:p w14:paraId="582BFAB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2,053</w:t>
            </w:r>
          </w:p>
        </w:tc>
        <w:tc>
          <w:tcPr>
            <w:tcW w:w="680" w:type="dxa"/>
            <w:tcBorders>
              <w:top w:val="dotted" w:sz="4" w:space="0" w:color="AAABD6"/>
              <w:left w:val="single" w:sz="4" w:space="0" w:color="AAABD6"/>
              <w:bottom w:val="dotted" w:sz="4" w:space="0" w:color="AAABD6"/>
              <w:right w:val="single" w:sz="4" w:space="0" w:color="AAABD6"/>
            </w:tcBorders>
            <w:vAlign w:val="bottom"/>
          </w:tcPr>
          <w:p w14:paraId="2A3E3AF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2,053</w:t>
            </w:r>
          </w:p>
        </w:tc>
        <w:tc>
          <w:tcPr>
            <w:tcW w:w="680" w:type="dxa"/>
            <w:tcBorders>
              <w:top w:val="dotted" w:sz="4" w:space="0" w:color="AAABD6"/>
              <w:left w:val="single" w:sz="4" w:space="0" w:color="AAABD6"/>
              <w:bottom w:val="dotted" w:sz="4" w:space="0" w:color="AAABD6"/>
              <w:right w:val="single" w:sz="4" w:space="0" w:color="AAABD6"/>
            </w:tcBorders>
            <w:vAlign w:val="bottom"/>
          </w:tcPr>
          <w:p w14:paraId="3067D7B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2,053</w:t>
            </w:r>
          </w:p>
        </w:tc>
        <w:tc>
          <w:tcPr>
            <w:tcW w:w="680" w:type="dxa"/>
            <w:tcBorders>
              <w:top w:val="dotted" w:sz="4" w:space="0" w:color="AAABD6"/>
              <w:left w:val="single" w:sz="4" w:space="0" w:color="AAABD6"/>
              <w:bottom w:val="dotted" w:sz="4" w:space="0" w:color="AAABD6"/>
              <w:right w:val="single" w:sz="4" w:space="0" w:color="AAABD6"/>
            </w:tcBorders>
            <w:vAlign w:val="bottom"/>
          </w:tcPr>
          <w:p w14:paraId="1ACB48B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2,053</w:t>
            </w:r>
          </w:p>
        </w:tc>
        <w:tc>
          <w:tcPr>
            <w:tcW w:w="680" w:type="dxa"/>
            <w:tcBorders>
              <w:top w:val="dotted" w:sz="4" w:space="0" w:color="AAABD6"/>
              <w:left w:val="single" w:sz="4" w:space="0" w:color="AAABD6"/>
              <w:bottom w:val="dotted" w:sz="4" w:space="0" w:color="AAABD6"/>
              <w:right w:val="single" w:sz="4" w:space="0" w:color="AAABD6"/>
            </w:tcBorders>
            <w:vAlign w:val="bottom"/>
          </w:tcPr>
          <w:p w14:paraId="03B282E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2,053</w:t>
            </w:r>
          </w:p>
        </w:tc>
        <w:tc>
          <w:tcPr>
            <w:tcW w:w="680" w:type="dxa"/>
            <w:tcBorders>
              <w:top w:val="dotted" w:sz="4" w:space="0" w:color="AAABD6"/>
              <w:left w:val="single" w:sz="4" w:space="0" w:color="AAABD6"/>
              <w:bottom w:val="dotted" w:sz="4" w:space="0" w:color="AAABD6"/>
              <w:right w:val="single" w:sz="4" w:space="0" w:color="AAABD6"/>
            </w:tcBorders>
            <w:vAlign w:val="bottom"/>
          </w:tcPr>
          <w:p w14:paraId="7253D41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2,053</w:t>
            </w:r>
          </w:p>
        </w:tc>
        <w:tc>
          <w:tcPr>
            <w:tcW w:w="680" w:type="dxa"/>
            <w:tcBorders>
              <w:top w:val="dotted" w:sz="4" w:space="0" w:color="AAABD6"/>
              <w:left w:val="single" w:sz="4" w:space="0" w:color="AAABD6"/>
              <w:bottom w:val="dotted" w:sz="4" w:space="0" w:color="AAABD6"/>
              <w:right w:val="single" w:sz="4" w:space="0" w:color="AAABD6"/>
            </w:tcBorders>
            <w:vAlign w:val="bottom"/>
          </w:tcPr>
          <w:p w14:paraId="14FD6FB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2,053</w:t>
            </w:r>
          </w:p>
        </w:tc>
        <w:tc>
          <w:tcPr>
            <w:tcW w:w="680" w:type="dxa"/>
            <w:tcBorders>
              <w:top w:val="dotted" w:sz="4" w:space="0" w:color="AAABD6"/>
              <w:left w:val="single" w:sz="4" w:space="0" w:color="AAABD6"/>
              <w:bottom w:val="dotted" w:sz="4" w:space="0" w:color="AAABD6"/>
              <w:right w:val="single" w:sz="4" w:space="0" w:color="AAABD6"/>
            </w:tcBorders>
            <w:vAlign w:val="bottom"/>
          </w:tcPr>
          <w:p w14:paraId="59B2CF9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2,053</w:t>
            </w:r>
          </w:p>
        </w:tc>
        <w:tc>
          <w:tcPr>
            <w:tcW w:w="680" w:type="dxa"/>
            <w:tcBorders>
              <w:top w:val="dotted" w:sz="4" w:space="0" w:color="AAABD6"/>
              <w:left w:val="single" w:sz="4" w:space="0" w:color="AAABD6"/>
              <w:bottom w:val="dotted" w:sz="4" w:space="0" w:color="AAABD6"/>
              <w:right w:val="single" w:sz="4" w:space="0" w:color="AAABD6"/>
            </w:tcBorders>
            <w:vAlign w:val="bottom"/>
          </w:tcPr>
          <w:p w14:paraId="3BD38C9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2,053</w:t>
            </w:r>
          </w:p>
        </w:tc>
        <w:tc>
          <w:tcPr>
            <w:tcW w:w="680" w:type="dxa"/>
            <w:tcBorders>
              <w:top w:val="dotted" w:sz="4" w:space="0" w:color="AAABD6"/>
              <w:left w:val="single" w:sz="4" w:space="0" w:color="AAABD6"/>
              <w:bottom w:val="dotted" w:sz="4" w:space="0" w:color="AAABD6"/>
              <w:right w:val="single" w:sz="4" w:space="0" w:color="AAABD6"/>
            </w:tcBorders>
            <w:vAlign w:val="bottom"/>
          </w:tcPr>
          <w:p w14:paraId="3DC5F69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2,053</w:t>
            </w:r>
          </w:p>
        </w:tc>
        <w:tc>
          <w:tcPr>
            <w:tcW w:w="680" w:type="dxa"/>
            <w:tcBorders>
              <w:top w:val="dotted" w:sz="4" w:space="0" w:color="AAABD6"/>
              <w:left w:val="single" w:sz="4" w:space="0" w:color="AAABD6"/>
              <w:bottom w:val="dotted" w:sz="4" w:space="0" w:color="AAABD6"/>
              <w:right w:val="single" w:sz="4" w:space="0" w:color="AAABD6"/>
            </w:tcBorders>
            <w:vAlign w:val="bottom"/>
          </w:tcPr>
          <w:p w14:paraId="6E91E85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2,053</w:t>
            </w:r>
          </w:p>
        </w:tc>
        <w:tc>
          <w:tcPr>
            <w:tcW w:w="680" w:type="dxa"/>
            <w:tcBorders>
              <w:top w:val="dotted" w:sz="4" w:space="0" w:color="AAABD6"/>
              <w:left w:val="single" w:sz="4" w:space="0" w:color="AAABD6"/>
              <w:bottom w:val="dotted" w:sz="4" w:space="0" w:color="AAABD6"/>
              <w:right w:val="single" w:sz="4" w:space="0" w:color="AAABD6"/>
            </w:tcBorders>
            <w:vAlign w:val="bottom"/>
          </w:tcPr>
          <w:p w14:paraId="6E8BBB4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2,053</w:t>
            </w:r>
          </w:p>
        </w:tc>
        <w:tc>
          <w:tcPr>
            <w:tcW w:w="680" w:type="dxa"/>
            <w:tcBorders>
              <w:top w:val="dotted" w:sz="4" w:space="0" w:color="AAABD6"/>
              <w:left w:val="single" w:sz="4" w:space="0" w:color="AAABD6"/>
              <w:bottom w:val="dotted" w:sz="4" w:space="0" w:color="AAABD6"/>
              <w:right w:val="single" w:sz="4" w:space="0" w:color="AAABD6"/>
            </w:tcBorders>
            <w:vAlign w:val="bottom"/>
          </w:tcPr>
          <w:p w14:paraId="019D8DD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2,053</w:t>
            </w:r>
          </w:p>
        </w:tc>
        <w:tc>
          <w:tcPr>
            <w:tcW w:w="680" w:type="dxa"/>
            <w:tcBorders>
              <w:top w:val="dotted" w:sz="4" w:space="0" w:color="AAABD6"/>
              <w:left w:val="single" w:sz="4" w:space="0" w:color="AAABD6"/>
              <w:bottom w:val="dotted" w:sz="4" w:space="0" w:color="AAABD6"/>
              <w:right w:val="single" w:sz="4" w:space="0" w:color="AAABD6"/>
            </w:tcBorders>
            <w:vAlign w:val="bottom"/>
          </w:tcPr>
          <w:p w14:paraId="1457E16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2,053</w:t>
            </w:r>
          </w:p>
        </w:tc>
        <w:tc>
          <w:tcPr>
            <w:tcW w:w="680" w:type="dxa"/>
            <w:tcBorders>
              <w:top w:val="dotted" w:sz="4" w:space="0" w:color="AAABD6"/>
              <w:left w:val="single" w:sz="4" w:space="0" w:color="AAABD6"/>
              <w:bottom w:val="dotted" w:sz="4" w:space="0" w:color="AAABD6"/>
              <w:right w:val="single" w:sz="4" w:space="0" w:color="AAABD6"/>
            </w:tcBorders>
            <w:vAlign w:val="bottom"/>
          </w:tcPr>
          <w:p w14:paraId="0A6EF3E8"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2,053</w:t>
            </w:r>
          </w:p>
        </w:tc>
        <w:tc>
          <w:tcPr>
            <w:tcW w:w="680" w:type="dxa"/>
            <w:tcBorders>
              <w:top w:val="dotted" w:sz="4" w:space="0" w:color="AAABD6"/>
              <w:left w:val="single" w:sz="4" w:space="0" w:color="AAABD6"/>
              <w:bottom w:val="dotted" w:sz="4" w:space="0" w:color="AAABD6"/>
              <w:right w:val="single" w:sz="4" w:space="0" w:color="AAABD6"/>
            </w:tcBorders>
            <w:vAlign w:val="bottom"/>
          </w:tcPr>
          <w:p w14:paraId="5D8FAED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2,053</w:t>
            </w:r>
          </w:p>
        </w:tc>
        <w:tc>
          <w:tcPr>
            <w:tcW w:w="680" w:type="dxa"/>
            <w:tcBorders>
              <w:top w:val="dotted" w:sz="4" w:space="0" w:color="AAABD6"/>
              <w:left w:val="single" w:sz="4" w:space="0" w:color="AAABD6"/>
              <w:bottom w:val="dotted" w:sz="4" w:space="0" w:color="AAABD6"/>
              <w:right w:val="single" w:sz="4" w:space="0" w:color="AAABD6"/>
            </w:tcBorders>
            <w:vAlign w:val="bottom"/>
          </w:tcPr>
          <w:p w14:paraId="6C3315A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2,053</w:t>
            </w:r>
          </w:p>
        </w:tc>
        <w:tc>
          <w:tcPr>
            <w:tcW w:w="680" w:type="dxa"/>
            <w:tcBorders>
              <w:top w:val="dotted" w:sz="4" w:space="0" w:color="AAABD6"/>
              <w:left w:val="single" w:sz="4" w:space="0" w:color="AAABD6"/>
              <w:bottom w:val="dotted" w:sz="4" w:space="0" w:color="AAABD6"/>
              <w:right w:val="single" w:sz="4" w:space="0" w:color="AAABD6"/>
            </w:tcBorders>
            <w:vAlign w:val="bottom"/>
          </w:tcPr>
          <w:p w14:paraId="7ED1A76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2,053</w:t>
            </w:r>
          </w:p>
        </w:tc>
      </w:tr>
      <w:tr w:rsidR="00F02371" w:rsidRPr="00100F0A" w14:paraId="7236D2C7"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right w:val="single" w:sz="4" w:space="0" w:color="AAABD6"/>
            </w:tcBorders>
          </w:tcPr>
          <w:p w14:paraId="0A091E4D" w14:textId="77777777" w:rsidR="00F02371" w:rsidRPr="00100F0A" w:rsidRDefault="00F02371" w:rsidP="002169F6">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1ADC34C2"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Vic</w:t>
            </w:r>
          </w:p>
        </w:tc>
        <w:tc>
          <w:tcPr>
            <w:tcW w:w="1418" w:type="dxa"/>
            <w:vMerge/>
            <w:tcBorders>
              <w:left w:val="single" w:sz="4" w:space="0" w:color="AAABD6"/>
              <w:right w:val="single" w:sz="4" w:space="0" w:color="AAABD6"/>
            </w:tcBorders>
          </w:tcPr>
          <w:p w14:paraId="0CE0C694"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gridSpan w:val="2"/>
            <w:vMerge/>
            <w:tcBorders>
              <w:left w:val="single" w:sz="4" w:space="0" w:color="AAABD6"/>
              <w:right w:val="single" w:sz="4" w:space="0" w:color="AAABD6"/>
            </w:tcBorders>
          </w:tcPr>
          <w:p w14:paraId="6DD123AF" w14:textId="5774208C"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10" w:type="dxa"/>
            <w:tcBorders>
              <w:top w:val="dotted" w:sz="4" w:space="0" w:color="AAABD6"/>
              <w:left w:val="single" w:sz="4" w:space="0" w:color="AAABD6"/>
              <w:bottom w:val="dotted" w:sz="4" w:space="0" w:color="AAABD6"/>
              <w:right w:val="single" w:sz="4" w:space="0" w:color="AAABD6"/>
            </w:tcBorders>
          </w:tcPr>
          <w:p w14:paraId="0B52DAD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680" w:type="dxa"/>
            <w:tcBorders>
              <w:top w:val="dotted" w:sz="4" w:space="0" w:color="AAABD6"/>
              <w:left w:val="single" w:sz="4" w:space="0" w:color="AAABD6"/>
              <w:bottom w:val="dotted" w:sz="4" w:space="0" w:color="AAABD6"/>
              <w:right w:val="single" w:sz="4" w:space="0" w:color="AAABD6"/>
            </w:tcBorders>
            <w:vAlign w:val="bottom"/>
          </w:tcPr>
          <w:p w14:paraId="04A19A0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24,826</w:t>
            </w:r>
          </w:p>
        </w:tc>
        <w:tc>
          <w:tcPr>
            <w:tcW w:w="680" w:type="dxa"/>
            <w:tcBorders>
              <w:top w:val="dotted" w:sz="4" w:space="0" w:color="AAABD6"/>
              <w:left w:val="single" w:sz="4" w:space="0" w:color="AAABD6"/>
              <w:bottom w:val="dotted" w:sz="4" w:space="0" w:color="AAABD6"/>
              <w:right w:val="single" w:sz="4" w:space="0" w:color="AAABD6"/>
            </w:tcBorders>
            <w:vAlign w:val="bottom"/>
          </w:tcPr>
          <w:p w14:paraId="469E11E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24,826</w:t>
            </w:r>
          </w:p>
        </w:tc>
        <w:tc>
          <w:tcPr>
            <w:tcW w:w="680" w:type="dxa"/>
            <w:tcBorders>
              <w:top w:val="dotted" w:sz="4" w:space="0" w:color="AAABD6"/>
              <w:left w:val="single" w:sz="4" w:space="0" w:color="AAABD6"/>
              <w:bottom w:val="dotted" w:sz="4" w:space="0" w:color="AAABD6"/>
              <w:right w:val="single" w:sz="4" w:space="0" w:color="AAABD6"/>
            </w:tcBorders>
            <w:vAlign w:val="bottom"/>
          </w:tcPr>
          <w:p w14:paraId="39216FD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24,826</w:t>
            </w:r>
          </w:p>
        </w:tc>
        <w:tc>
          <w:tcPr>
            <w:tcW w:w="680" w:type="dxa"/>
            <w:tcBorders>
              <w:top w:val="dotted" w:sz="4" w:space="0" w:color="AAABD6"/>
              <w:left w:val="single" w:sz="4" w:space="0" w:color="AAABD6"/>
              <w:bottom w:val="dotted" w:sz="4" w:space="0" w:color="AAABD6"/>
              <w:right w:val="single" w:sz="4" w:space="0" w:color="AAABD6"/>
            </w:tcBorders>
            <w:vAlign w:val="bottom"/>
          </w:tcPr>
          <w:p w14:paraId="52CD137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24,826</w:t>
            </w:r>
          </w:p>
        </w:tc>
        <w:tc>
          <w:tcPr>
            <w:tcW w:w="680" w:type="dxa"/>
            <w:tcBorders>
              <w:top w:val="dotted" w:sz="4" w:space="0" w:color="AAABD6"/>
              <w:left w:val="single" w:sz="4" w:space="0" w:color="AAABD6"/>
              <w:bottom w:val="dotted" w:sz="4" w:space="0" w:color="AAABD6"/>
              <w:right w:val="single" w:sz="4" w:space="0" w:color="AAABD6"/>
            </w:tcBorders>
            <w:vAlign w:val="bottom"/>
          </w:tcPr>
          <w:p w14:paraId="20701C6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24,826</w:t>
            </w:r>
          </w:p>
        </w:tc>
        <w:tc>
          <w:tcPr>
            <w:tcW w:w="680" w:type="dxa"/>
            <w:tcBorders>
              <w:top w:val="dotted" w:sz="4" w:space="0" w:color="AAABD6"/>
              <w:left w:val="single" w:sz="4" w:space="0" w:color="AAABD6"/>
              <w:bottom w:val="dotted" w:sz="4" w:space="0" w:color="AAABD6"/>
              <w:right w:val="single" w:sz="4" w:space="0" w:color="AAABD6"/>
            </w:tcBorders>
            <w:vAlign w:val="bottom"/>
          </w:tcPr>
          <w:p w14:paraId="07FDD43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24,826</w:t>
            </w:r>
          </w:p>
        </w:tc>
        <w:tc>
          <w:tcPr>
            <w:tcW w:w="680" w:type="dxa"/>
            <w:tcBorders>
              <w:top w:val="dotted" w:sz="4" w:space="0" w:color="AAABD6"/>
              <w:left w:val="single" w:sz="4" w:space="0" w:color="AAABD6"/>
              <w:bottom w:val="dotted" w:sz="4" w:space="0" w:color="AAABD6"/>
              <w:right w:val="single" w:sz="4" w:space="0" w:color="AAABD6"/>
            </w:tcBorders>
            <w:vAlign w:val="bottom"/>
          </w:tcPr>
          <w:p w14:paraId="2FC3EC9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24,826</w:t>
            </w:r>
          </w:p>
        </w:tc>
        <w:tc>
          <w:tcPr>
            <w:tcW w:w="680" w:type="dxa"/>
            <w:tcBorders>
              <w:top w:val="dotted" w:sz="4" w:space="0" w:color="AAABD6"/>
              <w:left w:val="single" w:sz="4" w:space="0" w:color="AAABD6"/>
              <w:bottom w:val="dotted" w:sz="4" w:space="0" w:color="AAABD6"/>
              <w:right w:val="single" w:sz="4" w:space="0" w:color="AAABD6"/>
            </w:tcBorders>
            <w:vAlign w:val="bottom"/>
          </w:tcPr>
          <w:p w14:paraId="0A5770A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24,826</w:t>
            </w:r>
          </w:p>
        </w:tc>
        <w:tc>
          <w:tcPr>
            <w:tcW w:w="680" w:type="dxa"/>
            <w:tcBorders>
              <w:top w:val="dotted" w:sz="4" w:space="0" w:color="AAABD6"/>
              <w:left w:val="single" w:sz="4" w:space="0" w:color="AAABD6"/>
              <w:bottom w:val="dotted" w:sz="4" w:space="0" w:color="AAABD6"/>
              <w:right w:val="single" w:sz="4" w:space="0" w:color="AAABD6"/>
            </w:tcBorders>
            <w:vAlign w:val="bottom"/>
          </w:tcPr>
          <w:p w14:paraId="5789D22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24,826</w:t>
            </w:r>
          </w:p>
        </w:tc>
        <w:tc>
          <w:tcPr>
            <w:tcW w:w="680" w:type="dxa"/>
            <w:tcBorders>
              <w:top w:val="dotted" w:sz="4" w:space="0" w:color="AAABD6"/>
              <w:left w:val="single" w:sz="4" w:space="0" w:color="AAABD6"/>
              <w:bottom w:val="dotted" w:sz="4" w:space="0" w:color="AAABD6"/>
              <w:right w:val="single" w:sz="4" w:space="0" w:color="AAABD6"/>
            </w:tcBorders>
            <w:vAlign w:val="bottom"/>
          </w:tcPr>
          <w:p w14:paraId="5D4FAB9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24,826</w:t>
            </w:r>
          </w:p>
        </w:tc>
        <w:tc>
          <w:tcPr>
            <w:tcW w:w="680" w:type="dxa"/>
            <w:tcBorders>
              <w:top w:val="dotted" w:sz="4" w:space="0" w:color="AAABD6"/>
              <w:left w:val="single" w:sz="4" w:space="0" w:color="AAABD6"/>
              <w:bottom w:val="dotted" w:sz="4" w:space="0" w:color="AAABD6"/>
              <w:right w:val="single" w:sz="4" w:space="0" w:color="AAABD6"/>
            </w:tcBorders>
            <w:vAlign w:val="bottom"/>
          </w:tcPr>
          <w:p w14:paraId="5477552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24,826</w:t>
            </w:r>
          </w:p>
        </w:tc>
        <w:tc>
          <w:tcPr>
            <w:tcW w:w="680" w:type="dxa"/>
            <w:tcBorders>
              <w:top w:val="dotted" w:sz="4" w:space="0" w:color="AAABD6"/>
              <w:left w:val="single" w:sz="4" w:space="0" w:color="AAABD6"/>
              <w:bottom w:val="dotted" w:sz="4" w:space="0" w:color="AAABD6"/>
              <w:right w:val="single" w:sz="4" w:space="0" w:color="AAABD6"/>
            </w:tcBorders>
            <w:vAlign w:val="bottom"/>
          </w:tcPr>
          <w:p w14:paraId="010B0FC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24,826</w:t>
            </w:r>
          </w:p>
        </w:tc>
        <w:tc>
          <w:tcPr>
            <w:tcW w:w="680" w:type="dxa"/>
            <w:tcBorders>
              <w:top w:val="dotted" w:sz="4" w:space="0" w:color="AAABD6"/>
              <w:left w:val="single" w:sz="4" w:space="0" w:color="AAABD6"/>
              <w:bottom w:val="dotted" w:sz="4" w:space="0" w:color="AAABD6"/>
              <w:right w:val="single" w:sz="4" w:space="0" w:color="AAABD6"/>
            </w:tcBorders>
            <w:vAlign w:val="bottom"/>
          </w:tcPr>
          <w:p w14:paraId="20688E13"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24,826</w:t>
            </w:r>
          </w:p>
        </w:tc>
        <w:tc>
          <w:tcPr>
            <w:tcW w:w="680" w:type="dxa"/>
            <w:tcBorders>
              <w:top w:val="dotted" w:sz="4" w:space="0" w:color="AAABD6"/>
              <w:left w:val="single" w:sz="4" w:space="0" w:color="AAABD6"/>
              <w:bottom w:val="dotted" w:sz="4" w:space="0" w:color="AAABD6"/>
              <w:right w:val="single" w:sz="4" w:space="0" w:color="AAABD6"/>
            </w:tcBorders>
            <w:vAlign w:val="bottom"/>
          </w:tcPr>
          <w:p w14:paraId="661F276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24,826</w:t>
            </w:r>
          </w:p>
        </w:tc>
        <w:tc>
          <w:tcPr>
            <w:tcW w:w="680" w:type="dxa"/>
            <w:tcBorders>
              <w:top w:val="dotted" w:sz="4" w:space="0" w:color="AAABD6"/>
              <w:left w:val="single" w:sz="4" w:space="0" w:color="AAABD6"/>
              <w:bottom w:val="dotted" w:sz="4" w:space="0" w:color="AAABD6"/>
              <w:right w:val="single" w:sz="4" w:space="0" w:color="AAABD6"/>
            </w:tcBorders>
            <w:vAlign w:val="bottom"/>
          </w:tcPr>
          <w:p w14:paraId="543757B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24,826</w:t>
            </w:r>
          </w:p>
        </w:tc>
        <w:tc>
          <w:tcPr>
            <w:tcW w:w="680" w:type="dxa"/>
            <w:tcBorders>
              <w:top w:val="dotted" w:sz="4" w:space="0" w:color="AAABD6"/>
              <w:left w:val="single" w:sz="4" w:space="0" w:color="AAABD6"/>
              <w:bottom w:val="dotted" w:sz="4" w:space="0" w:color="AAABD6"/>
              <w:right w:val="single" w:sz="4" w:space="0" w:color="AAABD6"/>
            </w:tcBorders>
            <w:vAlign w:val="bottom"/>
          </w:tcPr>
          <w:p w14:paraId="6A2E1AE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24,826</w:t>
            </w:r>
          </w:p>
        </w:tc>
        <w:tc>
          <w:tcPr>
            <w:tcW w:w="680" w:type="dxa"/>
            <w:tcBorders>
              <w:top w:val="dotted" w:sz="4" w:space="0" w:color="AAABD6"/>
              <w:left w:val="single" w:sz="4" w:space="0" w:color="AAABD6"/>
              <w:bottom w:val="dotted" w:sz="4" w:space="0" w:color="AAABD6"/>
              <w:right w:val="single" w:sz="4" w:space="0" w:color="AAABD6"/>
            </w:tcBorders>
            <w:vAlign w:val="bottom"/>
          </w:tcPr>
          <w:p w14:paraId="05CA9B3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24,826</w:t>
            </w:r>
          </w:p>
        </w:tc>
        <w:tc>
          <w:tcPr>
            <w:tcW w:w="680" w:type="dxa"/>
            <w:tcBorders>
              <w:top w:val="dotted" w:sz="4" w:space="0" w:color="AAABD6"/>
              <w:left w:val="single" w:sz="4" w:space="0" w:color="AAABD6"/>
              <w:bottom w:val="dotted" w:sz="4" w:space="0" w:color="AAABD6"/>
              <w:right w:val="single" w:sz="4" w:space="0" w:color="AAABD6"/>
            </w:tcBorders>
            <w:vAlign w:val="bottom"/>
          </w:tcPr>
          <w:p w14:paraId="48B210A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24,826</w:t>
            </w:r>
          </w:p>
        </w:tc>
      </w:tr>
      <w:tr w:rsidR="00F02371" w:rsidRPr="00100F0A" w14:paraId="368CE8F0"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bottom w:val="single" w:sz="4" w:space="0" w:color="AAABD6"/>
              <w:right w:val="single" w:sz="4" w:space="0" w:color="AAABD6"/>
            </w:tcBorders>
          </w:tcPr>
          <w:p w14:paraId="3C4107E4" w14:textId="77777777" w:rsidR="00F02371" w:rsidRPr="00100F0A" w:rsidRDefault="00F02371" w:rsidP="002169F6">
            <w:pPr>
              <w:rPr>
                <w:sz w:val="16"/>
                <w:szCs w:val="16"/>
              </w:rPr>
            </w:pPr>
          </w:p>
        </w:tc>
        <w:tc>
          <w:tcPr>
            <w:tcW w:w="675" w:type="dxa"/>
            <w:tcBorders>
              <w:top w:val="dotted" w:sz="4" w:space="0" w:color="AAABD6"/>
              <w:left w:val="single" w:sz="4" w:space="0" w:color="AAABD6"/>
              <w:bottom w:val="single" w:sz="4" w:space="0" w:color="AAABD6"/>
              <w:right w:val="single" w:sz="4" w:space="0" w:color="AAABD6"/>
            </w:tcBorders>
          </w:tcPr>
          <w:p w14:paraId="25D88960"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WA</w:t>
            </w:r>
          </w:p>
        </w:tc>
        <w:tc>
          <w:tcPr>
            <w:tcW w:w="1418" w:type="dxa"/>
            <w:vMerge/>
            <w:tcBorders>
              <w:left w:val="single" w:sz="4" w:space="0" w:color="AAABD6"/>
              <w:bottom w:val="single" w:sz="4" w:space="0" w:color="AAABD6"/>
              <w:right w:val="single" w:sz="4" w:space="0" w:color="AAABD6"/>
            </w:tcBorders>
          </w:tcPr>
          <w:p w14:paraId="7F1AEFA7" w14:textId="77777777" w:rsidR="00F02371" w:rsidRPr="00100F0A" w:rsidRDefault="00F02371" w:rsidP="002169F6">
            <w:pPr>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gridSpan w:val="2"/>
            <w:vMerge/>
            <w:tcBorders>
              <w:left w:val="single" w:sz="4" w:space="0" w:color="AAABD6"/>
              <w:bottom w:val="single" w:sz="4" w:space="0" w:color="AAABD6"/>
              <w:right w:val="single" w:sz="4" w:space="0" w:color="AAABD6"/>
            </w:tcBorders>
          </w:tcPr>
          <w:p w14:paraId="1C8C50FC" w14:textId="7E369D7B"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510" w:type="dxa"/>
            <w:tcBorders>
              <w:top w:val="dotted" w:sz="4" w:space="0" w:color="AAABD6"/>
              <w:left w:val="single" w:sz="4" w:space="0" w:color="AAABD6"/>
              <w:bottom w:val="single" w:sz="4" w:space="0" w:color="AAABD6"/>
              <w:right w:val="single" w:sz="4" w:space="0" w:color="AAABD6"/>
            </w:tcBorders>
          </w:tcPr>
          <w:p w14:paraId="4E0B9B2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sz w:val="16"/>
                <w:szCs w:val="16"/>
              </w:rPr>
              <w:t> </w:t>
            </w:r>
          </w:p>
        </w:tc>
        <w:tc>
          <w:tcPr>
            <w:tcW w:w="680" w:type="dxa"/>
            <w:tcBorders>
              <w:top w:val="dotted" w:sz="4" w:space="0" w:color="AAABD6"/>
              <w:left w:val="single" w:sz="4" w:space="0" w:color="AAABD6"/>
              <w:bottom w:val="single" w:sz="4" w:space="0" w:color="AAABD6"/>
              <w:right w:val="single" w:sz="4" w:space="0" w:color="AAABD6"/>
            </w:tcBorders>
            <w:vAlign w:val="bottom"/>
          </w:tcPr>
          <w:p w14:paraId="2E4D0010"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w:t>
            </w:r>
          </w:p>
        </w:tc>
        <w:tc>
          <w:tcPr>
            <w:tcW w:w="680" w:type="dxa"/>
            <w:tcBorders>
              <w:top w:val="dotted" w:sz="4" w:space="0" w:color="AAABD6"/>
              <w:left w:val="single" w:sz="4" w:space="0" w:color="AAABD6"/>
              <w:bottom w:val="single" w:sz="4" w:space="0" w:color="AAABD6"/>
              <w:right w:val="single" w:sz="4" w:space="0" w:color="AAABD6"/>
            </w:tcBorders>
            <w:vAlign w:val="bottom"/>
          </w:tcPr>
          <w:p w14:paraId="5B08432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w:t>
            </w:r>
          </w:p>
        </w:tc>
        <w:tc>
          <w:tcPr>
            <w:tcW w:w="680" w:type="dxa"/>
            <w:tcBorders>
              <w:top w:val="dotted" w:sz="4" w:space="0" w:color="AAABD6"/>
              <w:left w:val="single" w:sz="4" w:space="0" w:color="AAABD6"/>
              <w:bottom w:val="single" w:sz="4" w:space="0" w:color="AAABD6"/>
              <w:right w:val="single" w:sz="4" w:space="0" w:color="AAABD6"/>
            </w:tcBorders>
            <w:vAlign w:val="bottom"/>
          </w:tcPr>
          <w:p w14:paraId="6705D54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w:t>
            </w:r>
          </w:p>
        </w:tc>
        <w:tc>
          <w:tcPr>
            <w:tcW w:w="680" w:type="dxa"/>
            <w:tcBorders>
              <w:top w:val="dotted" w:sz="4" w:space="0" w:color="AAABD6"/>
              <w:left w:val="single" w:sz="4" w:space="0" w:color="AAABD6"/>
              <w:bottom w:val="single" w:sz="4" w:space="0" w:color="AAABD6"/>
              <w:right w:val="single" w:sz="4" w:space="0" w:color="AAABD6"/>
            </w:tcBorders>
            <w:vAlign w:val="bottom"/>
          </w:tcPr>
          <w:p w14:paraId="65D342D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w:t>
            </w:r>
          </w:p>
        </w:tc>
        <w:tc>
          <w:tcPr>
            <w:tcW w:w="680" w:type="dxa"/>
            <w:tcBorders>
              <w:top w:val="dotted" w:sz="4" w:space="0" w:color="AAABD6"/>
              <w:left w:val="single" w:sz="4" w:space="0" w:color="AAABD6"/>
              <w:bottom w:val="single" w:sz="4" w:space="0" w:color="AAABD6"/>
              <w:right w:val="single" w:sz="4" w:space="0" w:color="AAABD6"/>
            </w:tcBorders>
            <w:vAlign w:val="bottom"/>
          </w:tcPr>
          <w:p w14:paraId="74B8AB64"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w:t>
            </w:r>
          </w:p>
        </w:tc>
        <w:tc>
          <w:tcPr>
            <w:tcW w:w="680" w:type="dxa"/>
            <w:tcBorders>
              <w:top w:val="dotted" w:sz="4" w:space="0" w:color="AAABD6"/>
              <w:left w:val="single" w:sz="4" w:space="0" w:color="AAABD6"/>
              <w:bottom w:val="single" w:sz="4" w:space="0" w:color="AAABD6"/>
              <w:right w:val="single" w:sz="4" w:space="0" w:color="AAABD6"/>
            </w:tcBorders>
            <w:vAlign w:val="bottom"/>
          </w:tcPr>
          <w:p w14:paraId="6B94016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w:t>
            </w:r>
          </w:p>
        </w:tc>
        <w:tc>
          <w:tcPr>
            <w:tcW w:w="680" w:type="dxa"/>
            <w:tcBorders>
              <w:top w:val="dotted" w:sz="4" w:space="0" w:color="AAABD6"/>
              <w:left w:val="single" w:sz="4" w:space="0" w:color="AAABD6"/>
              <w:bottom w:val="single" w:sz="4" w:space="0" w:color="AAABD6"/>
              <w:right w:val="single" w:sz="4" w:space="0" w:color="AAABD6"/>
            </w:tcBorders>
            <w:vAlign w:val="bottom"/>
          </w:tcPr>
          <w:p w14:paraId="2805CF5D"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w:t>
            </w:r>
          </w:p>
        </w:tc>
        <w:tc>
          <w:tcPr>
            <w:tcW w:w="680" w:type="dxa"/>
            <w:tcBorders>
              <w:top w:val="dotted" w:sz="4" w:space="0" w:color="AAABD6"/>
              <w:left w:val="single" w:sz="4" w:space="0" w:color="AAABD6"/>
              <w:bottom w:val="single" w:sz="4" w:space="0" w:color="AAABD6"/>
              <w:right w:val="single" w:sz="4" w:space="0" w:color="AAABD6"/>
            </w:tcBorders>
            <w:vAlign w:val="bottom"/>
          </w:tcPr>
          <w:p w14:paraId="01F0F6A2"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w:t>
            </w:r>
          </w:p>
        </w:tc>
        <w:tc>
          <w:tcPr>
            <w:tcW w:w="680" w:type="dxa"/>
            <w:tcBorders>
              <w:top w:val="dotted" w:sz="4" w:space="0" w:color="AAABD6"/>
              <w:left w:val="single" w:sz="4" w:space="0" w:color="AAABD6"/>
              <w:bottom w:val="single" w:sz="4" w:space="0" w:color="AAABD6"/>
              <w:right w:val="single" w:sz="4" w:space="0" w:color="AAABD6"/>
            </w:tcBorders>
            <w:vAlign w:val="bottom"/>
          </w:tcPr>
          <w:p w14:paraId="14326225"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w:t>
            </w:r>
          </w:p>
        </w:tc>
        <w:tc>
          <w:tcPr>
            <w:tcW w:w="680" w:type="dxa"/>
            <w:tcBorders>
              <w:top w:val="dotted" w:sz="4" w:space="0" w:color="AAABD6"/>
              <w:left w:val="single" w:sz="4" w:space="0" w:color="AAABD6"/>
              <w:bottom w:val="single" w:sz="4" w:space="0" w:color="AAABD6"/>
              <w:right w:val="single" w:sz="4" w:space="0" w:color="AAABD6"/>
            </w:tcBorders>
            <w:vAlign w:val="bottom"/>
          </w:tcPr>
          <w:p w14:paraId="6BEBEF3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w:t>
            </w:r>
          </w:p>
        </w:tc>
        <w:tc>
          <w:tcPr>
            <w:tcW w:w="680" w:type="dxa"/>
            <w:tcBorders>
              <w:top w:val="dotted" w:sz="4" w:space="0" w:color="AAABD6"/>
              <w:left w:val="single" w:sz="4" w:space="0" w:color="AAABD6"/>
              <w:bottom w:val="single" w:sz="4" w:space="0" w:color="AAABD6"/>
              <w:right w:val="single" w:sz="4" w:space="0" w:color="AAABD6"/>
            </w:tcBorders>
            <w:vAlign w:val="bottom"/>
          </w:tcPr>
          <w:p w14:paraId="55463181"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w:t>
            </w:r>
          </w:p>
        </w:tc>
        <w:tc>
          <w:tcPr>
            <w:tcW w:w="680" w:type="dxa"/>
            <w:tcBorders>
              <w:top w:val="dotted" w:sz="4" w:space="0" w:color="AAABD6"/>
              <w:left w:val="single" w:sz="4" w:space="0" w:color="AAABD6"/>
              <w:bottom w:val="single" w:sz="4" w:space="0" w:color="AAABD6"/>
              <w:right w:val="single" w:sz="4" w:space="0" w:color="AAABD6"/>
            </w:tcBorders>
            <w:vAlign w:val="bottom"/>
          </w:tcPr>
          <w:p w14:paraId="00E6182E"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w:t>
            </w:r>
          </w:p>
        </w:tc>
        <w:tc>
          <w:tcPr>
            <w:tcW w:w="680" w:type="dxa"/>
            <w:tcBorders>
              <w:top w:val="dotted" w:sz="4" w:space="0" w:color="AAABD6"/>
              <w:left w:val="single" w:sz="4" w:space="0" w:color="AAABD6"/>
              <w:bottom w:val="single" w:sz="4" w:space="0" w:color="AAABD6"/>
              <w:right w:val="single" w:sz="4" w:space="0" w:color="AAABD6"/>
            </w:tcBorders>
            <w:vAlign w:val="bottom"/>
          </w:tcPr>
          <w:p w14:paraId="163A48EC"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w:t>
            </w:r>
          </w:p>
        </w:tc>
        <w:tc>
          <w:tcPr>
            <w:tcW w:w="680" w:type="dxa"/>
            <w:tcBorders>
              <w:top w:val="dotted" w:sz="4" w:space="0" w:color="AAABD6"/>
              <w:left w:val="single" w:sz="4" w:space="0" w:color="AAABD6"/>
              <w:bottom w:val="single" w:sz="4" w:space="0" w:color="AAABD6"/>
              <w:right w:val="single" w:sz="4" w:space="0" w:color="AAABD6"/>
            </w:tcBorders>
            <w:vAlign w:val="bottom"/>
          </w:tcPr>
          <w:p w14:paraId="550C3FA7"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w:t>
            </w:r>
          </w:p>
        </w:tc>
        <w:tc>
          <w:tcPr>
            <w:tcW w:w="680" w:type="dxa"/>
            <w:tcBorders>
              <w:top w:val="dotted" w:sz="4" w:space="0" w:color="AAABD6"/>
              <w:left w:val="single" w:sz="4" w:space="0" w:color="AAABD6"/>
              <w:bottom w:val="single" w:sz="4" w:space="0" w:color="AAABD6"/>
              <w:right w:val="single" w:sz="4" w:space="0" w:color="AAABD6"/>
            </w:tcBorders>
            <w:vAlign w:val="bottom"/>
          </w:tcPr>
          <w:p w14:paraId="51F2DEAB"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w:t>
            </w:r>
          </w:p>
        </w:tc>
        <w:tc>
          <w:tcPr>
            <w:tcW w:w="680" w:type="dxa"/>
            <w:tcBorders>
              <w:top w:val="dotted" w:sz="4" w:space="0" w:color="AAABD6"/>
              <w:left w:val="single" w:sz="4" w:space="0" w:color="AAABD6"/>
              <w:bottom w:val="single" w:sz="4" w:space="0" w:color="AAABD6"/>
              <w:right w:val="single" w:sz="4" w:space="0" w:color="AAABD6"/>
            </w:tcBorders>
            <w:vAlign w:val="bottom"/>
          </w:tcPr>
          <w:p w14:paraId="6D5524FA"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w:t>
            </w:r>
          </w:p>
        </w:tc>
        <w:tc>
          <w:tcPr>
            <w:tcW w:w="680" w:type="dxa"/>
            <w:tcBorders>
              <w:top w:val="dotted" w:sz="4" w:space="0" w:color="AAABD6"/>
              <w:left w:val="single" w:sz="4" w:space="0" w:color="AAABD6"/>
              <w:bottom w:val="single" w:sz="4" w:space="0" w:color="AAABD6"/>
              <w:right w:val="single" w:sz="4" w:space="0" w:color="AAABD6"/>
            </w:tcBorders>
            <w:vAlign w:val="bottom"/>
          </w:tcPr>
          <w:p w14:paraId="7678895F"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w:t>
            </w:r>
          </w:p>
        </w:tc>
        <w:tc>
          <w:tcPr>
            <w:tcW w:w="680" w:type="dxa"/>
            <w:tcBorders>
              <w:top w:val="dotted" w:sz="4" w:space="0" w:color="AAABD6"/>
              <w:left w:val="single" w:sz="4" w:space="0" w:color="AAABD6"/>
              <w:bottom w:val="single" w:sz="4" w:space="0" w:color="AAABD6"/>
              <w:right w:val="single" w:sz="4" w:space="0" w:color="AAABD6"/>
            </w:tcBorders>
            <w:vAlign w:val="bottom"/>
          </w:tcPr>
          <w:p w14:paraId="093AF9C6" w14:textId="77777777" w:rsidR="00F02371" w:rsidRPr="00100F0A" w:rsidRDefault="00F02371" w:rsidP="002169F6">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color w:val="000000" w:themeColor="text1"/>
                <w:sz w:val="16"/>
                <w:szCs w:val="16"/>
              </w:rPr>
              <w:t>11,818</w:t>
            </w:r>
          </w:p>
        </w:tc>
      </w:tr>
    </w:tbl>
    <w:p w14:paraId="56D10804" w14:textId="77777777" w:rsidR="002169F6" w:rsidRPr="00100F0A" w:rsidRDefault="002169F6" w:rsidP="002169F6">
      <w:pPr>
        <w:rPr>
          <w:color w:val="080808"/>
        </w:rPr>
      </w:pPr>
    </w:p>
    <w:p w14:paraId="75D098C3" w14:textId="77777777" w:rsidR="000A339B" w:rsidRPr="00100F0A" w:rsidRDefault="000A339B" w:rsidP="002169F6">
      <w:pPr>
        <w:pStyle w:val="Caption"/>
        <w:sectPr w:rsidR="000A339B" w:rsidRPr="00100F0A" w:rsidSect="002169F6">
          <w:pgSz w:w="16840" w:h="11907" w:orient="landscape" w:code="9"/>
          <w:pgMar w:top="1077" w:right="1440" w:bottom="1797" w:left="1440" w:header="709" w:footer="709" w:gutter="0"/>
          <w:cols w:space="708"/>
          <w:docGrid w:linePitch="360"/>
        </w:sectPr>
      </w:pPr>
    </w:p>
    <w:p w14:paraId="66447930" w14:textId="0A5335F9" w:rsidR="002169F6" w:rsidRPr="00100F0A" w:rsidRDefault="002169F6" w:rsidP="002169F6">
      <w:pPr>
        <w:pStyle w:val="Caption"/>
      </w:pPr>
      <w:bookmarkStart w:id="228" w:name="_Toc13225599"/>
      <w:r w:rsidRPr="00100F0A">
        <w:t xml:space="preserve">Figure </w:t>
      </w:r>
      <w:r w:rsidR="00971D78" w:rsidRPr="00100F0A">
        <w:rPr>
          <w:noProof/>
        </w:rPr>
        <w:fldChar w:fldCharType="begin"/>
      </w:r>
      <w:r w:rsidR="00971D78" w:rsidRPr="00100F0A">
        <w:rPr>
          <w:noProof/>
        </w:rPr>
        <w:instrText xml:space="preserve"> SEQ Figure \* ARABIC </w:instrText>
      </w:r>
      <w:r w:rsidR="00971D78" w:rsidRPr="00100F0A">
        <w:rPr>
          <w:noProof/>
        </w:rPr>
        <w:fldChar w:fldCharType="separate"/>
      </w:r>
      <w:r w:rsidR="00EB634D">
        <w:rPr>
          <w:noProof/>
        </w:rPr>
        <w:t>26</w:t>
      </w:r>
      <w:r w:rsidR="00971D78" w:rsidRPr="00100F0A">
        <w:rPr>
          <w:noProof/>
        </w:rPr>
        <w:fldChar w:fldCharType="end"/>
      </w:r>
      <w:r w:rsidR="00AD2F76">
        <w:rPr>
          <w:noProof/>
        </w:rPr>
        <w:t>:</w:t>
      </w:r>
      <w:r w:rsidRPr="00100F0A">
        <w:tab/>
        <w:t>Best, high and low national projection estimates of PFOS contaminated soil waste to 2037</w:t>
      </w:r>
      <w:bookmarkEnd w:id="228"/>
    </w:p>
    <w:p w14:paraId="3DFD586D" w14:textId="77777777" w:rsidR="006C17DC" w:rsidRDefault="00B179AD" w:rsidP="002169F6">
      <w:pPr>
        <w:rPr>
          <w:color w:val="080808"/>
        </w:rPr>
      </w:pPr>
      <w:r w:rsidRPr="00100F0A">
        <w:rPr>
          <w:noProof/>
          <w:lang w:eastAsia="en-AU"/>
        </w:rPr>
        <w:drawing>
          <wp:inline distT="0" distB="0" distL="0" distR="0" wp14:anchorId="59591406" wp14:editId="1628296B">
            <wp:extent cx="5735955" cy="2056130"/>
            <wp:effectExtent l="0" t="0" r="0" b="127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5955" cy="2056130"/>
                    </a:xfrm>
                    <a:prstGeom prst="rect">
                      <a:avLst/>
                    </a:prstGeom>
                  </pic:spPr>
                </pic:pic>
              </a:graphicData>
            </a:graphic>
          </wp:inline>
        </w:drawing>
      </w:r>
    </w:p>
    <w:p w14:paraId="27548835" w14:textId="74643B76" w:rsidR="006C17DC" w:rsidRDefault="006C17DC" w:rsidP="002169F6">
      <w:pPr>
        <w:rPr>
          <w:color w:val="080808"/>
        </w:rPr>
      </w:pPr>
    </w:p>
    <w:p w14:paraId="0A7623C3" w14:textId="77777777" w:rsidR="00772EED" w:rsidRPr="00100F0A" w:rsidRDefault="00772EED" w:rsidP="00772EED">
      <w:pPr>
        <w:pStyle w:val="Heading3"/>
      </w:pPr>
      <w:r w:rsidRPr="00100F0A">
        <w:t>M270c AFFF concentrates (containing PFOS)</w:t>
      </w:r>
    </w:p>
    <w:p w14:paraId="7146B346" w14:textId="77777777" w:rsidR="00772EED" w:rsidRPr="00100F0A" w:rsidRDefault="00772EED" w:rsidP="00772EED">
      <w:r w:rsidRPr="00100F0A">
        <w:t xml:space="preserve">The waste group </w:t>
      </w:r>
      <w:r w:rsidRPr="00100F0A">
        <w:rPr>
          <w:i/>
        </w:rPr>
        <w:t xml:space="preserve">M270 </w:t>
      </w:r>
      <w:r w:rsidRPr="00100F0A">
        <w:rPr>
          <w:rFonts w:eastAsia="Times New Roman" w:cs="Calibri"/>
          <w:i/>
          <w:iCs/>
          <w:color w:val="000000"/>
        </w:rPr>
        <w:t>Per- and poly-fluoroalkyl substances (PFAS) contaminated materials, including waste PFAS- containing products and contaminated containers,</w:t>
      </w:r>
      <w:r w:rsidRPr="00100F0A">
        <w:rPr>
          <w:i/>
        </w:rPr>
        <w:t xml:space="preserve"> </w:t>
      </w:r>
      <w:r w:rsidRPr="00100F0A">
        <w:t xml:space="preserve">has been split into three sub-groups for projection purposes, on the basis that each type of PFAS waste is different in how it arises and poses different management challenges. </w:t>
      </w:r>
      <w:r w:rsidRPr="00100F0A">
        <w:rPr>
          <w:i/>
        </w:rPr>
        <w:t xml:space="preserve">M270c </w:t>
      </w:r>
      <w:r w:rsidRPr="00100F0A">
        <w:rPr>
          <w:rFonts w:eastAsia="Times New Roman" w:cs="Calibri"/>
          <w:i/>
          <w:iCs/>
          <w:color w:val="000000"/>
        </w:rPr>
        <w:t>AFFF concentrates (containing PFOS)</w:t>
      </w:r>
      <w:r w:rsidRPr="00100F0A">
        <w:t xml:space="preserve"> is the subject of this section.</w:t>
      </w:r>
    </w:p>
    <w:p w14:paraId="4058708D" w14:textId="77777777" w:rsidR="00772EED" w:rsidRPr="00100F0A" w:rsidRDefault="00772EED" w:rsidP="00772EED"/>
    <w:p w14:paraId="1BE2AF43" w14:textId="77777777" w:rsidR="00772EED" w:rsidRPr="00100F0A" w:rsidRDefault="00772EED" w:rsidP="00772EED">
      <w:pPr>
        <w:rPr>
          <w:color w:val="080808"/>
        </w:rPr>
      </w:pPr>
      <w:r w:rsidRPr="00100F0A">
        <w:rPr>
          <w:color w:val="080808"/>
        </w:rPr>
        <w:t xml:space="preserve">AFFF containing </w:t>
      </w:r>
      <w:r>
        <w:rPr>
          <w:color w:val="080808"/>
        </w:rPr>
        <w:t>very high (parts per hundred)</w:t>
      </w:r>
      <w:r w:rsidRPr="00100F0A">
        <w:rPr>
          <w:color w:val="080808"/>
        </w:rPr>
        <w:t xml:space="preserve"> level PFOS were used extensively in fire training and actual firefighting situations until relatively recent. Training drills conducted on concrete fire pads are routine at fire-risk sites such as defence facilities, airports, fire training facilities, fuel storage facilities and major hazard facilities. These activities are one of the major reasons for legacy PFOS contamination of the concrete pads, surrounding soil and waterways, both above and below ground. Since AFFF containing PFOS have been typically withdrawn from use there are significant quantities of the original foam concentrates still present at these sites. These are expected to arise in more significant quantities as a waste for disposal, once NEMP implementation/Stockholm ratification occurs.</w:t>
      </w:r>
    </w:p>
    <w:p w14:paraId="444A0AAA" w14:textId="678802C8" w:rsidR="00772EED" w:rsidRDefault="00772EED" w:rsidP="002169F6">
      <w:pPr>
        <w:rPr>
          <w:color w:val="080808"/>
        </w:rPr>
      </w:pPr>
    </w:p>
    <w:p w14:paraId="67DFA97E" w14:textId="77777777" w:rsidR="00772EED" w:rsidRDefault="00772EED" w:rsidP="002169F6">
      <w:pPr>
        <w:rPr>
          <w:color w:val="080808"/>
        </w:rPr>
      </w:pPr>
    </w:p>
    <w:p w14:paraId="45CC9C54" w14:textId="77777777" w:rsidR="006C17DC" w:rsidRDefault="006C17DC" w:rsidP="002169F6">
      <w:pPr>
        <w:rPr>
          <w:color w:val="080808"/>
        </w:rPr>
      </w:pPr>
    </w:p>
    <w:p w14:paraId="242B8394" w14:textId="5B2C315B" w:rsidR="000A339B" w:rsidRPr="00100F0A" w:rsidRDefault="000A339B" w:rsidP="002169F6">
      <w:pPr>
        <w:rPr>
          <w:color w:val="080808"/>
        </w:rPr>
        <w:sectPr w:rsidR="000A339B" w:rsidRPr="00100F0A" w:rsidSect="000A339B">
          <w:pgSz w:w="11907" w:h="16840" w:code="9"/>
          <w:pgMar w:top="1440" w:right="1077" w:bottom="1440" w:left="1797" w:header="709" w:footer="709" w:gutter="0"/>
          <w:cols w:space="708"/>
          <w:docGrid w:linePitch="360"/>
        </w:sectPr>
      </w:pPr>
    </w:p>
    <w:p w14:paraId="68A37111" w14:textId="77777777" w:rsidR="00CA1033" w:rsidRPr="00100F0A" w:rsidRDefault="00CA1033" w:rsidP="00CA1033">
      <w:pPr>
        <w:pStyle w:val="Heading3-nonumber"/>
      </w:pPr>
      <w:r w:rsidRPr="00100F0A">
        <w:t>Summary analysis</w:t>
      </w:r>
    </w:p>
    <w:tbl>
      <w:tblPr>
        <w:tblStyle w:val="BETable11"/>
        <w:tblW w:w="5000" w:type="pct"/>
        <w:tblInd w:w="0" w:type="dxa"/>
        <w:tblBorders>
          <w:top w:val="single" w:sz="4" w:space="0" w:color="AAABD6"/>
          <w:left w:val="single" w:sz="4" w:space="0" w:color="AAABD6"/>
          <w:bottom w:val="single" w:sz="4" w:space="0" w:color="AAABD6"/>
          <w:right w:val="single" w:sz="4" w:space="0" w:color="AAABD6"/>
          <w:insideH w:val="single" w:sz="4" w:space="0" w:color="AAABD6"/>
          <w:insideV w:val="single" w:sz="4" w:space="0" w:color="AAABD6"/>
        </w:tblBorders>
        <w:tblLook w:val="04A0" w:firstRow="1" w:lastRow="0" w:firstColumn="1" w:lastColumn="0" w:noHBand="0" w:noVBand="1"/>
      </w:tblPr>
      <w:tblGrid>
        <w:gridCol w:w="2123"/>
        <w:gridCol w:w="2835"/>
        <w:gridCol w:w="3401"/>
        <w:gridCol w:w="5591"/>
      </w:tblGrid>
      <w:tr w:rsidR="00CA1033" w:rsidRPr="00100F0A" w14:paraId="5F14601C" w14:textId="77777777" w:rsidTr="00096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Borders>
              <w:top w:val="nil"/>
              <w:left w:val="single" w:sz="4" w:space="0" w:color="AAABD6"/>
              <w:bottom w:val="nil"/>
            </w:tcBorders>
            <w:shd w:val="clear" w:color="auto" w:fill="AAABD6"/>
          </w:tcPr>
          <w:p w14:paraId="61358346" w14:textId="77777777" w:rsidR="00CA1033" w:rsidRPr="00100F0A" w:rsidRDefault="00CA1033" w:rsidP="00B179AD">
            <w:pPr>
              <w:pStyle w:val="BodyText"/>
              <w:rPr>
                <w:color w:val="FFFFFF" w:themeColor="background1"/>
              </w:rPr>
            </w:pPr>
            <w:r w:rsidRPr="00100F0A">
              <w:rPr>
                <w:color w:val="FFFFFF" w:themeColor="background1"/>
              </w:rPr>
              <w:t>Industry sources</w:t>
            </w:r>
          </w:p>
        </w:tc>
        <w:tc>
          <w:tcPr>
            <w:tcW w:w="1016" w:type="pct"/>
            <w:tcBorders>
              <w:top w:val="nil"/>
              <w:bottom w:val="nil"/>
            </w:tcBorders>
            <w:shd w:val="clear" w:color="auto" w:fill="AAABD6"/>
          </w:tcPr>
          <w:p w14:paraId="5CF9F60F" w14:textId="77777777" w:rsidR="00CA1033" w:rsidRPr="00100F0A" w:rsidRDefault="00CA1033" w:rsidP="00B179AD">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Considerations</w:t>
            </w:r>
          </w:p>
        </w:tc>
        <w:tc>
          <w:tcPr>
            <w:tcW w:w="1219" w:type="pct"/>
            <w:tcBorders>
              <w:top w:val="nil"/>
              <w:bottom w:val="nil"/>
            </w:tcBorders>
            <w:shd w:val="clear" w:color="auto" w:fill="AAABD6"/>
          </w:tcPr>
          <w:p w14:paraId="7C619149" w14:textId="77777777" w:rsidR="00CA1033" w:rsidRPr="00100F0A" w:rsidRDefault="00CA1033" w:rsidP="00B179AD">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Comments</w:t>
            </w:r>
          </w:p>
        </w:tc>
        <w:tc>
          <w:tcPr>
            <w:tcW w:w="2004" w:type="pct"/>
            <w:tcBorders>
              <w:top w:val="nil"/>
              <w:bottom w:val="nil"/>
              <w:right w:val="single" w:sz="4" w:space="0" w:color="AAABD6"/>
            </w:tcBorders>
            <w:shd w:val="clear" w:color="auto" w:fill="AAABD6"/>
          </w:tcPr>
          <w:p w14:paraId="460F96AE" w14:textId="77777777" w:rsidR="00CA1033" w:rsidRPr="00100F0A" w:rsidRDefault="00CA1033" w:rsidP="00B179AD">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r>
      <w:tr w:rsidR="00CA1033" w:rsidRPr="00100F0A" w14:paraId="07751A78" w14:textId="77777777" w:rsidTr="00096662">
        <w:tc>
          <w:tcPr>
            <w:cnfStyle w:val="001000000000" w:firstRow="0" w:lastRow="0" w:firstColumn="1" w:lastColumn="0" w:oddVBand="0" w:evenVBand="0" w:oddHBand="0" w:evenHBand="0" w:firstRowFirstColumn="0" w:firstRowLastColumn="0" w:lastRowFirstColumn="0" w:lastRowLastColumn="0"/>
            <w:tcW w:w="761" w:type="pct"/>
            <w:tcBorders>
              <w:top w:val="nil"/>
            </w:tcBorders>
          </w:tcPr>
          <w:p w14:paraId="2BB7F647" w14:textId="300A22B3" w:rsidR="00CA1033" w:rsidRPr="00100F0A" w:rsidRDefault="00CA1033" w:rsidP="00B179AD">
            <w:pPr>
              <w:pStyle w:val="BodyText"/>
            </w:pPr>
            <w:r w:rsidRPr="00100F0A">
              <w:t xml:space="preserve">Sources are widespread throughout Australia at locations such as </w:t>
            </w:r>
            <w:r w:rsidRPr="00100F0A">
              <w:rPr>
                <w:color w:val="080808"/>
              </w:rPr>
              <w:t>defence facilities, airports, fire training facilities, fuel storage facilities and major hazard facilities, the latter inclusive of large industrial and mining sites</w:t>
            </w:r>
          </w:p>
          <w:p w14:paraId="4B6FCF0B" w14:textId="77777777" w:rsidR="00CA1033" w:rsidRPr="00100F0A" w:rsidRDefault="00CA1033" w:rsidP="00B179AD">
            <w:pPr>
              <w:rPr>
                <w:color w:val="000000"/>
              </w:rPr>
            </w:pPr>
          </w:p>
        </w:tc>
        <w:tc>
          <w:tcPr>
            <w:tcW w:w="1016" w:type="pct"/>
            <w:tcBorders>
              <w:top w:val="nil"/>
            </w:tcBorders>
          </w:tcPr>
          <w:p w14:paraId="1B66BD41" w14:textId="0FE1F9AF" w:rsidR="00CA1033" w:rsidRPr="00100F0A" w:rsidRDefault="00CA1033" w:rsidP="00B179AD">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While AFFF stocks no longer to be used are not likely to be of the same scale as PFAS contaminated soils, the key issue with this waste is that it is extremely high in PFOS – typically 2-4% as a concentrate</w:t>
            </w:r>
          </w:p>
          <w:p w14:paraId="4F771B70" w14:textId="6B345B14" w:rsidR="00CA1033" w:rsidRPr="00100F0A" w:rsidRDefault="00CA1033" w:rsidP="00B179AD">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This makes handling and management of the waste high-risk in terms of the potential for contamination to occur</w:t>
            </w:r>
          </w:p>
        </w:tc>
        <w:tc>
          <w:tcPr>
            <w:tcW w:w="1219" w:type="pct"/>
            <w:tcBorders>
              <w:top w:val="nil"/>
            </w:tcBorders>
          </w:tcPr>
          <w:p w14:paraId="276473B4" w14:textId="14CE0ADF" w:rsidR="00CA1033" w:rsidRPr="00100F0A" w:rsidRDefault="00CA1033" w:rsidP="00B179AD">
            <w:pPr>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 xml:space="preserve">A PFAS NEMP was agreed across Australian states and territories in 2018. </w:t>
            </w:r>
          </w:p>
          <w:p w14:paraId="53B775F7" w14:textId="77777777" w:rsidR="00CA1033" w:rsidRPr="00100F0A" w:rsidRDefault="00CA1033" w:rsidP="00B179AD">
            <w:pPr>
              <w:cnfStyle w:val="000000000000" w:firstRow="0" w:lastRow="0" w:firstColumn="0" w:lastColumn="0" w:oddVBand="0" w:evenVBand="0" w:oddHBand="0" w:evenHBand="0" w:firstRowFirstColumn="0" w:firstRowLastColumn="0" w:lastRowFirstColumn="0" w:lastRowLastColumn="0"/>
            </w:pPr>
            <w:r w:rsidRPr="00100F0A">
              <w:rPr>
                <w:color w:val="000000"/>
              </w:rPr>
              <w:t>The NEMP makes Stockholm POP ratification somewhat redundant, since the NEMP’s existence provides the policy settings for dealing with PFAS contamination and waste issues. The new NEPM code M270, and its requirement for tracking, is proof of this.</w:t>
            </w:r>
          </w:p>
        </w:tc>
        <w:tc>
          <w:tcPr>
            <w:tcW w:w="2004" w:type="pct"/>
            <w:tcBorders>
              <w:top w:val="nil"/>
            </w:tcBorders>
          </w:tcPr>
          <w:p w14:paraId="403559B3" w14:textId="77777777" w:rsidR="00CA1033" w:rsidRPr="00100F0A" w:rsidRDefault="00CA1033" w:rsidP="00B179AD">
            <w:pPr>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 xml:space="preserve">Assume regulatory implementation of NEMP begins 2020. </w:t>
            </w:r>
          </w:p>
          <w:p w14:paraId="59BF011E" w14:textId="50733485" w:rsidR="00CA1033" w:rsidRPr="00100F0A" w:rsidRDefault="00CA1033" w:rsidP="00B179AD">
            <w:pPr>
              <w:cnfStyle w:val="000000000000" w:firstRow="0" w:lastRow="0" w:firstColumn="0" w:lastColumn="0" w:oddVBand="0" w:evenVBand="0" w:oddHBand="0" w:evenHBand="0" w:firstRowFirstColumn="0" w:firstRowLastColumn="0" w:lastRowFirstColumn="0" w:lastRowLastColumn="0"/>
              <w:rPr>
                <w:color w:val="000000"/>
              </w:rPr>
            </w:pPr>
            <w:r w:rsidRPr="00100F0A">
              <w:rPr>
                <w:color w:val="000000"/>
              </w:rPr>
              <w:t>Scenarios are based on arisings estimates (see Starting point arising estimate below</w:t>
            </w:r>
            <w:r w:rsidR="00D157C6">
              <w:rPr>
                <w:color w:val="000000"/>
              </w:rPr>
              <w:t>.</w:t>
            </w:r>
          </w:p>
          <w:p w14:paraId="0F9AB49E" w14:textId="528259C3" w:rsidR="00CA1033" w:rsidRPr="00100F0A" w:rsidRDefault="00CA1033" w:rsidP="00B179AD">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pPr>
            <w:r w:rsidRPr="00100F0A">
              <w:rPr>
                <w:color w:val="000000"/>
              </w:rPr>
              <w:t>BE et al 2014 suggests 1,507</w:t>
            </w:r>
            <w:r w:rsidR="006C17DC">
              <w:rPr>
                <w:color w:val="000000"/>
              </w:rPr>
              <w:t xml:space="preserve"> </w:t>
            </w:r>
            <w:r w:rsidRPr="00100F0A">
              <w:rPr>
                <w:color w:val="000000"/>
              </w:rPr>
              <w:t xml:space="preserve">t of </w:t>
            </w:r>
            <w:r w:rsidR="006C17DC">
              <w:rPr>
                <w:color w:val="000000"/>
              </w:rPr>
              <w:t xml:space="preserve">AFFF </w:t>
            </w:r>
            <w:r w:rsidRPr="00100F0A">
              <w:rPr>
                <w:color w:val="000000"/>
              </w:rPr>
              <w:t>stocks were likely to be present at that time</w:t>
            </w:r>
          </w:p>
          <w:p w14:paraId="3D0FC746" w14:textId="0A6F51D0" w:rsidR="00CA1033" w:rsidRPr="00100F0A" w:rsidRDefault="00CA1033" w:rsidP="00B179AD">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pPr>
            <w:r w:rsidRPr="00100F0A">
              <w:rPr>
                <w:color w:val="000000"/>
              </w:rPr>
              <w:t>Since Defence have been progressively destroying AFFF stocks since this time, assume this is all of the AFFF available</w:t>
            </w:r>
          </w:p>
          <w:p w14:paraId="215C92E9" w14:textId="6BA24943" w:rsidR="00CA1033" w:rsidRPr="00100F0A" w:rsidRDefault="00CA1033" w:rsidP="00B179AD">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pPr>
            <w:r w:rsidRPr="00100F0A">
              <w:rPr>
                <w:color w:val="000000"/>
              </w:rPr>
              <w:t>2010-2013 destruction of stocks reported to be ~ -8%</w:t>
            </w:r>
            <w:r w:rsidR="00D157C6">
              <w:rPr>
                <w:color w:val="000000"/>
              </w:rPr>
              <w:t xml:space="preserve"> </w:t>
            </w:r>
            <w:r w:rsidRPr="00100F0A">
              <w:rPr>
                <w:color w:val="000000"/>
              </w:rPr>
              <w:t>pa</w:t>
            </w:r>
          </w:p>
          <w:p w14:paraId="777CBD3F" w14:textId="2E957AC3" w:rsidR="00CA1033" w:rsidRPr="00100F0A" w:rsidRDefault="00CA1033" w:rsidP="00B179AD">
            <w:pPr>
              <w:numPr>
                <w:ilvl w:val="0"/>
                <w:numId w:val="19"/>
              </w:numPr>
              <w:spacing w:after="60"/>
              <w:ind w:left="142" w:hanging="144"/>
              <w:cnfStyle w:val="000000000000" w:firstRow="0" w:lastRow="0" w:firstColumn="0" w:lastColumn="0" w:oddVBand="0" w:evenVBand="0" w:oddHBand="0" w:evenHBand="0" w:firstRowFirstColumn="0" w:firstRowLastColumn="0" w:lastRowFirstColumn="0" w:lastRowLastColumn="0"/>
            </w:pPr>
            <w:r w:rsidRPr="00100F0A">
              <w:rPr>
                <w:color w:val="000000"/>
              </w:rPr>
              <w:t>Assume this continues (best); increases due to PFAS regulator attention &amp; the stocks are actually double what we think they are and arise at the higher rate of 8% due to regulatory pressure (high) and in the low case the stocks are lower than we think they are (1,000</w:t>
            </w:r>
            <w:r w:rsidR="00D157C6">
              <w:rPr>
                <w:color w:val="000000"/>
              </w:rPr>
              <w:t xml:space="preserve"> </w:t>
            </w:r>
            <w:r w:rsidRPr="00100F0A">
              <w:rPr>
                <w:color w:val="000000"/>
              </w:rPr>
              <w:t>t) and continue to be destroyed at 8% pa.</w:t>
            </w:r>
          </w:p>
        </w:tc>
      </w:tr>
    </w:tbl>
    <w:p w14:paraId="32851562" w14:textId="56041E7A" w:rsidR="00CA1033" w:rsidRDefault="00CA1033" w:rsidP="00CA1033">
      <w:pPr>
        <w:pStyle w:val="BodyText"/>
      </w:pPr>
    </w:p>
    <w:p w14:paraId="36921563" w14:textId="77777777" w:rsidR="00CA1033" w:rsidRPr="00100F0A" w:rsidRDefault="00CA1033" w:rsidP="00CA1033">
      <w:pPr>
        <w:pStyle w:val="Heading3-nonumber"/>
      </w:pPr>
      <w:r w:rsidRPr="00100F0A">
        <w:t>Starting point arising estimate</w:t>
      </w:r>
    </w:p>
    <w:p w14:paraId="1D4B4711" w14:textId="65F9D029" w:rsidR="00CA1033" w:rsidRPr="00100F0A" w:rsidRDefault="00CA1033" w:rsidP="00CA1033">
      <w:pPr>
        <w:pStyle w:val="BodyText"/>
      </w:pPr>
      <w:r w:rsidRPr="00100F0A">
        <w:t>AFFF concentrates (containing PFOS) are possibly represented in tracking data, although their identification is very difficult because the M270 classification has only been adopted in 2018. Prior to this a number of NEPM codes appear to have been used, such as M160, D110 and possibly M250, and it is not easy to distinguish between what may have been AFFF concentrates and other types of waste in these categories. Consequently, assumptions must be used to estimate a feasible starting-point tonnage that describes what might become available to the hazardous waste market once ratification occurs, or upon implementation of the NEMP. These are as follows:</w:t>
      </w:r>
    </w:p>
    <w:p w14:paraId="6BF21151" w14:textId="3BB3B21A" w:rsidR="00CA1033" w:rsidRPr="00100F0A" w:rsidRDefault="00CA1033" w:rsidP="00CA1033">
      <w:pPr>
        <w:pStyle w:val="Bullet1"/>
      </w:pPr>
      <w:r w:rsidRPr="00100F0A">
        <w:t>AFFF concentrates (containing PFOS) arising as waste are produced by states and territories in proportion to their population</w:t>
      </w:r>
    </w:p>
    <w:p w14:paraId="408F4ED5" w14:textId="77C456EC" w:rsidR="00CA1033" w:rsidRPr="00100F0A" w:rsidRDefault="00CA1033" w:rsidP="00CA1033">
      <w:pPr>
        <w:pStyle w:val="Bullet1"/>
      </w:pPr>
      <w:r w:rsidRPr="00100F0A">
        <w:t>BE et al 2014 suggests 1,507</w:t>
      </w:r>
      <w:r w:rsidR="00D157C6">
        <w:t xml:space="preserve"> </w:t>
      </w:r>
      <w:r w:rsidRPr="00100F0A">
        <w:t>t of AFFF were in stocks, noting that Defence data was not included in this figure</w:t>
      </w:r>
    </w:p>
    <w:p w14:paraId="54D00557" w14:textId="4247A6E0" w:rsidR="00CA1033" w:rsidRPr="00100F0A" w:rsidRDefault="00CA1033" w:rsidP="00CA1033">
      <w:pPr>
        <w:pStyle w:val="Bullet1"/>
      </w:pPr>
      <w:r w:rsidRPr="00100F0A">
        <w:rPr>
          <w:color w:val="080808"/>
        </w:rPr>
        <w:t xml:space="preserve">The best scenario assumes that </w:t>
      </w:r>
      <w:r w:rsidRPr="00100F0A">
        <w:t>1,507</w:t>
      </w:r>
      <w:r w:rsidR="00D157C6">
        <w:t xml:space="preserve"> </w:t>
      </w:r>
      <w:r w:rsidRPr="00100F0A">
        <w:t>t is an accurate reflection of all AFFF concentrates, including Defence, on the basis that Defence have historically taken steps ahead of other AFFF holders to progressively destroy their stocks</w:t>
      </w:r>
    </w:p>
    <w:p w14:paraId="4B69AAC7" w14:textId="71A732F3" w:rsidR="00CA1033" w:rsidRPr="00100F0A" w:rsidRDefault="00CA1033" w:rsidP="00CA1033">
      <w:pPr>
        <w:pStyle w:val="Bullet1"/>
      </w:pPr>
      <w:r w:rsidRPr="00100F0A">
        <w:rPr>
          <w:color w:val="080808"/>
        </w:rPr>
        <w:t xml:space="preserve">The high scenario assumes that </w:t>
      </w:r>
      <w:r w:rsidRPr="00100F0A">
        <w:t>1,507</w:t>
      </w:r>
      <w:r w:rsidR="00D157C6">
        <w:t xml:space="preserve"> </w:t>
      </w:r>
      <w:r w:rsidRPr="00100F0A">
        <w:t xml:space="preserve">t is not an accurate reflection of AFFF </w:t>
      </w:r>
      <w:r w:rsidR="00096662">
        <w:t>stocks</w:t>
      </w:r>
      <w:r w:rsidRPr="00100F0A">
        <w:t xml:space="preserve">, and </w:t>
      </w:r>
      <w:r w:rsidR="00096662">
        <w:t xml:space="preserve">that </w:t>
      </w:r>
      <w:r w:rsidRPr="00100F0A">
        <w:t>about as much again is present within Defence facilities</w:t>
      </w:r>
      <w:r w:rsidR="00D157C6">
        <w:t xml:space="preserve"> </w:t>
      </w:r>
    </w:p>
    <w:p w14:paraId="5F9E087C" w14:textId="7E035BA2" w:rsidR="00CA1033" w:rsidRPr="00096662" w:rsidRDefault="00CA1033" w:rsidP="00096662">
      <w:pPr>
        <w:pStyle w:val="Bullet1"/>
        <w:rPr>
          <w:color w:val="4D4DB8"/>
          <w:szCs w:val="18"/>
        </w:rPr>
      </w:pPr>
      <w:r w:rsidRPr="00096662">
        <w:rPr>
          <w:color w:val="080808"/>
        </w:rPr>
        <w:t xml:space="preserve">The low scenario assumes that </w:t>
      </w:r>
      <w:r w:rsidRPr="00100F0A">
        <w:t>1,507</w:t>
      </w:r>
      <w:r w:rsidR="00D157C6">
        <w:t xml:space="preserve"> </w:t>
      </w:r>
      <w:r w:rsidRPr="00100F0A">
        <w:t>t is a significant overestimate due to accelerated destruction of AFFF concentrates in the last 3-4 years, and that it is only half this figure (approximately 750</w:t>
      </w:r>
      <w:r w:rsidR="00D157C6">
        <w:t xml:space="preserve"> </w:t>
      </w:r>
      <w:r w:rsidRPr="00100F0A">
        <w:t>t).</w:t>
      </w:r>
      <w:r w:rsidRPr="00100F0A">
        <w:br w:type="page"/>
      </w:r>
    </w:p>
    <w:p w14:paraId="5BA00E20" w14:textId="77777777" w:rsidR="00D157C6" w:rsidRDefault="00D157C6" w:rsidP="00CA1033">
      <w:pPr>
        <w:pStyle w:val="Caption"/>
      </w:pPr>
    </w:p>
    <w:p w14:paraId="4CB867AB" w14:textId="5AFABB41" w:rsidR="00CA1033" w:rsidRPr="00100F0A" w:rsidRDefault="00CA1033" w:rsidP="00CA1033">
      <w:pPr>
        <w:pStyle w:val="Caption"/>
      </w:pPr>
      <w:bookmarkStart w:id="229" w:name="_Toc13225650"/>
      <w:r w:rsidRPr="00100F0A">
        <w:t xml:space="preserve">Table </w:t>
      </w:r>
      <w:r w:rsidRPr="00100F0A">
        <w:rPr>
          <w:noProof/>
        </w:rPr>
        <w:fldChar w:fldCharType="begin"/>
      </w:r>
      <w:r w:rsidRPr="00100F0A">
        <w:rPr>
          <w:noProof/>
        </w:rPr>
        <w:instrText xml:space="preserve"> SEQ Table \* ARABIC </w:instrText>
      </w:r>
      <w:r w:rsidRPr="00100F0A">
        <w:rPr>
          <w:noProof/>
        </w:rPr>
        <w:fldChar w:fldCharType="separate"/>
      </w:r>
      <w:r w:rsidR="00EB634D">
        <w:rPr>
          <w:noProof/>
        </w:rPr>
        <w:t>31</w:t>
      </w:r>
      <w:r w:rsidRPr="00100F0A">
        <w:rPr>
          <w:noProof/>
        </w:rPr>
        <w:fldChar w:fldCharType="end"/>
      </w:r>
      <w:r w:rsidR="00AD2F76">
        <w:rPr>
          <w:noProof/>
        </w:rPr>
        <w:t>:</w:t>
      </w:r>
      <w:r w:rsidRPr="00100F0A">
        <w:tab/>
        <w:t>Best, high and low projected tonnes for AFFF concentrates to 2037</w:t>
      </w:r>
      <w:bookmarkEnd w:id="229"/>
    </w:p>
    <w:tbl>
      <w:tblPr>
        <w:tblStyle w:val="BETable1"/>
        <w:tblW w:w="16317" w:type="dxa"/>
        <w:jc w:val="center"/>
        <w:tblInd w:w="0" w:type="dxa"/>
        <w:tblLayout w:type="fixed"/>
        <w:tblLook w:val="04A0" w:firstRow="1" w:lastRow="0" w:firstColumn="1" w:lastColumn="0" w:noHBand="0" w:noVBand="1"/>
      </w:tblPr>
      <w:tblGrid>
        <w:gridCol w:w="454"/>
        <w:gridCol w:w="675"/>
        <w:gridCol w:w="1418"/>
        <w:gridCol w:w="510"/>
        <w:gridCol w:w="510"/>
        <w:gridCol w:w="510"/>
        <w:gridCol w:w="680"/>
        <w:gridCol w:w="680"/>
        <w:gridCol w:w="680"/>
        <w:gridCol w:w="680"/>
        <w:gridCol w:w="680"/>
        <w:gridCol w:w="680"/>
        <w:gridCol w:w="680"/>
        <w:gridCol w:w="680"/>
        <w:gridCol w:w="680"/>
        <w:gridCol w:w="680"/>
        <w:gridCol w:w="680"/>
        <w:gridCol w:w="680"/>
        <w:gridCol w:w="680"/>
        <w:gridCol w:w="680"/>
        <w:gridCol w:w="680"/>
        <w:gridCol w:w="680"/>
        <w:gridCol w:w="680"/>
        <w:gridCol w:w="680"/>
      </w:tblGrid>
      <w:tr w:rsidR="00A1102D" w:rsidRPr="00100F0A" w14:paraId="470CA8E4" w14:textId="77777777" w:rsidTr="00B179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AAABD6"/>
              <w:left w:val="single" w:sz="4" w:space="0" w:color="AAABD6"/>
              <w:bottom w:val="single" w:sz="4" w:space="0" w:color="AAABD6"/>
            </w:tcBorders>
            <w:shd w:val="clear" w:color="auto" w:fill="AAABD6"/>
          </w:tcPr>
          <w:p w14:paraId="596DF72B" w14:textId="77777777" w:rsidR="00CA1033" w:rsidRPr="00100F0A" w:rsidRDefault="00CA1033" w:rsidP="00B179AD">
            <w:pPr>
              <w:rPr>
                <w:color w:val="FFFFFF" w:themeColor="background1"/>
                <w:sz w:val="16"/>
                <w:szCs w:val="16"/>
              </w:rPr>
            </w:pPr>
          </w:p>
        </w:tc>
        <w:tc>
          <w:tcPr>
            <w:tcW w:w="675" w:type="dxa"/>
            <w:tcBorders>
              <w:top w:val="single" w:sz="4" w:space="0" w:color="AAABD6"/>
              <w:bottom w:val="single" w:sz="4" w:space="0" w:color="AAABD6"/>
            </w:tcBorders>
            <w:shd w:val="clear" w:color="auto" w:fill="AAABD6"/>
          </w:tcPr>
          <w:p w14:paraId="6AB0039C" w14:textId="77777777" w:rsidR="00CA1033" w:rsidRPr="00100F0A" w:rsidRDefault="00CA1033" w:rsidP="00B179AD">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Applies to</w:t>
            </w:r>
          </w:p>
        </w:tc>
        <w:tc>
          <w:tcPr>
            <w:tcW w:w="1418" w:type="dxa"/>
            <w:tcBorders>
              <w:top w:val="single" w:sz="4" w:space="0" w:color="AAABD6"/>
              <w:bottom w:val="single" w:sz="4" w:space="0" w:color="AAABD6"/>
            </w:tcBorders>
            <w:shd w:val="clear" w:color="auto" w:fill="AAABD6"/>
          </w:tcPr>
          <w:p w14:paraId="7D877373" w14:textId="77777777" w:rsidR="00CA1033" w:rsidRPr="00100F0A" w:rsidRDefault="00CA1033" w:rsidP="00B179AD">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Approach</w:t>
            </w:r>
          </w:p>
        </w:tc>
        <w:tc>
          <w:tcPr>
            <w:tcW w:w="510" w:type="dxa"/>
            <w:tcBorders>
              <w:top w:val="single" w:sz="4" w:space="0" w:color="AAABD6"/>
              <w:bottom w:val="single" w:sz="4" w:space="0" w:color="AAABD6"/>
            </w:tcBorders>
            <w:shd w:val="clear" w:color="auto" w:fill="AAABD6"/>
          </w:tcPr>
          <w:p w14:paraId="506505AD" w14:textId="77777777" w:rsidR="00CA1033" w:rsidRPr="00100F0A" w:rsidRDefault="00CA1033" w:rsidP="00B179AD">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2017</w:t>
            </w:r>
          </w:p>
        </w:tc>
        <w:tc>
          <w:tcPr>
            <w:tcW w:w="510" w:type="dxa"/>
            <w:tcBorders>
              <w:top w:val="single" w:sz="4" w:space="0" w:color="AAABD6"/>
              <w:bottom w:val="single" w:sz="4" w:space="0" w:color="AAABD6"/>
              <w:right w:val="single" w:sz="4" w:space="0" w:color="AAABD6"/>
            </w:tcBorders>
            <w:shd w:val="clear" w:color="auto" w:fill="AAABD6"/>
          </w:tcPr>
          <w:p w14:paraId="4E97A446" w14:textId="77777777" w:rsidR="00CA1033" w:rsidRPr="00100F0A" w:rsidRDefault="00CA1033" w:rsidP="00B179AD">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2018</w:t>
            </w:r>
          </w:p>
        </w:tc>
        <w:tc>
          <w:tcPr>
            <w:tcW w:w="510" w:type="dxa"/>
            <w:tcBorders>
              <w:top w:val="single" w:sz="4" w:space="0" w:color="AAABD6"/>
              <w:bottom w:val="single" w:sz="4" w:space="0" w:color="AAABD6"/>
              <w:right w:val="single" w:sz="4" w:space="0" w:color="AAABD6"/>
            </w:tcBorders>
            <w:shd w:val="clear" w:color="auto" w:fill="AAABD6"/>
          </w:tcPr>
          <w:p w14:paraId="2A85F6E2" w14:textId="77777777" w:rsidR="00CA1033" w:rsidRPr="00100F0A" w:rsidRDefault="00CA1033" w:rsidP="00B179AD">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2019</w:t>
            </w:r>
          </w:p>
        </w:tc>
        <w:tc>
          <w:tcPr>
            <w:tcW w:w="680" w:type="dxa"/>
            <w:tcBorders>
              <w:top w:val="single" w:sz="4" w:space="0" w:color="AAABD6"/>
              <w:bottom w:val="single" w:sz="4" w:space="0" w:color="AAABD6"/>
              <w:right w:val="single" w:sz="4" w:space="0" w:color="AAABD6"/>
            </w:tcBorders>
            <w:shd w:val="clear" w:color="auto" w:fill="AAABD6"/>
          </w:tcPr>
          <w:p w14:paraId="705D13B1" w14:textId="77777777" w:rsidR="00CA1033" w:rsidRPr="00100F0A" w:rsidRDefault="00CA1033" w:rsidP="00B179AD">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2020</w:t>
            </w:r>
          </w:p>
        </w:tc>
        <w:tc>
          <w:tcPr>
            <w:tcW w:w="680" w:type="dxa"/>
            <w:tcBorders>
              <w:top w:val="single" w:sz="4" w:space="0" w:color="AAABD6"/>
              <w:bottom w:val="single" w:sz="4" w:space="0" w:color="AAABD6"/>
              <w:right w:val="single" w:sz="4" w:space="0" w:color="AAABD6"/>
            </w:tcBorders>
            <w:shd w:val="clear" w:color="auto" w:fill="AAABD6"/>
          </w:tcPr>
          <w:p w14:paraId="3DC9541A" w14:textId="77777777" w:rsidR="00CA1033" w:rsidRPr="00100F0A" w:rsidRDefault="00CA1033" w:rsidP="00B179AD">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2021</w:t>
            </w:r>
          </w:p>
        </w:tc>
        <w:tc>
          <w:tcPr>
            <w:tcW w:w="680" w:type="dxa"/>
            <w:tcBorders>
              <w:top w:val="single" w:sz="4" w:space="0" w:color="AAABD6"/>
              <w:bottom w:val="single" w:sz="4" w:space="0" w:color="AAABD6"/>
              <w:right w:val="single" w:sz="4" w:space="0" w:color="AAABD6"/>
            </w:tcBorders>
            <w:shd w:val="clear" w:color="auto" w:fill="AAABD6"/>
          </w:tcPr>
          <w:p w14:paraId="6FAC4B60" w14:textId="77777777" w:rsidR="00CA1033" w:rsidRPr="00100F0A" w:rsidRDefault="00CA1033" w:rsidP="00B179AD">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2022</w:t>
            </w:r>
          </w:p>
        </w:tc>
        <w:tc>
          <w:tcPr>
            <w:tcW w:w="680" w:type="dxa"/>
            <w:tcBorders>
              <w:top w:val="single" w:sz="4" w:space="0" w:color="AAABD6"/>
              <w:bottom w:val="single" w:sz="4" w:space="0" w:color="AAABD6"/>
              <w:right w:val="single" w:sz="4" w:space="0" w:color="AAABD6"/>
            </w:tcBorders>
            <w:shd w:val="clear" w:color="auto" w:fill="AAABD6"/>
          </w:tcPr>
          <w:p w14:paraId="3FD48B39" w14:textId="77777777" w:rsidR="00CA1033" w:rsidRPr="00100F0A" w:rsidRDefault="00CA1033" w:rsidP="00B179AD">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2023</w:t>
            </w:r>
          </w:p>
        </w:tc>
        <w:tc>
          <w:tcPr>
            <w:tcW w:w="680" w:type="dxa"/>
            <w:tcBorders>
              <w:top w:val="single" w:sz="4" w:space="0" w:color="AAABD6"/>
              <w:bottom w:val="single" w:sz="4" w:space="0" w:color="AAABD6"/>
              <w:right w:val="single" w:sz="4" w:space="0" w:color="AAABD6"/>
            </w:tcBorders>
            <w:shd w:val="clear" w:color="auto" w:fill="AAABD6"/>
          </w:tcPr>
          <w:p w14:paraId="57EDF288" w14:textId="77777777" w:rsidR="00CA1033" w:rsidRPr="00100F0A" w:rsidRDefault="00CA1033" w:rsidP="00B179AD">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2024</w:t>
            </w:r>
          </w:p>
        </w:tc>
        <w:tc>
          <w:tcPr>
            <w:tcW w:w="680" w:type="dxa"/>
            <w:tcBorders>
              <w:top w:val="single" w:sz="4" w:space="0" w:color="AAABD6"/>
              <w:bottom w:val="single" w:sz="4" w:space="0" w:color="AAABD6"/>
              <w:right w:val="single" w:sz="4" w:space="0" w:color="AAABD6"/>
            </w:tcBorders>
            <w:shd w:val="clear" w:color="auto" w:fill="AAABD6"/>
          </w:tcPr>
          <w:p w14:paraId="5E7E29AA" w14:textId="77777777" w:rsidR="00CA1033" w:rsidRPr="00100F0A" w:rsidRDefault="00CA1033" w:rsidP="00B179AD">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2025</w:t>
            </w:r>
          </w:p>
        </w:tc>
        <w:tc>
          <w:tcPr>
            <w:tcW w:w="680" w:type="dxa"/>
            <w:tcBorders>
              <w:top w:val="single" w:sz="4" w:space="0" w:color="AAABD6"/>
              <w:bottom w:val="single" w:sz="4" w:space="0" w:color="AAABD6"/>
              <w:right w:val="single" w:sz="4" w:space="0" w:color="AAABD6"/>
            </w:tcBorders>
            <w:shd w:val="clear" w:color="auto" w:fill="AAABD6"/>
          </w:tcPr>
          <w:p w14:paraId="29114BEE" w14:textId="77777777" w:rsidR="00CA1033" w:rsidRPr="00100F0A" w:rsidRDefault="00CA1033" w:rsidP="00B179AD">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2026</w:t>
            </w:r>
          </w:p>
        </w:tc>
        <w:tc>
          <w:tcPr>
            <w:tcW w:w="680" w:type="dxa"/>
            <w:tcBorders>
              <w:top w:val="single" w:sz="4" w:space="0" w:color="AAABD6"/>
              <w:bottom w:val="single" w:sz="4" w:space="0" w:color="AAABD6"/>
              <w:right w:val="single" w:sz="4" w:space="0" w:color="AAABD6"/>
            </w:tcBorders>
            <w:shd w:val="clear" w:color="auto" w:fill="AAABD6"/>
          </w:tcPr>
          <w:p w14:paraId="179AB5E4" w14:textId="77777777" w:rsidR="00CA1033" w:rsidRPr="00100F0A" w:rsidRDefault="00CA1033" w:rsidP="00B179AD">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2027</w:t>
            </w:r>
          </w:p>
        </w:tc>
        <w:tc>
          <w:tcPr>
            <w:tcW w:w="680" w:type="dxa"/>
            <w:tcBorders>
              <w:top w:val="single" w:sz="4" w:space="0" w:color="AAABD6"/>
              <w:bottom w:val="single" w:sz="4" w:space="0" w:color="AAABD6"/>
              <w:right w:val="single" w:sz="4" w:space="0" w:color="AAABD6"/>
            </w:tcBorders>
            <w:shd w:val="clear" w:color="auto" w:fill="AAABD6"/>
          </w:tcPr>
          <w:p w14:paraId="2540A9CC" w14:textId="77777777" w:rsidR="00CA1033" w:rsidRPr="00100F0A" w:rsidRDefault="00CA1033" w:rsidP="00B179AD">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2028</w:t>
            </w:r>
          </w:p>
        </w:tc>
        <w:tc>
          <w:tcPr>
            <w:tcW w:w="680" w:type="dxa"/>
            <w:tcBorders>
              <w:top w:val="single" w:sz="4" w:space="0" w:color="AAABD6"/>
              <w:bottom w:val="single" w:sz="4" w:space="0" w:color="AAABD6"/>
              <w:right w:val="single" w:sz="4" w:space="0" w:color="AAABD6"/>
            </w:tcBorders>
            <w:shd w:val="clear" w:color="auto" w:fill="AAABD6"/>
          </w:tcPr>
          <w:p w14:paraId="3CBEB2E7" w14:textId="77777777" w:rsidR="00CA1033" w:rsidRPr="00100F0A" w:rsidRDefault="00CA1033" w:rsidP="00B179AD">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2029</w:t>
            </w:r>
          </w:p>
        </w:tc>
        <w:tc>
          <w:tcPr>
            <w:tcW w:w="680" w:type="dxa"/>
            <w:tcBorders>
              <w:top w:val="single" w:sz="4" w:space="0" w:color="AAABD6"/>
              <w:bottom w:val="single" w:sz="4" w:space="0" w:color="AAABD6"/>
              <w:right w:val="single" w:sz="4" w:space="0" w:color="AAABD6"/>
            </w:tcBorders>
            <w:shd w:val="clear" w:color="auto" w:fill="AAABD6"/>
          </w:tcPr>
          <w:p w14:paraId="7AE21FCE" w14:textId="77777777" w:rsidR="00CA1033" w:rsidRPr="00100F0A" w:rsidRDefault="00CA1033" w:rsidP="00B179AD">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2030</w:t>
            </w:r>
          </w:p>
        </w:tc>
        <w:tc>
          <w:tcPr>
            <w:tcW w:w="680" w:type="dxa"/>
            <w:tcBorders>
              <w:top w:val="single" w:sz="4" w:space="0" w:color="AAABD6"/>
              <w:bottom w:val="single" w:sz="4" w:space="0" w:color="AAABD6"/>
              <w:right w:val="single" w:sz="4" w:space="0" w:color="AAABD6"/>
            </w:tcBorders>
            <w:shd w:val="clear" w:color="auto" w:fill="AAABD6"/>
          </w:tcPr>
          <w:p w14:paraId="4FEB2483" w14:textId="77777777" w:rsidR="00CA1033" w:rsidRPr="00100F0A" w:rsidRDefault="00CA1033" w:rsidP="00B179AD">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2031</w:t>
            </w:r>
          </w:p>
        </w:tc>
        <w:tc>
          <w:tcPr>
            <w:tcW w:w="680" w:type="dxa"/>
            <w:tcBorders>
              <w:top w:val="single" w:sz="4" w:space="0" w:color="AAABD6"/>
              <w:bottom w:val="single" w:sz="4" w:space="0" w:color="AAABD6"/>
              <w:right w:val="single" w:sz="4" w:space="0" w:color="AAABD6"/>
            </w:tcBorders>
            <w:shd w:val="clear" w:color="auto" w:fill="AAABD6"/>
          </w:tcPr>
          <w:p w14:paraId="0AE4870A" w14:textId="77777777" w:rsidR="00CA1033" w:rsidRPr="00100F0A" w:rsidRDefault="00CA1033" w:rsidP="00B179AD">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2032</w:t>
            </w:r>
          </w:p>
        </w:tc>
        <w:tc>
          <w:tcPr>
            <w:tcW w:w="680" w:type="dxa"/>
            <w:tcBorders>
              <w:top w:val="single" w:sz="4" w:space="0" w:color="AAABD6"/>
              <w:bottom w:val="single" w:sz="4" w:space="0" w:color="AAABD6"/>
              <w:right w:val="single" w:sz="4" w:space="0" w:color="AAABD6"/>
            </w:tcBorders>
            <w:shd w:val="clear" w:color="auto" w:fill="AAABD6"/>
          </w:tcPr>
          <w:p w14:paraId="7C1D4F1D" w14:textId="77777777" w:rsidR="00CA1033" w:rsidRPr="00100F0A" w:rsidRDefault="00CA1033" w:rsidP="00B179AD">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2033</w:t>
            </w:r>
          </w:p>
        </w:tc>
        <w:tc>
          <w:tcPr>
            <w:tcW w:w="680" w:type="dxa"/>
            <w:tcBorders>
              <w:top w:val="single" w:sz="4" w:space="0" w:color="AAABD6"/>
              <w:bottom w:val="single" w:sz="4" w:space="0" w:color="AAABD6"/>
              <w:right w:val="single" w:sz="4" w:space="0" w:color="AAABD6"/>
            </w:tcBorders>
            <w:shd w:val="clear" w:color="auto" w:fill="AAABD6"/>
          </w:tcPr>
          <w:p w14:paraId="0B710C7E" w14:textId="77777777" w:rsidR="00CA1033" w:rsidRPr="00100F0A" w:rsidRDefault="00CA1033" w:rsidP="00B179AD">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2034</w:t>
            </w:r>
          </w:p>
        </w:tc>
        <w:tc>
          <w:tcPr>
            <w:tcW w:w="680" w:type="dxa"/>
            <w:tcBorders>
              <w:top w:val="single" w:sz="4" w:space="0" w:color="AAABD6"/>
              <w:bottom w:val="single" w:sz="4" w:space="0" w:color="AAABD6"/>
              <w:right w:val="single" w:sz="4" w:space="0" w:color="AAABD6"/>
            </w:tcBorders>
            <w:shd w:val="clear" w:color="auto" w:fill="AAABD6"/>
          </w:tcPr>
          <w:p w14:paraId="0AF8E21E" w14:textId="77777777" w:rsidR="00CA1033" w:rsidRPr="00100F0A" w:rsidRDefault="00CA1033" w:rsidP="00B179AD">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2035</w:t>
            </w:r>
          </w:p>
        </w:tc>
        <w:tc>
          <w:tcPr>
            <w:tcW w:w="680" w:type="dxa"/>
            <w:tcBorders>
              <w:top w:val="single" w:sz="4" w:space="0" w:color="AAABD6"/>
              <w:bottom w:val="single" w:sz="4" w:space="0" w:color="AAABD6"/>
              <w:right w:val="single" w:sz="4" w:space="0" w:color="AAABD6"/>
            </w:tcBorders>
            <w:shd w:val="clear" w:color="auto" w:fill="AAABD6"/>
          </w:tcPr>
          <w:p w14:paraId="0907500D" w14:textId="77777777" w:rsidR="00CA1033" w:rsidRPr="00100F0A" w:rsidRDefault="00CA1033" w:rsidP="00B179AD">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2036</w:t>
            </w:r>
          </w:p>
        </w:tc>
        <w:tc>
          <w:tcPr>
            <w:tcW w:w="680" w:type="dxa"/>
            <w:tcBorders>
              <w:top w:val="single" w:sz="4" w:space="0" w:color="AAABD6"/>
              <w:bottom w:val="single" w:sz="4" w:space="0" w:color="AAABD6"/>
              <w:right w:val="single" w:sz="4" w:space="0" w:color="AAABD6"/>
            </w:tcBorders>
            <w:shd w:val="clear" w:color="auto" w:fill="AAABD6"/>
          </w:tcPr>
          <w:p w14:paraId="7896AA35" w14:textId="77777777" w:rsidR="00CA1033" w:rsidRPr="00100F0A" w:rsidRDefault="00CA1033" w:rsidP="00B179AD">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00F0A">
              <w:rPr>
                <w:color w:val="FFFFFF" w:themeColor="background1"/>
                <w:sz w:val="16"/>
                <w:szCs w:val="16"/>
              </w:rPr>
              <w:t>2037</w:t>
            </w:r>
          </w:p>
        </w:tc>
      </w:tr>
      <w:tr w:rsidR="00CA1033" w:rsidRPr="00100F0A" w14:paraId="535FB91F" w14:textId="77777777" w:rsidTr="004206B0">
        <w:trPr>
          <w:jc w:val="center"/>
        </w:trPr>
        <w:tc>
          <w:tcPr>
            <w:cnfStyle w:val="001000000000" w:firstRow="0" w:lastRow="0" w:firstColumn="1" w:lastColumn="0" w:oddVBand="0" w:evenVBand="0" w:oddHBand="0" w:evenHBand="0" w:firstRowFirstColumn="0" w:firstRowLastColumn="0" w:lastRowFirstColumn="0" w:lastRowLastColumn="0"/>
            <w:tcW w:w="0" w:type="dxa"/>
            <w:gridSpan w:val="2"/>
            <w:tcBorders>
              <w:top w:val="single" w:sz="4" w:space="0" w:color="AAABD6"/>
              <w:left w:val="single" w:sz="4" w:space="0" w:color="AAABD6"/>
              <w:right w:val="single" w:sz="4" w:space="0" w:color="AAABD6"/>
            </w:tcBorders>
          </w:tcPr>
          <w:p w14:paraId="4BB8138F" w14:textId="1F6D227D" w:rsidR="00CA1033" w:rsidRPr="00100F0A" w:rsidRDefault="00CA1033" w:rsidP="00B179AD">
            <w:pPr>
              <w:rPr>
                <w:sz w:val="16"/>
                <w:szCs w:val="16"/>
              </w:rPr>
            </w:pPr>
            <w:r w:rsidRPr="00100F0A">
              <w:rPr>
                <w:iCs/>
                <w:color w:val="4D4DB8"/>
                <w:sz w:val="16"/>
                <w:szCs w:val="16"/>
              </w:rPr>
              <w:t>Arisings – absolute tpa</w:t>
            </w:r>
          </w:p>
        </w:tc>
        <w:tc>
          <w:tcPr>
            <w:tcW w:w="0" w:type="dxa"/>
            <w:gridSpan w:val="2"/>
            <w:tcBorders>
              <w:top w:val="single" w:sz="4" w:space="0" w:color="AAABD6"/>
              <w:left w:val="single" w:sz="4" w:space="0" w:color="AAABD6"/>
              <w:right w:val="single" w:sz="4" w:space="0" w:color="AAABD6"/>
            </w:tcBorders>
            <w:shd w:val="clear" w:color="auto" w:fill="auto"/>
          </w:tcPr>
          <w:p w14:paraId="6FD341E4"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iCs/>
                <w:color w:val="4D4DB8"/>
                <w:sz w:val="16"/>
                <w:szCs w:val="16"/>
              </w:rPr>
            </w:pPr>
            <w:r w:rsidRPr="00100F0A">
              <w:rPr>
                <w:iCs/>
                <w:color w:val="4D4DB8"/>
                <w:sz w:val="16"/>
                <w:szCs w:val="16"/>
              </w:rPr>
              <w:t>Proportions</w:t>
            </w:r>
          </w:p>
        </w:tc>
        <w:tc>
          <w:tcPr>
            <w:tcW w:w="0" w:type="dxa"/>
            <w:tcBorders>
              <w:top w:val="single" w:sz="4" w:space="0" w:color="AAABD6"/>
              <w:left w:val="single" w:sz="4" w:space="0" w:color="AAABD6"/>
              <w:bottom w:val="dotted" w:sz="4" w:space="0" w:color="AAABD6"/>
              <w:right w:val="single" w:sz="4" w:space="0" w:color="AAABD6"/>
            </w:tcBorders>
            <w:shd w:val="clear" w:color="auto" w:fill="auto"/>
          </w:tcPr>
          <w:p w14:paraId="1693CC14"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iCs/>
                <w:color w:val="4D4DB8"/>
                <w:sz w:val="16"/>
                <w:szCs w:val="16"/>
              </w:rPr>
            </w:pPr>
          </w:p>
        </w:tc>
        <w:tc>
          <w:tcPr>
            <w:tcW w:w="0" w:type="dxa"/>
            <w:gridSpan w:val="19"/>
            <w:tcBorders>
              <w:top w:val="single" w:sz="4" w:space="0" w:color="AAABD6"/>
              <w:left w:val="single" w:sz="4" w:space="0" w:color="AAABD6"/>
              <w:bottom w:val="dotted" w:sz="4" w:space="0" w:color="AAABD6"/>
              <w:right w:val="single" w:sz="4" w:space="0" w:color="AAABD6"/>
            </w:tcBorders>
          </w:tcPr>
          <w:p w14:paraId="3F08E5AB"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r>
      <w:tr w:rsidR="00CA1033" w:rsidRPr="00100F0A" w14:paraId="23100E14" w14:textId="77777777" w:rsidTr="004206B0">
        <w:trPr>
          <w:jc w:val="center"/>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4" w:space="0" w:color="AAABD6"/>
              <w:left w:val="single" w:sz="4" w:space="0" w:color="AAABD6"/>
              <w:right w:val="single" w:sz="4" w:space="0" w:color="AAABD6"/>
            </w:tcBorders>
          </w:tcPr>
          <w:p w14:paraId="1A4DB899" w14:textId="77777777" w:rsidR="00CA1033" w:rsidRPr="00100F0A" w:rsidRDefault="00CA1033" w:rsidP="00B179AD">
            <w:pPr>
              <w:rPr>
                <w:sz w:val="16"/>
                <w:szCs w:val="16"/>
              </w:rPr>
            </w:pPr>
            <w:r w:rsidRPr="00100F0A">
              <w:rPr>
                <w:sz w:val="16"/>
                <w:szCs w:val="16"/>
              </w:rPr>
              <w:t>Best</w:t>
            </w:r>
          </w:p>
        </w:tc>
        <w:tc>
          <w:tcPr>
            <w:tcW w:w="0" w:type="dxa"/>
            <w:tcBorders>
              <w:top w:val="single" w:sz="4" w:space="0" w:color="AAABD6"/>
              <w:left w:val="single" w:sz="4" w:space="0" w:color="AAABD6"/>
              <w:bottom w:val="dotted" w:sz="4" w:space="0" w:color="AAABD6"/>
              <w:right w:val="single" w:sz="4" w:space="0" w:color="AAABD6"/>
            </w:tcBorders>
          </w:tcPr>
          <w:p w14:paraId="32AF935C" w14:textId="77777777" w:rsidR="00CA1033" w:rsidRPr="00100F0A" w:rsidRDefault="00CA1033" w:rsidP="00B179AD">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ACT</w:t>
            </w:r>
          </w:p>
        </w:tc>
        <w:tc>
          <w:tcPr>
            <w:tcW w:w="0" w:type="dxa"/>
            <w:vMerge w:val="restart"/>
            <w:tcBorders>
              <w:top w:val="single" w:sz="4" w:space="0" w:color="AAABD6"/>
              <w:left w:val="single" w:sz="4" w:space="0" w:color="AAABD6"/>
              <w:right w:val="single" w:sz="4" w:space="0" w:color="AAABD6"/>
            </w:tcBorders>
            <w:vAlign w:val="center"/>
          </w:tcPr>
          <w:p w14:paraId="14B4F8BB" w14:textId="0CB8062D" w:rsidR="00CA1033" w:rsidRPr="00100F0A" w:rsidRDefault="00CA1033" w:rsidP="00B179AD">
            <w:pPr>
              <w:cnfStyle w:val="000000000000" w:firstRow="0" w:lastRow="0" w:firstColumn="0" w:lastColumn="0" w:oddVBand="0" w:evenVBand="0" w:oddHBand="0" w:evenHBand="0" w:firstRowFirstColumn="0" w:firstRowLastColumn="0" w:lastRowFirstColumn="0" w:lastRowLastColumn="0"/>
              <w:rPr>
                <w:sz w:val="16"/>
                <w:szCs w:val="16"/>
              </w:rPr>
            </w:pPr>
            <w:r w:rsidRPr="00100F0A">
              <w:rPr>
                <w:rFonts w:cs="Calibri"/>
                <w:color w:val="000000"/>
                <w:sz w:val="16"/>
                <w:szCs w:val="16"/>
              </w:rPr>
              <w:t xml:space="preserve">Best: Assume rate of destruction </w:t>
            </w:r>
            <w:r w:rsidR="00387CBE" w:rsidRPr="00100F0A">
              <w:rPr>
                <w:rFonts w:cs="Calibri"/>
                <w:color w:val="000000"/>
                <w:sz w:val="16"/>
                <w:szCs w:val="16"/>
              </w:rPr>
              <w:t>continues at</w:t>
            </w:r>
            <w:r w:rsidRPr="00100F0A">
              <w:rPr>
                <w:rFonts w:cs="Calibri"/>
                <w:color w:val="000000"/>
                <w:sz w:val="16"/>
                <w:szCs w:val="16"/>
              </w:rPr>
              <w:t xml:space="preserve"> the 2010-2013 rate (8%)</w:t>
            </w:r>
          </w:p>
        </w:tc>
        <w:tc>
          <w:tcPr>
            <w:tcW w:w="0" w:type="dxa"/>
            <w:tcBorders>
              <w:top w:val="single" w:sz="4" w:space="0" w:color="AAABD6"/>
              <w:left w:val="single" w:sz="4" w:space="0" w:color="AAABD6"/>
              <w:bottom w:val="dotted" w:sz="4" w:space="0" w:color="AAABD6"/>
              <w:right w:val="single" w:sz="4" w:space="0" w:color="AAABD6"/>
            </w:tcBorders>
            <w:shd w:val="clear" w:color="auto" w:fill="auto"/>
          </w:tcPr>
          <w:p w14:paraId="7DB6DC45"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iCs/>
                <w:color w:val="4D4DB8"/>
                <w:sz w:val="16"/>
                <w:szCs w:val="16"/>
              </w:rPr>
            </w:pPr>
            <w:r w:rsidRPr="00100F0A">
              <w:rPr>
                <w:iCs/>
                <w:color w:val="4D4DB8"/>
                <w:sz w:val="16"/>
                <w:szCs w:val="16"/>
              </w:rPr>
              <w:t>2%</w:t>
            </w:r>
          </w:p>
        </w:tc>
        <w:tc>
          <w:tcPr>
            <w:tcW w:w="0" w:type="dxa"/>
            <w:tcBorders>
              <w:top w:val="single" w:sz="4" w:space="0" w:color="AAABD6"/>
              <w:left w:val="single" w:sz="4" w:space="0" w:color="AAABD6"/>
              <w:bottom w:val="dotted" w:sz="4" w:space="0" w:color="AAABD6"/>
              <w:right w:val="single" w:sz="4" w:space="0" w:color="AAABD6"/>
            </w:tcBorders>
            <w:shd w:val="clear" w:color="auto" w:fill="auto"/>
            <w:vAlign w:val="bottom"/>
          </w:tcPr>
          <w:p w14:paraId="6B2D4810"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iCs/>
                <w:color w:val="000000" w:themeColor="text1"/>
                <w:sz w:val="16"/>
                <w:szCs w:val="16"/>
              </w:rPr>
            </w:pPr>
            <w:r w:rsidRPr="00100F0A">
              <w:rPr>
                <w:rFonts w:cs="Calibri"/>
                <w:color w:val="000000" w:themeColor="text1"/>
                <w:sz w:val="16"/>
                <w:szCs w:val="16"/>
              </w:rPr>
              <w:t>2</w:t>
            </w:r>
          </w:p>
        </w:tc>
        <w:tc>
          <w:tcPr>
            <w:tcW w:w="0" w:type="dxa"/>
            <w:tcBorders>
              <w:top w:val="single" w:sz="4" w:space="0" w:color="AAABD6"/>
              <w:left w:val="single" w:sz="4" w:space="0" w:color="AAABD6"/>
              <w:bottom w:val="dotted" w:sz="4" w:space="0" w:color="AAABD6"/>
              <w:right w:val="single" w:sz="4" w:space="0" w:color="AAABD6"/>
            </w:tcBorders>
            <w:vAlign w:val="bottom"/>
          </w:tcPr>
          <w:p w14:paraId="43327789"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w:t>
            </w:r>
          </w:p>
        </w:tc>
        <w:tc>
          <w:tcPr>
            <w:tcW w:w="0" w:type="dxa"/>
            <w:tcBorders>
              <w:top w:val="single" w:sz="4" w:space="0" w:color="AAABD6"/>
              <w:left w:val="single" w:sz="4" w:space="0" w:color="AAABD6"/>
              <w:bottom w:val="dotted" w:sz="4" w:space="0" w:color="AAABD6"/>
              <w:right w:val="single" w:sz="4" w:space="0" w:color="AAABD6"/>
            </w:tcBorders>
            <w:vAlign w:val="bottom"/>
          </w:tcPr>
          <w:p w14:paraId="0220A800"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w:t>
            </w:r>
          </w:p>
        </w:tc>
        <w:tc>
          <w:tcPr>
            <w:tcW w:w="0" w:type="dxa"/>
            <w:tcBorders>
              <w:top w:val="single" w:sz="4" w:space="0" w:color="AAABD6"/>
              <w:left w:val="single" w:sz="4" w:space="0" w:color="AAABD6"/>
              <w:bottom w:val="dotted" w:sz="4" w:space="0" w:color="AAABD6"/>
              <w:right w:val="single" w:sz="4" w:space="0" w:color="AAABD6"/>
            </w:tcBorders>
            <w:vAlign w:val="bottom"/>
          </w:tcPr>
          <w:p w14:paraId="39D9CAB0"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w:t>
            </w:r>
          </w:p>
        </w:tc>
        <w:tc>
          <w:tcPr>
            <w:tcW w:w="0" w:type="dxa"/>
            <w:tcBorders>
              <w:top w:val="single" w:sz="4" w:space="0" w:color="AAABD6"/>
              <w:left w:val="single" w:sz="4" w:space="0" w:color="AAABD6"/>
              <w:bottom w:val="dotted" w:sz="4" w:space="0" w:color="AAABD6"/>
              <w:right w:val="single" w:sz="4" w:space="0" w:color="AAABD6"/>
            </w:tcBorders>
            <w:vAlign w:val="bottom"/>
          </w:tcPr>
          <w:p w14:paraId="73418EBD"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w:t>
            </w:r>
          </w:p>
        </w:tc>
        <w:tc>
          <w:tcPr>
            <w:tcW w:w="0" w:type="dxa"/>
            <w:tcBorders>
              <w:top w:val="single" w:sz="4" w:space="0" w:color="AAABD6"/>
              <w:left w:val="single" w:sz="4" w:space="0" w:color="AAABD6"/>
              <w:bottom w:val="dotted" w:sz="4" w:space="0" w:color="AAABD6"/>
              <w:right w:val="single" w:sz="4" w:space="0" w:color="AAABD6"/>
            </w:tcBorders>
            <w:vAlign w:val="bottom"/>
          </w:tcPr>
          <w:p w14:paraId="350DE079"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w:t>
            </w:r>
          </w:p>
        </w:tc>
        <w:tc>
          <w:tcPr>
            <w:tcW w:w="0" w:type="dxa"/>
            <w:tcBorders>
              <w:top w:val="single" w:sz="4" w:space="0" w:color="AAABD6"/>
              <w:left w:val="single" w:sz="4" w:space="0" w:color="AAABD6"/>
              <w:bottom w:val="dotted" w:sz="4" w:space="0" w:color="AAABD6"/>
              <w:right w:val="single" w:sz="4" w:space="0" w:color="AAABD6"/>
            </w:tcBorders>
            <w:vAlign w:val="bottom"/>
          </w:tcPr>
          <w:p w14:paraId="70694684"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w:t>
            </w:r>
          </w:p>
        </w:tc>
        <w:tc>
          <w:tcPr>
            <w:tcW w:w="0" w:type="dxa"/>
            <w:tcBorders>
              <w:top w:val="single" w:sz="4" w:space="0" w:color="AAABD6"/>
              <w:left w:val="single" w:sz="4" w:space="0" w:color="AAABD6"/>
              <w:bottom w:val="dotted" w:sz="4" w:space="0" w:color="AAABD6"/>
              <w:right w:val="single" w:sz="4" w:space="0" w:color="AAABD6"/>
            </w:tcBorders>
            <w:vAlign w:val="bottom"/>
          </w:tcPr>
          <w:p w14:paraId="11C31783"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w:t>
            </w:r>
          </w:p>
        </w:tc>
        <w:tc>
          <w:tcPr>
            <w:tcW w:w="0" w:type="dxa"/>
            <w:tcBorders>
              <w:top w:val="single" w:sz="4" w:space="0" w:color="AAABD6"/>
              <w:left w:val="single" w:sz="4" w:space="0" w:color="AAABD6"/>
              <w:bottom w:val="dotted" w:sz="4" w:space="0" w:color="AAABD6"/>
              <w:right w:val="single" w:sz="4" w:space="0" w:color="AAABD6"/>
            </w:tcBorders>
            <w:vAlign w:val="bottom"/>
          </w:tcPr>
          <w:p w14:paraId="0469C340"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w:t>
            </w:r>
          </w:p>
        </w:tc>
        <w:tc>
          <w:tcPr>
            <w:tcW w:w="0" w:type="dxa"/>
            <w:tcBorders>
              <w:top w:val="single" w:sz="4" w:space="0" w:color="AAABD6"/>
              <w:left w:val="single" w:sz="4" w:space="0" w:color="AAABD6"/>
              <w:bottom w:val="dotted" w:sz="4" w:space="0" w:color="AAABD6"/>
              <w:right w:val="single" w:sz="4" w:space="0" w:color="AAABD6"/>
            </w:tcBorders>
            <w:vAlign w:val="bottom"/>
          </w:tcPr>
          <w:p w14:paraId="68742CBD"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w:t>
            </w:r>
          </w:p>
        </w:tc>
        <w:tc>
          <w:tcPr>
            <w:tcW w:w="0" w:type="dxa"/>
            <w:tcBorders>
              <w:top w:val="single" w:sz="4" w:space="0" w:color="AAABD6"/>
              <w:left w:val="single" w:sz="4" w:space="0" w:color="AAABD6"/>
              <w:bottom w:val="dotted" w:sz="4" w:space="0" w:color="AAABD6"/>
              <w:right w:val="single" w:sz="4" w:space="0" w:color="AAABD6"/>
            </w:tcBorders>
            <w:vAlign w:val="bottom"/>
          </w:tcPr>
          <w:p w14:paraId="4BE53B3B"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w:t>
            </w:r>
          </w:p>
        </w:tc>
        <w:tc>
          <w:tcPr>
            <w:tcW w:w="0" w:type="dxa"/>
            <w:tcBorders>
              <w:top w:val="single" w:sz="4" w:space="0" w:color="AAABD6"/>
              <w:left w:val="single" w:sz="4" w:space="0" w:color="AAABD6"/>
              <w:bottom w:val="dotted" w:sz="4" w:space="0" w:color="AAABD6"/>
              <w:right w:val="single" w:sz="4" w:space="0" w:color="AAABD6"/>
            </w:tcBorders>
            <w:vAlign w:val="bottom"/>
          </w:tcPr>
          <w:p w14:paraId="341E27D7"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w:t>
            </w:r>
          </w:p>
        </w:tc>
        <w:tc>
          <w:tcPr>
            <w:tcW w:w="0" w:type="dxa"/>
            <w:tcBorders>
              <w:top w:val="single" w:sz="4" w:space="0" w:color="AAABD6"/>
              <w:left w:val="single" w:sz="4" w:space="0" w:color="AAABD6"/>
              <w:bottom w:val="dotted" w:sz="4" w:space="0" w:color="AAABD6"/>
              <w:right w:val="single" w:sz="4" w:space="0" w:color="AAABD6"/>
            </w:tcBorders>
            <w:vAlign w:val="bottom"/>
          </w:tcPr>
          <w:p w14:paraId="03EB420B"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w:t>
            </w:r>
          </w:p>
        </w:tc>
        <w:tc>
          <w:tcPr>
            <w:tcW w:w="0" w:type="dxa"/>
            <w:tcBorders>
              <w:top w:val="single" w:sz="4" w:space="0" w:color="AAABD6"/>
              <w:left w:val="single" w:sz="4" w:space="0" w:color="AAABD6"/>
              <w:bottom w:val="dotted" w:sz="4" w:space="0" w:color="AAABD6"/>
              <w:right w:val="single" w:sz="4" w:space="0" w:color="AAABD6"/>
            </w:tcBorders>
          </w:tcPr>
          <w:p w14:paraId="735158CA"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single" w:sz="4" w:space="0" w:color="AAABD6"/>
              <w:left w:val="single" w:sz="4" w:space="0" w:color="AAABD6"/>
              <w:bottom w:val="dotted" w:sz="4" w:space="0" w:color="AAABD6"/>
              <w:right w:val="single" w:sz="4" w:space="0" w:color="AAABD6"/>
            </w:tcBorders>
          </w:tcPr>
          <w:p w14:paraId="12C83173"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single" w:sz="4" w:space="0" w:color="AAABD6"/>
              <w:left w:val="single" w:sz="4" w:space="0" w:color="AAABD6"/>
              <w:bottom w:val="dotted" w:sz="4" w:space="0" w:color="AAABD6"/>
              <w:right w:val="single" w:sz="4" w:space="0" w:color="AAABD6"/>
            </w:tcBorders>
          </w:tcPr>
          <w:p w14:paraId="251DCA31"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single" w:sz="4" w:space="0" w:color="AAABD6"/>
              <w:left w:val="single" w:sz="4" w:space="0" w:color="AAABD6"/>
              <w:bottom w:val="dotted" w:sz="4" w:space="0" w:color="AAABD6"/>
              <w:right w:val="single" w:sz="4" w:space="0" w:color="AAABD6"/>
            </w:tcBorders>
          </w:tcPr>
          <w:p w14:paraId="02E2833C"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single" w:sz="4" w:space="0" w:color="AAABD6"/>
              <w:left w:val="single" w:sz="4" w:space="0" w:color="AAABD6"/>
              <w:bottom w:val="dotted" w:sz="4" w:space="0" w:color="AAABD6"/>
              <w:right w:val="single" w:sz="4" w:space="0" w:color="AAABD6"/>
            </w:tcBorders>
          </w:tcPr>
          <w:p w14:paraId="46D14892"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single" w:sz="4" w:space="0" w:color="AAABD6"/>
              <w:left w:val="single" w:sz="4" w:space="0" w:color="AAABD6"/>
              <w:bottom w:val="dotted" w:sz="4" w:space="0" w:color="AAABD6"/>
              <w:right w:val="single" w:sz="4" w:space="0" w:color="AAABD6"/>
            </w:tcBorders>
          </w:tcPr>
          <w:p w14:paraId="65D9F696"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single" w:sz="4" w:space="0" w:color="AAABD6"/>
              <w:left w:val="single" w:sz="4" w:space="0" w:color="AAABD6"/>
              <w:bottom w:val="dotted" w:sz="4" w:space="0" w:color="AAABD6"/>
              <w:right w:val="single" w:sz="4" w:space="0" w:color="AAABD6"/>
            </w:tcBorders>
          </w:tcPr>
          <w:p w14:paraId="75D5B866"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r>
      <w:tr w:rsidR="00CA1033" w:rsidRPr="00100F0A" w14:paraId="1F0330D2" w14:textId="77777777" w:rsidTr="004206B0">
        <w:trPr>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tcPr>
          <w:p w14:paraId="39F8D3D5" w14:textId="77777777" w:rsidR="00CA1033" w:rsidRPr="00100F0A" w:rsidRDefault="00CA1033" w:rsidP="00B179AD">
            <w:pPr>
              <w:rPr>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19E35F8F" w14:textId="77777777" w:rsidR="00CA1033" w:rsidRPr="00100F0A" w:rsidRDefault="00CA1033" w:rsidP="00B179AD">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NSW</w:t>
            </w:r>
          </w:p>
        </w:tc>
        <w:tc>
          <w:tcPr>
            <w:tcW w:w="0" w:type="dxa"/>
            <w:vMerge/>
            <w:tcBorders>
              <w:left w:val="single" w:sz="4" w:space="0" w:color="AAABD6"/>
              <w:right w:val="single" w:sz="4" w:space="0" w:color="AAABD6"/>
            </w:tcBorders>
            <w:vAlign w:val="center"/>
          </w:tcPr>
          <w:p w14:paraId="42D5A7DF" w14:textId="77777777" w:rsidR="00CA1033" w:rsidRPr="00100F0A" w:rsidRDefault="00CA1033" w:rsidP="00B179AD">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dotted" w:sz="4" w:space="0" w:color="AAABD6"/>
              <w:left w:val="single" w:sz="4" w:space="0" w:color="AAABD6"/>
              <w:bottom w:val="dotted" w:sz="4" w:space="0" w:color="AAABD6"/>
              <w:right w:val="single" w:sz="4" w:space="0" w:color="AAABD6"/>
            </w:tcBorders>
            <w:shd w:val="clear" w:color="auto" w:fill="auto"/>
          </w:tcPr>
          <w:p w14:paraId="1995F553"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iCs/>
                <w:color w:val="4D4DB8"/>
                <w:sz w:val="16"/>
                <w:szCs w:val="16"/>
              </w:rPr>
              <w:t>31%</w:t>
            </w:r>
          </w:p>
        </w:tc>
        <w:tc>
          <w:tcPr>
            <w:tcW w:w="0" w:type="dxa"/>
            <w:tcBorders>
              <w:top w:val="dotted" w:sz="4" w:space="0" w:color="AAABD6"/>
              <w:left w:val="single" w:sz="4" w:space="0" w:color="AAABD6"/>
              <w:bottom w:val="dotted" w:sz="4" w:space="0" w:color="AAABD6"/>
              <w:right w:val="single" w:sz="4" w:space="0" w:color="AAABD6"/>
            </w:tcBorders>
            <w:shd w:val="clear" w:color="auto" w:fill="auto"/>
            <w:vAlign w:val="bottom"/>
          </w:tcPr>
          <w:p w14:paraId="28F1266E"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iCs/>
                <w:color w:val="000000" w:themeColor="text1"/>
                <w:sz w:val="16"/>
                <w:szCs w:val="16"/>
              </w:rPr>
            </w:pPr>
            <w:r w:rsidRPr="00100F0A">
              <w:rPr>
                <w:rFonts w:cs="Calibri"/>
                <w:color w:val="000000" w:themeColor="text1"/>
                <w:sz w:val="16"/>
                <w:szCs w:val="16"/>
              </w:rPr>
              <w:t>37</w:t>
            </w:r>
          </w:p>
        </w:tc>
        <w:tc>
          <w:tcPr>
            <w:tcW w:w="0" w:type="dxa"/>
            <w:tcBorders>
              <w:top w:val="dotted" w:sz="4" w:space="0" w:color="AAABD6"/>
              <w:left w:val="single" w:sz="4" w:space="0" w:color="AAABD6"/>
              <w:bottom w:val="dotted" w:sz="4" w:space="0" w:color="AAABD6"/>
              <w:right w:val="single" w:sz="4" w:space="0" w:color="AAABD6"/>
            </w:tcBorders>
            <w:vAlign w:val="bottom"/>
          </w:tcPr>
          <w:p w14:paraId="465C030E"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37</w:t>
            </w:r>
          </w:p>
        </w:tc>
        <w:tc>
          <w:tcPr>
            <w:tcW w:w="0" w:type="dxa"/>
            <w:tcBorders>
              <w:top w:val="dotted" w:sz="4" w:space="0" w:color="AAABD6"/>
              <w:left w:val="single" w:sz="4" w:space="0" w:color="AAABD6"/>
              <w:bottom w:val="dotted" w:sz="4" w:space="0" w:color="AAABD6"/>
              <w:right w:val="single" w:sz="4" w:space="0" w:color="AAABD6"/>
            </w:tcBorders>
            <w:vAlign w:val="bottom"/>
          </w:tcPr>
          <w:p w14:paraId="52EE19A9"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37</w:t>
            </w:r>
          </w:p>
        </w:tc>
        <w:tc>
          <w:tcPr>
            <w:tcW w:w="0" w:type="dxa"/>
            <w:tcBorders>
              <w:top w:val="dotted" w:sz="4" w:space="0" w:color="AAABD6"/>
              <w:left w:val="single" w:sz="4" w:space="0" w:color="AAABD6"/>
              <w:bottom w:val="dotted" w:sz="4" w:space="0" w:color="AAABD6"/>
              <w:right w:val="single" w:sz="4" w:space="0" w:color="AAABD6"/>
            </w:tcBorders>
            <w:vAlign w:val="bottom"/>
          </w:tcPr>
          <w:p w14:paraId="135B3F9D"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37</w:t>
            </w:r>
          </w:p>
        </w:tc>
        <w:tc>
          <w:tcPr>
            <w:tcW w:w="0" w:type="dxa"/>
            <w:tcBorders>
              <w:top w:val="dotted" w:sz="4" w:space="0" w:color="AAABD6"/>
              <w:left w:val="single" w:sz="4" w:space="0" w:color="AAABD6"/>
              <w:bottom w:val="dotted" w:sz="4" w:space="0" w:color="AAABD6"/>
              <w:right w:val="single" w:sz="4" w:space="0" w:color="AAABD6"/>
            </w:tcBorders>
            <w:vAlign w:val="bottom"/>
          </w:tcPr>
          <w:p w14:paraId="2EA42DFF"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37</w:t>
            </w:r>
          </w:p>
        </w:tc>
        <w:tc>
          <w:tcPr>
            <w:tcW w:w="0" w:type="dxa"/>
            <w:tcBorders>
              <w:top w:val="dotted" w:sz="4" w:space="0" w:color="AAABD6"/>
              <w:left w:val="single" w:sz="4" w:space="0" w:color="AAABD6"/>
              <w:bottom w:val="dotted" w:sz="4" w:space="0" w:color="AAABD6"/>
              <w:right w:val="single" w:sz="4" w:space="0" w:color="AAABD6"/>
            </w:tcBorders>
            <w:vAlign w:val="bottom"/>
          </w:tcPr>
          <w:p w14:paraId="6B855FCF"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37</w:t>
            </w:r>
          </w:p>
        </w:tc>
        <w:tc>
          <w:tcPr>
            <w:tcW w:w="0" w:type="dxa"/>
            <w:tcBorders>
              <w:top w:val="dotted" w:sz="4" w:space="0" w:color="AAABD6"/>
              <w:left w:val="single" w:sz="4" w:space="0" w:color="AAABD6"/>
              <w:bottom w:val="dotted" w:sz="4" w:space="0" w:color="AAABD6"/>
              <w:right w:val="single" w:sz="4" w:space="0" w:color="AAABD6"/>
            </w:tcBorders>
            <w:vAlign w:val="bottom"/>
          </w:tcPr>
          <w:p w14:paraId="76B96FAC"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37</w:t>
            </w:r>
          </w:p>
        </w:tc>
        <w:tc>
          <w:tcPr>
            <w:tcW w:w="0" w:type="dxa"/>
            <w:tcBorders>
              <w:top w:val="dotted" w:sz="4" w:space="0" w:color="AAABD6"/>
              <w:left w:val="single" w:sz="4" w:space="0" w:color="AAABD6"/>
              <w:bottom w:val="dotted" w:sz="4" w:space="0" w:color="AAABD6"/>
              <w:right w:val="single" w:sz="4" w:space="0" w:color="AAABD6"/>
            </w:tcBorders>
            <w:vAlign w:val="bottom"/>
          </w:tcPr>
          <w:p w14:paraId="42FE13D8"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37</w:t>
            </w:r>
          </w:p>
        </w:tc>
        <w:tc>
          <w:tcPr>
            <w:tcW w:w="0" w:type="dxa"/>
            <w:tcBorders>
              <w:top w:val="dotted" w:sz="4" w:space="0" w:color="AAABD6"/>
              <w:left w:val="single" w:sz="4" w:space="0" w:color="AAABD6"/>
              <w:bottom w:val="dotted" w:sz="4" w:space="0" w:color="AAABD6"/>
              <w:right w:val="single" w:sz="4" w:space="0" w:color="AAABD6"/>
            </w:tcBorders>
            <w:vAlign w:val="bottom"/>
          </w:tcPr>
          <w:p w14:paraId="284C10C6"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37</w:t>
            </w:r>
          </w:p>
        </w:tc>
        <w:tc>
          <w:tcPr>
            <w:tcW w:w="0" w:type="dxa"/>
            <w:tcBorders>
              <w:top w:val="dotted" w:sz="4" w:space="0" w:color="AAABD6"/>
              <w:left w:val="single" w:sz="4" w:space="0" w:color="AAABD6"/>
              <w:bottom w:val="dotted" w:sz="4" w:space="0" w:color="AAABD6"/>
              <w:right w:val="single" w:sz="4" w:space="0" w:color="AAABD6"/>
            </w:tcBorders>
            <w:vAlign w:val="bottom"/>
          </w:tcPr>
          <w:p w14:paraId="092C4477"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37</w:t>
            </w:r>
          </w:p>
        </w:tc>
        <w:tc>
          <w:tcPr>
            <w:tcW w:w="0" w:type="dxa"/>
            <w:tcBorders>
              <w:top w:val="dotted" w:sz="4" w:space="0" w:color="AAABD6"/>
              <w:left w:val="single" w:sz="4" w:space="0" w:color="AAABD6"/>
              <w:bottom w:val="dotted" w:sz="4" w:space="0" w:color="AAABD6"/>
              <w:right w:val="single" w:sz="4" w:space="0" w:color="AAABD6"/>
            </w:tcBorders>
            <w:vAlign w:val="bottom"/>
          </w:tcPr>
          <w:p w14:paraId="024B361E"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37</w:t>
            </w:r>
          </w:p>
        </w:tc>
        <w:tc>
          <w:tcPr>
            <w:tcW w:w="0" w:type="dxa"/>
            <w:tcBorders>
              <w:top w:val="dotted" w:sz="4" w:space="0" w:color="AAABD6"/>
              <w:left w:val="single" w:sz="4" w:space="0" w:color="AAABD6"/>
              <w:bottom w:val="dotted" w:sz="4" w:space="0" w:color="AAABD6"/>
              <w:right w:val="single" w:sz="4" w:space="0" w:color="AAABD6"/>
            </w:tcBorders>
            <w:vAlign w:val="bottom"/>
          </w:tcPr>
          <w:p w14:paraId="1A67C8CF"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37</w:t>
            </w:r>
          </w:p>
        </w:tc>
        <w:tc>
          <w:tcPr>
            <w:tcW w:w="0" w:type="dxa"/>
            <w:tcBorders>
              <w:top w:val="dotted" w:sz="4" w:space="0" w:color="AAABD6"/>
              <w:left w:val="single" w:sz="4" w:space="0" w:color="AAABD6"/>
              <w:bottom w:val="dotted" w:sz="4" w:space="0" w:color="AAABD6"/>
              <w:right w:val="single" w:sz="4" w:space="0" w:color="AAABD6"/>
            </w:tcBorders>
            <w:vAlign w:val="bottom"/>
          </w:tcPr>
          <w:p w14:paraId="1A8F719D"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37</w:t>
            </w:r>
          </w:p>
        </w:tc>
        <w:tc>
          <w:tcPr>
            <w:tcW w:w="0" w:type="dxa"/>
            <w:tcBorders>
              <w:top w:val="dotted" w:sz="4" w:space="0" w:color="AAABD6"/>
              <w:left w:val="single" w:sz="4" w:space="0" w:color="AAABD6"/>
              <w:bottom w:val="dotted" w:sz="4" w:space="0" w:color="AAABD6"/>
              <w:right w:val="single" w:sz="4" w:space="0" w:color="AAABD6"/>
            </w:tcBorders>
          </w:tcPr>
          <w:p w14:paraId="0C06584C"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6A76214A"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50E8113D"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71EA2693"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3ED6D84D"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5334E866"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2FC47682"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r>
      <w:tr w:rsidR="00CA1033" w:rsidRPr="00100F0A" w14:paraId="66D1D48D" w14:textId="77777777" w:rsidTr="004206B0">
        <w:trPr>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tcPr>
          <w:p w14:paraId="5874A8BA" w14:textId="77777777" w:rsidR="00CA1033" w:rsidRPr="00100F0A" w:rsidRDefault="00CA1033" w:rsidP="00B179AD">
            <w:pPr>
              <w:rPr>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0E79C981" w14:textId="77777777" w:rsidR="00CA1033" w:rsidRPr="00100F0A" w:rsidRDefault="00CA1033" w:rsidP="00B179AD">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NT</w:t>
            </w:r>
          </w:p>
        </w:tc>
        <w:tc>
          <w:tcPr>
            <w:tcW w:w="0" w:type="dxa"/>
            <w:vMerge/>
            <w:tcBorders>
              <w:left w:val="single" w:sz="4" w:space="0" w:color="AAABD6"/>
              <w:right w:val="single" w:sz="4" w:space="0" w:color="AAABD6"/>
            </w:tcBorders>
            <w:vAlign w:val="center"/>
          </w:tcPr>
          <w:p w14:paraId="71341CD9" w14:textId="77777777" w:rsidR="00CA1033" w:rsidRPr="00100F0A" w:rsidRDefault="00CA1033" w:rsidP="00B179AD">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dotted" w:sz="4" w:space="0" w:color="AAABD6"/>
              <w:left w:val="single" w:sz="4" w:space="0" w:color="AAABD6"/>
              <w:bottom w:val="dotted" w:sz="4" w:space="0" w:color="AAABD6"/>
              <w:right w:val="single" w:sz="4" w:space="0" w:color="AAABD6"/>
            </w:tcBorders>
            <w:shd w:val="clear" w:color="auto" w:fill="auto"/>
          </w:tcPr>
          <w:p w14:paraId="77439981"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iCs/>
                <w:color w:val="4D4DB8"/>
                <w:sz w:val="16"/>
                <w:szCs w:val="16"/>
              </w:rPr>
              <w:t>1%</w:t>
            </w:r>
          </w:p>
        </w:tc>
        <w:tc>
          <w:tcPr>
            <w:tcW w:w="0" w:type="dxa"/>
            <w:tcBorders>
              <w:top w:val="dotted" w:sz="4" w:space="0" w:color="AAABD6"/>
              <w:left w:val="single" w:sz="4" w:space="0" w:color="AAABD6"/>
              <w:bottom w:val="dotted" w:sz="4" w:space="0" w:color="AAABD6"/>
              <w:right w:val="single" w:sz="4" w:space="0" w:color="AAABD6"/>
            </w:tcBorders>
            <w:shd w:val="clear" w:color="auto" w:fill="auto"/>
            <w:vAlign w:val="bottom"/>
          </w:tcPr>
          <w:p w14:paraId="7764E09F"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iCs/>
                <w:color w:val="000000" w:themeColor="text1"/>
                <w:sz w:val="16"/>
                <w:szCs w:val="16"/>
              </w:rPr>
            </w:pPr>
            <w:r w:rsidRPr="00100F0A">
              <w:rPr>
                <w:rFonts w:cs="Calibri"/>
                <w:color w:val="000000" w:themeColor="text1"/>
                <w:sz w:val="16"/>
                <w:szCs w:val="16"/>
              </w:rPr>
              <w:t>1</w:t>
            </w:r>
          </w:p>
        </w:tc>
        <w:tc>
          <w:tcPr>
            <w:tcW w:w="0" w:type="dxa"/>
            <w:tcBorders>
              <w:top w:val="dotted" w:sz="4" w:space="0" w:color="AAABD6"/>
              <w:left w:val="single" w:sz="4" w:space="0" w:color="AAABD6"/>
              <w:bottom w:val="dotted" w:sz="4" w:space="0" w:color="AAABD6"/>
              <w:right w:val="single" w:sz="4" w:space="0" w:color="AAABD6"/>
            </w:tcBorders>
            <w:vAlign w:val="bottom"/>
          </w:tcPr>
          <w:p w14:paraId="740A3037"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0" w:type="dxa"/>
            <w:tcBorders>
              <w:top w:val="dotted" w:sz="4" w:space="0" w:color="AAABD6"/>
              <w:left w:val="single" w:sz="4" w:space="0" w:color="AAABD6"/>
              <w:bottom w:val="dotted" w:sz="4" w:space="0" w:color="AAABD6"/>
              <w:right w:val="single" w:sz="4" w:space="0" w:color="AAABD6"/>
            </w:tcBorders>
            <w:vAlign w:val="bottom"/>
          </w:tcPr>
          <w:p w14:paraId="45E8A2F2"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0" w:type="dxa"/>
            <w:tcBorders>
              <w:top w:val="dotted" w:sz="4" w:space="0" w:color="AAABD6"/>
              <w:left w:val="single" w:sz="4" w:space="0" w:color="AAABD6"/>
              <w:bottom w:val="dotted" w:sz="4" w:space="0" w:color="AAABD6"/>
              <w:right w:val="single" w:sz="4" w:space="0" w:color="AAABD6"/>
            </w:tcBorders>
            <w:vAlign w:val="bottom"/>
          </w:tcPr>
          <w:p w14:paraId="08BFE639"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0" w:type="dxa"/>
            <w:tcBorders>
              <w:top w:val="dotted" w:sz="4" w:space="0" w:color="AAABD6"/>
              <w:left w:val="single" w:sz="4" w:space="0" w:color="AAABD6"/>
              <w:bottom w:val="dotted" w:sz="4" w:space="0" w:color="AAABD6"/>
              <w:right w:val="single" w:sz="4" w:space="0" w:color="AAABD6"/>
            </w:tcBorders>
            <w:vAlign w:val="bottom"/>
          </w:tcPr>
          <w:p w14:paraId="44EFD70C"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0" w:type="dxa"/>
            <w:tcBorders>
              <w:top w:val="dotted" w:sz="4" w:space="0" w:color="AAABD6"/>
              <w:left w:val="single" w:sz="4" w:space="0" w:color="AAABD6"/>
              <w:bottom w:val="dotted" w:sz="4" w:space="0" w:color="AAABD6"/>
              <w:right w:val="single" w:sz="4" w:space="0" w:color="AAABD6"/>
            </w:tcBorders>
            <w:vAlign w:val="bottom"/>
          </w:tcPr>
          <w:p w14:paraId="4019C5FE"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0" w:type="dxa"/>
            <w:tcBorders>
              <w:top w:val="dotted" w:sz="4" w:space="0" w:color="AAABD6"/>
              <w:left w:val="single" w:sz="4" w:space="0" w:color="AAABD6"/>
              <w:bottom w:val="dotted" w:sz="4" w:space="0" w:color="AAABD6"/>
              <w:right w:val="single" w:sz="4" w:space="0" w:color="AAABD6"/>
            </w:tcBorders>
            <w:vAlign w:val="bottom"/>
          </w:tcPr>
          <w:p w14:paraId="37CD8AEC"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0" w:type="dxa"/>
            <w:tcBorders>
              <w:top w:val="dotted" w:sz="4" w:space="0" w:color="AAABD6"/>
              <w:left w:val="single" w:sz="4" w:space="0" w:color="AAABD6"/>
              <w:bottom w:val="dotted" w:sz="4" w:space="0" w:color="AAABD6"/>
              <w:right w:val="single" w:sz="4" w:space="0" w:color="AAABD6"/>
            </w:tcBorders>
            <w:vAlign w:val="bottom"/>
          </w:tcPr>
          <w:p w14:paraId="63575DEB"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0" w:type="dxa"/>
            <w:tcBorders>
              <w:top w:val="dotted" w:sz="4" w:space="0" w:color="AAABD6"/>
              <w:left w:val="single" w:sz="4" w:space="0" w:color="AAABD6"/>
              <w:bottom w:val="dotted" w:sz="4" w:space="0" w:color="AAABD6"/>
              <w:right w:val="single" w:sz="4" w:space="0" w:color="AAABD6"/>
            </w:tcBorders>
            <w:vAlign w:val="bottom"/>
          </w:tcPr>
          <w:p w14:paraId="29BAE693"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0" w:type="dxa"/>
            <w:tcBorders>
              <w:top w:val="dotted" w:sz="4" w:space="0" w:color="AAABD6"/>
              <w:left w:val="single" w:sz="4" w:space="0" w:color="AAABD6"/>
              <w:bottom w:val="dotted" w:sz="4" w:space="0" w:color="AAABD6"/>
              <w:right w:val="single" w:sz="4" w:space="0" w:color="AAABD6"/>
            </w:tcBorders>
            <w:vAlign w:val="bottom"/>
          </w:tcPr>
          <w:p w14:paraId="022C65F4"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0" w:type="dxa"/>
            <w:tcBorders>
              <w:top w:val="dotted" w:sz="4" w:space="0" w:color="AAABD6"/>
              <w:left w:val="single" w:sz="4" w:space="0" w:color="AAABD6"/>
              <w:bottom w:val="dotted" w:sz="4" w:space="0" w:color="AAABD6"/>
              <w:right w:val="single" w:sz="4" w:space="0" w:color="AAABD6"/>
            </w:tcBorders>
            <w:vAlign w:val="bottom"/>
          </w:tcPr>
          <w:p w14:paraId="7C4FFF3A"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0" w:type="dxa"/>
            <w:tcBorders>
              <w:top w:val="dotted" w:sz="4" w:space="0" w:color="AAABD6"/>
              <w:left w:val="single" w:sz="4" w:space="0" w:color="AAABD6"/>
              <w:bottom w:val="dotted" w:sz="4" w:space="0" w:color="AAABD6"/>
              <w:right w:val="single" w:sz="4" w:space="0" w:color="AAABD6"/>
            </w:tcBorders>
            <w:vAlign w:val="bottom"/>
          </w:tcPr>
          <w:p w14:paraId="23FF601E"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0" w:type="dxa"/>
            <w:tcBorders>
              <w:top w:val="dotted" w:sz="4" w:space="0" w:color="AAABD6"/>
              <w:left w:val="single" w:sz="4" w:space="0" w:color="AAABD6"/>
              <w:bottom w:val="dotted" w:sz="4" w:space="0" w:color="AAABD6"/>
              <w:right w:val="single" w:sz="4" w:space="0" w:color="AAABD6"/>
            </w:tcBorders>
            <w:vAlign w:val="bottom"/>
          </w:tcPr>
          <w:p w14:paraId="171715AD"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0" w:type="dxa"/>
            <w:tcBorders>
              <w:top w:val="dotted" w:sz="4" w:space="0" w:color="AAABD6"/>
              <w:left w:val="single" w:sz="4" w:space="0" w:color="AAABD6"/>
              <w:bottom w:val="dotted" w:sz="4" w:space="0" w:color="AAABD6"/>
              <w:right w:val="single" w:sz="4" w:space="0" w:color="AAABD6"/>
            </w:tcBorders>
          </w:tcPr>
          <w:p w14:paraId="6BA738DB"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093D0D71"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0639607A"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6236D32D"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6C5061A7"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62BF2A9E"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5AD2DF6A"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r>
      <w:tr w:rsidR="00CA1033" w:rsidRPr="00100F0A" w14:paraId="2E35CF97" w14:textId="77777777" w:rsidTr="004206B0">
        <w:trPr>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tcPr>
          <w:p w14:paraId="1AD40668" w14:textId="77777777" w:rsidR="00CA1033" w:rsidRPr="00100F0A" w:rsidRDefault="00CA1033" w:rsidP="00B179AD">
            <w:pPr>
              <w:rPr>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53068DCF" w14:textId="77777777" w:rsidR="00CA1033" w:rsidRPr="00100F0A" w:rsidRDefault="00CA1033" w:rsidP="00B179AD">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Qld</w:t>
            </w:r>
          </w:p>
        </w:tc>
        <w:tc>
          <w:tcPr>
            <w:tcW w:w="0" w:type="dxa"/>
            <w:vMerge/>
            <w:tcBorders>
              <w:left w:val="single" w:sz="4" w:space="0" w:color="AAABD6"/>
              <w:right w:val="single" w:sz="4" w:space="0" w:color="AAABD6"/>
            </w:tcBorders>
            <w:vAlign w:val="center"/>
          </w:tcPr>
          <w:p w14:paraId="3D7B29B9" w14:textId="77777777" w:rsidR="00CA1033" w:rsidRPr="00100F0A" w:rsidRDefault="00CA1033" w:rsidP="00B179AD">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dotted" w:sz="4" w:space="0" w:color="AAABD6"/>
              <w:left w:val="single" w:sz="4" w:space="0" w:color="AAABD6"/>
              <w:bottom w:val="dotted" w:sz="4" w:space="0" w:color="AAABD6"/>
              <w:right w:val="single" w:sz="4" w:space="0" w:color="AAABD6"/>
            </w:tcBorders>
            <w:shd w:val="clear" w:color="auto" w:fill="auto"/>
          </w:tcPr>
          <w:p w14:paraId="38FC6AC9"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iCs/>
                <w:color w:val="4D4DB8"/>
                <w:sz w:val="16"/>
                <w:szCs w:val="16"/>
              </w:rPr>
              <w:t>21%</w:t>
            </w:r>
          </w:p>
        </w:tc>
        <w:tc>
          <w:tcPr>
            <w:tcW w:w="0" w:type="dxa"/>
            <w:tcBorders>
              <w:top w:val="dotted" w:sz="4" w:space="0" w:color="AAABD6"/>
              <w:left w:val="single" w:sz="4" w:space="0" w:color="AAABD6"/>
              <w:bottom w:val="dotted" w:sz="4" w:space="0" w:color="AAABD6"/>
              <w:right w:val="single" w:sz="4" w:space="0" w:color="AAABD6"/>
            </w:tcBorders>
            <w:shd w:val="clear" w:color="auto" w:fill="auto"/>
            <w:vAlign w:val="bottom"/>
          </w:tcPr>
          <w:p w14:paraId="46996CEC"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iCs/>
                <w:color w:val="000000" w:themeColor="text1"/>
                <w:sz w:val="16"/>
                <w:szCs w:val="16"/>
              </w:rPr>
            </w:pPr>
            <w:r w:rsidRPr="00100F0A">
              <w:rPr>
                <w:rFonts w:cs="Calibri"/>
                <w:color w:val="000000" w:themeColor="text1"/>
                <w:sz w:val="16"/>
                <w:szCs w:val="16"/>
              </w:rPr>
              <w:t>25</w:t>
            </w:r>
          </w:p>
        </w:tc>
        <w:tc>
          <w:tcPr>
            <w:tcW w:w="0" w:type="dxa"/>
            <w:tcBorders>
              <w:top w:val="dotted" w:sz="4" w:space="0" w:color="AAABD6"/>
              <w:left w:val="single" w:sz="4" w:space="0" w:color="AAABD6"/>
              <w:bottom w:val="dotted" w:sz="4" w:space="0" w:color="AAABD6"/>
              <w:right w:val="single" w:sz="4" w:space="0" w:color="AAABD6"/>
            </w:tcBorders>
            <w:vAlign w:val="bottom"/>
          </w:tcPr>
          <w:p w14:paraId="06F473A7"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25</w:t>
            </w:r>
          </w:p>
        </w:tc>
        <w:tc>
          <w:tcPr>
            <w:tcW w:w="0" w:type="dxa"/>
            <w:tcBorders>
              <w:top w:val="dotted" w:sz="4" w:space="0" w:color="AAABD6"/>
              <w:left w:val="single" w:sz="4" w:space="0" w:color="AAABD6"/>
              <w:bottom w:val="dotted" w:sz="4" w:space="0" w:color="AAABD6"/>
              <w:right w:val="single" w:sz="4" w:space="0" w:color="AAABD6"/>
            </w:tcBorders>
            <w:vAlign w:val="bottom"/>
          </w:tcPr>
          <w:p w14:paraId="6B057FF1"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25</w:t>
            </w:r>
          </w:p>
        </w:tc>
        <w:tc>
          <w:tcPr>
            <w:tcW w:w="0" w:type="dxa"/>
            <w:tcBorders>
              <w:top w:val="dotted" w:sz="4" w:space="0" w:color="AAABD6"/>
              <w:left w:val="single" w:sz="4" w:space="0" w:color="AAABD6"/>
              <w:bottom w:val="dotted" w:sz="4" w:space="0" w:color="AAABD6"/>
              <w:right w:val="single" w:sz="4" w:space="0" w:color="AAABD6"/>
            </w:tcBorders>
            <w:vAlign w:val="bottom"/>
          </w:tcPr>
          <w:p w14:paraId="4D0A3C2F"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25</w:t>
            </w:r>
          </w:p>
        </w:tc>
        <w:tc>
          <w:tcPr>
            <w:tcW w:w="0" w:type="dxa"/>
            <w:tcBorders>
              <w:top w:val="dotted" w:sz="4" w:space="0" w:color="AAABD6"/>
              <w:left w:val="single" w:sz="4" w:space="0" w:color="AAABD6"/>
              <w:bottom w:val="dotted" w:sz="4" w:space="0" w:color="AAABD6"/>
              <w:right w:val="single" w:sz="4" w:space="0" w:color="AAABD6"/>
            </w:tcBorders>
            <w:vAlign w:val="bottom"/>
          </w:tcPr>
          <w:p w14:paraId="1CB3A5D4"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25</w:t>
            </w:r>
          </w:p>
        </w:tc>
        <w:tc>
          <w:tcPr>
            <w:tcW w:w="0" w:type="dxa"/>
            <w:tcBorders>
              <w:top w:val="dotted" w:sz="4" w:space="0" w:color="AAABD6"/>
              <w:left w:val="single" w:sz="4" w:space="0" w:color="AAABD6"/>
              <w:bottom w:val="dotted" w:sz="4" w:space="0" w:color="AAABD6"/>
              <w:right w:val="single" w:sz="4" w:space="0" w:color="AAABD6"/>
            </w:tcBorders>
            <w:vAlign w:val="bottom"/>
          </w:tcPr>
          <w:p w14:paraId="32ED65D2"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25</w:t>
            </w:r>
          </w:p>
        </w:tc>
        <w:tc>
          <w:tcPr>
            <w:tcW w:w="0" w:type="dxa"/>
            <w:tcBorders>
              <w:top w:val="dotted" w:sz="4" w:space="0" w:color="AAABD6"/>
              <w:left w:val="single" w:sz="4" w:space="0" w:color="AAABD6"/>
              <w:bottom w:val="dotted" w:sz="4" w:space="0" w:color="AAABD6"/>
              <w:right w:val="single" w:sz="4" w:space="0" w:color="AAABD6"/>
            </w:tcBorders>
            <w:vAlign w:val="bottom"/>
          </w:tcPr>
          <w:p w14:paraId="5867FEC8"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25</w:t>
            </w:r>
          </w:p>
        </w:tc>
        <w:tc>
          <w:tcPr>
            <w:tcW w:w="0" w:type="dxa"/>
            <w:tcBorders>
              <w:top w:val="dotted" w:sz="4" w:space="0" w:color="AAABD6"/>
              <w:left w:val="single" w:sz="4" w:space="0" w:color="AAABD6"/>
              <w:bottom w:val="dotted" w:sz="4" w:space="0" w:color="AAABD6"/>
              <w:right w:val="single" w:sz="4" w:space="0" w:color="AAABD6"/>
            </w:tcBorders>
            <w:vAlign w:val="bottom"/>
          </w:tcPr>
          <w:p w14:paraId="28A6222A"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25</w:t>
            </w:r>
          </w:p>
        </w:tc>
        <w:tc>
          <w:tcPr>
            <w:tcW w:w="0" w:type="dxa"/>
            <w:tcBorders>
              <w:top w:val="dotted" w:sz="4" w:space="0" w:color="AAABD6"/>
              <w:left w:val="single" w:sz="4" w:space="0" w:color="AAABD6"/>
              <w:bottom w:val="dotted" w:sz="4" w:space="0" w:color="AAABD6"/>
              <w:right w:val="single" w:sz="4" w:space="0" w:color="AAABD6"/>
            </w:tcBorders>
            <w:vAlign w:val="bottom"/>
          </w:tcPr>
          <w:p w14:paraId="08796121"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25</w:t>
            </w:r>
          </w:p>
        </w:tc>
        <w:tc>
          <w:tcPr>
            <w:tcW w:w="0" w:type="dxa"/>
            <w:tcBorders>
              <w:top w:val="dotted" w:sz="4" w:space="0" w:color="AAABD6"/>
              <w:left w:val="single" w:sz="4" w:space="0" w:color="AAABD6"/>
              <w:bottom w:val="dotted" w:sz="4" w:space="0" w:color="AAABD6"/>
              <w:right w:val="single" w:sz="4" w:space="0" w:color="AAABD6"/>
            </w:tcBorders>
            <w:vAlign w:val="bottom"/>
          </w:tcPr>
          <w:p w14:paraId="338FE77C"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25</w:t>
            </w:r>
          </w:p>
        </w:tc>
        <w:tc>
          <w:tcPr>
            <w:tcW w:w="0" w:type="dxa"/>
            <w:tcBorders>
              <w:top w:val="dotted" w:sz="4" w:space="0" w:color="AAABD6"/>
              <w:left w:val="single" w:sz="4" w:space="0" w:color="AAABD6"/>
              <w:bottom w:val="dotted" w:sz="4" w:space="0" w:color="AAABD6"/>
              <w:right w:val="single" w:sz="4" w:space="0" w:color="AAABD6"/>
            </w:tcBorders>
            <w:vAlign w:val="bottom"/>
          </w:tcPr>
          <w:p w14:paraId="32B0583D"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25</w:t>
            </w:r>
          </w:p>
        </w:tc>
        <w:tc>
          <w:tcPr>
            <w:tcW w:w="0" w:type="dxa"/>
            <w:tcBorders>
              <w:top w:val="dotted" w:sz="4" w:space="0" w:color="AAABD6"/>
              <w:left w:val="single" w:sz="4" w:space="0" w:color="AAABD6"/>
              <w:bottom w:val="dotted" w:sz="4" w:space="0" w:color="AAABD6"/>
              <w:right w:val="single" w:sz="4" w:space="0" w:color="AAABD6"/>
            </w:tcBorders>
            <w:vAlign w:val="bottom"/>
          </w:tcPr>
          <w:p w14:paraId="3235EDFC"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25</w:t>
            </w:r>
          </w:p>
        </w:tc>
        <w:tc>
          <w:tcPr>
            <w:tcW w:w="0" w:type="dxa"/>
            <w:tcBorders>
              <w:top w:val="dotted" w:sz="4" w:space="0" w:color="AAABD6"/>
              <w:left w:val="single" w:sz="4" w:space="0" w:color="AAABD6"/>
              <w:bottom w:val="dotted" w:sz="4" w:space="0" w:color="AAABD6"/>
              <w:right w:val="single" w:sz="4" w:space="0" w:color="AAABD6"/>
            </w:tcBorders>
            <w:vAlign w:val="bottom"/>
          </w:tcPr>
          <w:p w14:paraId="59F79D82"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25</w:t>
            </w:r>
          </w:p>
        </w:tc>
        <w:tc>
          <w:tcPr>
            <w:tcW w:w="0" w:type="dxa"/>
            <w:tcBorders>
              <w:top w:val="dotted" w:sz="4" w:space="0" w:color="AAABD6"/>
              <w:left w:val="single" w:sz="4" w:space="0" w:color="AAABD6"/>
              <w:bottom w:val="dotted" w:sz="4" w:space="0" w:color="AAABD6"/>
              <w:right w:val="single" w:sz="4" w:space="0" w:color="AAABD6"/>
            </w:tcBorders>
          </w:tcPr>
          <w:p w14:paraId="0B627094"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5A8583E7"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4F222037"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6B3ABC03"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474BBDB8"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3FBA14C9"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60BC2DCC"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r>
      <w:tr w:rsidR="00CA1033" w:rsidRPr="00100F0A" w14:paraId="03565444" w14:textId="77777777" w:rsidTr="004206B0">
        <w:trPr>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tcPr>
          <w:p w14:paraId="61699D95" w14:textId="77777777" w:rsidR="00CA1033" w:rsidRPr="00100F0A" w:rsidRDefault="00CA1033" w:rsidP="00B179AD">
            <w:pPr>
              <w:rPr>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2BCF5324" w14:textId="77777777" w:rsidR="00CA1033" w:rsidRPr="00100F0A" w:rsidRDefault="00CA1033" w:rsidP="00B179AD">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SA</w:t>
            </w:r>
          </w:p>
        </w:tc>
        <w:tc>
          <w:tcPr>
            <w:tcW w:w="0" w:type="dxa"/>
            <w:vMerge/>
            <w:tcBorders>
              <w:left w:val="single" w:sz="4" w:space="0" w:color="AAABD6"/>
              <w:right w:val="single" w:sz="4" w:space="0" w:color="AAABD6"/>
            </w:tcBorders>
            <w:vAlign w:val="center"/>
          </w:tcPr>
          <w:p w14:paraId="4BB56924" w14:textId="77777777" w:rsidR="00CA1033" w:rsidRPr="00100F0A" w:rsidRDefault="00CA1033" w:rsidP="00B179AD">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dotted" w:sz="4" w:space="0" w:color="AAABD6"/>
              <w:left w:val="single" w:sz="4" w:space="0" w:color="AAABD6"/>
              <w:bottom w:val="dotted" w:sz="4" w:space="0" w:color="AAABD6"/>
              <w:right w:val="single" w:sz="4" w:space="0" w:color="AAABD6"/>
            </w:tcBorders>
            <w:shd w:val="clear" w:color="auto" w:fill="auto"/>
          </w:tcPr>
          <w:p w14:paraId="098F547C"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iCs/>
                <w:color w:val="4D4DB8"/>
                <w:sz w:val="16"/>
                <w:szCs w:val="16"/>
              </w:rPr>
              <w:t>7%</w:t>
            </w:r>
          </w:p>
        </w:tc>
        <w:tc>
          <w:tcPr>
            <w:tcW w:w="0" w:type="dxa"/>
            <w:tcBorders>
              <w:top w:val="dotted" w:sz="4" w:space="0" w:color="AAABD6"/>
              <w:left w:val="single" w:sz="4" w:space="0" w:color="AAABD6"/>
              <w:bottom w:val="dotted" w:sz="4" w:space="0" w:color="AAABD6"/>
              <w:right w:val="single" w:sz="4" w:space="0" w:color="AAABD6"/>
            </w:tcBorders>
            <w:shd w:val="clear" w:color="auto" w:fill="auto"/>
            <w:vAlign w:val="bottom"/>
          </w:tcPr>
          <w:p w14:paraId="5AA8DAAF"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iCs/>
                <w:color w:val="000000" w:themeColor="text1"/>
                <w:sz w:val="16"/>
                <w:szCs w:val="16"/>
              </w:rPr>
            </w:pPr>
            <w:r w:rsidRPr="00100F0A">
              <w:rPr>
                <w:rFonts w:cs="Calibri"/>
                <w:color w:val="000000" w:themeColor="text1"/>
                <w:sz w:val="16"/>
                <w:szCs w:val="16"/>
              </w:rPr>
              <w:t>8</w:t>
            </w:r>
          </w:p>
        </w:tc>
        <w:tc>
          <w:tcPr>
            <w:tcW w:w="0" w:type="dxa"/>
            <w:tcBorders>
              <w:top w:val="dotted" w:sz="4" w:space="0" w:color="AAABD6"/>
              <w:left w:val="single" w:sz="4" w:space="0" w:color="AAABD6"/>
              <w:bottom w:val="dotted" w:sz="4" w:space="0" w:color="AAABD6"/>
              <w:right w:val="single" w:sz="4" w:space="0" w:color="AAABD6"/>
            </w:tcBorders>
            <w:vAlign w:val="bottom"/>
          </w:tcPr>
          <w:p w14:paraId="1ADA49E9"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8</w:t>
            </w:r>
          </w:p>
        </w:tc>
        <w:tc>
          <w:tcPr>
            <w:tcW w:w="0" w:type="dxa"/>
            <w:tcBorders>
              <w:top w:val="dotted" w:sz="4" w:space="0" w:color="AAABD6"/>
              <w:left w:val="single" w:sz="4" w:space="0" w:color="AAABD6"/>
              <w:bottom w:val="dotted" w:sz="4" w:space="0" w:color="AAABD6"/>
              <w:right w:val="single" w:sz="4" w:space="0" w:color="AAABD6"/>
            </w:tcBorders>
            <w:vAlign w:val="bottom"/>
          </w:tcPr>
          <w:p w14:paraId="43523D6C"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8</w:t>
            </w:r>
          </w:p>
        </w:tc>
        <w:tc>
          <w:tcPr>
            <w:tcW w:w="0" w:type="dxa"/>
            <w:tcBorders>
              <w:top w:val="dotted" w:sz="4" w:space="0" w:color="AAABD6"/>
              <w:left w:val="single" w:sz="4" w:space="0" w:color="AAABD6"/>
              <w:bottom w:val="dotted" w:sz="4" w:space="0" w:color="AAABD6"/>
              <w:right w:val="single" w:sz="4" w:space="0" w:color="AAABD6"/>
            </w:tcBorders>
            <w:vAlign w:val="bottom"/>
          </w:tcPr>
          <w:p w14:paraId="450B208A"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8</w:t>
            </w:r>
          </w:p>
        </w:tc>
        <w:tc>
          <w:tcPr>
            <w:tcW w:w="0" w:type="dxa"/>
            <w:tcBorders>
              <w:top w:val="dotted" w:sz="4" w:space="0" w:color="AAABD6"/>
              <w:left w:val="single" w:sz="4" w:space="0" w:color="AAABD6"/>
              <w:bottom w:val="dotted" w:sz="4" w:space="0" w:color="AAABD6"/>
              <w:right w:val="single" w:sz="4" w:space="0" w:color="AAABD6"/>
            </w:tcBorders>
            <w:vAlign w:val="bottom"/>
          </w:tcPr>
          <w:p w14:paraId="56EC32D6"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8</w:t>
            </w:r>
          </w:p>
        </w:tc>
        <w:tc>
          <w:tcPr>
            <w:tcW w:w="0" w:type="dxa"/>
            <w:tcBorders>
              <w:top w:val="dotted" w:sz="4" w:space="0" w:color="AAABD6"/>
              <w:left w:val="single" w:sz="4" w:space="0" w:color="AAABD6"/>
              <w:bottom w:val="dotted" w:sz="4" w:space="0" w:color="AAABD6"/>
              <w:right w:val="single" w:sz="4" w:space="0" w:color="AAABD6"/>
            </w:tcBorders>
            <w:vAlign w:val="bottom"/>
          </w:tcPr>
          <w:p w14:paraId="3E671A61"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8</w:t>
            </w:r>
          </w:p>
        </w:tc>
        <w:tc>
          <w:tcPr>
            <w:tcW w:w="0" w:type="dxa"/>
            <w:tcBorders>
              <w:top w:val="dotted" w:sz="4" w:space="0" w:color="AAABD6"/>
              <w:left w:val="single" w:sz="4" w:space="0" w:color="AAABD6"/>
              <w:bottom w:val="dotted" w:sz="4" w:space="0" w:color="AAABD6"/>
              <w:right w:val="single" w:sz="4" w:space="0" w:color="AAABD6"/>
            </w:tcBorders>
            <w:vAlign w:val="bottom"/>
          </w:tcPr>
          <w:p w14:paraId="146BBE87"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8</w:t>
            </w:r>
          </w:p>
        </w:tc>
        <w:tc>
          <w:tcPr>
            <w:tcW w:w="0" w:type="dxa"/>
            <w:tcBorders>
              <w:top w:val="dotted" w:sz="4" w:space="0" w:color="AAABD6"/>
              <w:left w:val="single" w:sz="4" w:space="0" w:color="AAABD6"/>
              <w:bottom w:val="dotted" w:sz="4" w:space="0" w:color="AAABD6"/>
              <w:right w:val="single" w:sz="4" w:space="0" w:color="AAABD6"/>
            </w:tcBorders>
            <w:vAlign w:val="bottom"/>
          </w:tcPr>
          <w:p w14:paraId="0478F8DE"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8</w:t>
            </w:r>
          </w:p>
        </w:tc>
        <w:tc>
          <w:tcPr>
            <w:tcW w:w="0" w:type="dxa"/>
            <w:tcBorders>
              <w:top w:val="dotted" w:sz="4" w:space="0" w:color="AAABD6"/>
              <w:left w:val="single" w:sz="4" w:space="0" w:color="AAABD6"/>
              <w:bottom w:val="dotted" w:sz="4" w:space="0" w:color="AAABD6"/>
              <w:right w:val="single" w:sz="4" w:space="0" w:color="AAABD6"/>
            </w:tcBorders>
            <w:vAlign w:val="bottom"/>
          </w:tcPr>
          <w:p w14:paraId="2FF01C7D"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8</w:t>
            </w:r>
          </w:p>
        </w:tc>
        <w:tc>
          <w:tcPr>
            <w:tcW w:w="0" w:type="dxa"/>
            <w:tcBorders>
              <w:top w:val="dotted" w:sz="4" w:space="0" w:color="AAABD6"/>
              <w:left w:val="single" w:sz="4" w:space="0" w:color="AAABD6"/>
              <w:bottom w:val="dotted" w:sz="4" w:space="0" w:color="AAABD6"/>
              <w:right w:val="single" w:sz="4" w:space="0" w:color="AAABD6"/>
            </w:tcBorders>
            <w:vAlign w:val="bottom"/>
          </w:tcPr>
          <w:p w14:paraId="2981B7F6"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8</w:t>
            </w:r>
          </w:p>
        </w:tc>
        <w:tc>
          <w:tcPr>
            <w:tcW w:w="0" w:type="dxa"/>
            <w:tcBorders>
              <w:top w:val="dotted" w:sz="4" w:space="0" w:color="AAABD6"/>
              <w:left w:val="single" w:sz="4" w:space="0" w:color="AAABD6"/>
              <w:bottom w:val="dotted" w:sz="4" w:space="0" w:color="AAABD6"/>
              <w:right w:val="single" w:sz="4" w:space="0" w:color="AAABD6"/>
            </w:tcBorders>
            <w:vAlign w:val="bottom"/>
          </w:tcPr>
          <w:p w14:paraId="707B15F5"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8</w:t>
            </w:r>
          </w:p>
        </w:tc>
        <w:tc>
          <w:tcPr>
            <w:tcW w:w="0" w:type="dxa"/>
            <w:tcBorders>
              <w:top w:val="dotted" w:sz="4" w:space="0" w:color="AAABD6"/>
              <w:left w:val="single" w:sz="4" w:space="0" w:color="AAABD6"/>
              <w:bottom w:val="dotted" w:sz="4" w:space="0" w:color="AAABD6"/>
              <w:right w:val="single" w:sz="4" w:space="0" w:color="AAABD6"/>
            </w:tcBorders>
            <w:vAlign w:val="bottom"/>
          </w:tcPr>
          <w:p w14:paraId="3D063DAF"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8</w:t>
            </w:r>
          </w:p>
        </w:tc>
        <w:tc>
          <w:tcPr>
            <w:tcW w:w="0" w:type="dxa"/>
            <w:tcBorders>
              <w:top w:val="dotted" w:sz="4" w:space="0" w:color="AAABD6"/>
              <w:left w:val="single" w:sz="4" w:space="0" w:color="AAABD6"/>
              <w:bottom w:val="dotted" w:sz="4" w:space="0" w:color="AAABD6"/>
              <w:right w:val="single" w:sz="4" w:space="0" w:color="AAABD6"/>
            </w:tcBorders>
            <w:vAlign w:val="bottom"/>
          </w:tcPr>
          <w:p w14:paraId="337928C8"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8</w:t>
            </w:r>
          </w:p>
        </w:tc>
        <w:tc>
          <w:tcPr>
            <w:tcW w:w="0" w:type="dxa"/>
            <w:tcBorders>
              <w:top w:val="dotted" w:sz="4" w:space="0" w:color="AAABD6"/>
              <w:left w:val="single" w:sz="4" w:space="0" w:color="AAABD6"/>
              <w:bottom w:val="dotted" w:sz="4" w:space="0" w:color="AAABD6"/>
              <w:right w:val="single" w:sz="4" w:space="0" w:color="AAABD6"/>
            </w:tcBorders>
          </w:tcPr>
          <w:p w14:paraId="4A1E6210"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0AA4DEC0"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7202248B"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5740DC8F"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6E5A41B9"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17984601"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47C24823"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r>
      <w:tr w:rsidR="00CA1033" w:rsidRPr="00100F0A" w14:paraId="3D4C7571" w14:textId="77777777" w:rsidTr="004206B0">
        <w:trPr>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tcPr>
          <w:p w14:paraId="21EB573F" w14:textId="77777777" w:rsidR="00CA1033" w:rsidRPr="00100F0A" w:rsidRDefault="00CA1033" w:rsidP="00B179AD">
            <w:pPr>
              <w:rPr>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5C7EDB9C" w14:textId="77777777" w:rsidR="00CA1033" w:rsidRPr="00100F0A" w:rsidRDefault="00CA1033" w:rsidP="00B179AD">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Tas</w:t>
            </w:r>
          </w:p>
        </w:tc>
        <w:tc>
          <w:tcPr>
            <w:tcW w:w="0" w:type="dxa"/>
            <w:vMerge/>
            <w:tcBorders>
              <w:left w:val="single" w:sz="4" w:space="0" w:color="AAABD6"/>
              <w:right w:val="single" w:sz="4" w:space="0" w:color="AAABD6"/>
            </w:tcBorders>
            <w:vAlign w:val="center"/>
          </w:tcPr>
          <w:p w14:paraId="09BBD3B4" w14:textId="77777777" w:rsidR="00CA1033" w:rsidRPr="00100F0A" w:rsidRDefault="00CA1033" w:rsidP="00B179AD">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dotted" w:sz="4" w:space="0" w:color="AAABD6"/>
              <w:left w:val="single" w:sz="4" w:space="0" w:color="AAABD6"/>
              <w:bottom w:val="dotted" w:sz="4" w:space="0" w:color="AAABD6"/>
              <w:right w:val="single" w:sz="4" w:space="0" w:color="AAABD6"/>
            </w:tcBorders>
            <w:shd w:val="clear" w:color="auto" w:fill="auto"/>
          </w:tcPr>
          <w:p w14:paraId="05B566AD"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iCs/>
                <w:color w:val="4D4DB8"/>
                <w:sz w:val="16"/>
                <w:szCs w:val="16"/>
              </w:rPr>
              <w:t>2%</w:t>
            </w:r>
          </w:p>
        </w:tc>
        <w:tc>
          <w:tcPr>
            <w:tcW w:w="0" w:type="dxa"/>
            <w:tcBorders>
              <w:top w:val="dotted" w:sz="4" w:space="0" w:color="AAABD6"/>
              <w:left w:val="single" w:sz="4" w:space="0" w:color="AAABD6"/>
              <w:bottom w:val="dotted" w:sz="4" w:space="0" w:color="AAABD6"/>
              <w:right w:val="single" w:sz="4" w:space="0" w:color="AAABD6"/>
            </w:tcBorders>
            <w:shd w:val="clear" w:color="auto" w:fill="auto"/>
            <w:vAlign w:val="bottom"/>
          </w:tcPr>
          <w:p w14:paraId="1B30BCDD"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iCs/>
                <w:color w:val="000000" w:themeColor="text1"/>
                <w:sz w:val="16"/>
                <w:szCs w:val="16"/>
              </w:rPr>
            </w:pPr>
            <w:r w:rsidRPr="00100F0A">
              <w:rPr>
                <w:rFonts w:cs="Calibri"/>
                <w:color w:val="000000" w:themeColor="text1"/>
                <w:sz w:val="16"/>
                <w:szCs w:val="16"/>
              </w:rPr>
              <w:t>2</w:t>
            </w:r>
          </w:p>
        </w:tc>
        <w:tc>
          <w:tcPr>
            <w:tcW w:w="0" w:type="dxa"/>
            <w:tcBorders>
              <w:top w:val="dotted" w:sz="4" w:space="0" w:color="AAABD6"/>
              <w:left w:val="single" w:sz="4" w:space="0" w:color="AAABD6"/>
              <w:bottom w:val="dotted" w:sz="4" w:space="0" w:color="AAABD6"/>
              <w:right w:val="single" w:sz="4" w:space="0" w:color="AAABD6"/>
            </w:tcBorders>
            <w:vAlign w:val="bottom"/>
          </w:tcPr>
          <w:p w14:paraId="37CA1EBC"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w:t>
            </w:r>
          </w:p>
        </w:tc>
        <w:tc>
          <w:tcPr>
            <w:tcW w:w="0" w:type="dxa"/>
            <w:tcBorders>
              <w:top w:val="dotted" w:sz="4" w:space="0" w:color="AAABD6"/>
              <w:left w:val="single" w:sz="4" w:space="0" w:color="AAABD6"/>
              <w:bottom w:val="dotted" w:sz="4" w:space="0" w:color="AAABD6"/>
              <w:right w:val="single" w:sz="4" w:space="0" w:color="AAABD6"/>
            </w:tcBorders>
            <w:vAlign w:val="bottom"/>
          </w:tcPr>
          <w:p w14:paraId="6009F1D4"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w:t>
            </w:r>
          </w:p>
        </w:tc>
        <w:tc>
          <w:tcPr>
            <w:tcW w:w="0" w:type="dxa"/>
            <w:tcBorders>
              <w:top w:val="dotted" w:sz="4" w:space="0" w:color="AAABD6"/>
              <w:left w:val="single" w:sz="4" w:space="0" w:color="AAABD6"/>
              <w:bottom w:val="dotted" w:sz="4" w:space="0" w:color="AAABD6"/>
              <w:right w:val="single" w:sz="4" w:space="0" w:color="AAABD6"/>
            </w:tcBorders>
            <w:vAlign w:val="bottom"/>
          </w:tcPr>
          <w:p w14:paraId="788F428E"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w:t>
            </w:r>
          </w:p>
        </w:tc>
        <w:tc>
          <w:tcPr>
            <w:tcW w:w="0" w:type="dxa"/>
            <w:tcBorders>
              <w:top w:val="dotted" w:sz="4" w:space="0" w:color="AAABD6"/>
              <w:left w:val="single" w:sz="4" w:space="0" w:color="AAABD6"/>
              <w:bottom w:val="dotted" w:sz="4" w:space="0" w:color="AAABD6"/>
              <w:right w:val="single" w:sz="4" w:space="0" w:color="AAABD6"/>
            </w:tcBorders>
            <w:vAlign w:val="bottom"/>
          </w:tcPr>
          <w:p w14:paraId="2AF93B0C"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w:t>
            </w:r>
          </w:p>
        </w:tc>
        <w:tc>
          <w:tcPr>
            <w:tcW w:w="0" w:type="dxa"/>
            <w:tcBorders>
              <w:top w:val="dotted" w:sz="4" w:space="0" w:color="AAABD6"/>
              <w:left w:val="single" w:sz="4" w:space="0" w:color="AAABD6"/>
              <w:bottom w:val="dotted" w:sz="4" w:space="0" w:color="AAABD6"/>
              <w:right w:val="single" w:sz="4" w:space="0" w:color="AAABD6"/>
            </w:tcBorders>
            <w:vAlign w:val="bottom"/>
          </w:tcPr>
          <w:p w14:paraId="365AFFC5"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w:t>
            </w:r>
          </w:p>
        </w:tc>
        <w:tc>
          <w:tcPr>
            <w:tcW w:w="0" w:type="dxa"/>
            <w:tcBorders>
              <w:top w:val="dotted" w:sz="4" w:space="0" w:color="AAABD6"/>
              <w:left w:val="single" w:sz="4" w:space="0" w:color="AAABD6"/>
              <w:bottom w:val="dotted" w:sz="4" w:space="0" w:color="AAABD6"/>
              <w:right w:val="single" w:sz="4" w:space="0" w:color="AAABD6"/>
            </w:tcBorders>
            <w:vAlign w:val="bottom"/>
          </w:tcPr>
          <w:p w14:paraId="5C12FC2F"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w:t>
            </w:r>
          </w:p>
        </w:tc>
        <w:tc>
          <w:tcPr>
            <w:tcW w:w="0" w:type="dxa"/>
            <w:tcBorders>
              <w:top w:val="dotted" w:sz="4" w:space="0" w:color="AAABD6"/>
              <w:left w:val="single" w:sz="4" w:space="0" w:color="AAABD6"/>
              <w:bottom w:val="dotted" w:sz="4" w:space="0" w:color="AAABD6"/>
              <w:right w:val="single" w:sz="4" w:space="0" w:color="AAABD6"/>
            </w:tcBorders>
            <w:vAlign w:val="bottom"/>
          </w:tcPr>
          <w:p w14:paraId="5F618C2F"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w:t>
            </w:r>
          </w:p>
        </w:tc>
        <w:tc>
          <w:tcPr>
            <w:tcW w:w="0" w:type="dxa"/>
            <w:tcBorders>
              <w:top w:val="dotted" w:sz="4" w:space="0" w:color="AAABD6"/>
              <w:left w:val="single" w:sz="4" w:space="0" w:color="AAABD6"/>
              <w:bottom w:val="dotted" w:sz="4" w:space="0" w:color="AAABD6"/>
              <w:right w:val="single" w:sz="4" w:space="0" w:color="AAABD6"/>
            </w:tcBorders>
            <w:vAlign w:val="bottom"/>
          </w:tcPr>
          <w:p w14:paraId="3C4BE39B"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w:t>
            </w:r>
          </w:p>
        </w:tc>
        <w:tc>
          <w:tcPr>
            <w:tcW w:w="0" w:type="dxa"/>
            <w:tcBorders>
              <w:top w:val="dotted" w:sz="4" w:space="0" w:color="AAABD6"/>
              <w:left w:val="single" w:sz="4" w:space="0" w:color="AAABD6"/>
              <w:bottom w:val="dotted" w:sz="4" w:space="0" w:color="AAABD6"/>
              <w:right w:val="single" w:sz="4" w:space="0" w:color="AAABD6"/>
            </w:tcBorders>
            <w:vAlign w:val="bottom"/>
          </w:tcPr>
          <w:p w14:paraId="466786CD"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w:t>
            </w:r>
          </w:p>
        </w:tc>
        <w:tc>
          <w:tcPr>
            <w:tcW w:w="0" w:type="dxa"/>
            <w:tcBorders>
              <w:top w:val="dotted" w:sz="4" w:space="0" w:color="AAABD6"/>
              <w:left w:val="single" w:sz="4" w:space="0" w:color="AAABD6"/>
              <w:bottom w:val="dotted" w:sz="4" w:space="0" w:color="AAABD6"/>
              <w:right w:val="single" w:sz="4" w:space="0" w:color="AAABD6"/>
            </w:tcBorders>
            <w:vAlign w:val="bottom"/>
          </w:tcPr>
          <w:p w14:paraId="0CAB49FB"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w:t>
            </w:r>
          </w:p>
        </w:tc>
        <w:tc>
          <w:tcPr>
            <w:tcW w:w="0" w:type="dxa"/>
            <w:tcBorders>
              <w:top w:val="dotted" w:sz="4" w:space="0" w:color="AAABD6"/>
              <w:left w:val="single" w:sz="4" w:space="0" w:color="AAABD6"/>
              <w:bottom w:val="dotted" w:sz="4" w:space="0" w:color="AAABD6"/>
              <w:right w:val="single" w:sz="4" w:space="0" w:color="AAABD6"/>
            </w:tcBorders>
            <w:vAlign w:val="bottom"/>
          </w:tcPr>
          <w:p w14:paraId="2241DE0E"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w:t>
            </w:r>
          </w:p>
        </w:tc>
        <w:tc>
          <w:tcPr>
            <w:tcW w:w="0" w:type="dxa"/>
            <w:tcBorders>
              <w:top w:val="dotted" w:sz="4" w:space="0" w:color="AAABD6"/>
              <w:left w:val="single" w:sz="4" w:space="0" w:color="AAABD6"/>
              <w:bottom w:val="dotted" w:sz="4" w:space="0" w:color="AAABD6"/>
              <w:right w:val="single" w:sz="4" w:space="0" w:color="AAABD6"/>
            </w:tcBorders>
            <w:vAlign w:val="bottom"/>
          </w:tcPr>
          <w:p w14:paraId="53F07795"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2</w:t>
            </w:r>
          </w:p>
        </w:tc>
        <w:tc>
          <w:tcPr>
            <w:tcW w:w="0" w:type="dxa"/>
            <w:tcBorders>
              <w:top w:val="dotted" w:sz="4" w:space="0" w:color="AAABD6"/>
              <w:left w:val="single" w:sz="4" w:space="0" w:color="AAABD6"/>
              <w:bottom w:val="dotted" w:sz="4" w:space="0" w:color="AAABD6"/>
              <w:right w:val="single" w:sz="4" w:space="0" w:color="AAABD6"/>
            </w:tcBorders>
          </w:tcPr>
          <w:p w14:paraId="4B286752"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6810869C"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5D08F5FF"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3BD223FC"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07BB470D"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36A182A8"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6D1E4510"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r>
      <w:tr w:rsidR="00CA1033" w:rsidRPr="00100F0A" w14:paraId="6EE67B5D" w14:textId="77777777" w:rsidTr="004206B0">
        <w:trPr>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tcPr>
          <w:p w14:paraId="394248FE" w14:textId="77777777" w:rsidR="00CA1033" w:rsidRPr="00100F0A" w:rsidRDefault="00CA1033" w:rsidP="00B179AD">
            <w:pPr>
              <w:rPr>
                <w:sz w:val="16"/>
                <w:szCs w:val="16"/>
              </w:rPr>
            </w:pPr>
          </w:p>
        </w:tc>
        <w:tc>
          <w:tcPr>
            <w:tcW w:w="0" w:type="dxa"/>
            <w:tcBorders>
              <w:top w:val="dotted" w:sz="4" w:space="0" w:color="AAABD6"/>
              <w:left w:val="single" w:sz="4" w:space="0" w:color="AAABD6"/>
              <w:bottom w:val="dotted" w:sz="4" w:space="0" w:color="AAABD6"/>
              <w:right w:val="single" w:sz="4" w:space="0" w:color="AAABD6"/>
            </w:tcBorders>
          </w:tcPr>
          <w:p w14:paraId="3EF7030D" w14:textId="77777777" w:rsidR="00CA1033" w:rsidRPr="00100F0A" w:rsidRDefault="00CA1033" w:rsidP="00B179AD">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Vic</w:t>
            </w:r>
          </w:p>
        </w:tc>
        <w:tc>
          <w:tcPr>
            <w:tcW w:w="0" w:type="dxa"/>
            <w:vMerge/>
            <w:tcBorders>
              <w:left w:val="single" w:sz="4" w:space="0" w:color="AAABD6"/>
              <w:right w:val="single" w:sz="4" w:space="0" w:color="AAABD6"/>
            </w:tcBorders>
            <w:vAlign w:val="center"/>
          </w:tcPr>
          <w:p w14:paraId="253CEE34" w14:textId="77777777" w:rsidR="00CA1033" w:rsidRPr="00100F0A" w:rsidRDefault="00CA1033" w:rsidP="00B179AD">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dotted" w:sz="4" w:space="0" w:color="AAABD6"/>
              <w:left w:val="single" w:sz="4" w:space="0" w:color="AAABD6"/>
              <w:bottom w:val="dotted" w:sz="4" w:space="0" w:color="AAABD6"/>
              <w:right w:val="single" w:sz="4" w:space="0" w:color="AAABD6"/>
            </w:tcBorders>
            <w:shd w:val="clear" w:color="auto" w:fill="auto"/>
          </w:tcPr>
          <w:p w14:paraId="2D8B0A9F"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iCs/>
                <w:color w:val="4D4DB8"/>
                <w:sz w:val="16"/>
                <w:szCs w:val="16"/>
              </w:rPr>
              <w:t>25%</w:t>
            </w:r>
          </w:p>
        </w:tc>
        <w:tc>
          <w:tcPr>
            <w:tcW w:w="0" w:type="dxa"/>
            <w:tcBorders>
              <w:top w:val="dotted" w:sz="4" w:space="0" w:color="AAABD6"/>
              <w:left w:val="single" w:sz="4" w:space="0" w:color="AAABD6"/>
              <w:bottom w:val="dotted" w:sz="4" w:space="0" w:color="AAABD6"/>
              <w:right w:val="single" w:sz="4" w:space="0" w:color="AAABD6"/>
            </w:tcBorders>
            <w:shd w:val="clear" w:color="auto" w:fill="auto"/>
            <w:vAlign w:val="bottom"/>
          </w:tcPr>
          <w:p w14:paraId="4A234569"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iCs/>
                <w:color w:val="000000" w:themeColor="text1"/>
                <w:sz w:val="16"/>
                <w:szCs w:val="16"/>
              </w:rPr>
            </w:pPr>
            <w:r w:rsidRPr="00100F0A">
              <w:rPr>
                <w:rFonts w:cs="Calibri"/>
                <w:color w:val="000000" w:themeColor="text1"/>
                <w:sz w:val="16"/>
                <w:szCs w:val="16"/>
              </w:rPr>
              <w:t>30</w:t>
            </w:r>
          </w:p>
        </w:tc>
        <w:tc>
          <w:tcPr>
            <w:tcW w:w="0" w:type="dxa"/>
            <w:tcBorders>
              <w:top w:val="dotted" w:sz="4" w:space="0" w:color="AAABD6"/>
              <w:left w:val="single" w:sz="4" w:space="0" w:color="AAABD6"/>
              <w:bottom w:val="dotted" w:sz="4" w:space="0" w:color="AAABD6"/>
              <w:right w:val="single" w:sz="4" w:space="0" w:color="AAABD6"/>
            </w:tcBorders>
            <w:vAlign w:val="bottom"/>
          </w:tcPr>
          <w:p w14:paraId="462AAA35"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30</w:t>
            </w:r>
          </w:p>
        </w:tc>
        <w:tc>
          <w:tcPr>
            <w:tcW w:w="0" w:type="dxa"/>
            <w:tcBorders>
              <w:top w:val="dotted" w:sz="4" w:space="0" w:color="AAABD6"/>
              <w:left w:val="single" w:sz="4" w:space="0" w:color="AAABD6"/>
              <w:bottom w:val="dotted" w:sz="4" w:space="0" w:color="AAABD6"/>
              <w:right w:val="single" w:sz="4" w:space="0" w:color="AAABD6"/>
            </w:tcBorders>
            <w:vAlign w:val="bottom"/>
          </w:tcPr>
          <w:p w14:paraId="6DD07DA8"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30</w:t>
            </w:r>
          </w:p>
        </w:tc>
        <w:tc>
          <w:tcPr>
            <w:tcW w:w="0" w:type="dxa"/>
            <w:tcBorders>
              <w:top w:val="dotted" w:sz="4" w:space="0" w:color="AAABD6"/>
              <w:left w:val="single" w:sz="4" w:space="0" w:color="AAABD6"/>
              <w:bottom w:val="dotted" w:sz="4" w:space="0" w:color="AAABD6"/>
              <w:right w:val="single" w:sz="4" w:space="0" w:color="AAABD6"/>
            </w:tcBorders>
            <w:vAlign w:val="bottom"/>
          </w:tcPr>
          <w:p w14:paraId="72717E07"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30</w:t>
            </w:r>
          </w:p>
        </w:tc>
        <w:tc>
          <w:tcPr>
            <w:tcW w:w="0" w:type="dxa"/>
            <w:tcBorders>
              <w:top w:val="dotted" w:sz="4" w:space="0" w:color="AAABD6"/>
              <w:left w:val="single" w:sz="4" w:space="0" w:color="AAABD6"/>
              <w:bottom w:val="dotted" w:sz="4" w:space="0" w:color="AAABD6"/>
              <w:right w:val="single" w:sz="4" w:space="0" w:color="AAABD6"/>
            </w:tcBorders>
            <w:vAlign w:val="bottom"/>
          </w:tcPr>
          <w:p w14:paraId="06FCD73F"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30</w:t>
            </w:r>
          </w:p>
        </w:tc>
        <w:tc>
          <w:tcPr>
            <w:tcW w:w="0" w:type="dxa"/>
            <w:tcBorders>
              <w:top w:val="dotted" w:sz="4" w:space="0" w:color="AAABD6"/>
              <w:left w:val="single" w:sz="4" w:space="0" w:color="AAABD6"/>
              <w:bottom w:val="dotted" w:sz="4" w:space="0" w:color="AAABD6"/>
              <w:right w:val="single" w:sz="4" w:space="0" w:color="AAABD6"/>
            </w:tcBorders>
            <w:vAlign w:val="bottom"/>
          </w:tcPr>
          <w:p w14:paraId="2CDA3360"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30</w:t>
            </w:r>
          </w:p>
        </w:tc>
        <w:tc>
          <w:tcPr>
            <w:tcW w:w="0" w:type="dxa"/>
            <w:tcBorders>
              <w:top w:val="dotted" w:sz="4" w:space="0" w:color="AAABD6"/>
              <w:left w:val="single" w:sz="4" w:space="0" w:color="AAABD6"/>
              <w:bottom w:val="dotted" w:sz="4" w:space="0" w:color="AAABD6"/>
              <w:right w:val="single" w:sz="4" w:space="0" w:color="AAABD6"/>
            </w:tcBorders>
            <w:vAlign w:val="bottom"/>
          </w:tcPr>
          <w:p w14:paraId="49F1B926"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30</w:t>
            </w:r>
          </w:p>
        </w:tc>
        <w:tc>
          <w:tcPr>
            <w:tcW w:w="0" w:type="dxa"/>
            <w:tcBorders>
              <w:top w:val="dotted" w:sz="4" w:space="0" w:color="AAABD6"/>
              <w:left w:val="single" w:sz="4" w:space="0" w:color="AAABD6"/>
              <w:bottom w:val="dotted" w:sz="4" w:space="0" w:color="AAABD6"/>
              <w:right w:val="single" w:sz="4" w:space="0" w:color="AAABD6"/>
            </w:tcBorders>
            <w:vAlign w:val="bottom"/>
          </w:tcPr>
          <w:p w14:paraId="5958C763"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30</w:t>
            </w:r>
          </w:p>
        </w:tc>
        <w:tc>
          <w:tcPr>
            <w:tcW w:w="0" w:type="dxa"/>
            <w:tcBorders>
              <w:top w:val="dotted" w:sz="4" w:space="0" w:color="AAABD6"/>
              <w:left w:val="single" w:sz="4" w:space="0" w:color="AAABD6"/>
              <w:bottom w:val="dotted" w:sz="4" w:space="0" w:color="AAABD6"/>
              <w:right w:val="single" w:sz="4" w:space="0" w:color="AAABD6"/>
            </w:tcBorders>
            <w:vAlign w:val="bottom"/>
          </w:tcPr>
          <w:p w14:paraId="3DE5FFF9"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30</w:t>
            </w:r>
          </w:p>
        </w:tc>
        <w:tc>
          <w:tcPr>
            <w:tcW w:w="0" w:type="dxa"/>
            <w:tcBorders>
              <w:top w:val="dotted" w:sz="4" w:space="0" w:color="AAABD6"/>
              <w:left w:val="single" w:sz="4" w:space="0" w:color="AAABD6"/>
              <w:bottom w:val="dotted" w:sz="4" w:space="0" w:color="AAABD6"/>
              <w:right w:val="single" w:sz="4" w:space="0" w:color="AAABD6"/>
            </w:tcBorders>
            <w:vAlign w:val="bottom"/>
          </w:tcPr>
          <w:p w14:paraId="3B99D996"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30</w:t>
            </w:r>
          </w:p>
        </w:tc>
        <w:tc>
          <w:tcPr>
            <w:tcW w:w="0" w:type="dxa"/>
            <w:tcBorders>
              <w:top w:val="dotted" w:sz="4" w:space="0" w:color="AAABD6"/>
              <w:left w:val="single" w:sz="4" w:space="0" w:color="AAABD6"/>
              <w:bottom w:val="dotted" w:sz="4" w:space="0" w:color="AAABD6"/>
              <w:right w:val="single" w:sz="4" w:space="0" w:color="AAABD6"/>
            </w:tcBorders>
            <w:vAlign w:val="bottom"/>
          </w:tcPr>
          <w:p w14:paraId="183D1913"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30</w:t>
            </w:r>
          </w:p>
        </w:tc>
        <w:tc>
          <w:tcPr>
            <w:tcW w:w="0" w:type="dxa"/>
            <w:tcBorders>
              <w:top w:val="dotted" w:sz="4" w:space="0" w:color="AAABD6"/>
              <w:left w:val="single" w:sz="4" w:space="0" w:color="AAABD6"/>
              <w:bottom w:val="dotted" w:sz="4" w:space="0" w:color="AAABD6"/>
              <w:right w:val="single" w:sz="4" w:space="0" w:color="AAABD6"/>
            </w:tcBorders>
            <w:vAlign w:val="bottom"/>
          </w:tcPr>
          <w:p w14:paraId="7AF7AF9C"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30</w:t>
            </w:r>
          </w:p>
        </w:tc>
        <w:tc>
          <w:tcPr>
            <w:tcW w:w="0" w:type="dxa"/>
            <w:tcBorders>
              <w:top w:val="dotted" w:sz="4" w:space="0" w:color="AAABD6"/>
              <w:left w:val="single" w:sz="4" w:space="0" w:color="AAABD6"/>
              <w:bottom w:val="dotted" w:sz="4" w:space="0" w:color="AAABD6"/>
              <w:right w:val="single" w:sz="4" w:space="0" w:color="AAABD6"/>
            </w:tcBorders>
            <w:vAlign w:val="bottom"/>
          </w:tcPr>
          <w:p w14:paraId="0B18FF57"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30</w:t>
            </w:r>
          </w:p>
        </w:tc>
        <w:tc>
          <w:tcPr>
            <w:tcW w:w="0" w:type="dxa"/>
            <w:tcBorders>
              <w:top w:val="dotted" w:sz="4" w:space="0" w:color="AAABD6"/>
              <w:left w:val="single" w:sz="4" w:space="0" w:color="AAABD6"/>
              <w:bottom w:val="dotted" w:sz="4" w:space="0" w:color="AAABD6"/>
              <w:right w:val="single" w:sz="4" w:space="0" w:color="AAABD6"/>
            </w:tcBorders>
          </w:tcPr>
          <w:p w14:paraId="59087642"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34ADB105"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066CEE01"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1BF34008"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5DEC3810"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4A2FB0C1"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dotted" w:sz="4" w:space="0" w:color="AAABD6"/>
              <w:right w:val="single" w:sz="4" w:space="0" w:color="AAABD6"/>
            </w:tcBorders>
          </w:tcPr>
          <w:p w14:paraId="229CA805"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r>
      <w:tr w:rsidR="00CA1033" w:rsidRPr="00100F0A" w14:paraId="511F8B45" w14:textId="77777777" w:rsidTr="004206B0">
        <w:trPr>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bottom w:val="single" w:sz="4" w:space="0" w:color="AAABD6"/>
              <w:right w:val="single" w:sz="4" w:space="0" w:color="AAABD6"/>
            </w:tcBorders>
          </w:tcPr>
          <w:p w14:paraId="1B179DCB" w14:textId="77777777" w:rsidR="00CA1033" w:rsidRPr="00100F0A" w:rsidRDefault="00CA1033" w:rsidP="00B179AD">
            <w:pPr>
              <w:rPr>
                <w:sz w:val="16"/>
                <w:szCs w:val="16"/>
              </w:rPr>
            </w:pPr>
          </w:p>
        </w:tc>
        <w:tc>
          <w:tcPr>
            <w:tcW w:w="0" w:type="dxa"/>
            <w:tcBorders>
              <w:top w:val="dotted" w:sz="4" w:space="0" w:color="AAABD6"/>
              <w:left w:val="single" w:sz="4" w:space="0" w:color="AAABD6"/>
              <w:bottom w:val="single" w:sz="4" w:space="0" w:color="AAABD6"/>
              <w:right w:val="single" w:sz="4" w:space="0" w:color="AAABD6"/>
            </w:tcBorders>
          </w:tcPr>
          <w:p w14:paraId="740D23B9" w14:textId="77777777" w:rsidR="00CA1033" w:rsidRPr="00100F0A" w:rsidRDefault="00CA1033" w:rsidP="00B179AD">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WA</w:t>
            </w:r>
          </w:p>
        </w:tc>
        <w:tc>
          <w:tcPr>
            <w:tcW w:w="0" w:type="dxa"/>
            <w:vMerge/>
            <w:tcBorders>
              <w:left w:val="single" w:sz="4" w:space="0" w:color="AAABD6"/>
              <w:bottom w:val="single" w:sz="4" w:space="0" w:color="AAABD6"/>
              <w:right w:val="single" w:sz="4" w:space="0" w:color="AAABD6"/>
            </w:tcBorders>
            <w:vAlign w:val="center"/>
          </w:tcPr>
          <w:p w14:paraId="37206C24" w14:textId="77777777" w:rsidR="00CA1033" w:rsidRPr="00100F0A" w:rsidRDefault="00CA1033" w:rsidP="00B179AD">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dotted" w:sz="4" w:space="0" w:color="AAABD6"/>
              <w:left w:val="single" w:sz="4" w:space="0" w:color="AAABD6"/>
              <w:bottom w:val="single" w:sz="4" w:space="0" w:color="AAABD6"/>
              <w:right w:val="single" w:sz="4" w:space="0" w:color="AAABD6"/>
            </w:tcBorders>
            <w:shd w:val="clear" w:color="auto" w:fill="auto"/>
          </w:tcPr>
          <w:p w14:paraId="71E16556"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iCs/>
                <w:color w:val="4D4DB8"/>
                <w:sz w:val="16"/>
                <w:szCs w:val="16"/>
              </w:rPr>
              <w:t>12%</w:t>
            </w:r>
          </w:p>
        </w:tc>
        <w:tc>
          <w:tcPr>
            <w:tcW w:w="0" w:type="dxa"/>
            <w:tcBorders>
              <w:top w:val="dotted" w:sz="4" w:space="0" w:color="AAABD6"/>
              <w:left w:val="single" w:sz="4" w:space="0" w:color="AAABD6"/>
              <w:bottom w:val="single" w:sz="4" w:space="0" w:color="AAABD6"/>
              <w:right w:val="single" w:sz="4" w:space="0" w:color="AAABD6"/>
            </w:tcBorders>
            <w:shd w:val="clear" w:color="auto" w:fill="auto"/>
            <w:vAlign w:val="bottom"/>
          </w:tcPr>
          <w:p w14:paraId="6EF98049"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iCs/>
                <w:color w:val="000000" w:themeColor="text1"/>
                <w:sz w:val="16"/>
                <w:szCs w:val="16"/>
              </w:rPr>
            </w:pPr>
            <w:r w:rsidRPr="00100F0A">
              <w:rPr>
                <w:rFonts w:cs="Calibri"/>
                <w:color w:val="000000" w:themeColor="text1"/>
                <w:sz w:val="16"/>
                <w:szCs w:val="16"/>
              </w:rPr>
              <w:t>14</w:t>
            </w:r>
          </w:p>
        </w:tc>
        <w:tc>
          <w:tcPr>
            <w:tcW w:w="0" w:type="dxa"/>
            <w:tcBorders>
              <w:top w:val="dotted" w:sz="4" w:space="0" w:color="AAABD6"/>
              <w:left w:val="single" w:sz="4" w:space="0" w:color="AAABD6"/>
              <w:bottom w:val="single" w:sz="4" w:space="0" w:color="AAABD6"/>
              <w:right w:val="single" w:sz="4" w:space="0" w:color="AAABD6"/>
            </w:tcBorders>
            <w:vAlign w:val="bottom"/>
          </w:tcPr>
          <w:p w14:paraId="74BB6E06"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14</w:t>
            </w:r>
          </w:p>
        </w:tc>
        <w:tc>
          <w:tcPr>
            <w:tcW w:w="0" w:type="dxa"/>
            <w:tcBorders>
              <w:top w:val="dotted" w:sz="4" w:space="0" w:color="AAABD6"/>
              <w:left w:val="single" w:sz="4" w:space="0" w:color="AAABD6"/>
              <w:bottom w:val="single" w:sz="4" w:space="0" w:color="AAABD6"/>
              <w:right w:val="single" w:sz="4" w:space="0" w:color="AAABD6"/>
            </w:tcBorders>
            <w:vAlign w:val="bottom"/>
          </w:tcPr>
          <w:p w14:paraId="5578BF9C"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14</w:t>
            </w:r>
          </w:p>
        </w:tc>
        <w:tc>
          <w:tcPr>
            <w:tcW w:w="0" w:type="dxa"/>
            <w:tcBorders>
              <w:top w:val="dotted" w:sz="4" w:space="0" w:color="AAABD6"/>
              <w:left w:val="single" w:sz="4" w:space="0" w:color="AAABD6"/>
              <w:bottom w:val="single" w:sz="4" w:space="0" w:color="AAABD6"/>
              <w:right w:val="single" w:sz="4" w:space="0" w:color="AAABD6"/>
            </w:tcBorders>
            <w:vAlign w:val="bottom"/>
          </w:tcPr>
          <w:p w14:paraId="145B9F03"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14</w:t>
            </w:r>
          </w:p>
        </w:tc>
        <w:tc>
          <w:tcPr>
            <w:tcW w:w="0" w:type="dxa"/>
            <w:tcBorders>
              <w:top w:val="dotted" w:sz="4" w:space="0" w:color="AAABD6"/>
              <w:left w:val="single" w:sz="4" w:space="0" w:color="AAABD6"/>
              <w:bottom w:val="single" w:sz="4" w:space="0" w:color="AAABD6"/>
              <w:right w:val="single" w:sz="4" w:space="0" w:color="AAABD6"/>
            </w:tcBorders>
            <w:vAlign w:val="bottom"/>
          </w:tcPr>
          <w:p w14:paraId="19EFF9AE"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14</w:t>
            </w:r>
          </w:p>
        </w:tc>
        <w:tc>
          <w:tcPr>
            <w:tcW w:w="0" w:type="dxa"/>
            <w:tcBorders>
              <w:top w:val="dotted" w:sz="4" w:space="0" w:color="AAABD6"/>
              <w:left w:val="single" w:sz="4" w:space="0" w:color="AAABD6"/>
              <w:bottom w:val="single" w:sz="4" w:space="0" w:color="AAABD6"/>
              <w:right w:val="single" w:sz="4" w:space="0" w:color="AAABD6"/>
            </w:tcBorders>
            <w:vAlign w:val="bottom"/>
          </w:tcPr>
          <w:p w14:paraId="264A358B"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14</w:t>
            </w:r>
          </w:p>
        </w:tc>
        <w:tc>
          <w:tcPr>
            <w:tcW w:w="0" w:type="dxa"/>
            <w:tcBorders>
              <w:top w:val="dotted" w:sz="4" w:space="0" w:color="AAABD6"/>
              <w:left w:val="single" w:sz="4" w:space="0" w:color="AAABD6"/>
              <w:bottom w:val="single" w:sz="4" w:space="0" w:color="AAABD6"/>
              <w:right w:val="single" w:sz="4" w:space="0" w:color="AAABD6"/>
            </w:tcBorders>
            <w:vAlign w:val="bottom"/>
          </w:tcPr>
          <w:p w14:paraId="07F4EB38"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14</w:t>
            </w:r>
          </w:p>
        </w:tc>
        <w:tc>
          <w:tcPr>
            <w:tcW w:w="0" w:type="dxa"/>
            <w:tcBorders>
              <w:top w:val="dotted" w:sz="4" w:space="0" w:color="AAABD6"/>
              <w:left w:val="single" w:sz="4" w:space="0" w:color="AAABD6"/>
              <w:bottom w:val="single" w:sz="4" w:space="0" w:color="AAABD6"/>
              <w:right w:val="single" w:sz="4" w:space="0" w:color="AAABD6"/>
            </w:tcBorders>
            <w:vAlign w:val="bottom"/>
          </w:tcPr>
          <w:p w14:paraId="59F06F07"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14</w:t>
            </w:r>
          </w:p>
        </w:tc>
        <w:tc>
          <w:tcPr>
            <w:tcW w:w="0" w:type="dxa"/>
            <w:tcBorders>
              <w:top w:val="dotted" w:sz="4" w:space="0" w:color="AAABD6"/>
              <w:left w:val="single" w:sz="4" w:space="0" w:color="AAABD6"/>
              <w:bottom w:val="single" w:sz="4" w:space="0" w:color="AAABD6"/>
              <w:right w:val="single" w:sz="4" w:space="0" w:color="AAABD6"/>
            </w:tcBorders>
            <w:vAlign w:val="bottom"/>
          </w:tcPr>
          <w:p w14:paraId="77E03568"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14</w:t>
            </w:r>
          </w:p>
        </w:tc>
        <w:tc>
          <w:tcPr>
            <w:tcW w:w="0" w:type="dxa"/>
            <w:tcBorders>
              <w:top w:val="dotted" w:sz="4" w:space="0" w:color="AAABD6"/>
              <w:left w:val="single" w:sz="4" w:space="0" w:color="AAABD6"/>
              <w:bottom w:val="single" w:sz="4" w:space="0" w:color="AAABD6"/>
              <w:right w:val="single" w:sz="4" w:space="0" w:color="AAABD6"/>
            </w:tcBorders>
            <w:vAlign w:val="bottom"/>
          </w:tcPr>
          <w:p w14:paraId="6F6DDD20"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14</w:t>
            </w:r>
          </w:p>
        </w:tc>
        <w:tc>
          <w:tcPr>
            <w:tcW w:w="0" w:type="dxa"/>
            <w:tcBorders>
              <w:top w:val="dotted" w:sz="4" w:space="0" w:color="AAABD6"/>
              <w:left w:val="single" w:sz="4" w:space="0" w:color="AAABD6"/>
              <w:bottom w:val="single" w:sz="4" w:space="0" w:color="AAABD6"/>
              <w:right w:val="single" w:sz="4" w:space="0" w:color="AAABD6"/>
            </w:tcBorders>
            <w:vAlign w:val="bottom"/>
          </w:tcPr>
          <w:p w14:paraId="64C908B0"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14</w:t>
            </w:r>
          </w:p>
        </w:tc>
        <w:tc>
          <w:tcPr>
            <w:tcW w:w="0" w:type="dxa"/>
            <w:tcBorders>
              <w:top w:val="dotted" w:sz="4" w:space="0" w:color="AAABD6"/>
              <w:left w:val="single" w:sz="4" w:space="0" w:color="AAABD6"/>
              <w:bottom w:val="single" w:sz="4" w:space="0" w:color="AAABD6"/>
              <w:right w:val="single" w:sz="4" w:space="0" w:color="AAABD6"/>
            </w:tcBorders>
            <w:vAlign w:val="bottom"/>
          </w:tcPr>
          <w:p w14:paraId="0F5F2FB7"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14</w:t>
            </w:r>
          </w:p>
        </w:tc>
        <w:tc>
          <w:tcPr>
            <w:tcW w:w="0" w:type="dxa"/>
            <w:tcBorders>
              <w:top w:val="dotted" w:sz="4" w:space="0" w:color="AAABD6"/>
              <w:left w:val="single" w:sz="4" w:space="0" w:color="AAABD6"/>
              <w:bottom w:val="single" w:sz="4" w:space="0" w:color="AAABD6"/>
              <w:right w:val="single" w:sz="4" w:space="0" w:color="AAABD6"/>
            </w:tcBorders>
            <w:vAlign w:val="bottom"/>
          </w:tcPr>
          <w:p w14:paraId="51B648E9"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14</w:t>
            </w:r>
          </w:p>
        </w:tc>
        <w:tc>
          <w:tcPr>
            <w:tcW w:w="0" w:type="dxa"/>
            <w:tcBorders>
              <w:top w:val="dotted" w:sz="4" w:space="0" w:color="AAABD6"/>
              <w:left w:val="single" w:sz="4" w:space="0" w:color="AAABD6"/>
              <w:bottom w:val="single" w:sz="4" w:space="0" w:color="AAABD6"/>
              <w:right w:val="single" w:sz="4" w:space="0" w:color="AAABD6"/>
            </w:tcBorders>
          </w:tcPr>
          <w:p w14:paraId="5917ECC8"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single" w:sz="4" w:space="0" w:color="AAABD6"/>
              <w:right w:val="single" w:sz="4" w:space="0" w:color="AAABD6"/>
            </w:tcBorders>
          </w:tcPr>
          <w:p w14:paraId="05E3A235"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single" w:sz="4" w:space="0" w:color="AAABD6"/>
              <w:right w:val="single" w:sz="4" w:space="0" w:color="AAABD6"/>
            </w:tcBorders>
          </w:tcPr>
          <w:p w14:paraId="08D26DCD"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single" w:sz="4" w:space="0" w:color="AAABD6"/>
              <w:right w:val="single" w:sz="4" w:space="0" w:color="AAABD6"/>
            </w:tcBorders>
          </w:tcPr>
          <w:p w14:paraId="0BCAFAD6"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single" w:sz="4" w:space="0" w:color="AAABD6"/>
              <w:right w:val="single" w:sz="4" w:space="0" w:color="AAABD6"/>
            </w:tcBorders>
          </w:tcPr>
          <w:p w14:paraId="0505A169"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single" w:sz="4" w:space="0" w:color="AAABD6"/>
              <w:right w:val="single" w:sz="4" w:space="0" w:color="AAABD6"/>
            </w:tcBorders>
          </w:tcPr>
          <w:p w14:paraId="440DFF6D"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0" w:type="dxa"/>
            <w:tcBorders>
              <w:top w:val="dotted" w:sz="4" w:space="0" w:color="AAABD6"/>
              <w:left w:val="single" w:sz="4" w:space="0" w:color="AAABD6"/>
              <w:bottom w:val="single" w:sz="4" w:space="0" w:color="AAABD6"/>
              <w:right w:val="single" w:sz="4" w:space="0" w:color="AAABD6"/>
            </w:tcBorders>
          </w:tcPr>
          <w:p w14:paraId="680CE0F8" w14:textId="77777777" w:rsidR="00CA1033" w:rsidRPr="00100F0A" w:rsidRDefault="00CA1033"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r>
      <w:tr w:rsidR="00F02371" w:rsidRPr="00100F0A" w14:paraId="1BFFF34A"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val="restart"/>
            <w:tcBorders>
              <w:top w:val="single" w:sz="4" w:space="0" w:color="AAABD6"/>
              <w:left w:val="single" w:sz="4" w:space="0" w:color="AAABD6"/>
              <w:bottom w:val="single" w:sz="4" w:space="0" w:color="AAABD6"/>
              <w:right w:val="single" w:sz="4" w:space="0" w:color="AAABD6"/>
            </w:tcBorders>
          </w:tcPr>
          <w:p w14:paraId="422EB59A" w14:textId="77777777" w:rsidR="00F02371" w:rsidRPr="00100F0A" w:rsidRDefault="00F02371" w:rsidP="00B179AD">
            <w:pPr>
              <w:rPr>
                <w:sz w:val="16"/>
                <w:szCs w:val="16"/>
              </w:rPr>
            </w:pPr>
            <w:r w:rsidRPr="00100F0A">
              <w:rPr>
                <w:sz w:val="16"/>
                <w:szCs w:val="16"/>
              </w:rPr>
              <w:t>High</w:t>
            </w:r>
          </w:p>
        </w:tc>
        <w:tc>
          <w:tcPr>
            <w:tcW w:w="675" w:type="dxa"/>
            <w:tcBorders>
              <w:top w:val="single" w:sz="4" w:space="0" w:color="AAABD6"/>
              <w:left w:val="single" w:sz="4" w:space="0" w:color="AAABD6"/>
              <w:bottom w:val="dotted" w:sz="4" w:space="0" w:color="AAABD6"/>
              <w:right w:val="single" w:sz="4" w:space="0" w:color="AAABD6"/>
            </w:tcBorders>
          </w:tcPr>
          <w:p w14:paraId="14F99F21" w14:textId="77777777" w:rsidR="00F02371" w:rsidRPr="00100F0A" w:rsidRDefault="00F02371" w:rsidP="00B179AD">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ACT</w:t>
            </w:r>
          </w:p>
        </w:tc>
        <w:tc>
          <w:tcPr>
            <w:tcW w:w="1418" w:type="dxa"/>
            <w:vMerge w:val="restart"/>
            <w:tcBorders>
              <w:top w:val="single" w:sz="4" w:space="0" w:color="AAABD6"/>
              <w:left w:val="single" w:sz="4" w:space="0" w:color="AAABD6"/>
              <w:right w:val="single" w:sz="4" w:space="0" w:color="AAABD6"/>
            </w:tcBorders>
            <w:vAlign w:val="center"/>
          </w:tcPr>
          <w:p w14:paraId="475A61B8" w14:textId="77777777" w:rsidR="00F02371" w:rsidRPr="00100F0A" w:rsidRDefault="00F02371" w:rsidP="00B179AD">
            <w:pPr>
              <w:cnfStyle w:val="000000000000" w:firstRow="0" w:lastRow="0" w:firstColumn="0" w:lastColumn="0" w:oddVBand="0" w:evenVBand="0" w:oddHBand="0" w:evenHBand="0" w:firstRowFirstColumn="0" w:firstRowLastColumn="0" w:lastRowFirstColumn="0" w:lastRowLastColumn="0"/>
              <w:rPr>
                <w:sz w:val="16"/>
                <w:szCs w:val="16"/>
              </w:rPr>
            </w:pPr>
            <w:r w:rsidRPr="00100F0A">
              <w:rPr>
                <w:rFonts w:cs="Calibri"/>
                <w:color w:val="000000"/>
                <w:sz w:val="16"/>
                <w:szCs w:val="16"/>
              </w:rPr>
              <w:t>High: Assume rate of destruction continues at double the 2010-2013 rate (16%) and there is double the volume in stocks (starting point)</w:t>
            </w:r>
          </w:p>
        </w:tc>
        <w:tc>
          <w:tcPr>
            <w:tcW w:w="510" w:type="dxa"/>
            <w:vMerge w:val="restart"/>
            <w:tcBorders>
              <w:top w:val="single" w:sz="4" w:space="0" w:color="AAABD6"/>
              <w:left w:val="single" w:sz="4" w:space="0" w:color="AAABD6"/>
              <w:right w:val="single" w:sz="4" w:space="0" w:color="AAABD6"/>
            </w:tcBorders>
          </w:tcPr>
          <w:p w14:paraId="5B5EA8CC"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597E8AE1"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66A2B260"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0AA20883"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052D31D5"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31DD5A3F"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13DC00A0"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7A10B684"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6E36CF3A"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47B8C5DA"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168B17B0"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71186618"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50119889"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4E159650"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2D344D09"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p w14:paraId="7163BA8A" w14:textId="4A7C212B"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r w:rsidRPr="00100F0A">
              <w:rPr>
                <w:color w:val="000000"/>
                <w:sz w:val="16"/>
                <w:szCs w:val="16"/>
              </w:rPr>
              <w:t> </w:t>
            </w:r>
          </w:p>
        </w:tc>
        <w:tc>
          <w:tcPr>
            <w:tcW w:w="510" w:type="dxa"/>
            <w:tcBorders>
              <w:top w:val="single" w:sz="4" w:space="0" w:color="AAABD6"/>
              <w:left w:val="single" w:sz="4" w:space="0" w:color="AAABD6"/>
              <w:bottom w:val="dotted" w:sz="4" w:space="0" w:color="AAABD6"/>
              <w:right w:val="single" w:sz="4" w:space="0" w:color="AAABD6"/>
            </w:tcBorders>
            <w:vAlign w:val="bottom"/>
          </w:tcPr>
          <w:p w14:paraId="19F83327"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8</w:t>
            </w:r>
          </w:p>
        </w:tc>
        <w:tc>
          <w:tcPr>
            <w:tcW w:w="510" w:type="dxa"/>
            <w:tcBorders>
              <w:top w:val="single" w:sz="4" w:space="0" w:color="AAABD6"/>
              <w:left w:val="single" w:sz="4" w:space="0" w:color="AAABD6"/>
              <w:bottom w:val="dotted" w:sz="4" w:space="0" w:color="AAABD6"/>
              <w:right w:val="single" w:sz="4" w:space="0" w:color="AAABD6"/>
            </w:tcBorders>
            <w:vAlign w:val="bottom"/>
          </w:tcPr>
          <w:p w14:paraId="61CF0BC0"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8</w:t>
            </w:r>
          </w:p>
        </w:tc>
        <w:tc>
          <w:tcPr>
            <w:tcW w:w="680" w:type="dxa"/>
            <w:tcBorders>
              <w:top w:val="single" w:sz="4" w:space="0" w:color="AAABD6"/>
              <w:left w:val="single" w:sz="4" w:space="0" w:color="AAABD6"/>
              <w:bottom w:val="dotted" w:sz="4" w:space="0" w:color="AAABD6"/>
              <w:right w:val="single" w:sz="4" w:space="0" w:color="AAABD6"/>
            </w:tcBorders>
            <w:vAlign w:val="bottom"/>
          </w:tcPr>
          <w:p w14:paraId="5F02A182"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8</w:t>
            </w:r>
          </w:p>
        </w:tc>
        <w:tc>
          <w:tcPr>
            <w:tcW w:w="680" w:type="dxa"/>
            <w:tcBorders>
              <w:top w:val="single" w:sz="4" w:space="0" w:color="AAABD6"/>
              <w:left w:val="single" w:sz="4" w:space="0" w:color="AAABD6"/>
              <w:bottom w:val="dotted" w:sz="4" w:space="0" w:color="AAABD6"/>
              <w:right w:val="single" w:sz="4" w:space="0" w:color="AAABD6"/>
            </w:tcBorders>
            <w:vAlign w:val="bottom"/>
          </w:tcPr>
          <w:p w14:paraId="02FAF37D"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8</w:t>
            </w:r>
          </w:p>
        </w:tc>
        <w:tc>
          <w:tcPr>
            <w:tcW w:w="680" w:type="dxa"/>
            <w:tcBorders>
              <w:top w:val="single" w:sz="4" w:space="0" w:color="AAABD6"/>
              <w:left w:val="single" w:sz="4" w:space="0" w:color="AAABD6"/>
              <w:bottom w:val="dotted" w:sz="4" w:space="0" w:color="AAABD6"/>
              <w:right w:val="single" w:sz="4" w:space="0" w:color="AAABD6"/>
            </w:tcBorders>
            <w:vAlign w:val="bottom"/>
          </w:tcPr>
          <w:p w14:paraId="705BAE2A"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8</w:t>
            </w:r>
          </w:p>
        </w:tc>
        <w:tc>
          <w:tcPr>
            <w:tcW w:w="680" w:type="dxa"/>
            <w:tcBorders>
              <w:top w:val="single" w:sz="4" w:space="0" w:color="AAABD6"/>
              <w:left w:val="single" w:sz="4" w:space="0" w:color="AAABD6"/>
              <w:bottom w:val="dotted" w:sz="4" w:space="0" w:color="AAABD6"/>
              <w:right w:val="single" w:sz="4" w:space="0" w:color="AAABD6"/>
            </w:tcBorders>
            <w:vAlign w:val="bottom"/>
          </w:tcPr>
          <w:p w14:paraId="08358477"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8</w:t>
            </w:r>
          </w:p>
        </w:tc>
        <w:tc>
          <w:tcPr>
            <w:tcW w:w="680" w:type="dxa"/>
            <w:tcBorders>
              <w:top w:val="single" w:sz="4" w:space="0" w:color="AAABD6"/>
              <w:left w:val="single" w:sz="4" w:space="0" w:color="AAABD6"/>
              <w:bottom w:val="dotted" w:sz="4" w:space="0" w:color="AAABD6"/>
              <w:right w:val="single" w:sz="4" w:space="0" w:color="AAABD6"/>
            </w:tcBorders>
            <w:vAlign w:val="bottom"/>
          </w:tcPr>
          <w:p w14:paraId="08276F5F"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8</w:t>
            </w:r>
          </w:p>
        </w:tc>
        <w:tc>
          <w:tcPr>
            <w:tcW w:w="680" w:type="dxa"/>
            <w:tcBorders>
              <w:top w:val="single" w:sz="4" w:space="0" w:color="AAABD6"/>
              <w:left w:val="single" w:sz="4" w:space="0" w:color="AAABD6"/>
              <w:bottom w:val="dotted" w:sz="4" w:space="0" w:color="AAABD6"/>
              <w:right w:val="single" w:sz="4" w:space="0" w:color="AAABD6"/>
            </w:tcBorders>
          </w:tcPr>
          <w:p w14:paraId="6BE85472"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4AFC7773"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527F4F1E"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790B11A7"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38B1391E"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01E8FAB6"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61E6BE2E"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6C1ACF0A"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5B85ABCA"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321C59A6"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04A7F30D"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3A23E09C"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0D6CA4EE"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r>
      <w:tr w:rsidR="00F02371" w:rsidRPr="00100F0A" w14:paraId="1E277FC4"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bottom w:val="single" w:sz="4" w:space="0" w:color="AAABD6"/>
              <w:right w:val="single" w:sz="4" w:space="0" w:color="AAABD6"/>
            </w:tcBorders>
          </w:tcPr>
          <w:p w14:paraId="45251388" w14:textId="77777777" w:rsidR="00F02371" w:rsidRPr="00100F0A" w:rsidRDefault="00F02371" w:rsidP="00B179AD">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3A6B2458" w14:textId="77777777" w:rsidR="00F02371" w:rsidRPr="00100F0A" w:rsidRDefault="00F02371" w:rsidP="00B179AD">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NSW</w:t>
            </w:r>
          </w:p>
        </w:tc>
        <w:tc>
          <w:tcPr>
            <w:tcW w:w="1418" w:type="dxa"/>
            <w:vMerge/>
            <w:tcBorders>
              <w:left w:val="single" w:sz="4" w:space="0" w:color="AAABD6"/>
              <w:right w:val="single" w:sz="4" w:space="0" w:color="AAABD6"/>
            </w:tcBorders>
            <w:vAlign w:val="center"/>
          </w:tcPr>
          <w:p w14:paraId="3B5E18F0" w14:textId="77777777" w:rsidR="00F02371" w:rsidRPr="00100F0A" w:rsidRDefault="00F02371" w:rsidP="00B179AD">
            <w:pPr>
              <w:cnfStyle w:val="000000000000" w:firstRow="0" w:lastRow="0" w:firstColumn="0" w:lastColumn="0" w:oddVBand="0" w:evenVBand="0" w:oddHBand="0" w:evenHBand="0" w:firstRowFirstColumn="0" w:firstRowLastColumn="0" w:lastRowFirstColumn="0" w:lastRowLastColumn="0"/>
              <w:rPr>
                <w:sz w:val="16"/>
                <w:szCs w:val="16"/>
              </w:rPr>
            </w:pPr>
          </w:p>
        </w:tc>
        <w:tc>
          <w:tcPr>
            <w:tcW w:w="510" w:type="dxa"/>
            <w:vMerge/>
            <w:tcBorders>
              <w:left w:val="single" w:sz="4" w:space="0" w:color="AAABD6"/>
              <w:right w:val="single" w:sz="4" w:space="0" w:color="AAABD6"/>
            </w:tcBorders>
          </w:tcPr>
          <w:p w14:paraId="23EF8847" w14:textId="33642DEC"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510" w:type="dxa"/>
            <w:tcBorders>
              <w:top w:val="dotted" w:sz="4" w:space="0" w:color="AAABD6"/>
              <w:left w:val="single" w:sz="4" w:space="0" w:color="AAABD6"/>
              <w:bottom w:val="dotted" w:sz="4" w:space="0" w:color="AAABD6"/>
              <w:right w:val="single" w:sz="4" w:space="0" w:color="AAABD6"/>
            </w:tcBorders>
            <w:vAlign w:val="bottom"/>
          </w:tcPr>
          <w:p w14:paraId="374BE482"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150</w:t>
            </w:r>
          </w:p>
        </w:tc>
        <w:tc>
          <w:tcPr>
            <w:tcW w:w="510" w:type="dxa"/>
            <w:tcBorders>
              <w:top w:val="dotted" w:sz="4" w:space="0" w:color="AAABD6"/>
              <w:left w:val="single" w:sz="4" w:space="0" w:color="AAABD6"/>
              <w:bottom w:val="dotted" w:sz="4" w:space="0" w:color="AAABD6"/>
              <w:right w:val="single" w:sz="4" w:space="0" w:color="AAABD6"/>
            </w:tcBorders>
            <w:vAlign w:val="bottom"/>
          </w:tcPr>
          <w:p w14:paraId="758A2B76"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150</w:t>
            </w:r>
          </w:p>
        </w:tc>
        <w:tc>
          <w:tcPr>
            <w:tcW w:w="680" w:type="dxa"/>
            <w:tcBorders>
              <w:top w:val="dotted" w:sz="4" w:space="0" w:color="AAABD6"/>
              <w:left w:val="single" w:sz="4" w:space="0" w:color="AAABD6"/>
              <w:bottom w:val="dotted" w:sz="4" w:space="0" w:color="AAABD6"/>
              <w:right w:val="single" w:sz="4" w:space="0" w:color="AAABD6"/>
            </w:tcBorders>
            <w:vAlign w:val="bottom"/>
          </w:tcPr>
          <w:p w14:paraId="50B23EB5"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150</w:t>
            </w:r>
          </w:p>
        </w:tc>
        <w:tc>
          <w:tcPr>
            <w:tcW w:w="680" w:type="dxa"/>
            <w:tcBorders>
              <w:top w:val="dotted" w:sz="4" w:space="0" w:color="AAABD6"/>
              <w:left w:val="single" w:sz="4" w:space="0" w:color="AAABD6"/>
              <w:bottom w:val="dotted" w:sz="4" w:space="0" w:color="AAABD6"/>
              <w:right w:val="single" w:sz="4" w:space="0" w:color="AAABD6"/>
            </w:tcBorders>
            <w:vAlign w:val="bottom"/>
          </w:tcPr>
          <w:p w14:paraId="611C94DF"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150</w:t>
            </w:r>
          </w:p>
        </w:tc>
        <w:tc>
          <w:tcPr>
            <w:tcW w:w="680" w:type="dxa"/>
            <w:tcBorders>
              <w:top w:val="dotted" w:sz="4" w:space="0" w:color="AAABD6"/>
              <w:left w:val="single" w:sz="4" w:space="0" w:color="AAABD6"/>
              <w:bottom w:val="dotted" w:sz="4" w:space="0" w:color="AAABD6"/>
              <w:right w:val="single" w:sz="4" w:space="0" w:color="AAABD6"/>
            </w:tcBorders>
            <w:vAlign w:val="bottom"/>
          </w:tcPr>
          <w:p w14:paraId="2088172A"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150</w:t>
            </w:r>
          </w:p>
        </w:tc>
        <w:tc>
          <w:tcPr>
            <w:tcW w:w="680" w:type="dxa"/>
            <w:tcBorders>
              <w:top w:val="dotted" w:sz="4" w:space="0" w:color="AAABD6"/>
              <w:left w:val="single" w:sz="4" w:space="0" w:color="AAABD6"/>
              <w:bottom w:val="dotted" w:sz="4" w:space="0" w:color="AAABD6"/>
              <w:right w:val="single" w:sz="4" w:space="0" w:color="AAABD6"/>
            </w:tcBorders>
            <w:vAlign w:val="bottom"/>
          </w:tcPr>
          <w:p w14:paraId="1FED6C2B"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150</w:t>
            </w:r>
          </w:p>
        </w:tc>
        <w:tc>
          <w:tcPr>
            <w:tcW w:w="680" w:type="dxa"/>
            <w:tcBorders>
              <w:top w:val="dotted" w:sz="4" w:space="0" w:color="AAABD6"/>
              <w:left w:val="single" w:sz="4" w:space="0" w:color="AAABD6"/>
              <w:bottom w:val="dotted" w:sz="4" w:space="0" w:color="AAABD6"/>
              <w:right w:val="single" w:sz="4" w:space="0" w:color="AAABD6"/>
            </w:tcBorders>
            <w:vAlign w:val="bottom"/>
          </w:tcPr>
          <w:p w14:paraId="725B7327"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150</w:t>
            </w:r>
          </w:p>
        </w:tc>
        <w:tc>
          <w:tcPr>
            <w:tcW w:w="680" w:type="dxa"/>
            <w:tcBorders>
              <w:top w:val="dotted" w:sz="4" w:space="0" w:color="AAABD6"/>
              <w:left w:val="single" w:sz="4" w:space="0" w:color="AAABD6"/>
              <w:bottom w:val="dotted" w:sz="4" w:space="0" w:color="AAABD6"/>
              <w:right w:val="single" w:sz="4" w:space="0" w:color="AAABD6"/>
            </w:tcBorders>
          </w:tcPr>
          <w:p w14:paraId="395D8E96"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5533EE3A"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444709D3"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7450CCEC"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5AD281CE"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58CA9047"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6E0DE8D4"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26AA0294"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6331C174"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06D7693E"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10ED2ACB"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758F7B38"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1C770C81"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r>
      <w:tr w:rsidR="00F02371" w:rsidRPr="00100F0A" w14:paraId="60A10997"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bottom w:val="single" w:sz="4" w:space="0" w:color="AAABD6"/>
              <w:right w:val="single" w:sz="4" w:space="0" w:color="AAABD6"/>
            </w:tcBorders>
          </w:tcPr>
          <w:p w14:paraId="6C5D3FF1" w14:textId="77777777" w:rsidR="00F02371" w:rsidRPr="00100F0A" w:rsidRDefault="00F02371" w:rsidP="00B179AD">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506AF42A" w14:textId="77777777" w:rsidR="00F02371" w:rsidRPr="00100F0A" w:rsidRDefault="00F02371" w:rsidP="00B179AD">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NT</w:t>
            </w:r>
          </w:p>
        </w:tc>
        <w:tc>
          <w:tcPr>
            <w:tcW w:w="1418" w:type="dxa"/>
            <w:vMerge/>
            <w:tcBorders>
              <w:left w:val="single" w:sz="4" w:space="0" w:color="AAABD6"/>
              <w:right w:val="single" w:sz="4" w:space="0" w:color="AAABD6"/>
            </w:tcBorders>
            <w:vAlign w:val="center"/>
          </w:tcPr>
          <w:p w14:paraId="3225D397" w14:textId="77777777" w:rsidR="00F02371" w:rsidRPr="00100F0A" w:rsidRDefault="00F02371" w:rsidP="00B179AD">
            <w:pPr>
              <w:cnfStyle w:val="000000000000" w:firstRow="0" w:lastRow="0" w:firstColumn="0" w:lastColumn="0" w:oddVBand="0" w:evenVBand="0" w:oddHBand="0" w:evenHBand="0" w:firstRowFirstColumn="0" w:firstRowLastColumn="0" w:lastRowFirstColumn="0" w:lastRowLastColumn="0"/>
              <w:rPr>
                <w:sz w:val="16"/>
                <w:szCs w:val="16"/>
              </w:rPr>
            </w:pPr>
          </w:p>
        </w:tc>
        <w:tc>
          <w:tcPr>
            <w:tcW w:w="510" w:type="dxa"/>
            <w:vMerge/>
            <w:tcBorders>
              <w:left w:val="single" w:sz="4" w:space="0" w:color="AAABD6"/>
              <w:right w:val="single" w:sz="4" w:space="0" w:color="AAABD6"/>
            </w:tcBorders>
          </w:tcPr>
          <w:p w14:paraId="703303A5" w14:textId="2455604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510" w:type="dxa"/>
            <w:tcBorders>
              <w:top w:val="dotted" w:sz="4" w:space="0" w:color="AAABD6"/>
              <w:left w:val="single" w:sz="4" w:space="0" w:color="AAABD6"/>
              <w:bottom w:val="dotted" w:sz="4" w:space="0" w:color="AAABD6"/>
              <w:right w:val="single" w:sz="4" w:space="0" w:color="AAABD6"/>
            </w:tcBorders>
            <w:vAlign w:val="bottom"/>
          </w:tcPr>
          <w:p w14:paraId="701FCF31"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5</w:t>
            </w:r>
          </w:p>
        </w:tc>
        <w:tc>
          <w:tcPr>
            <w:tcW w:w="510" w:type="dxa"/>
            <w:tcBorders>
              <w:top w:val="dotted" w:sz="4" w:space="0" w:color="AAABD6"/>
              <w:left w:val="single" w:sz="4" w:space="0" w:color="AAABD6"/>
              <w:bottom w:val="dotted" w:sz="4" w:space="0" w:color="AAABD6"/>
              <w:right w:val="single" w:sz="4" w:space="0" w:color="AAABD6"/>
            </w:tcBorders>
            <w:vAlign w:val="bottom"/>
          </w:tcPr>
          <w:p w14:paraId="0F5C8D8E"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5</w:t>
            </w:r>
          </w:p>
        </w:tc>
        <w:tc>
          <w:tcPr>
            <w:tcW w:w="680" w:type="dxa"/>
            <w:tcBorders>
              <w:top w:val="dotted" w:sz="4" w:space="0" w:color="AAABD6"/>
              <w:left w:val="single" w:sz="4" w:space="0" w:color="AAABD6"/>
              <w:bottom w:val="dotted" w:sz="4" w:space="0" w:color="AAABD6"/>
              <w:right w:val="single" w:sz="4" w:space="0" w:color="AAABD6"/>
            </w:tcBorders>
            <w:vAlign w:val="bottom"/>
          </w:tcPr>
          <w:p w14:paraId="6CAF32B6"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5</w:t>
            </w:r>
          </w:p>
        </w:tc>
        <w:tc>
          <w:tcPr>
            <w:tcW w:w="680" w:type="dxa"/>
            <w:tcBorders>
              <w:top w:val="dotted" w:sz="4" w:space="0" w:color="AAABD6"/>
              <w:left w:val="single" w:sz="4" w:space="0" w:color="AAABD6"/>
              <w:bottom w:val="dotted" w:sz="4" w:space="0" w:color="AAABD6"/>
              <w:right w:val="single" w:sz="4" w:space="0" w:color="AAABD6"/>
            </w:tcBorders>
            <w:vAlign w:val="bottom"/>
          </w:tcPr>
          <w:p w14:paraId="18395DD1"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5</w:t>
            </w:r>
          </w:p>
        </w:tc>
        <w:tc>
          <w:tcPr>
            <w:tcW w:w="680" w:type="dxa"/>
            <w:tcBorders>
              <w:top w:val="dotted" w:sz="4" w:space="0" w:color="AAABD6"/>
              <w:left w:val="single" w:sz="4" w:space="0" w:color="AAABD6"/>
              <w:bottom w:val="dotted" w:sz="4" w:space="0" w:color="AAABD6"/>
              <w:right w:val="single" w:sz="4" w:space="0" w:color="AAABD6"/>
            </w:tcBorders>
            <w:vAlign w:val="bottom"/>
          </w:tcPr>
          <w:p w14:paraId="6BD0CB67"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5</w:t>
            </w:r>
          </w:p>
        </w:tc>
        <w:tc>
          <w:tcPr>
            <w:tcW w:w="680" w:type="dxa"/>
            <w:tcBorders>
              <w:top w:val="dotted" w:sz="4" w:space="0" w:color="AAABD6"/>
              <w:left w:val="single" w:sz="4" w:space="0" w:color="AAABD6"/>
              <w:bottom w:val="dotted" w:sz="4" w:space="0" w:color="AAABD6"/>
              <w:right w:val="single" w:sz="4" w:space="0" w:color="AAABD6"/>
            </w:tcBorders>
            <w:vAlign w:val="bottom"/>
          </w:tcPr>
          <w:p w14:paraId="44181C43"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5</w:t>
            </w:r>
          </w:p>
        </w:tc>
        <w:tc>
          <w:tcPr>
            <w:tcW w:w="680" w:type="dxa"/>
            <w:tcBorders>
              <w:top w:val="dotted" w:sz="4" w:space="0" w:color="AAABD6"/>
              <w:left w:val="single" w:sz="4" w:space="0" w:color="AAABD6"/>
              <w:bottom w:val="dotted" w:sz="4" w:space="0" w:color="AAABD6"/>
              <w:right w:val="single" w:sz="4" w:space="0" w:color="AAABD6"/>
            </w:tcBorders>
            <w:vAlign w:val="bottom"/>
          </w:tcPr>
          <w:p w14:paraId="6C011B44"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5</w:t>
            </w:r>
          </w:p>
        </w:tc>
        <w:tc>
          <w:tcPr>
            <w:tcW w:w="680" w:type="dxa"/>
            <w:tcBorders>
              <w:top w:val="dotted" w:sz="4" w:space="0" w:color="AAABD6"/>
              <w:left w:val="single" w:sz="4" w:space="0" w:color="AAABD6"/>
              <w:bottom w:val="dotted" w:sz="4" w:space="0" w:color="AAABD6"/>
              <w:right w:val="single" w:sz="4" w:space="0" w:color="AAABD6"/>
            </w:tcBorders>
          </w:tcPr>
          <w:p w14:paraId="017FF33F"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24A36EF6"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2CE49A41"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58FE6825"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32EE424D"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79724083"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2F21D8CD"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40870A03"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1797F141"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3B0F0E20"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4B9DAE5A"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7B368C88"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76BA3570"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r>
      <w:tr w:rsidR="00F02371" w:rsidRPr="00100F0A" w14:paraId="386A33AD"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bottom w:val="single" w:sz="4" w:space="0" w:color="AAABD6"/>
              <w:right w:val="single" w:sz="4" w:space="0" w:color="AAABD6"/>
            </w:tcBorders>
          </w:tcPr>
          <w:p w14:paraId="1CF9C218" w14:textId="77777777" w:rsidR="00F02371" w:rsidRPr="00100F0A" w:rsidRDefault="00F02371" w:rsidP="00B179AD">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3497DD33" w14:textId="77777777" w:rsidR="00F02371" w:rsidRPr="00100F0A" w:rsidRDefault="00F02371" w:rsidP="00B179AD">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Qld</w:t>
            </w:r>
          </w:p>
        </w:tc>
        <w:tc>
          <w:tcPr>
            <w:tcW w:w="1418" w:type="dxa"/>
            <w:vMerge/>
            <w:tcBorders>
              <w:left w:val="single" w:sz="4" w:space="0" w:color="AAABD6"/>
              <w:right w:val="single" w:sz="4" w:space="0" w:color="AAABD6"/>
            </w:tcBorders>
            <w:vAlign w:val="center"/>
          </w:tcPr>
          <w:p w14:paraId="410DB622" w14:textId="77777777" w:rsidR="00F02371" w:rsidRPr="00100F0A" w:rsidRDefault="00F02371" w:rsidP="00B179AD">
            <w:pPr>
              <w:cnfStyle w:val="000000000000" w:firstRow="0" w:lastRow="0" w:firstColumn="0" w:lastColumn="0" w:oddVBand="0" w:evenVBand="0" w:oddHBand="0" w:evenHBand="0" w:firstRowFirstColumn="0" w:firstRowLastColumn="0" w:lastRowFirstColumn="0" w:lastRowLastColumn="0"/>
              <w:rPr>
                <w:sz w:val="16"/>
                <w:szCs w:val="16"/>
              </w:rPr>
            </w:pPr>
          </w:p>
        </w:tc>
        <w:tc>
          <w:tcPr>
            <w:tcW w:w="510" w:type="dxa"/>
            <w:vMerge/>
            <w:tcBorders>
              <w:left w:val="single" w:sz="4" w:space="0" w:color="AAABD6"/>
              <w:right w:val="single" w:sz="4" w:space="0" w:color="AAABD6"/>
            </w:tcBorders>
          </w:tcPr>
          <w:p w14:paraId="46111091" w14:textId="0AE255DA"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510" w:type="dxa"/>
            <w:tcBorders>
              <w:top w:val="dotted" w:sz="4" w:space="0" w:color="AAABD6"/>
              <w:left w:val="single" w:sz="4" w:space="0" w:color="AAABD6"/>
              <w:bottom w:val="dotted" w:sz="4" w:space="0" w:color="AAABD6"/>
              <w:right w:val="single" w:sz="4" w:space="0" w:color="AAABD6"/>
            </w:tcBorders>
            <w:vAlign w:val="bottom"/>
          </w:tcPr>
          <w:p w14:paraId="17B558D4"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99</w:t>
            </w:r>
          </w:p>
        </w:tc>
        <w:tc>
          <w:tcPr>
            <w:tcW w:w="510" w:type="dxa"/>
            <w:tcBorders>
              <w:top w:val="dotted" w:sz="4" w:space="0" w:color="AAABD6"/>
              <w:left w:val="single" w:sz="4" w:space="0" w:color="AAABD6"/>
              <w:bottom w:val="dotted" w:sz="4" w:space="0" w:color="AAABD6"/>
              <w:right w:val="single" w:sz="4" w:space="0" w:color="AAABD6"/>
            </w:tcBorders>
            <w:vAlign w:val="bottom"/>
          </w:tcPr>
          <w:p w14:paraId="231D81CD"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99</w:t>
            </w:r>
          </w:p>
        </w:tc>
        <w:tc>
          <w:tcPr>
            <w:tcW w:w="680" w:type="dxa"/>
            <w:tcBorders>
              <w:top w:val="dotted" w:sz="4" w:space="0" w:color="AAABD6"/>
              <w:left w:val="single" w:sz="4" w:space="0" w:color="AAABD6"/>
              <w:bottom w:val="dotted" w:sz="4" w:space="0" w:color="AAABD6"/>
              <w:right w:val="single" w:sz="4" w:space="0" w:color="AAABD6"/>
            </w:tcBorders>
            <w:vAlign w:val="bottom"/>
          </w:tcPr>
          <w:p w14:paraId="3E096592"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99</w:t>
            </w:r>
          </w:p>
        </w:tc>
        <w:tc>
          <w:tcPr>
            <w:tcW w:w="680" w:type="dxa"/>
            <w:tcBorders>
              <w:top w:val="dotted" w:sz="4" w:space="0" w:color="AAABD6"/>
              <w:left w:val="single" w:sz="4" w:space="0" w:color="AAABD6"/>
              <w:bottom w:val="dotted" w:sz="4" w:space="0" w:color="AAABD6"/>
              <w:right w:val="single" w:sz="4" w:space="0" w:color="AAABD6"/>
            </w:tcBorders>
            <w:vAlign w:val="bottom"/>
          </w:tcPr>
          <w:p w14:paraId="098A728D"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99</w:t>
            </w:r>
          </w:p>
        </w:tc>
        <w:tc>
          <w:tcPr>
            <w:tcW w:w="680" w:type="dxa"/>
            <w:tcBorders>
              <w:top w:val="dotted" w:sz="4" w:space="0" w:color="AAABD6"/>
              <w:left w:val="single" w:sz="4" w:space="0" w:color="AAABD6"/>
              <w:bottom w:val="dotted" w:sz="4" w:space="0" w:color="AAABD6"/>
              <w:right w:val="single" w:sz="4" w:space="0" w:color="AAABD6"/>
            </w:tcBorders>
            <w:vAlign w:val="bottom"/>
          </w:tcPr>
          <w:p w14:paraId="1F593CE7"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99</w:t>
            </w:r>
          </w:p>
        </w:tc>
        <w:tc>
          <w:tcPr>
            <w:tcW w:w="680" w:type="dxa"/>
            <w:tcBorders>
              <w:top w:val="dotted" w:sz="4" w:space="0" w:color="AAABD6"/>
              <w:left w:val="single" w:sz="4" w:space="0" w:color="AAABD6"/>
              <w:bottom w:val="dotted" w:sz="4" w:space="0" w:color="AAABD6"/>
              <w:right w:val="single" w:sz="4" w:space="0" w:color="AAABD6"/>
            </w:tcBorders>
            <w:vAlign w:val="bottom"/>
          </w:tcPr>
          <w:p w14:paraId="3D822DCE"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99</w:t>
            </w:r>
          </w:p>
        </w:tc>
        <w:tc>
          <w:tcPr>
            <w:tcW w:w="680" w:type="dxa"/>
            <w:tcBorders>
              <w:top w:val="dotted" w:sz="4" w:space="0" w:color="AAABD6"/>
              <w:left w:val="single" w:sz="4" w:space="0" w:color="AAABD6"/>
              <w:bottom w:val="dotted" w:sz="4" w:space="0" w:color="AAABD6"/>
              <w:right w:val="single" w:sz="4" w:space="0" w:color="AAABD6"/>
            </w:tcBorders>
            <w:vAlign w:val="bottom"/>
          </w:tcPr>
          <w:p w14:paraId="4624010A"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99</w:t>
            </w:r>
          </w:p>
        </w:tc>
        <w:tc>
          <w:tcPr>
            <w:tcW w:w="680" w:type="dxa"/>
            <w:tcBorders>
              <w:top w:val="dotted" w:sz="4" w:space="0" w:color="AAABD6"/>
              <w:left w:val="single" w:sz="4" w:space="0" w:color="AAABD6"/>
              <w:bottom w:val="dotted" w:sz="4" w:space="0" w:color="AAABD6"/>
              <w:right w:val="single" w:sz="4" w:space="0" w:color="AAABD6"/>
            </w:tcBorders>
          </w:tcPr>
          <w:p w14:paraId="6E48C83A"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793652FA"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341A2F0A"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6B8B73F6"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5FECA2B2"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142A6A19"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3A34F5FB"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1CCD812B"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12E10014"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5CCCAE3F"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33457C75"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0BC4589E"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06885D26"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r>
      <w:tr w:rsidR="00F02371" w:rsidRPr="00100F0A" w14:paraId="1BF16910"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bottom w:val="single" w:sz="4" w:space="0" w:color="AAABD6"/>
              <w:right w:val="single" w:sz="4" w:space="0" w:color="AAABD6"/>
            </w:tcBorders>
          </w:tcPr>
          <w:p w14:paraId="5D4D4884" w14:textId="77777777" w:rsidR="00F02371" w:rsidRPr="00100F0A" w:rsidRDefault="00F02371" w:rsidP="00B179AD">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78E3D388" w14:textId="77777777" w:rsidR="00F02371" w:rsidRPr="00100F0A" w:rsidRDefault="00F02371" w:rsidP="00B179AD">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SA</w:t>
            </w:r>
          </w:p>
        </w:tc>
        <w:tc>
          <w:tcPr>
            <w:tcW w:w="1418" w:type="dxa"/>
            <w:vMerge/>
            <w:tcBorders>
              <w:left w:val="single" w:sz="4" w:space="0" w:color="AAABD6"/>
              <w:right w:val="single" w:sz="4" w:space="0" w:color="AAABD6"/>
            </w:tcBorders>
            <w:vAlign w:val="center"/>
          </w:tcPr>
          <w:p w14:paraId="5736F19B" w14:textId="77777777" w:rsidR="00F02371" w:rsidRPr="00100F0A" w:rsidRDefault="00F02371" w:rsidP="00B179AD">
            <w:pPr>
              <w:cnfStyle w:val="000000000000" w:firstRow="0" w:lastRow="0" w:firstColumn="0" w:lastColumn="0" w:oddVBand="0" w:evenVBand="0" w:oddHBand="0" w:evenHBand="0" w:firstRowFirstColumn="0" w:firstRowLastColumn="0" w:lastRowFirstColumn="0" w:lastRowLastColumn="0"/>
              <w:rPr>
                <w:sz w:val="16"/>
                <w:szCs w:val="16"/>
              </w:rPr>
            </w:pPr>
          </w:p>
        </w:tc>
        <w:tc>
          <w:tcPr>
            <w:tcW w:w="510" w:type="dxa"/>
            <w:vMerge/>
            <w:tcBorders>
              <w:left w:val="single" w:sz="4" w:space="0" w:color="AAABD6"/>
              <w:right w:val="single" w:sz="4" w:space="0" w:color="AAABD6"/>
            </w:tcBorders>
          </w:tcPr>
          <w:p w14:paraId="71DFA20B" w14:textId="52A325B6"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510" w:type="dxa"/>
            <w:tcBorders>
              <w:top w:val="dotted" w:sz="4" w:space="0" w:color="AAABD6"/>
              <w:left w:val="single" w:sz="4" w:space="0" w:color="AAABD6"/>
              <w:bottom w:val="dotted" w:sz="4" w:space="0" w:color="AAABD6"/>
              <w:right w:val="single" w:sz="4" w:space="0" w:color="AAABD6"/>
            </w:tcBorders>
            <w:vAlign w:val="bottom"/>
          </w:tcPr>
          <w:p w14:paraId="2B587EED"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33</w:t>
            </w:r>
          </w:p>
        </w:tc>
        <w:tc>
          <w:tcPr>
            <w:tcW w:w="510" w:type="dxa"/>
            <w:tcBorders>
              <w:top w:val="dotted" w:sz="4" w:space="0" w:color="AAABD6"/>
              <w:left w:val="single" w:sz="4" w:space="0" w:color="AAABD6"/>
              <w:bottom w:val="dotted" w:sz="4" w:space="0" w:color="AAABD6"/>
              <w:right w:val="single" w:sz="4" w:space="0" w:color="AAABD6"/>
            </w:tcBorders>
            <w:vAlign w:val="bottom"/>
          </w:tcPr>
          <w:p w14:paraId="7D0A188B"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33</w:t>
            </w:r>
          </w:p>
        </w:tc>
        <w:tc>
          <w:tcPr>
            <w:tcW w:w="680" w:type="dxa"/>
            <w:tcBorders>
              <w:top w:val="dotted" w:sz="4" w:space="0" w:color="AAABD6"/>
              <w:left w:val="single" w:sz="4" w:space="0" w:color="AAABD6"/>
              <w:bottom w:val="dotted" w:sz="4" w:space="0" w:color="AAABD6"/>
              <w:right w:val="single" w:sz="4" w:space="0" w:color="AAABD6"/>
            </w:tcBorders>
            <w:vAlign w:val="bottom"/>
          </w:tcPr>
          <w:p w14:paraId="075C9385"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33</w:t>
            </w:r>
          </w:p>
        </w:tc>
        <w:tc>
          <w:tcPr>
            <w:tcW w:w="680" w:type="dxa"/>
            <w:tcBorders>
              <w:top w:val="dotted" w:sz="4" w:space="0" w:color="AAABD6"/>
              <w:left w:val="single" w:sz="4" w:space="0" w:color="AAABD6"/>
              <w:bottom w:val="dotted" w:sz="4" w:space="0" w:color="AAABD6"/>
              <w:right w:val="single" w:sz="4" w:space="0" w:color="AAABD6"/>
            </w:tcBorders>
            <w:vAlign w:val="bottom"/>
          </w:tcPr>
          <w:p w14:paraId="05941516"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33</w:t>
            </w:r>
          </w:p>
        </w:tc>
        <w:tc>
          <w:tcPr>
            <w:tcW w:w="680" w:type="dxa"/>
            <w:tcBorders>
              <w:top w:val="dotted" w:sz="4" w:space="0" w:color="AAABD6"/>
              <w:left w:val="single" w:sz="4" w:space="0" w:color="AAABD6"/>
              <w:bottom w:val="dotted" w:sz="4" w:space="0" w:color="AAABD6"/>
              <w:right w:val="single" w:sz="4" w:space="0" w:color="AAABD6"/>
            </w:tcBorders>
            <w:vAlign w:val="bottom"/>
          </w:tcPr>
          <w:p w14:paraId="1CF99036"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33</w:t>
            </w:r>
          </w:p>
        </w:tc>
        <w:tc>
          <w:tcPr>
            <w:tcW w:w="680" w:type="dxa"/>
            <w:tcBorders>
              <w:top w:val="dotted" w:sz="4" w:space="0" w:color="AAABD6"/>
              <w:left w:val="single" w:sz="4" w:space="0" w:color="AAABD6"/>
              <w:bottom w:val="dotted" w:sz="4" w:space="0" w:color="AAABD6"/>
              <w:right w:val="single" w:sz="4" w:space="0" w:color="AAABD6"/>
            </w:tcBorders>
            <w:vAlign w:val="bottom"/>
          </w:tcPr>
          <w:p w14:paraId="2D1E2955"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33</w:t>
            </w:r>
          </w:p>
        </w:tc>
        <w:tc>
          <w:tcPr>
            <w:tcW w:w="680" w:type="dxa"/>
            <w:tcBorders>
              <w:top w:val="dotted" w:sz="4" w:space="0" w:color="AAABD6"/>
              <w:left w:val="single" w:sz="4" w:space="0" w:color="AAABD6"/>
              <w:bottom w:val="dotted" w:sz="4" w:space="0" w:color="AAABD6"/>
              <w:right w:val="single" w:sz="4" w:space="0" w:color="AAABD6"/>
            </w:tcBorders>
            <w:vAlign w:val="bottom"/>
          </w:tcPr>
          <w:p w14:paraId="792460D1"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33</w:t>
            </w:r>
          </w:p>
        </w:tc>
        <w:tc>
          <w:tcPr>
            <w:tcW w:w="680" w:type="dxa"/>
            <w:tcBorders>
              <w:top w:val="dotted" w:sz="4" w:space="0" w:color="AAABD6"/>
              <w:left w:val="single" w:sz="4" w:space="0" w:color="AAABD6"/>
              <w:bottom w:val="dotted" w:sz="4" w:space="0" w:color="AAABD6"/>
              <w:right w:val="single" w:sz="4" w:space="0" w:color="AAABD6"/>
            </w:tcBorders>
          </w:tcPr>
          <w:p w14:paraId="03A321F3"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245A09AC"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2D31CD46"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6A9CBC56"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19F21B24"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7807FD21"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6586DF03"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02265208"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1325AB84"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273199AF"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34E197EE"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4D8E58A1"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68EB0A27"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r>
      <w:tr w:rsidR="00F02371" w:rsidRPr="00100F0A" w14:paraId="2E3FBF9B"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bottom w:val="single" w:sz="4" w:space="0" w:color="AAABD6"/>
              <w:right w:val="single" w:sz="4" w:space="0" w:color="AAABD6"/>
            </w:tcBorders>
          </w:tcPr>
          <w:p w14:paraId="17585E10" w14:textId="77777777" w:rsidR="00F02371" w:rsidRPr="00100F0A" w:rsidRDefault="00F02371" w:rsidP="00B179AD">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341D37B9" w14:textId="77777777" w:rsidR="00F02371" w:rsidRPr="00100F0A" w:rsidRDefault="00F02371" w:rsidP="00B179AD">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Tas</w:t>
            </w:r>
          </w:p>
        </w:tc>
        <w:tc>
          <w:tcPr>
            <w:tcW w:w="1418" w:type="dxa"/>
            <w:vMerge/>
            <w:tcBorders>
              <w:left w:val="single" w:sz="4" w:space="0" w:color="AAABD6"/>
              <w:right w:val="single" w:sz="4" w:space="0" w:color="AAABD6"/>
            </w:tcBorders>
            <w:vAlign w:val="center"/>
          </w:tcPr>
          <w:p w14:paraId="5FEF789D" w14:textId="77777777" w:rsidR="00F02371" w:rsidRPr="00100F0A" w:rsidRDefault="00F02371" w:rsidP="00B179AD">
            <w:pPr>
              <w:cnfStyle w:val="000000000000" w:firstRow="0" w:lastRow="0" w:firstColumn="0" w:lastColumn="0" w:oddVBand="0" w:evenVBand="0" w:oddHBand="0" w:evenHBand="0" w:firstRowFirstColumn="0" w:firstRowLastColumn="0" w:lastRowFirstColumn="0" w:lastRowLastColumn="0"/>
              <w:rPr>
                <w:sz w:val="16"/>
                <w:szCs w:val="16"/>
              </w:rPr>
            </w:pPr>
          </w:p>
        </w:tc>
        <w:tc>
          <w:tcPr>
            <w:tcW w:w="510" w:type="dxa"/>
            <w:vMerge/>
            <w:tcBorders>
              <w:left w:val="single" w:sz="4" w:space="0" w:color="AAABD6"/>
              <w:right w:val="single" w:sz="4" w:space="0" w:color="AAABD6"/>
            </w:tcBorders>
          </w:tcPr>
          <w:p w14:paraId="00F31906" w14:textId="6C6A2D80"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510" w:type="dxa"/>
            <w:tcBorders>
              <w:top w:val="dotted" w:sz="4" w:space="0" w:color="AAABD6"/>
              <w:left w:val="single" w:sz="4" w:space="0" w:color="AAABD6"/>
              <w:bottom w:val="dotted" w:sz="4" w:space="0" w:color="AAABD6"/>
              <w:right w:val="single" w:sz="4" w:space="0" w:color="AAABD6"/>
            </w:tcBorders>
            <w:vAlign w:val="bottom"/>
          </w:tcPr>
          <w:p w14:paraId="0913A392"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10</w:t>
            </w:r>
          </w:p>
        </w:tc>
        <w:tc>
          <w:tcPr>
            <w:tcW w:w="510" w:type="dxa"/>
            <w:tcBorders>
              <w:top w:val="dotted" w:sz="4" w:space="0" w:color="AAABD6"/>
              <w:left w:val="single" w:sz="4" w:space="0" w:color="AAABD6"/>
              <w:bottom w:val="dotted" w:sz="4" w:space="0" w:color="AAABD6"/>
              <w:right w:val="single" w:sz="4" w:space="0" w:color="AAABD6"/>
            </w:tcBorders>
            <w:vAlign w:val="bottom"/>
          </w:tcPr>
          <w:p w14:paraId="5176C7D8"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10</w:t>
            </w:r>
          </w:p>
        </w:tc>
        <w:tc>
          <w:tcPr>
            <w:tcW w:w="680" w:type="dxa"/>
            <w:tcBorders>
              <w:top w:val="dotted" w:sz="4" w:space="0" w:color="AAABD6"/>
              <w:left w:val="single" w:sz="4" w:space="0" w:color="AAABD6"/>
              <w:bottom w:val="dotted" w:sz="4" w:space="0" w:color="AAABD6"/>
              <w:right w:val="single" w:sz="4" w:space="0" w:color="AAABD6"/>
            </w:tcBorders>
            <w:vAlign w:val="bottom"/>
          </w:tcPr>
          <w:p w14:paraId="54DD8A76"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10</w:t>
            </w:r>
          </w:p>
        </w:tc>
        <w:tc>
          <w:tcPr>
            <w:tcW w:w="680" w:type="dxa"/>
            <w:tcBorders>
              <w:top w:val="dotted" w:sz="4" w:space="0" w:color="AAABD6"/>
              <w:left w:val="single" w:sz="4" w:space="0" w:color="AAABD6"/>
              <w:bottom w:val="dotted" w:sz="4" w:space="0" w:color="AAABD6"/>
              <w:right w:val="single" w:sz="4" w:space="0" w:color="AAABD6"/>
            </w:tcBorders>
            <w:vAlign w:val="bottom"/>
          </w:tcPr>
          <w:p w14:paraId="5215C30F"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10</w:t>
            </w:r>
          </w:p>
        </w:tc>
        <w:tc>
          <w:tcPr>
            <w:tcW w:w="680" w:type="dxa"/>
            <w:tcBorders>
              <w:top w:val="dotted" w:sz="4" w:space="0" w:color="AAABD6"/>
              <w:left w:val="single" w:sz="4" w:space="0" w:color="AAABD6"/>
              <w:bottom w:val="dotted" w:sz="4" w:space="0" w:color="AAABD6"/>
              <w:right w:val="single" w:sz="4" w:space="0" w:color="AAABD6"/>
            </w:tcBorders>
            <w:vAlign w:val="bottom"/>
          </w:tcPr>
          <w:p w14:paraId="27E8E966"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10</w:t>
            </w:r>
          </w:p>
        </w:tc>
        <w:tc>
          <w:tcPr>
            <w:tcW w:w="680" w:type="dxa"/>
            <w:tcBorders>
              <w:top w:val="dotted" w:sz="4" w:space="0" w:color="AAABD6"/>
              <w:left w:val="single" w:sz="4" w:space="0" w:color="AAABD6"/>
              <w:bottom w:val="dotted" w:sz="4" w:space="0" w:color="AAABD6"/>
              <w:right w:val="single" w:sz="4" w:space="0" w:color="AAABD6"/>
            </w:tcBorders>
            <w:vAlign w:val="bottom"/>
          </w:tcPr>
          <w:p w14:paraId="2D4EA474"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10</w:t>
            </w:r>
          </w:p>
        </w:tc>
        <w:tc>
          <w:tcPr>
            <w:tcW w:w="680" w:type="dxa"/>
            <w:tcBorders>
              <w:top w:val="dotted" w:sz="4" w:space="0" w:color="AAABD6"/>
              <w:left w:val="single" w:sz="4" w:space="0" w:color="AAABD6"/>
              <w:bottom w:val="dotted" w:sz="4" w:space="0" w:color="AAABD6"/>
              <w:right w:val="single" w:sz="4" w:space="0" w:color="AAABD6"/>
            </w:tcBorders>
            <w:vAlign w:val="bottom"/>
          </w:tcPr>
          <w:p w14:paraId="3D07CB09"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10</w:t>
            </w:r>
          </w:p>
        </w:tc>
        <w:tc>
          <w:tcPr>
            <w:tcW w:w="680" w:type="dxa"/>
            <w:tcBorders>
              <w:top w:val="dotted" w:sz="4" w:space="0" w:color="AAABD6"/>
              <w:left w:val="single" w:sz="4" w:space="0" w:color="AAABD6"/>
              <w:bottom w:val="dotted" w:sz="4" w:space="0" w:color="AAABD6"/>
              <w:right w:val="single" w:sz="4" w:space="0" w:color="AAABD6"/>
            </w:tcBorders>
          </w:tcPr>
          <w:p w14:paraId="6F04EA63"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2AA0DB2A"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7804B631"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67CE7121"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75D6FE97"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53F1CD82"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7E65C85E"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21C4BDAE"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13AD75AF"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00887A44"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0EC74551"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0DBAFA43"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591FA668"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r>
      <w:tr w:rsidR="00F02371" w:rsidRPr="00100F0A" w14:paraId="06DBCBBE"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bottom w:val="single" w:sz="4" w:space="0" w:color="AAABD6"/>
              <w:right w:val="single" w:sz="4" w:space="0" w:color="AAABD6"/>
            </w:tcBorders>
          </w:tcPr>
          <w:p w14:paraId="5EA67AF8" w14:textId="77777777" w:rsidR="00F02371" w:rsidRPr="00100F0A" w:rsidRDefault="00F02371" w:rsidP="00B179AD">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33C857E2" w14:textId="77777777" w:rsidR="00F02371" w:rsidRPr="00100F0A" w:rsidRDefault="00F02371" w:rsidP="00B179AD">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Vic</w:t>
            </w:r>
          </w:p>
        </w:tc>
        <w:tc>
          <w:tcPr>
            <w:tcW w:w="1418" w:type="dxa"/>
            <w:vMerge/>
            <w:tcBorders>
              <w:left w:val="single" w:sz="4" w:space="0" w:color="AAABD6"/>
              <w:right w:val="single" w:sz="4" w:space="0" w:color="AAABD6"/>
            </w:tcBorders>
            <w:vAlign w:val="center"/>
          </w:tcPr>
          <w:p w14:paraId="27E04023" w14:textId="77777777" w:rsidR="00F02371" w:rsidRPr="00100F0A" w:rsidRDefault="00F02371" w:rsidP="00B179AD">
            <w:pPr>
              <w:cnfStyle w:val="000000000000" w:firstRow="0" w:lastRow="0" w:firstColumn="0" w:lastColumn="0" w:oddVBand="0" w:evenVBand="0" w:oddHBand="0" w:evenHBand="0" w:firstRowFirstColumn="0" w:firstRowLastColumn="0" w:lastRowFirstColumn="0" w:lastRowLastColumn="0"/>
              <w:rPr>
                <w:sz w:val="16"/>
                <w:szCs w:val="16"/>
              </w:rPr>
            </w:pPr>
          </w:p>
        </w:tc>
        <w:tc>
          <w:tcPr>
            <w:tcW w:w="510" w:type="dxa"/>
            <w:vMerge/>
            <w:tcBorders>
              <w:left w:val="single" w:sz="4" w:space="0" w:color="AAABD6"/>
              <w:right w:val="single" w:sz="4" w:space="0" w:color="AAABD6"/>
            </w:tcBorders>
          </w:tcPr>
          <w:p w14:paraId="610939AF" w14:textId="7B83F47B"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510" w:type="dxa"/>
            <w:tcBorders>
              <w:top w:val="dotted" w:sz="4" w:space="0" w:color="AAABD6"/>
              <w:left w:val="single" w:sz="4" w:space="0" w:color="AAABD6"/>
              <w:bottom w:val="dotted" w:sz="4" w:space="0" w:color="AAABD6"/>
              <w:right w:val="single" w:sz="4" w:space="0" w:color="AAABD6"/>
            </w:tcBorders>
            <w:vAlign w:val="bottom"/>
          </w:tcPr>
          <w:p w14:paraId="39F6C68A"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120</w:t>
            </w:r>
          </w:p>
        </w:tc>
        <w:tc>
          <w:tcPr>
            <w:tcW w:w="510" w:type="dxa"/>
            <w:tcBorders>
              <w:top w:val="dotted" w:sz="4" w:space="0" w:color="AAABD6"/>
              <w:left w:val="single" w:sz="4" w:space="0" w:color="AAABD6"/>
              <w:bottom w:val="dotted" w:sz="4" w:space="0" w:color="AAABD6"/>
              <w:right w:val="single" w:sz="4" w:space="0" w:color="AAABD6"/>
            </w:tcBorders>
            <w:vAlign w:val="bottom"/>
          </w:tcPr>
          <w:p w14:paraId="4B2B7F6A"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120</w:t>
            </w:r>
          </w:p>
        </w:tc>
        <w:tc>
          <w:tcPr>
            <w:tcW w:w="680" w:type="dxa"/>
            <w:tcBorders>
              <w:top w:val="dotted" w:sz="4" w:space="0" w:color="AAABD6"/>
              <w:left w:val="single" w:sz="4" w:space="0" w:color="AAABD6"/>
              <w:bottom w:val="dotted" w:sz="4" w:space="0" w:color="AAABD6"/>
              <w:right w:val="single" w:sz="4" w:space="0" w:color="AAABD6"/>
            </w:tcBorders>
            <w:vAlign w:val="bottom"/>
          </w:tcPr>
          <w:p w14:paraId="5EC3D2D5"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120</w:t>
            </w:r>
          </w:p>
        </w:tc>
        <w:tc>
          <w:tcPr>
            <w:tcW w:w="680" w:type="dxa"/>
            <w:tcBorders>
              <w:top w:val="dotted" w:sz="4" w:space="0" w:color="AAABD6"/>
              <w:left w:val="single" w:sz="4" w:space="0" w:color="AAABD6"/>
              <w:bottom w:val="dotted" w:sz="4" w:space="0" w:color="AAABD6"/>
              <w:right w:val="single" w:sz="4" w:space="0" w:color="AAABD6"/>
            </w:tcBorders>
            <w:vAlign w:val="bottom"/>
          </w:tcPr>
          <w:p w14:paraId="197C209B"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120</w:t>
            </w:r>
          </w:p>
        </w:tc>
        <w:tc>
          <w:tcPr>
            <w:tcW w:w="680" w:type="dxa"/>
            <w:tcBorders>
              <w:top w:val="dotted" w:sz="4" w:space="0" w:color="AAABD6"/>
              <w:left w:val="single" w:sz="4" w:space="0" w:color="AAABD6"/>
              <w:bottom w:val="dotted" w:sz="4" w:space="0" w:color="AAABD6"/>
              <w:right w:val="single" w:sz="4" w:space="0" w:color="AAABD6"/>
            </w:tcBorders>
            <w:vAlign w:val="bottom"/>
          </w:tcPr>
          <w:p w14:paraId="49FB8B03"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120</w:t>
            </w:r>
          </w:p>
        </w:tc>
        <w:tc>
          <w:tcPr>
            <w:tcW w:w="680" w:type="dxa"/>
            <w:tcBorders>
              <w:top w:val="dotted" w:sz="4" w:space="0" w:color="AAABD6"/>
              <w:left w:val="single" w:sz="4" w:space="0" w:color="AAABD6"/>
              <w:bottom w:val="dotted" w:sz="4" w:space="0" w:color="AAABD6"/>
              <w:right w:val="single" w:sz="4" w:space="0" w:color="AAABD6"/>
            </w:tcBorders>
            <w:vAlign w:val="bottom"/>
          </w:tcPr>
          <w:p w14:paraId="5210CE7A"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120</w:t>
            </w:r>
          </w:p>
        </w:tc>
        <w:tc>
          <w:tcPr>
            <w:tcW w:w="680" w:type="dxa"/>
            <w:tcBorders>
              <w:top w:val="dotted" w:sz="4" w:space="0" w:color="AAABD6"/>
              <w:left w:val="single" w:sz="4" w:space="0" w:color="AAABD6"/>
              <w:bottom w:val="dotted" w:sz="4" w:space="0" w:color="AAABD6"/>
              <w:right w:val="single" w:sz="4" w:space="0" w:color="AAABD6"/>
            </w:tcBorders>
            <w:vAlign w:val="bottom"/>
          </w:tcPr>
          <w:p w14:paraId="69CDF6BC"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120</w:t>
            </w:r>
          </w:p>
        </w:tc>
        <w:tc>
          <w:tcPr>
            <w:tcW w:w="680" w:type="dxa"/>
            <w:tcBorders>
              <w:top w:val="dotted" w:sz="4" w:space="0" w:color="AAABD6"/>
              <w:left w:val="single" w:sz="4" w:space="0" w:color="AAABD6"/>
              <w:bottom w:val="dotted" w:sz="4" w:space="0" w:color="AAABD6"/>
              <w:right w:val="single" w:sz="4" w:space="0" w:color="AAABD6"/>
            </w:tcBorders>
          </w:tcPr>
          <w:p w14:paraId="1D7F7107"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3D1FCE25"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0834288D"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54046B29"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488FD7BD"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51545150"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2AC05A3B"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3052600D"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633BABA9"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0335638A"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32386340"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384457FC"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30F01ED6"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r>
      <w:tr w:rsidR="00F02371" w:rsidRPr="00100F0A" w14:paraId="2E774C19"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bottom w:val="single" w:sz="4" w:space="0" w:color="AAABD6"/>
              <w:right w:val="single" w:sz="4" w:space="0" w:color="AAABD6"/>
            </w:tcBorders>
          </w:tcPr>
          <w:p w14:paraId="3923DCE4" w14:textId="77777777" w:rsidR="00F02371" w:rsidRPr="00100F0A" w:rsidRDefault="00F02371" w:rsidP="00B179AD">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2FDDD864" w14:textId="77777777" w:rsidR="00F02371" w:rsidRPr="00100F0A" w:rsidRDefault="00F02371" w:rsidP="00B179AD">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WA</w:t>
            </w:r>
          </w:p>
        </w:tc>
        <w:tc>
          <w:tcPr>
            <w:tcW w:w="1418" w:type="dxa"/>
            <w:vMerge/>
            <w:tcBorders>
              <w:left w:val="single" w:sz="4" w:space="0" w:color="AAABD6"/>
              <w:bottom w:val="dotted" w:sz="4" w:space="0" w:color="AAABD6"/>
              <w:right w:val="single" w:sz="4" w:space="0" w:color="AAABD6"/>
            </w:tcBorders>
            <w:vAlign w:val="center"/>
          </w:tcPr>
          <w:p w14:paraId="6CC34BB1" w14:textId="77777777" w:rsidR="00F02371" w:rsidRPr="00100F0A" w:rsidRDefault="00F02371" w:rsidP="00B179AD">
            <w:pPr>
              <w:cnfStyle w:val="000000000000" w:firstRow="0" w:lastRow="0" w:firstColumn="0" w:lastColumn="0" w:oddVBand="0" w:evenVBand="0" w:oddHBand="0" w:evenHBand="0" w:firstRowFirstColumn="0" w:firstRowLastColumn="0" w:lastRowFirstColumn="0" w:lastRowLastColumn="0"/>
              <w:rPr>
                <w:sz w:val="16"/>
                <w:szCs w:val="16"/>
              </w:rPr>
            </w:pPr>
          </w:p>
        </w:tc>
        <w:tc>
          <w:tcPr>
            <w:tcW w:w="510" w:type="dxa"/>
            <w:vMerge/>
            <w:tcBorders>
              <w:left w:val="single" w:sz="4" w:space="0" w:color="AAABD6"/>
              <w:right w:val="single" w:sz="4" w:space="0" w:color="AAABD6"/>
            </w:tcBorders>
          </w:tcPr>
          <w:p w14:paraId="1B3BBD90" w14:textId="6C9361D2"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510" w:type="dxa"/>
            <w:tcBorders>
              <w:top w:val="dotted" w:sz="4" w:space="0" w:color="AAABD6"/>
              <w:left w:val="single" w:sz="4" w:space="0" w:color="AAABD6"/>
              <w:bottom w:val="dotted" w:sz="4" w:space="0" w:color="AAABD6"/>
              <w:right w:val="single" w:sz="4" w:space="0" w:color="AAABD6"/>
            </w:tcBorders>
            <w:vAlign w:val="bottom"/>
          </w:tcPr>
          <w:p w14:paraId="5DE40551"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57</w:t>
            </w:r>
          </w:p>
        </w:tc>
        <w:tc>
          <w:tcPr>
            <w:tcW w:w="510" w:type="dxa"/>
            <w:tcBorders>
              <w:top w:val="dotted" w:sz="4" w:space="0" w:color="AAABD6"/>
              <w:left w:val="single" w:sz="4" w:space="0" w:color="AAABD6"/>
              <w:bottom w:val="dotted" w:sz="4" w:space="0" w:color="AAABD6"/>
              <w:right w:val="single" w:sz="4" w:space="0" w:color="AAABD6"/>
            </w:tcBorders>
            <w:vAlign w:val="bottom"/>
          </w:tcPr>
          <w:p w14:paraId="0FACE39F"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57</w:t>
            </w:r>
          </w:p>
        </w:tc>
        <w:tc>
          <w:tcPr>
            <w:tcW w:w="680" w:type="dxa"/>
            <w:tcBorders>
              <w:top w:val="dotted" w:sz="4" w:space="0" w:color="AAABD6"/>
              <w:left w:val="single" w:sz="4" w:space="0" w:color="AAABD6"/>
              <w:bottom w:val="dotted" w:sz="4" w:space="0" w:color="AAABD6"/>
              <w:right w:val="single" w:sz="4" w:space="0" w:color="AAABD6"/>
            </w:tcBorders>
            <w:vAlign w:val="bottom"/>
          </w:tcPr>
          <w:p w14:paraId="76A51384"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57</w:t>
            </w:r>
          </w:p>
        </w:tc>
        <w:tc>
          <w:tcPr>
            <w:tcW w:w="680" w:type="dxa"/>
            <w:tcBorders>
              <w:top w:val="dotted" w:sz="4" w:space="0" w:color="AAABD6"/>
              <w:left w:val="single" w:sz="4" w:space="0" w:color="AAABD6"/>
              <w:bottom w:val="dotted" w:sz="4" w:space="0" w:color="AAABD6"/>
              <w:right w:val="single" w:sz="4" w:space="0" w:color="AAABD6"/>
            </w:tcBorders>
            <w:vAlign w:val="bottom"/>
          </w:tcPr>
          <w:p w14:paraId="35EA971B"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57</w:t>
            </w:r>
          </w:p>
        </w:tc>
        <w:tc>
          <w:tcPr>
            <w:tcW w:w="680" w:type="dxa"/>
            <w:tcBorders>
              <w:top w:val="dotted" w:sz="4" w:space="0" w:color="AAABD6"/>
              <w:left w:val="single" w:sz="4" w:space="0" w:color="AAABD6"/>
              <w:bottom w:val="dotted" w:sz="4" w:space="0" w:color="AAABD6"/>
              <w:right w:val="single" w:sz="4" w:space="0" w:color="AAABD6"/>
            </w:tcBorders>
            <w:vAlign w:val="bottom"/>
          </w:tcPr>
          <w:p w14:paraId="03B3ACDF"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57</w:t>
            </w:r>
          </w:p>
        </w:tc>
        <w:tc>
          <w:tcPr>
            <w:tcW w:w="680" w:type="dxa"/>
            <w:tcBorders>
              <w:top w:val="dotted" w:sz="4" w:space="0" w:color="AAABD6"/>
              <w:left w:val="single" w:sz="4" w:space="0" w:color="AAABD6"/>
              <w:bottom w:val="dotted" w:sz="4" w:space="0" w:color="AAABD6"/>
              <w:right w:val="single" w:sz="4" w:space="0" w:color="AAABD6"/>
            </w:tcBorders>
            <w:vAlign w:val="bottom"/>
          </w:tcPr>
          <w:p w14:paraId="1EFB941F"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57</w:t>
            </w:r>
          </w:p>
        </w:tc>
        <w:tc>
          <w:tcPr>
            <w:tcW w:w="680" w:type="dxa"/>
            <w:tcBorders>
              <w:top w:val="dotted" w:sz="4" w:space="0" w:color="AAABD6"/>
              <w:left w:val="single" w:sz="4" w:space="0" w:color="AAABD6"/>
              <w:bottom w:val="dotted" w:sz="4" w:space="0" w:color="AAABD6"/>
              <w:right w:val="single" w:sz="4" w:space="0" w:color="AAABD6"/>
            </w:tcBorders>
            <w:vAlign w:val="bottom"/>
          </w:tcPr>
          <w:p w14:paraId="346E2A13"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57</w:t>
            </w:r>
          </w:p>
        </w:tc>
        <w:tc>
          <w:tcPr>
            <w:tcW w:w="680" w:type="dxa"/>
            <w:tcBorders>
              <w:top w:val="dotted" w:sz="4" w:space="0" w:color="AAABD6"/>
              <w:left w:val="single" w:sz="4" w:space="0" w:color="AAABD6"/>
              <w:bottom w:val="dotted" w:sz="4" w:space="0" w:color="AAABD6"/>
              <w:right w:val="single" w:sz="4" w:space="0" w:color="AAABD6"/>
            </w:tcBorders>
          </w:tcPr>
          <w:p w14:paraId="0150F951"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1A7946CF"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399E3763"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05BF9B2F"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22B11D83"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7FC5F058"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67A2644A"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5BEE62B1"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634D0B26"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1DB18B65"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3F3D6C52"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32715C55"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41EFFADA"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r>
      <w:tr w:rsidR="00F02371" w:rsidRPr="00100F0A" w14:paraId="2C926452"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val="restart"/>
            <w:tcBorders>
              <w:top w:val="single" w:sz="4" w:space="0" w:color="AAABD6"/>
              <w:left w:val="single" w:sz="4" w:space="0" w:color="AAABD6"/>
              <w:right w:val="single" w:sz="4" w:space="0" w:color="AAABD6"/>
            </w:tcBorders>
          </w:tcPr>
          <w:p w14:paraId="31AF18D3" w14:textId="77777777" w:rsidR="00F02371" w:rsidRPr="00100F0A" w:rsidRDefault="00F02371" w:rsidP="00B179AD">
            <w:pPr>
              <w:rPr>
                <w:sz w:val="16"/>
                <w:szCs w:val="16"/>
              </w:rPr>
            </w:pPr>
            <w:r w:rsidRPr="00100F0A">
              <w:rPr>
                <w:sz w:val="16"/>
                <w:szCs w:val="16"/>
              </w:rPr>
              <w:t>Low</w:t>
            </w:r>
          </w:p>
        </w:tc>
        <w:tc>
          <w:tcPr>
            <w:tcW w:w="675" w:type="dxa"/>
            <w:tcBorders>
              <w:top w:val="single" w:sz="4" w:space="0" w:color="AAABD6"/>
              <w:left w:val="single" w:sz="4" w:space="0" w:color="AAABD6"/>
              <w:bottom w:val="dotted" w:sz="4" w:space="0" w:color="AAABD6"/>
              <w:right w:val="single" w:sz="4" w:space="0" w:color="AAABD6"/>
            </w:tcBorders>
          </w:tcPr>
          <w:p w14:paraId="255823E8" w14:textId="77777777" w:rsidR="00F02371" w:rsidRPr="00100F0A" w:rsidRDefault="00F02371" w:rsidP="00B179AD">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ACT</w:t>
            </w:r>
          </w:p>
        </w:tc>
        <w:tc>
          <w:tcPr>
            <w:tcW w:w="1418" w:type="dxa"/>
            <w:vMerge w:val="restart"/>
            <w:tcBorders>
              <w:top w:val="single" w:sz="4" w:space="0" w:color="AAABD6"/>
              <w:left w:val="single" w:sz="4" w:space="0" w:color="AAABD6"/>
              <w:right w:val="single" w:sz="4" w:space="0" w:color="AAABD6"/>
            </w:tcBorders>
            <w:vAlign w:val="center"/>
          </w:tcPr>
          <w:p w14:paraId="4166392C" w14:textId="25A2A233" w:rsidR="00F02371" w:rsidRPr="00100F0A" w:rsidRDefault="00F02371" w:rsidP="00B179AD">
            <w:pPr>
              <w:cnfStyle w:val="000000000000" w:firstRow="0" w:lastRow="0" w:firstColumn="0" w:lastColumn="0" w:oddVBand="0" w:evenVBand="0" w:oddHBand="0" w:evenHBand="0" w:firstRowFirstColumn="0" w:firstRowLastColumn="0" w:lastRowFirstColumn="0" w:lastRowLastColumn="0"/>
              <w:rPr>
                <w:sz w:val="16"/>
                <w:szCs w:val="16"/>
              </w:rPr>
            </w:pPr>
            <w:r w:rsidRPr="00100F0A">
              <w:rPr>
                <w:rFonts w:cs="Calibri"/>
                <w:color w:val="000000"/>
                <w:sz w:val="16"/>
                <w:szCs w:val="16"/>
              </w:rPr>
              <w:t>Low: Assume rate of destruction continues at the 2010-2013 rate but the starting point is much lower due to higher destruction rates in the recent past</w:t>
            </w:r>
          </w:p>
        </w:tc>
        <w:tc>
          <w:tcPr>
            <w:tcW w:w="510" w:type="dxa"/>
            <w:vMerge/>
            <w:tcBorders>
              <w:left w:val="single" w:sz="4" w:space="0" w:color="AAABD6"/>
              <w:right w:val="single" w:sz="4" w:space="0" w:color="AAABD6"/>
            </w:tcBorders>
          </w:tcPr>
          <w:p w14:paraId="09AC282D" w14:textId="1EFEA35F"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510" w:type="dxa"/>
            <w:tcBorders>
              <w:top w:val="single" w:sz="4" w:space="0" w:color="AAABD6"/>
              <w:left w:val="single" w:sz="4" w:space="0" w:color="AAABD6"/>
              <w:bottom w:val="dotted" w:sz="4" w:space="0" w:color="AAABD6"/>
              <w:right w:val="single" w:sz="4" w:space="0" w:color="AAABD6"/>
            </w:tcBorders>
            <w:vAlign w:val="bottom"/>
          </w:tcPr>
          <w:p w14:paraId="2C8DFBFF"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510" w:type="dxa"/>
            <w:tcBorders>
              <w:top w:val="single" w:sz="4" w:space="0" w:color="AAABD6"/>
              <w:left w:val="single" w:sz="4" w:space="0" w:color="AAABD6"/>
              <w:bottom w:val="dotted" w:sz="4" w:space="0" w:color="AAABD6"/>
              <w:right w:val="single" w:sz="4" w:space="0" w:color="AAABD6"/>
            </w:tcBorders>
            <w:vAlign w:val="bottom"/>
          </w:tcPr>
          <w:p w14:paraId="5E094192"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single" w:sz="4" w:space="0" w:color="AAABD6"/>
              <w:left w:val="single" w:sz="4" w:space="0" w:color="AAABD6"/>
              <w:bottom w:val="dotted" w:sz="4" w:space="0" w:color="AAABD6"/>
              <w:right w:val="single" w:sz="4" w:space="0" w:color="AAABD6"/>
            </w:tcBorders>
            <w:vAlign w:val="bottom"/>
          </w:tcPr>
          <w:p w14:paraId="24257960"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single" w:sz="4" w:space="0" w:color="AAABD6"/>
              <w:left w:val="single" w:sz="4" w:space="0" w:color="AAABD6"/>
              <w:bottom w:val="dotted" w:sz="4" w:space="0" w:color="AAABD6"/>
              <w:right w:val="single" w:sz="4" w:space="0" w:color="AAABD6"/>
            </w:tcBorders>
            <w:vAlign w:val="bottom"/>
          </w:tcPr>
          <w:p w14:paraId="4CAE0A9A"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single" w:sz="4" w:space="0" w:color="AAABD6"/>
              <w:left w:val="single" w:sz="4" w:space="0" w:color="AAABD6"/>
              <w:bottom w:val="dotted" w:sz="4" w:space="0" w:color="AAABD6"/>
              <w:right w:val="single" w:sz="4" w:space="0" w:color="AAABD6"/>
            </w:tcBorders>
            <w:vAlign w:val="bottom"/>
          </w:tcPr>
          <w:p w14:paraId="4BD98EA9"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single" w:sz="4" w:space="0" w:color="AAABD6"/>
              <w:left w:val="single" w:sz="4" w:space="0" w:color="AAABD6"/>
              <w:bottom w:val="dotted" w:sz="4" w:space="0" w:color="AAABD6"/>
              <w:right w:val="single" w:sz="4" w:space="0" w:color="AAABD6"/>
            </w:tcBorders>
            <w:vAlign w:val="bottom"/>
          </w:tcPr>
          <w:p w14:paraId="7442C5A1"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single" w:sz="4" w:space="0" w:color="AAABD6"/>
              <w:left w:val="single" w:sz="4" w:space="0" w:color="AAABD6"/>
              <w:bottom w:val="dotted" w:sz="4" w:space="0" w:color="AAABD6"/>
              <w:right w:val="single" w:sz="4" w:space="0" w:color="AAABD6"/>
            </w:tcBorders>
            <w:vAlign w:val="bottom"/>
          </w:tcPr>
          <w:p w14:paraId="40A4A255"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single" w:sz="4" w:space="0" w:color="AAABD6"/>
              <w:left w:val="single" w:sz="4" w:space="0" w:color="AAABD6"/>
              <w:bottom w:val="dotted" w:sz="4" w:space="0" w:color="AAABD6"/>
              <w:right w:val="single" w:sz="4" w:space="0" w:color="AAABD6"/>
            </w:tcBorders>
            <w:vAlign w:val="bottom"/>
          </w:tcPr>
          <w:p w14:paraId="06F45FA3"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single" w:sz="4" w:space="0" w:color="AAABD6"/>
              <w:left w:val="single" w:sz="4" w:space="0" w:color="AAABD6"/>
              <w:bottom w:val="dotted" w:sz="4" w:space="0" w:color="AAABD6"/>
              <w:right w:val="single" w:sz="4" w:space="0" w:color="AAABD6"/>
            </w:tcBorders>
            <w:vAlign w:val="bottom"/>
          </w:tcPr>
          <w:p w14:paraId="6805B200"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single" w:sz="4" w:space="0" w:color="AAABD6"/>
              <w:left w:val="single" w:sz="4" w:space="0" w:color="AAABD6"/>
              <w:bottom w:val="dotted" w:sz="4" w:space="0" w:color="AAABD6"/>
              <w:right w:val="single" w:sz="4" w:space="0" w:color="AAABD6"/>
            </w:tcBorders>
            <w:vAlign w:val="bottom"/>
          </w:tcPr>
          <w:p w14:paraId="3D8A9646"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single" w:sz="4" w:space="0" w:color="AAABD6"/>
              <w:left w:val="single" w:sz="4" w:space="0" w:color="AAABD6"/>
              <w:bottom w:val="dotted" w:sz="4" w:space="0" w:color="AAABD6"/>
              <w:right w:val="single" w:sz="4" w:space="0" w:color="AAABD6"/>
            </w:tcBorders>
            <w:vAlign w:val="bottom"/>
          </w:tcPr>
          <w:p w14:paraId="08B3C0F8"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single" w:sz="4" w:space="0" w:color="AAABD6"/>
              <w:left w:val="single" w:sz="4" w:space="0" w:color="AAABD6"/>
              <w:bottom w:val="dotted" w:sz="4" w:space="0" w:color="AAABD6"/>
              <w:right w:val="single" w:sz="4" w:space="0" w:color="AAABD6"/>
            </w:tcBorders>
            <w:vAlign w:val="bottom"/>
          </w:tcPr>
          <w:p w14:paraId="72FE8CC8"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single" w:sz="4" w:space="0" w:color="AAABD6"/>
              <w:left w:val="single" w:sz="4" w:space="0" w:color="AAABD6"/>
              <w:bottom w:val="dotted" w:sz="4" w:space="0" w:color="AAABD6"/>
              <w:right w:val="single" w:sz="4" w:space="0" w:color="AAABD6"/>
            </w:tcBorders>
            <w:vAlign w:val="bottom"/>
          </w:tcPr>
          <w:p w14:paraId="2A6BD8AE"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single" w:sz="4" w:space="0" w:color="AAABD6"/>
              <w:left w:val="single" w:sz="4" w:space="0" w:color="AAABD6"/>
              <w:bottom w:val="dotted" w:sz="4" w:space="0" w:color="AAABD6"/>
              <w:right w:val="single" w:sz="4" w:space="0" w:color="AAABD6"/>
            </w:tcBorders>
          </w:tcPr>
          <w:p w14:paraId="06646727"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54D5F1C6"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2EA91205"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27252289"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56AA97A4"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69885F6B"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single" w:sz="4" w:space="0" w:color="AAABD6"/>
              <w:left w:val="single" w:sz="4" w:space="0" w:color="AAABD6"/>
              <w:bottom w:val="dotted" w:sz="4" w:space="0" w:color="AAABD6"/>
              <w:right w:val="single" w:sz="4" w:space="0" w:color="AAABD6"/>
            </w:tcBorders>
          </w:tcPr>
          <w:p w14:paraId="2FC17AD7"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r>
      <w:tr w:rsidR="00F02371" w:rsidRPr="00100F0A" w14:paraId="52E152CB"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right w:val="single" w:sz="4" w:space="0" w:color="AAABD6"/>
            </w:tcBorders>
          </w:tcPr>
          <w:p w14:paraId="071F6BF1" w14:textId="77777777" w:rsidR="00F02371" w:rsidRPr="00100F0A" w:rsidRDefault="00F02371" w:rsidP="00B179AD">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5B7CC155" w14:textId="77777777" w:rsidR="00F02371" w:rsidRPr="00100F0A" w:rsidRDefault="00F02371" w:rsidP="00B179AD">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NSW</w:t>
            </w:r>
          </w:p>
        </w:tc>
        <w:tc>
          <w:tcPr>
            <w:tcW w:w="1418" w:type="dxa"/>
            <w:vMerge/>
            <w:tcBorders>
              <w:left w:val="single" w:sz="4" w:space="0" w:color="AAABD6"/>
              <w:right w:val="single" w:sz="4" w:space="0" w:color="AAABD6"/>
            </w:tcBorders>
          </w:tcPr>
          <w:p w14:paraId="5C11D057" w14:textId="77777777" w:rsidR="00F02371" w:rsidRPr="00100F0A" w:rsidRDefault="00F02371" w:rsidP="00B179AD">
            <w:pPr>
              <w:cnfStyle w:val="000000000000" w:firstRow="0" w:lastRow="0" w:firstColumn="0" w:lastColumn="0" w:oddVBand="0" w:evenVBand="0" w:oddHBand="0" w:evenHBand="0" w:firstRowFirstColumn="0" w:firstRowLastColumn="0" w:lastRowFirstColumn="0" w:lastRowLastColumn="0"/>
              <w:rPr>
                <w:sz w:val="16"/>
                <w:szCs w:val="16"/>
              </w:rPr>
            </w:pPr>
          </w:p>
        </w:tc>
        <w:tc>
          <w:tcPr>
            <w:tcW w:w="510" w:type="dxa"/>
            <w:vMerge/>
            <w:tcBorders>
              <w:left w:val="single" w:sz="4" w:space="0" w:color="AAABD6"/>
              <w:right w:val="single" w:sz="4" w:space="0" w:color="AAABD6"/>
            </w:tcBorders>
          </w:tcPr>
          <w:p w14:paraId="32727A1D" w14:textId="0C1299EE"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510" w:type="dxa"/>
            <w:tcBorders>
              <w:top w:val="dotted" w:sz="4" w:space="0" w:color="AAABD6"/>
              <w:left w:val="single" w:sz="4" w:space="0" w:color="AAABD6"/>
              <w:bottom w:val="dotted" w:sz="4" w:space="0" w:color="AAABD6"/>
              <w:right w:val="single" w:sz="4" w:space="0" w:color="AAABD6"/>
            </w:tcBorders>
            <w:vAlign w:val="bottom"/>
          </w:tcPr>
          <w:p w14:paraId="6CC38293"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19</w:t>
            </w:r>
          </w:p>
        </w:tc>
        <w:tc>
          <w:tcPr>
            <w:tcW w:w="510" w:type="dxa"/>
            <w:tcBorders>
              <w:top w:val="dotted" w:sz="4" w:space="0" w:color="AAABD6"/>
              <w:left w:val="single" w:sz="4" w:space="0" w:color="AAABD6"/>
              <w:bottom w:val="dotted" w:sz="4" w:space="0" w:color="AAABD6"/>
              <w:right w:val="single" w:sz="4" w:space="0" w:color="AAABD6"/>
            </w:tcBorders>
            <w:vAlign w:val="bottom"/>
          </w:tcPr>
          <w:p w14:paraId="23752BA7"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19</w:t>
            </w:r>
          </w:p>
        </w:tc>
        <w:tc>
          <w:tcPr>
            <w:tcW w:w="680" w:type="dxa"/>
            <w:tcBorders>
              <w:top w:val="dotted" w:sz="4" w:space="0" w:color="AAABD6"/>
              <w:left w:val="single" w:sz="4" w:space="0" w:color="AAABD6"/>
              <w:bottom w:val="dotted" w:sz="4" w:space="0" w:color="AAABD6"/>
              <w:right w:val="single" w:sz="4" w:space="0" w:color="AAABD6"/>
            </w:tcBorders>
            <w:vAlign w:val="bottom"/>
          </w:tcPr>
          <w:p w14:paraId="61186F05"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19</w:t>
            </w:r>
          </w:p>
        </w:tc>
        <w:tc>
          <w:tcPr>
            <w:tcW w:w="680" w:type="dxa"/>
            <w:tcBorders>
              <w:top w:val="dotted" w:sz="4" w:space="0" w:color="AAABD6"/>
              <w:left w:val="single" w:sz="4" w:space="0" w:color="AAABD6"/>
              <w:bottom w:val="dotted" w:sz="4" w:space="0" w:color="AAABD6"/>
              <w:right w:val="single" w:sz="4" w:space="0" w:color="AAABD6"/>
            </w:tcBorders>
            <w:vAlign w:val="bottom"/>
          </w:tcPr>
          <w:p w14:paraId="01680C5B"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19</w:t>
            </w:r>
          </w:p>
        </w:tc>
        <w:tc>
          <w:tcPr>
            <w:tcW w:w="680" w:type="dxa"/>
            <w:tcBorders>
              <w:top w:val="dotted" w:sz="4" w:space="0" w:color="AAABD6"/>
              <w:left w:val="single" w:sz="4" w:space="0" w:color="AAABD6"/>
              <w:bottom w:val="dotted" w:sz="4" w:space="0" w:color="AAABD6"/>
              <w:right w:val="single" w:sz="4" w:space="0" w:color="AAABD6"/>
            </w:tcBorders>
            <w:vAlign w:val="bottom"/>
          </w:tcPr>
          <w:p w14:paraId="0FAEA400"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19</w:t>
            </w:r>
          </w:p>
        </w:tc>
        <w:tc>
          <w:tcPr>
            <w:tcW w:w="680" w:type="dxa"/>
            <w:tcBorders>
              <w:top w:val="dotted" w:sz="4" w:space="0" w:color="AAABD6"/>
              <w:left w:val="single" w:sz="4" w:space="0" w:color="AAABD6"/>
              <w:bottom w:val="dotted" w:sz="4" w:space="0" w:color="AAABD6"/>
              <w:right w:val="single" w:sz="4" w:space="0" w:color="AAABD6"/>
            </w:tcBorders>
            <w:vAlign w:val="bottom"/>
          </w:tcPr>
          <w:p w14:paraId="39D65C88"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19</w:t>
            </w:r>
          </w:p>
        </w:tc>
        <w:tc>
          <w:tcPr>
            <w:tcW w:w="680" w:type="dxa"/>
            <w:tcBorders>
              <w:top w:val="dotted" w:sz="4" w:space="0" w:color="AAABD6"/>
              <w:left w:val="single" w:sz="4" w:space="0" w:color="AAABD6"/>
              <w:bottom w:val="dotted" w:sz="4" w:space="0" w:color="AAABD6"/>
              <w:right w:val="single" w:sz="4" w:space="0" w:color="AAABD6"/>
            </w:tcBorders>
            <w:vAlign w:val="bottom"/>
          </w:tcPr>
          <w:p w14:paraId="6FA8AC27"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19</w:t>
            </w:r>
          </w:p>
        </w:tc>
        <w:tc>
          <w:tcPr>
            <w:tcW w:w="680" w:type="dxa"/>
            <w:tcBorders>
              <w:top w:val="dotted" w:sz="4" w:space="0" w:color="AAABD6"/>
              <w:left w:val="single" w:sz="4" w:space="0" w:color="AAABD6"/>
              <w:bottom w:val="dotted" w:sz="4" w:space="0" w:color="AAABD6"/>
              <w:right w:val="single" w:sz="4" w:space="0" w:color="AAABD6"/>
            </w:tcBorders>
            <w:vAlign w:val="bottom"/>
          </w:tcPr>
          <w:p w14:paraId="34E13520"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19</w:t>
            </w:r>
          </w:p>
        </w:tc>
        <w:tc>
          <w:tcPr>
            <w:tcW w:w="680" w:type="dxa"/>
            <w:tcBorders>
              <w:top w:val="dotted" w:sz="4" w:space="0" w:color="AAABD6"/>
              <w:left w:val="single" w:sz="4" w:space="0" w:color="AAABD6"/>
              <w:bottom w:val="dotted" w:sz="4" w:space="0" w:color="AAABD6"/>
              <w:right w:val="single" w:sz="4" w:space="0" w:color="AAABD6"/>
            </w:tcBorders>
            <w:vAlign w:val="bottom"/>
          </w:tcPr>
          <w:p w14:paraId="3EBFE843"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19</w:t>
            </w:r>
          </w:p>
        </w:tc>
        <w:tc>
          <w:tcPr>
            <w:tcW w:w="680" w:type="dxa"/>
            <w:tcBorders>
              <w:top w:val="dotted" w:sz="4" w:space="0" w:color="AAABD6"/>
              <w:left w:val="single" w:sz="4" w:space="0" w:color="AAABD6"/>
              <w:bottom w:val="dotted" w:sz="4" w:space="0" w:color="AAABD6"/>
              <w:right w:val="single" w:sz="4" w:space="0" w:color="AAABD6"/>
            </w:tcBorders>
            <w:vAlign w:val="bottom"/>
          </w:tcPr>
          <w:p w14:paraId="633E31CC"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19</w:t>
            </w:r>
          </w:p>
        </w:tc>
        <w:tc>
          <w:tcPr>
            <w:tcW w:w="680" w:type="dxa"/>
            <w:tcBorders>
              <w:top w:val="dotted" w:sz="4" w:space="0" w:color="AAABD6"/>
              <w:left w:val="single" w:sz="4" w:space="0" w:color="AAABD6"/>
              <w:bottom w:val="dotted" w:sz="4" w:space="0" w:color="AAABD6"/>
              <w:right w:val="single" w:sz="4" w:space="0" w:color="AAABD6"/>
            </w:tcBorders>
            <w:vAlign w:val="bottom"/>
          </w:tcPr>
          <w:p w14:paraId="640948AE"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19</w:t>
            </w:r>
          </w:p>
        </w:tc>
        <w:tc>
          <w:tcPr>
            <w:tcW w:w="680" w:type="dxa"/>
            <w:tcBorders>
              <w:top w:val="dotted" w:sz="4" w:space="0" w:color="AAABD6"/>
              <w:left w:val="single" w:sz="4" w:space="0" w:color="AAABD6"/>
              <w:bottom w:val="dotted" w:sz="4" w:space="0" w:color="AAABD6"/>
              <w:right w:val="single" w:sz="4" w:space="0" w:color="AAABD6"/>
            </w:tcBorders>
            <w:vAlign w:val="bottom"/>
          </w:tcPr>
          <w:p w14:paraId="533638CA"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19</w:t>
            </w:r>
          </w:p>
        </w:tc>
        <w:tc>
          <w:tcPr>
            <w:tcW w:w="680" w:type="dxa"/>
            <w:tcBorders>
              <w:top w:val="dotted" w:sz="4" w:space="0" w:color="AAABD6"/>
              <w:left w:val="single" w:sz="4" w:space="0" w:color="AAABD6"/>
              <w:bottom w:val="dotted" w:sz="4" w:space="0" w:color="AAABD6"/>
              <w:right w:val="single" w:sz="4" w:space="0" w:color="AAABD6"/>
            </w:tcBorders>
            <w:vAlign w:val="bottom"/>
          </w:tcPr>
          <w:p w14:paraId="622D87B4"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19</w:t>
            </w:r>
          </w:p>
        </w:tc>
        <w:tc>
          <w:tcPr>
            <w:tcW w:w="680" w:type="dxa"/>
            <w:tcBorders>
              <w:top w:val="dotted" w:sz="4" w:space="0" w:color="AAABD6"/>
              <w:left w:val="single" w:sz="4" w:space="0" w:color="AAABD6"/>
              <w:bottom w:val="dotted" w:sz="4" w:space="0" w:color="AAABD6"/>
              <w:right w:val="single" w:sz="4" w:space="0" w:color="AAABD6"/>
            </w:tcBorders>
          </w:tcPr>
          <w:p w14:paraId="07BBFAEE"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51963D93"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0BC50453"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2043A86A"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5EA0B031"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55941ECB"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2E6E272A"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r>
      <w:tr w:rsidR="00F02371" w:rsidRPr="00100F0A" w14:paraId="27A91249"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right w:val="single" w:sz="4" w:space="0" w:color="AAABD6"/>
            </w:tcBorders>
          </w:tcPr>
          <w:p w14:paraId="29321C1A" w14:textId="77777777" w:rsidR="00F02371" w:rsidRPr="00100F0A" w:rsidRDefault="00F02371" w:rsidP="00B179AD">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026CC992" w14:textId="77777777" w:rsidR="00F02371" w:rsidRPr="00100F0A" w:rsidRDefault="00F02371" w:rsidP="00B179AD">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NT</w:t>
            </w:r>
          </w:p>
        </w:tc>
        <w:tc>
          <w:tcPr>
            <w:tcW w:w="1418" w:type="dxa"/>
            <w:vMerge/>
            <w:tcBorders>
              <w:left w:val="single" w:sz="4" w:space="0" w:color="AAABD6"/>
              <w:right w:val="single" w:sz="4" w:space="0" w:color="AAABD6"/>
            </w:tcBorders>
          </w:tcPr>
          <w:p w14:paraId="227D9B64" w14:textId="77777777" w:rsidR="00F02371" w:rsidRPr="00100F0A" w:rsidRDefault="00F02371" w:rsidP="00B179AD">
            <w:pPr>
              <w:cnfStyle w:val="000000000000" w:firstRow="0" w:lastRow="0" w:firstColumn="0" w:lastColumn="0" w:oddVBand="0" w:evenVBand="0" w:oddHBand="0" w:evenHBand="0" w:firstRowFirstColumn="0" w:firstRowLastColumn="0" w:lastRowFirstColumn="0" w:lastRowLastColumn="0"/>
              <w:rPr>
                <w:sz w:val="16"/>
                <w:szCs w:val="16"/>
              </w:rPr>
            </w:pPr>
          </w:p>
        </w:tc>
        <w:tc>
          <w:tcPr>
            <w:tcW w:w="510" w:type="dxa"/>
            <w:vMerge/>
            <w:tcBorders>
              <w:left w:val="single" w:sz="4" w:space="0" w:color="AAABD6"/>
              <w:right w:val="single" w:sz="4" w:space="0" w:color="AAABD6"/>
            </w:tcBorders>
          </w:tcPr>
          <w:p w14:paraId="47BF0B65" w14:textId="31D66CDD"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510" w:type="dxa"/>
            <w:tcBorders>
              <w:top w:val="dotted" w:sz="4" w:space="0" w:color="AAABD6"/>
              <w:left w:val="single" w:sz="4" w:space="0" w:color="AAABD6"/>
              <w:bottom w:val="dotted" w:sz="4" w:space="0" w:color="AAABD6"/>
              <w:right w:val="single" w:sz="4" w:space="0" w:color="AAABD6"/>
            </w:tcBorders>
            <w:vAlign w:val="bottom"/>
          </w:tcPr>
          <w:p w14:paraId="0724F7CA"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510" w:type="dxa"/>
            <w:tcBorders>
              <w:top w:val="dotted" w:sz="4" w:space="0" w:color="AAABD6"/>
              <w:left w:val="single" w:sz="4" w:space="0" w:color="AAABD6"/>
              <w:bottom w:val="dotted" w:sz="4" w:space="0" w:color="AAABD6"/>
              <w:right w:val="single" w:sz="4" w:space="0" w:color="AAABD6"/>
            </w:tcBorders>
            <w:vAlign w:val="bottom"/>
          </w:tcPr>
          <w:p w14:paraId="3042A88C"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dotted" w:sz="4" w:space="0" w:color="AAABD6"/>
              <w:left w:val="single" w:sz="4" w:space="0" w:color="AAABD6"/>
              <w:bottom w:val="dotted" w:sz="4" w:space="0" w:color="AAABD6"/>
              <w:right w:val="single" w:sz="4" w:space="0" w:color="AAABD6"/>
            </w:tcBorders>
            <w:vAlign w:val="bottom"/>
          </w:tcPr>
          <w:p w14:paraId="0848C420"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dotted" w:sz="4" w:space="0" w:color="AAABD6"/>
              <w:left w:val="single" w:sz="4" w:space="0" w:color="AAABD6"/>
              <w:bottom w:val="dotted" w:sz="4" w:space="0" w:color="AAABD6"/>
              <w:right w:val="single" w:sz="4" w:space="0" w:color="AAABD6"/>
            </w:tcBorders>
            <w:vAlign w:val="bottom"/>
          </w:tcPr>
          <w:p w14:paraId="6A98BB1E"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dotted" w:sz="4" w:space="0" w:color="AAABD6"/>
              <w:left w:val="single" w:sz="4" w:space="0" w:color="AAABD6"/>
              <w:bottom w:val="dotted" w:sz="4" w:space="0" w:color="AAABD6"/>
              <w:right w:val="single" w:sz="4" w:space="0" w:color="AAABD6"/>
            </w:tcBorders>
            <w:vAlign w:val="bottom"/>
          </w:tcPr>
          <w:p w14:paraId="004F5049"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dotted" w:sz="4" w:space="0" w:color="AAABD6"/>
              <w:left w:val="single" w:sz="4" w:space="0" w:color="AAABD6"/>
              <w:bottom w:val="dotted" w:sz="4" w:space="0" w:color="AAABD6"/>
              <w:right w:val="single" w:sz="4" w:space="0" w:color="AAABD6"/>
            </w:tcBorders>
            <w:vAlign w:val="bottom"/>
          </w:tcPr>
          <w:p w14:paraId="7DC7A096"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dotted" w:sz="4" w:space="0" w:color="AAABD6"/>
              <w:left w:val="single" w:sz="4" w:space="0" w:color="AAABD6"/>
              <w:bottom w:val="dotted" w:sz="4" w:space="0" w:color="AAABD6"/>
              <w:right w:val="single" w:sz="4" w:space="0" w:color="AAABD6"/>
            </w:tcBorders>
            <w:vAlign w:val="bottom"/>
          </w:tcPr>
          <w:p w14:paraId="6E6890CE"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dotted" w:sz="4" w:space="0" w:color="AAABD6"/>
              <w:left w:val="single" w:sz="4" w:space="0" w:color="AAABD6"/>
              <w:bottom w:val="dotted" w:sz="4" w:space="0" w:color="AAABD6"/>
              <w:right w:val="single" w:sz="4" w:space="0" w:color="AAABD6"/>
            </w:tcBorders>
            <w:vAlign w:val="bottom"/>
          </w:tcPr>
          <w:p w14:paraId="3C880FDE"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dotted" w:sz="4" w:space="0" w:color="AAABD6"/>
              <w:left w:val="single" w:sz="4" w:space="0" w:color="AAABD6"/>
              <w:bottom w:val="dotted" w:sz="4" w:space="0" w:color="AAABD6"/>
              <w:right w:val="single" w:sz="4" w:space="0" w:color="AAABD6"/>
            </w:tcBorders>
            <w:vAlign w:val="bottom"/>
          </w:tcPr>
          <w:p w14:paraId="4AD59A2E"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dotted" w:sz="4" w:space="0" w:color="AAABD6"/>
              <w:left w:val="single" w:sz="4" w:space="0" w:color="AAABD6"/>
              <w:bottom w:val="dotted" w:sz="4" w:space="0" w:color="AAABD6"/>
              <w:right w:val="single" w:sz="4" w:space="0" w:color="AAABD6"/>
            </w:tcBorders>
            <w:vAlign w:val="bottom"/>
          </w:tcPr>
          <w:p w14:paraId="7F88AB14"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dotted" w:sz="4" w:space="0" w:color="AAABD6"/>
              <w:left w:val="single" w:sz="4" w:space="0" w:color="AAABD6"/>
              <w:bottom w:val="dotted" w:sz="4" w:space="0" w:color="AAABD6"/>
              <w:right w:val="single" w:sz="4" w:space="0" w:color="AAABD6"/>
            </w:tcBorders>
            <w:vAlign w:val="bottom"/>
          </w:tcPr>
          <w:p w14:paraId="39180C56"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dotted" w:sz="4" w:space="0" w:color="AAABD6"/>
              <w:left w:val="single" w:sz="4" w:space="0" w:color="AAABD6"/>
              <w:bottom w:val="dotted" w:sz="4" w:space="0" w:color="AAABD6"/>
              <w:right w:val="single" w:sz="4" w:space="0" w:color="AAABD6"/>
            </w:tcBorders>
            <w:vAlign w:val="bottom"/>
          </w:tcPr>
          <w:p w14:paraId="6A9E12A3"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dotted" w:sz="4" w:space="0" w:color="AAABD6"/>
              <w:left w:val="single" w:sz="4" w:space="0" w:color="AAABD6"/>
              <w:bottom w:val="dotted" w:sz="4" w:space="0" w:color="AAABD6"/>
              <w:right w:val="single" w:sz="4" w:space="0" w:color="AAABD6"/>
            </w:tcBorders>
            <w:vAlign w:val="bottom"/>
          </w:tcPr>
          <w:p w14:paraId="4D3DD76C"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dotted" w:sz="4" w:space="0" w:color="AAABD6"/>
              <w:left w:val="single" w:sz="4" w:space="0" w:color="AAABD6"/>
              <w:bottom w:val="dotted" w:sz="4" w:space="0" w:color="AAABD6"/>
              <w:right w:val="single" w:sz="4" w:space="0" w:color="AAABD6"/>
            </w:tcBorders>
          </w:tcPr>
          <w:p w14:paraId="587E2CC4"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7B882F92"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3295E21C"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3B101F91"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7497DDE1"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012809A3"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7806604B"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r>
      <w:tr w:rsidR="00F02371" w:rsidRPr="00100F0A" w14:paraId="09890FAC"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right w:val="single" w:sz="4" w:space="0" w:color="AAABD6"/>
            </w:tcBorders>
          </w:tcPr>
          <w:p w14:paraId="1C2F5543" w14:textId="77777777" w:rsidR="00F02371" w:rsidRPr="00100F0A" w:rsidRDefault="00F02371" w:rsidP="00B179AD">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5EE69D8A" w14:textId="77777777" w:rsidR="00F02371" w:rsidRPr="00100F0A" w:rsidRDefault="00F02371" w:rsidP="00B179AD">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Qld</w:t>
            </w:r>
          </w:p>
        </w:tc>
        <w:tc>
          <w:tcPr>
            <w:tcW w:w="1418" w:type="dxa"/>
            <w:vMerge/>
            <w:tcBorders>
              <w:left w:val="single" w:sz="4" w:space="0" w:color="AAABD6"/>
              <w:right w:val="single" w:sz="4" w:space="0" w:color="AAABD6"/>
            </w:tcBorders>
          </w:tcPr>
          <w:p w14:paraId="5036ABCC" w14:textId="77777777" w:rsidR="00F02371" w:rsidRPr="00100F0A" w:rsidRDefault="00F02371" w:rsidP="00B179AD">
            <w:pPr>
              <w:cnfStyle w:val="000000000000" w:firstRow="0" w:lastRow="0" w:firstColumn="0" w:lastColumn="0" w:oddVBand="0" w:evenVBand="0" w:oddHBand="0" w:evenHBand="0" w:firstRowFirstColumn="0" w:firstRowLastColumn="0" w:lastRowFirstColumn="0" w:lastRowLastColumn="0"/>
              <w:rPr>
                <w:sz w:val="16"/>
                <w:szCs w:val="16"/>
              </w:rPr>
            </w:pPr>
          </w:p>
        </w:tc>
        <w:tc>
          <w:tcPr>
            <w:tcW w:w="510" w:type="dxa"/>
            <w:vMerge/>
            <w:tcBorders>
              <w:left w:val="single" w:sz="4" w:space="0" w:color="AAABD6"/>
              <w:right w:val="single" w:sz="4" w:space="0" w:color="AAABD6"/>
            </w:tcBorders>
          </w:tcPr>
          <w:p w14:paraId="5C6983D4" w14:textId="417E5BA3"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510" w:type="dxa"/>
            <w:tcBorders>
              <w:top w:val="dotted" w:sz="4" w:space="0" w:color="AAABD6"/>
              <w:left w:val="single" w:sz="4" w:space="0" w:color="AAABD6"/>
              <w:bottom w:val="dotted" w:sz="4" w:space="0" w:color="AAABD6"/>
              <w:right w:val="single" w:sz="4" w:space="0" w:color="AAABD6"/>
            </w:tcBorders>
            <w:vAlign w:val="bottom"/>
          </w:tcPr>
          <w:p w14:paraId="56F34A3C"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12</w:t>
            </w:r>
          </w:p>
        </w:tc>
        <w:tc>
          <w:tcPr>
            <w:tcW w:w="510" w:type="dxa"/>
            <w:tcBorders>
              <w:top w:val="dotted" w:sz="4" w:space="0" w:color="AAABD6"/>
              <w:left w:val="single" w:sz="4" w:space="0" w:color="AAABD6"/>
              <w:bottom w:val="dotted" w:sz="4" w:space="0" w:color="AAABD6"/>
              <w:right w:val="single" w:sz="4" w:space="0" w:color="AAABD6"/>
            </w:tcBorders>
            <w:vAlign w:val="bottom"/>
          </w:tcPr>
          <w:p w14:paraId="4E73C10E"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12</w:t>
            </w:r>
          </w:p>
        </w:tc>
        <w:tc>
          <w:tcPr>
            <w:tcW w:w="680" w:type="dxa"/>
            <w:tcBorders>
              <w:top w:val="dotted" w:sz="4" w:space="0" w:color="AAABD6"/>
              <w:left w:val="single" w:sz="4" w:space="0" w:color="AAABD6"/>
              <w:bottom w:val="dotted" w:sz="4" w:space="0" w:color="AAABD6"/>
              <w:right w:val="single" w:sz="4" w:space="0" w:color="AAABD6"/>
            </w:tcBorders>
            <w:vAlign w:val="bottom"/>
          </w:tcPr>
          <w:p w14:paraId="49C20715"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12</w:t>
            </w:r>
          </w:p>
        </w:tc>
        <w:tc>
          <w:tcPr>
            <w:tcW w:w="680" w:type="dxa"/>
            <w:tcBorders>
              <w:top w:val="dotted" w:sz="4" w:space="0" w:color="AAABD6"/>
              <w:left w:val="single" w:sz="4" w:space="0" w:color="AAABD6"/>
              <w:bottom w:val="dotted" w:sz="4" w:space="0" w:color="AAABD6"/>
              <w:right w:val="single" w:sz="4" w:space="0" w:color="AAABD6"/>
            </w:tcBorders>
            <w:vAlign w:val="bottom"/>
          </w:tcPr>
          <w:p w14:paraId="33969808"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12</w:t>
            </w:r>
          </w:p>
        </w:tc>
        <w:tc>
          <w:tcPr>
            <w:tcW w:w="680" w:type="dxa"/>
            <w:tcBorders>
              <w:top w:val="dotted" w:sz="4" w:space="0" w:color="AAABD6"/>
              <w:left w:val="single" w:sz="4" w:space="0" w:color="AAABD6"/>
              <w:bottom w:val="dotted" w:sz="4" w:space="0" w:color="AAABD6"/>
              <w:right w:val="single" w:sz="4" w:space="0" w:color="AAABD6"/>
            </w:tcBorders>
            <w:vAlign w:val="bottom"/>
          </w:tcPr>
          <w:p w14:paraId="335337DC"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12</w:t>
            </w:r>
          </w:p>
        </w:tc>
        <w:tc>
          <w:tcPr>
            <w:tcW w:w="680" w:type="dxa"/>
            <w:tcBorders>
              <w:top w:val="dotted" w:sz="4" w:space="0" w:color="AAABD6"/>
              <w:left w:val="single" w:sz="4" w:space="0" w:color="AAABD6"/>
              <w:bottom w:val="dotted" w:sz="4" w:space="0" w:color="AAABD6"/>
              <w:right w:val="single" w:sz="4" w:space="0" w:color="AAABD6"/>
            </w:tcBorders>
            <w:vAlign w:val="bottom"/>
          </w:tcPr>
          <w:p w14:paraId="1A92BB4E"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12</w:t>
            </w:r>
          </w:p>
        </w:tc>
        <w:tc>
          <w:tcPr>
            <w:tcW w:w="680" w:type="dxa"/>
            <w:tcBorders>
              <w:top w:val="dotted" w:sz="4" w:space="0" w:color="AAABD6"/>
              <w:left w:val="single" w:sz="4" w:space="0" w:color="AAABD6"/>
              <w:bottom w:val="dotted" w:sz="4" w:space="0" w:color="AAABD6"/>
              <w:right w:val="single" w:sz="4" w:space="0" w:color="AAABD6"/>
            </w:tcBorders>
            <w:vAlign w:val="bottom"/>
          </w:tcPr>
          <w:p w14:paraId="0A2864A6"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12</w:t>
            </w:r>
          </w:p>
        </w:tc>
        <w:tc>
          <w:tcPr>
            <w:tcW w:w="680" w:type="dxa"/>
            <w:tcBorders>
              <w:top w:val="dotted" w:sz="4" w:space="0" w:color="AAABD6"/>
              <w:left w:val="single" w:sz="4" w:space="0" w:color="AAABD6"/>
              <w:bottom w:val="dotted" w:sz="4" w:space="0" w:color="AAABD6"/>
              <w:right w:val="single" w:sz="4" w:space="0" w:color="AAABD6"/>
            </w:tcBorders>
            <w:vAlign w:val="bottom"/>
          </w:tcPr>
          <w:p w14:paraId="4AA9E874"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12</w:t>
            </w:r>
          </w:p>
        </w:tc>
        <w:tc>
          <w:tcPr>
            <w:tcW w:w="680" w:type="dxa"/>
            <w:tcBorders>
              <w:top w:val="dotted" w:sz="4" w:space="0" w:color="AAABD6"/>
              <w:left w:val="single" w:sz="4" w:space="0" w:color="AAABD6"/>
              <w:bottom w:val="dotted" w:sz="4" w:space="0" w:color="AAABD6"/>
              <w:right w:val="single" w:sz="4" w:space="0" w:color="AAABD6"/>
            </w:tcBorders>
            <w:vAlign w:val="bottom"/>
          </w:tcPr>
          <w:p w14:paraId="73479429"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12</w:t>
            </w:r>
          </w:p>
        </w:tc>
        <w:tc>
          <w:tcPr>
            <w:tcW w:w="680" w:type="dxa"/>
            <w:tcBorders>
              <w:top w:val="dotted" w:sz="4" w:space="0" w:color="AAABD6"/>
              <w:left w:val="single" w:sz="4" w:space="0" w:color="AAABD6"/>
              <w:bottom w:val="dotted" w:sz="4" w:space="0" w:color="AAABD6"/>
              <w:right w:val="single" w:sz="4" w:space="0" w:color="AAABD6"/>
            </w:tcBorders>
            <w:vAlign w:val="bottom"/>
          </w:tcPr>
          <w:p w14:paraId="1C0BE9EC"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12</w:t>
            </w:r>
          </w:p>
        </w:tc>
        <w:tc>
          <w:tcPr>
            <w:tcW w:w="680" w:type="dxa"/>
            <w:tcBorders>
              <w:top w:val="dotted" w:sz="4" w:space="0" w:color="AAABD6"/>
              <w:left w:val="single" w:sz="4" w:space="0" w:color="AAABD6"/>
              <w:bottom w:val="dotted" w:sz="4" w:space="0" w:color="AAABD6"/>
              <w:right w:val="single" w:sz="4" w:space="0" w:color="AAABD6"/>
            </w:tcBorders>
            <w:vAlign w:val="bottom"/>
          </w:tcPr>
          <w:p w14:paraId="1019D47C"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12</w:t>
            </w:r>
          </w:p>
        </w:tc>
        <w:tc>
          <w:tcPr>
            <w:tcW w:w="680" w:type="dxa"/>
            <w:tcBorders>
              <w:top w:val="dotted" w:sz="4" w:space="0" w:color="AAABD6"/>
              <w:left w:val="single" w:sz="4" w:space="0" w:color="AAABD6"/>
              <w:bottom w:val="dotted" w:sz="4" w:space="0" w:color="AAABD6"/>
              <w:right w:val="single" w:sz="4" w:space="0" w:color="AAABD6"/>
            </w:tcBorders>
            <w:vAlign w:val="bottom"/>
          </w:tcPr>
          <w:p w14:paraId="49F9530B"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12</w:t>
            </w:r>
          </w:p>
        </w:tc>
        <w:tc>
          <w:tcPr>
            <w:tcW w:w="680" w:type="dxa"/>
            <w:tcBorders>
              <w:top w:val="dotted" w:sz="4" w:space="0" w:color="AAABD6"/>
              <w:left w:val="single" w:sz="4" w:space="0" w:color="AAABD6"/>
              <w:bottom w:val="dotted" w:sz="4" w:space="0" w:color="AAABD6"/>
              <w:right w:val="single" w:sz="4" w:space="0" w:color="AAABD6"/>
            </w:tcBorders>
            <w:vAlign w:val="bottom"/>
          </w:tcPr>
          <w:p w14:paraId="7CF39719"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12</w:t>
            </w:r>
          </w:p>
        </w:tc>
        <w:tc>
          <w:tcPr>
            <w:tcW w:w="680" w:type="dxa"/>
            <w:tcBorders>
              <w:top w:val="dotted" w:sz="4" w:space="0" w:color="AAABD6"/>
              <w:left w:val="single" w:sz="4" w:space="0" w:color="AAABD6"/>
              <w:bottom w:val="dotted" w:sz="4" w:space="0" w:color="AAABD6"/>
              <w:right w:val="single" w:sz="4" w:space="0" w:color="AAABD6"/>
            </w:tcBorders>
          </w:tcPr>
          <w:p w14:paraId="27F88C93"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0535ABDD"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770EE332"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112EF1EC"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5103AED8"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15577295"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56D37700"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r>
      <w:tr w:rsidR="00F02371" w:rsidRPr="00100F0A" w14:paraId="63A41676"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right w:val="single" w:sz="4" w:space="0" w:color="AAABD6"/>
            </w:tcBorders>
          </w:tcPr>
          <w:p w14:paraId="6A2AF6B3" w14:textId="77777777" w:rsidR="00F02371" w:rsidRPr="00100F0A" w:rsidRDefault="00F02371" w:rsidP="00B179AD">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0D471A3B" w14:textId="77777777" w:rsidR="00F02371" w:rsidRPr="00100F0A" w:rsidRDefault="00F02371" w:rsidP="00B179AD">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SA</w:t>
            </w:r>
          </w:p>
        </w:tc>
        <w:tc>
          <w:tcPr>
            <w:tcW w:w="1418" w:type="dxa"/>
            <w:vMerge/>
            <w:tcBorders>
              <w:left w:val="single" w:sz="4" w:space="0" w:color="AAABD6"/>
              <w:right w:val="single" w:sz="4" w:space="0" w:color="AAABD6"/>
            </w:tcBorders>
          </w:tcPr>
          <w:p w14:paraId="7BC5FDCE" w14:textId="77777777" w:rsidR="00F02371" w:rsidRPr="00100F0A" w:rsidRDefault="00F02371" w:rsidP="00B179AD">
            <w:pPr>
              <w:cnfStyle w:val="000000000000" w:firstRow="0" w:lastRow="0" w:firstColumn="0" w:lastColumn="0" w:oddVBand="0" w:evenVBand="0" w:oddHBand="0" w:evenHBand="0" w:firstRowFirstColumn="0" w:firstRowLastColumn="0" w:lastRowFirstColumn="0" w:lastRowLastColumn="0"/>
              <w:rPr>
                <w:sz w:val="16"/>
                <w:szCs w:val="16"/>
              </w:rPr>
            </w:pPr>
          </w:p>
        </w:tc>
        <w:tc>
          <w:tcPr>
            <w:tcW w:w="510" w:type="dxa"/>
            <w:vMerge/>
            <w:tcBorders>
              <w:left w:val="single" w:sz="4" w:space="0" w:color="AAABD6"/>
              <w:right w:val="single" w:sz="4" w:space="0" w:color="AAABD6"/>
            </w:tcBorders>
          </w:tcPr>
          <w:p w14:paraId="75A6C6C3" w14:textId="6E24AE4C"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510" w:type="dxa"/>
            <w:tcBorders>
              <w:top w:val="dotted" w:sz="4" w:space="0" w:color="AAABD6"/>
              <w:left w:val="single" w:sz="4" w:space="0" w:color="AAABD6"/>
              <w:bottom w:val="dotted" w:sz="4" w:space="0" w:color="AAABD6"/>
              <w:right w:val="single" w:sz="4" w:space="0" w:color="AAABD6"/>
            </w:tcBorders>
            <w:vAlign w:val="bottom"/>
          </w:tcPr>
          <w:p w14:paraId="1A241BA8"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4</w:t>
            </w:r>
          </w:p>
        </w:tc>
        <w:tc>
          <w:tcPr>
            <w:tcW w:w="510" w:type="dxa"/>
            <w:tcBorders>
              <w:top w:val="dotted" w:sz="4" w:space="0" w:color="AAABD6"/>
              <w:left w:val="single" w:sz="4" w:space="0" w:color="AAABD6"/>
              <w:bottom w:val="dotted" w:sz="4" w:space="0" w:color="AAABD6"/>
              <w:right w:val="single" w:sz="4" w:space="0" w:color="AAABD6"/>
            </w:tcBorders>
            <w:vAlign w:val="bottom"/>
          </w:tcPr>
          <w:p w14:paraId="7645B666"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4</w:t>
            </w:r>
          </w:p>
        </w:tc>
        <w:tc>
          <w:tcPr>
            <w:tcW w:w="680" w:type="dxa"/>
            <w:tcBorders>
              <w:top w:val="dotted" w:sz="4" w:space="0" w:color="AAABD6"/>
              <w:left w:val="single" w:sz="4" w:space="0" w:color="AAABD6"/>
              <w:bottom w:val="dotted" w:sz="4" w:space="0" w:color="AAABD6"/>
              <w:right w:val="single" w:sz="4" w:space="0" w:color="AAABD6"/>
            </w:tcBorders>
            <w:vAlign w:val="bottom"/>
          </w:tcPr>
          <w:p w14:paraId="6B735400"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4</w:t>
            </w:r>
          </w:p>
        </w:tc>
        <w:tc>
          <w:tcPr>
            <w:tcW w:w="680" w:type="dxa"/>
            <w:tcBorders>
              <w:top w:val="dotted" w:sz="4" w:space="0" w:color="AAABD6"/>
              <w:left w:val="single" w:sz="4" w:space="0" w:color="AAABD6"/>
              <w:bottom w:val="dotted" w:sz="4" w:space="0" w:color="AAABD6"/>
              <w:right w:val="single" w:sz="4" w:space="0" w:color="AAABD6"/>
            </w:tcBorders>
            <w:vAlign w:val="bottom"/>
          </w:tcPr>
          <w:p w14:paraId="426A6209"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4</w:t>
            </w:r>
          </w:p>
        </w:tc>
        <w:tc>
          <w:tcPr>
            <w:tcW w:w="680" w:type="dxa"/>
            <w:tcBorders>
              <w:top w:val="dotted" w:sz="4" w:space="0" w:color="AAABD6"/>
              <w:left w:val="single" w:sz="4" w:space="0" w:color="AAABD6"/>
              <w:bottom w:val="dotted" w:sz="4" w:space="0" w:color="AAABD6"/>
              <w:right w:val="single" w:sz="4" w:space="0" w:color="AAABD6"/>
            </w:tcBorders>
            <w:vAlign w:val="bottom"/>
          </w:tcPr>
          <w:p w14:paraId="063FCB9D"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4</w:t>
            </w:r>
          </w:p>
        </w:tc>
        <w:tc>
          <w:tcPr>
            <w:tcW w:w="680" w:type="dxa"/>
            <w:tcBorders>
              <w:top w:val="dotted" w:sz="4" w:space="0" w:color="AAABD6"/>
              <w:left w:val="single" w:sz="4" w:space="0" w:color="AAABD6"/>
              <w:bottom w:val="dotted" w:sz="4" w:space="0" w:color="AAABD6"/>
              <w:right w:val="single" w:sz="4" w:space="0" w:color="AAABD6"/>
            </w:tcBorders>
            <w:vAlign w:val="bottom"/>
          </w:tcPr>
          <w:p w14:paraId="5872FF6E"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4</w:t>
            </w:r>
          </w:p>
        </w:tc>
        <w:tc>
          <w:tcPr>
            <w:tcW w:w="680" w:type="dxa"/>
            <w:tcBorders>
              <w:top w:val="dotted" w:sz="4" w:space="0" w:color="AAABD6"/>
              <w:left w:val="single" w:sz="4" w:space="0" w:color="AAABD6"/>
              <w:bottom w:val="dotted" w:sz="4" w:space="0" w:color="AAABD6"/>
              <w:right w:val="single" w:sz="4" w:space="0" w:color="AAABD6"/>
            </w:tcBorders>
            <w:vAlign w:val="bottom"/>
          </w:tcPr>
          <w:p w14:paraId="4EBDFE0B"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4</w:t>
            </w:r>
          </w:p>
        </w:tc>
        <w:tc>
          <w:tcPr>
            <w:tcW w:w="680" w:type="dxa"/>
            <w:tcBorders>
              <w:top w:val="dotted" w:sz="4" w:space="0" w:color="AAABD6"/>
              <w:left w:val="single" w:sz="4" w:space="0" w:color="AAABD6"/>
              <w:bottom w:val="dotted" w:sz="4" w:space="0" w:color="AAABD6"/>
              <w:right w:val="single" w:sz="4" w:space="0" w:color="AAABD6"/>
            </w:tcBorders>
            <w:vAlign w:val="bottom"/>
          </w:tcPr>
          <w:p w14:paraId="69C7D917"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4</w:t>
            </w:r>
          </w:p>
        </w:tc>
        <w:tc>
          <w:tcPr>
            <w:tcW w:w="680" w:type="dxa"/>
            <w:tcBorders>
              <w:top w:val="dotted" w:sz="4" w:space="0" w:color="AAABD6"/>
              <w:left w:val="single" w:sz="4" w:space="0" w:color="AAABD6"/>
              <w:bottom w:val="dotted" w:sz="4" w:space="0" w:color="AAABD6"/>
              <w:right w:val="single" w:sz="4" w:space="0" w:color="AAABD6"/>
            </w:tcBorders>
            <w:vAlign w:val="bottom"/>
          </w:tcPr>
          <w:p w14:paraId="32E0332E"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4</w:t>
            </w:r>
          </w:p>
        </w:tc>
        <w:tc>
          <w:tcPr>
            <w:tcW w:w="680" w:type="dxa"/>
            <w:tcBorders>
              <w:top w:val="dotted" w:sz="4" w:space="0" w:color="AAABD6"/>
              <w:left w:val="single" w:sz="4" w:space="0" w:color="AAABD6"/>
              <w:bottom w:val="dotted" w:sz="4" w:space="0" w:color="AAABD6"/>
              <w:right w:val="single" w:sz="4" w:space="0" w:color="AAABD6"/>
            </w:tcBorders>
            <w:vAlign w:val="bottom"/>
          </w:tcPr>
          <w:p w14:paraId="5E182DCC"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4</w:t>
            </w:r>
          </w:p>
        </w:tc>
        <w:tc>
          <w:tcPr>
            <w:tcW w:w="680" w:type="dxa"/>
            <w:tcBorders>
              <w:top w:val="dotted" w:sz="4" w:space="0" w:color="AAABD6"/>
              <w:left w:val="single" w:sz="4" w:space="0" w:color="AAABD6"/>
              <w:bottom w:val="dotted" w:sz="4" w:space="0" w:color="AAABD6"/>
              <w:right w:val="single" w:sz="4" w:space="0" w:color="AAABD6"/>
            </w:tcBorders>
            <w:vAlign w:val="bottom"/>
          </w:tcPr>
          <w:p w14:paraId="60A1CCE4"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4</w:t>
            </w:r>
          </w:p>
        </w:tc>
        <w:tc>
          <w:tcPr>
            <w:tcW w:w="680" w:type="dxa"/>
            <w:tcBorders>
              <w:top w:val="dotted" w:sz="4" w:space="0" w:color="AAABD6"/>
              <w:left w:val="single" w:sz="4" w:space="0" w:color="AAABD6"/>
              <w:bottom w:val="dotted" w:sz="4" w:space="0" w:color="AAABD6"/>
              <w:right w:val="single" w:sz="4" w:space="0" w:color="AAABD6"/>
            </w:tcBorders>
            <w:vAlign w:val="bottom"/>
          </w:tcPr>
          <w:p w14:paraId="3A3E223E"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4</w:t>
            </w:r>
          </w:p>
        </w:tc>
        <w:tc>
          <w:tcPr>
            <w:tcW w:w="680" w:type="dxa"/>
            <w:tcBorders>
              <w:top w:val="dotted" w:sz="4" w:space="0" w:color="AAABD6"/>
              <w:left w:val="single" w:sz="4" w:space="0" w:color="AAABD6"/>
              <w:bottom w:val="dotted" w:sz="4" w:space="0" w:color="AAABD6"/>
              <w:right w:val="single" w:sz="4" w:space="0" w:color="AAABD6"/>
            </w:tcBorders>
            <w:vAlign w:val="bottom"/>
          </w:tcPr>
          <w:p w14:paraId="7CB46F13"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4</w:t>
            </w:r>
          </w:p>
        </w:tc>
        <w:tc>
          <w:tcPr>
            <w:tcW w:w="680" w:type="dxa"/>
            <w:tcBorders>
              <w:top w:val="dotted" w:sz="4" w:space="0" w:color="AAABD6"/>
              <w:left w:val="single" w:sz="4" w:space="0" w:color="AAABD6"/>
              <w:bottom w:val="dotted" w:sz="4" w:space="0" w:color="AAABD6"/>
              <w:right w:val="single" w:sz="4" w:space="0" w:color="AAABD6"/>
            </w:tcBorders>
          </w:tcPr>
          <w:p w14:paraId="311621D7"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391D0B59"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2A4931CC"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55081821"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32928C98"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3B287E8F"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1B8BF789"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r>
      <w:tr w:rsidR="00F02371" w:rsidRPr="00100F0A" w14:paraId="1F2E14CE"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right w:val="single" w:sz="4" w:space="0" w:color="AAABD6"/>
            </w:tcBorders>
          </w:tcPr>
          <w:p w14:paraId="28FEA8F3" w14:textId="77777777" w:rsidR="00F02371" w:rsidRPr="00100F0A" w:rsidRDefault="00F02371" w:rsidP="00B179AD">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4CA44453" w14:textId="77777777" w:rsidR="00F02371" w:rsidRPr="00100F0A" w:rsidRDefault="00F02371" w:rsidP="00B179AD">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Tas</w:t>
            </w:r>
          </w:p>
        </w:tc>
        <w:tc>
          <w:tcPr>
            <w:tcW w:w="1418" w:type="dxa"/>
            <w:vMerge/>
            <w:tcBorders>
              <w:left w:val="single" w:sz="4" w:space="0" w:color="AAABD6"/>
              <w:right w:val="single" w:sz="4" w:space="0" w:color="AAABD6"/>
            </w:tcBorders>
          </w:tcPr>
          <w:p w14:paraId="54DDFA05" w14:textId="77777777" w:rsidR="00F02371" w:rsidRPr="00100F0A" w:rsidRDefault="00F02371" w:rsidP="00B179AD">
            <w:pPr>
              <w:cnfStyle w:val="000000000000" w:firstRow="0" w:lastRow="0" w:firstColumn="0" w:lastColumn="0" w:oddVBand="0" w:evenVBand="0" w:oddHBand="0" w:evenHBand="0" w:firstRowFirstColumn="0" w:firstRowLastColumn="0" w:lastRowFirstColumn="0" w:lastRowLastColumn="0"/>
              <w:rPr>
                <w:sz w:val="16"/>
                <w:szCs w:val="16"/>
              </w:rPr>
            </w:pPr>
          </w:p>
        </w:tc>
        <w:tc>
          <w:tcPr>
            <w:tcW w:w="510" w:type="dxa"/>
            <w:vMerge/>
            <w:tcBorders>
              <w:left w:val="single" w:sz="4" w:space="0" w:color="AAABD6"/>
              <w:right w:val="single" w:sz="4" w:space="0" w:color="AAABD6"/>
            </w:tcBorders>
          </w:tcPr>
          <w:p w14:paraId="62CD71CC" w14:textId="6D404194"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510" w:type="dxa"/>
            <w:tcBorders>
              <w:top w:val="dotted" w:sz="4" w:space="0" w:color="AAABD6"/>
              <w:left w:val="single" w:sz="4" w:space="0" w:color="AAABD6"/>
              <w:bottom w:val="dotted" w:sz="4" w:space="0" w:color="AAABD6"/>
              <w:right w:val="single" w:sz="4" w:space="0" w:color="AAABD6"/>
            </w:tcBorders>
            <w:vAlign w:val="bottom"/>
          </w:tcPr>
          <w:p w14:paraId="7E939318"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510" w:type="dxa"/>
            <w:tcBorders>
              <w:top w:val="dotted" w:sz="4" w:space="0" w:color="AAABD6"/>
              <w:left w:val="single" w:sz="4" w:space="0" w:color="AAABD6"/>
              <w:bottom w:val="dotted" w:sz="4" w:space="0" w:color="AAABD6"/>
              <w:right w:val="single" w:sz="4" w:space="0" w:color="AAABD6"/>
            </w:tcBorders>
            <w:vAlign w:val="bottom"/>
          </w:tcPr>
          <w:p w14:paraId="7E7F06D0"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dotted" w:sz="4" w:space="0" w:color="AAABD6"/>
              <w:left w:val="single" w:sz="4" w:space="0" w:color="AAABD6"/>
              <w:bottom w:val="dotted" w:sz="4" w:space="0" w:color="AAABD6"/>
              <w:right w:val="single" w:sz="4" w:space="0" w:color="AAABD6"/>
            </w:tcBorders>
            <w:vAlign w:val="bottom"/>
          </w:tcPr>
          <w:p w14:paraId="6A354695"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dotted" w:sz="4" w:space="0" w:color="AAABD6"/>
              <w:left w:val="single" w:sz="4" w:space="0" w:color="AAABD6"/>
              <w:bottom w:val="dotted" w:sz="4" w:space="0" w:color="AAABD6"/>
              <w:right w:val="single" w:sz="4" w:space="0" w:color="AAABD6"/>
            </w:tcBorders>
            <w:vAlign w:val="bottom"/>
          </w:tcPr>
          <w:p w14:paraId="18E1A70F"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dotted" w:sz="4" w:space="0" w:color="AAABD6"/>
              <w:left w:val="single" w:sz="4" w:space="0" w:color="AAABD6"/>
              <w:bottom w:val="dotted" w:sz="4" w:space="0" w:color="AAABD6"/>
              <w:right w:val="single" w:sz="4" w:space="0" w:color="AAABD6"/>
            </w:tcBorders>
            <w:vAlign w:val="bottom"/>
          </w:tcPr>
          <w:p w14:paraId="23D2B7A1"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dotted" w:sz="4" w:space="0" w:color="AAABD6"/>
              <w:left w:val="single" w:sz="4" w:space="0" w:color="AAABD6"/>
              <w:bottom w:val="dotted" w:sz="4" w:space="0" w:color="AAABD6"/>
              <w:right w:val="single" w:sz="4" w:space="0" w:color="AAABD6"/>
            </w:tcBorders>
            <w:vAlign w:val="bottom"/>
          </w:tcPr>
          <w:p w14:paraId="65DB5269"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dotted" w:sz="4" w:space="0" w:color="AAABD6"/>
              <w:left w:val="single" w:sz="4" w:space="0" w:color="AAABD6"/>
              <w:bottom w:val="dotted" w:sz="4" w:space="0" w:color="AAABD6"/>
              <w:right w:val="single" w:sz="4" w:space="0" w:color="AAABD6"/>
            </w:tcBorders>
            <w:vAlign w:val="bottom"/>
          </w:tcPr>
          <w:p w14:paraId="29F56574"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dotted" w:sz="4" w:space="0" w:color="AAABD6"/>
              <w:left w:val="single" w:sz="4" w:space="0" w:color="AAABD6"/>
              <w:bottom w:val="dotted" w:sz="4" w:space="0" w:color="AAABD6"/>
              <w:right w:val="single" w:sz="4" w:space="0" w:color="AAABD6"/>
            </w:tcBorders>
            <w:vAlign w:val="bottom"/>
          </w:tcPr>
          <w:p w14:paraId="4641EEC7"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dotted" w:sz="4" w:space="0" w:color="AAABD6"/>
              <w:left w:val="single" w:sz="4" w:space="0" w:color="AAABD6"/>
              <w:bottom w:val="dotted" w:sz="4" w:space="0" w:color="AAABD6"/>
              <w:right w:val="single" w:sz="4" w:space="0" w:color="AAABD6"/>
            </w:tcBorders>
            <w:vAlign w:val="bottom"/>
          </w:tcPr>
          <w:p w14:paraId="6A7227C0"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dotted" w:sz="4" w:space="0" w:color="AAABD6"/>
              <w:left w:val="single" w:sz="4" w:space="0" w:color="AAABD6"/>
              <w:bottom w:val="dotted" w:sz="4" w:space="0" w:color="AAABD6"/>
              <w:right w:val="single" w:sz="4" w:space="0" w:color="AAABD6"/>
            </w:tcBorders>
            <w:vAlign w:val="bottom"/>
          </w:tcPr>
          <w:p w14:paraId="386BDA53"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dotted" w:sz="4" w:space="0" w:color="AAABD6"/>
              <w:left w:val="single" w:sz="4" w:space="0" w:color="AAABD6"/>
              <w:bottom w:val="dotted" w:sz="4" w:space="0" w:color="AAABD6"/>
              <w:right w:val="single" w:sz="4" w:space="0" w:color="AAABD6"/>
            </w:tcBorders>
            <w:vAlign w:val="bottom"/>
          </w:tcPr>
          <w:p w14:paraId="1CA3795F"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dotted" w:sz="4" w:space="0" w:color="AAABD6"/>
              <w:left w:val="single" w:sz="4" w:space="0" w:color="AAABD6"/>
              <w:bottom w:val="dotted" w:sz="4" w:space="0" w:color="AAABD6"/>
              <w:right w:val="single" w:sz="4" w:space="0" w:color="AAABD6"/>
            </w:tcBorders>
            <w:vAlign w:val="bottom"/>
          </w:tcPr>
          <w:p w14:paraId="4673F579"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dotted" w:sz="4" w:space="0" w:color="AAABD6"/>
              <w:left w:val="single" w:sz="4" w:space="0" w:color="AAABD6"/>
              <w:bottom w:val="dotted" w:sz="4" w:space="0" w:color="AAABD6"/>
              <w:right w:val="single" w:sz="4" w:space="0" w:color="AAABD6"/>
            </w:tcBorders>
            <w:vAlign w:val="bottom"/>
          </w:tcPr>
          <w:p w14:paraId="699CF321"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w:t>
            </w:r>
          </w:p>
        </w:tc>
        <w:tc>
          <w:tcPr>
            <w:tcW w:w="680" w:type="dxa"/>
            <w:tcBorders>
              <w:top w:val="dotted" w:sz="4" w:space="0" w:color="AAABD6"/>
              <w:left w:val="single" w:sz="4" w:space="0" w:color="AAABD6"/>
              <w:bottom w:val="dotted" w:sz="4" w:space="0" w:color="AAABD6"/>
              <w:right w:val="single" w:sz="4" w:space="0" w:color="AAABD6"/>
            </w:tcBorders>
          </w:tcPr>
          <w:p w14:paraId="45282077"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2F724927"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4E6D216D"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4BA83EA5"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107816F0"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6A14A43D"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34EDBB10"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r>
      <w:tr w:rsidR="00F02371" w:rsidRPr="00100F0A" w14:paraId="04DC52AD"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right w:val="single" w:sz="4" w:space="0" w:color="AAABD6"/>
            </w:tcBorders>
          </w:tcPr>
          <w:p w14:paraId="45E0DAF5" w14:textId="77777777" w:rsidR="00F02371" w:rsidRPr="00100F0A" w:rsidRDefault="00F02371" w:rsidP="00B179AD">
            <w:pPr>
              <w:rPr>
                <w:sz w:val="16"/>
                <w:szCs w:val="16"/>
              </w:rPr>
            </w:pPr>
          </w:p>
        </w:tc>
        <w:tc>
          <w:tcPr>
            <w:tcW w:w="675" w:type="dxa"/>
            <w:tcBorders>
              <w:top w:val="dotted" w:sz="4" w:space="0" w:color="AAABD6"/>
              <w:left w:val="single" w:sz="4" w:space="0" w:color="AAABD6"/>
              <w:bottom w:val="dotted" w:sz="4" w:space="0" w:color="AAABD6"/>
              <w:right w:val="single" w:sz="4" w:space="0" w:color="AAABD6"/>
            </w:tcBorders>
          </w:tcPr>
          <w:p w14:paraId="5E3CC4B7" w14:textId="77777777" w:rsidR="00F02371" w:rsidRPr="00100F0A" w:rsidRDefault="00F02371" w:rsidP="00B179AD">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Vic</w:t>
            </w:r>
          </w:p>
        </w:tc>
        <w:tc>
          <w:tcPr>
            <w:tcW w:w="1418" w:type="dxa"/>
            <w:vMerge/>
            <w:tcBorders>
              <w:left w:val="single" w:sz="4" w:space="0" w:color="AAABD6"/>
              <w:right w:val="single" w:sz="4" w:space="0" w:color="AAABD6"/>
            </w:tcBorders>
          </w:tcPr>
          <w:p w14:paraId="5C5386E8" w14:textId="77777777" w:rsidR="00F02371" w:rsidRPr="00100F0A" w:rsidRDefault="00F02371" w:rsidP="00B179AD">
            <w:pPr>
              <w:cnfStyle w:val="000000000000" w:firstRow="0" w:lastRow="0" w:firstColumn="0" w:lastColumn="0" w:oddVBand="0" w:evenVBand="0" w:oddHBand="0" w:evenHBand="0" w:firstRowFirstColumn="0" w:firstRowLastColumn="0" w:lastRowFirstColumn="0" w:lastRowLastColumn="0"/>
              <w:rPr>
                <w:sz w:val="16"/>
                <w:szCs w:val="16"/>
              </w:rPr>
            </w:pPr>
          </w:p>
        </w:tc>
        <w:tc>
          <w:tcPr>
            <w:tcW w:w="510" w:type="dxa"/>
            <w:vMerge/>
            <w:tcBorders>
              <w:left w:val="single" w:sz="4" w:space="0" w:color="AAABD6"/>
              <w:right w:val="single" w:sz="4" w:space="0" w:color="AAABD6"/>
            </w:tcBorders>
          </w:tcPr>
          <w:p w14:paraId="0B6B57BD" w14:textId="2AF91015"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510" w:type="dxa"/>
            <w:tcBorders>
              <w:top w:val="dotted" w:sz="4" w:space="0" w:color="AAABD6"/>
              <w:left w:val="single" w:sz="4" w:space="0" w:color="AAABD6"/>
              <w:bottom w:val="dotted" w:sz="4" w:space="0" w:color="AAABD6"/>
              <w:right w:val="single" w:sz="4" w:space="0" w:color="AAABD6"/>
            </w:tcBorders>
            <w:vAlign w:val="bottom"/>
          </w:tcPr>
          <w:p w14:paraId="30119EE4"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15</w:t>
            </w:r>
          </w:p>
        </w:tc>
        <w:tc>
          <w:tcPr>
            <w:tcW w:w="510" w:type="dxa"/>
            <w:tcBorders>
              <w:top w:val="dotted" w:sz="4" w:space="0" w:color="AAABD6"/>
              <w:left w:val="single" w:sz="4" w:space="0" w:color="AAABD6"/>
              <w:bottom w:val="dotted" w:sz="4" w:space="0" w:color="AAABD6"/>
              <w:right w:val="single" w:sz="4" w:space="0" w:color="AAABD6"/>
            </w:tcBorders>
            <w:vAlign w:val="bottom"/>
          </w:tcPr>
          <w:p w14:paraId="2F095145"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15</w:t>
            </w:r>
          </w:p>
        </w:tc>
        <w:tc>
          <w:tcPr>
            <w:tcW w:w="680" w:type="dxa"/>
            <w:tcBorders>
              <w:top w:val="dotted" w:sz="4" w:space="0" w:color="AAABD6"/>
              <w:left w:val="single" w:sz="4" w:space="0" w:color="AAABD6"/>
              <w:bottom w:val="dotted" w:sz="4" w:space="0" w:color="AAABD6"/>
              <w:right w:val="single" w:sz="4" w:space="0" w:color="AAABD6"/>
            </w:tcBorders>
            <w:vAlign w:val="bottom"/>
          </w:tcPr>
          <w:p w14:paraId="137F7FA3"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15</w:t>
            </w:r>
          </w:p>
        </w:tc>
        <w:tc>
          <w:tcPr>
            <w:tcW w:w="680" w:type="dxa"/>
            <w:tcBorders>
              <w:top w:val="dotted" w:sz="4" w:space="0" w:color="AAABD6"/>
              <w:left w:val="single" w:sz="4" w:space="0" w:color="AAABD6"/>
              <w:bottom w:val="dotted" w:sz="4" w:space="0" w:color="AAABD6"/>
              <w:right w:val="single" w:sz="4" w:space="0" w:color="AAABD6"/>
            </w:tcBorders>
            <w:vAlign w:val="bottom"/>
          </w:tcPr>
          <w:p w14:paraId="1D505334"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15</w:t>
            </w:r>
          </w:p>
        </w:tc>
        <w:tc>
          <w:tcPr>
            <w:tcW w:w="680" w:type="dxa"/>
            <w:tcBorders>
              <w:top w:val="dotted" w:sz="4" w:space="0" w:color="AAABD6"/>
              <w:left w:val="single" w:sz="4" w:space="0" w:color="AAABD6"/>
              <w:bottom w:val="dotted" w:sz="4" w:space="0" w:color="AAABD6"/>
              <w:right w:val="single" w:sz="4" w:space="0" w:color="AAABD6"/>
            </w:tcBorders>
            <w:vAlign w:val="bottom"/>
          </w:tcPr>
          <w:p w14:paraId="2D94B434"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15</w:t>
            </w:r>
          </w:p>
        </w:tc>
        <w:tc>
          <w:tcPr>
            <w:tcW w:w="680" w:type="dxa"/>
            <w:tcBorders>
              <w:top w:val="dotted" w:sz="4" w:space="0" w:color="AAABD6"/>
              <w:left w:val="single" w:sz="4" w:space="0" w:color="AAABD6"/>
              <w:bottom w:val="dotted" w:sz="4" w:space="0" w:color="AAABD6"/>
              <w:right w:val="single" w:sz="4" w:space="0" w:color="AAABD6"/>
            </w:tcBorders>
            <w:vAlign w:val="bottom"/>
          </w:tcPr>
          <w:p w14:paraId="3CD1FF37"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15</w:t>
            </w:r>
          </w:p>
        </w:tc>
        <w:tc>
          <w:tcPr>
            <w:tcW w:w="680" w:type="dxa"/>
            <w:tcBorders>
              <w:top w:val="dotted" w:sz="4" w:space="0" w:color="AAABD6"/>
              <w:left w:val="single" w:sz="4" w:space="0" w:color="AAABD6"/>
              <w:bottom w:val="dotted" w:sz="4" w:space="0" w:color="AAABD6"/>
              <w:right w:val="single" w:sz="4" w:space="0" w:color="AAABD6"/>
            </w:tcBorders>
            <w:vAlign w:val="bottom"/>
          </w:tcPr>
          <w:p w14:paraId="5F38B007"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15</w:t>
            </w:r>
          </w:p>
        </w:tc>
        <w:tc>
          <w:tcPr>
            <w:tcW w:w="680" w:type="dxa"/>
            <w:tcBorders>
              <w:top w:val="dotted" w:sz="4" w:space="0" w:color="AAABD6"/>
              <w:left w:val="single" w:sz="4" w:space="0" w:color="AAABD6"/>
              <w:bottom w:val="dotted" w:sz="4" w:space="0" w:color="AAABD6"/>
              <w:right w:val="single" w:sz="4" w:space="0" w:color="AAABD6"/>
            </w:tcBorders>
            <w:vAlign w:val="bottom"/>
          </w:tcPr>
          <w:p w14:paraId="1CC5EE96"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15</w:t>
            </w:r>
          </w:p>
        </w:tc>
        <w:tc>
          <w:tcPr>
            <w:tcW w:w="680" w:type="dxa"/>
            <w:tcBorders>
              <w:top w:val="dotted" w:sz="4" w:space="0" w:color="AAABD6"/>
              <w:left w:val="single" w:sz="4" w:space="0" w:color="AAABD6"/>
              <w:bottom w:val="dotted" w:sz="4" w:space="0" w:color="AAABD6"/>
              <w:right w:val="single" w:sz="4" w:space="0" w:color="AAABD6"/>
            </w:tcBorders>
            <w:vAlign w:val="bottom"/>
          </w:tcPr>
          <w:p w14:paraId="705EB580"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15</w:t>
            </w:r>
          </w:p>
        </w:tc>
        <w:tc>
          <w:tcPr>
            <w:tcW w:w="680" w:type="dxa"/>
            <w:tcBorders>
              <w:top w:val="dotted" w:sz="4" w:space="0" w:color="AAABD6"/>
              <w:left w:val="single" w:sz="4" w:space="0" w:color="AAABD6"/>
              <w:bottom w:val="dotted" w:sz="4" w:space="0" w:color="AAABD6"/>
              <w:right w:val="single" w:sz="4" w:space="0" w:color="AAABD6"/>
            </w:tcBorders>
            <w:vAlign w:val="bottom"/>
          </w:tcPr>
          <w:p w14:paraId="7C65D480"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15</w:t>
            </w:r>
          </w:p>
        </w:tc>
        <w:tc>
          <w:tcPr>
            <w:tcW w:w="680" w:type="dxa"/>
            <w:tcBorders>
              <w:top w:val="dotted" w:sz="4" w:space="0" w:color="AAABD6"/>
              <w:left w:val="single" w:sz="4" w:space="0" w:color="AAABD6"/>
              <w:bottom w:val="dotted" w:sz="4" w:space="0" w:color="AAABD6"/>
              <w:right w:val="single" w:sz="4" w:space="0" w:color="AAABD6"/>
            </w:tcBorders>
            <w:vAlign w:val="bottom"/>
          </w:tcPr>
          <w:p w14:paraId="69962D01"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15</w:t>
            </w:r>
          </w:p>
        </w:tc>
        <w:tc>
          <w:tcPr>
            <w:tcW w:w="680" w:type="dxa"/>
            <w:tcBorders>
              <w:top w:val="dotted" w:sz="4" w:space="0" w:color="AAABD6"/>
              <w:left w:val="single" w:sz="4" w:space="0" w:color="AAABD6"/>
              <w:bottom w:val="dotted" w:sz="4" w:space="0" w:color="AAABD6"/>
              <w:right w:val="single" w:sz="4" w:space="0" w:color="AAABD6"/>
            </w:tcBorders>
            <w:vAlign w:val="bottom"/>
          </w:tcPr>
          <w:p w14:paraId="41497EF7"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15</w:t>
            </w:r>
          </w:p>
        </w:tc>
        <w:tc>
          <w:tcPr>
            <w:tcW w:w="680" w:type="dxa"/>
            <w:tcBorders>
              <w:top w:val="dotted" w:sz="4" w:space="0" w:color="AAABD6"/>
              <w:left w:val="single" w:sz="4" w:space="0" w:color="AAABD6"/>
              <w:bottom w:val="dotted" w:sz="4" w:space="0" w:color="AAABD6"/>
              <w:right w:val="single" w:sz="4" w:space="0" w:color="AAABD6"/>
            </w:tcBorders>
            <w:vAlign w:val="bottom"/>
          </w:tcPr>
          <w:p w14:paraId="3B98B062"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15</w:t>
            </w:r>
          </w:p>
        </w:tc>
        <w:tc>
          <w:tcPr>
            <w:tcW w:w="680" w:type="dxa"/>
            <w:tcBorders>
              <w:top w:val="dotted" w:sz="4" w:space="0" w:color="AAABD6"/>
              <w:left w:val="single" w:sz="4" w:space="0" w:color="AAABD6"/>
              <w:bottom w:val="dotted" w:sz="4" w:space="0" w:color="AAABD6"/>
              <w:right w:val="single" w:sz="4" w:space="0" w:color="AAABD6"/>
            </w:tcBorders>
          </w:tcPr>
          <w:p w14:paraId="6BB37398"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5E667FCF"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1D421021"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0A7172FF"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3D554C2C"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0C57FBEB"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dotted" w:sz="4" w:space="0" w:color="AAABD6"/>
              <w:right w:val="single" w:sz="4" w:space="0" w:color="AAABD6"/>
            </w:tcBorders>
          </w:tcPr>
          <w:p w14:paraId="2668283C"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r>
      <w:tr w:rsidR="00F02371" w:rsidRPr="00100F0A" w14:paraId="37F2BF7E" w14:textId="77777777" w:rsidTr="00F02371">
        <w:trPr>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single" w:sz="4" w:space="0" w:color="AAABD6"/>
              <w:bottom w:val="single" w:sz="4" w:space="0" w:color="AAABD6"/>
              <w:right w:val="single" w:sz="4" w:space="0" w:color="AAABD6"/>
            </w:tcBorders>
          </w:tcPr>
          <w:p w14:paraId="135C7843" w14:textId="77777777" w:rsidR="00F02371" w:rsidRPr="00100F0A" w:rsidRDefault="00F02371" w:rsidP="00B179AD">
            <w:pPr>
              <w:rPr>
                <w:sz w:val="16"/>
                <w:szCs w:val="16"/>
              </w:rPr>
            </w:pPr>
          </w:p>
        </w:tc>
        <w:tc>
          <w:tcPr>
            <w:tcW w:w="675" w:type="dxa"/>
            <w:tcBorders>
              <w:top w:val="dotted" w:sz="4" w:space="0" w:color="AAABD6"/>
              <w:left w:val="single" w:sz="4" w:space="0" w:color="AAABD6"/>
              <w:bottom w:val="single" w:sz="4" w:space="0" w:color="AAABD6"/>
              <w:right w:val="single" w:sz="4" w:space="0" w:color="AAABD6"/>
            </w:tcBorders>
          </w:tcPr>
          <w:p w14:paraId="5D7E6BC5" w14:textId="77777777" w:rsidR="00F02371" w:rsidRPr="00100F0A" w:rsidRDefault="00F02371" w:rsidP="00B179AD">
            <w:pPr>
              <w:cnfStyle w:val="000000000000" w:firstRow="0" w:lastRow="0" w:firstColumn="0" w:lastColumn="0" w:oddVBand="0" w:evenVBand="0" w:oddHBand="0" w:evenHBand="0" w:firstRowFirstColumn="0" w:firstRowLastColumn="0" w:lastRowFirstColumn="0" w:lastRowLastColumn="0"/>
              <w:rPr>
                <w:sz w:val="16"/>
                <w:szCs w:val="16"/>
              </w:rPr>
            </w:pPr>
            <w:r w:rsidRPr="00100F0A">
              <w:rPr>
                <w:sz w:val="16"/>
                <w:szCs w:val="16"/>
              </w:rPr>
              <w:t>WA</w:t>
            </w:r>
          </w:p>
        </w:tc>
        <w:tc>
          <w:tcPr>
            <w:tcW w:w="1418" w:type="dxa"/>
            <w:vMerge/>
            <w:tcBorders>
              <w:left w:val="single" w:sz="4" w:space="0" w:color="AAABD6"/>
              <w:bottom w:val="single" w:sz="4" w:space="0" w:color="AAABD6"/>
              <w:right w:val="single" w:sz="4" w:space="0" w:color="AAABD6"/>
            </w:tcBorders>
          </w:tcPr>
          <w:p w14:paraId="55F93EB4" w14:textId="77777777" w:rsidR="00F02371" w:rsidRPr="00100F0A" w:rsidRDefault="00F02371" w:rsidP="00B179AD">
            <w:pPr>
              <w:cnfStyle w:val="000000000000" w:firstRow="0" w:lastRow="0" w:firstColumn="0" w:lastColumn="0" w:oddVBand="0" w:evenVBand="0" w:oddHBand="0" w:evenHBand="0" w:firstRowFirstColumn="0" w:firstRowLastColumn="0" w:lastRowFirstColumn="0" w:lastRowLastColumn="0"/>
              <w:rPr>
                <w:sz w:val="16"/>
                <w:szCs w:val="16"/>
              </w:rPr>
            </w:pPr>
          </w:p>
        </w:tc>
        <w:tc>
          <w:tcPr>
            <w:tcW w:w="510" w:type="dxa"/>
            <w:vMerge/>
            <w:tcBorders>
              <w:left w:val="single" w:sz="4" w:space="0" w:color="AAABD6"/>
              <w:bottom w:val="single" w:sz="4" w:space="0" w:color="AAABD6"/>
              <w:right w:val="single" w:sz="4" w:space="0" w:color="AAABD6"/>
            </w:tcBorders>
          </w:tcPr>
          <w:p w14:paraId="55E76CEF" w14:textId="6FABDE14"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510" w:type="dxa"/>
            <w:tcBorders>
              <w:top w:val="dotted" w:sz="4" w:space="0" w:color="AAABD6"/>
              <w:left w:val="single" w:sz="4" w:space="0" w:color="AAABD6"/>
              <w:bottom w:val="single" w:sz="4" w:space="0" w:color="AAABD6"/>
              <w:right w:val="single" w:sz="4" w:space="0" w:color="AAABD6"/>
            </w:tcBorders>
            <w:vAlign w:val="bottom"/>
          </w:tcPr>
          <w:p w14:paraId="2A4AFC18"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7</w:t>
            </w:r>
          </w:p>
        </w:tc>
        <w:tc>
          <w:tcPr>
            <w:tcW w:w="510" w:type="dxa"/>
            <w:tcBorders>
              <w:top w:val="dotted" w:sz="4" w:space="0" w:color="AAABD6"/>
              <w:left w:val="single" w:sz="4" w:space="0" w:color="AAABD6"/>
              <w:bottom w:val="single" w:sz="4" w:space="0" w:color="AAABD6"/>
              <w:right w:val="single" w:sz="4" w:space="0" w:color="AAABD6"/>
            </w:tcBorders>
            <w:vAlign w:val="bottom"/>
          </w:tcPr>
          <w:p w14:paraId="19B5F472"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7</w:t>
            </w:r>
          </w:p>
        </w:tc>
        <w:tc>
          <w:tcPr>
            <w:tcW w:w="680" w:type="dxa"/>
            <w:tcBorders>
              <w:top w:val="dotted" w:sz="4" w:space="0" w:color="AAABD6"/>
              <w:left w:val="single" w:sz="4" w:space="0" w:color="AAABD6"/>
              <w:bottom w:val="single" w:sz="4" w:space="0" w:color="AAABD6"/>
              <w:right w:val="single" w:sz="4" w:space="0" w:color="AAABD6"/>
            </w:tcBorders>
            <w:vAlign w:val="bottom"/>
          </w:tcPr>
          <w:p w14:paraId="746F7714"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7</w:t>
            </w:r>
          </w:p>
        </w:tc>
        <w:tc>
          <w:tcPr>
            <w:tcW w:w="680" w:type="dxa"/>
            <w:tcBorders>
              <w:top w:val="dotted" w:sz="4" w:space="0" w:color="AAABD6"/>
              <w:left w:val="single" w:sz="4" w:space="0" w:color="AAABD6"/>
              <w:bottom w:val="single" w:sz="4" w:space="0" w:color="AAABD6"/>
              <w:right w:val="single" w:sz="4" w:space="0" w:color="AAABD6"/>
            </w:tcBorders>
            <w:vAlign w:val="bottom"/>
          </w:tcPr>
          <w:p w14:paraId="733826E9"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7</w:t>
            </w:r>
          </w:p>
        </w:tc>
        <w:tc>
          <w:tcPr>
            <w:tcW w:w="680" w:type="dxa"/>
            <w:tcBorders>
              <w:top w:val="dotted" w:sz="4" w:space="0" w:color="AAABD6"/>
              <w:left w:val="single" w:sz="4" w:space="0" w:color="AAABD6"/>
              <w:bottom w:val="single" w:sz="4" w:space="0" w:color="AAABD6"/>
              <w:right w:val="single" w:sz="4" w:space="0" w:color="AAABD6"/>
            </w:tcBorders>
            <w:vAlign w:val="bottom"/>
          </w:tcPr>
          <w:p w14:paraId="4C39A12B"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7</w:t>
            </w:r>
          </w:p>
        </w:tc>
        <w:tc>
          <w:tcPr>
            <w:tcW w:w="680" w:type="dxa"/>
            <w:tcBorders>
              <w:top w:val="dotted" w:sz="4" w:space="0" w:color="AAABD6"/>
              <w:left w:val="single" w:sz="4" w:space="0" w:color="AAABD6"/>
              <w:bottom w:val="single" w:sz="4" w:space="0" w:color="AAABD6"/>
              <w:right w:val="single" w:sz="4" w:space="0" w:color="AAABD6"/>
            </w:tcBorders>
            <w:vAlign w:val="bottom"/>
          </w:tcPr>
          <w:p w14:paraId="59E8D772"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7</w:t>
            </w:r>
          </w:p>
        </w:tc>
        <w:tc>
          <w:tcPr>
            <w:tcW w:w="680" w:type="dxa"/>
            <w:tcBorders>
              <w:top w:val="dotted" w:sz="4" w:space="0" w:color="AAABD6"/>
              <w:left w:val="single" w:sz="4" w:space="0" w:color="AAABD6"/>
              <w:bottom w:val="single" w:sz="4" w:space="0" w:color="AAABD6"/>
              <w:right w:val="single" w:sz="4" w:space="0" w:color="AAABD6"/>
            </w:tcBorders>
            <w:vAlign w:val="bottom"/>
          </w:tcPr>
          <w:p w14:paraId="549E0EAC"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7</w:t>
            </w:r>
          </w:p>
        </w:tc>
        <w:tc>
          <w:tcPr>
            <w:tcW w:w="680" w:type="dxa"/>
            <w:tcBorders>
              <w:top w:val="dotted" w:sz="4" w:space="0" w:color="AAABD6"/>
              <w:left w:val="single" w:sz="4" w:space="0" w:color="AAABD6"/>
              <w:bottom w:val="single" w:sz="4" w:space="0" w:color="AAABD6"/>
              <w:right w:val="single" w:sz="4" w:space="0" w:color="AAABD6"/>
            </w:tcBorders>
            <w:vAlign w:val="bottom"/>
          </w:tcPr>
          <w:p w14:paraId="4EA5C9A8"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7</w:t>
            </w:r>
          </w:p>
        </w:tc>
        <w:tc>
          <w:tcPr>
            <w:tcW w:w="680" w:type="dxa"/>
            <w:tcBorders>
              <w:top w:val="dotted" w:sz="4" w:space="0" w:color="AAABD6"/>
              <w:left w:val="single" w:sz="4" w:space="0" w:color="AAABD6"/>
              <w:bottom w:val="single" w:sz="4" w:space="0" w:color="AAABD6"/>
              <w:right w:val="single" w:sz="4" w:space="0" w:color="AAABD6"/>
            </w:tcBorders>
            <w:vAlign w:val="bottom"/>
          </w:tcPr>
          <w:p w14:paraId="4935FE75"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7</w:t>
            </w:r>
          </w:p>
        </w:tc>
        <w:tc>
          <w:tcPr>
            <w:tcW w:w="680" w:type="dxa"/>
            <w:tcBorders>
              <w:top w:val="dotted" w:sz="4" w:space="0" w:color="AAABD6"/>
              <w:left w:val="single" w:sz="4" w:space="0" w:color="AAABD6"/>
              <w:bottom w:val="single" w:sz="4" w:space="0" w:color="AAABD6"/>
              <w:right w:val="single" w:sz="4" w:space="0" w:color="AAABD6"/>
            </w:tcBorders>
            <w:vAlign w:val="bottom"/>
          </w:tcPr>
          <w:p w14:paraId="376FB2D5"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7</w:t>
            </w:r>
          </w:p>
        </w:tc>
        <w:tc>
          <w:tcPr>
            <w:tcW w:w="680" w:type="dxa"/>
            <w:tcBorders>
              <w:top w:val="dotted" w:sz="4" w:space="0" w:color="AAABD6"/>
              <w:left w:val="single" w:sz="4" w:space="0" w:color="AAABD6"/>
              <w:bottom w:val="single" w:sz="4" w:space="0" w:color="AAABD6"/>
              <w:right w:val="single" w:sz="4" w:space="0" w:color="AAABD6"/>
            </w:tcBorders>
            <w:vAlign w:val="bottom"/>
          </w:tcPr>
          <w:p w14:paraId="532C7789"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7</w:t>
            </w:r>
          </w:p>
        </w:tc>
        <w:tc>
          <w:tcPr>
            <w:tcW w:w="680" w:type="dxa"/>
            <w:tcBorders>
              <w:top w:val="dotted" w:sz="4" w:space="0" w:color="AAABD6"/>
              <w:left w:val="single" w:sz="4" w:space="0" w:color="AAABD6"/>
              <w:bottom w:val="single" w:sz="4" w:space="0" w:color="AAABD6"/>
              <w:right w:val="single" w:sz="4" w:space="0" w:color="AAABD6"/>
            </w:tcBorders>
            <w:vAlign w:val="bottom"/>
          </w:tcPr>
          <w:p w14:paraId="6BF29AA8"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7</w:t>
            </w:r>
          </w:p>
        </w:tc>
        <w:tc>
          <w:tcPr>
            <w:tcW w:w="680" w:type="dxa"/>
            <w:tcBorders>
              <w:top w:val="dotted" w:sz="4" w:space="0" w:color="AAABD6"/>
              <w:left w:val="single" w:sz="4" w:space="0" w:color="AAABD6"/>
              <w:bottom w:val="single" w:sz="4" w:space="0" w:color="AAABD6"/>
              <w:right w:val="single" w:sz="4" w:space="0" w:color="AAABD6"/>
            </w:tcBorders>
            <w:vAlign w:val="bottom"/>
          </w:tcPr>
          <w:p w14:paraId="552421B5"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7</w:t>
            </w:r>
          </w:p>
        </w:tc>
        <w:tc>
          <w:tcPr>
            <w:tcW w:w="680" w:type="dxa"/>
            <w:tcBorders>
              <w:top w:val="dotted" w:sz="4" w:space="0" w:color="AAABD6"/>
              <w:left w:val="single" w:sz="4" w:space="0" w:color="AAABD6"/>
              <w:bottom w:val="single" w:sz="4" w:space="0" w:color="AAABD6"/>
              <w:right w:val="single" w:sz="4" w:space="0" w:color="AAABD6"/>
            </w:tcBorders>
          </w:tcPr>
          <w:p w14:paraId="662DEE33"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single" w:sz="4" w:space="0" w:color="AAABD6"/>
              <w:right w:val="single" w:sz="4" w:space="0" w:color="AAABD6"/>
            </w:tcBorders>
          </w:tcPr>
          <w:p w14:paraId="0B180561"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single" w:sz="4" w:space="0" w:color="AAABD6"/>
              <w:right w:val="single" w:sz="4" w:space="0" w:color="AAABD6"/>
            </w:tcBorders>
          </w:tcPr>
          <w:p w14:paraId="33930E77"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single" w:sz="4" w:space="0" w:color="AAABD6"/>
              <w:right w:val="single" w:sz="4" w:space="0" w:color="AAABD6"/>
            </w:tcBorders>
          </w:tcPr>
          <w:p w14:paraId="2B9EB5DC"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single" w:sz="4" w:space="0" w:color="AAABD6"/>
              <w:right w:val="single" w:sz="4" w:space="0" w:color="AAABD6"/>
            </w:tcBorders>
          </w:tcPr>
          <w:p w14:paraId="02B38F78"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single" w:sz="4" w:space="0" w:color="AAABD6"/>
              <w:right w:val="single" w:sz="4" w:space="0" w:color="AAABD6"/>
            </w:tcBorders>
          </w:tcPr>
          <w:p w14:paraId="3D939A34"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c>
          <w:tcPr>
            <w:tcW w:w="680" w:type="dxa"/>
            <w:tcBorders>
              <w:top w:val="dotted" w:sz="4" w:space="0" w:color="AAABD6"/>
              <w:left w:val="single" w:sz="4" w:space="0" w:color="AAABD6"/>
              <w:bottom w:val="single" w:sz="4" w:space="0" w:color="AAABD6"/>
              <w:right w:val="single" w:sz="4" w:space="0" w:color="AAABD6"/>
            </w:tcBorders>
          </w:tcPr>
          <w:p w14:paraId="628F8BCA" w14:textId="77777777" w:rsidR="00F02371" w:rsidRPr="00100F0A" w:rsidRDefault="00F02371" w:rsidP="00B179AD">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00F0A">
              <w:rPr>
                <w:rFonts w:cs="Calibri"/>
                <w:color w:val="000000" w:themeColor="text1"/>
                <w:sz w:val="16"/>
                <w:szCs w:val="16"/>
              </w:rPr>
              <w:t>0</w:t>
            </w:r>
          </w:p>
        </w:tc>
      </w:tr>
    </w:tbl>
    <w:p w14:paraId="76A908F5" w14:textId="77777777" w:rsidR="00CA1033" w:rsidRPr="00100F0A" w:rsidRDefault="00CA1033" w:rsidP="00CA1033">
      <w:pPr>
        <w:rPr>
          <w:color w:val="080808"/>
        </w:rPr>
      </w:pPr>
    </w:p>
    <w:p w14:paraId="4DC98415" w14:textId="77777777" w:rsidR="00CA1033" w:rsidRPr="00100F0A" w:rsidRDefault="00CA1033" w:rsidP="00CA1033">
      <w:pPr>
        <w:rPr>
          <w:color w:val="080808"/>
        </w:rPr>
        <w:sectPr w:rsidR="00CA1033" w:rsidRPr="00100F0A" w:rsidSect="002169F6">
          <w:pgSz w:w="16840" w:h="11907" w:orient="landscape" w:code="9"/>
          <w:pgMar w:top="1077" w:right="1440" w:bottom="1797" w:left="1440" w:header="709" w:footer="709" w:gutter="0"/>
          <w:cols w:space="708"/>
          <w:docGrid w:linePitch="360"/>
        </w:sectPr>
      </w:pPr>
    </w:p>
    <w:p w14:paraId="46DCF4D1" w14:textId="6ECB8599" w:rsidR="00CA1033" w:rsidRPr="00100F0A" w:rsidRDefault="00CA1033" w:rsidP="00CA1033">
      <w:pPr>
        <w:pStyle w:val="Caption"/>
      </w:pPr>
      <w:bookmarkStart w:id="230" w:name="_Toc13225600"/>
      <w:r w:rsidRPr="00100F0A">
        <w:t xml:space="preserve">Figure </w:t>
      </w:r>
      <w:r w:rsidRPr="00100F0A">
        <w:rPr>
          <w:noProof/>
        </w:rPr>
        <w:fldChar w:fldCharType="begin"/>
      </w:r>
      <w:r w:rsidRPr="00100F0A">
        <w:rPr>
          <w:noProof/>
        </w:rPr>
        <w:instrText xml:space="preserve"> SEQ Figure \* ARABIC </w:instrText>
      </w:r>
      <w:r w:rsidRPr="00100F0A">
        <w:rPr>
          <w:noProof/>
        </w:rPr>
        <w:fldChar w:fldCharType="separate"/>
      </w:r>
      <w:r w:rsidR="00EB634D">
        <w:rPr>
          <w:noProof/>
        </w:rPr>
        <w:t>27</w:t>
      </w:r>
      <w:r w:rsidRPr="00100F0A">
        <w:rPr>
          <w:noProof/>
        </w:rPr>
        <w:fldChar w:fldCharType="end"/>
      </w:r>
      <w:r w:rsidR="00AD2F76">
        <w:rPr>
          <w:noProof/>
        </w:rPr>
        <w:t>:</w:t>
      </w:r>
      <w:r w:rsidRPr="00100F0A">
        <w:tab/>
        <w:t>Best, high and low national projection estimates of AFFF concentrates waste to 2037</w:t>
      </w:r>
      <w:bookmarkEnd w:id="230"/>
    </w:p>
    <w:p w14:paraId="4CB1660D" w14:textId="5548AE12" w:rsidR="002169F6" w:rsidRPr="00100F0A" w:rsidRDefault="00CA1033" w:rsidP="002169F6">
      <w:pPr>
        <w:rPr>
          <w:color w:val="080808"/>
        </w:rPr>
      </w:pPr>
      <w:r w:rsidRPr="00100F0A">
        <w:rPr>
          <w:noProof/>
          <w:lang w:eastAsia="en-AU"/>
        </w:rPr>
        <w:drawing>
          <wp:inline distT="0" distB="0" distL="0" distR="0" wp14:anchorId="604AC4B3" wp14:editId="1DC99DFA">
            <wp:extent cx="5735955" cy="1949450"/>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5955" cy="1949450"/>
                    </a:xfrm>
                    <a:prstGeom prst="rect">
                      <a:avLst/>
                    </a:prstGeom>
                  </pic:spPr>
                </pic:pic>
              </a:graphicData>
            </a:graphic>
          </wp:inline>
        </w:drawing>
      </w:r>
    </w:p>
    <w:p w14:paraId="0D42BEA9" w14:textId="3F740501" w:rsidR="001968C3" w:rsidRPr="00100F0A" w:rsidRDefault="001968C3" w:rsidP="002169F6">
      <w:pPr>
        <w:pStyle w:val="BodyText"/>
      </w:pPr>
    </w:p>
    <w:p w14:paraId="46364987" w14:textId="7733298B" w:rsidR="00601CB2" w:rsidRPr="00100F0A" w:rsidRDefault="00601CB2" w:rsidP="00AD35BF">
      <w:pPr>
        <w:pStyle w:val="Heading3"/>
      </w:pPr>
      <w:r w:rsidRPr="00100F0A">
        <w:t>Other M Other organic chemicals</w:t>
      </w:r>
    </w:p>
    <w:p w14:paraId="2BAF9623" w14:textId="3854040A" w:rsidR="00601CB2" w:rsidRPr="00100F0A" w:rsidRDefault="00601CB2" w:rsidP="00601CB2">
      <w:pPr>
        <w:rPr>
          <w:color w:val="080808"/>
        </w:rPr>
      </w:pPr>
      <w:r w:rsidRPr="00100F0A">
        <w:rPr>
          <w:color w:val="080808"/>
        </w:rPr>
        <w:t xml:space="preserve">This waste group includes the broad catch-all of the following NEPM codes: </w:t>
      </w:r>
    </w:p>
    <w:p w14:paraId="772D8AC8" w14:textId="77777777" w:rsidR="00601CB2" w:rsidRPr="00100F0A" w:rsidRDefault="00601CB2" w:rsidP="00E96D3C">
      <w:pPr>
        <w:pStyle w:val="ListParagraph"/>
        <w:numPr>
          <w:ilvl w:val="0"/>
          <w:numId w:val="26"/>
        </w:numPr>
        <w:spacing w:before="80"/>
        <w:ind w:left="426"/>
        <w:rPr>
          <w:i/>
        </w:rPr>
      </w:pPr>
      <w:r w:rsidRPr="00100F0A">
        <w:rPr>
          <w:i/>
        </w:rPr>
        <w:t>M150 phenols, phenol compounds including chlorophenols</w:t>
      </w:r>
    </w:p>
    <w:p w14:paraId="0370CDE9" w14:textId="70ED40F3" w:rsidR="00601CB2" w:rsidRPr="00100F0A" w:rsidRDefault="00CE642C" w:rsidP="00E96D3C">
      <w:pPr>
        <w:pStyle w:val="ListParagraph"/>
        <w:numPr>
          <w:ilvl w:val="0"/>
          <w:numId w:val="26"/>
        </w:numPr>
        <w:spacing w:before="80"/>
        <w:ind w:left="426"/>
        <w:rPr>
          <w:i/>
        </w:rPr>
      </w:pPr>
      <w:r w:rsidRPr="00100F0A">
        <w:rPr>
          <w:i/>
        </w:rPr>
        <w:t>M170 &amp; M18</w:t>
      </w:r>
      <w:r w:rsidR="00601CB2" w:rsidRPr="00100F0A">
        <w:rPr>
          <w:i/>
        </w:rPr>
        <w:t>0 polychlorinated dibenzo-furan and polychlorinated dibenzo-p-dioxin, respectively</w:t>
      </w:r>
    </w:p>
    <w:p w14:paraId="199811A7" w14:textId="77777777" w:rsidR="00601CB2" w:rsidRPr="00100F0A" w:rsidRDefault="00601CB2" w:rsidP="00E96D3C">
      <w:pPr>
        <w:pStyle w:val="ListParagraph"/>
        <w:numPr>
          <w:ilvl w:val="0"/>
          <w:numId w:val="26"/>
        </w:numPr>
        <w:spacing w:before="80"/>
        <w:ind w:left="426"/>
        <w:rPr>
          <w:i/>
        </w:rPr>
      </w:pPr>
      <w:r w:rsidRPr="00100F0A">
        <w:rPr>
          <w:i/>
        </w:rPr>
        <w:t>M210 cyanides (organic)</w:t>
      </w:r>
    </w:p>
    <w:p w14:paraId="79E9FB5F" w14:textId="77777777" w:rsidR="00601CB2" w:rsidRPr="00100F0A" w:rsidRDefault="00601CB2" w:rsidP="00E96D3C">
      <w:pPr>
        <w:pStyle w:val="ListParagraph"/>
        <w:numPr>
          <w:ilvl w:val="0"/>
          <w:numId w:val="26"/>
        </w:numPr>
        <w:spacing w:before="80"/>
        <w:ind w:left="426"/>
        <w:rPr>
          <w:i/>
        </w:rPr>
      </w:pPr>
      <w:r w:rsidRPr="00100F0A">
        <w:rPr>
          <w:i/>
        </w:rPr>
        <w:t>M220 isocyanate compounds</w:t>
      </w:r>
    </w:p>
    <w:p w14:paraId="205D6533" w14:textId="77777777" w:rsidR="00601CB2" w:rsidRPr="00100F0A" w:rsidRDefault="00601CB2" w:rsidP="00E96D3C">
      <w:pPr>
        <w:pStyle w:val="ListParagraph"/>
        <w:numPr>
          <w:ilvl w:val="0"/>
          <w:numId w:val="26"/>
        </w:numPr>
        <w:spacing w:before="80"/>
        <w:ind w:left="426"/>
        <w:rPr>
          <w:i/>
        </w:rPr>
      </w:pPr>
      <w:r w:rsidRPr="00100F0A">
        <w:rPr>
          <w:i/>
        </w:rPr>
        <w:t>M230 triethylamine catalysts for setting foundry sands</w:t>
      </w:r>
    </w:p>
    <w:p w14:paraId="3A000868" w14:textId="77777777" w:rsidR="00601CB2" w:rsidRPr="00100F0A" w:rsidRDefault="00601CB2" w:rsidP="00E96D3C">
      <w:pPr>
        <w:pStyle w:val="ListParagraph"/>
        <w:numPr>
          <w:ilvl w:val="0"/>
          <w:numId w:val="26"/>
        </w:numPr>
        <w:spacing w:before="80"/>
        <w:ind w:left="426"/>
        <w:rPr>
          <w:i/>
        </w:rPr>
      </w:pPr>
      <w:r w:rsidRPr="00100F0A">
        <w:rPr>
          <w:i/>
        </w:rPr>
        <w:t>M250 surface active agents (surfactants) containing principally organic constituents</w:t>
      </w:r>
    </w:p>
    <w:p w14:paraId="2E4F3E12" w14:textId="4262FA4F" w:rsidR="00601CB2" w:rsidRPr="00100F0A" w:rsidRDefault="00601CB2" w:rsidP="00E96D3C">
      <w:pPr>
        <w:pStyle w:val="ListParagraph"/>
        <w:numPr>
          <w:ilvl w:val="0"/>
          <w:numId w:val="26"/>
        </w:numPr>
        <w:spacing w:before="80"/>
        <w:ind w:left="426"/>
        <w:rPr>
          <w:i/>
        </w:rPr>
      </w:pPr>
      <w:r w:rsidRPr="00100F0A">
        <w:rPr>
          <w:i/>
        </w:rPr>
        <w:t>M260 highly odorous organic chemicals (including mercaptans and acrylates).</w:t>
      </w:r>
    </w:p>
    <w:p w14:paraId="54E6E109" w14:textId="37E107B1" w:rsidR="00CE642C" w:rsidRPr="00100F0A" w:rsidRDefault="00CE642C" w:rsidP="00CE642C"/>
    <w:p w14:paraId="1DAD68A9" w14:textId="77777777" w:rsidR="00F02371" w:rsidRDefault="00CE642C" w:rsidP="00CE642C">
      <w:r w:rsidRPr="00100F0A">
        <w:t>Two waste codes have been split out of Other M since the 2015 edition of this report:</w:t>
      </w:r>
    </w:p>
    <w:p w14:paraId="0670F3CD" w14:textId="0A5D9555" w:rsidR="00CE642C" w:rsidRPr="00100F0A" w:rsidRDefault="00CE642C" w:rsidP="004206B0">
      <w:pPr>
        <w:pStyle w:val="Bullet1"/>
      </w:pPr>
      <w:r w:rsidRPr="00100F0A">
        <w:t>M100 PCBs and M160 organohalogens, due to their own unique characteristics and regulatory interest.</w:t>
      </w:r>
    </w:p>
    <w:p w14:paraId="17292F35" w14:textId="7BF902FE" w:rsidR="00CE642C" w:rsidRPr="00100F0A" w:rsidRDefault="00CE642C" w:rsidP="004206B0">
      <w:pPr>
        <w:pStyle w:val="Bullet1"/>
      </w:pPr>
      <w:r w:rsidRPr="00100F0A">
        <w:t xml:space="preserve">M250 surfactants </w:t>
      </w:r>
      <w:r w:rsidR="00F02371">
        <w:t xml:space="preserve">as it </w:t>
      </w:r>
      <w:r w:rsidRPr="00100F0A">
        <w:t xml:space="preserve">is the dominant </w:t>
      </w:r>
      <w:r w:rsidR="00F02371">
        <w:t xml:space="preserve">waste stream within </w:t>
      </w:r>
      <w:r w:rsidRPr="00100F0A">
        <w:t>Other M by volume.</w:t>
      </w:r>
    </w:p>
    <w:p w14:paraId="16CFAE5C" w14:textId="77777777" w:rsidR="00CE642C" w:rsidRPr="00100F0A" w:rsidRDefault="00CE642C" w:rsidP="00CE642C">
      <w:pPr>
        <w:pStyle w:val="BodyText"/>
      </w:pPr>
    </w:p>
    <w:p w14:paraId="310D0C89" w14:textId="77777777" w:rsidR="00601CB2" w:rsidRPr="00100F0A" w:rsidRDefault="00601CB2" w:rsidP="00931F74">
      <w:pPr>
        <w:pStyle w:val="Heading3-nonumber"/>
      </w:pPr>
      <w:r w:rsidRPr="00100F0A">
        <w:t>Summary analysis</w:t>
      </w:r>
    </w:p>
    <w:tbl>
      <w:tblPr>
        <w:tblStyle w:val="BETable11"/>
        <w:tblW w:w="5000" w:type="pct"/>
        <w:tblInd w:w="0" w:type="dxa"/>
        <w:tblBorders>
          <w:insideH w:val="none" w:sz="0" w:space="0" w:color="auto"/>
          <w:insideV w:val="single" w:sz="4" w:space="0" w:color="E7E6E6" w:themeColor="background2"/>
        </w:tblBorders>
        <w:tblLook w:val="04A0" w:firstRow="1" w:lastRow="0" w:firstColumn="1" w:lastColumn="0" w:noHBand="0" w:noVBand="1"/>
      </w:tblPr>
      <w:tblGrid>
        <w:gridCol w:w="2300"/>
        <w:gridCol w:w="3768"/>
        <w:gridCol w:w="3135"/>
      </w:tblGrid>
      <w:tr w:rsidR="000812AD" w:rsidRPr="00100F0A" w14:paraId="6FBADD9A" w14:textId="77777777" w:rsidTr="00081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left w:val="single" w:sz="4" w:space="0" w:color="AAABD6"/>
              <w:bottom w:val="single" w:sz="4" w:space="0" w:color="AAABD6"/>
            </w:tcBorders>
            <w:shd w:val="clear" w:color="auto" w:fill="AAABD6"/>
          </w:tcPr>
          <w:p w14:paraId="5CA6AEFF" w14:textId="77777777" w:rsidR="000812AD" w:rsidRPr="00100F0A" w:rsidRDefault="000812AD" w:rsidP="002A3A54">
            <w:pPr>
              <w:pStyle w:val="BodyText"/>
              <w:rPr>
                <w:color w:val="FFFFFF" w:themeColor="background1"/>
              </w:rPr>
            </w:pPr>
            <w:r w:rsidRPr="00100F0A">
              <w:rPr>
                <w:color w:val="FFFFFF" w:themeColor="background1"/>
              </w:rPr>
              <w:t>Industry sources</w:t>
            </w:r>
          </w:p>
        </w:tc>
        <w:tc>
          <w:tcPr>
            <w:tcW w:w="2047" w:type="pct"/>
            <w:tcBorders>
              <w:top w:val="nil"/>
              <w:bottom w:val="single" w:sz="4" w:space="0" w:color="AAABD6"/>
            </w:tcBorders>
            <w:shd w:val="clear" w:color="auto" w:fill="AAABD6"/>
          </w:tcPr>
          <w:p w14:paraId="327CEFAE" w14:textId="4A61F5BD" w:rsidR="000812AD" w:rsidRPr="00100F0A" w:rsidRDefault="000812AD"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Considerations</w:t>
            </w:r>
          </w:p>
        </w:tc>
        <w:tc>
          <w:tcPr>
            <w:tcW w:w="1703" w:type="pct"/>
            <w:tcBorders>
              <w:top w:val="nil"/>
              <w:bottom w:val="single" w:sz="4" w:space="0" w:color="AAABD6"/>
              <w:right w:val="single" w:sz="4" w:space="0" w:color="AAABD6"/>
            </w:tcBorders>
            <w:shd w:val="clear" w:color="auto" w:fill="AAABD6"/>
          </w:tcPr>
          <w:p w14:paraId="7E03B81B" w14:textId="77777777" w:rsidR="000812AD" w:rsidRPr="00100F0A" w:rsidRDefault="000812AD"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r>
      <w:tr w:rsidR="000812AD" w:rsidRPr="00100F0A" w14:paraId="4C026DD0" w14:textId="77777777" w:rsidTr="000812AD">
        <w:trPr>
          <w:trHeight w:val="1766"/>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AAABD6"/>
              <w:left w:val="single" w:sz="4" w:space="0" w:color="AAABD6"/>
              <w:bottom w:val="single" w:sz="4" w:space="0" w:color="AAABD6"/>
              <w:right w:val="single" w:sz="4" w:space="0" w:color="AAABD6"/>
            </w:tcBorders>
          </w:tcPr>
          <w:p w14:paraId="4CBD2DF6" w14:textId="48E0D296" w:rsidR="000812AD" w:rsidRPr="00100F0A" w:rsidRDefault="000812AD" w:rsidP="00E96D3C">
            <w:pPr>
              <w:numPr>
                <w:ilvl w:val="0"/>
                <w:numId w:val="19"/>
              </w:numPr>
              <w:spacing w:after="60"/>
              <w:ind w:left="142" w:hanging="144"/>
              <w:rPr>
                <w:color w:val="000000"/>
              </w:rPr>
            </w:pPr>
            <w:r w:rsidRPr="00100F0A">
              <w:rPr>
                <w:color w:val="000000"/>
              </w:rPr>
              <w:t>Soap and detergent manufacturing</w:t>
            </w:r>
          </w:p>
          <w:p w14:paraId="30715BAB" w14:textId="77777777" w:rsidR="000812AD" w:rsidRPr="00100F0A" w:rsidRDefault="000812AD" w:rsidP="00E96D3C">
            <w:pPr>
              <w:numPr>
                <w:ilvl w:val="0"/>
                <w:numId w:val="19"/>
              </w:numPr>
              <w:spacing w:after="60"/>
              <w:ind w:left="142" w:hanging="144"/>
              <w:rPr>
                <w:color w:val="000000"/>
              </w:rPr>
            </w:pPr>
            <w:r w:rsidRPr="00100F0A">
              <w:rPr>
                <w:color w:val="000000"/>
              </w:rPr>
              <w:t>Chemical manufacturing</w:t>
            </w:r>
          </w:p>
          <w:p w14:paraId="10990D36" w14:textId="77777777" w:rsidR="000812AD" w:rsidRPr="00100F0A" w:rsidRDefault="000812AD" w:rsidP="00E96D3C">
            <w:pPr>
              <w:numPr>
                <w:ilvl w:val="0"/>
                <w:numId w:val="19"/>
              </w:numPr>
              <w:spacing w:after="60"/>
              <w:ind w:left="142" w:hanging="144"/>
              <w:rPr>
                <w:color w:val="000000"/>
              </w:rPr>
            </w:pPr>
            <w:r w:rsidRPr="00100F0A">
              <w:rPr>
                <w:color w:val="000000"/>
              </w:rPr>
              <w:t>Various other manufacturing</w:t>
            </w:r>
          </w:p>
          <w:p w14:paraId="5A9C9819" w14:textId="326A709E" w:rsidR="000812AD" w:rsidRPr="00100F0A" w:rsidRDefault="000812AD" w:rsidP="00E96D3C">
            <w:pPr>
              <w:numPr>
                <w:ilvl w:val="0"/>
                <w:numId w:val="19"/>
              </w:numPr>
              <w:spacing w:after="60"/>
              <w:ind w:left="142" w:hanging="144"/>
              <w:rPr>
                <w:color w:val="000000"/>
              </w:rPr>
            </w:pPr>
            <w:r w:rsidRPr="00100F0A">
              <w:rPr>
                <w:color w:val="000000"/>
              </w:rPr>
              <w:t>Airline industry</w:t>
            </w:r>
          </w:p>
        </w:tc>
        <w:tc>
          <w:tcPr>
            <w:tcW w:w="2047" w:type="pct"/>
            <w:tcBorders>
              <w:top w:val="single" w:sz="4" w:space="0" w:color="AAABD6"/>
              <w:left w:val="single" w:sz="4" w:space="0" w:color="AAABD6"/>
              <w:bottom w:val="single" w:sz="4" w:space="0" w:color="AAABD6"/>
              <w:right w:val="single" w:sz="4" w:space="0" w:color="AAABD6"/>
            </w:tcBorders>
          </w:tcPr>
          <w:p w14:paraId="7AB5B3A1" w14:textId="77777777" w:rsidR="000812AD" w:rsidRPr="00100F0A" w:rsidRDefault="000812AD" w:rsidP="002A3A54">
            <w:pPr>
              <w:pStyle w:val="BodyText"/>
              <w:cnfStyle w:val="000000000000" w:firstRow="0" w:lastRow="0" w:firstColumn="0" w:lastColumn="0" w:oddVBand="0" w:evenVBand="0" w:oddHBand="0" w:evenHBand="0" w:firstRowFirstColumn="0" w:firstRowLastColumn="0" w:lastRowFirstColumn="0" w:lastRowLastColumn="0"/>
            </w:pPr>
            <w:r w:rsidRPr="00100F0A">
              <w:t>No sufficiently credible pre-existing projections were identified</w:t>
            </w:r>
          </w:p>
          <w:p w14:paraId="27B922E6" w14:textId="77777777" w:rsidR="000812AD" w:rsidRPr="00100F0A" w:rsidRDefault="000812AD" w:rsidP="000812AD">
            <w:pPr>
              <w:pStyle w:val="BodyText"/>
              <w:cnfStyle w:val="000000000000" w:firstRow="0" w:lastRow="0" w:firstColumn="0" w:lastColumn="0" w:oddVBand="0" w:evenVBand="0" w:oddHBand="0" w:evenHBand="0" w:firstRowFirstColumn="0" w:firstRowLastColumn="0" w:lastRowFirstColumn="0" w:lastRowLastColumn="0"/>
            </w:pPr>
          </w:p>
          <w:p w14:paraId="11966C87" w14:textId="6F70D8BD" w:rsidR="000812AD" w:rsidRPr="00100F0A" w:rsidRDefault="000812AD" w:rsidP="002A3A54">
            <w:pPr>
              <w:pStyle w:val="BodyText"/>
              <w:cnfStyle w:val="000000000000" w:firstRow="0" w:lastRow="0" w:firstColumn="0" w:lastColumn="0" w:oddVBand="0" w:evenVBand="0" w:oddHBand="0" w:evenHBand="0" w:firstRowFirstColumn="0" w:firstRowLastColumn="0" w:lastRowFirstColumn="0" w:lastRowLastColumn="0"/>
            </w:pPr>
            <w:r w:rsidRPr="00100F0A">
              <w:t>Historical data set is not adequate for clear trends to be identified – some decline in NSW, recent growth in Qld and reasonabl</w:t>
            </w:r>
            <w:r w:rsidR="00D157C6">
              <w:t>y</w:t>
            </w:r>
            <w:r w:rsidRPr="00100F0A">
              <w:t xml:space="preserve"> flat for others</w:t>
            </w:r>
          </w:p>
        </w:tc>
        <w:tc>
          <w:tcPr>
            <w:tcW w:w="1703" w:type="pct"/>
            <w:tcBorders>
              <w:top w:val="single" w:sz="4" w:space="0" w:color="AAABD6"/>
              <w:left w:val="single" w:sz="4" w:space="0" w:color="AAABD6"/>
              <w:bottom w:val="single" w:sz="4" w:space="0" w:color="AAABD6"/>
              <w:right w:val="single" w:sz="4" w:space="0" w:color="AAABD6"/>
            </w:tcBorders>
          </w:tcPr>
          <w:p w14:paraId="0A078427" w14:textId="1805FEB9" w:rsidR="000812AD" w:rsidRPr="00100F0A" w:rsidRDefault="000812AD" w:rsidP="000812AD">
            <w:pPr>
              <w:pStyle w:val="BodyText"/>
              <w:cnfStyle w:val="000000000000" w:firstRow="0" w:lastRow="0" w:firstColumn="0" w:lastColumn="0" w:oddVBand="0" w:evenVBand="0" w:oddHBand="0" w:evenHBand="0" w:firstRowFirstColumn="0" w:firstRowLastColumn="0" w:lastRowFirstColumn="0" w:lastRowLastColumn="0"/>
            </w:pPr>
            <w:r w:rsidRPr="00100F0A">
              <w:t>Best: CAGR (-1%) in NSW, modest growth (+1%) in others</w:t>
            </w:r>
          </w:p>
          <w:p w14:paraId="5D658BC8" w14:textId="13976150" w:rsidR="000812AD" w:rsidRPr="00100F0A" w:rsidRDefault="000812AD" w:rsidP="000812AD">
            <w:pPr>
              <w:pStyle w:val="BodyText"/>
              <w:cnfStyle w:val="000000000000" w:firstRow="0" w:lastRow="0" w:firstColumn="0" w:lastColumn="0" w:oddVBand="0" w:evenVBand="0" w:oddHBand="0" w:evenHBand="0" w:firstRowFirstColumn="0" w:firstRowLastColumn="0" w:lastRowFirstColumn="0" w:lastRowLastColumn="0"/>
            </w:pPr>
            <w:r w:rsidRPr="00100F0A">
              <w:t>High: Flat in NSW, economic growth in others</w:t>
            </w:r>
          </w:p>
          <w:p w14:paraId="52CE3635" w14:textId="4610FBC7" w:rsidR="000812AD" w:rsidRPr="00100F0A" w:rsidRDefault="000812AD" w:rsidP="002A3A54">
            <w:pPr>
              <w:pStyle w:val="BodyText"/>
              <w:cnfStyle w:val="000000000000" w:firstRow="0" w:lastRow="0" w:firstColumn="0" w:lastColumn="0" w:oddVBand="0" w:evenVBand="0" w:oddHBand="0" w:evenHBand="0" w:firstRowFirstColumn="0" w:firstRowLastColumn="0" w:lastRowFirstColumn="0" w:lastRowLastColumn="0"/>
            </w:pPr>
            <w:r w:rsidRPr="00100F0A">
              <w:t>Low: More significant decline in NSW, flat in others</w:t>
            </w:r>
          </w:p>
        </w:tc>
      </w:tr>
    </w:tbl>
    <w:p w14:paraId="00460ED0" w14:textId="77777777" w:rsidR="00601CB2" w:rsidRPr="00100F0A" w:rsidRDefault="00601CB2" w:rsidP="00601CB2">
      <w:pPr>
        <w:pStyle w:val="BodyText"/>
      </w:pPr>
    </w:p>
    <w:p w14:paraId="1AB2E8AD" w14:textId="736069A9" w:rsidR="00601CB2" w:rsidRPr="00100F0A" w:rsidRDefault="00601CB2" w:rsidP="00273FA6">
      <w:pPr>
        <w:pStyle w:val="Caption"/>
      </w:pPr>
      <w:bookmarkStart w:id="231" w:name="_Toc425849315"/>
      <w:bookmarkStart w:id="232" w:name="_Toc13225651"/>
      <w:r w:rsidRPr="00100F0A">
        <w:t xml:space="preserve">Table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32</w:t>
      </w:r>
      <w:r w:rsidR="00B404A6" w:rsidRPr="00100F0A">
        <w:rPr>
          <w:noProof/>
        </w:rPr>
        <w:fldChar w:fldCharType="end"/>
      </w:r>
      <w:r w:rsidR="00AD2F76">
        <w:rPr>
          <w:noProof/>
        </w:rPr>
        <w:t>:</w:t>
      </w:r>
      <w:r w:rsidR="00D11FEE" w:rsidRPr="00100F0A">
        <w:tab/>
      </w:r>
      <w:r w:rsidRPr="00100F0A">
        <w:t>Best, high and low projected rates of change for other organic chemical waste to 203</w:t>
      </w:r>
      <w:bookmarkEnd w:id="231"/>
      <w:r w:rsidR="000812AD" w:rsidRPr="00100F0A">
        <w:t>7</w:t>
      </w:r>
      <w:bookmarkEnd w:id="232"/>
    </w:p>
    <w:tbl>
      <w:tblPr>
        <w:tblStyle w:val="BETable1"/>
        <w:tblW w:w="8869" w:type="dxa"/>
        <w:tblInd w:w="62" w:type="dxa"/>
        <w:tblBorders>
          <w:top w:val="single" w:sz="4" w:space="0" w:color="AAABD6"/>
          <w:left w:val="single" w:sz="4" w:space="0" w:color="AAABD6"/>
          <w:bottom w:val="single" w:sz="4" w:space="0" w:color="AAABD6"/>
          <w:right w:val="single" w:sz="4" w:space="0" w:color="AAABD6"/>
          <w:insideH w:val="dotted" w:sz="4" w:space="0" w:color="AAABD6"/>
          <w:insideV w:val="single" w:sz="4" w:space="0" w:color="AAABD6"/>
        </w:tblBorders>
        <w:tblLayout w:type="fixed"/>
        <w:tblLook w:val="04A0" w:firstRow="1" w:lastRow="0" w:firstColumn="1" w:lastColumn="0" w:noHBand="0" w:noVBand="1"/>
      </w:tblPr>
      <w:tblGrid>
        <w:gridCol w:w="709"/>
        <w:gridCol w:w="992"/>
        <w:gridCol w:w="4253"/>
        <w:gridCol w:w="1072"/>
        <w:gridCol w:w="709"/>
        <w:gridCol w:w="1134"/>
      </w:tblGrid>
      <w:tr w:rsidR="000812AD" w:rsidRPr="00100F0A" w14:paraId="4190D04B" w14:textId="77777777" w:rsidTr="00081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AABD6"/>
              <w:bottom w:val="single" w:sz="4" w:space="0" w:color="AAABD6"/>
            </w:tcBorders>
            <w:shd w:val="clear" w:color="auto" w:fill="AAABD6"/>
          </w:tcPr>
          <w:p w14:paraId="5C9507A5" w14:textId="77777777" w:rsidR="000812AD" w:rsidRPr="00100F0A" w:rsidRDefault="000812AD" w:rsidP="002A3A54">
            <w:pPr>
              <w:rPr>
                <w:color w:val="FFFFFF" w:themeColor="background1"/>
              </w:rPr>
            </w:pPr>
          </w:p>
        </w:tc>
        <w:tc>
          <w:tcPr>
            <w:tcW w:w="992" w:type="dxa"/>
            <w:tcBorders>
              <w:top w:val="single" w:sz="4" w:space="0" w:color="AAABD6"/>
              <w:bottom w:val="single" w:sz="4" w:space="0" w:color="AAABD6"/>
            </w:tcBorders>
            <w:shd w:val="clear" w:color="auto" w:fill="AAABD6"/>
          </w:tcPr>
          <w:p w14:paraId="5C532227" w14:textId="77777777" w:rsidR="000812AD" w:rsidRPr="00100F0A" w:rsidRDefault="000812AD" w:rsidP="002A3A5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Applies to</w:t>
            </w:r>
          </w:p>
        </w:tc>
        <w:tc>
          <w:tcPr>
            <w:tcW w:w="4253" w:type="dxa"/>
            <w:tcBorders>
              <w:top w:val="single" w:sz="4" w:space="0" w:color="AAABD6"/>
              <w:bottom w:val="single" w:sz="4" w:space="0" w:color="AAABD6"/>
            </w:tcBorders>
            <w:shd w:val="clear" w:color="auto" w:fill="AAABD6"/>
          </w:tcPr>
          <w:p w14:paraId="7C520A81" w14:textId="77777777" w:rsidR="000812AD" w:rsidRPr="00100F0A" w:rsidRDefault="000812AD" w:rsidP="002A3A5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c>
          <w:tcPr>
            <w:tcW w:w="1072" w:type="dxa"/>
            <w:tcBorders>
              <w:top w:val="single" w:sz="4" w:space="0" w:color="AAABD6"/>
              <w:bottom w:val="single" w:sz="4" w:space="0" w:color="AAABD6"/>
            </w:tcBorders>
            <w:shd w:val="clear" w:color="auto" w:fill="AAABD6"/>
          </w:tcPr>
          <w:p w14:paraId="7269FCFB" w14:textId="46BAE744" w:rsidR="000812AD" w:rsidRPr="00100F0A" w:rsidRDefault="000812AD" w:rsidP="002A3A54">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2018</w:t>
            </w:r>
          </w:p>
        </w:tc>
        <w:tc>
          <w:tcPr>
            <w:tcW w:w="709" w:type="dxa"/>
            <w:tcBorders>
              <w:top w:val="single" w:sz="4" w:space="0" w:color="AAABD6"/>
              <w:bottom w:val="single" w:sz="4" w:space="0" w:color="AAABD6"/>
            </w:tcBorders>
            <w:shd w:val="clear" w:color="auto" w:fill="AAABD6"/>
          </w:tcPr>
          <w:p w14:paraId="671B2EC7" w14:textId="77777777" w:rsidR="000812AD" w:rsidRPr="00100F0A" w:rsidRDefault="000812AD" w:rsidP="002A3A54">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w:t>
            </w:r>
          </w:p>
        </w:tc>
        <w:tc>
          <w:tcPr>
            <w:tcW w:w="1134" w:type="dxa"/>
            <w:tcBorders>
              <w:top w:val="single" w:sz="4" w:space="0" w:color="AAABD6"/>
              <w:bottom w:val="single" w:sz="4" w:space="0" w:color="AAABD6"/>
            </w:tcBorders>
            <w:shd w:val="clear" w:color="auto" w:fill="AAABD6"/>
          </w:tcPr>
          <w:p w14:paraId="2E605B06" w14:textId="25455EC9" w:rsidR="000812AD" w:rsidRPr="00100F0A" w:rsidRDefault="000812AD" w:rsidP="002A3A54">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2037</w:t>
            </w:r>
          </w:p>
        </w:tc>
      </w:tr>
      <w:tr w:rsidR="000812AD" w:rsidRPr="00100F0A" w14:paraId="4A7A5661" w14:textId="77777777" w:rsidTr="000812AD">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AABD6"/>
            </w:tcBorders>
          </w:tcPr>
          <w:p w14:paraId="6B93A24A" w14:textId="77777777" w:rsidR="000812AD" w:rsidRPr="00100F0A" w:rsidRDefault="000812AD" w:rsidP="000812AD">
            <w:r w:rsidRPr="00100F0A">
              <w:t>Best</w:t>
            </w:r>
          </w:p>
        </w:tc>
        <w:tc>
          <w:tcPr>
            <w:tcW w:w="992" w:type="dxa"/>
            <w:vMerge w:val="restart"/>
            <w:tcBorders>
              <w:top w:val="single" w:sz="4" w:space="0" w:color="AAABD6"/>
            </w:tcBorders>
            <w:vAlign w:val="center"/>
          </w:tcPr>
          <w:p w14:paraId="19C5D0F2" w14:textId="6F1EF34E" w:rsidR="000812AD" w:rsidRPr="00100F0A" w:rsidRDefault="000812AD" w:rsidP="000812AD">
            <w:pPr>
              <w:cnfStyle w:val="000000000000" w:firstRow="0" w:lastRow="0" w:firstColumn="0" w:lastColumn="0" w:oddVBand="0" w:evenVBand="0" w:oddHBand="0" w:evenHBand="0" w:firstRowFirstColumn="0" w:firstRowLastColumn="0" w:lastRowFirstColumn="0" w:lastRowLastColumn="0"/>
            </w:pPr>
            <w:r w:rsidRPr="00100F0A">
              <w:t>ACT, NSW, NT, Qld, SA, Tas, Vic, WA</w:t>
            </w:r>
          </w:p>
        </w:tc>
        <w:tc>
          <w:tcPr>
            <w:tcW w:w="4253" w:type="dxa"/>
            <w:tcBorders>
              <w:top w:val="single" w:sz="4" w:space="0" w:color="AAABD6"/>
            </w:tcBorders>
          </w:tcPr>
          <w:p w14:paraId="54ED824B" w14:textId="60800E67" w:rsidR="000812AD" w:rsidRPr="00100F0A" w:rsidRDefault="00C34F48" w:rsidP="000812AD">
            <w:pPr>
              <w:cnfStyle w:val="000000000000" w:firstRow="0" w:lastRow="0" w:firstColumn="0" w:lastColumn="0" w:oddVBand="0" w:evenVBand="0" w:oddHBand="0" w:evenHBand="0" w:firstRowFirstColumn="0" w:firstRowLastColumn="0" w:lastRowFirstColumn="0" w:lastRowLastColumn="0"/>
            </w:pPr>
            <w:r>
              <w:rPr>
                <w:rFonts w:cs="Calibri"/>
                <w:color w:val="000000"/>
              </w:rPr>
              <w:t>20-year average</w:t>
            </w:r>
            <w:r w:rsidR="000812AD" w:rsidRPr="00100F0A">
              <w:rPr>
                <w:rFonts w:cs="Calibri"/>
                <w:color w:val="000000"/>
              </w:rPr>
              <w:t xml:space="preserve"> annual population growth </w:t>
            </w:r>
          </w:p>
        </w:tc>
        <w:tc>
          <w:tcPr>
            <w:tcW w:w="1072" w:type="dxa"/>
            <w:tcBorders>
              <w:top w:val="single" w:sz="4" w:space="0" w:color="AAABD6"/>
            </w:tcBorders>
          </w:tcPr>
          <w:p w14:paraId="36AC61CC" w14:textId="7C1DC1AE" w:rsidR="000812AD" w:rsidRPr="00100F0A" w:rsidRDefault="000812AD" w:rsidP="000812AD">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1.4%</w:t>
            </w:r>
          </w:p>
        </w:tc>
        <w:tc>
          <w:tcPr>
            <w:tcW w:w="709" w:type="dxa"/>
            <w:tcBorders>
              <w:top w:val="single" w:sz="4" w:space="0" w:color="AAABD6"/>
            </w:tcBorders>
          </w:tcPr>
          <w:p w14:paraId="0E308DD4" w14:textId="77777777" w:rsidR="000812AD" w:rsidRPr="00100F0A" w:rsidRDefault="000812AD" w:rsidP="000812AD">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1134" w:type="dxa"/>
            <w:tcBorders>
              <w:top w:val="single" w:sz="4" w:space="0" w:color="AAABD6"/>
            </w:tcBorders>
          </w:tcPr>
          <w:p w14:paraId="1B7DF706" w14:textId="02A8E4D2" w:rsidR="000812AD" w:rsidRPr="00100F0A" w:rsidRDefault="000812AD" w:rsidP="000812AD">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1.4%</w:t>
            </w:r>
          </w:p>
        </w:tc>
      </w:tr>
      <w:tr w:rsidR="000812AD" w:rsidRPr="00100F0A" w14:paraId="387B0C8C" w14:textId="77777777" w:rsidTr="000812AD">
        <w:tc>
          <w:tcPr>
            <w:cnfStyle w:val="001000000000" w:firstRow="0" w:lastRow="0" w:firstColumn="1" w:lastColumn="0" w:oddVBand="0" w:evenVBand="0" w:oddHBand="0" w:evenHBand="0" w:firstRowFirstColumn="0" w:firstRowLastColumn="0" w:lastRowFirstColumn="0" w:lastRowLastColumn="0"/>
            <w:tcW w:w="709" w:type="dxa"/>
          </w:tcPr>
          <w:p w14:paraId="52509FBA" w14:textId="77777777" w:rsidR="000812AD" w:rsidRPr="00100F0A" w:rsidRDefault="000812AD" w:rsidP="000812AD">
            <w:r w:rsidRPr="00100F0A">
              <w:t>High</w:t>
            </w:r>
          </w:p>
        </w:tc>
        <w:tc>
          <w:tcPr>
            <w:tcW w:w="992" w:type="dxa"/>
            <w:vMerge/>
            <w:vAlign w:val="center"/>
          </w:tcPr>
          <w:p w14:paraId="7A0C9043" w14:textId="77777777" w:rsidR="000812AD" w:rsidRPr="00100F0A" w:rsidRDefault="000812AD" w:rsidP="000812AD">
            <w:pPr>
              <w:cnfStyle w:val="000000000000" w:firstRow="0" w:lastRow="0" w:firstColumn="0" w:lastColumn="0" w:oddVBand="0" w:evenVBand="0" w:oddHBand="0" w:evenHBand="0" w:firstRowFirstColumn="0" w:firstRowLastColumn="0" w:lastRowFirstColumn="0" w:lastRowLastColumn="0"/>
            </w:pPr>
          </w:p>
        </w:tc>
        <w:tc>
          <w:tcPr>
            <w:tcW w:w="4253" w:type="dxa"/>
          </w:tcPr>
          <w:p w14:paraId="4F07578B" w14:textId="70BDB661" w:rsidR="000812AD" w:rsidRPr="00100F0A" w:rsidRDefault="000812AD" w:rsidP="000812AD">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National compound annual growth rate</w:t>
            </w:r>
          </w:p>
        </w:tc>
        <w:tc>
          <w:tcPr>
            <w:tcW w:w="1072" w:type="dxa"/>
          </w:tcPr>
          <w:p w14:paraId="67B65D6A" w14:textId="2E9868A7" w:rsidR="000812AD" w:rsidRPr="00100F0A" w:rsidRDefault="000812AD" w:rsidP="000812AD">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5.1%</w:t>
            </w:r>
          </w:p>
        </w:tc>
        <w:tc>
          <w:tcPr>
            <w:tcW w:w="709" w:type="dxa"/>
          </w:tcPr>
          <w:p w14:paraId="5A2A9741" w14:textId="77777777" w:rsidR="000812AD" w:rsidRPr="00100F0A" w:rsidRDefault="000812AD" w:rsidP="000812AD">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1134" w:type="dxa"/>
          </w:tcPr>
          <w:p w14:paraId="79C93ECC" w14:textId="6C390BDB" w:rsidR="000812AD" w:rsidRPr="00100F0A" w:rsidRDefault="000812AD" w:rsidP="000812AD">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5.1%</w:t>
            </w:r>
          </w:p>
        </w:tc>
      </w:tr>
      <w:tr w:rsidR="000812AD" w:rsidRPr="00100F0A" w14:paraId="265268E6" w14:textId="77777777" w:rsidTr="000812AD">
        <w:tc>
          <w:tcPr>
            <w:cnfStyle w:val="001000000000" w:firstRow="0" w:lastRow="0" w:firstColumn="1" w:lastColumn="0" w:oddVBand="0" w:evenVBand="0" w:oddHBand="0" w:evenHBand="0" w:firstRowFirstColumn="0" w:firstRowLastColumn="0" w:lastRowFirstColumn="0" w:lastRowLastColumn="0"/>
            <w:tcW w:w="709" w:type="dxa"/>
          </w:tcPr>
          <w:p w14:paraId="639D3B30" w14:textId="77777777" w:rsidR="000812AD" w:rsidRPr="00100F0A" w:rsidRDefault="000812AD" w:rsidP="000812AD">
            <w:r w:rsidRPr="00100F0A">
              <w:t>Low</w:t>
            </w:r>
          </w:p>
        </w:tc>
        <w:tc>
          <w:tcPr>
            <w:tcW w:w="992" w:type="dxa"/>
            <w:vMerge/>
            <w:vAlign w:val="center"/>
          </w:tcPr>
          <w:p w14:paraId="21F48299" w14:textId="77777777" w:rsidR="000812AD" w:rsidRPr="00100F0A" w:rsidRDefault="000812AD" w:rsidP="000812AD">
            <w:pPr>
              <w:cnfStyle w:val="000000000000" w:firstRow="0" w:lastRow="0" w:firstColumn="0" w:lastColumn="0" w:oddVBand="0" w:evenVBand="0" w:oddHBand="0" w:evenHBand="0" w:firstRowFirstColumn="0" w:firstRowLastColumn="0" w:lastRowFirstColumn="0" w:lastRowLastColumn="0"/>
            </w:pPr>
          </w:p>
        </w:tc>
        <w:tc>
          <w:tcPr>
            <w:tcW w:w="4253" w:type="dxa"/>
          </w:tcPr>
          <w:p w14:paraId="3C42D91C" w14:textId="643D200B" w:rsidR="000812AD" w:rsidRPr="00100F0A" w:rsidRDefault="000812AD" w:rsidP="000812AD">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Flat trend</w:t>
            </w:r>
          </w:p>
        </w:tc>
        <w:tc>
          <w:tcPr>
            <w:tcW w:w="1072" w:type="dxa"/>
          </w:tcPr>
          <w:p w14:paraId="6B8FE37B" w14:textId="488EC0AB" w:rsidR="000812AD" w:rsidRPr="00100F0A" w:rsidRDefault="000812AD" w:rsidP="000812AD">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0.0%</w:t>
            </w:r>
          </w:p>
        </w:tc>
        <w:tc>
          <w:tcPr>
            <w:tcW w:w="709" w:type="dxa"/>
          </w:tcPr>
          <w:p w14:paraId="0A16DD7F" w14:textId="77777777" w:rsidR="000812AD" w:rsidRPr="00100F0A" w:rsidRDefault="000812AD" w:rsidP="000812AD">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1134" w:type="dxa"/>
          </w:tcPr>
          <w:p w14:paraId="07356438" w14:textId="12533F73" w:rsidR="000812AD" w:rsidRPr="00100F0A" w:rsidRDefault="000812AD" w:rsidP="000812AD">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0.0%</w:t>
            </w:r>
          </w:p>
        </w:tc>
      </w:tr>
    </w:tbl>
    <w:p w14:paraId="120189F2" w14:textId="3D2A208C" w:rsidR="00601CB2" w:rsidRPr="00100F0A" w:rsidRDefault="00601CB2" w:rsidP="002F5AA8">
      <w:pPr>
        <w:pStyle w:val="Caption"/>
      </w:pPr>
      <w:bookmarkStart w:id="233" w:name="_Toc425849242"/>
      <w:bookmarkStart w:id="234" w:name="_Toc13225601"/>
      <w:r w:rsidRPr="00100F0A">
        <w:t xml:space="preserve">Figure </w:t>
      </w:r>
      <w:r w:rsidR="00A1102D">
        <w:rPr>
          <w:noProof/>
        </w:rPr>
        <w:fldChar w:fldCharType="begin"/>
      </w:r>
      <w:r w:rsidR="00A1102D">
        <w:rPr>
          <w:noProof/>
        </w:rPr>
        <w:instrText xml:space="preserve"> SEQ Figure \* ARABIC </w:instrText>
      </w:r>
      <w:r w:rsidR="00A1102D">
        <w:rPr>
          <w:noProof/>
        </w:rPr>
        <w:fldChar w:fldCharType="separate"/>
      </w:r>
      <w:r w:rsidR="00EB634D">
        <w:rPr>
          <w:noProof/>
        </w:rPr>
        <w:t>28</w:t>
      </w:r>
      <w:r w:rsidR="00A1102D">
        <w:rPr>
          <w:noProof/>
        </w:rPr>
        <w:fldChar w:fldCharType="end"/>
      </w:r>
      <w:r w:rsidR="00AD2F76">
        <w:t>:</w:t>
      </w:r>
      <w:r w:rsidR="00D11FEE" w:rsidRPr="00100F0A">
        <w:tab/>
      </w:r>
      <w:r w:rsidRPr="00100F0A">
        <w:t>Best, high and low national projection estimates of other organic chemical waste to 203</w:t>
      </w:r>
      <w:bookmarkEnd w:id="233"/>
      <w:r w:rsidR="000812AD" w:rsidRPr="00100F0A">
        <w:t>7</w:t>
      </w:r>
      <w:bookmarkEnd w:id="234"/>
    </w:p>
    <w:p w14:paraId="6015C980" w14:textId="10F2C7FC" w:rsidR="00601CB2" w:rsidRPr="00100F0A" w:rsidRDefault="00B179AD" w:rsidP="00601CB2">
      <w:r w:rsidRPr="00100F0A">
        <w:rPr>
          <w:noProof/>
          <w:lang w:eastAsia="en-AU"/>
        </w:rPr>
        <w:drawing>
          <wp:inline distT="0" distB="0" distL="0" distR="0" wp14:anchorId="4CEED98D" wp14:editId="5ABE4AD2">
            <wp:extent cx="5735955" cy="2025015"/>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5955" cy="2025015"/>
                    </a:xfrm>
                    <a:prstGeom prst="rect">
                      <a:avLst/>
                    </a:prstGeom>
                  </pic:spPr>
                </pic:pic>
              </a:graphicData>
            </a:graphic>
          </wp:inline>
        </w:drawing>
      </w:r>
    </w:p>
    <w:p w14:paraId="77CB87D6" w14:textId="562719DF" w:rsidR="00B179AD" w:rsidRPr="00100F0A" w:rsidRDefault="00B179AD" w:rsidP="00B179AD">
      <w:pPr>
        <w:pStyle w:val="BodyText"/>
      </w:pPr>
    </w:p>
    <w:p w14:paraId="3EE0235E" w14:textId="3939DC66" w:rsidR="00601CB2" w:rsidRPr="00100F0A" w:rsidRDefault="00F02371" w:rsidP="00AD35BF">
      <w:pPr>
        <w:pStyle w:val="Heading3"/>
      </w:pPr>
      <w:r>
        <w:t>N</w:t>
      </w:r>
      <w:r w:rsidR="00601CB2" w:rsidRPr="00100F0A">
        <w:t>120 Contaminated soils</w:t>
      </w:r>
    </w:p>
    <w:p w14:paraId="37B9AE42" w14:textId="789D4B3A" w:rsidR="00601CB2" w:rsidRPr="00100F0A" w:rsidRDefault="00601CB2" w:rsidP="00601CB2">
      <w:pPr>
        <w:rPr>
          <w:color w:val="080808"/>
        </w:rPr>
      </w:pPr>
      <w:r w:rsidRPr="00100F0A">
        <w:rPr>
          <w:color w:val="080808"/>
        </w:rPr>
        <w:t xml:space="preserve">This group comprises </w:t>
      </w:r>
      <w:r w:rsidRPr="00100F0A">
        <w:rPr>
          <w:i/>
          <w:color w:val="080808"/>
        </w:rPr>
        <w:t>N120 Soils contaminated with a controlled waste</w:t>
      </w:r>
      <w:r w:rsidRPr="00100F0A">
        <w:rPr>
          <w:color w:val="080808"/>
        </w:rPr>
        <w:t xml:space="preserve">. NSW and </w:t>
      </w:r>
      <w:r w:rsidR="00FC25F6">
        <w:rPr>
          <w:color w:val="080808"/>
        </w:rPr>
        <w:t>Qld</w:t>
      </w:r>
      <w:r w:rsidRPr="00100F0A">
        <w:rPr>
          <w:color w:val="080808"/>
        </w:rPr>
        <w:t xml:space="preserve"> do not specifically track contaminated soils, but both were able to re</w:t>
      </w:r>
      <w:r w:rsidR="001F5C16" w:rsidRPr="00100F0A">
        <w:rPr>
          <w:color w:val="080808"/>
        </w:rPr>
        <w:t>port data from landfill records</w:t>
      </w:r>
      <w:r w:rsidRPr="00100F0A">
        <w:rPr>
          <w:color w:val="080808"/>
        </w:rPr>
        <w:t xml:space="preserve">. </w:t>
      </w:r>
      <w:r w:rsidR="009756C7" w:rsidRPr="00100F0A">
        <w:rPr>
          <w:color w:val="080808"/>
        </w:rPr>
        <w:t>Note that projections of PFA</w:t>
      </w:r>
      <w:r w:rsidR="00F768F5" w:rsidRPr="00100F0A">
        <w:rPr>
          <w:color w:val="080808"/>
        </w:rPr>
        <w:t xml:space="preserve">S-contaminated soil are dealt with separately in Section </w:t>
      </w:r>
      <w:r w:rsidR="00CA7EBD" w:rsidRPr="00100F0A">
        <w:rPr>
          <w:color w:val="080808"/>
        </w:rPr>
        <w:fldChar w:fldCharType="begin"/>
      </w:r>
      <w:r w:rsidR="00CA7EBD" w:rsidRPr="00100F0A">
        <w:rPr>
          <w:color w:val="080808"/>
        </w:rPr>
        <w:instrText xml:space="preserve"> REF _Ref530074783 \r \h </w:instrText>
      </w:r>
      <w:r w:rsidR="00CA7EBD" w:rsidRPr="00100F0A">
        <w:rPr>
          <w:color w:val="080808"/>
        </w:rPr>
      </w:r>
      <w:r w:rsidR="00CA7EBD" w:rsidRPr="00100F0A">
        <w:rPr>
          <w:color w:val="080808"/>
        </w:rPr>
        <w:fldChar w:fldCharType="separate"/>
      </w:r>
      <w:r w:rsidR="00EB634D">
        <w:rPr>
          <w:color w:val="080808"/>
        </w:rPr>
        <w:t>2.7.23</w:t>
      </w:r>
      <w:r w:rsidR="00CA7EBD" w:rsidRPr="00100F0A">
        <w:rPr>
          <w:color w:val="080808"/>
        </w:rPr>
        <w:fldChar w:fldCharType="end"/>
      </w:r>
      <w:r w:rsidR="00CA7EBD" w:rsidRPr="00100F0A">
        <w:rPr>
          <w:color w:val="080808"/>
        </w:rPr>
        <w:t xml:space="preserve"> </w:t>
      </w:r>
      <w:r w:rsidR="00F768F5" w:rsidRPr="00100F0A">
        <w:rPr>
          <w:color w:val="080808"/>
        </w:rPr>
        <w:t xml:space="preserve">due to their unique and emerging management requirements </w:t>
      </w:r>
      <w:r w:rsidR="009756C7" w:rsidRPr="00100F0A">
        <w:rPr>
          <w:color w:val="080808"/>
        </w:rPr>
        <w:t xml:space="preserve">compared </w:t>
      </w:r>
      <w:r w:rsidR="00F768F5" w:rsidRPr="00100F0A">
        <w:rPr>
          <w:color w:val="080808"/>
        </w:rPr>
        <w:t>to other forms of contaminants.</w:t>
      </w:r>
    </w:p>
    <w:p w14:paraId="695EDD09" w14:textId="77777777" w:rsidR="00601CB2" w:rsidRPr="00100F0A" w:rsidRDefault="00601CB2" w:rsidP="00601CB2">
      <w:pPr>
        <w:pStyle w:val="BodyText"/>
        <w:rPr>
          <w:b/>
        </w:rPr>
      </w:pPr>
    </w:p>
    <w:p w14:paraId="775291E9" w14:textId="77777777" w:rsidR="00601CB2" w:rsidRPr="00100F0A" w:rsidRDefault="00601CB2" w:rsidP="00931F74">
      <w:pPr>
        <w:pStyle w:val="Heading3-nonumber"/>
      </w:pPr>
      <w:r w:rsidRPr="00100F0A">
        <w:t>Summary analysis</w:t>
      </w:r>
    </w:p>
    <w:tbl>
      <w:tblPr>
        <w:tblStyle w:val="BETable11"/>
        <w:tblW w:w="5000" w:type="pct"/>
        <w:tblInd w:w="0" w:type="dxa"/>
        <w:tblBorders>
          <w:top w:val="single" w:sz="4" w:space="0" w:color="AAABD6"/>
          <w:left w:val="single" w:sz="4" w:space="0" w:color="AAABD6"/>
          <w:bottom w:val="single" w:sz="4" w:space="0" w:color="AAABD6"/>
          <w:right w:val="single" w:sz="4" w:space="0" w:color="AAABD6"/>
          <w:insideH w:val="single" w:sz="4" w:space="0" w:color="AAABD6"/>
          <w:insideV w:val="single" w:sz="4" w:space="0" w:color="AAABD6"/>
        </w:tblBorders>
        <w:tblLook w:val="04A0" w:firstRow="1" w:lastRow="0" w:firstColumn="1" w:lastColumn="0" w:noHBand="0" w:noVBand="1"/>
      </w:tblPr>
      <w:tblGrid>
        <w:gridCol w:w="1296"/>
        <w:gridCol w:w="2025"/>
        <w:gridCol w:w="2168"/>
        <w:gridCol w:w="3714"/>
      </w:tblGrid>
      <w:tr w:rsidR="00ED1FEB" w:rsidRPr="00100F0A" w14:paraId="2E6FC8FB" w14:textId="77777777" w:rsidTr="00ED1F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AAABD6"/>
          </w:tcPr>
          <w:p w14:paraId="35B48A36" w14:textId="77777777" w:rsidR="00601CB2" w:rsidRPr="00100F0A" w:rsidRDefault="00601CB2" w:rsidP="002A3A54">
            <w:pPr>
              <w:pStyle w:val="BodyText"/>
              <w:rPr>
                <w:color w:val="FFFFFF" w:themeColor="background1"/>
              </w:rPr>
            </w:pPr>
            <w:r w:rsidRPr="00100F0A">
              <w:rPr>
                <w:color w:val="FFFFFF" w:themeColor="background1"/>
              </w:rPr>
              <w:t>Industry sources</w:t>
            </w:r>
          </w:p>
        </w:tc>
        <w:tc>
          <w:tcPr>
            <w:tcW w:w="1100" w:type="pct"/>
            <w:shd w:val="clear" w:color="auto" w:fill="AAABD6"/>
          </w:tcPr>
          <w:p w14:paraId="6A27091D" w14:textId="77777777" w:rsidR="00601CB2" w:rsidRPr="00100F0A" w:rsidRDefault="00601CB2"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Considerations</w:t>
            </w:r>
          </w:p>
        </w:tc>
        <w:tc>
          <w:tcPr>
            <w:tcW w:w="1178" w:type="pct"/>
            <w:shd w:val="clear" w:color="auto" w:fill="AAABD6"/>
          </w:tcPr>
          <w:p w14:paraId="76959305" w14:textId="77777777" w:rsidR="00601CB2" w:rsidRPr="00100F0A" w:rsidRDefault="00601CB2"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Comments</w:t>
            </w:r>
          </w:p>
        </w:tc>
        <w:tc>
          <w:tcPr>
            <w:tcW w:w="2018" w:type="pct"/>
            <w:shd w:val="clear" w:color="auto" w:fill="AAABD6"/>
          </w:tcPr>
          <w:p w14:paraId="63361FD3" w14:textId="77777777" w:rsidR="00601CB2" w:rsidRPr="00100F0A" w:rsidRDefault="00601CB2"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r>
      <w:tr w:rsidR="00F768F5" w:rsidRPr="00100F0A" w14:paraId="3E081BD0" w14:textId="77777777" w:rsidTr="00ED1FEB">
        <w:trPr>
          <w:trHeight w:val="1855"/>
        </w:trPr>
        <w:tc>
          <w:tcPr>
            <w:cnfStyle w:val="001000000000" w:firstRow="0" w:lastRow="0" w:firstColumn="1" w:lastColumn="0" w:oddVBand="0" w:evenVBand="0" w:oddHBand="0" w:evenHBand="0" w:firstRowFirstColumn="0" w:firstRowLastColumn="0" w:lastRowFirstColumn="0" w:lastRowLastColumn="0"/>
            <w:tcW w:w="704" w:type="pct"/>
          </w:tcPr>
          <w:p w14:paraId="117E0B2B" w14:textId="132FBD09" w:rsidR="00F768F5" w:rsidRPr="00100F0A" w:rsidRDefault="00F768F5" w:rsidP="002A3A54">
            <w:pPr>
              <w:rPr>
                <w:color w:val="000000"/>
              </w:rPr>
            </w:pPr>
            <w:r w:rsidRPr="00100F0A">
              <w:t>Construction</w:t>
            </w:r>
            <w:r w:rsidR="00D157C6">
              <w:t>,</w:t>
            </w:r>
            <w:r w:rsidRPr="00100F0A">
              <w:t xml:space="preserve"> mining</w:t>
            </w:r>
            <w:r w:rsidR="00D157C6">
              <w:t>,</w:t>
            </w:r>
            <w:r w:rsidRPr="00100F0A">
              <w:t xml:space="preserve"> retail trade</w:t>
            </w:r>
            <w:r w:rsidR="00D157C6">
              <w:t>,</w:t>
            </w:r>
            <w:r w:rsidRPr="00100F0A">
              <w:t xml:space="preserve"> electricity supply</w:t>
            </w:r>
          </w:p>
        </w:tc>
        <w:tc>
          <w:tcPr>
            <w:tcW w:w="1100" w:type="pct"/>
          </w:tcPr>
          <w:p w14:paraId="266A789D" w14:textId="77777777" w:rsidR="00F768F5" w:rsidRPr="00100F0A" w:rsidRDefault="00F768F5" w:rsidP="002A3A54">
            <w:pPr>
              <w:pStyle w:val="BodyText"/>
              <w:cnfStyle w:val="000000000000" w:firstRow="0" w:lastRow="0" w:firstColumn="0" w:lastColumn="0" w:oddVBand="0" w:evenVBand="0" w:oddHBand="0" w:evenHBand="0" w:firstRowFirstColumn="0" w:firstRowLastColumn="0" w:lastRowFirstColumn="0" w:lastRowLastColumn="0"/>
            </w:pPr>
            <w:r w:rsidRPr="00100F0A">
              <w:t>No sufficiently credible pre-existing projections were identified</w:t>
            </w:r>
          </w:p>
          <w:p w14:paraId="2B7F3D20" w14:textId="5DA1E5FE" w:rsidR="00F768F5" w:rsidRPr="00100F0A" w:rsidRDefault="00F768F5" w:rsidP="002A3A54">
            <w:pPr>
              <w:pStyle w:val="BodyText"/>
              <w:cnfStyle w:val="000000000000" w:firstRow="0" w:lastRow="0" w:firstColumn="0" w:lastColumn="0" w:oddVBand="0" w:evenVBand="0" w:oddHBand="0" w:evenHBand="0" w:firstRowFirstColumn="0" w:firstRowLastColumn="0" w:lastRowFirstColumn="0" w:lastRowLastColumn="0"/>
            </w:pPr>
            <w:r w:rsidRPr="00100F0A">
              <w:t>Vic and SA have a relatively reliable and longstanding historical data set that is adequate for discerning trends</w:t>
            </w:r>
          </w:p>
        </w:tc>
        <w:tc>
          <w:tcPr>
            <w:tcW w:w="1178" w:type="pct"/>
          </w:tcPr>
          <w:p w14:paraId="0F4DD368" w14:textId="2973B54C" w:rsidR="00F768F5" w:rsidRPr="00100F0A" w:rsidRDefault="00F768F5" w:rsidP="002A3A54">
            <w:pPr>
              <w:pStyle w:val="BodyText"/>
              <w:cnfStyle w:val="000000000000" w:firstRow="0" w:lastRow="0" w:firstColumn="0" w:lastColumn="0" w:oddVBand="0" w:evenVBand="0" w:oddHBand="0" w:evenHBand="0" w:firstRowFirstColumn="0" w:firstRowLastColumn="0" w:lastRowFirstColumn="0" w:lastRowLastColumn="0"/>
            </w:pPr>
            <w:r w:rsidRPr="00100F0A">
              <w:t>Vic and SA show a reasonably steady long-term trend</w:t>
            </w:r>
          </w:p>
          <w:p w14:paraId="1095BD4D" w14:textId="77777777" w:rsidR="00F768F5" w:rsidRPr="00100F0A" w:rsidRDefault="00F768F5" w:rsidP="002A3A54">
            <w:pPr>
              <w:pStyle w:val="BodyText"/>
              <w:cnfStyle w:val="000000000000" w:firstRow="0" w:lastRow="0" w:firstColumn="0" w:lastColumn="0" w:oddVBand="0" w:evenVBand="0" w:oddHBand="0" w:evenHBand="0" w:firstRowFirstColumn="0" w:firstRowLastColumn="0" w:lastRowFirstColumn="0" w:lastRowLastColumn="0"/>
            </w:pPr>
          </w:p>
          <w:p w14:paraId="21E56235" w14:textId="77777777" w:rsidR="00F768F5" w:rsidRDefault="00F768F5" w:rsidP="002A3A54">
            <w:pPr>
              <w:pStyle w:val="BodyText"/>
              <w:cnfStyle w:val="000000000000" w:firstRow="0" w:lastRow="0" w:firstColumn="0" w:lastColumn="0" w:oddVBand="0" w:evenVBand="0" w:oddHBand="0" w:evenHBand="0" w:firstRowFirstColumn="0" w:firstRowLastColumn="0" w:lastRowFirstColumn="0" w:lastRowLastColumn="0"/>
            </w:pPr>
            <w:r w:rsidRPr="00100F0A">
              <w:t>Soils arisings te</w:t>
            </w:r>
            <w:r w:rsidR="00D157C6">
              <w:t>n</w:t>
            </w:r>
            <w:r w:rsidRPr="00100F0A">
              <w:t>d to be sporadic from year to year, based on the extent of development projects and their contamination levels</w:t>
            </w:r>
          </w:p>
          <w:p w14:paraId="16FB7788" w14:textId="77777777" w:rsidR="00B62DB3" w:rsidRDefault="00B62DB3" w:rsidP="002A3A54">
            <w:pPr>
              <w:pStyle w:val="BodyText"/>
              <w:cnfStyle w:val="000000000000" w:firstRow="0" w:lastRow="0" w:firstColumn="0" w:lastColumn="0" w:oddVBand="0" w:evenVBand="0" w:oddHBand="0" w:evenHBand="0" w:firstRowFirstColumn="0" w:firstRowLastColumn="0" w:lastRowFirstColumn="0" w:lastRowLastColumn="0"/>
            </w:pPr>
          </w:p>
          <w:p w14:paraId="4B58B98F" w14:textId="2BDFF090" w:rsidR="00B62DB3" w:rsidRPr="00100F0A" w:rsidRDefault="00B62DB3" w:rsidP="002A3A54">
            <w:pPr>
              <w:pStyle w:val="BodyText"/>
              <w:cnfStyle w:val="000000000000" w:firstRow="0" w:lastRow="0" w:firstColumn="0" w:lastColumn="0" w:oddVBand="0" w:evenVBand="0" w:oddHBand="0" w:evenHBand="0" w:firstRowFirstColumn="0" w:firstRowLastColumn="0" w:lastRowFirstColumn="0" w:lastRowLastColumn="0"/>
            </w:pPr>
            <w:r>
              <w:t>Historical arisings data for contaminated soils is based upon the tonnages that are managed off-site (from the generating site). Where contaminated soils are managed onsite, the tonnages are not included in tracking system data, resulting in an underestimate of contaminated soils tonnages.</w:t>
            </w:r>
          </w:p>
        </w:tc>
        <w:tc>
          <w:tcPr>
            <w:tcW w:w="2018" w:type="pct"/>
          </w:tcPr>
          <w:p w14:paraId="5615D7AE" w14:textId="24FFBEE5" w:rsidR="00F768F5" w:rsidRPr="00100F0A" w:rsidRDefault="00F768F5" w:rsidP="00F768F5">
            <w:pPr>
              <w:pStyle w:val="BodyText"/>
              <w:cnfStyle w:val="000000000000" w:firstRow="0" w:lastRow="0" w:firstColumn="0" w:lastColumn="0" w:oddVBand="0" w:evenVBand="0" w:oddHBand="0" w:evenHBand="0" w:firstRowFirstColumn="0" w:firstRowLastColumn="0" w:lastRowFirstColumn="0" w:lastRowLastColumn="0"/>
            </w:pPr>
            <w:r w:rsidRPr="00100F0A">
              <w:t>Best: Flat</w:t>
            </w:r>
          </w:p>
          <w:p w14:paraId="0FA7D880" w14:textId="151E65B3" w:rsidR="00F768F5" w:rsidRPr="00100F0A" w:rsidRDefault="00F768F5" w:rsidP="00F768F5">
            <w:pPr>
              <w:pStyle w:val="BodyText"/>
              <w:cnfStyle w:val="000000000000" w:firstRow="0" w:lastRow="0" w:firstColumn="0" w:lastColumn="0" w:oddVBand="0" w:evenVBand="0" w:oddHBand="0" w:evenHBand="0" w:firstRowFirstColumn="0" w:firstRowLastColumn="0" w:lastRowFirstColumn="0" w:lastRowLastColumn="0"/>
            </w:pPr>
            <w:r w:rsidRPr="00100F0A">
              <w:t xml:space="preserve">High: </w:t>
            </w:r>
            <w:r w:rsidR="00ED1FEB" w:rsidRPr="00100F0A">
              <w:t>Flat trend but volume is significantly higher</w:t>
            </w:r>
          </w:p>
          <w:p w14:paraId="46B159E8" w14:textId="0A4B7BD7" w:rsidR="00F768F5" w:rsidRPr="00100F0A" w:rsidRDefault="00F768F5" w:rsidP="00F768F5">
            <w:pPr>
              <w:pStyle w:val="BodyText"/>
              <w:cnfStyle w:val="000000000000" w:firstRow="0" w:lastRow="0" w:firstColumn="0" w:lastColumn="0" w:oddVBand="0" w:evenVBand="0" w:oddHBand="0" w:evenHBand="0" w:firstRowFirstColumn="0" w:firstRowLastColumn="0" w:lastRowFirstColumn="0" w:lastRowLastColumn="0"/>
            </w:pPr>
            <w:r w:rsidRPr="00100F0A">
              <w:t xml:space="preserve">Low: </w:t>
            </w:r>
            <w:r w:rsidR="00ED1FEB" w:rsidRPr="00100F0A">
              <w:t>Flat trend but volume is significantly lower.</w:t>
            </w:r>
          </w:p>
          <w:p w14:paraId="0CDAA1B4" w14:textId="77777777" w:rsidR="00ED1FEB" w:rsidRPr="00100F0A" w:rsidRDefault="00ED1FEB" w:rsidP="00F768F5">
            <w:pPr>
              <w:pStyle w:val="BodyText"/>
              <w:cnfStyle w:val="000000000000" w:firstRow="0" w:lastRow="0" w:firstColumn="0" w:lastColumn="0" w:oddVBand="0" w:evenVBand="0" w:oddHBand="0" w:evenHBand="0" w:firstRowFirstColumn="0" w:firstRowLastColumn="0" w:lastRowFirstColumn="0" w:lastRowLastColumn="0"/>
            </w:pPr>
          </w:p>
          <w:p w14:paraId="25D380FC" w14:textId="0DB6C780" w:rsidR="00ED1FEB" w:rsidRPr="00100F0A" w:rsidRDefault="00ED1FEB" w:rsidP="00F768F5">
            <w:pPr>
              <w:pStyle w:val="BodyText"/>
              <w:cnfStyle w:val="000000000000" w:firstRow="0" w:lastRow="0" w:firstColumn="0" w:lastColumn="0" w:oddVBand="0" w:evenVBand="0" w:oddHBand="0" w:evenHBand="0" w:firstRowFirstColumn="0" w:firstRowLastColumn="0" w:lastRowFirstColumn="0" w:lastRowLastColumn="0"/>
            </w:pPr>
            <w:r w:rsidRPr="00100F0A">
              <w:t>This creates a wide band of projection scenarios, which reflects uncertainty and the lack of coherent trend from one year to the next</w:t>
            </w:r>
          </w:p>
        </w:tc>
      </w:tr>
    </w:tbl>
    <w:p w14:paraId="7A8D6F6C" w14:textId="623450A5" w:rsidR="00F768F5" w:rsidRDefault="00F768F5" w:rsidP="00F768F5">
      <w:pPr>
        <w:pStyle w:val="BodyText"/>
        <w:rPr>
          <w:b/>
        </w:rPr>
      </w:pPr>
    </w:p>
    <w:p w14:paraId="0C06B637" w14:textId="4D6A909A" w:rsidR="00D157C6" w:rsidRDefault="00D157C6">
      <w:pPr>
        <w:rPr>
          <w:b/>
        </w:rPr>
      </w:pPr>
      <w:r>
        <w:rPr>
          <w:b/>
        </w:rPr>
        <w:br w:type="page"/>
      </w:r>
    </w:p>
    <w:p w14:paraId="6A574A25" w14:textId="058D7EA3" w:rsidR="00601CB2" w:rsidRPr="00100F0A" w:rsidRDefault="00601CB2" w:rsidP="00273FA6">
      <w:pPr>
        <w:pStyle w:val="Caption"/>
      </w:pPr>
      <w:bookmarkStart w:id="235" w:name="_Toc425849316"/>
      <w:bookmarkStart w:id="236" w:name="_Toc13225652"/>
      <w:r w:rsidRPr="00100F0A">
        <w:t xml:space="preserve">Table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33</w:t>
      </w:r>
      <w:r w:rsidR="00B404A6" w:rsidRPr="00100F0A">
        <w:rPr>
          <w:noProof/>
        </w:rPr>
        <w:fldChar w:fldCharType="end"/>
      </w:r>
      <w:r w:rsidR="00AD2F76">
        <w:rPr>
          <w:noProof/>
        </w:rPr>
        <w:t>:</w:t>
      </w:r>
      <w:r w:rsidR="00D11FEE" w:rsidRPr="00100F0A">
        <w:tab/>
      </w:r>
      <w:r w:rsidRPr="00100F0A">
        <w:t>Best, high and low projected rates of change for contaminated soil waste to 203</w:t>
      </w:r>
      <w:bookmarkEnd w:id="235"/>
      <w:r w:rsidR="00CB1E01" w:rsidRPr="00100F0A">
        <w:t>7</w:t>
      </w:r>
      <w:bookmarkEnd w:id="236"/>
    </w:p>
    <w:tbl>
      <w:tblPr>
        <w:tblStyle w:val="BETable1"/>
        <w:tblW w:w="9072" w:type="dxa"/>
        <w:tblLayout w:type="fixed"/>
        <w:tblLook w:val="04A0" w:firstRow="1" w:lastRow="0" w:firstColumn="1" w:lastColumn="0" w:noHBand="0" w:noVBand="1"/>
      </w:tblPr>
      <w:tblGrid>
        <w:gridCol w:w="709"/>
        <w:gridCol w:w="1134"/>
        <w:gridCol w:w="3765"/>
        <w:gridCol w:w="1560"/>
        <w:gridCol w:w="425"/>
        <w:gridCol w:w="1479"/>
      </w:tblGrid>
      <w:tr w:rsidR="00ED1FEB" w:rsidRPr="00100F0A" w14:paraId="5E0E9BF6" w14:textId="77777777" w:rsidTr="00CB1E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AABD6"/>
              <w:left w:val="single" w:sz="4" w:space="0" w:color="AAABD6"/>
              <w:bottom w:val="single" w:sz="4" w:space="0" w:color="AAABD6"/>
            </w:tcBorders>
            <w:shd w:val="clear" w:color="auto" w:fill="AAABD6"/>
          </w:tcPr>
          <w:p w14:paraId="31C450F3" w14:textId="77777777" w:rsidR="00601CB2" w:rsidRPr="00100F0A" w:rsidRDefault="00601CB2" w:rsidP="002A3A54">
            <w:pPr>
              <w:rPr>
                <w:color w:val="FFFFFF" w:themeColor="background1"/>
              </w:rPr>
            </w:pPr>
          </w:p>
        </w:tc>
        <w:tc>
          <w:tcPr>
            <w:tcW w:w="1134" w:type="dxa"/>
            <w:tcBorders>
              <w:top w:val="single" w:sz="4" w:space="0" w:color="AAABD6"/>
              <w:bottom w:val="single" w:sz="4" w:space="0" w:color="AAABD6"/>
            </w:tcBorders>
            <w:shd w:val="clear" w:color="auto" w:fill="AAABD6"/>
          </w:tcPr>
          <w:p w14:paraId="53623625" w14:textId="77777777" w:rsidR="00601CB2" w:rsidRPr="00100F0A" w:rsidRDefault="00601CB2" w:rsidP="002A3A5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Applies to</w:t>
            </w:r>
          </w:p>
        </w:tc>
        <w:tc>
          <w:tcPr>
            <w:tcW w:w="3765" w:type="dxa"/>
            <w:tcBorders>
              <w:top w:val="single" w:sz="4" w:space="0" w:color="AAABD6"/>
              <w:bottom w:val="single" w:sz="4" w:space="0" w:color="AAABD6"/>
            </w:tcBorders>
            <w:shd w:val="clear" w:color="auto" w:fill="AAABD6"/>
          </w:tcPr>
          <w:p w14:paraId="79C4084C" w14:textId="77777777" w:rsidR="00601CB2" w:rsidRPr="00100F0A" w:rsidRDefault="00601CB2" w:rsidP="002A3A5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c>
          <w:tcPr>
            <w:tcW w:w="1560" w:type="dxa"/>
            <w:tcBorders>
              <w:top w:val="single" w:sz="4" w:space="0" w:color="AAABD6"/>
              <w:bottom w:val="single" w:sz="4" w:space="0" w:color="AAABD6"/>
            </w:tcBorders>
            <w:shd w:val="clear" w:color="auto" w:fill="AAABD6"/>
          </w:tcPr>
          <w:p w14:paraId="707F4A29" w14:textId="23F801AF" w:rsidR="00601CB2" w:rsidRPr="00100F0A" w:rsidRDefault="00ED1FEB" w:rsidP="004206B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2018</w:t>
            </w:r>
          </w:p>
        </w:tc>
        <w:tc>
          <w:tcPr>
            <w:tcW w:w="425" w:type="dxa"/>
            <w:tcBorders>
              <w:top w:val="single" w:sz="4" w:space="0" w:color="AAABD6"/>
              <w:bottom w:val="single" w:sz="4" w:space="0" w:color="AAABD6"/>
            </w:tcBorders>
            <w:shd w:val="clear" w:color="auto" w:fill="AAABD6"/>
          </w:tcPr>
          <w:p w14:paraId="5E4CFF27" w14:textId="77777777" w:rsidR="00601CB2" w:rsidRPr="00100F0A" w:rsidRDefault="00601CB2" w:rsidP="004206B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w:t>
            </w:r>
          </w:p>
        </w:tc>
        <w:tc>
          <w:tcPr>
            <w:tcW w:w="1479" w:type="dxa"/>
            <w:tcBorders>
              <w:top w:val="single" w:sz="4" w:space="0" w:color="AAABD6"/>
              <w:bottom w:val="single" w:sz="4" w:space="0" w:color="AAABD6"/>
              <w:right w:val="single" w:sz="4" w:space="0" w:color="AAABD6"/>
            </w:tcBorders>
            <w:shd w:val="clear" w:color="auto" w:fill="AAABD6"/>
          </w:tcPr>
          <w:p w14:paraId="4AE56989" w14:textId="1F7A6BC9" w:rsidR="00601CB2" w:rsidRPr="00100F0A" w:rsidRDefault="00ED1FEB" w:rsidP="004206B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2037</w:t>
            </w:r>
          </w:p>
        </w:tc>
      </w:tr>
      <w:tr w:rsidR="00ED1FEB" w:rsidRPr="00100F0A" w14:paraId="4DC56898" w14:textId="77777777" w:rsidTr="00ED1FEB">
        <w:tc>
          <w:tcPr>
            <w:cnfStyle w:val="001000000000" w:firstRow="0" w:lastRow="0" w:firstColumn="1" w:lastColumn="0" w:oddVBand="0" w:evenVBand="0" w:oddHBand="0" w:evenHBand="0" w:firstRowFirstColumn="0" w:firstRowLastColumn="0" w:lastRowFirstColumn="0" w:lastRowLastColumn="0"/>
            <w:tcW w:w="9072" w:type="dxa"/>
            <w:gridSpan w:val="6"/>
            <w:tcBorders>
              <w:top w:val="single" w:sz="4" w:space="0" w:color="AAABD6"/>
              <w:left w:val="single" w:sz="4" w:space="0" w:color="AAABD6"/>
              <w:bottom w:val="dotted" w:sz="4" w:space="0" w:color="AAABD6"/>
              <w:right w:val="single" w:sz="4" w:space="0" w:color="AAABD6"/>
            </w:tcBorders>
          </w:tcPr>
          <w:p w14:paraId="4D5EED60" w14:textId="1B15C4E0" w:rsidR="00ED1FEB" w:rsidRPr="00100F0A" w:rsidRDefault="00ED1FEB" w:rsidP="00B30B8D">
            <w:r w:rsidRPr="00100F0A">
              <w:rPr>
                <w:iCs/>
                <w:color w:val="4D4DB8"/>
                <w:szCs w:val="18"/>
              </w:rPr>
              <w:t>Arisings - rate</w:t>
            </w:r>
          </w:p>
        </w:tc>
      </w:tr>
      <w:tr w:rsidR="00ED1FEB" w:rsidRPr="00100F0A" w14:paraId="50ED61CE" w14:textId="77777777" w:rsidTr="00CB1E01">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AABD6"/>
              <w:left w:val="single" w:sz="4" w:space="0" w:color="AAABD6"/>
              <w:bottom w:val="dotted" w:sz="4" w:space="0" w:color="AAABD6"/>
              <w:right w:val="single" w:sz="4" w:space="0" w:color="AAABD6"/>
            </w:tcBorders>
          </w:tcPr>
          <w:p w14:paraId="71821B7C" w14:textId="77777777" w:rsidR="00ED1FEB" w:rsidRPr="00100F0A" w:rsidRDefault="00ED1FEB" w:rsidP="00ED1FEB">
            <w:r w:rsidRPr="00100F0A">
              <w:t>Best</w:t>
            </w:r>
          </w:p>
        </w:tc>
        <w:tc>
          <w:tcPr>
            <w:tcW w:w="1134" w:type="dxa"/>
            <w:vMerge w:val="restart"/>
            <w:tcBorders>
              <w:top w:val="single" w:sz="4" w:space="0" w:color="AAABD6"/>
              <w:left w:val="single" w:sz="4" w:space="0" w:color="AAABD6"/>
              <w:bottom w:val="dotted" w:sz="4" w:space="0" w:color="AAABD6"/>
              <w:right w:val="single" w:sz="4" w:space="0" w:color="AAABD6"/>
            </w:tcBorders>
            <w:vAlign w:val="center"/>
          </w:tcPr>
          <w:p w14:paraId="27654C33" w14:textId="77777777" w:rsidR="00ED1FEB" w:rsidRPr="00100F0A" w:rsidRDefault="00ED1FEB" w:rsidP="00ED1FEB">
            <w:pPr>
              <w:cnfStyle w:val="000000000000" w:firstRow="0" w:lastRow="0" w:firstColumn="0" w:lastColumn="0" w:oddVBand="0" w:evenVBand="0" w:oddHBand="0" w:evenHBand="0" w:firstRowFirstColumn="0" w:firstRowLastColumn="0" w:lastRowFirstColumn="0" w:lastRowLastColumn="0"/>
            </w:pPr>
            <w:r w:rsidRPr="00100F0A">
              <w:t>ACT, NSW, NT, Qld, SA, Tas, Vic, WA</w:t>
            </w:r>
          </w:p>
        </w:tc>
        <w:tc>
          <w:tcPr>
            <w:tcW w:w="3765" w:type="dxa"/>
            <w:tcBorders>
              <w:top w:val="single" w:sz="4" w:space="0" w:color="AAABD6"/>
              <w:left w:val="single" w:sz="4" w:space="0" w:color="AAABD6"/>
              <w:bottom w:val="dotted" w:sz="4" w:space="0" w:color="AAABD6"/>
              <w:right w:val="single" w:sz="4" w:space="0" w:color="AAABD6"/>
            </w:tcBorders>
            <w:vAlign w:val="bottom"/>
          </w:tcPr>
          <w:p w14:paraId="74290695" w14:textId="18F73921" w:rsidR="00ED1FEB" w:rsidRPr="00100F0A" w:rsidRDefault="00ED1FEB" w:rsidP="00ED1FEB">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Flat trend</w:t>
            </w:r>
          </w:p>
        </w:tc>
        <w:tc>
          <w:tcPr>
            <w:tcW w:w="1560" w:type="dxa"/>
            <w:tcBorders>
              <w:top w:val="single" w:sz="4" w:space="0" w:color="AAABD6"/>
              <w:left w:val="single" w:sz="4" w:space="0" w:color="AAABD6"/>
              <w:bottom w:val="dotted" w:sz="4" w:space="0" w:color="AAABD6"/>
              <w:right w:val="single" w:sz="4" w:space="0" w:color="AAABD6"/>
            </w:tcBorders>
          </w:tcPr>
          <w:p w14:paraId="64EE7BF6" w14:textId="13C50882" w:rsidR="00ED1FEB" w:rsidRPr="00100F0A" w:rsidRDefault="00ED1FEB" w:rsidP="004206B0">
            <w:pPr>
              <w:jc w:val="center"/>
              <w:cnfStyle w:val="000000000000" w:firstRow="0" w:lastRow="0" w:firstColumn="0" w:lastColumn="0" w:oddVBand="0" w:evenVBand="0" w:oddHBand="0" w:evenHBand="0" w:firstRowFirstColumn="0" w:firstRowLastColumn="0" w:lastRowFirstColumn="0" w:lastRowLastColumn="0"/>
            </w:pPr>
            <w:r w:rsidRPr="00100F0A">
              <w:t>0.0%</w:t>
            </w:r>
          </w:p>
        </w:tc>
        <w:tc>
          <w:tcPr>
            <w:tcW w:w="425" w:type="dxa"/>
            <w:tcBorders>
              <w:top w:val="single" w:sz="4" w:space="0" w:color="AAABD6"/>
              <w:left w:val="single" w:sz="4" w:space="0" w:color="AAABD6"/>
              <w:bottom w:val="dotted" w:sz="4" w:space="0" w:color="AAABD6"/>
              <w:right w:val="single" w:sz="4" w:space="0" w:color="AAABD6"/>
            </w:tcBorders>
          </w:tcPr>
          <w:p w14:paraId="2C1673B2" w14:textId="77777777" w:rsidR="00ED1FEB" w:rsidRPr="00100F0A" w:rsidRDefault="00ED1FEB"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1479" w:type="dxa"/>
            <w:tcBorders>
              <w:top w:val="single" w:sz="4" w:space="0" w:color="AAABD6"/>
              <w:left w:val="single" w:sz="4" w:space="0" w:color="AAABD6"/>
              <w:bottom w:val="dotted" w:sz="4" w:space="0" w:color="AAABD6"/>
              <w:right w:val="single" w:sz="4" w:space="0" w:color="AAABD6"/>
            </w:tcBorders>
          </w:tcPr>
          <w:p w14:paraId="746139A5" w14:textId="6623991C" w:rsidR="00ED1FEB" w:rsidRPr="00100F0A" w:rsidRDefault="00ED1FEB" w:rsidP="004206B0">
            <w:pPr>
              <w:jc w:val="center"/>
              <w:cnfStyle w:val="000000000000" w:firstRow="0" w:lastRow="0" w:firstColumn="0" w:lastColumn="0" w:oddVBand="0" w:evenVBand="0" w:oddHBand="0" w:evenHBand="0" w:firstRowFirstColumn="0" w:firstRowLastColumn="0" w:lastRowFirstColumn="0" w:lastRowLastColumn="0"/>
            </w:pPr>
            <w:r w:rsidRPr="00100F0A">
              <w:t>0.0%</w:t>
            </w:r>
          </w:p>
        </w:tc>
      </w:tr>
      <w:tr w:rsidR="00ED1FEB" w:rsidRPr="00100F0A" w14:paraId="0C653A49" w14:textId="77777777" w:rsidTr="00CB1E01">
        <w:tc>
          <w:tcPr>
            <w:cnfStyle w:val="001000000000" w:firstRow="0" w:lastRow="0" w:firstColumn="1" w:lastColumn="0" w:oddVBand="0" w:evenVBand="0" w:oddHBand="0" w:evenHBand="0" w:firstRowFirstColumn="0" w:firstRowLastColumn="0" w:lastRowFirstColumn="0" w:lastRowLastColumn="0"/>
            <w:tcW w:w="709" w:type="dxa"/>
            <w:tcBorders>
              <w:top w:val="dotted" w:sz="4" w:space="0" w:color="AAABD6"/>
              <w:left w:val="single" w:sz="4" w:space="0" w:color="AAABD6"/>
              <w:bottom w:val="dotted" w:sz="4" w:space="0" w:color="AAABD6"/>
              <w:right w:val="single" w:sz="4" w:space="0" w:color="AAABD6"/>
            </w:tcBorders>
          </w:tcPr>
          <w:p w14:paraId="3DCE0735" w14:textId="77777777" w:rsidR="00ED1FEB" w:rsidRPr="00100F0A" w:rsidRDefault="00ED1FEB" w:rsidP="00ED1FEB">
            <w:r w:rsidRPr="00100F0A">
              <w:t>High</w:t>
            </w:r>
          </w:p>
        </w:tc>
        <w:tc>
          <w:tcPr>
            <w:tcW w:w="1134" w:type="dxa"/>
            <w:vMerge/>
            <w:tcBorders>
              <w:top w:val="dotted" w:sz="4" w:space="0" w:color="AAABD6"/>
              <w:left w:val="single" w:sz="4" w:space="0" w:color="AAABD6"/>
              <w:bottom w:val="dotted" w:sz="4" w:space="0" w:color="AAABD6"/>
              <w:right w:val="single" w:sz="4" w:space="0" w:color="AAABD6"/>
            </w:tcBorders>
            <w:vAlign w:val="center"/>
          </w:tcPr>
          <w:p w14:paraId="23F76142" w14:textId="77777777" w:rsidR="00ED1FEB" w:rsidRPr="00100F0A" w:rsidRDefault="00ED1FEB" w:rsidP="00ED1FEB">
            <w:pPr>
              <w:cnfStyle w:val="000000000000" w:firstRow="0" w:lastRow="0" w:firstColumn="0" w:lastColumn="0" w:oddVBand="0" w:evenVBand="0" w:oddHBand="0" w:evenHBand="0" w:firstRowFirstColumn="0" w:firstRowLastColumn="0" w:lastRowFirstColumn="0" w:lastRowLastColumn="0"/>
            </w:pPr>
          </w:p>
        </w:tc>
        <w:tc>
          <w:tcPr>
            <w:tcW w:w="3765" w:type="dxa"/>
            <w:tcBorders>
              <w:top w:val="dotted" w:sz="4" w:space="0" w:color="AAABD6"/>
              <w:left w:val="single" w:sz="4" w:space="0" w:color="AAABD6"/>
              <w:bottom w:val="dotted" w:sz="4" w:space="0" w:color="AAABD6"/>
              <w:right w:val="single" w:sz="4" w:space="0" w:color="AAABD6"/>
            </w:tcBorders>
            <w:vAlign w:val="bottom"/>
          </w:tcPr>
          <w:p w14:paraId="645AF51F" w14:textId="37D13AE6" w:rsidR="00ED1FEB" w:rsidRPr="00100F0A" w:rsidRDefault="00ED1FEB" w:rsidP="00ED1FEB">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As per best estimate, with adjustment below</w:t>
            </w:r>
          </w:p>
        </w:tc>
        <w:tc>
          <w:tcPr>
            <w:tcW w:w="1560" w:type="dxa"/>
            <w:tcBorders>
              <w:top w:val="dotted" w:sz="4" w:space="0" w:color="AAABD6"/>
              <w:left w:val="single" w:sz="4" w:space="0" w:color="AAABD6"/>
              <w:bottom w:val="dotted" w:sz="4" w:space="0" w:color="AAABD6"/>
              <w:right w:val="single" w:sz="4" w:space="0" w:color="AAABD6"/>
            </w:tcBorders>
          </w:tcPr>
          <w:p w14:paraId="107A7F6E" w14:textId="0065F908" w:rsidR="00ED1FEB" w:rsidRPr="00100F0A" w:rsidRDefault="00ED1FEB" w:rsidP="004206B0">
            <w:pPr>
              <w:jc w:val="center"/>
              <w:cnfStyle w:val="000000000000" w:firstRow="0" w:lastRow="0" w:firstColumn="0" w:lastColumn="0" w:oddVBand="0" w:evenVBand="0" w:oddHBand="0" w:evenHBand="0" w:firstRowFirstColumn="0" w:firstRowLastColumn="0" w:lastRowFirstColumn="0" w:lastRowLastColumn="0"/>
            </w:pPr>
            <w:r w:rsidRPr="00100F0A">
              <w:t>0.0%</w:t>
            </w:r>
          </w:p>
        </w:tc>
        <w:tc>
          <w:tcPr>
            <w:tcW w:w="425" w:type="dxa"/>
            <w:tcBorders>
              <w:top w:val="dotted" w:sz="4" w:space="0" w:color="AAABD6"/>
              <w:left w:val="single" w:sz="4" w:space="0" w:color="AAABD6"/>
              <w:bottom w:val="dotted" w:sz="4" w:space="0" w:color="AAABD6"/>
              <w:right w:val="single" w:sz="4" w:space="0" w:color="AAABD6"/>
            </w:tcBorders>
          </w:tcPr>
          <w:p w14:paraId="46775848" w14:textId="77777777" w:rsidR="00ED1FEB" w:rsidRPr="00100F0A" w:rsidRDefault="00ED1FEB"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1479" w:type="dxa"/>
            <w:tcBorders>
              <w:top w:val="dotted" w:sz="4" w:space="0" w:color="AAABD6"/>
              <w:left w:val="single" w:sz="4" w:space="0" w:color="AAABD6"/>
              <w:bottom w:val="dotted" w:sz="4" w:space="0" w:color="AAABD6"/>
              <w:right w:val="single" w:sz="4" w:space="0" w:color="AAABD6"/>
            </w:tcBorders>
          </w:tcPr>
          <w:p w14:paraId="6B829A45" w14:textId="19591CFB" w:rsidR="00ED1FEB" w:rsidRPr="00100F0A" w:rsidRDefault="00ED1FEB" w:rsidP="004206B0">
            <w:pPr>
              <w:jc w:val="center"/>
              <w:cnfStyle w:val="000000000000" w:firstRow="0" w:lastRow="0" w:firstColumn="0" w:lastColumn="0" w:oddVBand="0" w:evenVBand="0" w:oddHBand="0" w:evenHBand="0" w:firstRowFirstColumn="0" w:firstRowLastColumn="0" w:lastRowFirstColumn="0" w:lastRowLastColumn="0"/>
            </w:pPr>
            <w:r w:rsidRPr="00100F0A">
              <w:t>0.0%</w:t>
            </w:r>
          </w:p>
        </w:tc>
      </w:tr>
      <w:tr w:rsidR="00ED1FEB" w:rsidRPr="00100F0A" w14:paraId="2631229A" w14:textId="77777777" w:rsidTr="00CB1E01">
        <w:tc>
          <w:tcPr>
            <w:cnfStyle w:val="001000000000" w:firstRow="0" w:lastRow="0" w:firstColumn="1" w:lastColumn="0" w:oddVBand="0" w:evenVBand="0" w:oddHBand="0" w:evenHBand="0" w:firstRowFirstColumn="0" w:firstRowLastColumn="0" w:lastRowFirstColumn="0" w:lastRowLastColumn="0"/>
            <w:tcW w:w="709" w:type="dxa"/>
            <w:tcBorders>
              <w:top w:val="dotted" w:sz="4" w:space="0" w:color="AAABD6"/>
              <w:left w:val="single" w:sz="4" w:space="0" w:color="AAABD6"/>
              <w:bottom w:val="single" w:sz="4" w:space="0" w:color="AAABD6"/>
              <w:right w:val="single" w:sz="4" w:space="0" w:color="AAABD6"/>
            </w:tcBorders>
          </w:tcPr>
          <w:p w14:paraId="2279C7AE" w14:textId="77777777" w:rsidR="00ED1FEB" w:rsidRPr="00100F0A" w:rsidRDefault="00ED1FEB" w:rsidP="00ED1FEB">
            <w:r w:rsidRPr="00100F0A">
              <w:t>Low</w:t>
            </w:r>
          </w:p>
        </w:tc>
        <w:tc>
          <w:tcPr>
            <w:tcW w:w="1134" w:type="dxa"/>
            <w:vMerge/>
            <w:tcBorders>
              <w:top w:val="dotted" w:sz="4" w:space="0" w:color="AAABD6"/>
              <w:left w:val="single" w:sz="4" w:space="0" w:color="AAABD6"/>
              <w:bottom w:val="single" w:sz="4" w:space="0" w:color="AAABD6"/>
              <w:right w:val="single" w:sz="4" w:space="0" w:color="AAABD6"/>
            </w:tcBorders>
            <w:vAlign w:val="center"/>
          </w:tcPr>
          <w:p w14:paraId="34EE2ACA" w14:textId="77777777" w:rsidR="00ED1FEB" w:rsidRPr="00100F0A" w:rsidRDefault="00ED1FEB" w:rsidP="00ED1FEB">
            <w:pPr>
              <w:cnfStyle w:val="000000000000" w:firstRow="0" w:lastRow="0" w:firstColumn="0" w:lastColumn="0" w:oddVBand="0" w:evenVBand="0" w:oddHBand="0" w:evenHBand="0" w:firstRowFirstColumn="0" w:firstRowLastColumn="0" w:lastRowFirstColumn="0" w:lastRowLastColumn="0"/>
            </w:pPr>
          </w:p>
        </w:tc>
        <w:tc>
          <w:tcPr>
            <w:tcW w:w="3765" w:type="dxa"/>
            <w:tcBorders>
              <w:top w:val="dotted" w:sz="4" w:space="0" w:color="AAABD6"/>
              <w:left w:val="single" w:sz="4" w:space="0" w:color="AAABD6"/>
              <w:bottom w:val="single" w:sz="4" w:space="0" w:color="AAABD6"/>
              <w:right w:val="single" w:sz="4" w:space="0" w:color="AAABD6"/>
            </w:tcBorders>
            <w:vAlign w:val="bottom"/>
          </w:tcPr>
          <w:p w14:paraId="2FEC5349" w14:textId="12CCA6F8" w:rsidR="00ED1FEB" w:rsidRPr="00100F0A" w:rsidRDefault="00ED1FEB" w:rsidP="00ED1FEB">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As per best estimate, with adjustment below</w:t>
            </w:r>
          </w:p>
        </w:tc>
        <w:tc>
          <w:tcPr>
            <w:tcW w:w="1560" w:type="dxa"/>
            <w:tcBorders>
              <w:top w:val="dotted" w:sz="4" w:space="0" w:color="AAABD6"/>
              <w:left w:val="single" w:sz="4" w:space="0" w:color="AAABD6"/>
              <w:bottom w:val="single" w:sz="4" w:space="0" w:color="AAABD6"/>
              <w:right w:val="single" w:sz="4" w:space="0" w:color="AAABD6"/>
            </w:tcBorders>
          </w:tcPr>
          <w:p w14:paraId="1843F170" w14:textId="617ED5C3" w:rsidR="00ED1FEB" w:rsidRPr="00100F0A" w:rsidRDefault="00ED1FEB" w:rsidP="004206B0">
            <w:pPr>
              <w:jc w:val="center"/>
              <w:cnfStyle w:val="000000000000" w:firstRow="0" w:lastRow="0" w:firstColumn="0" w:lastColumn="0" w:oddVBand="0" w:evenVBand="0" w:oddHBand="0" w:evenHBand="0" w:firstRowFirstColumn="0" w:firstRowLastColumn="0" w:lastRowFirstColumn="0" w:lastRowLastColumn="0"/>
            </w:pPr>
            <w:r w:rsidRPr="00100F0A">
              <w:t>0.0%</w:t>
            </w:r>
          </w:p>
        </w:tc>
        <w:tc>
          <w:tcPr>
            <w:tcW w:w="425" w:type="dxa"/>
            <w:tcBorders>
              <w:top w:val="dotted" w:sz="4" w:space="0" w:color="AAABD6"/>
              <w:left w:val="single" w:sz="4" w:space="0" w:color="AAABD6"/>
              <w:bottom w:val="single" w:sz="4" w:space="0" w:color="AAABD6"/>
              <w:right w:val="single" w:sz="4" w:space="0" w:color="AAABD6"/>
            </w:tcBorders>
          </w:tcPr>
          <w:p w14:paraId="019207F8" w14:textId="77777777" w:rsidR="00ED1FEB" w:rsidRPr="00100F0A" w:rsidRDefault="00ED1FEB"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1479" w:type="dxa"/>
            <w:tcBorders>
              <w:top w:val="dotted" w:sz="4" w:space="0" w:color="AAABD6"/>
              <w:left w:val="single" w:sz="4" w:space="0" w:color="AAABD6"/>
              <w:bottom w:val="single" w:sz="4" w:space="0" w:color="AAABD6"/>
              <w:right w:val="single" w:sz="4" w:space="0" w:color="AAABD6"/>
            </w:tcBorders>
          </w:tcPr>
          <w:p w14:paraId="5A4863FF" w14:textId="09073009" w:rsidR="00ED1FEB" w:rsidRPr="00100F0A" w:rsidRDefault="00ED1FEB" w:rsidP="004206B0">
            <w:pPr>
              <w:jc w:val="center"/>
              <w:cnfStyle w:val="000000000000" w:firstRow="0" w:lastRow="0" w:firstColumn="0" w:lastColumn="0" w:oddVBand="0" w:evenVBand="0" w:oddHBand="0" w:evenHBand="0" w:firstRowFirstColumn="0" w:firstRowLastColumn="0" w:lastRowFirstColumn="0" w:lastRowLastColumn="0"/>
            </w:pPr>
            <w:r w:rsidRPr="00100F0A">
              <w:t>0.0%</w:t>
            </w:r>
          </w:p>
        </w:tc>
      </w:tr>
      <w:tr w:rsidR="00ED1FEB" w:rsidRPr="00100F0A" w14:paraId="3CCE99CA" w14:textId="77777777" w:rsidTr="00ED1FEB">
        <w:tc>
          <w:tcPr>
            <w:cnfStyle w:val="001000000000" w:firstRow="0" w:lastRow="0" w:firstColumn="1" w:lastColumn="0" w:oddVBand="0" w:evenVBand="0" w:oddHBand="0" w:evenHBand="0" w:firstRowFirstColumn="0" w:firstRowLastColumn="0" w:lastRowFirstColumn="0" w:lastRowLastColumn="0"/>
            <w:tcW w:w="9072" w:type="dxa"/>
            <w:gridSpan w:val="6"/>
            <w:tcBorders>
              <w:top w:val="single" w:sz="4" w:space="0" w:color="AAABD6"/>
              <w:left w:val="single" w:sz="4" w:space="0" w:color="AAABD6"/>
              <w:bottom w:val="single" w:sz="4" w:space="0" w:color="AAABD6"/>
              <w:right w:val="single" w:sz="4" w:space="0" w:color="AAABD6"/>
            </w:tcBorders>
          </w:tcPr>
          <w:p w14:paraId="795E96DD" w14:textId="2D3714AE" w:rsidR="00ED1FEB" w:rsidRPr="00100F0A" w:rsidRDefault="00ED1FEB" w:rsidP="00B30B8D">
            <w:r w:rsidRPr="00100F0A">
              <w:rPr>
                <w:iCs/>
                <w:color w:val="4D4DB8"/>
                <w:szCs w:val="18"/>
              </w:rPr>
              <w:t>Arisings – absolute tonnes pa</w:t>
            </w:r>
          </w:p>
        </w:tc>
      </w:tr>
      <w:tr w:rsidR="00CB1E01" w:rsidRPr="00100F0A" w14:paraId="51A047CA" w14:textId="77777777" w:rsidTr="00DA7639">
        <w:tc>
          <w:tcPr>
            <w:cnfStyle w:val="001000000000" w:firstRow="0" w:lastRow="0" w:firstColumn="1" w:lastColumn="0" w:oddVBand="0" w:evenVBand="0" w:oddHBand="0" w:evenHBand="0" w:firstRowFirstColumn="0" w:firstRowLastColumn="0" w:lastRowFirstColumn="0" w:lastRowLastColumn="0"/>
            <w:tcW w:w="709" w:type="dxa"/>
            <w:vMerge w:val="restart"/>
            <w:tcBorders>
              <w:top w:val="single" w:sz="4" w:space="0" w:color="AAABD6"/>
              <w:left w:val="single" w:sz="4" w:space="0" w:color="AAABD6"/>
              <w:right w:val="single" w:sz="4" w:space="0" w:color="AAABD6"/>
            </w:tcBorders>
            <w:vAlign w:val="center"/>
          </w:tcPr>
          <w:p w14:paraId="498E110C" w14:textId="74275B12" w:rsidR="00CB1E01" w:rsidRPr="00100F0A" w:rsidRDefault="00CB1E01" w:rsidP="00CB1E01">
            <w:r w:rsidRPr="00100F0A">
              <w:t>High</w:t>
            </w:r>
          </w:p>
        </w:tc>
        <w:tc>
          <w:tcPr>
            <w:tcW w:w="1134" w:type="dxa"/>
            <w:tcBorders>
              <w:top w:val="single" w:sz="4" w:space="0" w:color="AAABD6"/>
              <w:left w:val="single" w:sz="4" w:space="0" w:color="AAABD6"/>
              <w:bottom w:val="dotted" w:sz="4" w:space="0" w:color="AAABD6"/>
              <w:right w:val="single" w:sz="4" w:space="0" w:color="AAABD6"/>
            </w:tcBorders>
            <w:vAlign w:val="center"/>
          </w:tcPr>
          <w:p w14:paraId="6A30CF73" w14:textId="537CB1B3" w:rsidR="00CB1E01" w:rsidRPr="00100F0A" w:rsidRDefault="00CB1E01" w:rsidP="00CB1E01">
            <w:pPr>
              <w:cnfStyle w:val="000000000000" w:firstRow="0" w:lastRow="0" w:firstColumn="0" w:lastColumn="0" w:oddVBand="0" w:evenVBand="0" w:oddHBand="0" w:evenHBand="0" w:firstRowFirstColumn="0" w:firstRowLastColumn="0" w:lastRowFirstColumn="0" w:lastRowLastColumn="0"/>
            </w:pPr>
            <w:r w:rsidRPr="00100F0A">
              <w:t>ACT</w:t>
            </w:r>
          </w:p>
        </w:tc>
        <w:tc>
          <w:tcPr>
            <w:tcW w:w="3765" w:type="dxa"/>
            <w:vMerge w:val="restart"/>
            <w:tcBorders>
              <w:top w:val="single" w:sz="4" w:space="0" w:color="AAABD6"/>
              <w:left w:val="single" w:sz="4" w:space="0" w:color="AAABD6"/>
              <w:right w:val="single" w:sz="4" w:space="0" w:color="AAABD6"/>
            </w:tcBorders>
            <w:vAlign w:val="center"/>
          </w:tcPr>
          <w:p w14:paraId="6D9363AA" w14:textId="272F1FF9" w:rsidR="00CB1E01" w:rsidRPr="00100F0A" w:rsidRDefault="00CB1E01" w:rsidP="00CB1E01">
            <w:pPr>
              <w:cnfStyle w:val="000000000000" w:firstRow="0" w:lastRow="0" w:firstColumn="0" w:lastColumn="0" w:oddVBand="0" w:evenVBand="0" w:oddHBand="0" w:evenHBand="0" w:firstRowFirstColumn="0" w:firstRowLastColumn="0" w:lastRowFirstColumn="0" w:lastRowLastColumn="0"/>
            </w:pPr>
            <w:r w:rsidRPr="00100F0A">
              <w:t>Best estimate (absolute) + 50%</w:t>
            </w:r>
          </w:p>
        </w:tc>
        <w:tc>
          <w:tcPr>
            <w:tcW w:w="1560" w:type="dxa"/>
            <w:tcBorders>
              <w:top w:val="single" w:sz="4" w:space="0" w:color="AAABD6"/>
              <w:left w:val="single" w:sz="4" w:space="0" w:color="AAABD6"/>
              <w:bottom w:val="dotted" w:sz="4" w:space="0" w:color="AAABD6"/>
              <w:right w:val="single" w:sz="4" w:space="0" w:color="AAABD6"/>
            </w:tcBorders>
            <w:vAlign w:val="bottom"/>
          </w:tcPr>
          <w:p w14:paraId="4A635862" w14:textId="5CDB4DEC"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11</w:t>
            </w:r>
          </w:p>
        </w:tc>
        <w:tc>
          <w:tcPr>
            <w:tcW w:w="425" w:type="dxa"/>
            <w:tcBorders>
              <w:top w:val="single" w:sz="4" w:space="0" w:color="AAABD6"/>
              <w:left w:val="single" w:sz="4" w:space="0" w:color="AAABD6"/>
              <w:bottom w:val="dotted" w:sz="4" w:space="0" w:color="AAABD6"/>
              <w:right w:val="single" w:sz="4" w:space="0" w:color="AAABD6"/>
            </w:tcBorders>
          </w:tcPr>
          <w:p w14:paraId="60428988" w14:textId="3C817070"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1479" w:type="dxa"/>
            <w:tcBorders>
              <w:top w:val="single" w:sz="4" w:space="0" w:color="AAABD6"/>
              <w:left w:val="single" w:sz="4" w:space="0" w:color="AAABD6"/>
              <w:bottom w:val="dotted" w:sz="4" w:space="0" w:color="AAABD6"/>
              <w:right w:val="single" w:sz="4" w:space="0" w:color="AAABD6"/>
            </w:tcBorders>
            <w:vAlign w:val="bottom"/>
          </w:tcPr>
          <w:p w14:paraId="73A30FC1" w14:textId="29438832"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11</w:t>
            </w:r>
          </w:p>
        </w:tc>
      </w:tr>
      <w:tr w:rsidR="00CB1E01" w:rsidRPr="00100F0A" w14:paraId="15DFF2CD" w14:textId="77777777" w:rsidTr="00DA7639">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62B4E9A0" w14:textId="77777777" w:rsidR="00CB1E01" w:rsidRPr="00100F0A" w:rsidRDefault="00CB1E01" w:rsidP="00CB1E01"/>
        </w:tc>
        <w:tc>
          <w:tcPr>
            <w:tcW w:w="1134" w:type="dxa"/>
            <w:tcBorders>
              <w:top w:val="dotted" w:sz="4" w:space="0" w:color="AAABD6"/>
              <w:left w:val="single" w:sz="4" w:space="0" w:color="AAABD6"/>
              <w:bottom w:val="dotted" w:sz="4" w:space="0" w:color="AAABD6"/>
              <w:right w:val="single" w:sz="4" w:space="0" w:color="AAABD6"/>
            </w:tcBorders>
            <w:vAlign w:val="center"/>
          </w:tcPr>
          <w:p w14:paraId="51737D3C" w14:textId="540A7727" w:rsidR="00CB1E01" w:rsidRPr="00100F0A" w:rsidRDefault="00CB1E01" w:rsidP="00CB1E01">
            <w:pPr>
              <w:cnfStyle w:val="000000000000" w:firstRow="0" w:lastRow="0" w:firstColumn="0" w:lastColumn="0" w:oddVBand="0" w:evenVBand="0" w:oddHBand="0" w:evenHBand="0" w:firstRowFirstColumn="0" w:firstRowLastColumn="0" w:lastRowFirstColumn="0" w:lastRowLastColumn="0"/>
            </w:pPr>
            <w:r w:rsidRPr="00100F0A">
              <w:t>NSW</w:t>
            </w:r>
          </w:p>
        </w:tc>
        <w:tc>
          <w:tcPr>
            <w:tcW w:w="3765" w:type="dxa"/>
            <w:vMerge/>
            <w:tcBorders>
              <w:left w:val="single" w:sz="4" w:space="0" w:color="AAABD6"/>
              <w:right w:val="single" w:sz="4" w:space="0" w:color="AAABD6"/>
            </w:tcBorders>
          </w:tcPr>
          <w:p w14:paraId="5698517E" w14:textId="77777777" w:rsidR="00CB1E01" w:rsidRPr="00100F0A" w:rsidRDefault="00CB1E01" w:rsidP="00CB1E01">
            <w:pPr>
              <w:cnfStyle w:val="000000000000" w:firstRow="0" w:lastRow="0" w:firstColumn="0" w:lastColumn="0" w:oddVBand="0" w:evenVBand="0" w:oddHBand="0" w:evenHBand="0" w:firstRowFirstColumn="0" w:firstRowLastColumn="0" w:lastRowFirstColumn="0" w:lastRowLastColumn="0"/>
            </w:pPr>
          </w:p>
        </w:tc>
        <w:tc>
          <w:tcPr>
            <w:tcW w:w="1560" w:type="dxa"/>
            <w:tcBorders>
              <w:top w:val="dotted" w:sz="4" w:space="0" w:color="AAABD6"/>
              <w:left w:val="single" w:sz="4" w:space="0" w:color="AAABD6"/>
              <w:bottom w:val="dotted" w:sz="4" w:space="0" w:color="AAABD6"/>
              <w:right w:val="single" w:sz="4" w:space="0" w:color="AAABD6"/>
            </w:tcBorders>
            <w:vAlign w:val="bottom"/>
          </w:tcPr>
          <w:p w14:paraId="2C7B41CA" w14:textId="6449519D"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174,188</w:t>
            </w:r>
          </w:p>
        </w:tc>
        <w:tc>
          <w:tcPr>
            <w:tcW w:w="425" w:type="dxa"/>
            <w:tcBorders>
              <w:top w:val="dotted" w:sz="4" w:space="0" w:color="AAABD6"/>
              <w:left w:val="single" w:sz="4" w:space="0" w:color="AAABD6"/>
              <w:bottom w:val="dotted" w:sz="4" w:space="0" w:color="AAABD6"/>
              <w:right w:val="single" w:sz="4" w:space="0" w:color="AAABD6"/>
            </w:tcBorders>
          </w:tcPr>
          <w:p w14:paraId="0F97B542" w14:textId="4CC33DEC"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1479" w:type="dxa"/>
            <w:tcBorders>
              <w:top w:val="dotted" w:sz="4" w:space="0" w:color="AAABD6"/>
              <w:left w:val="single" w:sz="4" w:space="0" w:color="AAABD6"/>
              <w:bottom w:val="dotted" w:sz="4" w:space="0" w:color="AAABD6"/>
              <w:right w:val="single" w:sz="4" w:space="0" w:color="AAABD6"/>
            </w:tcBorders>
            <w:vAlign w:val="bottom"/>
          </w:tcPr>
          <w:p w14:paraId="4A115468" w14:textId="1ECCBC1C"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174,188</w:t>
            </w:r>
          </w:p>
        </w:tc>
      </w:tr>
      <w:tr w:rsidR="00CB1E01" w:rsidRPr="00100F0A" w14:paraId="138E46C1" w14:textId="77777777" w:rsidTr="00DA7639">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3EB449CD" w14:textId="77777777" w:rsidR="00CB1E01" w:rsidRPr="00100F0A" w:rsidRDefault="00CB1E01" w:rsidP="00CB1E01"/>
        </w:tc>
        <w:tc>
          <w:tcPr>
            <w:tcW w:w="1134" w:type="dxa"/>
            <w:tcBorders>
              <w:top w:val="dotted" w:sz="4" w:space="0" w:color="AAABD6"/>
              <w:left w:val="single" w:sz="4" w:space="0" w:color="AAABD6"/>
              <w:bottom w:val="dotted" w:sz="4" w:space="0" w:color="AAABD6"/>
              <w:right w:val="single" w:sz="4" w:space="0" w:color="AAABD6"/>
            </w:tcBorders>
            <w:vAlign w:val="center"/>
          </w:tcPr>
          <w:p w14:paraId="258022C7" w14:textId="34FA670C" w:rsidR="00CB1E01" w:rsidRPr="00100F0A" w:rsidRDefault="00CB1E01" w:rsidP="00CB1E01">
            <w:pPr>
              <w:cnfStyle w:val="000000000000" w:firstRow="0" w:lastRow="0" w:firstColumn="0" w:lastColumn="0" w:oddVBand="0" w:evenVBand="0" w:oddHBand="0" w:evenHBand="0" w:firstRowFirstColumn="0" w:firstRowLastColumn="0" w:lastRowFirstColumn="0" w:lastRowLastColumn="0"/>
            </w:pPr>
            <w:r w:rsidRPr="00100F0A">
              <w:t>NT</w:t>
            </w:r>
          </w:p>
        </w:tc>
        <w:tc>
          <w:tcPr>
            <w:tcW w:w="3765" w:type="dxa"/>
            <w:vMerge/>
            <w:tcBorders>
              <w:left w:val="single" w:sz="4" w:space="0" w:color="AAABD6"/>
              <w:right w:val="single" w:sz="4" w:space="0" w:color="AAABD6"/>
            </w:tcBorders>
          </w:tcPr>
          <w:p w14:paraId="3FC2F5F3" w14:textId="77777777" w:rsidR="00CB1E01" w:rsidRPr="00100F0A" w:rsidRDefault="00CB1E01" w:rsidP="00CB1E01">
            <w:pPr>
              <w:cnfStyle w:val="000000000000" w:firstRow="0" w:lastRow="0" w:firstColumn="0" w:lastColumn="0" w:oddVBand="0" w:evenVBand="0" w:oddHBand="0" w:evenHBand="0" w:firstRowFirstColumn="0" w:firstRowLastColumn="0" w:lastRowFirstColumn="0" w:lastRowLastColumn="0"/>
            </w:pPr>
          </w:p>
        </w:tc>
        <w:tc>
          <w:tcPr>
            <w:tcW w:w="1560" w:type="dxa"/>
            <w:tcBorders>
              <w:top w:val="dotted" w:sz="4" w:space="0" w:color="AAABD6"/>
              <w:left w:val="single" w:sz="4" w:space="0" w:color="AAABD6"/>
              <w:bottom w:val="dotted" w:sz="4" w:space="0" w:color="AAABD6"/>
              <w:right w:val="single" w:sz="4" w:space="0" w:color="AAABD6"/>
            </w:tcBorders>
            <w:vAlign w:val="bottom"/>
          </w:tcPr>
          <w:p w14:paraId="356233F5" w14:textId="6BCCF00A"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4,323</w:t>
            </w:r>
          </w:p>
        </w:tc>
        <w:tc>
          <w:tcPr>
            <w:tcW w:w="425" w:type="dxa"/>
            <w:tcBorders>
              <w:top w:val="dotted" w:sz="4" w:space="0" w:color="AAABD6"/>
              <w:left w:val="single" w:sz="4" w:space="0" w:color="AAABD6"/>
              <w:bottom w:val="dotted" w:sz="4" w:space="0" w:color="AAABD6"/>
              <w:right w:val="single" w:sz="4" w:space="0" w:color="AAABD6"/>
            </w:tcBorders>
          </w:tcPr>
          <w:p w14:paraId="13701F30" w14:textId="792B5A47"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1479" w:type="dxa"/>
            <w:tcBorders>
              <w:top w:val="dotted" w:sz="4" w:space="0" w:color="AAABD6"/>
              <w:left w:val="single" w:sz="4" w:space="0" w:color="AAABD6"/>
              <w:bottom w:val="dotted" w:sz="4" w:space="0" w:color="AAABD6"/>
              <w:right w:val="single" w:sz="4" w:space="0" w:color="AAABD6"/>
            </w:tcBorders>
            <w:vAlign w:val="bottom"/>
          </w:tcPr>
          <w:p w14:paraId="4F693E77" w14:textId="2F593EC3"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4,323</w:t>
            </w:r>
          </w:p>
        </w:tc>
      </w:tr>
      <w:tr w:rsidR="00CB1E01" w:rsidRPr="00100F0A" w14:paraId="1AA52DBF" w14:textId="77777777" w:rsidTr="00DA7639">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791ECD75" w14:textId="77777777" w:rsidR="00CB1E01" w:rsidRPr="00100F0A" w:rsidRDefault="00CB1E01" w:rsidP="00CB1E01"/>
        </w:tc>
        <w:tc>
          <w:tcPr>
            <w:tcW w:w="1134" w:type="dxa"/>
            <w:tcBorders>
              <w:top w:val="dotted" w:sz="4" w:space="0" w:color="AAABD6"/>
              <w:left w:val="single" w:sz="4" w:space="0" w:color="AAABD6"/>
              <w:bottom w:val="dotted" w:sz="4" w:space="0" w:color="AAABD6"/>
              <w:right w:val="single" w:sz="4" w:space="0" w:color="AAABD6"/>
            </w:tcBorders>
            <w:vAlign w:val="center"/>
          </w:tcPr>
          <w:p w14:paraId="2DBCE755" w14:textId="6E84CFAE" w:rsidR="00CB1E01" w:rsidRPr="00100F0A" w:rsidRDefault="00CB1E01" w:rsidP="00CB1E01">
            <w:pPr>
              <w:cnfStyle w:val="000000000000" w:firstRow="0" w:lastRow="0" w:firstColumn="0" w:lastColumn="0" w:oddVBand="0" w:evenVBand="0" w:oddHBand="0" w:evenHBand="0" w:firstRowFirstColumn="0" w:firstRowLastColumn="0" w:lastRowFirstColumn="0" w:lastRowLastColumn="0"/>
            </w:pPr>
            <w:r w:rsidRPr="00100F0A">
              <w:t>Qld</w:t>
            </w:r>
          </w:p>
        </w:tc>
        <w:tc>
          <w:tcPr>
            <w:tcW w:w="3765" w:type="dxa"/>
            <w:vMerge/>
            <w:tcBorders>
              <w:left w:val="single" w:sz="4" w:space="0" w:color="AAABD6"/>
              <w:right w:val="single" w:sz="4" w:space="0" w:color="AAABD6"/>
            </w:tcBorders>
          </w:tcPr>
          <w:p w14:paraId="43037C06" w14:textId="77777777" w:rsidR="00CB1E01" w:rsidRPr="00100F0A" w:rsidRDefault="00CB1E01" w:rsidP="00CB1E01">
            <w:pPr>
              <w:cnfStyle w:val="000000000000" w:firstRow="0" w:lastRow="0" w:firstColumn="0" w:lastColumn="0" w:oddVBand="0" w:evenVBand="0" w:oddHBand="0" w:evenHBand="0" w:firstRowFirstColumn="0" w:firstRowLastColumn="0" w:lastRowFirstColumn="0" w:lastRowLastColumn="0"/>
            </w:pPr>
          </w:p>
        </w:tc>
        <w:tc>
          <w:tcPr>
            <w:tcW w:w="1560" w:type="dxa"/>
            <w:tcBorders>
              <w:top w:val="dotted" w:sz="4" w:space="0" w:color="AAABD6"/>
              <w:left w:val="single" w:sz="4" w:space="0" w:color="AAABD6"/>
              <w:bottom w:val="dotted" w:sz="4" w:space="0" w:color="AAABD6"/>
              <w:right w:val="single" w:sz="4" w:space="0" w:color="AAABD6"/>
            </w:tcBorders>
            <w:vAlign w:val="bottom"/>
          </w:tcPr>
          <w:p w14:paraId="77B9CB57" w14:textId="3021A113"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283,767</w:t>
            </w:r>
          </w:p>
        </w:tc>
        <w:tc>
          <w:tcPr>
            <w:tcW w:w="425" w:type="dxa"/>
            <w:tcBorders>
              <w:top w:val="dotted" w:sz="4" w:space="0" w:color="AAABD6"/>
              <w:left w:val="single" w:sz="4" w:space="0" w:color="AAABD6"/>
              <w:bottom w:val="dotted" w:sz="4" w:space="0" w:color="AAABD6"/>
              <w:right w:val="single" w:sz="4" w:space="0" w:color="AAABD6"/>
            </w:tcBorders>
          </w:tcPr>
          <w:p w14:paraId="2DBACEA7" w14:textId="0F3343F1"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1479" w:type="dxa"/>
            <w:tcBorders>
              <w:top w:val="dotted" w:sz="4" w:space="0" w:color="AAABD6"/>
              <w:left w:val="single" w:sz="4" w:space="0" w:color="AAABD6"/>
              <w:bottom w:val="dotted" w:sz="4" w:space="0" w:color="AAABD6"/>
              <w:right w:val="single" w:sz="4" w:space="0" w:color="AAABD6"/>
            </w:tcBorders>
            <w:vAlign w:val="bottom"/>
          </w:tcPr>
          <w:p w14:paraId="7296B4DB" w14:textId="0DC98859"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sz w:val="16"/>
                <w:szCs w:val="16"/>
              </w:rPr>
              <w:t>283,767</w:t>
            </w:r>
          </w:p>
        </w:tc>
      </w:tr>
      <w:tr w:rsidR="00CB1E01" w:rsidRPr="00100F0A" w14:paraId="7043B741" w14:textId="77777777" w:rsidTr="00DA7639">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0C83F8BD" w14:textId="77777777" w:rsidR="00CB1E01" w:rsidRPr="00100F0A" w:rsidRDefault="00CB1E01" w:rsidP="00CB1E01"/>
        </w:tc>
        <w:tc>
          <w:tcPr>
            <w:tcW w:w="1134" w:type="dxa"/>
            <w:tcBorders>
              <w:top w:val="dotted" w:sz="4" w:space="0" w:color="AAABD6"/>
              <w:left w:val="single" w:sz="4" w:space="0" w:color="AAABD6"/>
              <w:bottom w:val="dotted" w:sz="4" w:space="0" w:color="AAABD6"/>
              <w:right w:val="single" w:sz="4" w:space="0" w:color="AAABD6"/>
            </w:tcBorders>
            <w:vAlign w:val="center"/>
          </w:tcPr>
          <w:p w14:paraId="3DEA3570" w14:textId="071DBA92" w:rsidR="00CB1E01" w:rsidRPr="00100F0A" w:rsidRDefault="00CB1E01" w:rsidP="00CB1E01">
            <w:pPr>
              <w:cnfStyle w:val="000000000000" w:firstRow="0" w:lastRow="0" w:firstColumn="0" w:lastColumn="0" w:oddVBand="0" w:evenVBand="0" w:oddHBand="0" w:evenHBand="0" w:firstRowFirstColumn="0" w:firstRowLastColumn="0" w:lastRowFirstColumn="0" w:lastRowLastColumn="0"/>
            </w:pPr>
            <w:r w:rsidRPr="00100F0A">
              <w:t>SA</w:t>
            </w:r>
          </w:p>
        </w:tc>
        <w:tc>
          <w:tcPr>
            <w:tcW w:w="3765" w:type="dxa"/>
            <w:vMerge/>
            <w:tcBorders>
              <w:left w:val="single" w:sz="4" w:space="0" w:color="AAABD6"/>
              <w:right w:val="single" w:sz="4" w:space="0" w:color="AAABD6"/>
            </w:tcBorders>
          </w:tcPr>
          <w:p w14:paraId="5D10EE2A" w14:textId="77777777" w:rsidR="00CB1E01" w:rsidRPr="00100F0A" w:rsidRDefault="00CB1E01" w:rsidP="00CB1E01">
            <w:pPr>
              <w:cnfStyle w:val="000000000000" w:firstRow="0" w:lastRow="0" w:firstColumn="0" w:lastColumn="0" w:oddVBand="0" w:evenVBand="0" w:oddHBand="0" w:evenHBand="0" w:firstRowFirstColumn="0" w:firstRowLastColumn="0" w:lastRowFirstColumn="0" w:lastRowLastColumn="0"/>
            </w:pPr>
          </w:p>
        </w:tc>
        <w:tc>
          <w:tcPr>
            <w:tcW w:w="1560" w:type="dxa"/>
            <w:tcBorders>
              <w:top w:val="dotted" w:sz="4" w:space="0" w:color="AAABD6"/>
              <w:left w:val="single" w:sz="4" w:space="0" w:color="AAABD6"/>
              <w:bottom w:val="dotted" w:sz="4" w:space="0" w:color="AAABD6"/>
              <w:right w:val="single" w:sz="4" w:space="0" w:color="AAABD6"/>
            </w:tcBorders>
            <w:vAlign w:val="bottom"/>
          </w:tcPr>
          <w:p w14:paraId="6D8DB159" w14:textId="152D300B"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113,819</w:t>
            </w:r>
          </w:p>
        </w:tc>
        <w:tc>
          <w:tcPr>
            <w:tcW w:w="425" w:type="dxa"/>
            <w:tcBorders>
              <w:top w:val="dotted" w:sz="4" w:space="0" w:color="AAABD6"/>
              <w:left w:val="single" w:sz="4" w:space="0" w:color="AAABD6"/>
              <w:bottom w:val="dotted" w:sz="4" w:space="0" w:color="AAABD6"/>
              <w:right w:val="single" w:sz="4" w:space="0" w:color="AAABD6"/>
            </w:tcBorders>
          </w:tcPr>
          <w:p w14:paraId="6FD99957" w14:textId="3CC228A0"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1479" w:type="dxa"/>
            <w:tcBorders>
              <w:top w:val="dotted" w:sz="4" w:space="0" w:color="AAABD6"/>
              <w:left w:val="single" w:sz="4" w:space="0" w:color="AAABD6"/>
              <w:bottom w:val="dotted" w:sz="4" w:space="0" w:color="AAABD6"/>
              <w:right w:val="single" w:sz="4" w:space="0" w:color="AAABD6"/>
            </w:tcBorders>
            <w:vAlign w:val="bottom"/>
          </w:tcPr>
          <w:p w14:paraId="09DCA21C" w14:textId="07807914"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113,819</w:t>
            </w:r>
          </w:p>
        </w:tc>
      </w:tr>
      <w:tr w:rsidR="00CB1E01" w:rsidRPr="00100F0A" w14:paraId="24812606" w14:textId="77777777" w:rsidTr="00DA7639">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70DA2375" w14:textId="77777777" w:rsidR="00CB1E01" w:rsidRPr="00100F0A" w:rsidRDefault="00CB1E01" w:rsidP="00CB1E01"/>
        </w:tc>
        <w:tc>
          <w:tcPr>
            <w:tcW w:w="1134" w:type="dxa"/>
            <w:tcBorders>
              <w:top w:val="dotted" w:sz="4" w:space="0" w:color="AAABD6"/>
              <w:left w:val="single" w:sz="4" w:space="0" w:color="AAABD6"/>
              <w:bottom w:val="dotted" w:sz="4" w:space="0" w:color="AAABD6"/>
              <w:right w:val="single" w:sz="4" w:space="0" w:color="AAABD6"/>
            </w:tcBorders>
            <w:vAlign w:val="center"/>
          </w:tcPr>
          <w:p w14:paraId="7B8F409A" w14:textId="34B701F6" w:rsidR="00CB1E01" w:rsidRPr="00100F0A" w:rsidRDefault="00CB1E01" w:rsidP="00CB1E01">
            <w:pPr>
              <w:cnfStyle w:val="000000000000" w:firstRow="0" w:lastRow="0" w:firstColumn="0" w:lastColumn="0" w:oddVBand="0" w:evenVBand="0" w:oddHBand="0" w:evenHBand="0" w:firstRowFirstColumn="0" w:firstRowLastColumn="0" w:lastRowFirstColumn="0" w:lastRowLastColumn="0"/>
            </w:pPr>
            <w:r w:rsidRPr="00100F0A">
              <w:t>Tas</w:t>
            </w:r>
          </w:p>
        </w:tc>
        <w:tc>
          <w:tcPr>
            <w:tcW w:w="3765" w:type="dxa"/>
            <w:vMerge/>
            <w:tcBorders>
              <w:left w:val="single" w:sz="4" w:space="0" w:color="AAABD6"/>
              <w:right w:val="single" w:sz="4" w:space="0" w:color="AAABD6"/>
            </w:tcBorders>
          </w:tcPr>
          <w:p w14:paraId="41AE52F3" w14:textId="77777777" w:rsidR="00CB1E01" w:rsidRPr="00100F0A" w:rsidRDefault="00CB1E01" w:rsidP="00CB1E01">
            <w:pPr>
              <w:cnfStyle w:val="000000000000" w:firstRow="0" w:lastRow="0" w:firstColumn="0" w:lastColumn="0" w:oddVBand="0" w:evenVBand="0" w:oddHBand="0" w:evenHBand="0" w:firstRowFirstColumn="0" w:firstRowLastColumn="0" w:lastRowFirstColumn="0" w:lastRowLastColumn="0"/>
            </w:pPr>
          </w:p>
        </w:tc>
        <w:tc>
          <w:tcPr>
            <w:tcW w:w="1560" w:type="dxa"/>
            <w:tcBorders>
              <w:top w:val="dotted" w:sz="4" w:space="0" w:color="AAABD6"/>
              <w:left w:val="single" w:sz="4" w:space="0" w:color="AAABD6"/>
              <w:bottom w:val="dotted" w:sz="4" w:space="0" w:color="AAABD6"/>
              <w:right w:val="single" w:sz="4" w:space="0" w:color="AAABD6"/>
            </w:tcBorders>
            <w:vAlign w:val="bottom"/>
          </w:tcPr>
          <w:p w14:paraId="57B1099F" w14:textId="0198DD2F"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3,330</w:t>
            </w:r>
          </w:p>
        </w:tc>
        <w:tc>
          <w:tcPr>
            <w:tcW w:w="425" w:type="dxa"/>
            <w:tcBorders>
              <w:top w:val="dotted" w:sz="4" w:space="0" w:color="AAABD6"/>
              <w:left w:val="single" w:sz="4" w:space="0" w:color="AAABD6"/>
              <w:bottom w:val="dotted" w:sz="4" w:space="0" w:color="AAABD6"/>
              <w:right w:val="single" w:sz="4" w:space="0" w:color="AAABD6"/>
            </w:tcBorders>
          </w:tcPr>
          <w:p w14:paraId="3DCAEE55" w14:textId="7F9D652D"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1479" w:type="dxa"/>
            <w:tcBorders>
              <w:top w:val="dotted" w:sz="4" w:space="0" w:color="AAABD6"/>
              <w:left w:val="single" w:sz="4" w:space="0" w:color="AAABD6"/>
              <w:bottom w:val="dotted" w:sz="4" w:space="0" w:color="AAABD6"/>
              <w:right w:val="single" w:sz="4" w:space="0" w:color="AAABD6"/>
            </w:tcBorders>
            <w:vAlign w:val="bottom"/>
          </w:tcPr>
          <w:p w14:paraId="2D25F6FD" w14:textId="66B1B753"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3,330</w:t>
            </w:r>
          </w:p>
        </w:tc>
      </w:tr>
      <w:tr w:rsidR="00CB1E01" w:rsidRPr="00100F0A" w14:paraId="443243AC" w14:textId="77777777" w:rsidTr="00DA7639">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4DD8B959" w14:textId="77777777" w:rsidR="00CB1E01" w:rsidRPr="00100F0A" w:rsidRDefault="00CB1E01" w:rsidP="00CB1E01"/>
        </w:tc>
        <w:tc>
          <w:tcPr>
            <w:tcW w:w="1134" w:type="dxa"/>
            <w:tcBorders>
              <w:top w:val="dotted" w:sz="4" w:space="0" w:color="AAABD6"/>
              <w:left w:val="single" w:sz="4" w:space="0" w:color="AAABD6"/>
              <w:bottom w:val="dotted" w:sz="4" w:space="0" w:color="AAABD6"/>
              <w:right w:val="single" w:sz="4" w:space="0" w:color="AAABD6"/>
            </w:tcBorders>
            <w:vAlign w:val="center"/>
          </w:tcPr>
          <w:p w14:paraId="0E4B77AF" w14:textId="7D48AFB1" w:rsidR="00CB1E01" w:rsidRPr="00100F0A" w:rsidRDefault="00CB1E01" w:rsidP="00CB1E01">
            <w:pPr>
              <w:cnfStyle w:val="000000000000" w:firstRow="0" w:lastRow="0" w:firstColumn="0" w:lastColumn="0" w:oddVBand="0" w:evenVBand="0" w:oddHBand="0" w:evenHBand="0" w:firstRowFirstColumn="0" w:firstRowLastColumn="0" w:lastRowFirstColumn="0" w:lastRowLastColumn="0"/>
            </w:pPr>
            <w:r w:rsidRPr="00100F0A">
              <w:t>Vic</w:t>
            </w:r>
          </w:p>
        </w:tc>
        <w:tc>
          <w:tcPr>
            <w:tcW w:w="3765" w:type="dxa"/>
            <w:vMerge/>
            <w:tcBorders>
              <w:left w:val="single" w:sz="4" w:space="0" w:color="AAABD6"/>
              <w:right w:val="single" w:sz="4" w:space="0" w:color="AAABD6"/>
            </w:tcBorders>
          </w:tcPr>
          <w:p w14:paraId="003B1AB8" w14:textId="77777777" w:rsidR="00CB1E01" w:rsidRPr="00100F0A" w:rsidRDefault="00CB1E01" w:rsidP="00CB1E01">
            <w:pPr>
              <w:cnfStyle w:val="000000000000" w:firstRow="0" w:lastRow="0" w:firstColumn="0" w:lastColumn="0" w:oddVBand="0" w:evenVBand="0" w:oddHBand="0" w:evenHBand="0" w:firstRowFirstColumn="0" w:firstRowLastColumn="0" w:lastRowFirstColumn="0" w:lastRowLastColumn="0"/>
            </w:pPr>
          </w:p>
        </w:tc>
        <w:tc>
          <w:tcPr>
            <w:tcW w:w="1560" w:type="dxa"/>
            <w:tcBorders>
              <w:top w:val="dotted" w:sz="4" w:space="0" w:color="AAABD6"/>
              <w:left w:val="single" w:sz="4" w:space="0" w:color="AAABD6"/>
              <w:bottom w:val="dotted" w:sz="4" w:space="0" w:color="AAABD6"/>
              <w:right w:val="single" w:sz="4" w:space="0" w:color="AAABD6"/>
            </w:tcBorders>
            <w:vAlign w:val="bottom"/>
          </w:tcPr>
          <w:p w14:paraId="767CA369" w14:textId="6069F69D"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226,076</w:t>
            </w:r>
          </w:p>
        </w:tc>
        <w:tc>
          <w:tcPr>
            <w:tcW w:w="425" w:type="dxa"/>
            <w:tcBorders>
              <w:top w:val="dotted" w:sz="4" w:space="0" w:color="AAABD6"/>
              <w:left w:val="single" w:sz="4" w:space="0" w:color="AAABD6"/>
              <w:bottom w:val="dotted" w:sz="4" w:space="0" w:color="AAABD6"/>
              <w:right w:val="single" w:sz="4" w:space="0" w:color="AAABD6"/>
            </w:tcBorders>
          </w:tcPr>
          <w:p w14:paraId="2695F78C" w14:textId="543F747F"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1479" w:type="dxa"/>
            <w:tcBorders>
              <w:top w:val="dotted" w:sz="4" w:space="0" w:color="AAABD6"/>
              <w:left w:val="single" w:sz="4" w:space="0" w:color="AAABD6"/>
              <w:bottom w:val="dotted" w:sz="4" w:space="0" w:color="AAABD6"/>
              <w:right w:val="single" w:sz="4" w:space="0" w:color="AAABD6"/>
            </w:tcBorders>
            <w:vAlign w:val="bottom"/>
          </w:tcPr>
          <w:p w14:paraId="62467639" w14:textId="4AD2DACC"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226,076</w:t>
            </w:r>
          </w:p>
        </w:tc>
      </w:tr>
      <w:tr w:rsidR="00CB1E01" w:rsidRPr="00100F0A" w14:paraId="516DB753" w14:textId="77777777" w:rsidTr="00DA7639">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bottom w:val="dotted" w:sz="4" w:space="0" w:color="AAABD6"/>
              <w:right w:val="single" w:sz="4" w:space="0" w:color="AAABD6"/>
            </w:tcBorders>
          </w:tcPr>
          <w:p w14:paraId="519D1C92" w14:textId="77777777" w:rsidR="00CB1E01" w:rsidRPr="00100F0A" w:rsidRDefault="00CB1E01" w:rsidP="00CB1E01"/>
        </w:tc>
        <w:tc>
          <w:tcPr>
            <w:tcW w:w="1134" w:type="dxa"/>
            <w:tcBorders>
              <w:top w:val="dotted" w:sz="4" w:space="0" w:color="AAABD6"/>
              <w:left w:val="single" w:sz="4" w:space="0" w:color="AAABD6"/>
              <w:bottom w:val="dotted" w:sz="4" w:space="0" w:color="AAABD6"/>
              <w:right w:val="single" w:sz="4" w:space="0" w:color="AAABD6"/>
            </w:tcBorders>
            <w:vAlign w:val="center"/>
          </w:tcPr>
          <w:p w14:paraId="135DFAE3" w14:textId="6C0679D1" w:rsidR="00CB1E01" w:rsidRPr="00100F0A" w:rsidRDefault="00CB1E01" w:rsidP="00CB1E01">
            <w:pPr>
              <w:cnfStyle w:val="000000000000" w:firstRow="0" w:lastRow="0" w:firstColumn="0" w:lastColumn="0" w:oddVBand="0" w:evenVBand="0" w:oddHBand="0" w:evenHBand="0" w:firstRowFirstColumn="0" w:firstRowLastColumn="0" w:lastRowFirstColumn="0" w:lastRowLastColumn="0"/>
            </w:pPr>
            <w:r w:rsidRPr="00100F0A">
              <w:t>WA</w:t>
            </w:r>
          </w:p>
        </w:tc>
        <w:tc>
          <w:tcPr>
            <w:tcW w:w="3765" w:type="dxa"/>
            <w:vMerge/>
            <w:tcBorders>
              <w:left w:val="single" w:sz="4" w:space="0" w:color="AAABD6"/>
              <w:bottom w:val="dotted" w:sz="4" w:space="0" w:color="AAABD6"/>
              <w:right w:val="single" w:sz="4" w:space="0" w:color="AAABD6"/>
            </w:tcBorders>
          </w:tcPr>
          <w:p w14:paraId="176E94E2" w14:textId="77777777" w:rsidR="00CB1E01" w:rsidRPr="00100F0A" w:rsidRDefault="00CB1E01" w:rsidP="00CB1E01">
            <w:pPr>
              <w:cnfStyle w:val="000000000000" w:firstRow="0" w:lastRow="0" w:firstColumn="0" w:lastColumn="0" w:oddVBand="0" w:evenVBand="0" w:oddHBand="0" w:evenHBand="0" w:firstRowFirstColumn="0" w:firstRowLastColumn="0" w:lastRowFirstColumn="0" w:lastRowLastColumn="0"/>
            </w:pPr>
          </w:p>
        </w:tc>
        <w:tc>
          <w:tcPr>
            <w:tcW w:w="1560" w:type="dxa"/>
            <w:tcBorders>
              <w:top w:val="dotted" w:sz="4" w:space="0" w:color="AAABD6"/>
              <w:left w:val="single" w:sz="4" w:space="0" w:color="AAABD6"/>
              <w:bottom w:val="dotted" w:sz="4" w:space="0" w:color="AAABD6"/>
              <w:right w:val="single" w:sz="4" w:space="0" w:color="AAABD6"/>
            </w:tcBorders>
            <w:vAlign w:val="bottom"/>
          </w:tcPr>
          <w:p w14:paraId="08526158" w14:textId="5C26DB1F"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2,521</w:t>
            </w:r>
          </w:p>
        </w:tc>
        <w:tc>
          <w:tcPr>
            <w:tcW w:w="425" w:type="dxa"/>
            <w:tcBorders>
              <w:top w:val="dotted" w:sz="4" w:space="0" w:color="AAABD6"/>
              <w:left w:val="single" w:sz="4" w:space="0" w:color="AAABD6"/>
              <w:bottom w:val="dotted" w:sz="4" w:space="0" w:color="AAABD6"/>
              <w:right w:val="single" w:sz="4" w:space="0" w:color="AAABD6"/>
            </w:tcBorders>
          </w:tcPr>
          <w:p w14:paraId="5B6D2C22" w14:textId="2164FD70"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1479" w:type="dxa"/>
            <w:tcBorders>
              <w:top w:val="dotted" w:sz="4" w:space="0" w:color="AAABD6"/>
              <w:left w:val="single" w:sz="4" w:space="0" w:color="AAABD6"/>
              <w:bottom w:val="dotted" w:sz="4" w:space="0" w:color="AAABD6"/>
              <w:right w:val="single" w:sz="4" w:space="0" w:color="AAABD6"/>
            </w:tcBorders>
            <w:vAlign w:val="bottom"/>
          </w:tcPr>
          <w:p w14:paraId="0642F2EA" w14:textId="16209050"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2,521</w:t>
            </w:r>
          </w:p>
        </w:tc>
      </w:tr>
      <w:tr w:rsidR="00CB1E01" w:rsidRPr="00100F0A" w14:paraId="1EC7FCD3" w14:textId="77777777" w:rsidTr="00DA7639">
        <w:tc>
          <w:tcPr>
            <w:cnfStyle w:val="001000000000" w:firstRow="0" w:lastRow="0" w:firstColumn="1" w:lastColumn="0" w:oddVBand="0" w:evenVBand="0" w:oddHBand="0" w:evenHBand="0" w:firstRowFirstColumn="0" w:firstRowLastColumn="0" w:lastRowFirstColumn="0" w:lastRowLastColumn="0"/>
            <w:tcW w:w="709" w:type="dxa"/>
            <w:vMerge w:val="restart"/>
            <w:tcBorders>
              <w:top w:val="single" w:sz="4" w:space="0" w:color="AAABD6"/>
              <w:left w:val="single" w:sz="4" w:space="0" w:color="AAABD6"/>
              <w:right w:val="single" w:sz="4" w:space="0" w:color="AAABD6"/>
            </w:tcBorders>
            <w:vAlign w:val="center"/>
          </w:tcPr>
          <w:p w14:paraId="7D712C0D" w14:textId="1567C64C" w:rsidR="00CB1E01" w:rsidRPr="00100F0A" w:rsidRDefault="00CB1E01" w:rsidP="00CB1E01">
            <w:r w:rsidRPr="00100F0A">
              <w:t>Low</w:t>
            </w:r>
          </w:p>
        </w:tc>
        <w:tc>
          <w:tcPr>
            <w:tcW w:w="1134" w:type="dxa"/>
            <w:tcBorders>
              <w:top w:val="single" w:sz="4" w:space="0" w:color="AAABD6"/>
              <w:left w:val="single" w:sz="4" w:space="0" w:color="AAABD6"/>
              <w:bottom w:val="dotted" w:sz="4" w:space="0" w:color="AAABD6"/>
              <w:right w:val="single" w:sz="4" w:space="0" w:color="AAABD6"/>
            </w:tcBorders>
            <w:vAlign w:val="center"/>
          </w:tcPr>
          <w:p w14:paraId="79B3F31E" w14:textId="77777777" w:rsidR="00CB1E01" w:rsidRPr="00100F0A" w:rsidRDefault="00CB1E01" w:rsidP="00CB1E01">
            <w:pPr>
              <w:cnfStyle w:val="000000000000" w:firstRow="0" w:lastRow="0" w:firstColumn="0" w:lastColumn="0" w:oddVBand="0" w:evenVBand="0" w:oddHBand="0" w:evenHBand="0" w:firstRowFirstColumn="0" w:firstRowLastColumn="0" w:lastRowFirstColumn="0" w:lastRowLastColumn="0"/>
            </w:pPr>
            <w:r w:rsidRPr="00100F0A">
              <w:t>ACT</w:t>
            </w:r>
          </w:p>
        </w:tc>
        <w:tc>
          <w:tcPr>
            <w:tcW w:w="3765" w:type="dxa"/>
            <w:vMerge w:val="restart"/>
            <w:tcBorders>
              <w:top w:val="single" w:sz="4" w:space="0" w:color="AAABD6"/>
              <w:left w:val="single" w:sz="4" w:space="0" w:color="AAABD6"/>
              <w:right w:val="single" w:sz="4" w:space="0" w:color="AAABD6"/>
            </w:tcBorders>
            <w:vAlign w:val="center"/>
          </w:tcPr>
          <w:p w14:paraId="0782C49B" w14:textId="2A099651" w:rsidR="00CB1E01" w:rsidRPr="00100F0A" w:rsidRDefault="00CB1E01" w:rsidP="00CB1E01">
            <w:pPr>
              <w:cnfStyle w:val="000000000000" w:firstRow="0" w:lastRow="0" w:firstColumn="0" w:lastColumn="0" w:oddVBand="0" w:evenVBand="0" w:oddHBand="0" w:evenHBand="0" w:firstRowFirstColumn="0" w:firstRowLastColumn="0" w:lastRowFirstColumn="0" w:lastRowLastColumn="0"/>
            </w:pPr>
            <w:r w:rsidRPr="00100F0A">
              <w:t>Best estimate (absolute) - 50%</w:t>
            </w:r>
          </w:p>
        </w:tc>
        <w:tc>
          <w:tcPr>
            <w:tcW w:w="1560" w:type="dxa"/>
            <w:tcBorders>
              <w:top w:val="single" w:sz="4" w:space="0" w:color="AAABD6"/>
              <w:left w:val="single" w:sz="4" w:space="0" w:color="AAABD6"/>
              <w:bottom w:val="dotted" w:sz="4" w:space="0" w:color="AAABD6"/>
              <w:right w:val="single" w:sz="4" w:space="0" w:color="AAABD6"/>
            </w:tcBorders>
            <w:vAlign w:val="bottom"/>
          </w:tcPr>
          <w:p w14:paraId="3EBD27C7" w14:textId="59B123C1"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-11</w:t>
            </w:r>
          </w:p>
        </w:tc>
        <w:tc>
          <w:tcPr>
            <w:tcW w:w="425" w:type="dxa"/>
            <w:tcBorders>
              <w:top w:val="single" w:sz="4" w:space="0" w:color="AAABD6"/>
              <w:left w:val="single" w:sz="4" w:space="0" w:color="AAABD6"/>
              <w:bottom w:val="dotted" w:sz="4" w:space="0" w:color="AAABD6"/>
              <w:right w:val="single" w:sz="4" w:space="0" w:color="AAABD6"/>
            </w:tcBorders>
          </w:tcPr>
          <w:p w14:paraId="79ABE358" w14:textId="3A5B683C"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1479" w:type="dxa"/>
            <w:tcBorders>
              <w:top w:val="single" w:sz="4" w:space="0" w:color="AAABD6"/>
              <w:left w:val="single" w:sz="4" w:space="0" w:color="AAABD6"/>
              <w:bottom w:val="dotted" w:sz="4" w:space="0" w:color="AAABD6"/>
              <w:right w:val="single" w:sz="4" w:space="0" w:color="AAABD6"/>
            </w:tcBorders>
            <w:vAlign w:val="bottom"/>
          </w:tcPr>
          <w:p w14:paraId="523D8FF1" w14:textId="7A4D1C7C"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-11</w:t>
            </w:r>
          </w:p>
        </w:tc>
      </w:tr>
      <w:tr w:rsidR="00CB1E01" w:rsidRPr="00100F0A" w14:paraId="6F5F25EE" w14:textId="77777777" w:rsidTr="00DA7639">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793AF02F" w14:textId="77777777" w:rsidR="00CB1E01" w:rsidRPr="00100F0A" w:rsidRDefault="00CB1E01" w:rsidP="00CB1E01"/>
        </w:tc>
        <w:tc>
          <w:tcPr>
            <w:tcW w:w="1134" w:type="dxa"/>
            <w:tcBorders>
              <w:top w:val="dotted" w:sz="4" w:space="0" w:color="AAABD6"/>
              <w:left w:val="single" w:sz="4" w:space="0" w:color="AAABD6"/>
              <w:bottom w:val="dotted" w:sz="4" w:space="0" w:color="AAABD6"/>
              <w:right w:val="single" w:sz="4" w:space="0" w:color="AAABD6"/>
            </w:tcBorders>
            <w:vAlign w:val="center"/>
          </w:tcPr>
          <w:p w14:paraId="651D2A7E" w14:textId="77777777" w:rsidR="00CB1E01" w:rsidRPr="00100F0A" w:rsidRDefault="00CB1E01" w:rsidP="00CB1E01">
            <w:pPr>
              <w:cnfStyle w:val="000000000000" w:firstRow="0" w:lastRow="0" w:firstColumn="0" w:lastColumn="0" w:oddVBand="0" w:evenVBand="0" w:oddHBand="0" w:evenHBand="0" w:firstRowFirstColumn="0" w:firstRowLastColumn="0" w:lastRowFirstColumn="0" w:lastRowLastColumn="0"/>
            </w:pPr>
            <w:r w:rsidRPr="00100F0A">
              <w:t>NSW</w:t>
            </w:r>
          </w:p>
        </w:tc>
        <w:tc>
          <w:tcPr>
            <w:tcW w:w="3765" w:type="dxa"/>
            <w:vMerge/>
            <w:tcBorders>
              <w:left w:val="single" w:sz="4" w:space="0" w:color="AAABD6"/>
              <w:right w:val="single" w:sz="4" w:space="0" w:color="AAABD6"/>
            </w:tcBorders>
          </w:tcPr>
          <w:p w14:paraId="2AF40183" w14:textId="77777777" w:rsidR="00CB1E01" w:rsidRPr="00100F0A" w:rsidRDefault="00CB1E01" w:rsidP="00CB1E01">
            <w:pPr>
              <w:cnfStyle w:val="000000000000" w:firstRow="0" w:lastRow="0" w:firstColumn="0" w:lastColumn="0" w:oddVBand="0" w:evenVBand="0" w:oddHBand="0" w:evenHBand="0" w:firstRowFirstColumn="0" w:firstRowLastColumn="0" w:lastRowFirstColumn="0" w:lastRowLastColumn="0"/>
            </w:pPr>
          </w:p>
        </w:tc>
        <w:tc>
          <w:tcPr>
            <w:tcW w:w="1560" w:type="dxa"/>
            <w:tcBorders>
              <w:top w:val="dotted" w:sz="4" w:space="0" w:color="AAABD6"/>
              <w:left w:val="single" w:sz="4" w:space="0" w:color="AAABD6"/>
              <w:bottom w:val="dotted" w:sz="4" w:space="0" w:color="AAABD6"/>
              <w:right w:val="single" w:sz="4" w:space="0" w:color="AAABD6"/>
            </w:tcBorders>
            <w:vAlign w:val="bottom"/>
          </w:tcPr>
          <w:p w14:paraId="6DEABAFB" w14:textId="7BB587BD"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-174,188</w:t>
            </w:r>
          </w:p>
        </w:tc>
        <w:tc>
          <w:tcPr>
            <w:tcW w:w="425" w:type="dxa"/>
            <w:tcBorders>
              <w:top w:val="dotted" w:sz="4" w:space="0" w:color="AAABD6"/>
              <w:left w:val="single" w:sz="4" w:space="0" w:color="AAABD6"/>
              <w:bottom w:val="dotted" w:sz="4" w:space="0" w:color="AAABD6"/>
              <w:right w:val="single" w:sz="4" w:space="0" w:color="AAABD6"/>
            </w:tcBorders>
          </w:tcPr>
          <w:p w14:paraId="61141875" w14:textId="5FBAA8A0"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1479" w:type="dxa"/>
            <w:tcBorders>
              <w:top w:val="dotted" w:sz="4" w:space="0" w:color="AAABD6"/>
              <w:left w:val="single" w:sz="4" w:space="0" w:color="AAABD6"/>
              <w:bottom w:val="dotted" w:sz="4" w:space="0" w:color="AAABD6"/>
              <w:right w:val="single" w:sz="4" w:space="0" w:color="AAABD6"/>
            </w:tcBorders>
            <w:vAlign w:val="bottom"/>
          </w:tcPr>
          <w:p w14:paraId="5AFB2249" w14:textId="7B4AAF90"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-174,188</w:t>
            </w:r>
          </w:p>
        </w:tc>
      </w:tr>
      <w:tr w:rsidR="00CB1E01" w:rsidRPr="00100F0A" w14:paraId="3A3E9FA7" w14:textId="77777777" w:rsidTr="00DA7639">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303F0C61" w14:textId="77777777" w:rsidR="00CB1E01" w:rsidRPr="00100F0A" w:rsidRDefault="00CB1E01" w:rsidP="00CB1E01"/>
        </w:tc>
        <w:tc>
          <w:tcPr>
            <w:tcW w:w="1134" w:type="dxa"/>
            <w:tcBorders>
              <w:top w:val="dotted" w:sz="4" w:space="0" w:color="AAABD6"/>
              <w:left w:val="single" w:sz="4" w:space="0" w:color="AAABD6"/>
              <w:bottom w:val="dotted" w:sz="4" w:space="0" w:color="AAABD6"/>
              <w:right w:val="single" w:sz="4" w:space="0" w:color="AAABD6"/>
            </w:tcBorders>
            <w:vAlign w:val="center"/>
          </w:tcPr>
          <w:p w14:paraId="7DCAB4E2" w14:textId="77777777" w:rsidR="00CB1E01" w:rsidRPr="00100F0A" w:rsidRDefault="00CB1E01" w:rsidP="00CB1E01">
            <w:pPr>
              <w:cnfStyle w:val="000000000000" w:firstRow="0" w:lastRow="0" w:firstColumn="0" w:lastColumn="0" w:oddVBand="0" w:evenVBand="0" w:oddHBand="0" w:evenHBand="0" w:firstRowFirstColumn="0" w:firstRowLastColumn="0" w:lastRowFirstColumn="0" w:lastRowLastColumn="0"/>
            </w:pPr>
            <w:r w:rsidRPr="00100F0A">
              <w:t>NT</w:t>
            </w:r>
          </w:p>
        </w:tc>
        <w:tc>
          <w:tcPr>
            <w:tcW w:w="3765" w:type="dxa"/>
            <w:vMerge/>
            <w:tcBorders>
              <w:left w:val="single" w:sz="4" w:space="0" w:color="AAABD6"/>
              <w:right w:val="single" w:sz="4" w:space="0" w:color="AAABD6"/>
            </w:tcBorders>
          </w:tcPr>
          <w:p w14:paraId="648A4586" w14:textId="77777777" w:rsidR="00CB1E01" w:rsidRPr="00100F0A" w:rsidRDefault="00CB1E01" w:rsidP="00CB1E01">
            <w:pPr>
              <w:cnfStyle w:val="000000000000" w:firstRow="0" w:lastRow="0" w:firstColumn="0" w:lastColumn="0" w:oddVBand="0" w:evenVBand="0" w:oddHBand="0" w:evenHBand="0" w:firstRowFirstColumn="0" w:firstRowLastColumn="0" w:lastRowFirstColumn="0" w:lastRowLastColumn="0"/>
            </w:pPr>
          </w:p>
        </w:tc>
        <w:tc>
          <w:tcPr>
            <w:tcW w:w="1560" w:type="dxa"/>
            <w:tcBorders>
              <w:top w:val="dotted" w:sz="4" w:space="0" w:color="AAABD6"/>
              <w:left w:val="single" w:sz="4" w:space="0" w:color="AAABD6"/>
              <w:bottom w:val="dotted" w:sz="4" w:space="0" w:color="AAABD6"/>
              <w:right w:val="single" w:sz="4" w:space="0" w:color="AAABD6"/>
            </w:tcBorders>
            <w:vAlign w:val="bottom"/>
          </w:tcPr>
          <w:p w14:paraId="279A1699" w14:textId="7E255BB0"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-4,323</w:t>
            </w:r>
          </w:p>
        </w:tc>
        <w:tc>
          <w:tcPr>
            <w:tcW w:w="425" w:type="dxa"/>
            <w:tcBorders>
              <w:top w:val="dotted" w:sz="4" w:space="0" w:color="AAABD6"/>
              <w:left w:val="single" w:sz="4" w:space="0" w:color="AAABD6"/>
              <w:bottom w:val="dotted" w:sz="4" w:space="0" w:color="AAABD6"/>
              <w:right w:val="single" w:sz="4" w:space="0" w:color="AAABD6"/>
            </w:tcBorders>
          </w:tcPr>
          <w:p w14:paraId="5D61BB28" w14:textId="16E3F25F"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1479" w:type="dxa"/>
            <w:tcBorders>
              <w:top w:val="dotted" w:sz="4" w:space="0" w:color="AAABD6"/>
              <w:left w:val="single" w:sz="4" w:space="0" w:color="AAABD6"/>
              <w:bottom w:val="dotted" w:sz="4" w:space="0" w:color="AAABD6"/>
              <w:right w:val="single" w:sz="4" w:space="0" w:color="AAABD6"/>
            </w:tcBorders>
            <w:vAlign w:val="bottom"/>
          </w:tcPr>
          <w:p w14:paraId="0955C3A1" w14:textId="7B3E2484"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-4,323</w:t>
            </w:r>
          </w:p>
        </w:tc>
      </w:tr>
      <w:tr w:rsidR="00CB1E01" w:rsidRPr="00100F0A" w14:paraId="3C1A4D26" w14:textId="77777777" w:rsidTr="00DA7639">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0F7F8AEF" w14:textId="77777777" w:rsidR="00CB1E01" w:rsidRPr="00100F0A" w:rsidRDefault="00CB1E01" w:rsidP="00CB1E01"/>
        </w:tc>
        <w:tc>
          <w:tcPr>
            <w:tcW w:w="1134" w:type="dxa"/>
            <w:tcBorders>
              <w:top w:val="dotted" w:sz="4" w:space="0" w:color="AAABD6"/>
              <w:left w:val="single" w:sz="4" w:space="0" w:color="AAABD6"/>
              <w:bottom w:val="dotted" w:sz="4" w:space="0" w:color="AAABD6"/>
              <w:right w:val="single" w:sz="4" w:space="0" w:color="AAABD6"/>
            </w:tcBorders>
            <w:vAlign w:val="center"/>
          </w:tcPr>
          <w:p w14:paraId="2B01AE52" w14:textId="77777777" w:rsidR="00CB1E01" w:rsidRPr="00100F0A" w:rsidRDefault="00CB1E01" w:rsidP="00CB1E01">
            <w:pPr>
              <w:cnfStyle w:val="000000000000" w:firstRow="0" w:lastRow="0" w:firstColumn="0" w:lastColumn="0" w:oddVBand="0" w:evenVBand="0" w:oddHBand="0" w:evenHBand="0" w:firstRowFirstColumn="0" w:firstRowLastColumn="0" w:lastRowFirstColumn="0" w:lastRowLastColumn="0"/>
            </w:pPr>
            <w:r w:rsidRPr="00100F0A">
              <w:t>Qld</w:t>
            </w:r>
          </w:p>
        </w:tc>
        <w:tc>
          <w:tcPr>
            <w:tcW w:w="3765" w:type="dxa"/>
            <w:vMerge/>
            <w:tcBorders>
              <w:left w:val="single" w:sz="4" w:space="0" w:color="AAABD6"/>
              <w:right w:val="single" w:sz="4" w:space="0" w:color="AAABD6"/>
            </w:tcBorders>
          </w:tcPr>
          <w:p w14:paraId="7A893BCE" w14:textId="77777777" w:rsidR="00CB1E01" w:rsidRPr="00100F0A" w:rsidRDefault="00CB1E01" w:rsidP="00CB1E01">
            <w:pPr>
              <w:cnfStyle w:val="000000000000" w:firstRow="0" w:lastRow="0" w:firstColumn="0" w:lastColumn="0" w:oddVBand="0" w:evenVBand="0" w:oddHBand="0" w:evenHBand="0" w:firstRowFirstColumn="0" w:firstRowLastColumn="0" w:lastRowFirstColumn="0" w:lastRowLastColumn="0"/>
            </w:pPr>
          </w:p>
        </w:tc>
        <w:tc>
          <w:tcPr>
            <w:tcW w:w="1560" w:type="dxa"/>
            <w:tcBorders>
              <w:top w:val="dotted" w:sz="4" w:space="0" w:color="AAABD6"/>
              <w:left w:val="single" w:sz="4" w:space="0" w:color="AAABD6"/>
              <w:bottom w:val="dotted" w:sz="4" w:space="0" w:color="AAABD6"/>
              <w:right w:val="single" w:sz="4" w:space="0" w:color="AAABD6"/>
            </w:tcBorders>
            <w:vAlign w:val="bottom"/>
          </w:tcPr>
          <w:p w14:paraId="7DC83AA1" w14:textId="7A3B5CDB"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-283,767</w:t>
            </w:r>
          </w:p>
        </w:tc>
        <w:tc>
          <w:tcPr>
            <w:tcW w:w="425" w:type="dxa"/>
            <w:tcBorders>
              <w:top w:val="dotted" w:sz="4" w:space="0" w:color="AAABD6"/>
              <w:left w:val="single" w:sz="4" w:space="0" w:color="AAABD6"/>
              <w:bottom w:val="dotted" w:sz="4" w:space="0" w:color="AAABD6"/>
              <w:right w:val="single" w:sz="4" w:space="0" w:color="AAABD6"/>
            </w:tcBorders>
          </w:tcPr>
          <w:p w14:paraId="057E28CE" w14:textId="41D5DDBC"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1479" w:type="dxa"/>
            <w:tcBorders>
              <w:top w:val="dotted" w:sz="4" w:space="0" w:color="AAABD6"/>
              <w:left w:val="single" w:sz="4" w:space="0" w:color="AAABD6"/>
              <w:bottom w:val="dotted" w:sz="4" w:space="0" w:color="AAABD6"/>
              <w:right w:val="single" w:sz="4" w:space="0" w:color="AAABD6"/>
            </w:tcBorders>
            <w:vAlign w:val="bottom"/>
          </w:tcPr>
          <w:p w14:paraId="53F0131E" w14:textId="1A0BC9E0"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-283,767</w:t>
            </w:r>
          </w:p>
        </w:tc>
      </w:tr>
      <w:tr w:rsidR="00CB1E01" w:rsidRPr="00100F0A" w14:paraId="013B8405" w14:textId="77777777" w:rsidTr="00DA7639">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580E902E" w14:textId="77777777" w:rsidR="00CB1E01" w:rsidRPr="00100F0A" w:rsidRDefault="00CB1E01" w:rsidP="00CB1E01"/>
        </w:tc>
        <w:tc>
          <w:tcPr>
            <w:tcW w:w="1134" w:type="dxa"/>
            <w:tcBorders>
              <w:top w:val="dotted" w:sz="4" w:space="0" w:color="AAABD6"/>
              <w:left w:val="single" w:sz="4" w:space="0" w:color="AAABD6"/>
              <w:bottom w:val="dotted" w:sz="4" w:space="0" w:color="AAABD6"/>
              <w:right w:val="single" w:sz="4" w:space="0" w:color="AAABD6"/>
            </w:tcBorders>
            <w:vAlign w:val="center"/>
          </w:tcPr>
          <w:p w14:paraId="41BE2BB3" w14:textId="77777777" w:rsidR="00CB1E01" w:rsidRPr="00100F0A" w:rsidRDefault="00CB1E01" w:rsidP="00CB1E01">
            <w:pPr>
              <w:cnfStyle w:val="000000000000" w:firstRow="0" w:lastRow="0" w:firstColumn="0" w:lastColumn="0" w:oddVBand="0" w:evenVBand="0" w:oddHBand="0" w:evenHBand="0" w:firstRowFirstColumn="0" w:firstRowLastColumn="0" w:lastRowFirstColumn="0" w:lastRowLastColumn="0"/>
            </w:pPr>
            <w:r w:rsidRPr="00100F0A">
              <w:t>SA</w:t>
            </w:r>
          </w:p>
        </w:tc>
        <w:tc>
          <w:tcPr>
            <w:tcW w:w="3765" w:type="dxa"/>
            <w:vMerge/>
            <w:tcBorders>
              <w:left w:val="single" w:sz="4" w:space="0" w:color="AAABD6"/>
              <w:right w:val="single" w:sz="4" w:space="0" w:color="AAABD6"/>
            </w:tcBorders>
          </w:tcPr>
          <w:p w14:paraId="379F3696" w14:textId="77777777" w:rsidR="00CB1E01" w:rsidRPr="00100F0A" w:rsidRDefault="00CB1E01" w:rsidP="00CB1E01">
            <w:pPr>
              <w:cnfStyle w:val="000000000000" w:firstRow="0" w:lastRow="0" w:firstColumn="0" w:lastColumn="0" w:oddVBand="0" w:evenVBand="0" w:oddHBand="0" w:evenHBand="0" w:firstRowFirstColumn="0" w:firstRowLastColumn="0" w:lastRowFirstColumn="0" w:lastRowLastColumn="0"/>
            </w:pPr>
          </w:p>
        </w:tc>
        <w:tc>
          <w:tcPr>
            <w:tcW w:w="1560" w:type="dxa"/>
            <w:tcBorders>
              <w:top w:val="dotted" w:sz="4" w:space="0" w:color="AAABD6"/>
              <w:left w:val="single" w:sz="4" w:space="0" w:color="AAABD6"/>
              <w:bottom w:val="dotted" w:sz="4" w:space="0" w:color="AAABD6"/>
              <w:right w:val="single" w:sz="4" w:space="0" w:color="AAABD6"/>
            </w:tcBorders>
            <w:vAlign w:val="bottom"/>
          </w:tcPr>
          <w:p w14:paraId="71FDFA0C" w14:textId="52662961"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-113,819</w:t>
            </w:r>
          </w:p>
        </w:tc>
        <w:tc>
          <w:tcPr>
            <w:tcW w:w="425" w:type="dxa"/>
            <w:tcBorders>
              <w:top w:val="dotted" w:sz="4" w:space="0" w:color="AAABD6"/>
              <w:left w:val="single" w:sz="4" w:space="0" w:color="AAABD6"/>
              <w:bottom w:val="dotted" w:sz="4" w:space="0" w:color="AAABD6"/>
              <w:right w:val="single" w:sz="4" w:space="0" w:color="AAABD6"/>
            </w:tcBorders>
          </w:tcPr>
          <w:p w14:paraId="376E8B3B" w14:textId="44A84A1E"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1479" w:type="dxa"/>
            <w:tcBorders>
              <w:top w:val="dotted" w:sz="4" w:space="0" w:color="AAABD6"/>
              <w:left w:val="single" w:sz="4" w:space="0" w:color="AAABD6"/>
              <w:bottom w:val="dotted" w:sz="4" w:space="0" w:color="AAABD6"/>
              <w:right w:val="single" w:sz="4" w:space="0" w:color="AAABD6"/>
            </w:tcBorders>
            <w:vAlign w:val="bottom"/>
          </w:tcPr>
          <w:p w14:paraId="26E02D6D" w14:textId="514C5BD5"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-113,819</w:t>
            </w:r>
          </w:p>
        </w:tc>
      </w:tr>
      <w:tr w:rsidR="00CB1E01" w:rsidRPr="00100F0A" w14:paraId="2470CB97" w14:textId="77777777" w:rsidTr="00DA7639">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634469FD" w14:textId="77777777" w:rsidR="00CB1E01" w:rsidRPr="00100F0A" w:rsidRDefault="00CB1E01" w:rsidP="00CB1E01"/>
        </w:tc>
        <w:tc>
          <w:tcPr>
            <w:tcW w:w="1134" w:type="dxa"/>
            <w:tcBorders>
              <w:top w:val="dotted" w:sz="4" w:space="0" w:color="AAABD6"/>
              <w:left w:val="single" w:sz="4" w:space="0" w:color="AAABD6"/>
              <w:bottom w:val="dotted" w:sz="4" w:space="0" w:color="AAABD6"/>
              <w:right w:val="single" w:sz="4" w:space="0" w:color="AAABD6"/>
            </w:tcBorders>
            <w:vAlign w:val="center"/>
          </w:tcPr>
          <w:p w14:paraId="52A2F543" w14:textId="77777777" w:rsidR="00CB1E01" w:rsidRPr="00100F0A" w:rsidRDefault="00CB1E01" w:rsidP="00CB1E01">
            <w:pPr>
              <w:cnfStyle w:val="000000000000" w:firstRow="0" w:lastRow="0" w:firstColumn="0" w:lastColumn="0" w:oddVBand="0" w:evenVBand="0" w:oddHBand="0" w:evenHBand="0" w:firstRowFirstColumn="0" w:firstRowLastColumn="0" w:lastRowFirstColumn="0" w:lastRowLastColumn="0"/>
            </w:pPr>
            <w:r w:rsidRPr="00100F0A">
              <w:t>Tas</w:t>
            </w:r>
          </w:p>
        </w:tc>
        <w:tc>
          <w:tcPr>
            <w:tcW w:w="3765" w:type="dxa"/>
            <w:vMerge/>
            <w:tcBorders>
              <w:left w:val="single" w:sz="4" w:space="0" w:color="AAABD6"/>
              <w:right w:val="single" w:sz="4" w:space="0" w:color="AAABD6"/>
            </w:tcBorders>
          </w:tcPr>
          <w:p w14:paraId="50A7F54A" w14:textId="77777777" w:rsidR="00CB1E01" w:rsidRPr="00100F0A" w:rsidRDefault="00CB1E01" w:rsidP="00CB1E01">
            <w:pPr>
              <w:cnfStyle w:val="000000000000" w:firstRow="0" w:lastRow="0" w:firstColumn="0" w:lastColumn="0" w:oddVBand="0" w:evenVBand="0" w:oddHBand="0" w:evenHBand="0" w:firstRowFirstColumn="0" w:firstRowLastColumn="0" w:lastRowFirstColumn="0" w:lastRowLastColumn="0"/>
            </w:pPr>
          </w:p>
        </w:tc>
        <w:tc>
          <w:tcPr>
            <w:tcW w:w="1560" w:type="dxa"/>
            <w:tcBorders>
              <w:top w:val="dotted" w:sz="4" w:space="0" w:color="AAABD6"/>
              <w:left w:val="single" w:sz="4" w:space="0" w:color="AAABD6"/>
              <w:bottom w:val="dotted" w:sz="4" w:space="0" w:color="AAABD6"/>
              <w:right w:val="single" w:sz="4" w:space="0" w:color="AAABD6"/>
            </w:tcBorders>
            <w:vAlign w:val="bottom"/>
          </w:tcPr>
          <w:p w14:paraId="5679EB94" w14:textId="344E56C4"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-3,330</w:t>
            </w:r>
          </w:p>
        </w:tc>
        <w:tc>
          <w:tcPr>
            <w:tcW w:w="425" w:type="dxa"/>
            <w:tcBorders>
              <w:top w:val="dotted" w:sz="4" w:space="0" w:color="AAABD6"/>
              <w:left w:val="single" w:sz="4" w:space="0" w:color="AAABD6"/>
              <w:bottom w:val="dotted" w:sz="4" w:space="0" w:color="AAABD6"/>
              <w:right w:val="single" w:sz="4" w:space="0" w:color="AAABD6"/>
            </w:tcBorders>
          </w:tcPr>
          <w:p w14:paraId="1E4F627C" w14:textId="07302C0E"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1479" w:type="dxa"/>
            <w:tcBorders>
              <w:top w:val="dotted" w:sz="4" w:space="0" w:color="AAABD6"/>
              <w:left w:val="single" w:sz="4" w:space="0" w:color="AAABD6"/>
              <w:bottom w:val="dotted" w:sz="4" w:space="0" w:color="AAABD6"/>
              <w:right w:val="single" w:sz="4" w:space="0" w:color="AAABD6"/>
            </w:tcBorders>
            <w:vAlign w:val="bottom"/>
          </w:tcPr>
          <w:p w14:paraId="66820117" w14:textId="796BE2D3"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-3,330</w:t>
            </w:r>
          </w:p>
        </w:tc>
      </w:tr>
      <w:tr w:rsidR="00CB1E01" w:rsidRPr="00100F0A" w14:paraId="4B7F8836" w14:textId="77777777" w:rsidTr="00DA7639">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163F197A" w14:textId="77777777" w:rsidR="00CB1E01" w:rsidRPr="00100F0A" w:rsidRDefault="00CB1E01" w:rsidP="00CB1E01"/>
        </w:tc>
        <w:tc>
          <w:tcPr>
            <w:tcW w:w="1134" w:type="dxa"/>
            <w:tcBorders>
              <w:top w:val="dotted" w:sz="4" w:space="0" w:color="AAABD6"/>
              <w:left w:val="single" w:sz="4" w:space="0" w:color="AAABD6"/>
              <w:bottom w:val="dotted" w:sz="4" w:space="0" w:color="AAABD6"/>
              <w:right w:val="single" w:sz="4" w:space="0" w:color="AAABD6"/>
            </w:tcBorders>
            <w:vAlign w:val="center"/>
          </w:tcPr>
          <w:p w14:paraId="0DC12AF3" w14:textId="77777777" w:rsidR="00CB1E01" w:rsidRPr="00100F0A" w:rsidRDefault="00CB1E01" w:rsidP="00CB1E01">
            <w:pPr>
              <w:cnfStyle w:val="000000000000" w:firstRow="0" w:lastRow="0" w:firstColumn="0" w:lastColumn="0" w:oddVBand="0" w:evenVBand="0" w:oddHBand="0" w:evenHBand="0" w:firstRowFirstColumn="0" w:firstRowLastColumn="0" w:lastRowFirstColumn="0" w:lastRowLastColumn="0"/>
            </w:pPr>
            <w:r w:rsidRPr="00100F0A">
              <w:t>Vic</w:t>
            </w:r>
          </w:p>
        </w:tc>
        <w:tc>
          <w:tcPr>
            <w:tcW w:w="3765" w:type="dxa"/>
            <w:vMerge/>
            <w:tcBorders>
              <w:left w:val="single" w:sz="4" w:space="0" w:color="AAABD6"/>
              <w:right w:val="single" w:sz="4" w:space="0" w:color="AAABD6"/>
            </w:tcBorders>
          </w:tcPr>
          <w:p w14:paraId="469966A5" w14:textId="77777777" w:rsidR="00CB1E01" w:rsidRPr="00100F0A" w:rsidRDefault="00CB1E01" w:rsidP="00CB1E01">
            <w:pPr>
              <w:cnfStyle w:val="000000000000" w:firstRow="0" w:lastRow="0" w:firstColumn="0" w:lastColumn="0" w:oddVBand="0" w:evenVBand="0" w:oddHBand="0" w:evenHBand="0" w:firstRowFirstColumn="0" w:firstRowLastColumn="0" w:lastRowFirstColumn="0" w:lastRowLastColumn="0"/>
            </w:pPr>
          </w:p>
        </w:tc>
        <w:tc>
          <w:tcPr>
            <w:tcW w:w="1560" w:type="dxa"/>
            <w:tcBorders>
              <w:top w:val="dotted" w:sz="4" w:space="0" w:color="AAABD6"/>
              <w:left w:val="single" w:sz="4" w:space="0" w:color="AAABD6"/>
              <w:bottom w:val="dotted" w:sz="4" w:space="0" w:color="AAABD6"/>
              <w:right w:val="single" w:sz="4" w:space="0" w:color="AAABD6"/>
            </w:tcBorders>
            <w:vAlign w:val="bottom"/>
          </w:tcPr>
          <w:p w14:paraId="0603B4E4" w14:textId="3C635F97"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-226,076</w:t>
            </w:r>
          </w:p>
        </w:tc>
        <w:tc>
          <w:tcPr>
            <w:tcW w:w="425" w:type="dxa"/>
            <w:tcBorders>
              <w:top w:val="dotted" w:sz="4" w:space="0" w:color="AAABD6"/>
              <w:left w:val="single" w:sz="4" w:space="0" w:color="AAABD6"/>
              <w:bottom w:val="dotted" w:sz="4" w:space="0" w:color="AAABD6"/>
              <w:right w:val="single" w:sz="4" w:space="0" w:color="AAABD6"/>
            </w:tcBorders>
          </w:tcPr>
          <w:p w14:paraId="573F4659" w14:textId="5E16CFAE"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1479" w:type="dxa"/>
            <w:tcBorders>
              <w:top w:val="dotted" w:sz="4" w:space="0" w:color="AAABD6"/>
              <w:left w:val="single" w:sz="4" w:space="0" w:color="AAABD6"/>
              <w:bottom w:val="dotted" w:sz="4" w:space="0" w:color="AAABD6"/>
              <w:right w:val="single" w:sz="4" w:space="0" w:color="AAABD6"/>
            </w:tcBorders>
            <w:vAlign w:val="bottom"/>
          </w:tcPr>
          <w:p w14:paraId="317AB507" w14:textId="3AE9C0CC"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-226,076</w:t>
            </w:r>
          </w:p>
        </w:tc>
      </w:tr>
      <w:tr w:rsidR="00CB1E01" w:rsidRPr="00100F0A" w14:paraId="63844E14" w14:textId="77777777" w:rsidTr="00DA7639">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bottom w:val="single" w:sz="4" w:space="0" w:color="AAABD6"/>
              <w:right w:val="single" w:sz="4" w:space="0" w:color="AAABD6"/>
            </w:tcBorders>
          </w:tcPr>
          <w:p w14:paraId="76996212" w14:textId="77777777" w:rsidR="00CB1E01" w:rsidRPr="00100F0A" w:rsidRDefault="00CB1E01" w:rsidP="00CB1E01"/>
        </w:tc>
        <w:tc>
          <w:tcPr>
            <w:tcW w:w="1134" w:type="dxa"/>
            <w:tcBorders>
              <w:top w:val="dotted" w:sz="4" w:space="0" w:color="AAABD6"/>
              <w:left w:val="single" w:sz="4" w:space="0" w:color="AAABD6"/>
              <w:bottom w:val="single" w:sz="4" w:space="0" w:color="AAABD6"/>
              <w:right w:val="single" w:sz="4" w:space="0" w:color="AAABD6"/>
            </w:tcBorders>
            <w:vAlign w:val="center"/>
          </w:tcPr>
          <w:p w14:paraId="7554404D" w14:textId="77777777" w:rsidR="00CB1E01" w:rsidRPr="00100F0A" w:rsidRDefault="00CB1E01" w:rsidP="00CB1E01">
            <w:pPr>
              <w:cnfStyle w:val="000000000000" w:firstRow="0" w:lastRow="0" w:firstColumn="0" w:lastColumn="0" w:oddVBand="0" w:evenVBand="0" w:oddHBand="0" w:evenHBand="0" w:firstRowFirstColumn="0" w:firstRowLastColumn="0" w:lastRowFirstColumn="0" w:lastRowLastColumn="0"/>
            </w:pPr>
            <w:r w:rsidRPr="00100F0A">
              <w:t>WA</w:t>
            </w:r>
          </w:p>
        </w:tc>
        <w:tc>
          <w:tcPr>
            <w:tcW w:w="3765" w:type="dxa"/>
            <w:vMerge/>
            <w:tcBorders>
              <w:left w:val="single" w:sz="4" w:space="0" w:color="AAABD6"/>
              <w:bottom w:val="single" w:sz="4" w:space="0" w:color="AAABD6"/>
              <w:right w:val="single" w:sz="4" w:space="0" w:color="AAABD6"/>
            </w:tcBorders>
          </w:tcPr>
          <w:p w14:paraId="3C33BC3D" w14:textId="77777777" w:rsidR="00CB1E01" w:rsidRPr="00100F0A" w:rsidRDefault="00CB1E01" w:rsidP="00CB1E01">
            <w:pPr>
              <w:cnfStyle w:val="000000000000" w:firstRow="0" w:lastRow="0" w:firstColumn="0" w:lastColumn="0" w:oddVBand="0" w:evenVBand="0" w:oddHBand="0" w:evenHBand="0" w:firstRowFirstColumn="0" w:firstRowLastColumn="0" w:lastRowFirstColumn="0" w:lastRowLastColumn="0"/>
            </w:pPr>
          </w:p>
        </w:tc>
        <w:tc>
          <w:tcPr>
            <w:tcW w:w="1560" w:type="dxa"/>
            <w:tcBorders>
              <w:top w:val="dotted" w:sz="4" w:space="0" w:color="AAABD6"/>
              <w:left w:val="single" w:sz="4" w:space="0" w:color="AAABD6"/>
              <w:bottom w:val="single" w:sz="4" w:space="0" w:color="AAABD6"/>
              <w:right w:val="single" w:sz="4" w:space="0" w:color="AAABD6"/>
            </w:tcBorders>
            <w:vAlign w:val="bottom"/>
          </w:tcPr>
          <w:p w14:paraId="27C94A27" w14:textId="4B56FB26"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-2,521</w:t>
            </w:r>
          </w:p>
        </w:tc>
        <w:tc>
          <w:tcPr>
            <w:tcW w:w="425" w:type="dxa"/>
            <w:tcBorders>
              <w:top w:val="dotted" w:sz="4" w:space="0" w:color="AAABD6"/>
              <w:left w:val="single" w:sz="4" w:space="0" w:color="AAABD6"/>
              <w:bottom w:val="single" w:sz="4" w:space="0" w:color="AAABD6"/>
              <w:right w:val="single" w:sz="4" w:space="0" w:color="AAABD6"/>
            </w:tcBorders>
          </w:tcPr>
          <w:p w14:paraId="702E7369" w14:textId="2C2A21B3"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pPr>
            <w:r w:rsidRPr="00100F0A">
              <w:t>...</w:t>
            </w:r>
          </w:p>
        </w:tc>
        <w:tc>
          <w:tcPr>
            <w:tcW w:w="1479" w:type="dxa"/>
            <w:tcBorders>
              <w:top w:val="dotted" w:sz="4" w:space="0" w:color="AAABD6"/>
              <w:left w:val="single" w:sz="4" w:space="0" w:color="AAABD6"/>
              <w:bottom w:val="single" w:sz="4" w:space="0" w:color="AAABD6"/>
              <w:right w:val="single" w:sz="4" w:space="0" w:color="AAABD6"/>
            </w:tcBorders>
            <w:vAlign w:val="bottom"/>
          </w:tcPr>
          <w:p w14:paraId="410E7AA8" w14:textId="34962D99" w:rsidR="00CB1E01" w:rsidRPr="00100F0A" w:rsidRDefault="00CB1E01" w:rsidP="004206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-2,521</w:t>
            </w:r>
          </w:p>
        </w:tc>
      </w:tr>
    </w:tbl>
    <w:p w14:paraId="460941A4" w14:textId="329C9124" w:rsidR="00601CB2" w:rsidRPr="00100F0A" w:rsidRDefault="00601CB2" w:rsidP="00601CB2">
      <w:pPr>
        <w:pStyle w:val="BodyText"/>
      </w:pPr>
    </w:p>
    <w:p w14:paraId="3B78E061" w14:textId="77777777" w:rsidR="00CB1E01" w:rsidRPr="00100F0A" w:rsidRDefault="00CB1E01" w:rsidP="00601CB2">
      <w:pPr>
        <w:pStyle w:val="BodyText"/>
      </w:pPr>
    </w:p>
    <w:p w14:paraId="6C28064B" w14:textId="510611C6" w:rsidR="00601CB2" w:rsidRPr="00100F0A" w:rsidRDefault="00601CB2" w:rsidP="00273FA6">
      <w:pPr>
        <w:pStyle w:val="Caption"/>
      </w:pPr>
      <w:bookmarkStart w:id="237" w:name="_Toc425849243"/>
      <w:bookmarkStart w:id="238" w:name="_Toc13225602"/>
      <w:r w:rsidRPr="00100F0A">
        <w:t xml:space="preserve">Figure </w:t>
      </w:r>
      <w:r w:rsidR="00971D78" w:rsidRPr="00100F0A">
        <w:rPr>
          <w:noProof/>
        </w:rPr>
        <w:fldChar w:fldCharType="begin"/>
      </w:r>
      <w:r w:rsidR="00971D78" w:rsidRPr="00100F0A">
        <w:rPr>
          <w:noProof/>
        </w:rPr>
        <w:instrText xml:space="preserve"> SEQ Figure \* ARABIC </w:instrText>
      </w:r>
      <w:r w:rsidR="00971D78" w:rsidRPr="00100F0A">
        <w:rPr>
          <w:noProof/>
        </w:rPr>
        <w:fldChar w:fldCharType="separate"/>
      </w:r>
      <w:r w:rsidR="00EB634D">
        <w:rPr>
          <w:noProof/>
        </w:rPr>
        <w:t>29</w:t>
      </w:r>
      <w:r w:rsidR="00971D78" w:rsidRPr="00100F0A">
        <w:rPr>
          <w:noProof/>
        </w:rPr>
        <w:fldChar w:fldCharType="end"/>
      </w:r>
      <w:r w:rsidR="00AD2F76">
        <w:rPr>
          <w:noProof/>
        </w:rPr>
        <w:t>:</w:t>
      </w:r>
      <w:r w:rsidR="00D11FEE" w:rsidRPr="00100F0A">
        <w:tab/>
      </w:r>
      <w:r w:rsidRPr="00100F0A">
        <w:t>Best, high and low national projection estimates of contaminated soil waste to 203</w:t>
      </w:r>
      <w:bookmarkEnd w:id="237"/>
      <w:r w:rsidR="00CB1E01" w:rsidRPr="00100F0A">
        <w:t>7</w:t>
      </w:r>
      <w:bookmarkEnd w:id="238"/>
    </w:p>
    <w:p w14:paraId="7CA9F9F8" w14:textId="640CA442" w:rsidR="00601CB2" w:rsidRPr="00100F0A" w:rsidRDefault="009C6FAD" w:rsidP="00601CB2">
      <w:pPr>
        <w:rPr>
          <w:rStyle w:val="BodyTextChar"/>
        </w:rPr>
      </w:pPr>
      <w:r w:rsidRPr="00100F0A">
        <w:rPr>
          <w:noProof/>
          <w:lang w:eastAsia="en-AU"/>
        </w:rPr>
        <w:drawing>
          <wp:inline distT="0" distB="0" distL="0" distR="0" wp14:anchorId="1CAD1812" wp14:editId="514953AC">
            <wp:extent cx="5735955" cy="2025015"/>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5955" cy="2025015"/>
                    </a:xfrm>
                    <a:prstGeom prst="rect">
                      <a:avLst/>
                    </a:prstGeom>
                  </pic:spPr>
                </pic:pic>
              </a:graphicData>
            </a:graphic>
          </wp:inline>
        </w:drawing>
      </w:r>
    </w:p>
    <w:p w14:paraId="540676D4" w14:textId="7383A701" w:rsidR="00096662" w:rsidRDefault="00096662">
      <w:r>
        <w:br w:type="page"/>
      </w:r>
    </w:p>
    <w:p w14:paraId="5C2C3ACE" w14:textId="75212A6C" w:rsidR="009C6FAD" w:rsidRPr="00100F0A" w:rsidRDefault="009C6FAD" w:rsidP="009C6FAD">
      <w:pPr>
        <w:pStyle w:val="Heading3"/>
      </w:pPr>
      <w:r w:rsidRPr="00100F0A">
        <w:t xml:space="preserve">N205a. </w:t>
      </w:r>
      <w:r w:rsidR="00A12D66" w:rsidRPr="00100F0A">
        <w:t>Other c</w:t>
      </w:r>
      <w:r w:rsidRPr="00100F0A">
        <w:t>ontaminated biosolids</w:t>
      </w:r>
    </w:p>
    <w:p w14:paraId="27D8CD26" w14:textId="668AF930" w:rsidR="009C6FAD" w:rsidRPr="00100F0A" w:rsidRDefault="009C6FAD" w:rsidP="009C6FAD">
      <w:pPr>
        <w:pStyle w:val="BodyText"/>
      </w:pPr>
      <w:r w:rsidRPr="00100F0A">
        <w:t>Biosolids are a product of sewage sludge once it has undergone further treatment</w:t>
      </w:r>
      <w:r w:rsidR="00D157C6">
        <w:t>,</w:t>
      </w:r>
      <w:r w:rsidRPr="00100F0A">
        <w:t xml:space="preserve"> producing a stabilised product. Like fly ash, biosolids have significant potential for beneficial reuse, which currently occurs throughout Australia. Suitable quality biosolids can be applied as a fertiliser to improve and maintain productive soils and stimulate plant growth.</w:t>
      </w:r>
    </w:p>
    <w:p w14:paraId="4342FC40" w14:textId="77777777" w:rsidR="009C6FAD" w:rsidRPr="00100F0A" w:rsidRDefault="009C6FAD" w:rsidP="009C6FAD">
      <w:pPr>
        <w:pStyle w:val="BodyText"/>
      </w:pPr>
    </w:p>
    <w:p w14:paraId="7BD40E18" w14:textId="0148B10E" w:rsidR="009C6FAD" w:rsidRPr="00100F0A" w:rsidRDefault="009C6FAD" w:rsidP="009C6FAD">
      <w:pPr>
        <w:pStyle w:val="BodyText"/>
      </w:pPr>
      <w:r w:rsidRPr="00100F0A">
        <w:t xml:space="preserve">Biosolids are not a controlled waste under the NEPM and consequently are not tracked in all jurisdictions. However, it is widely accepted that some biosolids – particularly those generated in treatment plants servicing industrial areas – are contaminated with heavy metals at levels exceeding criteria set to protect environmental and human health values. Other organic pollutants may also be present. </w:t>
      </w:r>
      <w:r w:rsidR="00387CBE" w:rsidRPr="00100F0A">
        <w:t>Consequently,</w:t>
      </w:r>
      <w:r w:rsidRPr="00100F0A">
        <w:t xml:space="preserve"> and conservatively, biosolids have been included in Australia’s annual hazardous waste reporting to the Basel Convention as a precaution. In the 2012 and 2013 Basel report, biosolids were included under the NEPM category </w:t>
      </w:r>
      <w:r w:rsidRPr="00100F0A">
        <w:rPr>
          <w:i/>
        </w:rPr>
        <w:t>N205 Residues arising from industrial waste treatment/disposal operations</w:t>
      </w:r>
      <w:r w:rsidRPr="00100F0A">
        <w:t>, along with other wastes that are reported to tracking systems under this category.</w:t>
      </w:r>
    </w:p>
    <w:p w14:paraId="112DAFAC" w14:textId="77777777" w:rsidR="009C6FAD" w:rsidRPr="00100F0A" w:rsidRDefault="009C6FAD" w:rsidP="009C6FAD">
      <w:pPr>
        <w:pStyle w:val="BodyText"/>
      </w:pPr>
    </w:p>
    <w:p w14:paraId="20B92431" w14:textId="0ACDCFB1" w:rsidR="009C6FAD" w:rsidRPr="00100F0A" w:rsidRDefault="009C6FAD" w:rsidP="009C6FAD">
      <w:pPr>
        <w:pStyle w:val="BodyText"/>
      </w:pPr>
      <w:r w:rsidRPr="00100F0A">
        <w:t>Biosolids guidelines exist in all jurisdictions that allow appropriate beneficial uses of biosolids matched to their inherent hazard (with respect to chemical contaminants such as heavy metals like cadmium, lead and mercury). While it is conservative to classify all biosolids as hazardous waste, it is logical that biosolids containing pollutants at concentrations exceeding the highest classification levels outlined in biosolids guidelines may be deemed to be hazardous waste</w:t>
      </w:r>
      <w:r w:rsidR="008C76E0">
        <w:t>: s</w:t>
      </w:r>
      <w:r w:rsidRPr="00100F0A">
        <w:t xml:space="preserve">oil or other waste so contaminated would be regulated as hazardous. Consequently, the hazardous waste group contaminated biosolids was created for this project, with arisings estimates modelled from </w:t>
      </w:r>
      <w:r w:rsidR="0088031B">
        <w:t xml:space="preserve">total </w:t>
      </w:r>
      <w:r w:rsidRPr="00100F0A">
        <w:t>national biosolids tonnages.</w:t>
      </w:r>
    </w:p>
    <w:p w14:paraId="79AE22F2" w14:textId="77777777" w:rsidR="009C6FAD" w:rsidRPr="00100F0A" w:rsidRDefault="009C6FAD" w:rsidP="009C6FAD">
      <w:pPr>
        <w:pStyle w:val="BodyText"/>
      </w:pPr>
    </w:p>
    <w:p w14:paraId="287F9221" w14:textId="05C546DC" w:rsidR="009C6FAD" w:rsidRPr="00100F0A" w:rsidRDefault="009C6FAD" w:rsidP="009C6FAD">
      <w:pPr>
        <w:pStyle w:val="BodyText"/>
      </w:pPr>
      <w:r w:rsidRPr="00100F0A">
        <w:t>Biosolids mostly fall outside of the tracking process, although some states appear to track movements of sewage sludge (the raw state of biosolids), presumably based on issues such as odour and pathogenicity. The lack of tracking means biosolids are often missing from hazardous waste consideration</w:t>
      </w:r>
      <w:r w:rsidR="0088031B">
        <w:t xml:space="preserve">; </w:t>
      </w:r>
      <w:r w:rsidRPr="00100F0A">
        <w:t xml:space="preserve">their inclusion for Basel reporting purposes is a recent development. They are not typically considered as hazardous waste, or even waste at all by some, but, like fly ash, they can contain contaminants such as heavy metals and even </w:t>
      </w:r>
      <w:r w:rsidR="00374225">
        <w:t>POP</w:t>
      </w:r>
      <w:r w:rsidRPr="00100F0A">
        <w:t>, that would make them a hazardous waste based on NSW or Vic waste contaminant classification concentrations.</w:t>
      </w:r>
    </w:p>
    <w:p w14:paraId="4115CB56" w14:textId="77777777" w:rsidR="009C6FAD" w:rsidRPr="00100F0A" w:rsidRDefault="009C6FAD" w:rsidP="009C6FAD">
      <w:pPr>
        <w:pStyle w:val="BodyText"/>
      </w:pPr>
    </w:p>
    <w:p w14:paraId="7C2689CA" w14:textId="46558FA7" w:rsidR="009C6FAD" w:rsidRPr="00100F0A" w:rsidRDefault="009C6FAD" w:rsidP="009C6FAD">
      <w:pPr>
        <w:pStyle w:val="BodyText"/>
      </w:pPr>
      <w:r w:rsidRPr="00100F0A">
        <w:t xml:space="preserve">While a hazard risk vs resource value tension exists for biosolids, the application of state-based biosolids guideline chemical contaminant concentration levels should ensure that beneficial reuse applications match the quality of the biosolids in a ‘fit for purpose’ way. This appears to be predominantly what occurs, although the authors were not able to obtain publicly available data to provide transparency to this evaluation process. The major exception to his was the two major Vic biosolids stockpiles (for Eastern and Western Treatment </w:t>
      </w:r>
      <w:r w:rsidR="00C34F48" w:rsidRPr="00100F0A">
        <w:t>Plants)</w:t>
      </w:r>
      <w:r w:rsidRPr="00100F0A">
        <w:t>, which have detailed analysis data in the public domain.</w:t>
      </w:r>
    </w:p>
    <w:p w14:paraId="6D810BA2" w14:textId="77777777" w:rsidR="009C6FAD" w:rsidRPr="00100F0A" w:rsidRDefault="009C6FAD" w:rsidP="009C6FAD">
      <w:pPr>
        <w:pStyle w:val="BodyText"/>
      </w:pPr>
    </w:p>
    <w:p w14:paraId="0AA82C6F" w14:textId="0613DA66" w:rsidR="009C6FAD" w:rsidRPr="00100F0A" w:rsidRDefault="009C6FAD" w:rsidP="009C6FAD">
      <w:pPr>
        <w:pStyle w:val="BodyText"/>
      </w:pPr>
      <w:bookmarkStart w:id="239" w:name="_Hlk8981201"/>
      <w:r w:rsidRPr="00100F0A">
        <w:t xml:space="preserve">Apart from the scale of the waste stream </w:t>
      </w:r>
      <w:r w:rsidR="0088031B">
        <w:t>(</w:t>
      </w:r>
      <w:r w:rsidRPr="00100F0A">
        <w:t>the largest of all reported to Basel</w:t>
      </w:r>
      <w:r w:rsidR="0088031B">
        <w:t>),</w:t>
      </w:r>
      <w:r w:rsidRPr="00100F0A">
        <w:t xml:space="preserve"> an emerging problem is th</w:t>
      </w:r>
      <w:r w:rsidR="0088031B">
        <w:t>at</w:t>
      </w:r>
      <w:r w:rsidRPr="00100F0A">
        <w:t xml:space="preserve"> many biosolids guidelines applied by states and territories have </w:t>
      </w:r>
      <w:r w:rsidR="003C4688">
        <w:t xml:space="preserve">varied </w:t>
      </w:r>
      <w:r w:rsidRPr="00100F0A">
        <w:t xml:space="preserve">coverage of hazardous chemicals. For </w:t>
      </w:r>
      <w:r w:rsidR="00387CBE" w:rsidRPr="00100F0A">
        <w:t>example,</w:t>
      </w:r>
      <w:r w:rsidRPr="00100F0A">
        <w:t xml:space="preserve"> </w:t>
      </w:r>
      <w:r w:rsidR="0088031B">
        <w:t>SA and WA</w:t>
      </w:r>
      <w:r w:rsidRPr="00100F0A">
        <w:t xml:space="preserve"> guidelines do not consider arsenic, mercury or lead, although these are the heavy metals within much of Vic’s historical Western Treatment Plant biosolids stockpile that exceed hazardous waste concentration thresholds.</w:t>
      </w:r>
    </w:p>
    <w:bookmarkEnd w:id="239"/>
    <w:p w14:paraId="70BD450F" w14:textId="77777777" w:rsidR="009C6FAD" w:rsidRPr="00100F0A" w:rsidRDefault="009C6FAD" w:rsidP="009C6FAD">
      <w:pPr>
        <w:pStyle w:val="BodyText"/>
      </w:pPr>
    </w:p>
    <w:p w14:paraId="280F4D22" w14:textId="4A4B3DA2" w:rsidR="009C6FAD" w:rsidRPr="00100F0A" w:rsidRDefault="009C6FAD" w:rsidP="009C6FAD">
      <w:pPr>
        <w:pStyle w:val="BodyText"/>
      </w:pPr>
      <w:r w:rsidRPr="00100F0A">
        <w:t xml:space="preserve">A bigger issue is the potential presence of chemicals only relatively recently determined to be an environmental concern, such as the new Stockholm Convention listings of </w:t>
      </w:r>
      <w:r w:rsidR="00374225">
        <w:t>POP</w:t>
      </w:r>
      <w:r w:rsidRPr="00100F0A">
        <w:t xml:space="preserve">, which are known to be present in biosolids. Should these chemicals be present at levels high enough to cause concern, legislative change is foreseeable that could lead to a quite different set of biosolids management requirements in the near future. </w:t>
      </w:r>
      <w:r w:rsidRPr="00A307F3">
        <w:t>Note</w:t>
      </w:r>
      <w:r w:rsidRPr="00100F0A">
        <w:t xml:space="preserve"> as detailed in </w:t>
      </w:r>
      <w:r w:rsidRPr="00100F0A">
        <w:fldChar w:fldCharType="begin"/>
      </w:r>
      <w:r w:rsidRPr="00100F0A">
        <w:instrText xml:space="preserve"> REF _Ref408325490 \h  \* MERGEFORMAT </w:instrText>
      </w:r>
      <w:r w:rsidRPr="00100F0A">
        <w:fldChar w:fldCharType="separate"/>
      </w:r>
      <w:r w:rsidR="00EB634D" w:rsidRPr="00100F0A">
        <w:t xml:space="preserve">Table </w:t>
      </w:r>
      <w:r w:rsidR="00EB634D">
        <w:rPr>
          <w:noProof/>
        </w:rPr>
        <w:t>1</w:t>
      </w:r>
      <w:r w:rsidRPr="00100F0A">
        <w:fldChar w:fldCharType="end"/>
      </w:r>
      <w:r w:rsidR="0088031B">
        <w:t>,</w:t>
      </w:r>
      <w:r w:rsidRPr="00100F0A">
        <w:t xml:space="preserve"> the projections for PFOS contaminated biosolids are included with the projections for M270 (above) and to avoid double counting are not included in the projection for contaminated biosolids below.  </w:t>
      </w:r>
    </w:p>
    <w:p w14:paraId="4911BA22" w14:textId="77777777" w:rsidR="009C6FAD" w:rsidRPr="00100F0A" w:rsidRDefault="009C6FAD" w:rsidP="009C6FAD">
      <w:pPr>
        <w:pStyle w:val="Heading3-nonumber"/>
      </w:pPr>
      <w:r w:rsidRPr="00100F0A">
        <w:t>Summary analysis</w:t>
      </w:r>
    </w:p>
    <w:tbl>
      <w:tblPr>
        <w:tblStyle w:val="BETable11"/>
        <w:tblW w:w="5000" w:type="pct"/>
        <w:tblInd w:w="0" w:type="dxa"/>
        <w:tblBorders>
          <w:top w:val="single" w:sz="4" w:space="0" w:color="AAABD6"/>
          <w:left w:val="single" w:sz="4" w:space="0" w:color="AAABD6"/>
          <w:bottom w:val="single" w:sz="4" w:space="0" w:color="AAABD6"/>
          <w:right w:val="single" w:sz="4" w:space="0" w:color="AAABD6"/>
          <w:insideH w:val="single" w:sz="4" w:space="0" w:color="AAABD6"/>
          <w:insideV w:val="single" w:sz="4" w:space="0" w:color="AAABD6"/>
        </w:tblBorders>
        <w:tblLook w:val="04A0" w:firstRow="1" w:lastRow="0" w:firstColumn="1" w:lastColumn="0" w:noHBand="0" w:noVBand="1"/>
      </w:tblPr>
      <w:tblGrid>
        <w:gridCol w:w="1152"/>
        <w:gridCol w:w="2286"/>
        <w:gridCol w:w="2196"/>
        <w:gridCol w:w="3569"/>
      </w:tblGrid>
      <w:tr w:rsidR="009C6FAD" w:rsidRPr="00100F0A" w14:paraId="34F64375" w14:textId="77777777" w:rsidTr="00826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pct"/>
            <w:tcBorders>
              <w:top w:val="nil"/>
              <w:left w:val="single" w:sz="4" w:space="0" w:color="AAABD6"/>
              <w:bottom w:val="nil"/>
            </w:tcBorders>
            <w:shd w:val="clear" w:color="auto" w:fill="AAABD6"/>
          </w:tcPr>
          <w:p w14:paraId="481E8D7B" w14:textId="77777777" w:rsidR="009C6FAD" w:rsidRPr="00100F0A" w:rsidRDefault="009C6FAD" w:rsidP="008265C8">
            <w:pPr>
              <w:pStyle w:val="BodyText"/>
              <w:rPr>
                <w:color w:val="FFFFFF" w:themeColor="background1"/>
              </w:rPr>
            </w:pPr>
            <w:r w:rsidRPr="00100F0A">
              <w:rPr>
                <w:color w:val="FFFFFF" w:themeColor="background1"/>
              </w:rPr>
              <w:t>Industry sources</w:t>
            </w:r>
          </w:p>
        </w:tc>
        <w:tc>
          <w:tcPr>
            <w:tcW w:w="1242" w:type="pct"/>
            <w:tcBorders>
              <w:top w:val="nil"/>
              <w:bottom w:val="nil"/>
            </w:tcBorders>
            <w:shd w:val="clear" w:color="auto" w:fill="AAABD6"/>
          </w:tcPr>
          <w:p w14:paraId="57268D6F" w14:textId="77777777" w:rsidR="009C6FAD" w:rsidRPr="00100F0A" w:rsidRDefault="009C6FAD" w:rsidP="008265C8">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Considerations</w:t>
            </w:r>
          </w:p>
        </w:tc>
        <w:tc>
          <w:tcPr>
            <w:tcW w:w="1193" w:type="pct"/>
            <w:tcBorders>
              <w:top w:val="nil"/>
              <w:bottom w:val="nil"/>
            </w:tcBorders>
            <w:shd w:val="clear" w:color="auto" w:fill="AAABD6"/>
          </w:tcPr>
          <w:p w14:paraId="7D0CCEC9" w14:textId="77777777" w:rsidR="009C6FAD" w:rsidRPr="00100F0A" w:rsidRDefault="009C6FAD" w:rsidP="008265C8">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Comments</w:t>
            </w:r>
          </w:p>
        </w:tc>
        <w:tc>
          <w:tcPr>
            <w:tcW w:w="1939" w:type="pct"/>
            <w:tcBorders>
              <w:top w:val="nil"/>
              <w:bottom w:val="nil"/>
              <w:right w:val="single" w:sz="4" w:space="0" w:color="AAABD6"/>
            </w:tcBorders>
            <w:shd w:val="clear" w:color="auto" w:fill="AAABD6"/>
          </w:tcPr>
          <w:p w14:paraId="6F65F1B3" w14:textId="77777777" w:rsidR="009C6FAD" w:rsidRPr="00100F0A" w:rsidRDefault="009C6FAD" w:rsidP="008265C8">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r>
      <w:tr w:rsidR="009C6FAD" w:rsidRPr="00100F0A" w14:paraId="5D4075F5" w14:textId="77777777" w:rsidTr="008265C8">
        <w:trPr>
          <w:trHeight w:val="2009"/>
        </w:trPr>
        <w:tc>
          <w:tcPr>
            <w:cnfStyle w:val="001000000000" w:firstRow="0" w:lastRow="0" w:firstColumn="1" w:lastColumn="0" w:oddVBand="0" w:evenVBand="0" w:oddHBand="0" w:evenHBand="0" w:firstRowFirstColumn="0" w:firstRowLastColumn="0" w:lastRowFirstColumn="0" w:lastRowLastColumn="0"/>
            <w:tcW w:w="626" w:type="pct"/>
            <w:tcBorders>
              <w:top w:val="nil"/>
            </w:tcBorders>
          </w:tcPr>
          <w:p w14:paraId="6686BAD7" w14:textId="77777777" w:rsidR="009C6FAD" w:rsidRPr="00100F0A" w:rsidRDefault="009C6FAD" w:rsidP="008265C8">
            <w:pPr>
              <w:rPr>
                <w:color w:val="000000"/>
              </w:rPr>
            </w:pPr>
            <w:r w:rsidRPr="00100F0A">
              <w:t>Wastewater treatment</w:t>
            </w:r>
          </w:p>
        </w:tc>
        <w:tc>
          <w:tcPr>
            <w:tcW w:w="1242" w:type="pct"/>
            <w:tcBorders>
              <w:top w:val="nil"/>
            </w:tcBorders>
          </w:tcPr>
          <w:p w14:paraId="59BAB40E" w14:textId="1A22382E" w:rsidR="009C6FAD" w:rsidRPr="00100F0A" w:rsidRDefault="009C6FAD" w:rsidP="008265C8">
            <w:pPr>
              <w:pStyle w:val="BodyText"/>
              <w:cnfStyle w:val="000000000000" w:firstRow="0" w:lastRow="0" w:firstColumn="0" w:lastColumn="0" w:oddVBand="0" w:evenVBand="0" w:oddHBand="0" w:evenHBand="0" w:firstRowFirstColumn="0" w:firstRowLastColumn="0" w:lastRowFirstColumn="0" w:lastRowLastColumn="0"/>
            </w:pPr>
            <w:r w:rsidRPr="00100F0A">
              <w:t>Credible projections exist (see DoE 2012b) but these are of CO</w:t>
            </w:r>
            <w:r w:rsidRPr="00100F0A">
              <w:rPr>
                <w:vertAlign w:val="subscript"/>
              </w:rPr>
              <w:t>2</w:t>
            </w:r>
            <w:r w:rsidRPr="00100F0A">
              <w:t>-e emissions for a climate change context</w:t>
            </w:r>
          </w:p>
          <w:p w14:paraId="6A9A50C7" w14:textId="77777777" w:rsidR="009C6FAD" w:rsidRPr="00100F0A" w:rsidRDefault="009C6FAD" w:rsidP="008265C8">
            <w:pPr>
              <w:pStyle w:val="BodyText"/>
              <w:cnfStyle w:val="000000000000" w:firstRow="0" w:lastRow="0" w:firstColumn="0" w:lastColumn="0" w:oddVBand="0" w:evenVBand="0" w:oddHBand="0" w:evenHBand="0" w:firstRowFirstColumn="0" w:firstRowLastColumn="0" w:lastRowFirstColumn="0" w:lastRowLastColumn="0"/>
            </w:pPr>
            <w:r w:rsidRPr="00100F0A">
              <w:t>Expected to increase in line with population growth, assuming stability of infrastructure</w:t>
            </w:r>
          </w:p>
          <w:p w14:paraId="3D19DE60" w14:textId="2DD20DA3" w:rsidR="009C6FAD" w:rsidRPr="00100F0A" w:rsidRDefault="009C6FAD" w:rsidP="008265C8">
            <w:pPr>
              <w:pStyle w:val="BodyText"/>
              <w:cnfStyle w:val="000000000000" w:firstRow="0" w:lastRow="0" w:firstColumn="0" w:lastColumn="0" w:oddVBand="0" w:evenVBand="0" w:oddHBand="0" w:evenHBand="0" w:firstRowFirstColumn="0" w:firstRowLastColumn="0" w:lastRowFirstColumn="0" w:lastRowLastColumn="0"/>
            </w:pPr>
            <w:r w:rsidRPr="00100F0A">
              <w:t>ACT has no biosolids – sewage sludge is incinerated on-site</w:t>
            </w:r>
          </w:p>
        </w:tc>
        <w:tc>
          <w:tcPr>
            <w:tcW w:w="1193" w:type="pct"/>
            <w:tcBorders>
              <w:top w:val="nil"/>
            </w:tcBorders>
          </w:tcPr>
          <w:p w14:paraId="2474DAEC" w14:textId="77777777" w:rsidR="009C6FAD" w:rsidRPr="00100F0A" w:rsidRDefault="009C6FAD" w:rsidP="008265C8">
            <w:pPr>
              <w:pStyle w:val="BodyText"/>
              <w:cnfStyle w:val="000000000000" w:firstRow="0" w:lastRow="0" w:firstColumn="0" w:lastColumn="0" w:oddVBand="0" w:evenVBand="0" w:oddHBand="0" w:evenHBand="0" w:firstRowFirstColumn="0" w:firstRowLastColumn="0" w:lastRowFirstColumn="0" w:lastRowLastColumn="0"/>
            </w:pPr>
            <w:r w:rsidRPr="00100F0A">
              <w:t>PSD (2017) classifies biosolids production by contamination thresholds</w:t>
            </w:r>
          </w:p>
          <w:p w14:paraId="31FF659A" w14:textId="77777777" w:rsidR="009C6FAD" w:rsidRPr="00100F0A" w:rsidRDefault="009C6FAD" w:rsidP="008265C8">
            <w:pPr>
              <w:pStyle w:val="BodyText"/>
              <w:cnfStyle w:val="000000000000" w:firstRow="0" w:lastRow="0" w:firstColumn="0" w:lastColumn="0" w:oddVBand="0" w:evenVBand="0" w:oddHBand="0" w:evenHBand="0" w:firstRowFirstColumn="0" w:firstRowLastColumn="0" w:lastRowFirstColumn="0" w:lastRowLastColumn="0"/>
            </w:pPr>
            <w:r w:rsidRPr="00100F0A">
              <w:t xml:space="preserve">Contaminant grades used for this waste group are: </w:t>
            </w:r>
          </w:p>
          <w:p w14:paraId="2DE9A4EE" w14:textId="06A38C61" w:rsidR="009C6FAD" w:rsidRPr="00100F0A" w:rsidRDefault="00B404CD" w:rsidP="008265C8">
            <w:pPr>
              <w:pStyle w:val="Bullet1"/>
              <w:cnfStyle w:val="000000000000" w:firstRow="0" w:lastRow="0" w:firstColumn="0" w:lastColumn="0" w:oddVBand="0" w:evenVBand="0" w:oddHBand="0" w:evenHBand="0" w:firstRowFirstColumn="0" w:firstRowLastColumn="0" w:lastRowFirstColumn="0" w:lastRowLastColumn="0"/>
            </w:pPr>
            <w:r>
              <w:t>g</w:t>
            </w:r>
            <w:r w:rsidR="009C6FAD" w:rsidRPr="00100F0A">
              <w:t>rade '</w:t>
            </w:r>
            <w:r>
              <w:t>u</w:t>
            </w:r>
            <w:r w:rsidR="009C6FAD" w:rsidRPr="00100F0A">
              <w:t xml:space="preserve">nsuitable for use' or </w:t>
            </w:r>
            <w:r>
              <w:t>g</w:t>
            </w:r>
            <w:r w:rsidR="009C6FAD" w:rsidRPr="00100F0A">
              <w:t>rades D or E (NSW, Qld)</w:t>
            </w:r>
          </w:p>
          <w:p w14:paraId="77690C15" w14:textId="77777777" w:rsidR="009C6FAD" w:rsidRPr="00100F0A" w:rsidRDefault="009C6FAD" w:rsidP="008265C8">
            <w:pPr>
              <w:pStyle w:val="BodyText"/>
              <w:cnfStyle w:val="000000000000" w:firstRow="0" w:lastRow="0" w:firstColumn="0" w:lastColumn="0" w:oddVBand="0" w:evenVBand="0" w:oddHBand="0" w:evenHBand="0" w:firstRowFirstColumn="0" w:firstRowLastColumn="0" w:lastRowFirstColumn="0" w:lastRowLastColumn="0"/>
            </w:pPr>
          </w:p>
        </w:tc>
        <w:tc>
          <w:tcPr>
            <w:tcW w:w="1939" w:type="pct"/>
            <w:tcBorders>
              <w:top w:val="nil"/>
            </w:tcBorders>
          </w:tcPr>
          <w:p w14:paraId="140188BA" w14:textId="4B4D15A4" w:rsidR="009C6FAD" w:rsidRPr="00100F0A" w:rsidRDefault="009C6FAD" w:rsidP="008265C8">
            <w:pPr>
              <w:pStyle w:val="BodyText"/>
              <w:cnfStyle w:val="000000000000" w:firstRow="0" w:lastRow="0" w:firstColumn="0" w:lastColumn="0" w:oddVBand="0" w:evenVBand="0" w:oddHBand="0" w:evenHBand="0" w:firstRowFirstColumn="0" w:firstRowLastColumn="0" w:lastRowFirstColumn="0" w:lastRowLastColumn="0"/>
            </w:pPr>
            <w:r w:rsidRPr="00100F0A">
              <w:t>In all cases, assume all biosolids quantities grow proportionally with population</w:t>
            </w:r>
          </w:p>
          <w:p w14:paraId="19E70E3B" w14:textId="77777777" w:rsidR="009C6FAD" w:rsidRPr="00100F0A" w:rsidRDefault="009C6FAD" w:rsidP="008265C8">
            <w:pPr>
              <w:pStyle w:val="BodyText"/>
              <w:cnfStyle w:val="000000000000" w:firstRow="0" w:lastRow="0" w:firstColumn="0" w:lastColumn="0" w:oddVBand="0" w:evenVBand="0" w:oddHBand="0" w:evenHBand="0" w:firstRowFirstColumn="0" w:firstRowLastColumn="0" w:lastRowFirstColumn="0" w:lastRowLastColumn="0"/>
            </w:pPr>
            <w:r w:rsidRPr="00100F0A">
              <w:t>Best case: PSD (2017) contaminated proportions are correct and remain constant</w:t>
            </w:r>
          </w:p>
          <w:p w14:paraId="5019ABEC" w14:textId="77777777" w:rsidR="009C6FAD" w:rsidRPr="00100F0A" w:rsidRDefault="009C6FAD" w:rsidP="008265C8">
            <w:pPr>
              <w:pStyle w:val="BodyText"/>
              <w:cnfStyle w:val="000000000000" w:firstRow="0" w:lastRow="0" w:firstColumn="0" w:lastColumn="0" w:oddVBand="0" w:evenVBand="0" w:oddHBand="0" w:evenHBand="0" w:firstRowFirstColumn="0" w:firstRowLastColumn="0" w:lastRowFirstColumn="0" w:lastRowLastColumn="0"/>
            </w:pPr>
            <w:r w:rsidRPr="00100F0A">
              <w:t>Low case: PSD (2017) contaminated proportions are correct and decline to zero in 2038</w:t>
            </w:r>
          </w:p>
          <w:p w14:paraId="03E5694F" w14:textId="3ADE1A0A" w:rsidR="009C6FAD" w:rsidRPr="00100F0A" w:rsidRDefault="009C6FAD" w:rsidP="008265C8">
            <w:pPr>
              <w:pStyle w:val="BodyText"/>
              <w:cnfStyle w:val="000000000000" w:firstRow="0" w:lastRow="0" w:firstColumn="0" w:lastColumn="0" w:oddVBand="0" w:evenVBand="0" w:oddHBand="0" w:evenHBand="0" w:firstRowFirstColumn="0" w:firstRowLastColumn="0" w:lastRowFirstColumn="0" w:lastRowLastColumn="0"/>
            </w:pPr>
            <w:r w:rsidRPr="00100F0A">
              <w:t>High case: include all biosolids; Vic stockpile bleeds into infrastructure over 15 years, starting in 3</w:t>
            </w:r>
          </w:p>
          <w:p w14:paraId="1305B6BF" w14:textId="77777777" w:rsidR="009C6FAD" w:rsidRPr="00100F0A" w:rsidRDefault="009C6FAD" w:rsidP="008265C8">
            <w:pPr>
              <w:pStyle w:val="BodyText"/>
              <w:cnfStyle w:val="000000000000" w:firstRow="0" w:lastRow="0" w:firstColumn="0" w:lastColumn="0" w:oddVBand="0" w:evenVBand="0" w:oddHBand="0" w:evenHBand="0" w:firstRowFirstColumn="0" w:firstRowLastColumn="0" w:lastRowFirstColumn="0" w:lastRowLastColumn="0"/>
            </w:pPr>
            <w:r w:rsidRPr="00100F0A">
              <w:t>ACT is zero in all cases</w:t>
            </w:r>
          </w:p>
        </w:tc>
      </w:tr>
    </w:tbl>
    <w:p w14:paraId="715773F5" w14:textId="261EB054" w:rsidR="009C6FAD" w:rsidRPr="00100F0A" w:rsidRDefault="009C6FAD" w:rsidP="005E702F">
      <w:pPr>
        <w:pStyle w:val="BodyText"/>
      </w:pPr>
      <w:bookmarkStart w:id="240" w:name="_Toc425849317"/>
    </w:p>
    <w:p w14:paraId="430865B4" w14:textId="422D960C" w:rsidR="009C6FAD" w:rsidRPr="00100F0A" w:rsidRDefault="009C6FAD" w:rsidP="009C6FAD">
      <w:pPr>
        <w:pStyle w:val="Caption"/>
      </w:pPr>
      <w:bookmarkStart w:id="241" w:name="_Toc13225653"/>
      <w:r w:rsidRPr="00100F0A">
        <w:t xml:space="preserve">Table </w:t>
      </w:r>
      <w:r w:rsidRPr="00100F0A">
        <w:rPr>
          <w:noProof/>
        </w:rPr>
        <w:fldChar w:fldCharType="begin"/>
      </w:r>
      <w:r w:rsidRPr="00100F0A">
        <w:rPr>
          <w:noProof/>
        </w:rPr>
        <w:instrText xml:space="preserve"> SEQ Table \* ARABIC </w:instrText>
      </w:r>
      <w:r w:rsidRPr="00100F0A">
        <w:rPr>
          <w:noProof/>
        </w:rPr>
        <w:fldChar w:fldCharType="separate"/>
      </w:r>
      <w:r w:rsidR="00EB634D">
        <w:rPr>
          <w:noProof/>
        </w:rPr>
        <w:t>34</w:t>
      </w:r>
      <w:r w:rsidRPr="00100F0A">
        <w:rPr>
          <w:noProof/>
        </w:rPr>
        <w:fldChar w:fldCharType="end"/>
      </w:r>
      <w:r w:rsidR="00AD2F76">
        <w:rPr>
          <w:noProof/>
        </w:rPr>
        <w:t>:</w:t>
      </w:r>
      <w:r w:rsidRPr="00100F0A">
        <w:tab/>
        <w:t>Best, high and low projected rates of change for contaminated biosolid waste to 203</w:t>
      </w:r>
      <w:bookmarkEnd w:id="240"/>
      <w:r w:rsidRPr="00100F0A">
        <w:t>7</w:t>
      </w:r>
      <w:bookmarkEnd w:id="241"/>
    </w:p>
    <w:tbl>
      <w:tblPr>
        <w:tblStyle w:val="BETable1"/>
        <w:tblW w:w="5301" w:type="pct"/>
        <w:tblInd w:w="0" w:type="dxa"/>
        <w:tblLook w:val="04A0" w:firstRow="1" w:lastRow="0" w:firstColumn="1" w:lastColumn="0" w:noHBand="0" w:noVBand="1"/>
      </w:tblPr>
      <w:tblGrid>
        <w:gridCol w:w="994"/>
        <w:gridCol w:w="994"/>
        <w:gridCol w:w="3964"/>
        <w:gridCol w:w="913"/>
        <w:gridCol w:w="341"/>
        <w:gridCol w:w="913"/>
        <w:gridCol w:w="341"/>
        <w:gridCol w:w="341"/>
        <w:gridCol w:w="944"/>
        <w:gridCol w:w="12"/>
      </w:tblGrid>
      <w:tr w:rsidR="00B464DC" w:rsidRPr="00100F0A" w14:paraId="640510E0" w14:textId="77777777" w:rsidTr="00FD3200">
        <w:trPr>
          <w:gridAfter w:val="1"/>
          <w:cnfStyle w:val="100000000000" w:firstRow="1" w:lastRow="0" w:firstColumn="0" w:lastColumn="0" w:oddVBand="0" w:evenVBand="0" w:oddHBand="0" w:evenHBand="0" w:firstRowFirstColumn="0" w:firstRowLastColumn="0" w:lastRowFirstColumn="0" w:lastRowLastColumn="0"/>
          <w:wAfter w:w="7" w:type="pct"/>
          <w:tblHeader/>
        </w:trPr>
        <w:tc>
          <w:tcPr>
            <w:cnfStyle w:val="001000000000" w:firstRow="0" w:lastRow="0" w:firstColumn="1" w:lastColumn="0" w:oddVBand="0" w:evenVBand="0" w:oddHBand="0" w:evenHBand="0" w:firstRowFirstColumn="0" w:firstRowLastColumn="0" w:lastRowFirstColumn="0" w:lastRowLastColumn="0"/>
            <w:tcW w:w="509" w:type="pct"/>
            <w:tcBorders>
              <w:top w:val="single" w:sz="4" w:space="0" w:color="AAABD6"/>
              <w:left w:val="single" w:sz="4" w:space="0" w:color="AAABD6"/>
              <w:bottom w:val="single" w:sz="4" w:space="0" w:color="AAABD6"/>
            </w:tcBorders>
            <w:shd w:val="clear" w:color="auto" w:fill="AAABD6"/>
          </w:tcPr>
          <w:p w14:paraId="34329337" w14:textId="77777777" w:rsidR="00AD2F76" w:rsidRPr="00100F0A" w:rsidRDefault="00AD2F76" w:rsidP="008265C8">
            <w:pPr>
              <w:rPr>
                <w:color w:val="FFFFFF" w:themeColor="background1"/>
              </w:rPr>
            </w:pPr>
          </w:p>
        </w:tc>
        <w:tc>
          <w:tcPr>
            <w:tcW w:w="509" w:type="pct"/>
            <w:tcBorders>
              <w:top w:val="single" w:sz="4" w:space="0" w:color="AAABD6"/>
              <w:bottom w:val="single" w:sz="4" w:space="0" w:color="AAABD6"/>
            </w:tcBorders>
            <w:shd w:val="clear" w:color="auto" w:fill="AAABD6"/>
          </w:tcPr>
          <w:p w14:paraId="1346833E" w14:textId="77777777" w:rsidR="00AD2F76" w:rsidRPr="00100F0A" w:rsidRDefault="00AD2F76" w:rsidP="008265C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Applies to</w:t>
            </w:r>
          </w:p>
        </w:tc>
        <w:tc>
          <w:tcPr>
            <w:tcW w:w="2031" w:type="pct"/>
            <w:tcBorders>
              <w:top w:val="single" w:sz="4" w:space="0" w:color="AAABD6"/>
              <w:bottom w:val="single" w:sz="4" w:space="0" w:color="AAABD6"/>
            </w:tcBorders>
            <w:shd w:val="clear" w:color="auto" w:fill="AAABD6"/>
          </w:tcPr>
          <w:p w14:paraId="1325A855" w14:textId="77777777" w:rsidR="00AD2F76" w:rsidRPr="00100F0A" w:rsidRDefault="00AD2F76" w:rsidP="008265C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c>
          <w:tcPr>
            <w:tcW w:w="468" w:type="pct"/>
            <w:tcBorders>
              <w:top w:val="single" w:sz="4" w:space="0" w:color="AAABD6"/>
              <w:bottom w:val="single" w:sz="4" w:space="0" w:color="AAABD6"/>
            </w:tcBorders>
            <w:shd w:val="clear" w:color="auto" w:fill="AAABD6"/>
          </w:tcPr>
          <w:p w14:paraId="26B7914F" w14:textId="77777777" w:rsidR="00AD2F76" w:rsidRPr="00100F0A" w:rsidRDefault="00AD2F76" w:rsidP="008265C8">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2018</w:t>
            </w:r>
          </w:p>
        </w:tc>
        <w:tc>
          <w:tcPr>
            <w:tcW w:w="175" w:type="pct"/>
            <w:tcBorders>
              <w:top w:val="single" w:sz="4" w:space="0" w:color="AAABD6"/>
              <w:bottom w:val="single" w:sz="4" w:space="0" w:color="AAABD6"/>
            </w:tcBorders>
            <w:shd w:val="clear" w:color="auto" w:fill="AAABD6"/>
          </w:tcPr>
          <w:p w14:paraId="6B4E41AA" w14:textId="77777777" w:rsidR="00AD2F76" w:rsidRPr="00100F0A" w:rsidRDefault="00AD2F76" w:rsidP="008265C8">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w:t>
            </w:r>
          </w:p>
        </w:tc>
        <w:tc>
          <w:tcPr>
            <w:tcW w:w="468" w:type="pct"/>
            <w:tcBorders>
              <w:top w:val="single" w:sz="4" w:space="0" w:color="AAABD6"/>
              <w:bottom w:val="single" w:sz="4" w:space="0" w:color="AAABD6"/>
              <w:right w:val="single" w:sz="4" w:space="0" w:color="AAABD6"/>
            </w:tcBorders>
            <w:shd w:val="clear" w:color="auto" w:fill="AAABD6"/>
          </w:tcPr>
          <w:p w14:paraId="3439F8EA" w14:textId="77777777" w:rsidR="00AD2F76" w:rsidRPr="00100F0A" w:rsidRDefault="00AD2F76" w:rsidP="008265C8">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2020</w:t>
            </w:r>
          </w:p>
        </w:tc>
        <w:tc>
          <w:tcPr>
            <w:tcW w:w="175" w:type="pct"/>
            <w:tcBorders>
              <w:top w:val="single" w:sz="4" w:space="0" w:color="AAABD6"/>
              <w:bottom w:val="single" w:sz="4" w:space="0" w:color="AAABD6"/>
            </w:tcBorders>
            <w:shd w:val="clear" w:color="auto" w:fill="AAABD6"/>
          </w:tcPr>
          <w:p w14:paraId="39E2DF76" w14:textId="77777777" w:rsidR="00AD2F76" w:rsidRPr="00100F0A" w:rsidRDefault="00AD2F76" w:rsidP="008265C8">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175" w:type="pct"/>
            <w:tcBorders>
              <w:top w:val="single" w:sz="4" w:space="0" w:color="AAABD6"/>
              <w:bottom w:val="single" w:sz="4" w:space="0" w:color="AAABD6"/>
              <w:right w:val="single" w:sz="4" w:space="0" w:color="AAABD6"/>
            </w:tcBorders>
            <w:shd w:val="clear" w:color="auto" w:fill="AAABD6"/>
          </w:tcPr>
          <w:p w14:paraId="2F0F010D" w14:textId="49616EC2" w:rsidR="00AD2F76" w:rsidRPr="00100F0A" w:rsidRDefault="00AD2F76" w:rsidP="008265C8">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w:t>
            </w:r>
          </w:p>
        </w:tc>
        <w:tc>
          <w:tcPr>
            <w:tcW w:w="484" w:type="pct"/>
            <w:tcBorders>
              <w:top w:val="single" w:sz="4" w:space="0" w:color="AAABD6"/>
              <w:bottom w:val="single" w:sz="4" w:space="0" w:color="AAABD6"/>
              <w:right w:val="single" w:sz="4" w:space="0" w:color="AAABD6"/>
            </w:tcBorders>
            <w:shd w:val="clear" w:color="auto" w:fill="AAABD6"/>
          </w:tcPr>
          <w:p w14:paraId="6DA8139B" w14:textId="77777777" w:rsidR="00AD2F76" w:rsidRPr="00100F0A" w:rsidRDefault="00AD2F76" w:rsidP="008265C8">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2037</w:t>
            </w:r>
          </w:p>
        </w:tc>
      </w:tr>
      <w:tr w:rsidR="00AD2F76" w:rsidRPr="00100F0A" w14:paraId="16499FE0" w14:textId="77777777" w:rsidTr="00FD3200">
        <w:tc>
          <w:tcPr>
            <w:cnfStyle w:val="001000000000" w:firstRow="0" w:lastRow="0" w:firstColumn="1" w:lastColumn="0" w:oddVBand="0" w:evenVBand="0" w:oddHBand="0" w:evenHBand="0" w:firstRowFirstColumn="0" w:firstRowLastColumn="0" w:lastRowFirstColumn="0" w:lastRowLastColumn="0"/>
            <w:tcW w:w="509" w:type="pct"/>
            <w:tcBorders>
              <w:top w:val="single" w:sz="4" w:space="0" w:color="AAABD6"/>
              <w:left w:val="single" w:sz="4" w:space="0" w:color="AAABD6"/>
              <w:bottom w:val="dotted" w:sz="4" w:space="0" w:color="AAABD6"/>
              <w:right w:val="single" w:sz="4" w:space="0" w:color="AAABD6"/>
            </w:tcBorders>
          </w:tcPr>
          <w:p w14:paraId="4D3F7270" w14:textId="77777777" w:rsidR="00AD2F76" w:rsidRPr="00100F0A" w:rsidRDefault="00AD2F76" w:rsidP="008265C8">
            <w:pPr>
              <w:rPr>
                <w:iCs/>
                <w:color w:val="4D4DB8"/>
                <w:szCs w:val="18"/>
              </w:rPr>
            </w:pPr>
          </w:p>
        </w:tc>
        <w:tc>
          <w:tcPr>
            <w:tcW w:w="4491" w:type="pct"/>
            <w:gridSpan w:val="9"/>
            <w:tcBorders>
              <w:top w:val="single" w:sz="4" w:space="0" w:color="AAABD6"/>
              <w:left w:val="single" w:sz="4" w:space="0" w:color="AAABD6"/>
              <w:bottom w:val="dotted" w:sz="4" w:space="0" w:color="AAABD6"/>
              <w:right w:val="single" w:sz="4" w:space="0" w:color="AAABD6"/>
            </w:tcBorders>
          </w:tcPr>
          <w:p w14:paraId="31654D0C" w14:textId="4FA37800"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rPr>
                <w:iCs/>
                <w:color w:val="4D4DB8"/>
                <w:szCs w:val="18"/>
              </w:rPr>
            </w:pPr>
            <w:r w:rsidRPr="00100F0A">
              <w:rPr>
                <w:iCs/>
                <w:color w:val="4D4DB8"/>
                <w:szCs w:val="18"/>
              </w:rPr>
              <w:t>Arisings - rate</w:t>
            </w:r>
          </w:p>
        </w:tc>
      </w:tr>
      <w:tr w:rsidR="00AD2F76" w:rsidRPr="00100F0A" w14:paraId="1646B71C" w14:textId="77777777" w:rsidTr="00FD3200">
        <w:trPr>
          <w:gridAfter w:val="1"/>
          <w:wAfter w:w="7" w:type="pct"/>
        </w:trPr>
        <w:tc>
          <w:tcPr>
            <w:cnfStyle w:val="001000000000" w:firstRow="0" w:lastRow="0" w:firstColumn="1" w:lastColumn="0" w:oddVBand="0" w:evenVBand="0" w:oddHBand="0" w:evenHBand="0" w:firstRowFirstColumn="0" w:firstRowLastColumn="0" w:lastRowFirstColumn="0" w:lastRowLastColumn="0"/>
            <w:tcW w:w="509" w:type="pct"/>
            <w:tcBorders>
              <w:top w:val="single" w:sz="4" w:space="0" w:color="AAABD6"/>
              <w:left w:val="single" w:sz="4" w:space="0" w:color="AAABD6"/>
              <w:bottom w:val="dotted" w:sz="4" w:space="0" w:color="AAABD6"/>
              <w:right w:val="single" w:sz="4" w:space="0" w:color="AAABD6"/>
            </w:tcBorders>
          </w:tcPr>
          <w:p w14:paraId="2187180A" w14:textId="77777777" w:rsidR="00AD2F76" w:rsidRPr="00100F0A" w:rsidRDefault="00AD2F76" w:rsidP="008265C8">
            <w:r w:rsidRPr="00100F0A">
              <w:t>Best</w:t>
            </w:r>
          </w:p>
        </w:tc>
        <w:tc>
          <w:tcPr>
            <w:tcW w:w="509" w:type="pct"/>
            <w:vMerge w:val="restart"/>
            <w:tcBorders>
              <w:top w:val="single" w:sz="4" w:space="0" w:color="AAABD6"/>
              <w:left w:val="single" w:sz="4" w:space="0" w:color="AAABD6"/>
              <w:bottom w:val="dotted" w:sz="4" w:space="0" w:color="AAABD6"/>
              <w:right w:val="single" w:sz="4" w:space="0" w:color="AAABD6"/>
            </w:tcBorders>
            <w:vAlign w:val="center"/>
          </w:tcPr>
          <w:p w14:paraId="56B1EBEF"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ACT, NSW, NT, Qld, SA, Tas, Vic, WA</w:t>
            </w:r>
          </w:p>
        </w:tc>
        <w:tc>
          <w:tcPr>
            <w:tcW w:w="2031" w:type="pct"/>
            <w:tcBorders>
              <w:top w:val="single" w:sz="4" w:space="0" w:color="AAABD6"/>
              <w:left w:val="single" w:sz="4" w:space="0" w:color="AAABD6"/>
              <w:bottom w:val="dotted" w:sz="4" w:space="0" w:color="AAABD6"/>
              <w:right w:val="single" w:sz="4" w:space="0" w:color="AAABD6"/>
            </w:tcBorders>
            <w:vAlign w:val="bottom"/>
          </w:tcPr>
          <w:p w14:paraId="02B5016D" w14:textId="6A531EC8" w:rsidR="00AD2F76" w:rsidRPr="00100F0A" w:rsidRDefault="00C34F48" w:rsidP="008265C8">
            <w:pPr>
              <w:cnfStyle w:val="000000000000" w:firstRow="0" w:lastRow="0" w:firstColumn="0" w:lastColumn="0" w:oddVBand="0" w:evenVBand="0" w:oddHBand="0" w:evenHBand="0" w:firstRowFirstColumn="0" w:firstRowLastColumn="0" w:lastRowFirstColumn="0" w:lastRowLastColumn="0"/>
            </w:pPr>
            <w:r>
              <w:rPr>
                <w:rFonts w:cs="Calibri"/>
                <w:color w:val="000000"/>
              </w:rPr>
              <w:t>20-year average</w:t>
            </w:r>
            <w:r w:rsidR="00AD2F76" w:rsidRPr="00100F0A">
              <w:rPr>
                <w:rFonts w:cs="Calibri"/>
                <w:color w:val="000000"/>
              </w:rPr>
              <w:t xml:space="preserve"> annual population growth </w:t>
            </w:r>
          </w:p>
        </w:tc>
        <w:tc>
          <w:tcPr>
            <w:tcW w:w="468" w:type="pct"/>
            <w:tcBorders>
              <w:top w:val="single" w:sz="4" w:space="0" w:color="AAABD6"/>
              <w:left w:val="single" w:sz="4" w:space="0" w:color="AAABD6"/>
              <w:bottom w:val="dotted" w:sz="4" w:space="0" w:color="AAABD6"/>
              <w:right w:val="single" w:sz="4" w:space="0" w:color="AAABD6"/>
            </w:tcBorders>
          </w:tcPr>
          <w:p w14:paraId="75045EA7"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1.4%</w:t>
            </w:r>
          </w:p>
        </w:tc>
        <w:tc>
          <w:tcPr>
            <w:tcW w:w="175" w:type="pct"/>
            <w:tcBorders>
              <w:top w:val="single" w:sz="4" w:space="0" w:color="AAABD6"/>
              <w:left w:val="single" w:sz="4" w:space="0" w:color="AAABD6"/>
              <w:bottom w:val="dotted" w:sz="4" w:space="0" w:color="AAABD6"/>
              <w:right w:val="single" w:sz="4" w:space="0" w:color="AAABD6"/>
            </w:tcBorders>
          </w:tcPr>
          <w:p w14:paraId="43B02561"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468" w:type="pct"/>
            <w:tcBorders>
              <w:top w:val="single" w:sz="4" w:space="0" w:color="AAABD6"/>
              <w:left w:val="single" w:sz="4" w:space="0" w:color="AAABD6"/>
              <w:bottom w:val="dotted" w:sz="4" w:space="0" w:color="AAABD6"/>
              <w:right w:val="single" w:sz="4" w:space="0" w:color="AAABD6"/>
            </w:tcBorders>
          </w:tcPr>
          <w:p w14:paraId="5796DC9E"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1.4%</w:t>
            </w:r>
          </w:p>
        </w:tc>
        <w:tc>
          <w:tcPr>
            <w:tcW w:w="175" w:type="pct"/>
            <w:tcBorders>
              <w:top w:val="single" w:sz="4" w:space="0" w:color="AAABD6"/>
              <w:left w:val="single" w:sz="4" w:space="0" w:color="AAABD6"/>
              <w:bottom w:val="dotted" w:sz="4" w:space="0" w:color="AAABD6"/>
              <w:right w:val="single" w:sz="4" w:space="0" w:color="AAABD6"/>
            </w:tcBorders>
          </w:tcPr>
          <w:p w14:paraId="684CF8CE"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pPr>
          </w:p>
        </w:tc>
        <w:tc>
          <w:tcPr>
            <w:tcW w:w="175" w:type="pct"/>
            <w:tcBorders>
              <w:top w:val="single" w:sz="4" w:space="0" w:color="AAABD6"/>
              <w:left w:val="single" w:sz="4" w:space="0" w:color="AAABD6"/>
              <w:bottom w:val="dotted" w:sz="4" w:space="0" w:color="AAABD6"/>
              <w:right w:val="single" w:sz="4" w:space="0" w:color="AAABD6"/>
            </w:tcBorders>
          </w:tcPr>
          <w:p w14:paraId="519A8632" w14:textId="161615BF"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484" w:type="pct"/>
            <w:tcBorders>
              <w:top w:val="single" w:sz="4" w:space="0" w:color="AAABD6"/>
              <w:left w:val="single" w:sz="4" w:space="0" w:color="AAABD6"/>
              <w:bottom w:val="dotted" w:sz="4" w:space="0" w:color="AAABD6"/>
              <w:right w:val="single" w:sz="4" w:space="0" w:color="AAABD6"/>
            </w:tcBorders>
          </w:tcPr>
          <w:p w14:paraId="301AFC1D"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1.4%</w:t>
            </w:r>
          </w:p>
        </w:tc>
      </w:tr>
      <w:tr w:rsidR="00AD2F76" w:rsidRPr="00100F0A" w14:paraId="4F89CF6F" w14:textId="77777777" w:rsidTr="00FD3200">
        <w:trPr>
          <w:gridAfter w:val="1"/>
          <w:wAfter w:w="7" w:type="pct"/>
        </w:trPr>
        <w:tc>
          <w:tcPr>
            <w:cnfStyle w:val="001000000000" w:firstRow="0" w:lastRow="0" w:firstColumn="1" w:lastColumn="0" w:oddVBand="0" w:evenVBand="0" w:oddHBand="0" w:evenHBand="0" w:firstRowFirstColumn="0" w:firstRowLastColumn="0" w:lastRowFirstColumn="0" w:lastRowLastColumn="0"/>
            <w:tcW w:w="509" w:type="pct"/>
            <w:tcBorders>
              <w:top w:val="dotted" w:sz="4" w:space="0" w:color="AAABD6"/>
              <w:left w:val="single" w:sz="4" w:space="0" w:color="AAABD6"/>
              <w:bottom w:val="dotted" w:sz="4" w:space="0" w:color="AAABD6"/>
              <w:right w:val="single" w:sz="4" w:space="0" w:color="AAABD6"/>
            </w:tcBorders>
          </w:tcPr>
          <w:p w14:paraId="31EB6718" w14:textId="77777777" w:rsidR="00AD2F76" w:rsidRPr="00100F0A" w:rsidRDefault="00AD2F76" w:rsidP="008265C8">
            <w:r w:rsidRPr="00100F0A">
              <w:t>High</w:t>
            </w:r>
          </w:p>
        </w:tc>
        <w:tc>
          <w:tcPr>
            <w:tcW w:w="509" w:type="pct"/>
            <w:vMerge/>
            <w:tcBorders>
              <w:top w:val="dotted" w:sz="4" w:space="0" w:color="AAABD6"/>
              <w:left w:val="single" w:sz="4" w:space="0" w:color="AAABD6"/>
              <w:bottom w:val="dotted" w:sz="4" w:space="0" w:color="AAABD6"/>
              <w:right w:val="single" w:sz="4" w:space="0" w:color="AAABD6"/>
            </w:tcBorders>
            <w:vAlign w:val="center"/>
          </w:tcPr>
          <w:p w14:paraId="2EDEC6DB"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p>
        </w:tc>
        <w:tc>
          <w:tcPr>
            <w:tcW w:w="2031" w:type="pct"/>
            <w:tcBorders>
              <w:top w:val="dotted" w:sz="4" w:space="0" w:color="AAABD6"/>
              <w:left w:val="single" w:sz="4" w:space="0" w:color="AAABD6"/>
              <w:bottom w:val="dotted" w:sz="4" w:space="0" w:color="AAABD6"/>
              <w:right w:val="single" w:sz="4" w:space="0" w:color="AAABD6"/>
            </w:tcBorders>
            <w:vAlign w:val="bottom"/>
          </w:tcPr>
          <w:p w14:paraId="337F8FCF" w14:textId="12285072" w:rsidR="00AD2F76" w:rsidRPr="00100F0A" w:rsidRDefault="00C34F48" w:rsidP="008265C8">
            <w:pPr>
              <w:cnfStyle w:val="000000000000" w:firstRow="0" w:lastRow="0" w:firstColumn="0" w:lastColumn="0" w:oddVBand="0" w:evenVBand="0" w:oddHBand="0" w:evenHBand="0" w:firstRowFirstColumn="0" w:firstRowLastColumn="0" w:lastRowFirstColumn="0" w:lastRowLastColumn="0"/>
            </w:pPr>
            <w:r>
              <w:rPr>
                <w:rFonts w:cs="Calibri"/>
                <w:color w:val="000000"/>
              </w:rPr>
              <w:t>20-year average</w:t>
            </w:r>
            <w:r w:rsidR="00AD2F76" w:rsidRPr="00100F0A">
              <w:rPr>
                <w:rFonts w:cs="Calibri"/>
                <w:color w:val="000000"/>
              </w:rPr>
              <w:t xml:space="preserve"> annual population growth </w:t>
            </w:r>
          </w:p>
        </w:tc>
        <w:tc>
          <w:tcPr>
            <w:tcW w:w="468" w:type="pct"/>
            <w:tcBorders>
              <w:top w:val="dotted" w:sz="4" w:space="0" w:color="AAABD6"/>
              <w:left w:val="single" w:sz="4" w:space="0" w:color="AAABD6"/>
              <w:bottom w:val="dotted" w:sz="4" w:space="0" w:color="AAABD6"/>
              <w:right w:val="single" w:sz="4" w:space="0" w:color="AAABD6"/>
            </w:tcBorders>
          </w:tcPr>
          <w:p w14:paraId="3FBCC048"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1.4%</w:t>
            </w:r>
          </w:p>
        </w:tc>
        <w:tc>
          <w:tcPr>
            <w:tcW w:w="175" w:type="pct"/>
            <w:tcBorders>
              <w:top w:val="dotted" w:sz="4" w:space="0" w:color="AAABD6"/>
              <w:left w:val="single" w:sz="4" w:space="0" w:color="AAABD6"/>
              <w:bottom w:val="dotted" w:sz="4" w:space="0" w:color="AAABD6"/>
              <w:right w:val="single" w:sz="4" w:space="0" w:color="AAABD6"/>
            </w:tcBorders>
          </w:tcPr>
          <w:p w14:paraId="472959F4"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468" w:type="pct"/>
            <w:tcBorders>
              <w:top w:val="dotted" w:sz="4" w:space="0" w:color="AAABD6"/>
              <w:left w:val="single" w:sz="4" w:space="0" w:color="AAABD6"/>
              <w:bottom w:val="dotted" w:sz="4" w:space="0" w:color="AAABD6"/>
              <w:right w:val="single" w:sz="4" w:space="0" w:color="AAABD6"/>
            </w:tcBorders>
          </w:tcPr>
          <w:p w14:paraId="186CD0A4"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1.4%</w:t>
            </w:r>
          </w:p>
        </w:tc>
        <w:tc>
          <w:tcPr>
            <w:tcW w:w="175" w:type="pct"/>
            <w:tcBorders>
              <w:top w:val="dotted" w:sz="4" w:space="0" w:color="AAABD6"/>
              <w:left w:val="single" w:sz="4" w:space="0" w:color="AAABD6"/>
              <w:bottom w:val="dotted" w:sz="4" w:space="0" w:color="AAABD6"/>
              <w:right w:val="single" w:sz="4" w:space="0" w:color="AAABD6"/>
            </w:tcBorders>
          </w:tcPr>
          <w:p w14:paraId="3B547B2E"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pPr>
          </w:p>
        </w:tc>
        <w:tc>
          <w:tcPr>
            <w:tcW w:w="175" w:type="pct"/>
            <w:tcBorders>
              <w:top w:val="dotted" w:sz="4" w:space="0" w:color="AAABD6"/>
              <w:left w:val="single" w:sz="4" w:space="0" w:color="AAABD6"/>
              <w:bottom w:val="dotted" w:sz="4" w:space="0" w:color="AAABD6"/>
              <w:right w:val="single" w:sz="4" w:space="0" w:color="AAABD6"/>
            </w:tcBorders>
          </w:tcPr>
          <w:p w14:paraId="218CE5BE" w14:textId="6BF1EE6B"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484" w:type="pct"/>
            <w:tcBorders>
              <w:top w:val="dotted" w:sz="4" w:space="0" w:color="AAABD6"/>
              <w:left w:val="single" w:sz="4" w:space="0" w:color="AAABD6"/>
              <w:bottom w:val="dotted" w:sz="4" w:space="0" w:color="AAABD6"/>
              <w:right w:val="single" w:sz="4" w:space="0" w:color="AAABD6"/>
            </w:tcBorders>
          </w:tcPr>
          <w:p w14:paraId="35566C69"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1.4%</w:t>
            </w:r>
          </w:p>
        </w:tc>
      </w:tr>
      <w:tr w:rsidR="00AD2F76" w:rsidRPr="00100F0A" w14:paraId="7005D612" w14:textId="77777777" w:rsidTr="00FD3200">
        <w:trPr>
          <w:gridAfter w:val="1"/>
          <w:wAfter w:w="7" w:type="pct"/>
        </w:trPr>
        <w:tc>
          <w:tcPr>
            <w:cnfStyle w:val="001000000000" w:firstRow="0" w:lastRow="0" w:firstColumn="1" w:lastColumn="0" w:oddVBand="0" w:evenVBand="0" w:oddHBand="0" w:evenHBand="0" w:firstRowFirstColumn="0" w:firstRowLastColumn="0" w:lastRowFirstColumn="0" w:lastRowLastColumn="0"/>
            <w:tcW w:w="509" w:type="pct"/>
            <w:tcBorders>
              <w:top w:val="dotted" w:sz="4" w:space="0" w:color="AAABD6"/>
              <w:left w:val="single" w:sz="4" w:space="0" w:color="AAABD6"/>
              <w:bottom w:val="single" w:sz="4" w:space="0" w:color="AAABD6"/>
              <w:right w:val="single" w:sz="4" w:space="0" w:color="AAABD6"/>
            </w:tcBorders>
          </w:tcPr>
          <w:p w14:paraId="74E7C69D" w14:textId="77777777" w:rsidR="00AD2F76" w:rsidRPr="00100F0A" w:rsidRDefault="00AD2F76" w:rsidP="008265C8">
            <w:r w:rsidRPr="00100F0A">
              <w:t>Low</w:t>
            </w:r>
          </w:p>
        </w:tc>
        <w:tc>
          <w:tcPr>
            <w:tcW w:w="509" w:type="pct"/>
            <w:vMerge/>
            <w:tcBorders>
              <w:top w:val="dotted" w:sz="4" w:space="0" w:color="AAABD6"/>
              <w:left w:val="single" w:sz="4" w:space="0" w:color="AAABD6"/>
              <w:bottom w:val="single" w:sz="4" w:space="0" w:color="AAABD6"/>
              <w:right w:val="single" w:sz="4" w:space="0" w:color="AAABD6"/>
            </w:tcBorders>
            <w:vAlign w:val="center"/>
          </w:tcPr>
          <w:p w14:paraId="7ABB6773"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p>
        </w:tc>
        <w:tc>
          <w:tcPr>
            <w:tcW w:w="2031" w:type="pct"/>
            <w:tcBorders>
              <w:top w:val="dotted" w:sz="4" w:space="0" w:color="AAABD6"/>
              <w:left w:val="single" w:sz="4" w:space="0" w:color="AAABD6"/>
              <w:bottom w:val="single" w:sz="4" w:space="0" w:color="AAABD6"/>
              <w:right w:val="single" w:sz="4" w:space="0" w:color="AAABD6"/>
            </w:tcBorders>
            <w:vAlign w:val="bottom"/>
          </w:tcPr>
          <w:p w14:paraId="027C8EB5" w14:textId="16F9E266" w:rsidR="00AD2F76" w:rsidRPr="00100F0A" w:rsidRDefault="00C34F48" w:rsidP="008265C8">
            <w:pPr>
              <w:cnfStyle w:val="000000000000" w:firstRow="0" w:lastRow="0" w:firstColumn="0" w:lastColumn="0" w:oddVBand="0" w:evenVBand="0" w:oddHBand="0" w:evenHBand="0" w:firstRowFirstColumn="0" w:firstRowLastColumn="0" w:lastRowFirstColumn="0" w:lastRowLastColumn="0"/>
            </w:pPr>
            <w:r>
              <w:rPr>
                <w:rFonts w:cs="Calibri"/>
                <w:color w:val="000000"/>
              </w:rPr>
              <w:t>20-year average</w:t>
            </w:r>
            <w:r w:rsidR="00AD2F76" w:rsidRPr="00100F0A">
              <w:rPr>
                <w:rFonts w:cs="Calibri"/>
                <w:color w:val="000000"/>
              </w:rPr>
              <w:t xml:space="preserve"> annual population growth </w:t>
            </w:r>
          </w:p>
        </w:tc>
        <w:tc>
          <w:tcPr>
            <w:tcW w:w="468" w:type="pct"/>
            <w:tcBorders>
              <w:top w:val="dotted" w:sz="4" w:space="0" w:color="AAABD6"/>
              <w:left w:val="single" w:sz="4" w:space="0" w:color="AAABD6"/>
              <w:bottom w:val="single" w:sz="4" w:space="0" w:color="AAABD6"/>
              <w:right w:val="single" w:sz="4" w:space="0" w:color="AAABD6"/>
            </w:tcBorders>
          </w:tcPr>
          <w:p w14:paraId="7F7B66D4"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1.4%</w:t>
            </w:r>
          </w:p>
        </w:tc>
        <w:tc>
          <w:tcPr>
            <w:tcW w:w="175" w:type="pct"/>
            <w:tcBorders>
              <w:top w:val="dotted" w:sz="4" w:space="0" w:color="AAABD6"/>
              <w:left w:val="single" w:sz="4" w:space="0" w:color="AAABD6"/>
              <w:bottom w:val="single" w:sz="4" w:space="0" w:color="AAABD6"/>
              <w:right w:val="single" w:sz="4" w:space="0" w:color="AAABD6"/>
            </w:tcBorders>
          </w:tcPr>
          <w:p w14:paraId="3C24D23F"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468" w:type="pct"/>
            <w:tcBorders>
              <w:top w:val="dotted" w:sz="4" w:space="0" w:color="AAABD6"/>
              <w:left w:val="single" w:sz="4" w:space="0" w:color="AAABD6"/>
              <w:bottom w:val="single" w:sz="4" w:space="0" w:color="AAABD6"/>
              <w:right w:val="single" w:sz="4" w:space="0" w:color="AAABD6"/>
            </w:tcBorders>
          </w:tcPr>
          <w:p w14:paraId="6BA295C6"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1.4%</w:t>
            </w:r>
          </w:p>
        </w:tc>
        <w:tc>
          <w:tcPr>
            <w:tcW w:w="175" w:type="pct"/>
            <w:tcBorders>
              <w:top w:val="dotted" w:sz="4" w:space="0" w:color="AAABD6"/>
              <w:left w:val="single" w:sz="4" w:space="0" w:color="AAABD6"/>
              <w:bottom w:val="single" w:sz="4" w:space="0" w:color="AAABD6"/>
              <w:right w:val="single" w:sz="4" w:space="0" w:color="AAABD6"/>
            </w:tcBorders>
          </w:tcPr>
          <w:p w14:paraId="14DFB75A"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pPr>
          </w:p>
        </w:tc>
        <w:tc>
          <w:tcPr>
            <w:tcW w:w="175" w:type="pct"/>
            <w:tcBorders>
              <w:top w:val="dotted" w:sz="4" w:space="0" w:color="AAABD6"/>
              <w:left w:val="single" w:sz="4" w:space="0" w:color="AAABD6"/>
              <w:bottom w:val="single" w:sz="4" w:space="0" w:color="AAABD6"/>
              <w:right w:val="single" w:sz="4" w:space="0" w:color="AAABD6"/>
            </w:tcBorders>
          </w:tcPr>
          <w:p w14:paraId="5758B36E" w14:textId="33065460"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484" w:type="pct"/>
            <w:tcBorders>
              <w:top w:val="dotted" w:sz="4" w:space="0" w:color="AAABD6"/>
              <w:left w:val="single" w:sz="4" w:space="0" w:color="AAABD6"/>
              <w:bottom w:val="single" w:sz="4" w:space="0" w:color="AAABD6"/>
              <w:right w:val="single" w:sz="4" w:space="0" w:color="AAABD6"/>
            </w:tcBorders>
          </w:tcPr>
          <w:p w14:paraId="00E86F63"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1.4%</w:t>
            </w:r>
          </w:p>
        </w:tc>
      </w:tr>
      <w:tr w:rsidR="00AD2F76" w:rsidRPr="00100F0A" w14:paraId="2E1BF181" w14:textId="77777777" w:rsidTr="00FD3200">
        <w:tc>
          <w:tcPr>
            <w:cnfStyle w:val="001000000000" w:firstRow="0" w:lastRow="0" w:firstColumn="1" w:lastColumn="0" w:oddVBand="0" w:evenVBand="0" w:oddHBand="0" w:evenHBand="0" w:firstRowFirstColumn="0" w:firstRowLastColumn="0" w:lastRowFirstColumn="0" w:lastRowLastColumn="0"/>
            <w:tcW w:w="509" w:type="pct"/>
            <w:tcBorders>
              <w:top w:val="single" w:sz="4" w:space="0" w:color="AAABD6"/>
              <w:left w:val="single" w:sz="4" w:space="0" w:color="AAABD6"/>
              <w:bottom w:val="single" w:sz="4" w:space="0" w:color="AAABD6"/>
              <w:right w:val="single" w:sz="4" w:space="0" w:color="AAABD6"/>
            </w:tcBorders>
          </w:tcPr>
          <w:p w14:paraId="6DF14339" w14:textId="77777777" w:rsidR="00AD2F76" w:rsidRPr="00100F0A" w:rsidRDefault="00AD2F76" w:rsidP="008265C8">
            <w:pPr>
              <w:rPr>
                <w:iCs/>
                <w:color w:val="4D4DB8"/>
                <w:szCs w:val="18"/>
              </w:rPr>
            </w:pPr>
          </w:p>
        </w:tc>
        <w:tc>
          <w:tcPr>
            <w:tcW w:w="4491" w:type="pct"/>
            <w:gridSpan w:val="9"/>
            <w:tcBorders>
              <w:top w:val="single" w:sz="4" w:space="0" w:color="AAABD6"/>
              <w:left w:val="single" w:sz="4" w:space="0" w:color="AAABD6"/>
              <w:bottom w:val="single" w:sz="4" w:space="0" w:color="AAABD6"/>
              <w:right w:val="single" w:sz="4" w:space="0" w:color="AAABD6"/>
            </w:tcBorders>
          </w:tcPr>
          <w:p w14:paraId="2AF257B8" w14:textId="6589AE51"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rPr>
                <w:iCs/>
                <w:color w:val="4D4DB8"/>
                <w:szCs w:val="18"/>
              </w:rPr>
            </w:pPr>
            <w:r w:rsidRPr="00100F0A">
              <w:rPr>
                <w:iCs/>
                <w:color w:val="4D4DB8"/>
                <w:szCs w:val="18"/>
              </w:rPr>
              <w:t>Arisings – absolute tonnes pa</w:t>
            </w:r>
          </w:p>
        </w:tc>
      </w:tr>
      <w:tr w:rsidR="00AD2F76" w:rsidRPr="00100F0A" w14:paraId="0EC7A02C" w14:textId="77777777" w:rsidTr="00FD3200">
        <w:trPr>
          <w:gridAfter w:val="1"/>
          <w:wAfter w:w="7" w:type="pct"/>
        </w:trPr>
        <w:tc>
          <w:tcPr>
            <w:cnfStyle w:val="001000000000" w:firstRow="0" w:lastRow="0" w:firstColumn="1" w:lastColumn="0" w:oddVBand="0" w:evenVBand="0" w:oddHBand="0" w:evenHBand="0" w:firstRowFirstColumn="0" w:firstRowLastColumn="0" w:lastRowFirstColumn="0" w:lastRowLastColumn="0"/>
            <w:tcW w:w="509" w:type="pct"/>
            <w:vMerge w:val="restart"/>
            <w:tcBorders>
              <w:top w:val="single" w:sz="4" w:space="0" w:color="AAABD6"/>
              <w:left w:val="single" w:sz="4" w:space="0" w:color="AAABD6"/>
              <w:right w:val="single" w:sz="4" w:space="0" w:color="AAABD6"/>
            </w:tcBorders>
            <w:vAlign w:val="center"/>
          </w:tcPr>
          <w:p w14:paraId="010CBC88" w14:textId="77777777" w:rsidR="00AD2F76" w:rsidRPr="00100F0A" w:rsidRDefault="00AD2F76" w:rsidP="008265C8">
            <w:r w:rsidRPr="00100F0A">
              <w:t>Best</w:t>
            </w:r>
          </w:p>
        </w:tc>
        <w:tc>
          <w:tcPr>
            <w:tcW w:w="509" w:type="pct"/>
            <w:tcBorders>
              <w:top w:val="single" w:sz="4" w:space="0" w:color="AAABD6"/>
              <w:left w:val="single" w:sz="4" w:space="0" w:color="AAABD6"/>
              <w:bottom w:val="dotted" w:sz="4" w:space="0" w:color="AAABD6"/>
              <w:right w:val="single" w:sz="4" w:space="0" w:color="AAABD6"/>
            </w:tcBorders>
            <w:vAlign w:val="center"/>
          </w:tcPr>
          <w:p w14:paraId="60A958A3"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ACT</w:t>
            </w:r>
          </w:p>
        </w:tc>
        <w:tc>
          <w:tcPr>
            <w:tcW w:w="2031" w:type="pct"/>
            <w:vMerge w:val="restart"/>
            <w:tcBorders>
              <w:top w:val="single" w:sz="4" w:space="0" w:color="AAABD6"/>
              <w:left w:val="single" w:sz="4" w:space="0" w:color="AAABD6"/>
              <w:right w:val="single" w:sz="4" w:space="0" w:color="AAABD6"/>
            </w:tcBorders>
            <w:vAlign w:val="center"/>
          </w:tcPr>
          <w:p w14:paraId="5BBA5E00"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 xml:space="preserve">PSD (2017) national contaminated proportion is correct for each state and territory, and remains constant. </w:t>
            </w:r>
          </w:p>
          <w:p w14:paraId="17B503D0"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p>
          <w:p w14:paraId="166005ED"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(Biosolids contaminated with M270 assumed to be distinct, and are therefore counted separately.)</w:t>
            </w:r>
          </w:p>
        </w:tc>
        <w:tc>
          <w:tcPr>
            <w:tcW w:w="468" w:type="pct"/>
            <w:tcBorders>
              <w:top w:val="single" w:sz="4" w:space="0" w:color="AAABD6"/>
              <w:left w:val="single" w:sz="4" w:space="0" w:color="AAABD6"/>
              <w:bottom w:val="dotted" w:sz="4" w:space="0" w:color="AAABD6"/>
              <w:right w:val="single" w:sz="4" w:space="0" w:color="AAABD6"/>
            </w:tcBorders>
            <w:vAlign w:val="bottom"/>
          </w:tcPr>
          <w:p w14:paraId="7CD013E2"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A6A6A6"/>
              </w:rPr>
              <w:t>0</w:t>
            </w:r>
          </w:p>
        </w:tc>
        <w:tc>
          <w:tcPr>
            <w:tcW w:w="175" w:type="pct"/>
            <w:tcBorders>
              <w:top w:val="single" w:sz="4" w:space="0" w:color="AAABD6"/>
              <w:left w:val="single" w:sz="4" w:space="0" w:color="AAABD6"/>
              <w:bottom w:val="dotted" w:sz="4" w:space="0" w:color="AAABD6"/>
              <w:right w:val="single" w:sz="4" w:space="0" w:color="AAABD6"/>
            </w:tcBorders>
          </w:tcPr>
          <w:p w14:paraId="5597CD8C"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w:t>
            </w:r>
          </w:p>
        </w:tc>
        <w:tc>
          <w:tcPr>
            <w:tcW w:w="468" w:type="pct"/>
            <w:tcBorders>
              <w:top w:val="single" w:sz="4" w:space="0" w:color="AAABD6"/>
              <w:left w:val="single" w:sz="4" w:space="0" w:color="AAABD6"/>
              <w:bottom w:val="dotted" w:sz="4" w:space="0" w:color="AAABD6"/>
              <w:right w:val="single" w:sz="4" w:space="0" w:color="AAABD6"/>
            </w:tcBorders>
            <w:vAlign w:val="bottom"/>
          </w:tcPr>
          <w:p w14:paraId="3BB544DC"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A6A6A6"/>
              </w:rPr>
              <w:t>0</w:t>
            </w:r>
          </w:p>
        </w:tc>
        <w:tc>
          <w:tcPr>
            <w:tcW w:w="175" w:type="pct"/>
            <w:tcBorders>
              <w:top w:val="single" w:sz="4" w:space="0" w:color="AAABD6"/>
              <w:left w:val="single" w:sz="4" w:space="0" w:color="AAABD6"/>
              <w:bottom w:val="dotted" w:sz="4" w:space="0" w:color="AAABD6"/>
              <w:right w:val="single" w:sz="4" w:space="0" w:color="AAABD6"/>
            </w:tcBorders>
          </w:tcPr>
          <w:p w14:paraId="0F611C0E"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5" w:type="pct"/>
            <w:tcBorders>
              <w:top w:val="single" w:sz="4" w:space="0" w:color="AAABD6"/>
              <w:left w:val="single" w:sz="4" w:space="0" w:color="AAABD6"/>
              <w:bottom w:val="dotted" w:sz="4" w:space="0" w:color="AAABD6"/>
              <w:right w:val="single" w:sz="4" w:space="0" w:color="AAABD6"/>
            </w:tcBorders>
          </w:tcPr>
          <w:p w14:paraId="341F6CF6" w14:textId="5BACCDD4"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color w:val="000000" w:themeColor="text1"/>
              </w:rPr>
              <w:t>...</w:t>
            </w:r>
          </w:p>
        </w:tc>
        <w:tc>
          <w:tcPr>
            <w:tcW w:w="484" w:type="pct"/>
            <w:tcBorders>
              <w:top w:val="single" w:sz="4" w:space="0" w:color="AAABD6"/>
              <w:left w:val="single" w:sz="4" w:space="0" w:color="AAABD6"/>
              <w:bottom w:val="dotted" w:sz="4" w:space="0" w:color="AAABD6"/>
              <w:right w:val="single" w:sz="4" w:space="0" w:color="AAABD6"/>
            </w:tcBorders>
            <w:vAlign w:val="bottom"/>
          </w:tcPr>
          <w:p w14:paraId="34A3E652"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A6A6A6"/>
              </w:rPr>
              <w:t>0</w:t>
            </w:r>
          </w:p>
        </w:tc>
      </w:tr>
      <w:tr w:rsidR="00AD2F76" w:rsidRPr="00100F0A" w14:paraId="07B86D78" w14:textId="77777777" w:rsidTr="00FD3200">
        <w:trPr>
          <w:gridAfter w:val="1"/>
          <w:wAfter w:w="7" w:type="pct"/>
        </w:trPr>
        <w:tc>
          <w:tcPr>
            <w:cnfStyle w:val="001000000000" w:firstRow="0" w:lastRow="0" w:firstColumn="1" w:lastColumn="0" w:oddVBand="0" w:evenVBand="0" w:oddHBand="0" w:evenHBand="0" w:firstRowFirstColumn="0" w:firstRowLastColumn="0" w:lastRowFirstColumn="0" w:lastRowLastColumn="0"/>
            <w:tcW w:w="509" w:type="pct"/>
            <w:vMerge/>
            <w:tcBorders>
              <w:left w:val="single" w:sz="4" w:space="0" w:color="AAABD6"/>
              <w:right w:val="single" w:sz="4" w:space="0" w:color="AAABD6"/>
            </w:tcBorders>
          </w:tcPr>
          <w:p w14:paraId="1B587D4C" w14:textId="77777777" w:rsidR="00AD2F76" w:rsidRPr="00100F0A" w:rsidRDefault="00AD2F76" w:rsidP="008265C8"/>
        </w:tc>
        <w:tc>
          <w:tcPr>
            <w:tcW w:w="509" w:type="pct"/>
            <w:tcBorders>
              <w:top w:val="dotted" w:sz="4" w:space="0" w:color="AAABD6"/>
              <w:left w:val="single" w:sz="4" w:space="0" w:color="AAABD6"/>
              <w:bottom w:val="dotted" w:sz="4" w:space="0" w:color="AAABD6"/>
              <w:right w:val="single" w:sz="4" w:space="0" w:color="AAABD6"/>
            </w:tcBorders>
            <w:vAlign w:val="center"/>
          </w:tcPr>
          <w:p w14:paraId="2CCB80C3"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NSW</w:t>
            </w:r>
          </w:p>
        </w:tc>
        <w:tc>
          <w:tcPr>
            <w:tcW w:w="2031" w:type="pct"/>
            <w:vMerge/>
            <w:tcBorders>
              <w:left w:val="single" w:sz="4" w:space="0" w:color="AAABD6"/>
              <w:right w:val="single" w:sz="4" w:space="0" w:color="AAABD6"/>
            </w:tcBorders>
          </w:tcPr>
          <w:p w14:paraId="16177C81"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p>
        </w:tc>
        <w:tc>
          <w:tcPr>
            <w:tcW w:w="468" w:type="pct"/>
            <w:tcBorders>
              <w:top w:val="dotted" w:sz="4" w:space="0" w:color="AAABD6"/>
              <w:left w:val="single" w:sz="4" w:space="0" w:color="AAABD6"/>
              <w:bottom w:val="dotted" w:sz="4" w:space="0" w:color="AAABD6"/>
              <w:right w:val="single" w:sz="4" w:space="0" w:color="AAABD6"/>
            </w:tcBorders>
            <w:vAlign w:val="bottom"/>
          </w:tcPr>
          <w:p w14:paraId="1E10152A"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rPr>
              <w:t>-312,466</w:t>
            </w:r>
          </w:p>
        </w:tc>
        <w:tc>
          <w:tcPr>
            <w:tcW w:w="175" w:type="pct"/>
            <w:tcBorders>
              <w:top w:val="dotted" w:sz="4" w:space="0" w:color="AAABD6"/>
              <w:left w:val="single" w:sz="4" w:space="0" w:color="AAABD6"/>
              <w:bottom w:val="dotted" w:sz="4" w:space="0" w:color="AAABD6"/>
              <w:right w:val="single" w:sz="4" w:space="0" w:color="AAABD6"/>
            </w:tcBorders>
          </w:tcPr>
          <w:p w14:paraId="6A08BDDA"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w:t>
            </w:r>
          </w:p>
        </w:tc>
        <w:tc>
          <w:tcPr>
            <w:tcW w:w="468" w:type="pct"/>
            <w:tcBorders>
              <w:top w:val="dotted" w:sz="4" w:space="0" w:color="AAABD6"/>
              <w:left w:val="single" w:sz="4" w:space="0" w:color="AAABD6"/>
              <w:bottom w:val="dotted" w:sz="4" w:space="0" w:color="AAABD6"/>
              <w:right w:val="single" w:sz="4" w:space="0" w:color="AAABD6"/>
            </w:tcBorders>
            <w:vAlign w:val="bottom"/>
          </w:tcPr>
          <w:p w14:paraId="6C684CFA"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rPr>
              <w:t>-321,353</w:t>
            </w:r>
          </w:p>
        </w:tc>
        <w:tc>
          <w:tcPr>
            <w:tcW w:w="175" w:type="pct"/>
            <w:tcBorders>
              <w:top w:val="dotted" w:sz="4" w:space="0" w:color="AAABD6"/>
              <w:left w:val="single" w:sz="4" w:space="0" w:color="AAABD6"/>
              <w:bottom w:val="dotted" w:sz="4" w:space="0" w:color="AAABD6"/>
              <w:right w:val="single" w:sz="4" w:space="0" w:color="AAABD6"/>
            </w:tcBorders>
          </w:tcPr>
          <w:p w14:paraId="4A7920B3"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5" w:type="pct"/>
            <w:tcBorders>
              <w:top w:val="dotted" w:sz="4" w:space="0" w:color="AAABD6"/>
              <w:left w:val="single" w:sz="4" w:space="0" w:color="AAABD6"/>
              <w:bottom w:val="dotted" w:sz="4" w:space="0" w:color="AAABD6"/>
              <w:right w:val="single" w:sz="4" w:space="0" w:color="AAABD6"/>
            </w:tcBorders>
          </w:tcPr>
          <w:p w14:paraId="785E0B87" w14:textId="1B7DF6FE"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color w:val="000000" w:themeColor="text1"/>
              </w:rPr>
              <w:t>...</w:t>
            </w:r>
          </w:p>
        </w:tc>
        <w:tc>
          <w:tcPr>
            <w:tcW w:w="484" w:type="pct"/>
            <w:tcBorders>
              <w:top w:val="dotted" w:sz="4" w:space="0" w:color="AAABD6"/>
              <w:left w:val="single" w:sz="4" w:space="0" w:color="AAABD6"/>
              <w:bottom w:val="dotted" w:sz="4" w:space="0" w:color="AAABD6"/>
              <w:right w:val="single" w:sz="4" w:space="0" w:color="AAABD6"/>
            </w:tcBorders>
            <w:vAlign w:val="bottom"/>
          </w:tcPr>
          <w:p w14:paraId="4AED2BDC"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-407,858</w:t>
            </w:r>
          </w:p>
        </w:tc>
      </w:tr>
      <w:tr w:rsidR="00AD2F76" w:rsidRPr="00100F0A" w14:paraId="21FB06FA" w14:textId="77777777" w:rsidTr="00FD3200">
        <w:trPr>
          <w:gridAfter w:val="1"/>
          <w:wAfter w:w="7" w:type="pct"/>
        </w:trPr>
        <w:tc>
          <w:tcPr>
            <w:cnfStyle w:val="001000000000" w:firstRow="0" w:lastRow="0" w:firstColumn="1" w:lastColumn="0" w:oddVBand="0" w:evenVBand="0" w:oddHBand="0" w:evenHBand="0" w:firstRowFirstColumn="0" w:firstRowLastColumn="0" w:lastRowFirstColumn="0" w:lastRowLastColumn="0"/>
            <w:tcW w:w="509" w:type="pct"/>
            <w:vMerge/>
            <w:tcBorders>
              <w:left w:val="single" w:sz="4" w:space="0" w:color="AAABD6"/>
              <w:right w:val="single" w:sz="4" w:space="0" w:color="AAABD6"/>
            </w:tcBorders>
          </w:tcPr>
          <w:p w14:paraId="494C4034" w14:textId="77777777" w:rsidR="00AD2F76" w:rsidRPr="00100F0A" w:rsidRDefault="00AD2F76" w:rsidP="008265C8"/>
        </w:tc>
        <w:tc>
          <w:tcPr>
            <w:tcW w:w="509" w:type="pct"/>
            <w:tcBorders>
              <w:top w:val="dotted" w:sz="4" w:space="0" w:color="AAABD6"/>
              <w:left w:val="single" w:sz="4" w:space="0" w:color="AAABD6"/>
              <w:bottom w:val="dotted" w:sz="4" w:space="0" w:color="AAABD6"/>
              <w:right w:val="single" w:sz="4" w:space="0" w:color="AAABD6"/>
            </w:tcBorders>
            <w:vAlign w:val="center"/>
          </w:tcPr>
          <w:p w14:paraId="0D47D9CB"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NT</w:t>
            </w:r>
          </w:p>
        </w:tc>
        <w:tc>
          <w:tcPr>
            <w:tcW w:w="2031" w:type="pct"/>
            <w:vMerge/>
            <w:tcBorders>
              <w:left w:val="single" w:sz="4" w:space="0" w:color="AAABD6"/>
              <w:right w:val="single" w:sz="4" w:space="0" w:color="AAABD6"/>
            </w:tcBorders>
          </w:tcPr>
          <w:p w14:paraId="187AFE7D"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p>
        </w:tc>
        <w:tc>
          <w:tcPr>
            <w:tcW w:w="468" w:type="pct"/>
            <w:tcBorders>
              <w:top w:val="dotted" w:sz="4" w:space="0" w:color="AAABD6"/>
              <w:left w:val="single" w:sz="4" w:space="0" w:color="AAABD6"/>
              <w:bottom w:val="dotted" w:sz="4" w:space="0" w:color="AAABD6"/>
              <w:right w:val="single" w:sz="4" w:space="0" w:color="AAABD6"/>
            </w:tcBorders>
            <w:vAlign w:val="bottom"/>
          </w:tcPr>
          <w:p w14:paraId="4181CEA9"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rPr>
              <w:t>-31,583</w:t>
            </w:r>
          </w:p>
        </w:tc>
        <w:tc>
          <w:tcPr>
            <w:tcW w:w="175" w:type="pct"/>
            <w:tcBorders>
              <w:top w:val="dotted" w:sz="4" w:space="0" w:color="AAABD6"/>
              <w:left w:val="single" w:sz="4" w:space="0" w:color="AAABD6"/>
              <w:bottom w:val="dotted" w:sz="4" w:space="0" w:color="AAABD6"/>
              <w:right w:val="single" w:sz="4" w:space="0" w:color="AAABD6"/>
            </w:tcBorders>
          </w:tcPr>
          <w:p w14:paraId="2BE20DA6"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w:t>
            </w:r>
          </w:p>
        </w:tc>
        <w:tc>
          <w:tcPr>
            <w:tcW w:w="468" w:type="pct"/>
            <w:tcBorders>
              <w:top w:val="dotted" w:sz="4" w:space="0" w:color="AAABD6"/>
              <w:left w:val="single" w:sz="4" w:space="0" w:color="AAABD6"/>
              <w:bottom w:val="dotted" w:sz="4" w:space="0" w:color="AAABD6"/>
              <w:right w:val="single" w:sz="4" w:space="0" w:color="AAABD6"/>
            </w:tcBorders>
            <w:vAlign w:val="bottom"/>
          </w:tcPr>
          <w:p w14:paraId="1A32747F"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rPr>
              <w:t>-32,481</w:t>
            </w:r>
          </w:p>
        </w:tc>
        <w:tc>
          <w:tcPr>
            <w:tcW w:w="175" w:type="pct"/>
            <w:tcBorders>
              <w:top w:val="dotted" w:sz="4" w:space="0" w:color="AAABD6"/>
              <w:left w:val="single" w:sz="4" w:space="0" w:color="AAABD6"/>
              <w:bottom w:val="dotted" w:sz="4" w:space="0" w:color="AAABD6"/>
              <w:right w:val="single" w:sz="4" w:space="0" w:color="AAABD6"/>
            </w:tcBorders>
          </w:tcPr>
          <w:p w14:paraId="23410228"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5" w:type="pct"/>
            <w:tcBorders>
              <w:top w:val="dotted" w:sz="4" w:space="0" w:color="AAABD6"/>
              <w:left w:val="single" w:sz="4" w:space="0" w:color="AAABD6"/>
              <w:bottom w:val="dotted" w:sz="4" w:space="0" w:color="AAABD6"/>
              <w:right w:val="single" w:sz="4" w:space="0" w:color="AAABD6"/>
            </w:tcBorders>
          </w:tcPr>
          <w:p w14:paraId="1CABE1CA" w14:textId="23E8563C"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color w:val="000000" w:themeColor="text1"/>
              </w:rPr>
              <w:t>...</w:t>
            </w:r>
          </w:p>
        </w:tc>
        <w:tc>
          <w:tcPr>
            <w:tcW w:w="484" w:type="pct"/>
            <w:tcBorders>
              <w:top w:val="dotted" w:sz="4" w:space="0" w:color="AAABD6"/>
              <w:left w:val="single" w:sz="4" w:space="0" w:color="AAABD6"/>
              <w:bottom w:val="dotted" w:sz="4" w:space="0" w:color="AAABD6"/>
              <w:right w:val="single" w:sz="4" w:space="0" w:color="AAABD6"/>
            </w:tcBorders>
            <w:vAlign w:val="bottom"/>
          </w:tcPr>
          <w:p w14:paraId="0901B7F6"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-41,224</w:t>
            </w:r>
          </w:p>
        </w:tc>
      </w:tr>
      <w:tr w:rsidR="00AD2F76" w:rsidRPr="00100F0A" w14:paraId="3637521D" w14:textId="77777777" w:rsidTr="00FD3200">
        <w:trPr>
          <w:gridAfter w:val="1"/>
          <w:wAfter w:w="7" w:type="pct"/>
        </w:trPr>
        <w:tc>
          <w:tcPr>
            <w:cnfStyle w:val="001000000000" w:firstRow="0" w:lastRow="0" w:firstColumn="1" w:lastColumn="0" w:oddVBand="0" w:evenVBand="0" w:oddHBand="0" w:evenHBand="0" w:firstRowFirstColumn="0" w:firstRowLastColumn="0" w:lastRowFirstColumn="0" w:lastRowLastColumn="0"/>
            <w:tcW w:w="509" w:type="pct"/>
            <w:vMerge/>
            <w:tcBorders>
              <w:left w:val="single" w:sz="4" w:space="0" w:color="AAABD6"/>
              <w:right w:val="single" w:sz="4" w:space="0" w:color="AAABD6"/>
            </w:tcBorders>
          </w:tcPr>
          <w:p w14:paraId="3647578C" w14:textId="77777777" w:rsidR="00AD2F76" w:rsidRPr="00100F0A" w:rsidRDefault="00AD2F76" w:rsidP="008265C8"/>
        </w:tc>
        <w:tc>
          <w:tcPr>
            <w:tcW w:w="509" w:type="pct"/>
            <w:tcBorders>
              <w:top w:val="dotted" w:sz="4" w:space="0" w:color="AAABD6"/>
              <w:left w:val="single" w:sz="4" w:space="0" w:color="AAABD6"/>
              <w:bottom w:val="dotted" w:sz="4" w:space="0" w:color="AAABD6"/>
              <w:right w:val="single" w:sz="4" w:space="0" w:color="AAABD6"/>
            </w:tcBorders>
            <w:vAlign w:val="center"/>
          </w:tcPr>
          <w:p w14:paraId="69F66E92"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Qld</w:t>
            </w:r>
          </w:p>
        </w:tc>
        <w:tc>
          <w:tcPr>
            <w:tcW w:w="2031" w:type="pct"/>
            <w:vMerge/>
            <w:tcBorders>
              <w:left w:val="single" w:sz="4" w:space="0" w:color="AAABD6"/>
              <w:right w:val="single" w:sz="4" w:space="0" w:color="AAABD6"/>
            </w:tcBorders>
          </w:tcPr>
          <w:p w14:paraId="2DFCD9A4"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p>
        </w:tc>
        <w:tc>
          <w:tcPr>
            <w:tcW w:w="468" w:type="pct"/>
            <w:tcBorders>
              <w:top w:val="dotted" w:sz="4" w:space="0" w:color="AAABD6"/>
              <w:left w:val="single" w:sz="4" w:space="0" w:color="AAABD6"/>
              <w:bottom w:val="dotted" w:sz="4" w:space="0" w:color="AAABD6"/>
              <w:right w:val="single" w:sz="4" w:space="0" w:color="AAABD6"/>
            </w:tcBorders>
            <w:vAlign w:val="bottom"/>
          </w:tcPr>
          <w:p w14:paraId="5836330E"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rPr>
              <w:t>-326,564</w:t>
            </w:r>
          </w:p>
        </w:tc>
        <w:tc>
          <w:tcPr>
            <w:tcW w:w="175" w:type="pct"/>
            <w:tcBorders>
              <w:top w:val="dotted" w:sz="4" w:space="0" w:color="AAABD6"/>
              <w:left w:val="single" w:sz="4" w:space="0" w:color="AAABD6"/>
              <w:bottom w:val="dotted" w:sz="4" w:space="0" w:color="AAABD6"/>
              <w:right w:val="single" w:sz="4" w:space="0" w:color="AAABD6"/>
            </w:tcBorders>
          </w:tcPr>
          <w:p w14:paraId="32518F0E"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w:t>
            </w:r>
          </w:p>
        </w:tc>
        <w:tc>
          <w:tcPr>
            <w:tcW w:w="468" w:type="pct"/>
            <w:tcBorders>
              <w:top w:val="dotted" w:sz="4" w:space="0" w:color="AAABD6"/>
              <w:left w:val="single" w:sz="4" w:space="0" w:color="AAABD6"/>
              <w:bottom w:val="dotted" w:sz="4" w:space="0" w:color="AAABD6"/>
              <w:right w:val="single" w:sz="4" w:space="0" w:color="AAABD6"/>
            </w:tcBorders>
            <w:vAlign w:val="bottom"/>
          </w:tcPr>
          <w:p w14:paraId="7DE9E64C"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rPr>
              <w:t>-335,852</w:t>
            </w:r>
          </w:p>
        </w:tc>
        <w:tc>
          <w:tcPr>
            <w:tcW w:w="175" w:type="pct"/>
            <w:tcBorders>
              <w:top w:val="dotted" w:sz="4" w:space="0" w:color="AAABD6"/>
              <w:left w:val="single" w:sz="4" w:space="0" w:color="AAABD6"/>
              <w:bottom w:val="dotted" w:sz="4" w:space="0" w:color="AAABD6"/>
              <w:right w:val="single" w:sz="4" w:space="0" w:color="AAABD6"/>
            </w:tcBorders>
          </w:tcPr>
          <w:p w14:paraId="65015548"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5" w:type="pct"/>
            <w:tcBorders>
              <w:top w:val="dotted" w:sz="4" w:space="0" w:color="AAABD6"/>
              <w:left w:val="single" w:sz="4" w:space="0" w:color="AAABD6"/>
              <w:bottom w:val="dotted" w:sz="4" w:space="0" w:color="AAABD6"/>
              <w:right w:val="single" w:sz="4" w:space="0" w:color="AAABD6"/>
            </w:tcBorders>
          </w:tcPr>
          <w:p w14:paraId="1134E620" w14:textId="0FFC8184"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sz w:val="16"/>
                <w:szCs w:val="16"/>
              </w:rPr>
            </w:pPr>
            <w:r w:rsidRPr="00100F0A">
              <w:rPr>
                <w:color w:val="000000" w:themeColor="text1"/>
              </w:rPr>
              <w:t>...</w:t>
            </w:r>
          </w:p>
        </w:tc>
        <w:tc>
          <w:tcPr>
            <w:tcW w:w="484" w:type="pct"/>
            <w:tcBorders>
              <w:top w:val="dotted" w:sz="4" w:space="0" w:color="AAABD6"/>
              <w:left w:val="single" w:sz="4" w:space="0" w:color="AAABD6"/>
              <w:bottom w:val="dotted" w:sz="4" w:space="0" w:color="AAABD6"/>
              <w:right w:val="single" w:sz="4" w:space="0" w:color="AAABD6"/>
            </w:tcBorders>
            <w:vAlign w:val="bottom"/>
          </w:tcPr>
          <w:p w14:paraId="356D1E7C"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sz w:val="16"/>
                <w:szCs w:val="16"/>
              </w:rPr>
            </w:pPr>
            <w:r w:rsidRPr="00100F0A">
              <w:rPr>
                <w:rFonts w:cs="Calibri"/>
                <w:color w:val="000000"/>
              </w:rPr>
              <w:t>-426,260</w:t>
            </w:r>
          </w:p>
        </w:tc>
      </w:tr>
      <w:tr w:rsidR="00AD2F76" w:rsidRPr="00100F0A" w14:paraId="2DC601ED" w14:textId="77777777" w:rsidTr="00FD3200">
        <w:trPr>
          <w:gridAfter w:val="1"/>
          <w:wAfter w:w="7" w:type="pct"/>
        </w:trPr>
        <w:tc>
          <w:tcPr>
            <w:cnfStyle w:val="001000000000" w:firstRow="0" w:lastRow="0" w:firstColumn="1" w:lastColumn="0" w:oddVBand="0" w:evenVBand="0" w:oddHBand="0" w:evenHBand="0" w:firstRowFirstColumn="0" w:firstRowLastColumn="0" w:lastRowFirstColumn="0" w:lastRowLastColumn="0"/>
            <w:tcW w:w="509" w:type="pct"/>
            <w:vMerge/>
            <w:tcBorders>
              <w:left w:val="single" w:sz="4" w:space="0" w:color="AAABD6"/>
              <w:right w:val="single" w:sz="4" w:space="0" w:color="AAABD6"/>
            </w:tcBorders>
          </w:tcPr>
          <w:p w14:paraId="0355FEED" w14:textId="77777777" w:rsidR="00AD2F76" w:rsidRPr="00100F0A" w:rsidRDefault="00AD2F76" w:rsidP="008265C8"/>
        </w:tc>
        <w:tc>
          <w:tcPr>
            <w:tcW w:w="509" w:type="pct"/>
            <w:tcBorders>
              <w:top w:val="dotted" w:sz="4" w:space="0" w:color="AAABD6"/>
              <w:left w:val="single" w:sz="4" w:space="0" w:color="AAABD6"/>
              <w:bottom w:val="dotted" w:sz="4" w:space="0" w:color="AAABD6"/>
              <w:right w:val="single" w:sz="4" w:space="0" w:color="AAABD6"/>
            </w:tcBorders>
            <w:vAlign w:val="center"/>
          </w:tcPr>
          <w:p w14:paraId="15217C27"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SA</w:t>
            </w:r>
          </w:p>
        </w:tc>
        <w:tc>
          <w:tcPr>
            <w:tcW w:w="2031" w:type="pct"/>
            <w:vMerge/>
            <w:tcBorders>
              <w:left w:val="single" w:sz="4" w:space="0" w:color="AAABD6"/>
              <w:right w:val="single" w:sz="4" w:space="0" w:color="AAABD6"/>
            </w:tcBorders>
          </w:tcPr>
          <w:p w14:paraId="40A4A488"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p>
        </w:tc>
        <w:tc>
          <w:tcPr>
            <w:tcW w:w="468" w:type="pct"/>
            <w:tcBorders>
              <w:top w:val="dotted" w:sz="4" w:space="0" w:color="AAABD6"/>
              <w:left w:val="single" w:sz="4" w:space="0" w:color="AAABD6"/>
              <w:bottom w:val="dotted" w:sz="4" w:space="0" w:color="AAABD6"/>
              <w:right w:val="single" w:sz="4" w:space="0" w:color="AAABD6"/>
            </w:tcBorders>
            <w:vAlign w:val="bottom"/>
          </w:tcPr>
          <w:p w14:paraId="0748D05F"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rPr>
              <w:t>-126,331</w:t>
            </w:r>
          </w:p>
        </w:tc>
        <w:tc>
          <w:tcPr>
            <w:tcW w:w="175" w:type="pct"/>
            <w:tcBorders>
              <w:top w:val="dotted" w:sz="4" w:space="0" w:color="AAABD6"/>
              <w:left w:val="single" w:sz="4" w:space="0" w:color="AAABD6"/>
              <w:bottom w:val="dotted" w:sz="4" w:space="0" w:color="AAABD6"/>
              <w:right w:val="single" w:sz="4" w:space="0" w:color="AAABD6"/>
            </w:tcBorders>
          </w:tcPr>
          <w:p w14:paraId="0F6E939F"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w:t>
            </w:r>
          </w:p>
        </w:tc>
        <w:tc>
          <w:tcPr>
            <w:tcW w:w="468" w:type="pct"/>
            <w:tcBorders>
              <w:top w:val="dotted" w:sz="4" w:space="0" w:color="AAABD6"/>
              <w:left w:val="single" w:sz="4" w:space="0" w:color="AAABD6"/>
              <w:bottom w:val="dotted" w:sz="4" w:space="0" w:color="AAABD6"/>
              <w:right w:val="single" w:sz="4" w:space="0" w:color="AAABD6"/>
            </w:tcBorders>
            <w:vAlign w:val="bottom"/>
          </w:tcPr>
          <w:p w14:paraId="2021FCB3"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rPr>
              <w:t>-129,924</w:t>
            </w:r>
          </w:p>
        </w:tc>
        <w:tc>
          <w:tcPr>
            <w:tcW w:w="175" w:type="pct"/>
            <w:tcBorders>
              <w:top w:val="dotted" w:sz="4" w:space="0" w:color="AAABD6"/>
              <w:left w:val="single" w:sz="4" w:space="0" w:color="AAABD6"/>
              <w:bottom w:val="dotted" w:sz="4" w:space="0" w:color="AAABD6"/>
              <w:right w:val="single" w:sz="4" w:space="0" w:color="AAABD6"/>
            </w:tcBorders>
          </w:tcPr>
          <w:p w14:paraId="2AB0D1D6"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5" w:type="pct"/>
            <w:tcBorders>
              <w:top w:val="dotted" w:sz="4" w:space="0" w:color="AAABD6"/>
              <w:left w:val="single" w:sz="4" w:space="0" w:color="AAABD6"/>
              <w:bottom w:val="dotted" w:sz="4" w:space="0" w:color="AAABD6"/>
              <w:right w:val="single" w:sz="4" w:space="0" w:color="AAABD6"/>
            </w:tcBorders>
          </w:tcPr>
          <w:p w14:paraId="52E832DF" w14:textId="7F318B10"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color w:val="000000" w:themeColor="text1"/>
              </w:rPr>
              <w:t>...</w:t>
            </w:r>
          </w:p>
        </w:tc>
        <w:tc>
          <w:tcPr>
            <w:tcW w:w="484" w:type="pct"/>
            <w:tcBorders>
              <w:top w:val="dotted" w:sz="4" w:space="0" w:color="AAABD6"/>
              <w:left w:val="single" w:sz="4" w:space="0" w:color="AAABD6"/>
              <w:bottom w:val="dotted" w:sz="4" w:space="0" w:color="AAABD6"/>
              <w:right w:val="single" w:sz="4" w:space="0" w:color="AAABD6"/>
            </w:tcBorders>
            <w:vAlign w:val="bottom"/>
          </w:tcPr>
          <w:p w14:paraId="30F478AB"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-164,898</w:t>
            </w:r>
          </w:p>
        </w:tc>
      </w:tr>
      <w:tr w:rsidR="00AD2F76" w:rsidRPr="00100F0A" w14:paraId="2CD43C0F" w14:textId="77777777" w:rsidTr="00FD3200">
        <w:trPr>
          <w:gridAfter w:val="1"/>
          <w:wAfter w:w="7" w:type="pct"/>
        </w:trPr>
        <w:tc>
          <w:tcPr>
            <w:cnfStyle w:val="001000000000" w:firstRow="0" w:lastRow="0" w:firstColumn="1" w:lastColumn="0" w:oddVBand="0" w:evenVBand="0" w:oddHBand="0" w:evenHBand="0" w:firstRowFirstColumn="0" w:firstRowLastColumn="0" w:lastRowFirstColumn="0" w:lastRowLastColumn="0"/>
            <w:tcW w:w="509" w:type="pct"/>
            <w:vMerge/>
            <w:tcBorders>
              <w:left w:val="single" w:sz="4" w:space="0" w:color="AAABD6"/>
              <w:right w:val="single" w:sz="4" w:space="0" w:color="AAABD6"/>
            </w:tcBorders>
          </w:tcPr>
          <w:p w14:paraId="2044B7B8" w14:textId="77777777" w:rsidR="00AD2F76" w:rsidRPr="00100F0A" w:rsidRDefault="00AD2F76" w:rsidP="008265C8"/>
        </w:tc>
        <w:tc>
          <w:tcPr>
            <w:tcW w:w="509" w:type="pct"/>
            <w:tcBorders>
              <w:top w:val="dotted" w:sz="4" w:space="0" w:color="AAABD6"/>
              <w:left w:val="single" w:sz="4" w:space="0" w:color="AAABD6"/>
              <w:bottom w:val="dotted" w:sz="4" w:space="0" w:color="AAABD6"/>
              <w:right w:val="single" w:sz="4" w:space="0" w:color="AAABD6"/>
            </w:tcBorders>
            <w:vAlign w:val="center"/>
          </w:tcPr>
          <w:p w14:paraId="0748C06D"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Tas</w:t>
            </w:r>
          </w:p>
        </w:tc>
        <w:tc>
          <w:tcPr>
            <w:tcW w:w="2031" w:type="pct"/>
            <w:vMerge/>
            <w:tcBorders>
              <w:left w:val="single" w:sz="4" w:space="0" w:color="AAABD6"/>
              <w:right w:val="single" w:sz="4" w:space="0" w:color="AAABD6"/>
            </w:tcBorders>
          </w:tcPr>
          <w:p w14:paraId="0D0ABA04"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p>
        </w:tc>
        <w:tc>
          <w:tcPr>
            <w:tcW w:w="468" w:type="pct"/>
            <w:tcBorders>
              <w:top w:val="dotted" w:sz="4" w:space="0" w:color="AAABD6"/>
              <w:left w:val="single" w:sz="4" w:space="0" w:color="AAABD6"/>
              <w:bottom w:val="dotted" w:sz="4" w:space="0" w:color="AAABD6"/>
              <w:right w:val="single" w:sz="4" w:space="0" w:color="AAABD6"/>
            </w:tcBorders>
            <w:vAlign w:val="bottom"/>
          </w:tcPr>
          <w:p w14:paraId="6F8EE991"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rPr>
              <w:t>-31,583</w:t>
            </w:r>
          </w:p>
        </w:tc>
        <w:tc>
          <w:tcPr>
            <w:tcW w:w="175" w:type="pct"/>
            <w:tcBorders>
              <w:top w:val="dotted" w:sz="4" w:space="0" w:color="AAABD6"/>
              <w:left w:val="single" w:sz="4" w:space="0" w:color="AAABD6"/>
              <w:bottom w:val="dotted" w:sz="4" w:space="0" w:color="AAABD6"/>
              <w:right w:val="single" w:sz="4" w:space="0" w:color="AAABD6"/>
            </w:tcBorders>
          </w:tcPr>
          <w:p w14:paraId="58A34FC4"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w:t>
            </w:r>
          </w:p>
        </w:tc>
        <w:tc>
          <w:tcPr>
            <w:tcW w:w="468" w:type="pct"/>
            <w:tcBorders>
              <w:top w:val="dotted" w:sz="4" w:space="0" w:color="AAABD6"/>
              <w:left w:val="single" w:sz="4" w:space="0" w:color="AAABD6"/>
              <w:bottom w:val="dotted" w:sz="4" w:space="0" w:color="AAABD6"/>
              <w:right w:val="single" w:sz="4" w:space="0" w:color="AAABD6"/>
            </w:tcBorders>
            <w:vAlign w:val="bottom"/>
          </w:tcPr>
          <w:p w14:paraId="0C380838"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rPr>
              <w:t>-32,481</w:t>
            </w:r>
          </w:p>
        </w:tc>
        <w:tc>
          <w:tcPr>
            <w:tcW w:w="175" w:type="pct"/>
            <w:tcBorders>
              <w:top w:val="dotted" w:sz="4" w:space="0" w:color="AAABD6"/>
              <w:left w:val="single" w:sz="4" w:space="0" w:color="AAABD6"/>
              <w:bottom w:val="dotted" w:sz="4" w:space="0" w:color="AAABD6"/>
              <w:right w:val="single" w:sz="4" w:space="0" w:color="AAABD6"/>
            </w:tcBorders>
          </w:tcPr>
          <w:p w14:paraId="1F614CE1"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5" w:type="pct"/>
            <w:tcBorders>
              <w:top w:val="dotted" w:sz="4" w:space="0" w:color="AAABD6"/>
              <w:left w:val="single" w:sz="4" w:space="0" w:color="AAABD6"/>
              <w:bottom w:val="dotted" w:sz="4" w:space="0" w:color="AAABD6"/>
              <w:right w:val="single" w:sz="4" w:space="0" w:color="AAABD6"/>
            </w:tcBorders>
          </w:tcPr>
          <w:p w14:paraId="5CA0030A" w14:textId="5C6EBD4E"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color w:val="000000" w:themeColor="text1"/>
              </w:rPr>
              <w:t>...</w:t>
            </w:r>
          </w:p>
        </w:tc>
        <w:tc>
          <w:tcPr>
            <w:tcW w:w="484" w:type="pct"/>
            <w:tcBorders>
              <w:top w:val="dotted" w:sz="4" w:space="0" w:color="AAABD6"/>
              <w:left w:val="single" w:sz="4" w:space="0" w:color="AAABD6"/>
              <w:bottom w:val="dotted" w:sz="4" w:space="0" w:color="AAABD6"/>
              <w:right w:val="single" w:sz="4" w:space="0" w:color="AAABD6"/>
            </w:tcBorders>
            <w:vAlign w:val="bottom"/>
          </w:tcPr>
          <w:p w14:paraId="01A18767"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-41,224</w:t>
            </w:r>
          </w:p>
        </w:tc>
      </w:tr>
      <w:tr w:rsidR="00AD2F76" w:rsidRPr="00100F0A" w14:paraId="4F5F261D" w14:textId="77777777" w:rsidTr="00FD3200">
        <w:trPr>
          <w:gridAfter w:val="1"/>
          <w:wAfter w:w="7" w:type="pct"/>
        </w:trPr>
        <w:tc>
          <w:tcPr>
            <w:cnfStyle w:val="001000000000" w:firstRow="0" w:lastRow="0" w:firstColumn="1" w:lastColumn="0" w:oddVBand="0" w:evenVBand="0" w:oddHBand="0" w:evenHBand="0" w:firstRowFirstColumn="0" w:firstRowLastColumn="0" w:lastRowFirstColumn="0" w:lastRowLastColumn="0"/>
            <w:tcW w:w="509" w:type="pct"/>
            <w:vMerge/>
            <w:tcBorders>
              <w:left w:val="single" w:sz="4" w:space="0" w:color="AAABD6"/>
              <w:right w:val="single" w:sz="4" w:space="0" w:color="AAABD6"/>
            </w:tcBorders>
          </w:tcPr>
          <w:p w14:paraId="6510C36B" w14:textId="77777777" w:rsidR="00AD2F76" w:rsidRPr="00100F0A" w:rsidRDefault="00AD2F76" w:rsidP="008265C8"/>
        </w:tc>
        <w:tc>
          <w:tcPr>
            <w:tcW w:w="509" w:type="pct"/>
            <w:tcBorders>
              <w:top w:val="dotted" w:sz="4" w:space="0" w:color="AAABD6"/>
              <w:left w:val="single" w:sz="4" w:space="0" w:color="AAABD6"/>
              <w:bottom w:val="dotted" w:sz="4" w:space="0" w:color="AAABD6"/>
              <w:right w:val="single" w:sz="4" w:space="0" w:color="AAABD6"/>
            </w:tcBorders>
            <w:vAlign w:val="center"/>
          </w:tcPr>
          <w:p w14:paraId="4F25DF83"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Vic</w:t>
            </w:r>
          </w:p>
        </w:tc>
        <w:tc>
          <w:tcPr>
            <w:tcW w:w="2031" w:type="pct"/>
            <w:vMerge/>
            <w:tcBorders>
              <w:left w:val="single" w:sz="4" w:space="0" w:color="AAABD6"/>
              <w:right w:val="single" w:sz="4" w:space="0" w:color="AAABD6"/>
            </w:tcBorders>
          </w:tcPr>
          <w:p w14:paraId="7AFC7B81"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p>
        </w:tc>
        <w:tc>
          <w:tcPr>
            <w:tcW w:w="468" w:type="pct"/>
            <w:tcBorders>
              <w:top w:val="dotted" w:sz="4" w:space="0" w:color="AAABD6"/>
              <w:left w:val="single" w:sz="4" w:space="0" w:color="AAABD6"/>
              <w:bottom w:val="dotted" w:sz="4" w:space="0" w:color="AAABD6"/>
              <w:right w:val="single" w:sz="4" w:space="0" w:color="AAABD6"/>
            </w:tcBorders>
            <w:vAlign w:val="bottom"/>
          </w:tcPr>
          <w:p w14:paraId="431AF8AD"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rPr>
              <w:t>-489,531</w:t>
            </w:r>
          </w:p>
        </w:tc>
        <w:tc>
          <w:tcPr>
            <w:tcW w:w="175" w:type="pct"/>
            <w:tcBorders>
              <w:top w:val="dotted" w:sz="4" w:space="0" w:color="AAABD6"/>
              <w:left w:val="single" w:sz="4" w:space="0" w:color="AAABD6"/>
              <w:bottom w:val="dotted" w:sz="4" w:space="0" w:color="AAABD6"/>
              <w:right w:val="single" w:sz="4" w:space="0" w:color="AAABD6"/>
            </w:tcBorders>
          </w:tcPr>
          <w:p w14:paraId="7CC2E594"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w:t>
            </w:r>
          </w:p>
        </w:tc>
        <w:tc>
          <w:tcPr>
            <w:tcW w:w="468" w:type="pct"/>
            <w:tcBorders>
              <w:top w:val="dotted" w:sz="4" w:space="0" w:color="AAABD6"/>
              <w:left w:val="single" w:sz="4" w:space="0" w:color="AAABD6"/>
              <w:bottom w:val="dotted" w:sz="4" w:space="0" w:color="AAABD6"/>
              <w:right w:val="single" w:sz="4" w:space="0" w:color="AAABD6"/>
            </w:tcBorders>
            <w:vAlign w:val="bottom"/>
          </w:tcPr>
          <w:p w14:paraId="5BEE4BB6"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rPr>
              <w:t>-503,454</w:t>
            </w:r>
          </w:p>
        </w:tc>
        <w:tc>
          <w:tcPr>
            <w:tcW w:w="175" w:type="pct"/>
            <w:tcBorders>
              <w:top w:val="dotted" w:sz="4" w:space="0" w:color="AAABD6"/>
              <w:left w:val="single" w:sz="4" w:space="0" w:color="AAABD6"/>
              <w:bottom w:val="dotted" w:sz="4" w:space="0" w:color="AAABD6"/>
              <w:right w:val="single" w:sz="4" w:space="0" w:color="AAABD6"/>
            </w:tcBorders>
          </w:tcPr>
          <w:p w14:paraId="0BD8D4B5"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5" w:type="pct"/>
            <w:tcBorders>
              <w:top w:val="dotted" w:sz="4" w:space="0" w:color="AAABD6"/>
              <w:left w:val="single" w:sz="4" w:space="0" w:color="AAABD6"/>
              <w:bottom w:val="dotted" w:sz="4" w:space="0" w:color="AAABD6"/>
              <w:right w:val="single" w:sz="4" w:space="0" w:color="AAABD6"/>
            </w:tcBorders>
          </w:tcPr>
          <w:p w14:paraId="5FDB6327" w14:textId="72CF0AA8"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color w:val="000000" w:themeColor="text1"/>
              </w:rPr>
              <w:t>...</w:t>
            </w:r>
          </w:p>
        </w:tc>
        <w:tc>
          <w:tcPr>
            <w:tcW w:w="484" w:type="pct"/>
            <w:tcBorders>
              <w:top w:val="dotted" w:sz="4" w:space="0" w:color="AAABD6"/>
              <w:left w:val="single" w:sz="4" w:space="0" w:color="AAABD6"/>
              <w:bottom w:val="dotted" w:sz="4" w:space="0" w:color="AAABD6"/>
              <w:right w:val="single" w:sz="4" w:space="0" w:color="AAABD6"/>
            </w:tcBorders>
            <w:vAlign w:val="bottom"/>
          </w:tcPr>
          <w:p w14:paraId="7E77A76E"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-638,978</w:t>
            </w:r>
          </w:p>
        </w:tc>
      </w:tr>
      <w:tr w:rsidR="00640329" w:rsidRPr="00100F0A" w14:paraId="797B1B53" w14:textId="77777777" w:rsidTr="00FD3200">
        <w:trPr>
          <w:gridAfter w:val="1"/>
          <w:wAfter w:w="7" w:type="pct"/>
        </w:trPr>
        <w:tc>
          <w:tcPr>
            <w:cnfStyle w:val="001000000000" w:firstRow="0" w:lastRow="0" w:firstColumn="1" w:lastColumn="0" w:oddVBand="0" w:evenVBand="0" w:oddHBand="0" w:evenHBand="0" w:firstRowFirstColumn="0" w:firstRowLastColumn="0" w:lastRowFirstColumn="0" w:lastRowLastColumn="0"/>
            <w:tcW w:w="509" w:type="pct"/>
            <w:vMerge/>
            <w:tcBorders>
              <w:left w:val="single" w:sz="4" w:space="0" w:color="AAABD6"/>
              <w:bottom w:val="dotted" w:sz="4" w:space="0" w:color="AAABD6"/>
              <w:right w:val="single" w:sz="4" w:space="0" w:color="AAABD6"/>
            </w:tcBorders>
          </w:tcPr>
          <w:p w14:paraId="104609D2" w14:textId="77777777" w:rsidR="00AD2F76" w:rsidRPr="00100F0A" w:rsidRDefault="00AD2F76" w:rsidP="008265C8"/>
        </w:tc>
        <w:tc>
          <w:tcPr>
            <w:tcW w:w="509" w:type="pct"/>
            <w:tcBorders>
              <w:top w:val="dotted" w:sz="4" w:space="0" w:color="AAABD6"/>
              <w:left w:val="single" w:sz="4" w:space="0" w:color="AAABD6"/>
              <w:bottom w:val="dotted" w:sz="4" w:space="0" w:color="AAABD6"/>
              <w:right w:val="single" w:sz="4" w:space="0" w:color="AAABD6"/>
            </w:tcBorders>
            <w:vAlign w:val="center"/>
          </w:tcPr>
          <w:p w14:paraId="69F36440"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WA</w:t>
            </w:r>
          </w:p>
        </w:tc>
        <w:tc>
          <w:tcPr>
            <w:tcW w:w="2031" w:type="pct"/>
            <w:vMerge/>
            <w:tcBorders>
              <w:left w:val="single" w:sz="4" w:space="0" w:color="AAABD6"/>
              <w:bottom w:val="dotted" w:sz="4" w:space="0" w:color="AAABD6"/>
              <w:right w:val="single" w:sz="4" w:space="0" w:color="AAABD6"/>
            </w:tcBorders>
          </w:tcPr>
          <w:p w14:paraId="3959D679"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p>
        </w:tc>
        <w:tc>
          <w:tcPr>
            <w:tcW w:w="468" w:type="pct"/>
            <w:tcBorders>
              <w:top w:val="dotted" w:sz="4" w:space="0" w:color="AAABD6"/>
              <w:left w:val="single" w:sz="4" w:space="0" w:color="AAABD6"/>
              <w:bottom w:val="dotted" w:sz="4" w:space="0" w:color="AAABD6"/>
              <w:right w:val="single" w:sz="4" w:space="0" w:color="AAABD6"/>
            </w:tcBorders>
            <w:vAlign w:val="bottom"/>
          </w:tcPr>
          <w:p w14:paraId="4685B706"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rPr>
              <w:t>-142,122</w:t>
            </w:r>
          </w:p>
        </w:tc>
        <w:tc>
          <w:tcPr>
            <w:tcW w:w="175" w:type="pct"/>
            <w:tcBorders>
              <w:top w:val="dotted" w:sz="4" w:space="0" w:color="AAABD6"/>
              <w:left w:val="single" w:sz="4" w:space="0" w:color="AAABD6"/>
              <w:bottom w:val="dotted" w:sz="4" w:space="0" w:color="AAABD6"/>
              <w:right w:val="single" w:sz="4" w:space="0" w:color="AAABD6"/>
            </w:tcBorders>
          </w:tcPr>
          <w:p w14:paraId="12CB3D92"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w:t>
            </w:r>
          </w:p>
        </w:tc>
        <w:tc>
          <w:tcPr>
            <w:tcW w:w="468" w:type="pct"/>
            <w:tcBorders>
              <w:top w:val="dotted" w:sz="4" w:space="0" w:color="AAABD6"/>
              <w:left w:val="single" w:sz="4" w:space="0" w:color="AAABD6"/>
              <w:bottom w:val="dotted" w:sz="4" w:space="0" w:color="AAABD6"/>
              <w:right w:val="single" w:sz="4" w:space="0" w:color="AAABD6"/>
            </w:tcBorders>
            <w:vAlign w:val="bottom"/>
          </w:tcPr>
          <w:p w14:paraId="1A05BC18"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rPr>
              <w:t>-146,164</w:t>
            </w:r>
          </w:p>
        </w:tc>
        <w:tc>
          <w:tcPr>
            <w:tcW w:w="175" w:type="pct"/>
            <w:tcBorders>
              <w:top w:val="dotted" w:sz="4" w:space="0" w:color="AAABD6"/>
              <w:left w:val="single" w:sz="4" w:space="0" w:color="AAABD6"/>
              <w:bottom w:val="dotted" w:sz="4" w:space="0" w:color="AAABD6"/>
              <w:right w:val="single" w:sz="4" w:space="0" w:color="AAABD6"/>
            </w:tcBorders>
          </w:tcPr>
          <w:p w14:paraId="6FE6C100"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5" w:type="pct"/>
            <w:tcBorders>
              <w:top w:val="dotted" w:sz="4" w:space="0" w:color="AAABD6"/>
              <w:left w:val="single" w:sz="4" w:space="0" w:color="AAABD6"/>
              <w:bottom w:val="dotted" w:sz="4" w:space="0" w:color="AAABD6"/>
              <w:right w:val="single" w:sz="4" w:space="0" w:color="AAABD6"/>
            </w:tcBorders>
          </w:tcPr>
          <w:p w14:paraId="690DA514" w14:textId="1864D908"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color w:val="000000" w:themeColor="text1"/>
              </w:rPr>
              <w:t>...</w:t>
            </w:r>
          </w:p>
        </w:tc>
        <w:tc>
          <w:tcPr>
            <w:tcW w:w="484" w:type="pct"/>
            <w:tcBorders>
              <w:top w:val="dotted" w:sz="4" w:space="0" w:color="AAABD6"/>
              <w:left w:val="single" w:sz="4" w:space="0" w:color="AAABD6"/>
              <w:bottom w:val="dotted" w:sz="4" w:space="0" w:color="AAABD6"/>
              <w:right w:val="single" w:sz="4" w:space="0" w:color="AAABD6"/>
            </w:tcBorders>
            <w:vAlign w:val="bottom"/>
          </w:tcPr>
          <w:p w14:paraId="4B82F197"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-185,510</w:t>
            </w:r>
          </w:p>
        </w:tc>
      </w:tr>
      <w:tr w:rsidR="00AD2F76" w:rsidRPr="00100F0A" w14:paraId="53AD1E98" w14:textId="77777777" w:rsidTr="00FD3200">
        <w:trPr>
          <w:gridAfter w:val="1"/>
          <w:wAfter w:w="7" w:type="pct"/>
        </w:trPr>
        <w:tc>
          <w:tcPr>
            <w:cnfStyle w:val="001000000000" w:firstRow="0" w:lastRow="0" w:firstColumn="1" w:lastColumn="0" w:oddVBand="0" w:evenVBand="0" w:oddHBand="0" w:evenHBand="0" w:firstRowFirstColumn="0" w:firstRowLastColumn="0" w:lastRowFirstColumn="0" w:lastRowLastColumn="0"/>
            <w:tcW w:w="509" w:type="pct"/>
            <w:vMerge w:val="restart"/>
            <w:tcBorders>
              <w:top w:val="single" w:sz="4" w:space="0" w:color="AAABD6"/>
              <w:left w:val="single" w:sz="4" w:space="0" w:color="AAABD6"/>
              <w:right w:val="single" w:sz="4" w:space="0" w:color="AAABD6"/>
            </w:tcBorders>
            <w:vAlign w:val="center"/>
          </w:tcPr>
          <w:p w14:paraId="02D42775" w14:textId="77777777" w:rsidR="00AD2F76" w:rsidRPr="00100F0A" w:rsidRDefault="00AD2F76" w:rsidP="008265C8">
            <w:r w:rsidRPr="00100F0A">
              <w:t>High</w:t>
            </w:r>
          </w:p>
        </w:tc>
        <w:tc>
          <w:tcPr>
            <w:tcW w:w="509" w:type="pct"/>
            <w:tcBorders>
              <w:top w:val="single" w:sz="4" w:space="0" w:color="AAABD6"/>
              <w:left w:val="single" w:sz="4" w:space="0" w:color="AAABD6"/>
              <w:bottom w:val="dotted" w:sz="4" w:space="0" w:color="AAABD6"/>
              <w:right w:val="single" w:sz="4" w:space="0" w:color="AAABD6"/>
            </w:tcBorders>
            <w:vAlign w:val="center"/>
          </w:tcPr>
          <w:p w14:paraId="1FFA60FD"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ACT</w:t>
            </w:r>
          </w:p>
        </w:tc>
        <w:tc>
          <w:tcPr>
            <w:tcW w:w="2031" w:type="pct"/>
            <w:vMerge w:val="restart"/>
            <w:tcBorders>
              <w:top w:val="single" w:sz="4" w:space="0" w:color="AAABD6"/>
              <w:left w:val="single" w:sz="4" w:space="0" w:color="AAABD6"/>
              <w:right w:val="single" w:sz="4" w:space="0" w:color="AAABD6"/>
            </w:tcBorders>
            <w:vAlign w:val="center"/>
          </w:tcPr>
          <w:p w14:paraId="63678734"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Contaminated proportion for each jurisdiction is the highest of the PSD (2017) proportion reported as unsuitable for use or the proportion sent to landfill, stockpile, other or unspecified. (This proportions remains constant.)</w:t>
            </w:r>
          </w:p>
          <w:p w14:paraId="15BAB6B3"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p>
          <w:p w14:paraId="36FFBE94"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(Biosolids contaminated with M270 assumed to be distinct, and are therefore counted separately.)</w:t>
            </w:r>
          </w:p>
        </w:tc>
        <w:tc>
          <w:tcPr>
            <w:tcW w:w="468" w:type="pct"/>
            <w:tcBorders>
              <w:top w:val="single" w:sz="4" w:space="0" w:color="AAABD6"/>
              <w:left w:val="single" w:sz="4" w:space="0" w:color="AAABD6"/>
              <w:bottom w:val="dotted" w:sz="4" w:space="0" w:color="AAABD6"/>
              <w:right w:val="single" w:sz="4" w:space="0" w:color="AAABD6"/>
            </w:tcBorders>
            <w:vAlign w:val="bottom"/>
          </w:tcPr>
          <w:p w14:paraId="0C3F0D89"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A6A6A6"/>
              </w:rPr>
              <w:t>0</w:t>
            </w:r>
          </w:p>
        </w:tc>
        <w:tc>
          <w:tcPr>
            <w:tcW w:w="175" w:type="pct"/>
            <w:tcBorders>
              <w:top w:val="single" w:sz="4" w:space="0" w:color="AAABD6"/>
              <w:left w:val="single" w:sz="4" w:space="0" w:color="AAABD6"/>
              <w:bottom w:val="dotted" w:sz="4" w:space="0" w:color="AAABD6"/>
              <w:right w:val="single" w:sz="4" w:space="0" w:color="AAABD6"/>
            </w:tcBorders>
          </w:tcPr>
          <w:p w14:paraId="69F6E51C"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w:t>
            </w:r>
          </w:p>
        </w:tc>
        <w:tc>
          <w:tcPr>
            <w:tcW w:w="468" w:type="pct"/>
            <w:tcBorders>
              <w:top w:val="single" w:sz="4" w:space="0" w:color="AAABD6"/>
              <w:left w:val="single" w:sz="4" w:space="0" w:color="AAABD6"/>
              <w:bottom w:val="dotted" w:sz="4" w:space="0" w:color="AAABD6"/>
              <w:right w:val="single" w:sz="4" w:space="0" w:color="AAABD6"/>
            </w:tcBorders>
            <w:vAlign w:val="bottom"/>
          </w:tcPr>
          <w:p w14:paraId="3FC040AF"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A6A6A6"/>
              </w:rPr>
              <w:t>0</w:t>
            </w:r>
          </w:p>
        </w:tc>
        <w:tc>
          <w:tcPr>
            <w:tcW w:w="175" w:type="pct"/>
            <w:tcBorders>
              <w:top w:val="single" w:sz="4" w:space="0" w:color="AAABD6"/>
              <w:left w:val="single" w:sz="4" w:space="0" w:color="AAABD6"/>
              <w:bottom w:val="dotted" w:sz="4" w:space="0" w:color="AAABD6"/>
              <w:right w:val="single" w:sz="4" w:space="0" w:color="AAABD6"/>
            </w:tcBorders>
          </w:tcPr>
          <w:p w14:paraId="11140CB2"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5" w:type="pct"/>
            <w:tcBorders>
              <w:top w:val="single" w:sz="4" w:space="0" w:color="AAABD6"/>
              <w:left w:val="single" w:sz="4" w:space="0" w:color="AAABD6"/>
              <w:bottom w:val="dotted" w:sz="4" w:space="0" w:color="AAABD6"/>
              <w:right w:val="single" w:sz="4" w:space="0" w:color="AAABD6"/>
            </w:tcBorders>
          </w:tcPr>
          <w:p w14:paraId="4D7E476D" w14:textId="02870694"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color w:val="000000" w:themeColor="text1"/>
              </w:rPr>
              <w:t>...</w:t>
            </w:r>
          </w:p>
        </w:tc>
        <w:tc>
          <w:tcPr>
            <w:tcW w:w="484" w:type="pct"/>
            <w:tcBorders>
              <w:top w:val="single" w:sz="4" w:space="0" w:color="AAABD6"/>
              <w:left w:val="single" w:sz="4" w:space="0" w:color="AAABD6"/>
              <w:bottom w:val="dotted" w:sz="4" w:space="0" w:color="AAABD6"/>
              <w:right w:val="single" w:sz="4" w:space="0" w:color="AAABD6"/>
            </w:tcBorders>
            <w:vAlign w:val="bottom"/>
          </w:tcPr>
          <w:p w14:paraId="0086EFE0"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A6A6A6"/>
              </w:rPr>
              <w:t>0</w:t>
            </w:r>
          </w:p>
        </w:tc>
      </w:tr>
      <w:tr w:rsidR="00AD2F76" w:rsidRPr="00100F0A" w14:paraId="3B4EA625" w14:textId="77777777" w:rsidTr="00FD3200">
        <w:trPr>
          <w:gridAfter w:val="1"/>
          <w:wAfter w:w="7" w:type="pct"/>
        </w:trPr>
        <w:tc>
          <w:tcPr>
            <w:cnfStyle w:val="001000000000" w:firstRow="0" w:lastRow="0" w:firstColumn="1" w:lastColumn="0" w:oddVBand="0" w:evenVBand="0" w:oddHBand="0" w:evenHBand="0" w:firstRowFirstColumn="0" w:firstRowLastColumn="0" w:lastRowFirstColumn="0" w:lastRowLastColumn="0"/>
            <w:tcW w:w="509" w:type="pct"/>
            <w:vMerge/>
            <w:tcBorders>
              <w:left w:val="single" w:sz="4" w:space="0" w:color="AAABD6"/>
              <w:right w:val="single" w:sz="4" w:space="0" w:color="AAABD6"/>
            </w:tcBorders>
          </w:tcPr>
          <w:p w14:paraId="337B8C3B" w14:textId="77777777" w:rsidR="00AD2F76" w:rsidRPr="00100F0A" w:rsidRDefault="00AD2F76" w:rsidP="008265C8"/>
        </w:tc>
        <w:tc>
          <w:tcPr>
            <w:tcW w:w="509" w:type="pct"/>
            <w:tcBorders>
              <w:top w:val="dotted" w:sz="4" w:space="0" w:color="AAABD6"/>
              <w:left w:val="single" w:sz="4" w:space="0" w:color="AAABD6"/>
              <w:bottom w:val="dotted" w:sz="4" w:space="0" w:color="AAABD6"/>
              <w:right w:val="single" w:sz="4" w:space="0" w:color="AAABD6"/>
            </w:tcBorders>
            <w:vAlign w:val="center"/>
          </w:tcPr>
          <w:p w14:paraId="25BF7EAA"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NSW</w:t>
            </w:r>
          </w:p>
        </w:tc>
        <w:tc>
          <w:tcPr>
            <w:tcW w:w="2031" w:type="pct"/>
            <w:vMerge/>
            <w:tcBorders>
              <w:left w:val="single" w:sz="4" w:space="0" w:color="AAABD6"/>
              <w:right w:val="single" w:sz="4" w:space="0" w:color="AAABD6"/>
            </w:tcBorders>
          </w:tcPr>
          <w:p w14:paraId="3E6B0152"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p>
        </w:tc>
        <w:tc>
          <w:tcPr>
            <w:tcW w:w="468" w:type="pct"/>
            <w:tcBorders>
              <w:top w:val="dotted" w:sz="4" w:space="0" w:color="AAABD6"/>
              <w:left w:val="single" w:sz="4" w:space="0" w:color="AAABD6"/>
              <w:bottom w:val="dotted" w:sz="4" w:space="0" w:color="AAABD6"/>
              <w:right w:val="single" w:sz="4" w:space="0" w:color="AAABD6"/>
            </w:tcBorders>
            <w:vAlign w:val="bottom"/>
          </w:tcPr>
          <w:p w14:paraId="2A1E7E28"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rPr>
              <w:t>-303,193</w:t>
            </w:r>
          </w:p>
        </w:tc>
        <w:tc>
          <w:tcPr>
            <w:tcW w:w="175" w:type="pct"/>
            <w:tcBorders>
              <w:top w:val="dotted" w:sz="4" w:space="0" w:color="AAABD6"/>
              <w:left w:val="single" w:sz="4" w:space="0" w:color="AAABD6"/>
              <w:bottom w:val="dotted" w:sz="4" w:space="0" w:color="AAABD6"/>
              <w:right w:val="single" w:sz="4" w:space="0" w:color="AAABD6"/>
            </w:tcBorders>
          </w:tcPr>
          <w:p w14:paraId="6EDA966D"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w:t>
            </w:r>
          </w:p>
        </w:tc>
        <w:tc>
          <w:tcPr>
            <w:tcW w:w="468" w:type="pct"/>
            <w:tcBorders>
              <w:top w:val="dotted" w:sz="4" w:space="0" w:color="AAABD6"/>
              <w:left w:val="single" w:sz="4" w:space="0" w:color="AAABD6"/>
              <w:bottom w:val="dotted" w:sz="4" w:space="0" w:color="AAABD6"/>
              <w:right w:val="single" w:sz="4" w:space="0" w:color="AAABD6"/>
            </w:tcBorders>
            <w:vAlign w:val="bottom"/>
          </w:tcPr>
          <w:p w14:paraId="52C9C1E4"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rPr>
              <w:t>-311,816</w:t>
            </w:r>
          </w:p>
        </w:tc>
        <w:tc>
          <w:tcPr>
            <w:tcW w:w="175" w:type="pct"/>
            <w:tcBorders>
              <w:top w:val="dotted" w:sz="4" w:space="0" w:color="AAABD6"/>
              <w:left w:val="single" w:sz="4" w:space="0" w:color="AAABD6"/>
              <w:bottom w:val="dotted" w:sz="4" w:space="0" w:color="AAABD6"/>
              <w:right w:val="single" w:sz="4" w:space="0" w:color="AAABD6"/>
            </w:tcBorders>
          </w:tcPr>
          <w:p w14:paraId="7DBD5145"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5" w:type="pct"/>
            <w:tcBorders>
              <w:top w:val="dotted" w:sz="4" w:space="0" w:color="AAABD6"/>
              <w:left w:val="single" w:sz="4" w:space="0" w:color="AAABD6"/>
              <w:bottom w:val="dotted" w:sz="4" w:space="0" w:color="AAABD6"/>
              <w:right w:val="single" w:sz="4" w:space="0" w:color="AAABD6"/>
            </w:tcBorders>
          </w:tcPr>
          <w:p w14:paraId="2120300E" w14:textId="4937D398"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color w:val="000000" w:themeColor="text1"/>
              </w:rPr>
              <w:t>...</w:t>
            </w:r>
          </w:p>
        </w:tc>
        <w:tc>
          <w:tcPr>
            <w:tcW w:w="484" w:type="pct"/>
            <w:tcBorders>
              <w:top w:val="dotted" w:sz="4" w:space="0" w:color="AAABD6"/>
              <w:left w:val="single" w:sz="4" w:space="0" w:color="AAABD6"/>
              <w:bottom w:val="dotted" w:sz="4" w:space="0" w:color="AAABD6"/>
              <w:right w:val="single" w:sz="4" w:space="0" w:color="AAABD6"/>
            </w:tcBorders>
            <w:vAlign w:val="bottom"/>
          </w:tcPr>
          <w:p w14:paraId="6AE055F6"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-395,754</w:t>
            </w:r>
          </w:p>
        </w:tc>
      </w:tr>
      <w:tr w:rsidR="00AD2F76" w:rsidRPr="00100F0A" w14:paraId="72F494C7" w14:textId="77777777" w:rsidTr="00FD3200">
        <w:trPr>
          <w:gridAfter w:val="1"/>
          <w:wAfter w:w="7" w:type="pct"/>
        </w:trPr>
        <w:tc>
          <w:tcPr>
            <w:cnfStyle w:val="001000000000" w:firstRow="0" w:lastRow="0" w:firstColumn="1" w:lastColumn="0" w:oddVBand="0" w:evenVBand="0" w:oddHBand="0" w:evenHBand="0" w:firstRowFirstColumn="0" w:firstRowLastColumn="0" w:lastRowFirstColumn="0" w:lastRowLastColumn="0"/>
            <w:tcW w:w="509" w:type="pct"/>
            <w:vMerge/>
            <w:tcBorders>
              <w:left w:val="single" w:sz="4" w:space="0" w:color="AAABD6"/>
              <w:right w:val="single" w:sz="4" w:space="0" w:color="AAABD6"/>
            </w:tcBorders>
          </w:tcPr>
          <w:p w14:paraId="5348A2F2" w14:textId="77777777" w:rsidR="00AD2F76" w:rsidRPr="00100F0A" w:rsidRDefault="00AD2F76" w:rsidP="008265C8"/>
        </w:tc>
        <w:tc>
          <w:tcPr>
            <w:tcW w:w="509" w:type="pct"/>
            <w:tcBorders>
              <w:top w:val="dotted" w:sz="4" w:space="0" w:color="AAABD6"/>
              <w:left w:val="single" w:sz="4" w:space="0" w:color="AAABD6"/>
              <w:bottom w:val="dotted" w:sz="4" w:space="0" w:color="AAABD6"/>
              <w:right w:val="single" w:sz="4" w:space="0" w:color="AAABD6"/>
            </w:tcBorders>
            <w:vAlign w:val="center"/>
          </w:tcPr>
          <w:p w14:paraId="249FFF06"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NT</w:t>
            </w:r>
          </w:p>
        </w:tc>
        <w:tc>
          <w:tcPr>
            <w:tcW w:w="2031" w:type="pct"/>
            <w:vMerge/>
            <w:tcBorders>
              <w:left w:val="single" w:sz="4" w:space="0" w:color="AAABD6"/>
              <w:right w:val="single" w:sz="4" w:space="0" w:color="AAABD6"/>
            </w:tcBorders>
          </w:tcPr>
          <w:p w14:paraId="29074C3E"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p>
        </w:tc>
        <w:tc>
          <w:tcPr>
            <w:tcW w:w="468" w:type="pct"/>
            <w:tcBorders>
              <w:top w:val="dotted" w:sz="4" w:space="0" w:color="AAABD6"/>
              <w:left w:val="single" w:sz="4" w:space="0" w:color="AAABD6"/>
              <w:bottom w:val="dotted" w:sz="4" w:space="0" w:color="AAABD6"/>
              <w:right w:val="single" w:sz="4" w:space="0" w:color="AAABD6"/>
            </w:tcBorders>
            <w:vAlign w:val="bottom"/>
          </w:tcPr>
          <w:p w14:paraId="1804AFCE"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rPr>
              <w:t>-22,739</w:t>
            </w:r>
          </w:p>
        </w:tc>
        <w:tc>
          <w:tcPr>
            <w:tcW w:w="175" w:type="pct"/>
            <w:tcBorders>
              <w:top w:val="dotted" w:sz="4" w:space="0" w:color="AAABD6"/>
              <w:left w:val="single" w:sz="4" w:space="0" w:color="AAABD6"/>
              <w:bottom w:val="dotted" w:sz="4" w:space="0" w:color="AAABD6"/>
              <w:right w:val="single" w:sz="4" w:space="0" w:color="AAABD6"/>
            </w:tcBorders>
          </w:tcPr>
          <w:p w14:paraId="06D93E0B"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w:t>
            </w:r>
          </w:p>
        </w:tc>
        <w:tc>
          <w:tcPr>
            <w:tcW w:w="468" w:type="pct"/>
            <w:tcBorders>
              <w:top w:val="dotted" w:sz="4" w:space="0" w:color="AAABD6"/>
              <w:left w:val="single" w:sz="4" w:space="0" w:color="AAABD6"/>
              <w:bottom w:val="dotted" w:sz="4" w:space="0" w:color="AAABD6"/>
              <w:right w:val="single" w:sz="4" w:space="0" w:color="AAABD6"/>
            </w:tcBorders>
            <w:vAlign w:val="bottom"/>
          </w:tcPr>
          <w:p w14:paraId="572DD50E"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rPr>
              <w:t>-23,386</w:t>
            </w:r>
          </w:p>
        </w:tc>
        <w:tc>
          <w:tcPr>
            <w:tcW w:w="175" w:type="pct"/>
            <w:tcBorders>
              <w:top w:val="dotted" w:sz="4" w:space="0" w:color="AAABD6"/>
              <w:left w:val="single" w:sz="4" w:space="0" w:color="AAABD6"/>
              <w:bottom w:val="dotted" w:sz="4" w:space="0" w:color="AAABD6"/>
              <w:right w:val="single" w:sz="4" w:space="0" w:color="AAABD6"/>
            </w:tcBorders>
          </w:tcPr>
          <w:p w14:paraId="57AB1447"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5" w:type="pct"/>
            <w:tcBorders>
              <w:top w:val="dotted" w:sz="4" w:space="0" w:color="AAABD6"/>
              <w:left w:val="single" w:sz="4" w:space="0" w:color="AAABD6"/>
              <w:bottom w:val="dotted" w:sz="4" w:space="0" w:color="AAABD6"/>
              <w:right w:val="single" w:sz="4" w:space="0" w:color="AAABD6"/>
            </w:tcBorders>
          </w:tcPr>
          <w:p w14:paraId="1453689C" w14:textId="62E3C936"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color w:val="000000" w:themeColor="text1"/>
              </w:rPr>
              <w:t>...</w:t>
            </w:r>
          </w:p>
        </w:tc>
        <w:tc>
          <w:tcPr>
            <w:tcW w:w="484" w:type="pct"/>
            <w:tcBorders>
              <w:top w:val="dotted" w:sz="4" w:space="0" w:color="AAABD6"/>
              <w:left w:val="single" w:sz="4" w:space="0" w:color="AAABD6"/>
              <w:bottom w:val="dotted" w:sz="4" w:space="0" w:color="AAABD6"/>
              <w:right w:val="single" w:sz="4" w:space="0" w:color="AAABD6"/>
            </w:tcBorders>
            <w:vAlign w:val="bottom"/>
          </w:tcPr>
          <w:p w14:paraId="5EE0D913"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-29,682</w:t>
            </w:r>
          </w:p>
        </w:tc>
      </w:tr>
      <w:tr w:rsidR="00AD2F76" w:rsidRPr="00100F0A" w14:paraId="512C672C" w14:textId="77777777" w:rsidTr="00FD3200">
        <w:trPr>
          <w:gridAfter w:val="1"/>
          <w:wAfter w:w="7" w:type="pct"/>
        </w:trPr>
        <w:tc>
          <w:tcPr>
            <w:cnfStyle w:val="001000000000" w:firstRow="0" w:lastRow="0" w:firstColumn="1" w:lastColumn="0" w:oddVBand="0" w:evenVBand="0" w:oddHBand="0" w:evenHBand="0" w:firstRowFirstColumn="0" w:firstRowLastColumn="0" w:lastRowFirstColumn="0" w:lastRowLastColumn="0"/>
            <w:tcW w:w="509" w:type="pct"/>
            <w:vMerge/>
            <w:tcBorders>
              <w:left w:val="single" w:sz="4" w:space="0" w:color="AAABD6"/>
              <w:right w:val="single" w:sz="4" w:space="0" w:color="AAABD6"/>
            </w:tcBorders>
          </w:tcPr>
          <w:p w14:paraId="2BFC7F32" w14:textId="77777777" w:rsidR="00AD2F76" w:rsidRPr="00100F0A" w:rsidRDefault="00AD2F76" w:rsidP="008265C8"/>
        </w:tc>
        <w:tc>
          <w:tcPr>
            <w:tcW w:w="509" w:type="pct"/>
            <w:tcBorders>
              <w:top w:val="dotted" w:sz="4" w:space="0" w:color="AAABD6"/>
              <w:left w:val="single" w:sz="4" w:space="0" w:color="AAABD6"/>
              <w:bottom w:val="dotted" w:sz="4" w:space="0" w:color="AAABD6"/>
              <w:right w:val="single" w:sz="4" w:space="0" w:color="AAABD6"/>
            </w:tcBorders>
            <w:vAlign w:val="center"/>
          </w:tcPr>
          <w:p w14:paraId="10A86008"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Qld</w:t>
            </w:r>
          </w:p>
        </w:tc>
        <w:tc>
          <w:tcPr>
            <w:tcW w:w="2031" w:type="pct"/>
            <w:vMerge/>
            <w:tcBorders>
              <w:left w:val="single" w:sz="4" w:space="0" w:color="AAABD6"/>
              <w:right w:val="single" w:sz="4" w:space="0" w:color="AAABD6"/>
            </w:tcBorders>
          </w:tcPr>
          <w:p w14:paraId="2678D598"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p>
        </w:tc>
        <w:tc>
          <w:tcPr>
            <w:tcW w:w="468" w:type="pct"/>
            <w:tcBorders>
              <w:top w:val="dotted" w:sz="4" w:space="0" w:color="AAABD6"/>
              <w:left w:val="single" w:sz="4" w:space="0" w:color="AAABD6"/>
              <w:bottom w:val="dotted" w:sz="4" w:space="0" w:color="AAABD6"/>
              <w:right w:val="single" w:sz="4" w:space="0" w:color="AAABD6"/>
            </w:tcBorders>
            <w:vAlign w:val="bottom"/>
          </w:tcPr>
          <w:p w14:paraId="04A6F506"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rPr>
              <w:t>-326,564</w:t>
            </w:r>
          </w:p>
        </w:tc>
        <w:tc>
          <w:tcPr>
            <w:tcW w:w="175" w:type="pct"/>
            <w:tcBorders>
              <w:top w:val="dotted" w:sz="4" w:space="0" w:color="AAABD6"/>
              <w:left w:val="single" w:sz="4" w:space="0" w:color="AAABD6"/>
              <w:bottom w:val="dotted" w:sz="4" w:space="0" w:color="AAABD6"/>
              <w:right w:val="single" w:sz="4" w:space="0" w:color="AAABD6"/>
            </w:tcBorders>
          </w:tcPr>
          <w:p w14:paraId="1412A1A0"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w:t>
            </w:r>
          </w:p>
        </w:tc>
        <w:tc>
          <w:tcPr>
            <w:tcW w:w="468" w:type="pct"/>
            <w:tcBorders>
              <w:top w:val="dotted" w:sz="4" w:space="0" w:color="AAABD6"/>
              <w:left w:val="single" w:sz="4" w:space="0" w:color="AAABD6"/>
              <w:bottom w:val="dotted" w:sz="4" w:space="0" w:color="AAABD6"/>
              <w:right w:val="single" w:sz="4" w:space="0" w:color="AAABD6"/>
            </w:tcBorders>
            <w:vAlign w:val="bottom"/>
          </w:tcPr>
          <w:p w14:paraId="29CF44AD"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rPr>
              <w:t>-335,852</w:t>
            </w:r>
          </w:p>
        </w:tc>
        <w:tc>
          <w:tcPr>
            <w:tcW w:w="175" w:type="pct"/>
            <w:tcBorders>
              <w:top w:val="dotted" w:sz="4" w:space="0" w:color="AAABD6"/>
              <w:left w:val="single" w:sz="4" w:space="0" w:color="AAABD6"/>
              <w:bottom w:val="dotted" w:sz="4" w:space="0" w:color="AAABD6"/>
              <w:right w:val="single" w:sz="4" w:space="0" w:color="AAABD6"/>
            </w:tcBorders>
          </w:tcPr>
          <w:p w14:paraId="7EC81038"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5" w:type="pct"/>
            <w:tcBorders>
              <w:top w:val="dotted" w:sz="4" w:space="0" w:color="AAABD6"/>
              <w:left w:val="single" w:sz="4" w:space="0" w:color="AAABD6"/>
              <w:bottom w:val="dotted" w:sz="4" w:space="0" w:color="AAABD6"/>
              <w:right w:val="single" w:sz="4" w:space="0" w:color="AAABD6"/>
            </w:tcBorders>
          </w:tcPr>
          <w:p w14:paraId="0F8A7A9D" w14:textId="5935C4B4"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color w:val="000000" w:themeColor="text1"/>
              </w:rPr>
              <w:t>...</w:t>
            </w:r>
          </w:p>
        </w:tc>
        <w:tc>
          <w:tcPr>
            <w:tcW w:w="484" w:type="pct"/>
            <w:tcBorders>
              <w:top w:val="dotted" w:sz="4" w:space="0" w:color="AAABD6"/>
              <w:left w:val="single" w:sz="4" w:space="0" w:color="AAABD6"/>
              <w:bottom w:val="dotted" w:sz="4" w:space="0" w:color="AAABD6"/>
              <w:right w:val="single" w:sz="4" w:space="0" w:color="AAABD6"/>
            </w:tcBorders>
            <w:vAlign w:val="bottom"/>
          </w:tcPr>
          <w:p w14:paraId="4E8EA3BD"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-426,260</w:t>
            </w:r>
          </w:p>
        </w:tc>
      </w:tr>
      <w:tr w:rsidR="00AD2F76" w:rsidRPr="00100F0A" w14:paraId="6F710D78" w14:textId="77777777" w:rsidTr="00FD3200">
        <w:trPr>
          <w:gridAfter w:val="1"/>
          <w:wAfter w:w="7" w:type="pct"/>
        </w:trPr>
        <w:tc>
          <w:tcPr>
            <w:cnfStyle w:val="001000000000" w:firstRow="0" w:lastRow="0" w:firstColumn="1" w:lastColumn="0" w:oddVBand="0" w:evenVBand="0" w:oddHBand="0" w:evenHBand="0" w:firstRowFirstColumn="0" w:firstRowLastColumn="0" w:lastRowFirstColumn="0" w:lastRowLastColumn="0"/>
            <w:tcW w:w="509" w:type="pct"/>
            <w:vMerge/>
            <w:tcBorders>
              <w:left w:val="single" w:sz="4" w:space="0" w:color="AAABD6"/>
              <w:right w:val="single" w:sz="4" w:space="0" w:color="AAABD6"/>
            </w:tcBorders>
          </w:tcPr>
          <w:p w14:paraId="2F7ED0D6" w14:textId="77777777" w:rsidR="00AD2F76" w:rsidRPr="00100F0A" w:rsidRDefault="00AD2F76" w:rsidP="008265C8"/>
        </w:tc>
        <w:tc>
          <w:tcPr>
            <w:tcW w:w="509" w:type="pct"/>
            <w:tcBorders>
              <w:top w:val="dotted" w:sz="4" w:space="0" w:color="AAABD6"/>
              <w:left w:val="single" w:sz="4" w:space="0" w:color="AAABD6"/>
              <w:bottom w:val="dotted" w:sz="4" w:space="0" w:color="AAABD6"/>
              <w:right w:val="single" w:sz="4" w:space="0" w:color="AAABD6"/>
            </w:tcBorders>
            <w:vAlign w:val="center"/>
          </w:tcPr>
          <w:p w14:paraId="2F1E7105"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SA</w:t>
            </w:r>
          </w:p>
        </w:tc>
        <w:tc>
          <w:tcPr>
            <w:tcW w:w="2031" w:type="pct"/>
            <w:vMerge/>
            <w:tcBorders>
              <w:left w:val="single" w:sz="4" w:space="0" w:color="AAABD6"/>
              <w:right w:val="single" w:sz="4" w:space="0" w:color="AAABD6"/>
            </w:tcBorders>
          </w:tcPr>
          <w:p w14:paraId="3DE28709"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p>
        </w:tc>
        <w:tc>
          <w:tcPr>
            <w:tcW w:w="468" w:type="pct"/>
            <w:tcBorders>
              <w:top w:val="dotted" w:sz="4" w:space="0" w:color="AAABD6"/>
              <w:left w:val="single" w:sz="4" w:space="0" w:color="AAABD6"/>
              <w:bottom w:val="dotted" w:sz="4" w:space="0" w:color="AAABD6"/>
              <w:right w:val="single" w:sz="4" w:space="0" w:color="AAABD6"/>
            </w:tcBorders>
            <w:vAlign w:val="bottom"/>
          </w:tcPr>
          <w:p w14:paraId="36634348"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rPr>
              <w:t>-126,331</w:t>
            </w:r>
          </w:p>
        </w:tc>
        <w:tc>
          <w:tcPr>
            <w:tcW w:w="175" w:type="pct"/>
            <w:tcBorders>
              <w:top w:val="dotted" w:sz="4" w:space="0" w:color="AAABD6"/>
              <w:left w:val="single" w:sz="4" w:space="0" w:color="AAABD6"/>
              <w:bottom w:val="dotted" w:sz="4" w:space="0" w:color="AAABD6"/>
              <w:right w:val="single" w:sz="4" w:space="0" w:color="AAABD6"/>
            </w:tcBorders>
          </w:tcPr>
          <w:p w14:paraId="1918E0EC"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w:t>
            </w:r>
          </w:p>
        </w:tc>
        <w:tc>
          <w:tcPr>
            <w:tcW w:w="468" w:type="pct"/>
            <w:tcBorders>
              <w:top w:val="dotted" w:sz="4" w:space="0" w:color="AAABD6"/>
              <w:left w:val="single" w:sz="4" w:space="0" w:color="AAABD6"/>
              <w:bottom w:val="dotted" w:sz="4" w:space="0" w:color="AAABD6"/>
              <w:right w:val="single" w:sz="4" w:space="0" w:color="AAABD6"/>
            </w:tcBorders>
            <w:vAlign w:val="bottom"/>
          </w:tcPr>
          <w:p w14:paraId="6A798750"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rPr>
              <w:t>-129,924</w:t>
            </w:r>
          </w:p>
        </w:tc>
        <w:tc>
          <w:tcPr>
            <w:tcW w:w="175" w:type="pct"/>
            <w:tcBorders>
              <w:top w:val="dotted" w:sz="4" w:space="0" w:color="AAABD6"/>
              <w:left w:val="single" w:sz="4" w:space="0" w:color="AAABD6"/>
              <w:bottom w:val="dotted" w:sz="4" w:space="0" w:color="AAABD6"/>
              <w:right w:val="single" w:sz="4" w:space="0" w:color="AAABD6"/>
            </w:tcBorders>
          </w:tcPr>
          <w:p w14:paraId="4B3F6C3A"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5" w:type="pct"/>
            <w:tcBorders>
              <w:top w:val="dotted" w:sz="4" w:space="0" w:color="AAABD6"/>
              <w:left w:val="single" w:sz="4" w:space="0" w:color="AAABD6"/>
              <w:bottom w:val="dotted" w:sz="4" w:space="0" w:color="AAABD6"/>
              <w:right w:val="single" w:sz="4" w:space="0" w:color="AAABD6"/>
            </w:tcBorders>
          </w:tcPr>
          <w:p w14:paraId="5348F023" w14:textId="5C232496"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color w:val="000000" w:themeColor="text1"/>
              </w:rPr>
              <w:t>...</w:t>
            </w:r>
          </w:p>
        </w:tc>
        <w:tc>
          <w:tcPr>
            <w:tcW w:w="484" w:type="pct"/>
            <w:tcBorders>
              <w:top w:val="dotted" w:sz="4" w:space="0" w:color="AAABD6"/>
              <w:left w:val="single" w:sz="4" w:space="0" w:color="AAABD6"/>
              <w:bottom w:val="dotted" w:sz="4" w:space="0" w:color="AAABD6"/>
              <w:right w:val="single" w:sz="4" w:space="0" w:color="AAABD6"/>
            </w:tcBorders>
            <w:vAlign w:val="bottom"/>
          </w:tcPr>
          <w:p w14:paraId="30315405"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-164,898</w:t>
            </w:r>
          </w:p>
        </w:tc>
      </w:tr>
      <w:tr w:rsidR="00AD2F76" w:rsidRPr="00100F0A" w14:paraId="097C1A1C" w14:textId="77777777" w:rsidTr="00FD3200">
        <w:trPr>
          <w:gridAfter w:val="1"/>
          <w:wAfter w:w="7" w:type="pct"/>
        </w:trPr>
        <w:tc>
          <w:tcPr>
            <w:cnfStyle w:val="001000000000" w:firstRow="0" w:lastRow="0" w:firstColumn="1" w:lastColumn="0" w:oddVBand="0" w:evenVBand="0" w:oddHBand="0" w:evenHBand="0" w:firstRowFirstColumn="0" w:firstRowLastColumn="0" w:lastRowFirstColumn="0" w:lastRowLastColumn="0"/>
            <w:tcW w:w="509" w:type="pct"/>
            <w:vMerge/>
            <w:tcBorders>
              <w:left w:val="single" w:sz="4" w:space="0" w:color="AAABD6"/>
              <w:right w:val="single" w:sz="4" w:space="0" w:color="AAABD6"/>
            </w:tcBorders>
          </w:tcPr>
          <w:p w14:paraId="5F1EA3A3" w14:textId="77777777" w:rsidR="00AD2F76" w:rsidRPr="00100F0A" w:rsidRDefault="00AD2F76" w:rsidP="008265C8"/>
        </w:tc>
        <w:tc>
          <w:tcPr>
            <w:tcW w:w="509" w:type="pct"/>
            <w:tcBorders>
              <w:top w:val="dotted" w:sz="4" w:space="0" w:color="AAABD6"/>
              <w:left w:val="single" w:sz="4" w:space="0" w:color="AAABD6"/>
              <w:bottom w:val="dotted" w:sz="4" w:space="0" w:color="AAABD6"/>
              <w:right w:val="single" w:sz="4" w:space="0" w:color="AAABD6"/>
            </w:tcBorders>
            <w:vAlign w:val="center"/>
          </w:tcPr>
          <w:p w14:paraId="3578858C"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Tas</w:t>
            </w:r>
          </w:p>
        </w:tc>
        <w:tc>
          <w:tcPr>
            <w:tcW w:w="2031" w:type="pct"/>
            <w:vMerge/>
            <w:tcBorders>
              <w:left w:val="single" w:sz="4" w:space="0" w:color="AAABD6"/>
              <w:right w:val="single" w:sz="4" w:space="0" w:color="AAABD6"/>
            </w:tcBorders>
          </w:tcPr>
          <w:p w14:paraId="6BA823D3"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p>
        </w:tc>
        <w:tc>
          <w:tcPr>
            <w:tcW w:w="468" w:type="pct"/>
            <w:tcBorders>
              <w:top w:val="dotted" w:sz="4" w:space="0" w:color="AAABD6"/>
              <w:left w:val="single" w:sz="4" w:space="0" w:color="AAABD6"/>
              <w:bottom w:val="dotted" w:sz="4" w:space="0" w:color="AAABD6"/>
              <w:right w:val="single" w:sz="4" w:space="0" w:color="AAABD6"/>
            </w:tcBorders>
            <w:vAlign w:val="bottom"/>
          </w:tcPr>
          <w:p w14:paraId="2C7338EF"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rPr>
              <w:t>-31,583</w:t>
            </w:r>
          </w:p>
        </w:tc>
        <w:tc>
          <w:tcPr>
            <w:tcW w:w="175" w:type="pct"/>
            <w:tcBorders>
              <w:top w:val="dotted" w:sz="4" w:space="0" w:color="AAABD6"/>
              <w:left w:val="single" w:sz="4" w:space="0" w:color="AAABD6"/>
              <w:bottom w:val="dotted" w:sz="4" w:space="0" w:color="AAABD6"/>
              <w:right w:val="single" w:sz="4" w:space="0" w:color="AAABD6"/>
            </w:tcBorders>
          </w:tcPr>
          <w:p w14:paraId="5B5BF639"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w:t>
            </w:r>
          </w:p>
        </w:tc>
        <w:tc>
          <w:tcPr>
            <w:tcW w:w="468" w:type="pct"/>
            <w:tcBorders>
              <w:top w:val="dotted" w:sz="4" w:space="0" w:color="AAABD6"/>
              <w:left w:val="single" w:sz="4" w:space="0" w:color="AAABD6"/>
              <w:bottom w:val="dotted" w:sz="4" w:space="0" w:color="AAABD6"/>
              <w:right w:val="single" w:sz="4" w:space="0" w:color="AAABD6"/>
            </w:tcBorders>
            <w:vAlign w:val="bottom"/>
          </w:tcPr>
          <w:p w14:paraId="7201DAE5"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rPr>
              <w:t>-32,481</w:t>
            </w:r>
          </w:p>
        </w:tc>
        <w:tc>
          <w:tcPr>
            <w:tcW w:w="175" w:type="pct"/>
            <w:tcBorders>
              <w:top w:val="dotted" w:sz="4" w:space="0" w:color="AAABD6"/>
              <w:left w:val="single" w:sz="4" w:space="0" w:color="AAABD6"/>
              <w:bottom w:val="dotted" w:sz="4" w:space="0" w:color="AAABD6"/>
              <w:right w:val="single" w:sz="4" w:space="0" w:color="AAABD6"/>
            </w:tcBorders>
          </w:tcPr>
          <w:p w14:paraId="215CBAEE"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5" w:type="pct"/>
            <w:tcBorders>
              <w:top w:val="dotted" w:sz="4" w:space="0" w:color="AAABD6"/>
              <w:left w:val="single" w:sz="4" w:space="0" w:color="AAABD6"/>
              <w:bottom w:val="dotted" w:sz="4" w:space="0" w:color="AAABD6"/>
              <w:right w:val="single" w:sz="4" w:space="0" w:color="AAABD6"/>
            </w:tcBorders>
          </w:tcPr>
          <w:p w14:paraId="4C377C80" w14:textId="5B27CFD3"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color w:val="000000" w:themeColor="text1"/>
              </w:rPr>
              <w:t>...</w:t>
            </w:r>
          </w:p>
        </w:tc>
        <w:tc>
          <w:tcPr>
            <w:tcW w:w="484" w:type="pct"/>
            <w:tcBorders>
              <w:top w:val="dotted" w:sz="4" w:space="0" w:color="AAABD6"/>
              <w:left w:val="single" w:sz="4" w:space="0" w:color="AAABD6"/>
              <w:bottom w:val="dotted" w:sz="4" w:space="0" w:color="AAABD6"/>
              <w:right w:val="single" w:sz="4" w:space="0" w:color="AAABD6"/>
            </w:tcBorders>
            <w:vAlign w:val="bottom"/>
          </w:tcPr>
          <w:p w14:paraId="07B01757"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-41,224</w:t>
            </w:r>
          </w:p>
        </w:tc>
      </w:tr>
      <w:tr w:rsidR="00AD2F76" w:rsidRPr="00100F0A" w14:paraId="0BD81FC5" w14:textId="77777777" w:rsidTr="00FD3200">
        <w:trPr>
          <w:gridAfter w:val="1"/>
          <w:wAfter w:w="7" w:type="pct"/>
        </w:trPr>
        <w:tc>
          <w:tcPr>
            <w:cnfStyle w:val="001000000000" w:firstRow="0" w:lastRow="0" w:firstColumn="1" w:lastColumn="0" w:oddVBand="0" w:evenVBand="0" w:oddHBand="0" w:evenHBand="0" w:firstRowFirstColumn="0" w:firstRowLastColumn="0" w:lastRowFirstColumn="0" w:lastRowLastColumn="0"/>
            <w:tcW w:w="509" w:type="pct"/>
            <w:vMerge/>
            <w:tcBorders>
              <w:left w:val="single" w:sz="4" w:space="0" w:color="AAABD6"/>
              <w:right w:val="single" w:sz="4" w:space="0" w:color="AAABD6"/>
            </w:tcBorders>
          </w:tcPr>
          <w:p w14:paraId="79024BCE" w14:textId="77777777" w:rsidR="00AD2F76" w:rsidRPr="00100F0A" w:rsidRDefault="00AD2F76" w:rsidP="008265C8"/>
        </w:tc>
        <w:tc>
          <w:tcPr>
            <w:tcW w:w="509" w:type="pct"/>
            <w:tcBorders>
              <w:top w:val="dotted" w:sz="4" w:space="0" w:color="AAABD6"/>
              <w:left w:val="single" w:sz="4" w:space="0" w:color="AAABD6"/>
              <w:bottom w:val="dotted" w:sz="4" w:space="0" w:color="AAABD6"/>
              <w:right w:val="single" w:sz="4" w:space="0" w:color="AAABD6"/>
            </w:tcBorders>
            <w:vAlign w:val="center"/>
          </w:tcPr>
          <w:p w14:paraId="68232168"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Vic</w:t>
            </w:r>
          </w:p>
        </w:tc>
        <w:tc>
          <w:tcPr>
            <w:tcW w:w="2031" w:type="pct"/>
            <w:vMerge/>
            <w:tcBorders>
              <w:left w:val="single" w:sz="4" w:space="0" w:color="AAABD6"/>
              <w:right w:val="single" w:sz="4" w:space="0" w:color="AAABD6"/>
            </w:tcBorders>
          </w:tcPr>
          <w:p w14:paraId="26C5917D"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p>
        </w:tc>
        <w:tc>
          <w:tcPr>
            <w:tcW w:w="468" w:type="pct"/>
            <w:tcBorders>
              <w:top w:val="dotted" w:sz="4" w:space="0" w:color="AAABD6"/>
              <w:left w:val="single" w:sz="4" w:space="0" w:color="AAABD6"/>
              <w:bottom w:val="dotted" w:sz="4" w:space="0" w:color="AAABD6"/>
              <w:right w:val="single" w:sz="4" w:space="0" w:color="AAABD6"/>
            </w:tcBorders>
            <w:vAlign w:val="bottom"/>
          </w:tcPr>
          <w:p w14:paraId="046B21CF"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rPr>
              <w:t>-484,635</w:t>
            </w:r>
          </w:p>
        </w:tc>
        <w:tc>
          <w:tcPr>
            <w:tcW w:w="175" w:type="pct"/>
            <w:tcBorders>
              <w:top w:val="dotted" w:sz="4" w:space="0" w:color="AAABD6"/>
              <w:left w:val="single" w:sz="4" w:space="0" w:color="AAABD6"/>
              <w:bottom w:val="dotted" w:sz="4" w:space="0" w:color="AAABD6"/>
              <w:right w:val="single" w:sz="4" w:space="0" w:color="AAABD6"/>
            </w:tcBorders>
          </w:tcPr>
          <w:p w14:paraId="1CFCBAEC"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w:t>
            </w:r>
          </w:p>
        </w:tc>
        <w:tc>
          <w:tcPr>
            <w:tcW w:w="468" w:type="pct"/>
            <w:tcBorders>
              <w:top w:val="dotted" w:sz="4" w:space="0" w:color="AAABD6"/>
              <w:left w:val="single" w:sz="4" w:space="0" w:color="AAABD6"/>
              <w:bottom w:val="dotted" w:sz="4" w:space="0" w:color="AAABD6"/>
              <w:right w:val="single" w:sz="4" w:space="0" w:color="AAABD6"/>
            </w:tcBorders>
            <w:vAlign w:val="bottom"/>
          </w:tcPr>
          <w:p w14:paraId="269BB678"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rPr>
              <w:t>-498,419</w:t>
            </w:r>
          </w:p>
        </w:tc>
        <w:tc>
          <w:tcPr>
            <w:tcW w:w="175" w:type="pct"/>
            <w:tcBorders>
              <w:top w:val="dotted" w:sz="4" w:space="0" w:color="AAABD6"/>
              <w:left w:val="single" w:sz="4" w:space="0" w:color="AAABD6"/>
              <w:bottom w:val="dotted" w:sz="4" w:space="0" w:color="AAABD6"/>
              <w:right w:val="single" w:sz="4" w:space="0" w:color="AAABD6"/>
            </w:tcBorders>
          </w:tcPr>
          <w:p w14:paraId="17DE6E48"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5" w:type="pct"/>
            <w:tcBorders>
              <w:top w:val="dotted" w:sz="4" w:space="0" w:color="AAABD6"/>
              <w:left w:val="single" w:sz="4" w:space="0" w:color="AAABD6"/>
              <w:bottom w:val="dotted" w:sz="4" w:space="0" w:color="AAABD6"/>
              <w:right w:val="single" w:sz="4" w:space="0" w:color="AAABD6"/>
            </w:tcBorders>
          </w:tcPr>
          <w:p w14:paraId="3EB3DF0D" w14:textId="7D7BF7CD"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color w:val="000000" w:themeColor="text1"/>
              </w:rPr>
              <w:t>...</w:t>
            </w:r>
          </w:p>
        </w:tc>
        <w:tc>
          <w:tcPr>
            <w:tcW w:w="484" w:type="pct"/>
            <w:tcBorders>
              <w:top w:val="dotted" w:sz="4" w:space="0" w:color="AAABD6"/>
              <w:left w:val="single" w:sz="4" w:space="0" w:color="AAABD6"/>
              <w:bottom w:val="dotted" w:sz="4" w:space="0" w:color="AAABD6"/>
              <w:right w:val="single" w:sz="4" w:space="0" w:color="AAABD6"/>
            </w:tcBorders>
            <w:vAlign w:val="bottom"/>
          </w:tcPr>
          <w:p w14:paraId="1580DE2D"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-632,588</w:t>
            </w:r>
          </w:p>
        </w:tc>
      </w:tr>
      <w:tr w:rsidR="00640329" w:rsidRPr="00100F0A" w14:paraId="782FA93F" w14:textId="77777777" w:rsidTr="00FD3200">
        <w:trPr>
          <w:gridAfter w:val="1"/>
          <w:wAfter w:w="7" w:type="pct"/>
        </w:trPr>
        <w:tc>
          <w:tcPr>
            <w:cnfStyle w:val="001000000000" w:firstRow="0" w:lastRow="0" w:firstColumn="1" w:lastColumn="0" w:oddVBand="0" w:evenVBand="0" w:oddHBand="0" w:evenHBand="0" w:firstRowFirstColumn="0" w:firstRowLastColumn="0" w:lastRowFirstColumn="0" w:lastRowLastColumn="0"/>
            <w:tcW w:w="509" w:type="pct"/>
            <w:vMerge/>
            <w:tcBorders>
              <w:left w:val="single" w:sz="4" w:space="0" w:color="AAABD6"/>
              <w:right w:val="single" w:sz="4" w:space="0" w:color="AAABD6"/>
            </w:tcBorders>
          </w:tcPr>
          <w:p w14:paraId="7D477D9D" w14:textId="77777777" w:rsidR="00AD2F76" w:rsidRPr="00100F0A" w:rsidRDefault="00AD2F76" w:rsidP="008265C8"/>
        </w:tc>
        <w:tc>
          <w:tcPr>
            <w:tcW w:w="509" w:type="pct"/>
            <w:tcBorders>
              <w:top w:val="dotted" w:sz="4" w:space="0" w:color="AAABD6"/>
              <w:left w:val="single" w:sz="4" w:space="0" w:color="AAABD6"/>
              <w:bottom w:val="single" w:sz="4" w:space="0" w:color="AAABD6"/>
              <w:right w:val="single" w:sz="4" w:space="0" w:color="AAABD6"/>
            </w:tcBorders>
            <w:vAlign w:val="center"/>
          </w:tcPr>
          <w:p w14:paraId="3AAAE0F4"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WA</w:t>
            </w:r>
          </w:p>
        </w:tc>
        <w:tc>
          <w:tcPr>
            <w:tcW w:w="2031" w:type="pct"/>
            <w:vMerge/>
            <w:tcBorders>
              <w:left w:val="single" w:sz="4" w:space="0" w:color="AAABD6"/>
              <w:bottom w:val="single" w:sz="4" w:space="0" w:color="AAABD6"/>
              <w:right w:val="single" w:sz="4" w:space="0" w:color="AAABD6"/>
            </w:tcBorders>
          </w:tcPr>
          <w:p w14:paraId="4884C04A"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p>
        </w:tc>
        <w:tc>
          <w:tcPr>
            <w:tcW w:w="468" w:type="pct"/>
            <w:tcBorders>
              <w:top w:val="dotted" w:sz="4" w:space="0" w:color="AAABD6"/>
              <w:left w:val="single" w:sz="4" w:space="0" w:color="AAABD6"/>
              <w:bottom w:val="single" w:sz="4" w:space="0" w:color="AAABD6"/>
              <w:right w:val="single" w:sz="4" w:space="0" w:color="AAABD6"/>
            </w:tcBorders>
            <w:vAlign w:val="bottom"/>
          </w:tcPr>
          <w:p w14:paraId="27D1B3F2"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rPr>
              <w:t>-102,328</w:t>
            </w:r>
          </w:p>
        </w:tc>
        <w:tc>
          <w:tcPr>
            <w:tcW w:w="175" w:type="pct"/>
            <w:tcBorders>
              <w:top w:val="dotted" w:sz="4" w:space="0" w:color="AAABD6"/>
              <w:left w:val="single" w:sz="4" w:space="0" w:color="AAABD6"/>
              <w:bottom w:val="single" w:sz="4" w:space="0" w:color="AAABD6"/>
              <w:right w:val="single" w:sz="4" w:space="0" w:color="AAABD6"/>
            </w:tcBorders>
          </w:tcPr>
          <w:p w14:paraId="32F11552"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w:t>
            </w:r>
          </w:p>
        </w:tc>
        <w:tc>
          <w:tcPr>
            <w:tcW w:w="468" w:type="pct"/>
            <w:tcBorders>
              <w:top w:val="dotted" w:sz="4" w:space="0" w:color="AAABD6"/>
              <w:left w:val="single" w:sz="4" w:space="0" w:color="AAABD6"/>
              <w:bottom w:val="single" w:sz="4" w:space="0" w:color="AAABD6"/>
              <w:right w:val="single" w:sz="4" w:space="0" w:color="AAABD6"/>
            </w:tcBorders>
            <w:vAlign w:val="bottom"/>
          </w:tcPr>
          <w:p w14:paraId="65CBAC6D"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rPr>
              <w:t>-105,238</w:t>
            </w:r>
          </w:p>
        </w:tc>
        <w:tc>
          <w:tcPr>
            <w:tcW w:w="175" w:type="pct"/>
            <w:tcBorders>
              <w:top w:val="dotted" w:sz="4" w:space="0" w:color="AAABD6"/>
              <w:left w:val="single" w:sz="4" w:space="0" w:color="AAABD6"/>
              <w:bottom w:val="single" w:sz="4" w:space="0" w:color="AAABD6"/>
              <w:right w:val="single" w:sz="4" w:space="0" w:color="AAABD6"/>
            </w:tcBorders>
          </w:tcPr>
          <w:p w14:paraId="7A2C3072"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5" w:type="pct"/>
            <w:tcBorders>
              <w:top w:val="dotted" w:sz="4" w:space="0" w:color="AAABD6"/>
              <w:left w:val="single" w:sz="4" w:space="0" w:color="AAABD6"/>
              <w:bottom w:val="single" w:sz="4" w:space="0" w:color="AAABD6"/>
              <w:right w:val="single" w:sz="4" w:space="0" w:color="AAABD6"/>
            </w:tcBorders>
          </w:tcPr>
          <w:p w14:paraId="51A2AFEE" w14:textId="4B398EE8"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color w:val="000000" w:themeColor="text1"/>
              </w:rPr>
              <w:t>...</w:t>
            </w:r>
          </w:p>
        </w:tc>
        <w:tc>
          <w:tcPr>
            <w:tcW w:w="484" w:type="pct"/>
            <w:tcBorders>
              <w:top w:val="dotted" w:sz="4" w:space="0" w:color="AAABD6"/>
              <w:left w:val="single" w:sz="4" w:space="0" w:color="AAABD6"/>
              <w:bottom w:val="single" w:sz="4" w:space="0" w:color="AAABD6"/>
              <w:right w:val="single" w:sz="4" w:space="0" w:color="AAABD6"/>
            </w:tcBorders>
            <w:vAlign w:val="bottom"/>
          </w:tcPr>
          <w:p w14:paraId="69443199"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-133,567</w:t>
            </w:r>
          </w:p>
        </w:tc>
      </w:tr>
      <w:tr w:rsidR="00AD2F76" w:rsidRPr="00100F0A" w14:paraId="517989D5" w14:textId="77777777" w:rsidTr="00FD3200">
        <w:trPr>
          <w:gridAfter w:val="1"/>
          <w:wAfter w:w="7" w:type="pct"/>
        </w:trPr>
        <w:tc>
          <w:tcPr>
            <w:cnfStyle w:val="001000000000" w:firstRow="0" w:lastRow="0" w:firstColumn="1" w:lastColumn="0" w:oddVBand="0" w:evenVBand="0" w:oddHBand="0" w:evenHBand="0" w:firstRowFirstColumn="0" w:firstRowLastColumn="0" w:lastRowFirstColumn="0" w:lastRowLastColumn="0"/>
            <w:tcW w:w="509" w:type="pct"/>
            <w:vMerge/>
            <w:tcBorders>
              <w:left w:val="single" w:sz="4" w:space="0" w:color="AAABD6"/>
              <w:bottom w:val="single" w:sz="4" w:space="0" w:color="AAABD6"/>
              <w:right w:val="single" w:sz="4" w:space="0" w:color="AAABD6"/>
            </w:tcBorders>
          </w:tcPr>
          <w:p w14:paraId="577CE0F4" w14:textId="77777777" w:rsidR="00AD2F76" w:rsidRPr="00100F0A" w:rsidRDefault="00AD2F76" w:rsidP="008265C8"/>
        </w:tc>
        <w:tc>
          <w:tcPr>
            <w:tcW w:w="509" w:type="pct"/>
            <w:tcBorders>
              <w:top w:val="dotted" w:sz="4" w:space="0" w:color="AAABD6"/>
              <w:left w:val="single" w:sz="4" w:space="0" w:color="AAABD6"/>
              <w:bottom w:val="single" w:sz="4" w:space="0" w:color="AAABD6"/>
              <w:right w:val="single" w:sz="4" w:space="0" w:color="AAABD6"/>
            </w:tcBorders>
            <w:vAlign w:val="center"/>
          </w:tcPr>
          <w:p w14:paraId="6CCECF46"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Vic</w:t>
            </w:r>
          </w:p>
        </w:tc>
        <w:tc>
          <w:tcPr>
            <w:tcW w:w="2031" w:type="pct"/>
            <w:tcBorders>
              <w:left w:val="single" w:sz="4" w:space="0" w:color="AAABD6"/>
              <w:bottom w:val="single" w:sz="4" w:space="0" w:color="AAABD6"/>
              <w:right w:val="single" w:sz="4" w:space="0" w:color="AAABD6"/>
            </w:tcBorders>
          </w:tcPr>
          <w:p w14:paraId="54F29A14"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Vic stockpile bleeds into waste mgt infrastructure over 15 years starting in 3</w:t>
            </w:r>
          </w:p>
        </w:tc>
        <w:tc>
          <w:tcPr>
            <w:tcW w:w="468" w:type="pct"/>
            <w:tcBorders>
              <w:top w:val="dotted" w:sz="4" w:space="0" w:color="AAABD6"/>
              <w:left w:val="single" w:sz="4" w:space="0" w:color="AAABD6"/>
              <w:bottom w:val="single" w:sz="4" w:space="0" w:color="AAABD6"/>
              <w:right w:val="single" w:sz="4" w:space="0" w:color="AAABD6"/>
            </w:tcBorders>
            <w:vAlign w:val="bottom"/>
          </w:tcPr>
          <w:p w14:paraId="7A0DCF99"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A6A6A6"/>
              </w:rPr>
              <w:t>0</w:t>
            </w:r>
          </w:p>
        </w:tc>
        <w:tc>
          <w:tcPr>
            <w:tcW w:w="175" w:type="pct"/>
            <w:tcBorders>
              <w:top w:val="dotted" w:sz="4" w:space="0" w:color="AAABD6"/>
              <w:left w:val="single" w:sz="4" w:space="0" w:color="AAABD6"/>
              <w:bottom w:val="single" w:sz="4" w:space="0" w:color="AAABD6"/>
              <w:right w:val="single" w:sz="4" w:space="0" w:color="AAABD6"/>
            </w:tcBorders>
          </w:tcPr>
          <w:p w14:paraId="7EE214B8"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w:t>
            </w:r>
          </w:p>
        </w:tc>
        <w:tc>
          <w:tcPr>
            <w:tcW w:w="468" w:type="pct"/>
            <w:tcBorders>
              <w:top w:val="dotted" w:sz="4" w:space="0" w:color="AAABD6"/>
              <w:left w:val="single" w:sz="4" w:space="0" w:color="AAABD6"/>
              <w:bottom w:val="single" w:sz="4" w:space="0" w:color="AAABD6"/>
              <w:right w:val="single" w:sz="4" w:space="0" w:color="AAABD6"/>
            </w:tcBorders>
            <w:vAlign w:val="bottom"/>
          </w:tcPr>
          <w:p w14:paraId="4241C5AA"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306,222</w:t>
            </w:r>
          </w:p>
        </w:tc>
        <w:tc>
          <w:tcPr>
            <w:tcW w:w="175" w:type="pct"/>
            <w:tcBorders>
              <w:top w:val="dotted" w:sz="4" w:space="0" w:color="AAABD6"/>
              <w:left w:val="single" w:sz="4" w:space="0" w:color="AAABD6"/>
              <w:bottom w:val="single" w:sz="4" w:space="0" w:color="AAABD6"/>
              <w:right w:val="single" w:sz="4" w:space="0" w:color="AAABD6"/>
            </w:tcBorders>
          </w:tcPr>
          <w:p w14:paraId="47AB17A5"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5" w:type="pct"/>
            <w:tcBorders>
              <w:top w:val="dotted" w:sz="4" w:space="0" w:color="AAABD6"/>
              <w:left w:val="single" w:sz="4" w:space="0" w:color="AAABD6"/>
              <w:bottom w:val="single" w:sz="4" w:space="0" w:color="AAABD6"/>
              <w:right w:val="single" w:sz="4" w:space="0" w:color="AAABD6"/>
            </w:tcBorders>
          </w:tcPr>
          <w:p w14:paraId="7048D71B" w14:textId="0C4B8146"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color w:val="000000" w:themeColor="text1"/>
              </w:rPr>
              <w:t>...</w:t>
            </w:r>
          </w:p>
        </w:tc>
        <w:tc>
          <w:tcPr>
            <w:tcW w:w="484" w:type="pct"/>
            <w:tcBorders>
              <w:top w:val="dotted" w:sz="4" w:space="0" w:color="AAABD6"/>
              <w:left w:val="single" w:sz="4" w:space="0" w:color="AAABD6"/>
              <w:bottom w:val="single" w:sz="4" w:space="0" w:color="AAABD6"/>
              <w:right w:val="single" w:sz="4" w:space="0" w:color="AAABD6"/>
            </w:tcBorders>
            <w:vAlign w:val="bottom"/>
          </w:tcPr>
          <w:p w14:paraId="35712A89"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A6A6A6"/>
              </w:rPr>
              <w:t>0</w:t>
            </w:r>
          </w:p>
        </w:tc>
      </w:tr>
      <w:tr w:rsidR="00AD2F76" w:rsidRPr="00100F0A" w14:paraId="41FD71CC" w14:textId="77777777" w:rsidTr="00FD3200">
        <w:trPr>
          <w:gridAfter w:val="1"/>
          <w:wAfter w:w="7" w:type="pct"/>
        </w:trPr>
        <w:tc>
          <w:tcPr>
            <w:cnfStyle w:val="001000000000" w:firstRow="0" w:lastRow="0" w:firstColumn="1" w:lastColumn="0" w:oddVBand="0" w:evenVBand="0" w:oddHBand="0" w:evenHBand="0" w:firstRowFirstColumn="0" w:firstRowLastColumn="0" w:lastRowFirstColumn="0" w:lastRowLastColumn="0"/>
            <w:tcW w:w="509" w:type="pct"/>
            <w:vMerge w:val="restart"/>
            <w:tcBorders>
              <w:top w:val="single" w:sz="4" w:space="0" w:color="AAABD6"/>
              <w:left w:val="single" w:sz="4" w:space="0" w:color="AAABD6"/>
              <w:right w:val="single" w:sz="4" w:space="0" w:color="AAABD6"/>
            </w:tcBorders>
            <w:vAlign w:val="center"/>
          </w:tcPr>
          <w:p w14:paraId="3EA995D5" w14:textId="77777777" w:rsidR="00AD2F76" w:rsidRPr="00100F0A" w:rsidRDefault="00AD2F76" w:rsidP="008265C8">
            <w:r w:rsidRPr="00100F0A">
              <w:t>Low</w:t>
            </w:r>
          </w:p>
        </w:tc>
        <w:tc>
          <w:tcPr>
            <w:tcW w:w="509" w:type="pct"/>
            <w:tcBorders>
              <w:top w:val="single" w:sz="4" w:space="0" w:color="AAABD6"/>
              <w:left w:val="single" w:sz="4" w:space="0" w:color="AAABD6"/>
              <w:bottom w:val="dotted" w:sz="4" w:space="0" w:color="AAABD6"/>
              <w:right w:val="single" w:sz="4" w:space="0" w:color="AAABD6"/>
            </w:tcBorders>
            <w:vAlign w:val="center"/>
          </w:tcPr>
          <w:p w14:paraId="0AE5E3F9"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ACT</w:t>
            </w:r>
          </w:p>
        </w:tc>
        <w:tc>
          <w:tcPr>
            <w:tcW w:w="2031" w:type="pct"/>
            <w:vMerge w:val="restart"/>
            <w:tcBorders>
              <w:top w:val="single" w:sz="4" w:space="0" w:color="AAABD6"/>
              <w:left w:val="single" w:sz="4" w:space="0" w:color="AAABD6"/>
              <w:right w:val="single" w:sz="4" w:space="0" w:color="AAABD6"/>
            </w:tcBorders>
            <w:vAlign w:val="center"/>
          </w:tcPr>
          <w:p w14:paraId="306787E6"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PSD (2017) national contaminated proportion is correct for each state and territory in 2017, and declines to zero in 2038.</w:t>
            </w:r>
          </w:p>
          <w:p w14:paraId="0ED53E20"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p>
          <w:p w14:paraId="25BD149D"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(Biosolids contaminated with M270 assumed to be distinct, and are therefore counted separately.)</w:t>
            </w:r>
          </w:p>
        </w:tc>
        <w:tc>
          <w:tcPr>
            <w:tcW w:w="468" w:type="pct"/>
            <w:tcBorders>
              <w:top w:val="single" w:sz="4" w:space="0" w:color="AAABD6"/>
              <w:left w:val="single" w:sz="4" w:space="0" w:color="AAABD6"/>
              <w:bottom w:val="dotted" w:sz="4" w:space="0" w:color="AAABD6"/>
              <w:right w:val="single" w:sz="4" w:space="0" w:color="AAABD6"/>
            </w:tcBorders>
            <w:vAlign w:val="bottom"/>
          </w:tcPr>
          <w:p w14:paraId="61CC8D58"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A6A6A6"/>
              </w:rPr>
              <w:t>0</w:t>
            </w:r>
          </w:p>
        </w:tc>
        <w:tc>
          <w:tcPr>
            <w:tcW w:w="175" w:type="pct"/>
            <w:tcBorders>
              <w:top w:val="single" w:sz="4" w:space="0" w:color="AAABD6"/>
              <w:left w:val="single" w:sz="4" w:space="0" w:color="AAABD6"/>
              <w:bottom w:val="dotted" w:sz="4" w:space="0" w:color="AAABD6"/>
              <w:right w:val="single" w:sz="4" w:space="0" w:color="AAABD6"/>
            </w:tcBorders>
          </w:tcPr>
          <w:p w14:paraId="7F575FA7"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w:t>
            </w:r>
          </w:p>
        </w:tc>
        <w:tc>
          <w:tcPr>
            <w:tcW w:w="468" w:type="pct"/>
            <w:tcBorders>
              <w:top w:val="single" w:sz="4" w:space="0" w:color="AAABD6"/>
              <w:left w:val="single" w:sz="4" w:space="0" w:color="AAABD6"/>
              <w:bottom w:val="dotted" w:sz="4" w:space="0" w:color="AAABD6"/>
              <w:right w:val="single" w:sz="4" w:space="0" w:color="AAABD6"/>
            </w:tcBorders>
            <w:vAlign w:val="bottom"/>
          </w:tcPr>
          <w:p w14:paraId="55FD7F14"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A6A6A6"/>
              </w:rPr>
              <w:t>0</w:t>
            </w:r>
          </w:p>
        </w:tc>
        <w:tc>
          <w:tcPr>
            <w:tcW w:w="175" w:type="pct"/>
            <w:tcBorders>
              <w:top w:val="single" w:sz="4" w:space="0" w:color="AAABD6"/>
              <w:left w:val="single" w:sz="4" w:space="0" w:color="AAABD6"/>
              <w:bottom w:val="dotted" w:sz="4" w:space="0" w:color="AAABD6"/>
              <w:right w:val="single" w:sz="4" w:space="0" w:color="AAABD6"/>
            </w:tcBorders>
          </w:tcPr>
          <w:p w14:paraId="4C4085D1"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5" w:type="pct"/>
            <w:tcBorders>
              <w:top w:val="single" w:sz="4" w:space="0" w:color="AAABD6"/>
              <w:left w:val="single" w:sz="4" w:space="0" w:color="AAABD6"/>
              <w:bottom w:val="dotted" w:sz="4" w:space="0" w:color="AAABD6"/>
              <w:right w:val="single" w:sz="4" w:space="0" w:color="AAABD6"/>
            </w:tcBorders>
          </w:tcPr>
          <w:p w14:paraId="79011461" w14:textId="09B6FE25"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color w:val="000000" w:themeColor="text1"/>
              </w:rPr>
              <w:t>...</w:t>
            </w:r>
          </w:p>
        </w:tc>
        <w:tc>
          <w:tcPr>
            <w:tcW w:w="484" w:type="pct"/>
            <w:tcBorders>
              <w:top w:val="single" w:sz="4" w:space="0" w:color="AAABD6"/>
              <w:left w:val="single" w:sz="4" w:space="0" w:color="AAABD6"/>
              <w:bottom w:val="dotted" w:sz="4" w:space="0" w:color="AAABD6"/>
              <w:right w:val="single" w:sz="4" w:space="0" w:color="AAABD6"/>
            </w:tcBorders>
            <w:vAlign w:val="bottom"/>
          </w:tcPr>
          <w:p w14:paraId="3977BF94"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A6A6A6"/>
              </w:rPr>
              <w:t>0</w:t>
            </w:r>
          </w:p>
        </w:tc>
      </w:tr>
      <w:tr w:rsidR="00AD2F76" w:rsidRPr="00100F0A" w14:paraId="631DEF5E" w14:textId="77777777" w:rsidTr="00FD3200">
        <w:trPr>
          <w:gridAfter w:val="1"/>
          <w:wAfter w:w="7" w:type="pct"/>
        </w:trPr>
        <w:tc>
          <w:tcPr>
            <w:cnfStyle w:val="001000000000" w:firstRow="0" w:lastRow="0" w:firstColumn="1" w:lastColumn="0" w:oddVBand="0" w:evenVBand="0" w:oddHBand="0" w:evenHBand="0" w:firstRowFirstColumn="0" w:firstRowLastColumn="0" w:lastRowFirstColumn="0" w:lastRowLastColumn="0"/>
            <w:tcW w:w="509" w:type="pct"/>
            <w:vMerge/>
            <w:tcBorders>
              <w:left w:val="single" w:sz="4" w:space="0" w:color="AAABD6"/>
              <w:right w:val="single" w:sz="4" w:space="0" w:color="AAABD6"/>
            </w:tcBorders>
          </w:tcPr>
          <w:p w14:paraId="33038191" w14:textId="77777777" w:rsidR="00AD2F76" w:rsidRPr="00100F0A" w:rsidRDefault="00AD2F76" w:rsidP="008265C8"/>
        </w:tc>
        <w:tc>
          <w:tcPr>
            <w:tcW w:w="509" w:type="pct"/>
            <w:tcBorders>
              <w:top w:val="dotted" w:sz="4" w:space="0" w:color="AAABD6"/>
              <w:left w:val="single" w:sz="4" w:space="0" w:color="AAABD6"/>
              <w:bottom w:val="dotted" w:sz="4" w:space="0" w:color="AAABD6"/>
              <w:right w:val="single" w:sz="4" w:space="0" w:color="AAABD6"/>
            </w:tcBorders>
            <w:vAlign w:val="center"/>
          </w:tcPr>
          <w:p w14:paraId="288E6514"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NSW</w:t>
            </w:r>
          </w:p>
        </w:tc>
        <w:tc>
          <w:tcPr>
            <w:tcW w:w="2031" w:type="pct"/>
            <w:vMerge/>
            <w:tcBorders>
              <w:left w:val="single" w:sz="4" w:space="0" w:color="AAABD6"/>
              <w:right w:val="single" w:sz="4" w:space="0" w:color="AAABD6"/>
            </w:tcBorders>
          </w:tcPr>
          <w:p w14:paraId="79C87C17"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p>
        </w:tc>
        <w:tc>
          <w:tcPr>
            <w:tcW w:w="468" w:type="pct"/>
            <w:tcBorders>
              <w:top w:val="dotted" w:sz="4" w:space="0" w:color="AAABD6"/>
              <w:left w:val="single" w:sz="4" w:space="0" w:color="AAABD6"/>
              <w:bottom w:val="dotted" w:sz="4" w:space="0" w:color="AAABD6"/>
              <w:right w:val="single" w:sz="4" w:space="0" w:color="AAABD6"/>
            </w:tcBorders>
            <w:vAlign w:val="bottom"/>
          </w:tcPr>
          <w:p w14:paraId="1B4D77AB"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-313,322</w:t>
            </w:r>
          </w:p>
        </w:tc>
        <w:tc>
          <w:tcPr>
            <w:tcW w:w="175" w:type="pct"/>
            <w:tcBorders>
              <w:top w:val="dotted" w:sz="4" w:space="0" w:color="AAABD6"/>
              <w:left w:val="single" w:sz="4" w:space="0" w:color="AAABD6"/>
              <w:bottom w:val="dotted" w:sz="4" w:space="0" w:color="AAABD6"/>
              <w:right w:val="single" w:sz="4" w:space="0" w:color="AAABD6"/>
            </w:tcBorders>
          </w:tcPr>
          <w:p w14:paraId="05F49199"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w:t>
            </w:r>
          </w:p>
        </w:tc>
        <w:tc>
          <w:tcPr>
            <w:tcW w:w="468" w:type="pct"/>
            <w:tcBorders>
              <w:top w:val="dotted" w:sz="4" w:space="0" w:color="AAABD6"/>
              <w:left w:val="single" w:sz="4" w:space="0" w:color="AAABD6"/>
              <w:bottom w:val="dotted" w:sz="4" w:space="0" w:color="AAABD6"/>
              <w:right w:val="single" w:sz="4" w:space="0" w:color="AAABD6"/>
            </w:tcBorders>
            <w:vAlign w:val="bottom"/>
          </w:tcPr>
          <w:p w14:paraId="12825015"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-323,735</w:t>
            </w:r>
          </w:p>
        </w:tc>
        <w:tc>
          <w:tcPr>
            <w:tcW w:w="175" w:type="pct"/>
            <w:tcBorders>
              <w:top w:val="dotted" w:sz="4" w:space="0" w:color="AAABD6"/>
              <w:left w:val="single" w:sz="4" w:space="0" w:color="AAABD6"/>
              <w:bottom w:val="dotted" w:sz="4" w:space="0" w:color="AAABD6"/>
              <w:right w:val="single" w:sz="4" w:space="0" w:color="AAABD6"/>
            </w:tcBorders>
          </w:tcPr>
          <w:p w14:paraId="44405F13"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5" w:type="pct"/>
            <w:tcBorders>
              <w:top w:val="dotted" w:sz="4" w:space="0" w:color="AAABD6"/>
              <w:left w:val="single" w:sz="4" w:space="0" w:color="AAABD6"/>
              <w:bottom w:val="dotted" w:sz="4" w:space="0" w:color="AAABD6"/>
              <w:right w:val="single" w:sz="4" w:space="0" w:color="AAABD6"/>
            </w:tcBorders>
          </w:tcPr>
          <w:p w14:paraId="2C4703A1" w14:textId="625A7B7D"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color w:val="000000" w:themeColor="text1"/>
              </w:rPr>
              <w:t>...</w:t>
            </w:r>
          </w:p>
        </w:tc>
        <w:tc>
          <w:tcPr>
            <w:tcW w:w="484" w:type="pct"/>
            <w:tcBorders>
              <w:top w:val="dotted" w:sz="4" w:space="0" w:color="AAABD6"/>
              <w:left w:val="single" w:sz="4" w:space="0" w:color="AAABD6"/>
              <w:bottom w:val="dotted" w:sz="4" w:space="0" w:color="AAABD6"/>
              <w:right w:val="single" w:sz="4" w:space="0" w:color="AAABD6"/>
            </w:tcBorders>
            <w:vAlign w:val="bottom"/>
          </w:tcPr>
          <w:p w14:paraId="3B6314B3"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-412,244</w:t>
            </w:r>
          </w:p>
        </w:tc>
      </w:tr>
      <w:tr w:rsidR="00AD2F76" w:rsidRPr="00100F0A" w14:paraId="023767FA" w14:textId="77777777" w:rsidTr="00FD3200">
        <w:trPr>
          <w:gridAfter w:val="1"/>
          <w:wAfter w:w="7" w:type="pct"/>
        </w:trPr>
        <w:tc>
          <w:tcPr>
            <w:cnfStyle w:val="001000000000" w:firstRow="0" w:lastRow="0" w:firstColumn="1" w:lastColumn="0" w:oddVBand="0" w:evenVBand="0" w:oddHBand="0" w:evenHBand="0" w:firstRowFirstColumn="0" w:firstRowLastColumn="0" w:lastRowFirstColumn="0" w:lastRowLastColumn="0"/>
            <w:tcW w:w="509" w:type="pct"/>
            <w:vMerge/>
            <w:tcBorders>
              <w:left w:val="single" w:sz="4" w:space="0" w:color="AAABD6"/>
              <w:right w:val="single" w:sz="4" w:space="0" w:color="AAABD6"/>
            </w:tcBorders>
          </w:tcPr>
          <w:p w14:paraId="0E74C8E9" w14:textId="77777777" w:rsidR="00AD2F76" w:rsidRPr="00100F0A" w:rsidRDefault="00AD2F76" w:rsidP="008265C8"/>
        </w:tc>
        <w:tc>
          <w:tcPr>
            <w:tcW w:w="509" w:type="pct"/>
            <w:tcBorders>
              <w:top w:val="dotted" w:sz="4" w:space="0" w:color="AAABD6"/>
              <w:left w:val="single" w:sz="4" w:space="0" w:color="AAABD6"/>
              <w:bottom w:val="dotted" w:sz="4" w:space="0" w:color="AAABD6"/>
              <w:right w:val="single" w:sz="4" w:space="0" w:color="AAABD6"/>
            </w:tcBorders>
            <w:vAlign w:val="center"/>
          </w:tcPr>
          <w:p w14:paraId="314C4B5E"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NT</w:t>
            </w:r>
          </w:p>
        </w:tc>
        <w:tc>
          <w:tcPr>
            <w:tcW w:w="2031" w:type="pct"/>
            <w:vMerge/>
            <w:tcBorders>
              <w:left w:val="single" w:sz="4" w:space="0" w:color="AAABD6"/>
              <w:right w:val="single" w:sz="4" w:space="0" w:color="AAABD6"/>
            </w:tcBorders>
          </w:tcPr>
          <w:p w14:paraId="56F41BE1"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p>
        </w:tc>
        <w:tc>
          <w:tcPr>
            <w:tcW w:w="468" w:type="pct"/>
            <w:tcBorders>
              <w:top w:val="dotted" w:sz="4" w:space="0" w:color="AAABD6"/>
              <w:left w:val="single" w:sz="4" w:space="0" w:color="AAABD6"/>
              <w:bottom w:val="dotted" w:sz="4" w:space="0" w:color="AAABD6"/>
              <w:right w:val="single" w:sz="4" w:space="0" w:color="AAABD6"/>
            </w:tcBorders>
            <w:vAlign w:val="bottom"/>
          </w:tcPr>
          <w:p w14:paraId="6DDE728F"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-31,583</w:t>
            </w:r>
          </w:p>
        </w:tc>
        <w:tc>
          <w:tcPr>
            <w:tcW w:w="175" w:type="pct"/>
            <w:tcBorders>
              <w:top w:val="dotted" w:sz="4" w:space="0" w:color="AAABD6"/>
              <w:left w:val="single" w:sz="4" w:space="0" w:color="AAABD6"/>
              <w:bottom w:val="dotted" w:sz="4" w:space="0" w:color="AAABD6"/>
              <w:right w:val="single" w:sz="4" w:space="0" w:color="AAABD6"/>
            </w:tcBorders>
          </w:tcPr>
          <w:p w14:paraId="09DDC067"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w:t>
            </w:r>
          </w:p>
        </w:tc>
        <w:tc>
          <w:tcPr>
            <w:tcW w:w="468" w:type="pct"/>
            <w:tcBorders>
              <w:top w:val="dotted" w:sz="4" w:space="0" w:color="AAABD6"/>
              <w:left w:val="single" w:sz="4" w:space="0" w:color="AAABD6"/>
              <w:bottom w:val="dotted" w:sz="4" w:space="0" w:color="AAABD6"/>
              <w:right w:val="single" w:sz="4" w:space="0" w:color="AAABD6"/>
            </w:tcBorders>
            <w:vAlign w:val="bottom"/>
          </w:tcPr>
          <w:p w14:paraId="1B2AEAFD"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-32,481</w:t>
            </w:r>
          </w:p>
        </w:tc>
        <w:tc>
          <w:tcPr>
            <w:tcW w:w="175" w:type="pct"/>
            <w:tcBorders>
              <w:top w:val="dotted" w:sz="4" w:space="0" w:color="AAABD6"/>
              <w:left w:val="single" w:sz="4" w:space="0" w:color="AAABD6"/>
              <w:bottom w:val="dotted" w:sz="4" w:space="0" w:color="AAABD6"/>
              <w:right w:val="single" w:sz="4" w:space="0" w:color="AAABD6"/>
            </w:tcBorders>
          </w:tcPr>
          <w:p w14:paraId="40E577FB"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5" w:type="pct"/>
            <w:tcBorders>
              <w:top w:val="dotted" w:sz="4" w:space="0" w:color="AAABD6"/>
              <w:left w:val="single" w:sz="4" w:space="0" w:color="AAABD6"/>
              <w:bottom w:val="dotted" w:sz="4" w:space="0" w:color="AAABD6"/>
              <w:right w:val="single" w:sz="4" w:space="0" w:color="AAABD6"/>
            </w:tcBorders>
          </w:tcPr>
          <w:p w14:paraId="5885AEE5" w14:textId="748C2E9F"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color w:val="000000" w:themeColor="text1"/>
              </w:rPr>
              <w:t>...</w:t>
            </w:r>
          </w:p>
        </w:tc>
        <w:tc>
          <w:tcPr>
            <w:tcW w:w="484" w:type="pct"/>
            <w:tcBorders>
              <w:top w:val="dotted" w:sz="4" w:space="0" w:color="AAABD6"/>
              <w:left w:val="single" w:sz="4" w:space="0" w:color="AAABD6"/>
              <w:bottom w:val="dotted" w:sz="4" w:space="0" w:color="AAABD6"/>
              <w:right w:val="single" w:sz="4" w:space="0" w:color="AAABD6"/>
            </w:tcBorders>
            <w:vAlign w:val="bottom"/>
          </w:tcPr>
          <w:p w14:paraId="1B936FDE"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-41,224</w:t>
            </w:r>
          </w:p>
        </w:tc>
      </w:tr>
      <w:tr w:rsidR="00AD2F76" w:rsidRPr="00100F0A" w14:paraId="582ACD1F" w14:textId="77777777" w:rsidTr="00FD3200">
        <w:trPr>
          <w:gridAfter w:val="1"/>
          <w:wAfter w:w="7" w:type="pct"/>
        </w:trPr>
        <w:tc>
          <w:tcPr>
            <w:cnfStyle w:val="001000000000" w:firstRow="0" w:lastRow="0" w:firstColumn="1" w:lastColumn="0" w:oddVBand="0" w:evenVBand="0" w:oddHBand="0" w:evenHBand="0" w:firstRowFirstColumn="0" w:firstRowLastColumn="0" w:lastRowFirstColumn="0" w:lastRowLastColumn="0"/>
            <w:tcW w:w="509" w:type="pct"/>
            <w:vMerge/>
            <w:tcBorders>
              <w:left w:val="single" w:sz="4" w:space="0" w:color="AAABD6"/>
              <w:right w:val="single" w:sz="4" w:space="0" w:color="AAABD6"/>
            </w:tcBorders>
          </w:tcPr>
          <w:p w14:paraId="229C8A82" w14:textId="77777777" w:rsidR="00AD2F76" w:rsidRPr="00100F0A" w:rsidRDefault="00AD2F76" w:rsidP="008265C8"/>
        </w:tc>
        <w:tc>
          <w:tcPr>
            <w:tcW w:w="509" w:type="pct"/>
            <w:tcBorders>
              <w:top w:val="dotted" w:sz="4" w:space="0" w:color="AAABD6"/>
              <w:left w:val="single" w:sz="4" w:space="0" w:color="AAABD6"/>
              <w:bottom w:val="dotted" w:sz="4" w:space="0" w:color="AAABD6"/>
              <w:right w:val="single" w:sz="4" w:space="0" w:color="AAABD6"/>
            </w:tcBorders>
            <w:vAlign w:val="center"/>
          </w:tcPr>
          <w:p w14:paraId="6A7A68E7"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Qld</w:t>
            </w:r>
          </w:p>
        </w:tc>
        <w:tc>
          <w:tcPr>
            <w:tcW w:w="2031" w:type="pct"/>
            <w:vMerge/>
            <w:tcBorders>
              <w:left w:val="single" w:sz="4" w:space="0" w:color="AAABD6"/>
              <w:right w:val="single" w:sz="4" w:space="0" w:color="AAABD6"/>
            </w:tcBorders>
          </w:tcPr>
          <w:p w14:paraId="7517684A"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p>
        </w:tc>
        <w:tc>
          <w:tcPr>
            <w:tcW w:w="468" w:type="pct"/>
            <w:tcBorders>
              <w:top w:val="dotted" w:sz="4" w:space="0" w:color="AAABD6"/>
              <w:left w:val="single" w:sz="4" w:space="0" w:color="AAABD6"/>
              <w:bottom w:val="dotted" w:sz="4" w:space="0" w:color="AAABD6"/>
              <w:right w:val="single" w:sz="4" w:space="0" w:color="AAABD6"/>
            </w:tcBorders>
            <w:vAlign w:val="bottom"/>
          </w:tcPr>
          <w:p w14:paraId="1E08E12F"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-328,590</w:t>
            </w:r>
          </w:p>
        </w:tc>
        <w:tc>
          <w:tcPr>
            <w:tcW w:w="175" w:type="pct"/>
            <w:tcBorders>
              <w:top w:val="dotted" w:sz="4" w:space="0" w:color="AAABD6"/>
              <w:left w:val="single" w:sz="4" w:space="0" w:color="AAABD6"/>
              <w:bottom w:val="dotted" w:sz="4" w:space="0" w:color="AAABD6"/>
              <w:right w:val="single" w:sz="4" w:space="0" w:color="AAABD6"/>
            </w:tcBorders>
          </w:tcPr>
          <w:p w14:paraId="55B39D1E"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w:t>
            </w:r>
          </w:p>
        </w:tc>
        <w:tc>
          <w:tcPr>
            <w:tcW w:w="468" w:type="pct"/>
            <w:tcBorders>
              <w:top w:val="dotted" w:sz="4" w:space="0" w:color="AAABD6"/>
              <w:left w:val="single" w:sz="4" w:space="0" w:color="AAABD6"/>
              <w:bottom w:val="dotted" w:sz="4" w:space="0" w:color="AAABD6"/>
              <w:right w:val="single" w:sz="4" w:space="0" w:color="AAABD6"/>
            </w:tcBorders>
            <w:vAlign w:val="bottom"/>
          </w:tcPr>
          <w:p w14:paraId="669F67F4"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-341,735</w:t>
            </w:r>
          </w:p>
        </w:tc>
        <w:tc>
          <w:tcPr>
            <w:tcW w:w="175" w:type="pct"/>
            <w:tcBorders>
              <w:top w:val="dotted" w:sz="4" w:space="0" w:color="AAABD6"/>
              <w:left w:val="single" w:sz="4" w:space="0" w:color="AAABD6"/>
              <w:bottom w:val="dotted" w:sz="4" w:space="0" w:color="AAABD6"/>
              <w:right w:val="single" w:sz="4" w:space="0" w:color="AAABD6"/>
            </w:tcBorders>
          </w:tcPr>
          <w:p w14:paraId="2131D4EC"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5" w:type="pct"/>
            <w:tcBorders>
              <w:top w:val="dotted" w:sz="4" w:space="0" w:color="AAABD6"/>
              <w:left w:val="single" w:sz="4" w:space="0" w:color="AAABD6"/>
              <w:bottom w:val="dotted" w:sz="4" w:space="0" w:color="AAABD6"/>
              <w:right w:val="single" w:sz="4" w:space="0" w:color="AAABD6"/>
            </w:tcBorders>
          </w:tcPr>
          <w:p w14:paraId="0C63F69A" w14:textId="3E38B984"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color w:val="000000" w:themeColor="text1"/>
              </w:rPr>
              <w:t>...</w:t>
            </w:r>
          </w:p>
        </w:tc>
        <w:tc>
          <w:tcPr>
            <w:tcW w:w="484" w:type="pct"/>
            <w:tcBorders>
              <w:top w:val="dotted" w:sz="4" w:space="0" w:color="AAABD6"/>
              <w:left w:val="single" w:sz="4" w:space="0" w:color="AAABD6"/>
              <w:bottom w:val="dotted" w:sz="4" w:space="0" w:color="AAABD6"/>
              <w:right w:val="single" w:sz="4" w:space="0" w:color="AAABD6"/>
            </w:tcBorders>
            <w:vAlign w:val="bottom"/>
          </w:tcPr>
          <w:p w14:paraId="71F82831"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-453,468</w:t>
            </w:r>
          </w:p>
        </w:tc>
      </w:tr>
      <w:tr w:rsidR="00AD2F76" w:rsidRPr="00100F0A" w14:paraId="4F4EBBAB" w14:textId="77777777" w:rsidTr="00FD3200">
        <w:trPr>
          <w:gridAfter w:val="1"/>
          <w:wAfter w:w="7" w:type="pct"/>
        </w:trPr>
        <w:tc>
          <w:tcPr>
            <w:cnfStyle w:val="001000000000" w:firstRow="0" w:lastRow="0" w:firstColumn="1" w:lastColumn="0" w:oddVBand="0" w:evenVBand="0" w:oddHBand="0" w:evenHBand="0" w:firstRowFirstColumn="0" w:firstRowLastColumn="0" w:lastRowFirstColumn="0" w:lastRowLastColumn="0"/>
            <w:tcW w:w="509" w:type="pct"/>
            <w:vMerge/>
            <w:tcBorders>
              <w:left w:val="single" w:sz="4" w:space="0" w:color="AAABD6"/>
              <w:right w:val="single" w:sz="4" w:space="0" w:color="AAABD6"/>
            </w:tcBorders>
          </w:tcPr>
          <w:p w14:paraId="7D0BF8B2" w14:textId="77777777" w:rsidR="00AD2F76" w:rsidRPr="00100F0A" w:rsidRDefault="00AD2F76" w:rsidP="008265C8"/>
        </w:tc>
        <w:tc>
          <w:tcPr>
            <w:tcW w:w="509" w:type="pct"/>
            <w:tcBorders>
              <w:top w:val="dotted" w:sz="4" w:space="0" w:color="AAABD6"/>
              <w:left w:val="single" w:sz="4" w:space="0" w:color="AAABD6"/>
              <w:bottom w:val="dotted" w:sz="4" w:space="0" w:color="AAABD6"/>
              <w:right w:val="single" w:sz="4" w:space="0" w:color="AAABD6"/>
            </w:tcBorders>
            <w:vAlign w:val="center"/>
          </w:tcPr>
          <w:p w14:paraId="4F50CE15"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SA</w:t>
            </w:r>
          </w:p>
        </w:tc>
        <w:tc>
          <w:tcPr>
            <w:tcW w:w="2031" w:type="pct"/>
            <w:vMerge/>
            <w:tcBorders>
              <w:left w:val="single" w:sz="4" w:space="0" w:color="AAABD6"/>
              <w:right w:val="single" w:sz="4" w:space="0" w:color="AAABD6"/>
            </w:tcBorders>
          </w:tcPr>
          <w:p w14:paraId="69FEDA90"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p>
        </w:tc>
        <w:tc>
          <w:tcPr>
            <w:tcW w:w="468" w:type="pct"/>
            <w:tcBorders>
              <w:top w:val="dotted" w:sz="4" w:space="0" w:color="AAABD6"/>
              <w:left w:val="single" w:sz="4" w:space="0" w:color="AAABD6"/>
              <w:bottom w:val="dotted" w:sz="4" w:space="0" w:color="AAABD6"/>
              <w:right w:val="single" w:sz="4" w:space="0" w:color="AAABD6"/>
            </w:tcBorders>
            <w:vAlign w:val="bottom"/>
          </w:tcPr>
          <w:p w14:paraId="7113A578"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-126,331</w:t>
            </w:r>
          </w:p>
        </w:tc>
        <w:tc>
          <w:tcPr>
            <w:tcW w:w="175" w:type="pct"/>
            <w:tcBorders>
              <w:top w:val="dotted" w:sz="4" w:space="0" w:color="AAABD6"/>
              <w:left w:val="single" w:sz="4" w:space="0" w:color="AAABD6"/>
              <w:bottom w:val="dotted" w:sz="4" w:space="0" w:color="AAABD6"/>
              <w:right w:val="single" w:sz="4" w:space="0" w:color="AAABD6"/>
            </w:tcBorders>
          </w:tcPr>
          <w:p w14:paraId="19BFE0A9"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w:t>
            </w:r>
          </w:p>
        </w:tc>
        <w:tc>
          <w:tcPr>
            <w:tcW w:w="468" w:type="pct"/>
            <w:tcBorders>
              <w:top w:val="dotted" w:sz="4" w:space="0" w:color="AAABD6"/>
              <w:left w:val="single" w:sz="4" w:space="0" w:color="AAABD6"/>
              <w:bottom w:val="dotted" w:sz="4" w:space="0" w:color="AAABD6"/>
              <w:right w:val="single" w:sz="4" w:space="0" w:color="AAABD6"/>
            </w:tcBorders>
            <w:vAlign w:val="bottom"/>
          </w:tcPr>
          <w:p w14:paraId="711A74CE"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-129,924</w:t>
            </w:r>
          </w:p>
        </w:tc>
        <w:tc>
          <w:tcPr>
            <w:tcW w:w="175" w:type="pct"/>
            <w:tcBorders>
              <w:top w:val="dotted" w:sz="4" w:space="0" w:color="AAABD6"/>
              <w:left w:val="single" w:sz="4" w:space="0" w:color="AAABD6"/>
              <w:bottom w:val="dotted" w:sz="4" w:space="0" w:color="AAABD6"/>
              <w:right w:val="single" w:sz="4" w:space="0" w:color="AAABD6"/>
            </w:tcBorders>
          </w:tcPr>
          <w:p w14:paraId="251EB9FF"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5" w:type="pct"/>
            <w:tcBorders>
              <w:top w:val="dotted" w:sz="4" w:space="0" w:color="AAABD6"/>
              <w:left w:val="single" w:sz="4" w:space="0" w:color="AAABD6"/>
              <w:bottom w:val="dotted" w:sz="4" w:space="0" w:color="AAABD6"/>
              <w:right w:val="single" w:sz="4" w:space="0" w:color="AAABD6"/>
            </w:tcBorders>
          </w:tcPr>
          <w:p w14:paraId="1EFFF2A2" w14:textId="0FC21EA8"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color w:val="000000" w:themeColor="text1"/>
              </w:rPr>
              <w:t>...</w:t>
            </w:r>
          </w:p>
        </w:tc>
        <w:tc>
          <w:tcPr>
            <w:tcW w:w="484" w:type="pct"/>
            <w:tcBorders>
              <w:top w:val="dotted" w:sz="4" w:space="0" w:color="AAABD6"/>
              <w:left w:val="single" w:sz="4" w:space="0" w:color="AAABD6"/>
              <w:bottom w:val="dotted" w:sz="4" w:space="0" w:color="AAABD6"/>
              <w:right w:val="single" w:sz="4" w:space="0" w:color="AAABD6"/>
            </w:tcBorders>
            <w:vAlign w:val="bottom"/>
          </w:tcPr>
          <w:p w14:paraId="5C0BE4A0"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-164,898</w:t>
            </w:r>
          </w:p>
        </w:tc>
      </w:tr>
      <w:tr w:rsidR="00AD2F76" w:rsidRPr="00100F0A" w14:paraId="25396185" w14:textId="77777777" w:rsidTr="00FD3200">
        <w:trPr>
          <w:gridAfter w:val="1"/>
          <w:wAfter w:w="7" w:type="pct"/>
        </w:trPr>
        <w:tc>
          <w:tcPr>
            <w:cnfStyle w:val="001000000000" w:firstRow="0" w:lastRow="0" w:firstColumn="1" w:lastColumn="0" w:oddVBand="0" w:evenVBand="0" w:oddHBand="0" w:evenHBand="0" w:firstRowFirstColumn="0" w:firstRowLastColumn="0" w:lastRowFirstColumn="0" w:lastRowLastColumn="0"/>
            <w:tcW w:w="509" w:type="pct"/>
            <w:vMerge/>
            <w:tcBorders>
              <w:left w:val="single" w:sz="4" w:space="0" w:color="AAABD6"/>
              <w:right w:val="single" w:sz="4" w:space="0" w:color="AAABD6"/>
            </w:tcBorders>
          </w:tcPr>
          <w:p w14:paraId="1A827E64" w14:textId="77777777" w:rsidR="00AD2F76" w:rsidRPr="00100F0A" w:rsidRDefault="00AD2F76" w:rsidP="008265C8"/>
        </w:tc>
        <w:tc>
          <w:tcPr>
            <w:tcW w:w="509" w:type="pct"/>
            <w:tcBorders>
              <w:top w:val="dotted" w:sz="4" w:space="0" w:color="AAABD6"/>
              <w:left w:val="single" w:sz="4" w:space="0" w:color="AAABD6"/>
              <w:bottom w:val="dotted" w:sz="4" w:space="0" w:color="AAABD6"/>
              <w:right w:val="single" w:sz="4" w:space="0" w:color="AAABD6"/>
            </w:tcBorders>
            <w:vAlign w:val="center"/>
          </w:tcPr>
          <w:p w14:paraId="1B37920E"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Tas</w:t>
            </w:r>
          </w:p>
        </w:tc>
        <w:tc>
          <w:tcPr>
            <w:tcW w:w="2031" w:type="pct"/>
            <w:vMerge/>
            <w:tcBorders>
              <w:left w:val="single" w:sz="4" w:space="0" w:color="AAABD6"/>
              <w:right w:val="single" w:sz="4" w:space="0" w:color="AAABD6"/>
            </w:tcBorders>
          </w:tcPr>
          <w:p w14:paraId="3DEAE0C1"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p>
        </w:tc>
        <w:tc>
          <w:tcPr>
            <w:tcW w:w="468" w:type="pct"/>
            <w:tcBorders>
              <w:top w:val="dotted" w:sz="4" w:space="0" w:color="AAABD6"/>
              <w:left w:val="single" w:sz="4" w:space="0" w:color="AAABD6"/>
              <w:bottom w:val="dotted" w:sz="4" w:space="0" w:color="AAABD6"/>
              <w:right w:val="single" w:sz="4" w:space="0" w:color="AAABD6"/>
            </w:tcBorders>
            <w:vAlign w:val="bottom"/>
          </w:tcPr>
          <w:p w14:paraId="76BD1265"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-31,583</w:t>
            </w:r>
          </w:p>
        </w:tc>
        <w:tc>
          <w:tcPr>
            <w:tcW w:w="175" w:type="pct"/>
            <w:tcBorders>
              <w:top w:val="dotted" w:sz="4" w:space="0" w:color="AAABD6"/>
              <w:left w:val="single" w:sz="4" w:space="0" w:color="AAABD6"/>
              <w:bottom w:val="dotted" w:sz="4" w:space="0" w:color="AAABD6"/>
              <w:right w:val="single" w:sz="4" w:space="0" w:color="AAABD6"/>
            </w:tcBorders>
          </w:tcPr>
          <w:p w14:paraId="4E779511"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w:t>
            </w:r>
          </w:p>
        </w:tc>
        <w:tc>
          <w:tcPr>
            <w:tcW w:w="468" w:type="pct"/>
            <w:tcBorders>
              <w:top w:val="dotted" w:sz="4" w:space="0" w:color="AAABD6"/>
              <w:left w:val="single" w:sz="4" w:space="0" w:color="AAABD6"/>
              <w:bottom w:val="dotted" w:sz="4" w:space="0" w:color="AAABD6"/>
              <w:right w:val="single" w:sz="4" w:space="0" w:color="AAABD6"/>
            </w:tcBorders>
            <w:vAlign w:val="bottom"/>
          </w:tcPr>
          <w:p w14:paraId="5C9E8810"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-32,481</w:t>
            </w:r>
          </w:p>
        </w:tc>
        <w:tc>
          <w:tcPr>
            <w:tcW w:w="175" w:type="pct"/>
            <w:tcBorders>
              <w:top w:val="dotted" w:sz="4" w:space="0" w:color="AAABD6"/>
              <w:left w:val="single" w:sz="4" w:space="0" w:color="AAABD6"/>
              <w:bottom w:val="dotted" w:sz="4" w:space="0" w:color="AAABD6"/>
              <w:right w:val="single" w:sz="4" w:space="0" w:color="AAABD6"/>
            </w:tcBorders>
          </w:tcPr>
          <w:p w14:paraId="689B4F34"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5" w:type="pct"/>
            <w:tcBorders>
              <w:top w:val="dotted" w:sz="4" w:space="0" w:color="AAABD6"/>
              <w:left w:val="single" w:sz="4" w:space="0" w:color="AAABD6"/>
              <w:bottom w:val="dotted" w:sz="4" w:space="0" w:color="AAABD6"/>
              <w:right w:val="single" w:sz="4" w:space="0" w:color="AAABD6"/>
            </w:tcBorders>
          </w:tcPr>
          <w:p w14:paraId="48D6B450" w14:textId="26D2307F"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color w:val="000000" w:themeColor="text1"/>
              </w:rPr>
              <w:t>...</w:t>
            </w:r>
          </w:p>
        </w:tc>
        <w:tc>
          <w:tcPr>
            <w:tcW w:w="484" w:type="pct"/>
            <w:tcBorders>
              <w:top w:val="dotted" w:sz="4" w:space="0" w:color="AAABD6"/>
              <w:left w:val="single" w:sz="4" w:space="0" w:color="AAABD6"/>
              <w:bottom w:val="dotted" w:sz="4" w:space="0" w:color="AAABD6"/>
              <w:right w:val="single" w:sz="4" w:space="0" w:color="AAABD6"/>
            </w:tcBorders>
            <w:vAlign w:val="bottom"/>
          </w:tcPr>
          <w:p w14:paraId="6FD04D7B"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-41,224</w:t>
            </w:r>
          </w:p>
        </w:tc>
      </w:tr>
      <w:tr w:rsidR="00AD2F76" w:rsidRPr="00100F0A" w14:paraId="2594D4C8" w14:textId="77777777" w:rsidTr="00FD3200">
        <w:trPr>
          <w:gridAfter w:val="1"/>
          <w:wAfter w:w="7" w:type="pct"/>
        </w:trPr>
        <w:tc>
          <w:tcPr>
            <w:cnfStyle w:val="001000000000" w:firstRow="0" w:lastRow="0" w:firstColumn="1" w:lastColumn="0" w:oddVBand="0" w:evenVBand="0" w:oddHBand="0" w:evenHBand="0" w:firstRowFirstColumn="0" w:firstRowLastColumn="0" w:lastRowFirstColumn="0" w:lastRowLastColumn="0"/>
            <w:tcW w:w="509" w:type="pct"/>
            <w:vMerge/>
            <w:tcBorders>
              <w:left w:val="single" w:sz="4" w:space="0" w:color="AAABD6"/>
              <w:right w:val="single" w:sz="4" w:space="0" w:color="AAABD6"/>
            </w:tcBorders>
          </w:tcPr>
          <w:p w14:paraId="255EEC48" w14:textId="77777777" w:rsidR="00AD2F76" w:rsidRPr="00100F0A" w:rsidRDefault="00AD2F76" w:rsidP="008265C8"/>
        </w:tc>
        <w:tc>
          <w:tcPr>
            <w:tcW w:w="509" w:type="pct"/>
            <w:tcBorders>
              <w:top w:val="dotted" w:sz="4" w:space="0" w:color="AAABD6"/>
              <w:left w:val="single" w:sz="4" w:space="0" w:color="AAABD6"/>
              <w:bottom w:val="dotted" w:sz="4" w:space="0" w:color="AAABD6"/>
              <w:right w:val="single" w:sz="4" w:space="0" w:color="AAABD6"/>
            </w:tcBorders>
            <w:vAlign w:val="center"/>
          </w:tcPr>
          <w:p w14:paraId="459B4C24"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Vic</w:t>
            </w:r>
          </w:p>
        </w:tc>
        <w:tc>
          <w:tcPr>
            <w:tcW w:w="2031" w:type="pct"/>
            <w:vMerge/>
            <w:tcBorders>
              <w:left w:val="single" w:sz="4" w:space="0" w:color="AAABD6"/>
              <w:right w:val="single" w:sz="4" w:space="0" w:color="AAABD6"/>
            </w:tcBorders>
          </w:tcPr>
          <w:p w14:paraId="71C4CD94"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p>
        </w:tc>
        <w:tc>
          <w:tcPr>
            <w:tcW w:w="468" w:type="pct"/>
            <w:tcBorders>
              <w:top w:val="dotted" w:sz="4" w:space="0" w:color="AAABD6"/>
              <w:left w:val="single" w:sz="4" w:space="0" w:color="AAABD6"/>
              <w:bottom w:val="dotted" w:sz="4" w:space="0" w:color="AAABD6"/>
              <w:right w:val="single" w:sz="4" w:space="0" w:color="AAABD6"/>
            </w:tcBorders>
            <w:vAlign w:val="bottom"/>
          </w:tcPr>
          <w:p w14:paraId="260F9211"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-489,531</w:t>
            </w:r>
          </w:p>
        </w:tc>
        <w:tc>
          <w:tcPr>
            <w:tcW w:w="175" w:type="pct"/>
            <w:tcBorders>
              <w:top w:val="dotted" w:sz="4" w:space="0" w:color="AAABD6"/>
              <w:left w:val="single" w:sz="4" w:space="0" w:color="AAABD6"/>
              <w:bottom w:val="dotted" w:sz="4" w:space="0" w:color="AAABD6"/>
              <w:right w:val="single" w:sz="4" w:space="0" w:color="AAABD6"/>
            </w:tcBorders>
          </w:tcPr>
          <w:p w14:paraId="3E634DD9"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w:t>
            </w:r>
          </w:p>
        </w:tc>
        <w:tc>
          <w:tcPr>
            <w:tcW w:w="468" w:type="pct"/>
            <w:tcBorders>
              <w:top w:val="dotted" w:sz="4" w:space="0" w:color="AAABD6"/>
              <w:left w:val="single" w:sz="4" w:space="0" w:color="AAABD6"/>
              <w:bottom w:val="dotted" w:sz="4" w:space="0" w:color="AAABD6"/>
              <w:right w:val="single" w:sz="4" w:space="0" w:color="AAABD6"/>
            </w:tcBorders>
            <w:vAlign w:val="bottom"/>
          </w:tcPr>
          <w:p w14:paraId="02AE561A"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-503,454</w:t>
            </w:r>
          </w:p>
        </w:tc>
        <w:tc>
          <w:tcPr>
            <w:tcW w:w="175" w:type="pct"/>
            <w:tcBorders>
              <w:top w:val="dotted" w:sz="4" w:space="0" w:color="AAABD6"/>
              <w:left w:val="single" w:sz="4" w:space="0" w:color="AAABD6"/>
              <w:bottom w:val="dotted" w:sz="4" w:space="0" w:color="AAABD6"/>
              <w:right w:val="single" w:sz="4" w:space="0" w:color="AAABD6"/>
            </w:tcBorders>
          </w:tcPr>
          <w:p w14:paraId="3EA62E35"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5" w:type="pct"/>
            <w:tcBorders>
              <w:top w:val="dotted" w:sz="4" w:space="0" w:color="AAABD6"/>
              <w:left w:val="single" w:sz="4" w:space="0" w:color="AAABD6"/>
              <w:bottom w:val="dotted" w:sz="4" w:space="0" w:color="AAABD6"/>
              <w:right w:val="single" w:sz="4" w:space="0" w:color="AAABD6"/>
            </w:tcBorders>
          </w:tcPr>
          <w:p w14:paraId="7529D5DE" w14:textId="293A5A4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color w:val="000000" w:themeColor="text1"/>
              </w:rPr>
              <w:t>...</w:t>
            </w:r>
          </w:p>
        </w:tc>
        <w:tc>
          <w:tcPr>
            <w:tcW w:w="484" w:type="pct"/>
            <w:tcBorders>
              <w:top w:val="dotted" w:sz="4" w:space="0" w:color="AAABD6"/>
              <w:left w:val="single" w:sz="4" w:space="0" w:color="AAABD6"/>
              <w:bottom w:val="dotted" w:sz="4" w:space="0" w:color="AAABD6"/>
              <w:right w:val="single" w:sz="4" w:space="0" w:color="AAABD6"/>
            </w:tcBorders>
            <w:vAlign w:val="bottom"/>
          </w:tcPr>
          <w:p w14:paraId="60FEAF38"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-638,978</w:t>
            </w:r>
          </w:p>
        </w:tc>
      </w:tr>
      <w:tr w:rsidR="00AD2F76" w:rsidRPr="00100F0A" w14:paraId="7477B771" w14:textId="77777777" w:rsidTr="00FD3200">
        <w:trPr>
          <w:gridAfter w:val="1"/>
          <w:wAfter w:w="7" w:type="pct"/>
        </w:trPr>
        <w:tc>
          <w:tcPr>
            <w:cnfStyle w:val="001000000000" w:firstRow="0" w:lastRow="0" w:firstColumn="1" w:lastColumn="0" w:oddVBand="0" w:evenVBand="0" w:oddHBand="0" w:evenHBand="0" w:firstRowFirstColumn="0" w:firstRowLastColumn="0" w:lastRowFirstColumn="0" w:lastRowLastColumn="0"/>
            <w:tcW w:w="509" w:type="pct"/>
            <w:vMerge/>
            <w:tcBorders>
              <w:left w:val="single" w:sz="4" w:space="0" w:color="AAABD6"/>
              <w:bottom w:val="single" w:sz="4" w:space="0" w:color="AAABD6"/>
              <w:right w:val="single" w:sz="4" w:space="0" w:color="AAABD6"/>
            </w:tcBorders>
          </w:tcPr>
          <w:p w14:paraId="59B3C38A" w14:textId="77777777" w:rsidR="00AD2F76" w:rsidRPr="00100F0A" w:rsidRDefault="00AD2F76" w:rsidP="008265C8"/>
        </w:tc>
        <w:tc>
          <w:tcPr>
            <w:tcW w:w="509" w:type="pct"/>
            <w:tcBorders>
              <w:top w:val="dotted" w:sz="4" w:space="0" w:color="AAABD6"/>
              <w:left w:val="single" w:sz="4" w:space="0" w:color="AAABD6"/>
              <w:bottom w:val="single" w:sz="4" w:space="0" w:color="AAABD6"/>
              <w:right w:val="single" w:sz="4" w:space="0" w:color="AAABD6"/>
            </w:tcBorders>
            <w:vAlign w:val="center"/>
          </w:tcPr>
          <w:p w14:paraId="60615887"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r w:rsidRPr="00100F0A">
              <w:t>WA</w:t>
            </w:r>
          </w:p>
        </w:tc>
        <w:tc>
          <w:tcPr>
            <w:tcW w:w="2031" w:type="pct"/>
            <w:vMerge/>
            <w:tcBorders>
              <w:left w:val="single" w:sz="4" w:space="0" w:color="AAABD6"/>
              <w:bottom w:val="single" w:sz="4" w:space="0" w:color="AAABD6"/>
              <w:right w:val="single" w:sz="4" w:space="0" w:color="AAABD6"/>
            </w:tcBorders>
          </w:tcPr>
          <w:p w14:paraId="118E1341" w14:textId="77777777" w:rsidR="00AD2F76" w:rsidRPr="00100F0A" w:rsidRDefault="00AD2F76" w:rsidP="008265C8">
            <w:pPr>
              <w:cnfStyle w:val="000000000000" w:firstRow="0" w:lastRow="0" w:firstColumn="0" w:lastColumn="0" w:oddVBand="0" w:evenVBand="0" w:oddHBand="0" w:evenHBand="0" w:firstRowFirstColumn="0" w:firstRowLastColumn="0" w:lastRowFirstColumn="0" w:lastRowLastColumn="0"/>
            </w:pPr>
          </w:p>
        </w:tc>
        <w:tc>
          <w:tcPr>
            <w:tcW w:w="468" w:type="pct"/>
            <w:tcBorders>
              <w:top w:val="dotted" w:sz="4" w:space="0" w:color="AAABD6"/>
              <w:left w:val="single" w:sz="4" w:space="0" w:color="AAABD6"/>
              <w:bottom w:val="single" w:sz="4" w:space="0" w:color="AAABD6"/>
              <w:right w:val="single" w:sz="4" w:space="0" w:color="AAABD6"/>
            </w:tcBorders>
            <w:vAlign w:val="bottom"/>
          </w:tcPr>
          <w:p w14:paraId="128560C9"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-142,122</w:t>
            </w:r>
          </w:p>
        </w:tc>
        <w:tc>
          <w:tcPr>
            <w:tcW w:w="175" w:type="pct"/>
            <w:tcBorders>
              <w:top w:val="dotted" w:sz="4" w:space="0" w:color="AAABD6"/>
              <w:left w:val="single" w:sz="4" w:space="0" w:color="AAABD6"/>
              <w:bottom w:val="single" w:sz="4" w:space="0" w:color="AAABD6"/>
              <w:right w:val="single" w:sz="4" w:space="0" w:color="AAABD6"/>
            </w:tcBorders>
          </w:tcPr>
          <w:p w14:paraId="21DEAD07"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w:t>
            </w:r>
          </w:p>
        </w:tc>
        <w:tc>
          <w:tcPr>
            <w:tcW w:w="468" w:type="pct"/>
            <w:tcBorders>
              <w:top w:val="dotted" w:sz="4" w:space="0" w:color="AAABD6"/>
              <w:left w:val="single" w:sz="4" w:space="0" w:color="AAABD6"/>
              <w:bottom w:val="single" w:sz="4" w:space="0" w:color="AAABD6"/>
              <w:right w:val="single" w:sz="4" w:space="0" w:color="AAABD6"/>
            </w:tcBorders>
            <w:vAlign w:val="bottom"/>
          </w:tcPr>
          <w:p w14:paraId="76A0AD3F"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-146,164</w:t>
            </w:r>
          </w:p>
        </w:tc>
        <w:tc>
          <w:tcPr>
            <w:tcW w:w="175" w:type="pct"/>
            <w:tcBorders>
              <w:top w:val="dotted" w:sz="4" w:space="0" w:color="AAABD6"/>
              <w:left w:val="single" w:sz="4" w:space="0" w:color="AAABD6"/>
              <w:bottom w:val="single" w:sz="4" w:space="0" w:color="AAABD6"/>
              <w:right w:val="single" w:sz="4" w:space="0" w:color="AAABD6"/>
            </w:tcBorders>
          </w:tcPr>
          <w:p w14:paraId="3C1EB126"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5" w:type="pct"/>
            <w:tcBorders>
              <w:top w:val="dotted" w:sz="4" w:space="0" w:color="AAABD6"/>
              <w:left w:val="single" w:sz="4" w:space="0" w:color="AAABD6"/>
              <w:bottom w:val="single" w:sz="4" w:space="0" w:color="AAABD6"/>
              <w:right w:val="single" w:sz="4" w:space="0" w:color="AAABD6"/>
            </w:tcBorders>
          </w:tcPr>
          <w:p w14:paraId="0D234393" w14:textId="08478DFC"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color w:val="000000" w:themeColor="text1"/>
              </w:rPr>
              <w:t>...</w:t>
            </w:r>
          </w:p>
        </w:tc>
        <w:tc>
          <w:tcPr>
            <w:tcW w:w="484" w:type="pct"/>
            <w:tcBorders>
              <w:top w:val="dotted" w:sz="4" w:space="0" w:color="AAABD6"/>
              <w:left w:val="single" w:sz="4" w:space="0" w:color="AAABD6"/>
              <w:bottom w:val="single" w:sz="4" w:space="0" w:color="AAABD6"/>
              <w:right w:val="single" w:sz="4" w:space="0" w:color="AAABD6"/>
            </w:tcBorders>
            <w:vAlign w:val="bottom"/>
          </w:tcPr>
          <w:p w14:paraId="1CE41148" w14:textId="77777777" w:rsidR="00AD2F76" w:rsidRPr="00100F0A" w:rsidRDefault="00AD2F76" w:rsidP="008265C8">
            <w:pPr>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100F0A">
              <w:rPr>
                <w:rFonts w:cs="Calibri"/>
                <w:color w:val="000000"/>
              </w:rPr>
              <w:t>-185,510</w:t>
            </w:r>
          </w:p>
        </w:tc>
      </w:tr>
    </w:tbl>
    <w:p w14:paraId="2FC56469" w14:textId="77777777" w:rsidR="009C6FAD" w:rsidRPr="00100F0A" w:rsidRDefault="009C6FAD" w:rsidP="009C6FAD">
      <w:pPr>
        <w:pStyle w:val="BodyText"/>
      </w:pPr>
    </w:p>
    <w:p w14:paraId="42A9DB73" w14:textId="491C887F" w:rsidR="009C6FAD" w:rsidRDefault="009C6FAD" w:rsidP="009C6FAD">
      <w:pPr>
        <w:pStyle w:val="BodyText"/>
      </w:pPr>
      <w:r w:rsidRPr="00100F0A">
        <w:t>Growth rates given above are applied to an absolute baseline figure for each scenario</w:t>
      </w:r>
      <w:r w:rsidR="00B404CD">
        <w:t>.</w:t>
      </w:r>
    </w:p>
    <w:p w14:paraId="0CA410F3" w14:textId="025F60A9" w:rsidR="009C6FAD" w:rsidRPr="00100F0A" w:rsidRDefault="009C6FAD" w:rsidP="005E702F">
      <w:pPr>
        <w:pStyle w:val="BodyText"/>
      </w:pPr>
      <w:bookmarkStart w:id="242" w:name="_Toc425849244"/>
    </w:p>
    <w:p w14:paraId="0D2AE630" w14:textId="3F4BDF4E" w:rsidR="009C6FAD" w:rsidRPr="00100F0A" w:rsidRDefault="009C6FAD" w:rsidP="005E702F">
      <w:pPr>
        <w:pStyle w:val="Caption"/>
      </w:pPr>
      <w:bookmarkStart w:id="243" w:name="_Toc13225603"/>
      <w:r w:rsidRPr="00100F0A">
        <w:t xml:space="preserve">Figure </w:t>
      </w:r>
      <w:r w:rsidR="002C01F0" w:rsidRPr="00100F0A">
        <w:rPr>
          <w:noProof/>
        </w:rPr>
        <w:fldChar w:fldCharType="begin"/>
      </w:r>
      <w:r w:rsidR="002C01F0" w:rsidRPr="00100F0A">
        <w:rPr>
          <w:noProof/>
        </w:rPr>
        <w:instrText xml:space="preserve"> SEQ Figure \* ARABIC </w:instrText>
      </w:r>
      <w:r w:rsidR="002C01F0" w:rsidRPr="00100F0A">
        <w:rPr>
          <w:noProof/>
        </w:rPr>
        <w:fldChar w:fldCharType="separate"/>
      </w:r>
      <w:r w:rsidR="00EB634D">
        <w:rPr>
          <w:noProof/>
        </w:rPr>
        <w:t>30</w:t>
      </w:r>
      <w:r w:rsidR="002C01F0" w:rsidRPr="00100F0A">
        <w:rPr>
          <w:noProof/>
        </w:rPr>
        <w:fldChar w:fldCharType="end"/>
      </w:r>
      <w:r w:rsidR="00AD2F76">
        <w:rPr>
          <w:noProof/>
        </w:rPr>
        <w:t>:</w:t>
      </w:r>
      <w:r w:rsidRPr="00100F0A">
        <w:tab/>
        <w:t xml:space="preserve">Best, high and low national projection estimates of </w:t>
      </w:r>
      <w:r w:rsidR="0010642B" w:rsidRPr="00100F0A">
        <w:t xml:space="preserve">other </w:t>
      </w:r>
      <w:r w:rsidRPr="00100F0A">
        <w:t>contaminated biosolid waste to 203</w:t>
      </w:r>
      <w:bookmarkEnd w:id="242"/>
      <w:r w:rsidRPr="00100F0A">
        <w:t>7</w:t>
      </w:r>
      <w:bookmarkEnd w:id="243"/>
    </w:p>
    <w:p w14:paraId="41CD83D9" w14:textId="3CBC1CD2" w:rsidR="009C6FAD" w:rsidRPr="00100F0A" w:rsidRDefault="009C6FAD" w:rsidP="009C6FAD">
      <w:r w:rsidRPr="00100F0A">
        <w:rPr>
          <w:noProof/>
          <w:lang w:eastAsia="en-AU"/>
        </w:rPr>
        <w:drawing>
          <wp:inline distT="0" distB="0" distL="0" distR="0" wp14:anchorId="17AA7E95" wp14:editId="051BD138">
            <wp:extent cx="5735955" cy="2960370"/>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5955" cy="2960370"/>
                    </a:xfrm>
                    <a:prstGeom prst="rect">
                      <a:avLst/>
                    </a:prstGeom>
                  </pic:spPr>
                </pic:pic>
              </a:graphicData>
            </a:graphic>
          </wp:inline>
        </w:drawing>
      </w:r>
    </w:p>
    <w:p w14:paraId="08389853" w14:textId="2C1F512F" w:rsidR="009C6FAD" w:rsidRDefault="00B62DB3" w:rsidP="00611DCF">
      <w:pPr>
        <w:pStyle w:val="Notes"/>
        <w:ind w:left="0" w:firstLine="0"/>
      </w:pPr>
      <w:r>
        <w:t xml:space="preserve">Note: the large increase in 2020 under the high scenario is a result of the assumed </w:t>
      </w:r>
      <w:r w:rsidR="00D36B8D">
        <w:t>treatment</w:t>
      </w:r>
      <w:r>
        <w:t xml:space="preserve"> of the Victorian contaminated biosolids stockpile</w:t>
      </w:r>
      <w:r w:rsidR="00D36B8D">
        <w:t xml:space="preserve"> over a </w:t>
      </w:r>
      <w:r w:rsidR="00C34F48">
        <w:t>15-year</w:t>
      </w:r>
      <w:r w:rsidR="00D36B8D">
        <w:t xml:space="preserve"> period.</w:t>
      </w:r>
    </w:p>
    <w:p w14:paraId="14493FC4" w14:textId="77777777" w:rsidR="00B62DB3" w:rsidRPr="00100F0A" w:rsidRDefault="00B62DB3" w:rsidP="009C6FAD">
      <w:pPr>
        <w:pStyle w:val="BodyText"/>
      </w:pPr>
    </w:p>
    <w:p w14:paraId="13BFD1B9" w14:textId="6474A73F" w:rsidR="00601CB2" w:rsidRPr="00100F0A" w:rsidRDefault="00601CB2" w:rsidP="00AD35BF">
      <w:pPr>
        <w:pStyle w:val="Heading3"/>
      </w:pPr>
      <w:r w:rsidRPr="00100F0A">
        <w:t>N205b Other industrial treatment residues</w:t>
      </w:r>
    </w:p>
    <w:p w14:paraId="40DD7123" w14:textId="4C445A6A" w:rsidR="00601CB2" w:rsidRPr="00100F0A" w:rsidRDefault="00601CB2" w:rsidP="00601CB2">
      <w:pPr>
        <w:pStyle w:val="BodyText"/>
      </w:pPr>
      <w:r w:rsidRPr="00100F0A">
        <w:t xml:space="preserve">This category covers the single NEPM code </w:t>
      </w:r>
      <w:r w:rsidRPr="00100F0A">
        <w:rPr>
          <w:i/>
        </w:rPr>
        <w:t>N205 Residues from industrial waste treatment/disposal operations</w:t>
      </w:r>
      <w:r w:rsidRPr="00100F0A">
        <w:t xml:space="preserve">. For this project we rebadge this material as </w:t>
      </w:r>
      <w:r w:rsidR="009321D6" w:rsidRPr="00100F0A">
        <w:rPr>
          <w:i/>
        </w:rPr>
        <w:t>N205b</w:t>
      </w:r>
      <w:r w:rsidRPr="00100F0A">
        <w:rPr>
          <w:i/>
        </w:rPr>
        <w:t xml:space="preserve"> Other industrial treatment residues</w:t>
      </w:r>
      <w:r w:rsidRPr="00100F0A">
        <w:t xml:space="preserve"> to distinguish it from contaminated biosolids, which are not typically reported in jurisdictional tracking systems, and which we characterise as N205a. This NEPM group considers N205b, industrial treatment residues, not including any biosolids (contaminated or not contaminated).</w:t>
      </w:r>
    </w:p>
    <w:p w14:paraId="0A4A17C5" w14:textId="77777777" w:rsidR="00601CB2" w:rsidRPr="00100F0A" w:rsidRDefault="00601CB2" w:rsidP="00601CB2">
      <w:pPr>
        <w:pStyle w:val="BodyText"/>
        <w:rPr>
          <w:b/>
        </w:rPr>
      </w:pPr>
    </w:p>
    <w:p w14:paraId="577EA20D" w14:textId="77777777" w:rsidR="00601CB2" w:rsidRPr="00100F0A" w:rsidRDefault="00601CB2" w:rsidP="00931F74">
      <w:pPr>
        <w:pStyle w:val="Heading3-nonumber"/>
      </w:pPr>
      <w:r w:rsidRPr="00100F0A">
        <w:t>Summary analysis</w:t>
      </w:r>
    </w:p>
    <w:tbl>
      <w:tblPr>
        <w:tblStyle w:val="BETable11"/>
        <w:tblW w:w="4951" w:type="pct"/>
        <w:tblInd w:w="5" w:type="dxa"/>
        <w:tblBorders>
          <w:top w:val="single" w:sz="4" w:space="0" w:color="AAABD6"/>
          <w:left w:val="single" w:sz="4" w:space="0" w:color="AAABD6"/>
          <w:bottom w:val="single" w:sz="4" w:space="0" w:color="AAABD6"/>
          <w:right w:val="single" w:sz="4" w:space="0" w:color="AAABD6"/>
          <w:insideH w:val="single" w:sz="4" w:space="0" w:color="AAABD6"/>
          <w:insideV w:val="single" w:sz="4" w:space="0" w:color="AAABD6"/>
        </w:tblBorders>
        <w:tblLook w:val="04A0" w:firstRow="1" w:lastRow="0" w:firstColumn="1" w:lastColumn="0" w:noHBand="0" w:noVBand="1"/>
      </w:tblPr>
      <w:tblGrid>
        <w:gridCol w:w="3039"/>
        <w:gridCol w:w="3038"/>
        <w:gridCol w:w="3036"/>
      </w:tblGrid>
      <w:tr w:rsidR="009321D6" w:rsidRPr="00100F0A" w14:paraId="6298EAAE" w14:textId="77777777" w:rsidTr="009321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shd w:val="clear" w:color="auto" w:fill="AAABD6"/>
          </w:tcPr>
          <w:p w14:paraId="301BC37C" w14:textId="77777777" w:rsidR="00601CB2" w:rsidRPr="00100F0A" w:rsidRDefault="00601CB2" w:rsidP="002A3A54">
            <w:pPr>
              <w:pStyle w:val="BodyText"/>
              <w:rPr>
                <w:color w:val="FFFFFF" w:themeColor="background1"/>
              </w:rPr>
            </w:pPr>
            <w:r w:rsidRPr="00100F0A">
              <w:rPr>
                <w:color w:val="FFFFFF" w:themeColor="background1"/>
              </w:rPr>
              <w:t>Industry sources</w:t>
            </w:r>
          </w:p>
        </w:tc>
        <w:tc>
          <w:tcPr>
            <w:tcW w:w="1667" w:type="pct"/>
            <w:shd w:val="clear" w:color="auto" w:fill="AAABD6"/>
          </w:tcPr>
          <w:p w14:paraId="34274211" w14:textId="77777777" w:rsidR="00601CB2" w:rsidRPr="00100F0A" w:rsidRDefault="00601CB2"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Considerations</w:t>
            </w:r>
          </w:p>
        </w:tc>
        <w:tc>
          <w:tcPr>
            <w:tcW w:w="1666" w:type="pct"/>
            <w:shd w:val="clear" w:color="auto" w:fill="AAABD6"/>
          </w:tcPr>
          <w:p w14:paraId="611E4DBB" w14:textId="77777777" w:rsidR="00601CB2" w:rsidRPr="00100F0A" w:rsidRDefault="00601CB2"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r>
      <w:tr w:rsidR="009321D6" w:rsidRPr="00100F0A" w14:paraId="48018045" w14:textId="77777777" w:rsidTr="00481E42">
        <w:trPr>
          <w:trHeight w:val="1221"/>
        </w:trPr>
        <w:tc>
          <w:tcPr>
            <w:cnfStyle w:val="001000000000" w:firstRow="0" w:lastRow="0" w:firstColumn="1" w:lastColumn="0" w:oddVBand="0" w:evenVBand="0" w:oddHBand="0" w:evenHBand="0" w:firstRowFirstColumn="0" w:firstRowLastColumn="0" w:lastRowFirstColumn="0" w:lastRowLastColumn="0"/>
            <w:tcW w:w="1667" w:type="pct"/>
          </w:tcPr>
          <w:p w14:paraId="1F6FF6B2" w14:textId="059909F6" w:rsidR="009321D6" w:rsidRPr="00100F0A" w:rsidRDefault="009321D6" w:rsidP="00E96D3C">
            <w:pPr>
              <w:numPr>
                <w:ilvl w:val="0"/>
                <w:numId w:val="19"/>
              </w:numPr>
              <w:spacing w:after="60"/>
              <w:ind w:left="142" w:hanging="144"/>
              <w:rPr>
                <w:color w:val="000000"/>
              </w:rPr>
            </w:pPr>
            <w:r w:rsidRPr="00100F0A">
              <w:rPr>
                <w:color w:val="000000"/>
              </w:rPr>
              <w:t>Waste treatment and disposal services</w:t>
            </w:r>
          </w:p>
          <w:p w14:paraId="2557CA35" w14:textId="0B7153C1" w:rsidR="009321D6" w:rsidRPr="00100F0A" w:rsidRDefault="009321D6" w:rsidP="00E96D3C">
            <w:pPr>
              <w:numPr>
                <w:ilvl w:val="0"/>
                <w:numId w:val="19"/>
              </w:numPr>
              <w:spacing w:after="60"/>
              <w:ind w:left="142" w:hanging="144"/>
              <w:rPr>
                <w:color w:val="000000"/>
              </w:rPr>
            </w:pPr>
            <w:r w:rsidRPr="00100F0A">
              <w:rPr>
                <w:color w:val="000000"/>
              </w:rPr>
              <w:t>Electricity supply</w:t>
            </w:r>
          </w:p>
          <w:p w14:paraId="5A3E0389" w14:textId="56027D0C" w:rsidR="009321D6" w:rsidRPr="00100F0A" w:rsidRDefault="009321D6" w:rsidP="00E96D3C">
            <w:pPr>
              <w:numPr>
                <w:ilvl w:val="0"/>
                <w:numId w:val="19"/>
              </w:numPr>
              <w:spacing w:after="60"/>
              <w:ind w:left="142" w:hanging="144"/>
              <w:rPr>
                <w:color w:val="000000"/>
              </w:rPr>
            </w:pPr>
            <w:r w:rsidRPr="00100F0A">
              <w:rPr>
                <w:color w:val="000000"/>
              </w:rPr>
              <w:t>Wastewater treatment plants</w:t>
            </w:r>
          </w:p>
        </w:tc>
        <w:tc>
          <w:tcPr>
            <w:tcW w:w="1667" w:type="pct"/>
          </w:tcPr>
          <w:p w14:paraId="71F4A9BF" w14:textId="77777777" w:rsidR="009321D6" w:rsidRPr="00100F0A" w:rsidRDefault="009321D6" w:rsidP="002A3A54">
            <w:pPr>
              <w:pStyle w:val="BodyText"/>
              <w:cnfStyle w:val="000000000000" w:firstRow="0" w:lastRow="0" w:firstColumn="0" w:lastColumn="0" w:oddVBand="0" w:evenVBand="0" w:oddHBand="0" w:evenHBand="0" w:firstRowFirstColumn="0" w:firstRowLastColumn="0" w:lastRowFirstColumn="0" w:lastRowLastColumn="0"/>
            </w:pPr>
            <w:r w:rsidRPr="00100F0A">
              <w:t>No sufficiently credible pre-existing projections were identified</w:t>
            </w:r>
          </w:p>
          <w:p w14:paraId="071F130A" w14:textId="77777777" w:rsidR="009321D6" w:rsidRPr="00100F0A" w:rsidRDefault="009321D6" w:rsidP="002A3A54">
            <w:pPr>
              <w:pStyle w:val="BodyText"/>
              <w:cnfStyle w:val="000000000000" w:firstRow="0" w:lastRow="0" w:firstColumn="0" w:lastColumn="0" w:oddVBand="0" w:evenVBand="0" w:oddHBand="0" w:evenHBand="0" w:firstRowFirstColumn="0" w:firstRowLastColumn="0" w:lastRowFirstColumn="0" w:lastRowLastColumn="0"/>
            </w:pPr>
          </w:p>
          <w:p w14:paraId="181A82F4" w14:textId="3E9C2408" w:rsidR="009321D6" w:rsidRPr="00100F0A" w:rsidRDefault="009321D6" w:rsidP="002A3A54">
            <w:pPr>
              <w:pStyle w:val="BodyText"/>
              <w:cnfStyle w:val="000000000000" w:firstRow="0" w:lastRow="0" w:firstColumn="0" w:lastColumn="0" w:oddVBand="0" w:evenVBand="0" w:oddHBand="0" w:evenHBand="0" w:firstRowFirstColumn="0" w:firstRowLastColumn="0" w:lastRowFirstColumn="0" w:lastRowLastColumn="0"/>
            </w:pPr>
            <w:r w:rsidRPr="00100F0A">
              <w:t>No historical data set exists that is adequate for discerning trends</w:t>
            </w:r>
          </w:p>
        </w:tc>
        <w:tc>
          <w:tcPr>
            <w:tcW w:w="1666" w:type="pct"/>
          </w:tcPr>
          <w:p w14:paraId="3E78DF69" w14:textId="77777777" w:rsidR="009321D6" w:rsidRPr="00100F0A" w:rsidRDefault="009321D6" w:rsidP="009321D6">
            <w:pPr>
              <w:pStyle w:val="BodyText"/>
              <w:cnfStyle w:val="000000000000" w:firstRow="0" w:lastRow="0" w:firstColumn="0" w:lastColumn="0" w:oddVBand="0" w:evenVBand="0" w:oddHBand="0" w:evenHBand="0" w:firstRowFirstColumn="0" w:firstRowLastColumn="0" w:lastRowFirstColumn="0" w:lastRowLastColumn="0"/>
            </w:pPr>
            <w:r w:rsidRPr="00100F0A">
              <w:t>Best: population growth</w:t>
            </w:r>
          </w:p>
          <w:p w14:paraId="3E1F86DA" w14:textId="77777777" w:rsidR="009321D6" w:rsidRPr="00100F0A" w:rsidRDefault="009321D6" w:rsidP="009321D6">
            <w:pPr>
              <w:pStyle w:val="BodyText"/>
              <w:cnfStyle w:val="000000000000" w:firstRow="0" w:lastRow="0" w:firstColumn="0" w:lastColumn="0" w:oddVBand="0" w:evenVBand="0" w:oddHBand="0" w:evenHBand="0" w:firstRowFirstColumn="0" w:firstRowLastColumn="0" w:lastRowFirstColumn="0" w:lastRowLastColumn="0"/>
            </w:pPr>
            <w:r w:rsidRPr="00100F0A">
              <w:t>High: economic growth</w:t>
            </w:r>
          </w:p>
          <w:p w14:paraId="4C1E787F" w14:textId="05E04775" w:rsidR="009321D6" w:rsidRPr="00100F0A" w:rsidRDefault="009321D6" w:rsidP="002A3A54">
            <w:pPr>
              <w:pStyle w:val="BodyText"/>
              <w:cnfStyle w:val="000000000000" w:firstRow="0" w:lastRow="0" w:firstColumn="0" w:lastColumn="0" w:oddVBand="0" w:evenVBand="0" w:oddHBand="0" w:evenHBand="0" w:firstRowFirstColumn="0" w:firstRowLastColumn="0" w:lastRowFirstColumn="0" w:lastRowLastColumn="0"/>
            </w:pPr>
            <w:r w:rsidRPr="00100F0A">
              <w:t>Low: -2% annual decline</w:t>
            </w:r>
          </w:p>
        </w:tc>
      </w:tr>
    </w:tbl>
    <w:p w14:paraId="2E0DD77C" w14:textId="4E2A08BA" w:rsidR="00601CB2" w:rsidRPr="00100F0A" w:rsidRDefault="00601CB2" w:rsidP="00601CB2">
      <w:pPr>
        <w:pStyle w:val="BodyText"/>
        <w:rPr>
          <w:b/>
        </w:rPr>
      </w:pPr>
    </w:p>
    <w:p w14:paraId="64106ED6" w14:textId="6E0489F9" w:rsidR="00601CB2" w:rsidRPr="00100F0A" w:rsidRDefault="00601CB2" w:rsidP="00273FA6">
      <w:pPr>
        <w:pStyle w:val="Caption"/>
      </w:pPr>
      <w:bookmarkStart w:id="244" w:name="_Toc425849319"/>
      <w:bookmarkStart w:id="245" w:name="_Toc13225654"/>
      <w:r w:rsidRPr="00100F0A">
        <w:t xml:space="preserve">Table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35</w:t>
      </w:r>
      <w:r w:rsidR="00B404A6" w:rsidRPr="00100F0A">
        <w:rPr>
          <w:noProof/>
        </w:rPr>
        <w:fldChar w:fldCharType="end"/>
      </w:r>
      <w:r w:rsidR="00AD2F76">
        <w:rPr>
          <w:noProof/>
        </w:rPr>
        <w:t>:</w:t>
      </w:r>
      <w:r w:rsidR="00D11FEE" w:rsidRPr="00100F0A">
        <w:tab/>
      </w:r>
      <w:r w:rsidRPr="00100F0A">
        <w:t>Best, high and low projected rates of change for other industrial treatment residue waste to 203</w:t>
      </w:r>
      <w:bookmarkEnd w:id="244"/>
      <w:r w:rsidR="009321D6" w:rsidRPr="00100F0A">
        <w:t>7</w:t>
      </w:r>
      <w:bookmarkEnd w:id="245"/>
    </w:p>
    <w:tbl>
      <w:tblPr>
        <w:tblStyle w:val="BETable1"/>
        <w:tblW w:w="8222" w:type="dxa"/>
        <w:tblBorders>
          <w:top w:val="single" w:sz="4" w:space="0" w:color="AAABD6"/>
          <w:left w:val="single" w:sz="4" w:space="0" w:color="AAABD6"/>
          <w:bottom w:val="single" w:sz="4" w:space="0" w:color="AAABD6"/>
          <w:right w:val="single" w:sz="4" w:space="0" w:color="AAABD6"/>
          <w:insideH w:val="single" w:sz="4" w:space="0" w:color="AAABD6"/>
          <w:insideV w:val="single" w:sz="4" w:space="0" w:color="AAABD6"/>
        </w:tblBorders>
        <w:tblLayout w:type="fixed"/>
        <w:tblLook w:val="04A0" w:firstRow="1" w:lastRow="0" w:firstColumn="1" w:lastColumn="0" w:noHBand="0" w:noVBand="1"/>
      </w:tblPr>
      <w:tblGrid>
        <w:gridCol w:w="1134"/>
        <w:gridCol w:w="1134"/>
        <w:gridCol w:w="3828"/>
        <w:gridCol w:w="708"/>
        <w:gridCol w:w="567"/>
        <w:gridCol w:w="851"/>
      </w:tblGrid>
      <w:tr w:rsidR="009321D6" w:rsidRPr="00100F0A" w14:paraId="1D3DB0CA" w14:textId="77777777" w:rsidTr="009321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AAABD6"/>
            </w:tcBorders>
            <w:shd w:val="clear" w:color="auto" w:fill="AAABD6"/>
          </w:tcPr>
          <w:p w14:paraId="6578E9D2" w14:textId="77777777" w:rsidR="00601CB2" w:rsidRPr="00100F0A" w:rsidRDefault="00601CB2" w:rsidP="002A3A54">
            <w:pPr>
              <w:rPr>
                <w:color w:val="FFFFFF" w:themeColor="background1"/>
              </w:rPr>
            </w:pPr>
            <w:bookmarkStart w:id="246" w:name="OLE_LINK1"/>
          </w:p>
        </w:tc>
        <w:tc>
          <w:tcPr>
            <w:tcW w:w="1134" w:type="dxa"/>
            <w:tcBorders>
              <w:bottom w:val="single" w:sz="4" w:space="0" w:color="AAABD6"/>
            </w:tcBorders>
            <w:shd w:val="clear" w:color="auto" w:fill="AAABD6"/>
          </w:tcPr>
          <w:p w14:paraId="6AAF1493" w14:textId="77777777" w:rsidR="00601CB2" w:rsidRPr="00100F0A" w:rsidRDefault="00601CB2" w:rsidP="002A3A5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Applies to</w:t>
            </w:r>
          </w:p>
        </w:tc>
        <w:tc>
          <w:tcPr>
            <w:tcW w:w="3828" w:type="dxa"/>
            <w:tcBorders>
              <w:bottom w:val="single" w:sz="4" w:space="0" w:color="AAABD6"/>
            </w:tcBorders>
            <w:shd w:val="clear" w:color="auto" w:fill="AAABD6"/>
          </w:tcPr>
          <w:p w14:paraId="59B52BD5" w14:textId="77777777" w:rsidR="00601CB2" w:rsidRPr="00100F0A" w:rsidRDefault="00601CB2" w:rsidP="002A3A5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c>
          <w:tcPr>
            <w:tcW w:w="708" w:type="dxa"/>
            <w:tcBorders>
              <w:bottom w:val="single" w:sz="4" w:space="0" w:color="AAABD6"/>
            </w:tcBorders>
            <w:shd w:val="clear" w:color="auto" w:fill="AAABD6"/>
          </w:tcPr>
          <w:p w14:paraId="165F81D1" w14:textId="59F17827" w:rsidR="00601CB2" w:rsidRPr="00100F0A" w:rsidRDefault="009321D6" w:rsidP="002A3A54">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2018</w:t>
            </w:r>
          </w:p>
        </w:tc>
        <w:tc>
          <w:tcPr>
            <w:tcW w:w="567" w:type="dxa"/>
            <w:tcBorders>
              <w:bottom w:val="single" w:sz="4" w:space="0" w:color="AAABD6"/>
            </w:tcBorders>
            <w:shd w:val="clear" w:color="auto" w:fill="AAABD6"/>
          </w:tcPr>
          <w:p w14:paraId="6903F6EE" w14:textId="77777777" w:rsidR="00601CB2" w:rsidRPr="00100F0A" w:rsidRDefault="00601CB2" w:rsidP="002A3A54">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w:t>
            </w:r>
          </w:p>
        </w:tc>
        <w:tc>
          <w:tcPr>
            <w:tcW w:w="851" w:type="dxa"/>
            <w:tcBorders>
              <w:bottom w:val="single" w:sz="4" w:space="0" w:color="AAABD6"/>
            </w:tcBorders>
            <w:shd w:val="clear" w:color="auto" w:fill="AAABD6"/>
          </w:tcPr>
          <w:p w14:paraId="5824F7A7" w14:textId="46FCCA02" w:rsidR="00601CB2" w:rsidRPr="00100F0A" w:rsidRDefault="009321D6" w:rsidP="002A3A54">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2037</w:t>
            </w:r>
          </w:p>
        </w:tc>
      </w:tr>
      <w:tr w:rsidR="009321D6" w:rsidRPr="00100F0A" w14:paraId="09A54D20" w14:textId="77777777" w:rsidTr="00481E42">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AABD6"/>
              <w:bottom w:val="dotted" w:sz="4" w:space="0" w:color="AAABD6"/>
            </w:tcBorders>
          </w:tcPr>
          <w:p w14:paraId="62B3F72B" w14:textId="77777777" w:rsidR="009321D6" w:rsidRPr="00100F0A" w:rsidRDefault="009321D6" w:rsidP="009321D6">
            <w:r w:rsidRPr="00100F0A">
              <w:t>Best</w:t>
            </w:r>
          </w:p>
        </w:tc>
        <w:tc>
          <w:tcPr>
            <w:tcW w:w="1134" w:type="dxa"/>
            <w:vMerge w:val="restart"/>
            <w:tcBorders>
              <w:top w:val="single" w:sz="4" w:space="0" w:color="AAABD6"/>
              <w:bottom w:val="dotted" w:sz="4" w:space="0" w:color="AAABD6"/>
            </w:tcBorders>
            <w:vAlign w:val="center"/>
          </w:tcPr>
          <w:p w14:paraId="2D1E18E5" w14:textId="77777777" w:rsidR="009321D6" w:rsidRPr="00100F0A" w:rsidRDefault="009321D6" w:rsidP="009321D6">
            <w:pPr>
              <w:cnfStyle w:val="000000000000" w:firstRow="0" w:lastRow="0" w:firstColumn="0" w:lastColumn="0" w:oddVBand="0" w:evenVBand="0" w:oddHBand="0" w:evenHBand="0" w:firstRowFirstColumn="0" w:firstRowLastColumn="0" w:lastRowFirstColumn="0" w:lastRowLastColumn="0"/>
            </w:pPr>
            <w:r w:rsidRPr="00100F0A">
              <w:t>ACT, NSW, NT, Qld, SA, Tas, Vic, WA</w:t>
            </w:r>
          </w:p>
        </w:tc>
        <w:tc>
          <w:tcPr>
            <w:tcW w:w="3828" w:type="dxa"/>
            <w:tcBorders>
              <w:top w:val="single" w:sz="4" w:space="0" w:color="AAABD6"/>
              <w:bottom w:val="dotted" w:sz="4" w:space="0" w:color="AAABD6"/>
            </w:tcBorders>
            <w:vAlign w:val="bottom"/>
          </w:tcPr>
          <w:p w14:paraId="76ADCEB9" w14:textId="3F757471" w:rsidR="009321D6" w:rsidRPr="00100F0A" w:rsidRDefault="00C34F48" w:rsidP="009321D6">
            <w:pPr>
              <w:cnfStyle w:val="000000000000" w:firstRow="0" w:lastRow="0" w:firstColumn="0" w:lastColumn="0" w:oddVBand="0" w:evenVBand="0" w:oddHBand="0" w:evenHBand="0" w:firstRowFirstColumn="0" w:firstRowLastColumn="0" w:lastRowFirstColumn="0" w:lastRowLastColumn="0"/>
            </w:pPr>
            <w:r>
              <w:rPr>
                <w:rFonts w:cs="Calibri"/>
                <w:color w:val="000000"/>
              </w:rPr>
              <w:t>20-year average</w:t>
            </w:r>
            <w:r w:rsidR="009321D6" w:rsidRPr="00100F0A">
              <w:rPr>
                <w:rFonts w:cs="Calibri"/>
                <w:color w:val="000000"/>
              </w:rPr>
              <w:t xml:space="preserve"> annual population growth </w:t>
            </w:r>
          </w:p>
        </w:tc>
        <w:tc>
          <w:tcPr>
            <w:tcW w:w="708" w:type="dxa"/>
            <w:tcBorders>
              <w:top w:val="single" w:sz="4" w:space="0" w:color="AAABD6"/>
              <w:bottom w:val="dotted" w:sz="4" w:space="0" w:color="AAABD6"/>
            </w:tcBorders>
            <w:vAlign w:val="bottom"/>
          </w:tcPr>
          <w:p w14:paraId="04E07EA1" w14:textId="4544A504" w:rsidR="009321D6" w:rsidRPr="00100F0A" w:rsidRDefault="009321D6" w:rsidP="009321D6">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1.4%</w:t>
            </w:r>
          </w:p>
        </w:tc>
        <w:tc>
          <w:tcPr>
            <w:tcW w:w="567" w:type="dxa"/>
            <w:tcBorders>
              <w:top w:val="single" w:sz="4" w:space="0" w:color="AAABD6"/>
              <w:bottom w:val="dotted" w:sz="4" w:space="0" w:color="AAABD6"/>
            </w:tcBorders>
          </w:tcPr>
          <w:p w14:paraId="33669DDD" w14:textId="77777777" w:rsidR="009321D6" w:rsidRPr="00100F0A" w:rsidRDefault="009321D6" w:rsidP="009321D6">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851" w:type="dxa"/>
            <w:tcBorders>
              <w:top w:val="single" w:sz="4" w:space="0" w:color="AAABD6"/>
              <w:bottom w:val="dotted" w:sz="4" w:space="0" w:color="AAABD6"/>
            </w:tcBorders>
            <w:vAlign w:val="bottom"/>
          </w:tcPr>
          <w:p w14:paraId="02C2E3AE" w14:textId="2199A6EA" w:rsidR="009321D6" w:rsidRPr="00100F0A" w:rsidRDefault="009321D6" w:rsidP="009321D6">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1.4%</w:t>
            </w:r>
          </w:p>
        </w:tc>
      </w:tr>
      <w:tr w:rsidR="009321D6" w:rsidRPr="00100F0A" w14:paraId="52B176C8" w14:textId="77777777" w:rsidTr="00481E42">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AAABD6"/>
              <w:bottom w:val="dotted" w:sz="4" w:space="0" w:color="AAABD6"/>
            </w:tcBorders>
          </w:tcPr>
          <w:p w14:paraId="258C7FF9" w14:textId="77777777" w:rsidR="009321D6" w:rsidRPr="00100F0A" w:rsidRDefault="009321D6" w:rsidP="009321D6">
            <w:r w:rsidRPr="00100F0A">
              <w:t>High</w:t>
            </w:r>
          </w:p>
        </w:tc>
        <w:tc>
          <w:tcPr>
            <w:tcW w:w="1134" w:type="dxa"/>
            <w:vMerge/>
            <w:tcBorders>
              <w:top w:val="dotted" w:sz="4" w:space="0" w:color="AAABD6"/>
              <w:bottom w:val="dotted" w:sz="4" w:space="0" w:color="AAABD6"/>
            </w:tcBorders>
            <w:vAlign w:val="center"/>
          </w:tcPr>
          <w:p w14:paraId="1A163889" w14:textId="77777777" w:rsidR="009321D6" w:rsidRPr="00100F0A" w:rsidRDefault="009321D6" w:rsidP="009321D6">
            <w:pPr>
              <w:cnfStyle w:val="000000000000" w:firstRow="0" w:lastRow="0" w:firstColumn="0" w:lastColumn="0" w:oddVBand="0" w:evenVBand="0" w:oddHBand="0" w:evenHBand="0" w:firstRowFirstColumn="0" w:firstRowLastColumn="0" w:lastRowFirstColumn="0" w:lastRowLastColumn="0"/>
            </w:pPr>
          </w:p>
        </w:tc>
        <w:tc>
          <w:tcPr>
            <w:tcW w:w="3828" w:type="dxa"/>
            <w:tcBorders>
              <w:top w:val="dotted" w:sz="4" w:space="0" w:color="AAABD6"/>
              <w:bottom w:val="dotted" w:sz="4" w:space="0" w:color="AAABD6"/>
            </w:tcBorders>
            <w:vAlign w:val="bottom"/>
          </w:tcPr>
          <w:p w14:paraId="61839621" w14:textId="754AC6FB" w:rsidR="009321D6" w:rsidRPr="00100F0A" w:rsidRDefault="00C34F48" w:rsidP="009321D6">
            <w:pPr>
              <w:cnfStyle w:val="000000000000" w:firstRow="0" w:lastRow="0" w:firstColumn="0" w:lastColumn="0" w:oddVBand="0" w:evenVBand="0" w:oddHBand="0" w:evenHBand="0" w:firstRowFirstColumn="0" w:firstRowLastColumn="0" w:lastRowFirstColumn="0" w:lastRowLastColumn="0"/>
            </w:pPr>
            <w:r>
              <w:rPr>
                <w:rFonts w:cs="Calibri"/>
                <w:color w:val="000000"/>
              </w:rPr>
              <w:t>20-year average</w:t>
            </w:r>
            <w:r w:rsidR="009321D6" w:rsidRPr="00100F0A">
              <w:rPr>
                <w:rFonts w:cs="Calibri"/>
                <w:color w:val="000000"/>
              </w:rPr>
              <w:t xml:space="preserve"> annual economic growth </w:t>
            </w:r>
          </w:p>
        </w:tc>
        <w:tc>
          <w:tcPr>
            <w:tcW w:w="708" w:type="dxa"/>
            <w:tcBorders>
              <w:top w:val="dotted" w:sz="4" w:space="0" w:color="AAABD6"/>
              <w:bottom w:val="dotted" w:sz="4" w:space="0" w:color="AAABD6"/>
            </w:tcBorders>
            <w:vAlign w:val="bottom"/>
          </w:tcPr>
          <w:p w14:paraId="10235495" w14:textId="18873126" w:rsidR="009321D6" w:rsidRPr="00100F0A" w:rsidRDefault="009321D6" w:rsidP="009321D6">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2.8%</w:t>
            </w:r>
          </w:p>
        </w:tc>
        <w:tc>
          <w:tcPr>
            <w:tcW w:w="567" w:type="dxa"/>
            <w:tcBorders>
              <w:top w:val="dotted" w:sz="4" w:space="0" w:color="AAABD6"/>
              <w:bottom w:val="dotted" w:sz="4" w:space="0" w:color="AAABD6"/>
            </w:tcBorders>
          </w:tcPr>
          <w:p w14:paraId="3670992B" w14:textId="77777777" w:rsidR="009321D6" w:rsidRPr="00100F0A" w:rsidRDefault="009321D6" w:rsidP="009321D6">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851" w:type="dxa"/>
            <w:tcBorders>
              <w:top w:val="dotted" w:sz="4" w:space="0" w:color="AAABD6"/>
              <w:bottom w:val="dotted" w:sz="4" w:space="0" w:color="AAABD6"/>
            </w:tcBorders>
            <w:vAlign w:val="bottom"/>
          </w:tcPr>
          <w:p w14:paraId="18B0D393" w14:textId="405AF2D8" w:rsidR="009321D6" w:rsidRPr="00100F0A" w:rsidRDefault="009321D6" w:rsidP="009321D6">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2.8%</w:t>
            </w:r>
          </w:p>
        </w:tc>
      </w:tr>
      <w:tr w:rsidR="009321D6" w:rsidRPr="00100F0A" w14:paraId="2749F948" w14:textId="77777777" w:rsidTr="00481E42">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AAABD6"/>
            </w:tcBorders>
          </w:tcPr>
          <w:p w14:paraId="7D26C253" w14:textId="77777777" w:rsidR="009321D6" w:rsidRPr="00100F0A" w:rsidRDefault="009321D6" w:rsidP="009321D6">
            <w:r w:rsidRPr="00100F0A">
              <w:t>Low</w:t>
            </w:r>
          </w:p>
        </w:tc>
        <w:tc>
          <w:tcPr>
            <w:tcW w:w="1134" w:type="dxa"/>
            <w:vMerge/>
            <w:tcBorders>
              <w:top w:val="dotted" w:sz="4" w:space="0" w:color="AAABD6"/>
            </w:tcBorders>
            <w:vAlign w:val="center"/>
          </w:tcPr>
          <w:p w14:paraId="52F9EB07" w14:textId="77777777" w:rsidR="009321D6" w:rsidRPr="00100F0A" w:rsidRDefault="009321D6" w:rsidP="009321D6">
            <w:pPr>
              <w:cnfStyle w:val="000000000000" w:firstRow="0" w:lastRow="0" w:firstColumn="0" w:lastColumn="0" w:oddVBand="0" w:evenVBand="0" w:oddHBand="0" w:evenHBand="0" w:firstRowFirstColumn="0" w:firstRowLastColumn="0" w:lastRowFirstColumn="0" w:lastRowLastColumn="0"/>
            </w:pPr>
          </w:p>
        </w:tc>
        <w:tc>
          <w:tcPr>
            <w:tcW w:w="3828" w:type="dxa"/>
            <w:tcBorders>
              <w:top w:val="dotted" w:sz="4" w:space="0" w:color="AAABD6"/>
            </w:tcBorders>
            <w:vAlign w:val="bottom"/>
          </w:tcPr>
          <w:p w14:paraId="58BA5591" w14:textId="0B04C236" w:rsidR="009321D6" w:rsidRPr="00100F0A" w:rsidRDefault="009321D6" w:rsidP="009321D6">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2% annual decline</w:t>
            </w:r>
          </w:p>
        </w:tc>
        <w:tc>
          <w:tcPr>
            <w:tcW w:w="708" w:type="dxa"/>
            <w:tcBorders>
              <w:top w:val="dotted" w:sz="4" w:space="0" w:color="AAABD6"/>
            </w:tcBorders>
            <w:vAlign w:val="bottom"/>
          </w:tcPr>
          <w:p w14:paraId="7F717656" w14:textId="4AF752C3" w:rsidR="009321D6" w:rsidRPr="00100F0A" w:rsidRDefault="009321D6" w:rsidP="009321D6">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-2.0%</w:t>
            </w:r>
          </w:p>
        </w:tc>
        <w:tc>
          <w:tcPr>
            <w:tcW w:w="567" w:type="dxa"/>
            <w:tcBorders>
              <w:top w:val="dotted" w:sz="4" w:space="0" w:color="AAABD6"/>
            </w:tcBorders>
          </w:tcPr>
          <w:p w14:paraId="3ED5B934" w14:textId="77777777" w:rsidR="009321D6" w:rsidRPr="00100F0A" w:rsidRDefault="009321D6" w:rsidP="009321D6">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851" w:type="dxa"/>
            <w:tcBorders>
              <w:top w:val="dotted" w:sz="4" w:space="0" w:color="AAABD6"/>
            </w:tcBorders>
            <w:vAlign w:val="bottom"/>
          </w:tcPr>
          <w:p w14:paraId="282ED263" w14:textId="6BE7D6DC" w:rsidR="009321D6" w:rsidRPr="00100F0A" w:rsidRDefault="009321D6" w:rsidP="009321D6">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-2.0%</w:t>
            </w:r>
          </w:p>
        </w:tc>
      </w:tr>
    </w:tbl>
    <w:p w14:paraId="2A7D2BFF" w14:textId="200BD437" w:rsidR="00093FDE" w:rsidRPr="00100F0A" w:rsidRDefault="00093FDE" w:rsidP="005E702F">
      <w:pPr>
        <w:pStyle w:val="BodyText"/>
      </w:pPr>
      <w:bookmarkStart w:id="247" w:name="_Toc425849245"/>
      <w:bookmarkEnd w:id="246"/>
    </w:p>
    <w:p w14:paraId="2F1BE062" w14:textId="0042A527" w:rsidR="00601CB2" w:rsidRPr="00100F0A" w:rsidRDefault="00601CB2" w:rsidP="00273FA6">
      <w:pPr>
        <w:pStyle w:val="Caption"/>
      </w:pPr>
      <w:bookmarkStart w:id="248" w:name="_Toc13225604"/>
      <w:r w:rsidRPr="00100F0A">
        <w:t xml:space="preserve">Figure </w:t>
      </w:r>
      <w:r w:rsidR="007828B5" w:rsidRPr="00100F0A">
        <w:rPr>
          <w:noProof/>
        </w:rPr>
        <w:fldChar w:fldCharType="begin"/>
      </w:r>
      <w:r w:rsidR="007828B5" w:rsidRPr="00100F0A">
        <w:rPr>
          <w:noProof/>
        </w:rPr>
        <w:instrText xml:space="preserve"> SEQ Figure \* ARABIC </w:instrText>
      </w:r>
      <w:r w:rsidR="007828B5" w:rsidRPr="00100F0A">
        <w:rPr>
          <w:noProof/>
        </w:rPr>
        <w:fldChar w:fldCharType="separate"/>
      </w:r>
      <w:r w:rsidR="00EB634D">
        <w:rPr>
          <w:noProof/>
        </w:rPr>
        <w:t>31</w:t>
      </w:r>
      <w:r w:rsidR="007828B5" w:rsidRPr="00100F0A">
        <w:rPr>
          <w:noProof/>
        </w:rPr>
        <w:fldChar w:fldCharType="end"/>
      </w:r>
      <w:r w:rsidR="00AD2F76">
        <w:rPr>
          <w:noProof/>
        </w:rPr>
        <w:t>:</w:t>
      </w:r>
      <w:r w:rsidR="00D11FEE" w:rsidRPr="00100F0A">
        <w:tab/>
      </w:r>
      <w:r w:rsidRPr="00100F0A">
        <w:t>Best, high and low national projection estimates of other industrial treatment residue waste to 203</w:t>
      </w:r>
      <w:bookmarkEnd w:id="247"/>
      <w:r w:rsidR="009321D6" w:rsidRPr="00100F0A">
        <w:t>7</w:t>
      </w:r>
      <w:bookmarkEnd w:id="248"/>
    </w:p>
    <w:p w14:paraId="2D83AC5F" w14:textId="5B498CB1" w:rsidR="00601CB2" w:rsidRPr="00100F0A" w:rsidRDefault="00BA531D" w:rsidP="00601CB2">
      <w:r w:rsidRPr="00100F0A">
        <w:rPr>
          <w:noProof/>
          <w:lang w:eastAsia="en-AU"/>
        </w:rPr>
        <w:drawing>
          <wp:inline distT="0" distB="0" distL="0" distR="0" wp14:anchorId="2FA745F5" wp14:editId="1735FBC2">
            <wp:extent cx="5735955" cy="2025015"/>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5955" cy="2025015"/>
                    </a:xfrm>
                    <a:prstGeom prst="rect">
                      <a:avLst/>
                    </a:prstGeom>
                  </pic:spPr>
                </pic:pic>
              </a:graphicData>
            </a:graphic>
          </wp:inline>
        </w:drawing>
      </w:r>
    </w:p>
    <w:p w14:paraId="3EAA82D8" w14:textId="7937771A" w:rsidR="00601CB2" w:rsidRPr="00100F0A" w:rsidRDefault="00601CB2" w:rsidP="00AD35BF">
      <w:pPr>
        <w:pStyle w:val="Heading3"/>
      </w:pPr>
      <w:r w:rsidRPr="00100F0A">
        <w:t>N220 Asbestos</w:t>
      </w:r>
    </w:p>
    <w:p w14:paraId="2E6A6665" w14:textId="609754B6" w:rsidR="00601CB2" w:rsidRPr="00100F0A" w:rsidRDefault="00601CB2" w:rsidP="00601CB2">
      <w:pPr>
        <w:rPr>
          <w:color w:val="080808"/>
        </w:rPr>
      </w:pPr>
      <w:r w:rsidRPr="00100F0A">
        <w:rPr>
          <w:color w:val="080808"/>
        </w:rPr>
        <w:t xml:space="preserve">This waste group captures the single NEPM code of </w:t>
      </w:r>
      <w:r w:rsidRPr="00100F0A">
        <w:rPr>
          <w:i/>
          <w:color w:val="080808"/>
        </w:rPr>
        <w:t>N220 Asbestos</w:t>
      </w:r>
      <w:r w:rsidRPr="00100F0A">
        <w:rPr>
          <w:color w:val="080808"/>
        </w:rPr>
        <w:t>. Asbestos is the name given to a group of naturally occurring minerals found in rock formations. Asbestos-containing building products are classified as either friable (soft, crumbly) or bonded (solid, rigid, non-friable). Friable asbestos products may be as much as 100% asbestos fibres and can become airborne and inhalable very easily. Bonded products such as asbestos cement sheet (otherwise known as fibro) contain approximately 15% asbestos fibres, bonded with cement and do not normally release fibres into the air when in good condition.</w:t>
      </w:r>
    </w:p>
    <w:p w14:paraId="42E706EF" w14:textId="77777777" w:rsidR="00601CB2" w:rsidRPr="00100F0A" w:rsidRDefault="00601CB2" w:rsidP="00601CB2">
      <w:pPr>
        <w:rPr>
          <w:color w:val="080808"/>
        </w:rPr>
      </w:pPr>
    </w:p>
    <w:p w14:paraId="3401DB49" w14:textId="2899B2DE" w:rsidR="00601CB2" w:rsidRPr="00100F0A" w:rsidRDefault="00601CB2" w:rsidP="00601CB2">
      <w:pPr>
        <w:rPr>
          <w:color w:val="080808"/>
        </w:rPr>
      </w:pPr>
      <w:r w:rsidRPr="00100F0A">
        <w:rPr>
          <w:color w:val="080808"/>
        </w:rPr>
        <w:t>Houses built before the mid-1980s are highly likely to have asbestos-containing products, between mid-1980s and 1990 likely, and after 1990 unlikely.</w:t>
      </w:r>
    </w:p>
    <w:p w14:paraId="46465EE7" w14:textId="77777777" w:rsidR="00601CB2" w:rsidRPr="00100F0A" w:rsidRDefault="00601CB2" w:rsidP="00601CB2">
      <w:pPr>
        <w:rPr>
          <w:color w:val="080808"/>
        </w:rPr>
      </w:pPr>
    </w:p>
    <w:p w14:paraId="05B4BACD" w14:textId="2FB36100" w:rsidR="00093FDE" w:rsidRDefault="00601CB2" w:rsidP="00601CB2">
      <w:pPr>
        <w:pStyle w:val="BodyText"/>
      </w:pPr>
      <w:r w:rsidRPr="00100F0A">
        <w:t xml:space="preserve">Asbestos is one of the largest flows of hazardous waste in Australia and poses significant health risks. </w:t>
      </w:r>
    </w:p>
    <w:p w14:paraId="0F9D10B3" w14:textId="77777777" w:rsidR="00093FDE" w:rsidRDefault="00093FDE" w:rsidP="00601CB2">
      <w:pPr>
        <w:pStyle w:val="BodyText"/>
      </w:pPr>
    </w:p>
    <w:p w14:paraId="6DB771DC" w14:textId="250C7DFE" w:rsidR="00093FDE" w:rsidRDefault="00093FDE" w:rsidP="00093FDE">
      <w:pPr>
        <w:pStyle w:val="BodyText"/>
      </w:pPr>
      <w:r>
        <w:t xml:space="preserve">The </w:t>
      </w:r>
      <w:r>
        <w:rPr>
          <w:sz w:val="21"/>
          <w:szCs w:val="21"/>
        </w:rPr>
        <w:t xml:space="preserve">Centre for International Economics 2017, </w:t>
      </w:r>
      <w:hyperlink r:id="rId71" w:history="1">
        <w:r w:rsidRPr="004206B0">
          <w:rPr>
            <w:rStyle w:val="Hyperlink"/>
          </w:rPr>
          <w:t>Headline economic value for waste and materials efficiency in Australia</w:t>
        </w:r>
      </w:hyperlink>
      <w:r>
        <w:rPr>
          <w:i/>
        </w:rPr>
        <w:t xml:space="preserve">, </w:t>
      </w:r>
      <w:r>
        <w:t>page 30, includes analysis of the human health and economic costs of asbestos-related disease in Australia. Key findings include:</w:t>
      </w:r>
    </w:p>
    <w:p w14:paraId="31980892" w14:textId="4EE255CB" w:rsidR="00093FDE" w:rsidRDefault="00093FDE" w:rsidP="004206B0">
      <w:pPr>
        <w:pStyle w:val="Bullet1"/>
      </w:pPr>
      <w:r>
        <w:t>in 2015 there were an estimated 4,152 deaths in Australia due to asbestos-related diseases, and 10,444 prevalent cases of disease</w:t>
      </w:r>
    </w:p>
    <w:p w14:paraId="308DA86D" w14:textId="5C021979" w:rsidR="00093FDE" w:rsidRDefault="00093FDE" w:rsidP="004206B0">
      <w:pPr>
        <w:pStyle w:val="Bullet1"/>
      </w:pPr>
      <w:r>
        <w:t>hospital and primary healthcare costs associated with treating asbestos-related disease are an estimated $185 million for 2015-16</w:t>
      </w:r>
    </w:p>
    <w:p w14:paraId="458319D7" w14:textId="68D6E363" w:rsidR="00093FDE" w:rsidRDefault="00093FDE" w:rsidP="004206B0">
      <w:pPr>
        <w:pStyle w:val="Bullet1"/>
      </w:pPr>
      <w:r>
        <w:t>productivity losses were an estimated $321 million in 2015-16, with 85 per cent of losses due to disease caused by occupational exposure (distributed evenly across paid and unpaid work) to asbestos</w:t>
      </w:r>
    </w:p>
    <w:p w14:paraId="1A2823EB" w14:textId="112AE04C" w:rsidR="00093FDE" w:rsidRDefault="00093FDE" w:rsidP="004206B0">
      <w:pPr>
        <w:pStyle w:val="Bullet1"/>
      </w:pPr>
      <w:r>
        <w:t xml:space="preserve">in 2015 there were an estimated 58,754 </w:t>
      </w:r>
      <w:r w:rsidRPr="00093FDE">
        <w:t>Disability-Adjusted Life Years</w:t>
      </w:r>
      <w:r>
        <w:t xml:space="preserve"> lost due to asbestos-related disease, excluding asbestosis (for which prevalence data was not available).</w:t>
      </w:r>
    </w:p>
    <w:p w14:paraId="4742CD9D" w14:textId="77777777" w:rsidR="00093FDE" w:rsidRDefault="00093FDE" w:rsidP="00601CB2">
      <w:pPr>
        <w:pStyle w:val="BodyText"/>
      </w:pPr>
    </w:p>
    <w:p w14:paraId="3E2E3E69" w14:textId="4ECC6BC4" w:rsidR="005E0601" w:rsidRDefault="00601CB2" w:rsidP="00611DCF">
      <w:pPr>
        <w:pStyle w:val="BodyText"/>
        <w:rPr>
          <w:color w:val="080808"/>
        </w:rPr>
      </w:pPr>
      <w:r w:rsidRPr="00100F0A">
        <w:t xml:space="preserve">Asbestos waste includes both end-of-life asbestos-containing building materials as well as soil that has been tested to demonstrate asbestos contamination. Since the latter may involve very low asbestos fibre concentrations and very high soil volumes, this can greatly contribute to reported asbestos waste volumes. Jurisdictional tracking systems do not currently differentiate between asbestos-containing building materials </w:t>
      </w:r>
      <w:r w:rsidR="005E0601">
        <w:t xml:space="preserve">and </w:t>
      </w:r>
      <w:r w:rsidRPr="00100F0A">
        <w:t xml:space="preserve">asbestos-contaminated soils. Sources of asbestos are </w:t>
      </w:r>
      <w:r w:rsidR="005E0601">
        <w:t>C&amp;D</w:t>
      </w:r>
      <w:r w:rsidRPr="00100F0A">
        <w:t xml:space="preserve"> related as well as any residential, commercial or industrial buildings that are involved in removal of asbestos containing material.</w:t>
      </w:r>
    </w:p>
    <w:p w14:paraId="16400968" w14:textId="77777777" w:rsidR="00601CB2" w:rsidRPr="00100F0A" w:rsidRDefault="00601CB2" w:rsidP="00931F74">
      <w:pPr>
        <w:pStyle w:val="Heading3-nonumber"/>
      </w:pPr>
      <w:r w:rsidRPr="00100F0A">
        <w:t>Summary analysis</w:t>
      </w:r>
    </w:p>
    <w:tbl>
      <w:tblPr>
        <w:tblStyle w:val="BETable11"/>
        <w:tblW w:w="5000" w:type="pct"/>
        <w:tblInd w:w="0" w:type="dxa"/>
        <w:tblBorders>
          <w:top w:val="single" w:sz="4" w:space="0" w:color="AAABD6"/>
          <w:left w:val="single" w:sz="4" w:space="0" w:color="AAABD6"/>
          <w:bottom w:val="single" w:sz="4" w:space="0" w:color="AAABD6"/>
          <w:right w:val="single" w:sz="4" w:space="0" w:color="AAABD6"/>
          <w:insideH w:val="single" w:sz="4" w:space="0" w:color="AAABD6"/>
          <w:insideV w:val="single" w:sz="4" w:space="0" w:color="AAABD6"/>
        </w:tblBorders>
        <w:tblLook w:val="04A0" w:firstRow="1" w:lastRow="0" w:firstColumn="1" w:lastColumn="0" w:noHBand="0" w:noVBand="1"/>
      </w:tblPr>
      <w:tblGrid>
        <w:gridCol w:w="1855"/>
        <w:gridCol w:w="1850"/>
        <w:gridCol w:w="3096"/>
        <w:gridCol w:w="2402"/>
      </w:tblGrid>
      <w:tr w:rsidR="009321D6" w:rsidRPr="00100F0A" w14:paraId="3B850453" w14:textId="77777777" w:rsidTr="00BA53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 w:type="pct"/>
            <w:shd w:val="clear" w:color="auto" w:fill="AAABD6"/>
          </w:tcPr>
          <w:p w14:paraId="31B5881D" w14:textId="77777777" w:rsidR="00601CB2" w:rsidRPr="00100F0A" w:rsidRDefault="00601CB2" w:rsidP="002A3A54">
            <w:pPr>
              <w:pStyle w:val="BodyText"/>
              <w:rPr>
                <w:color w:val="FFFFFF" w:themeColor="background1"/>
              </w:rPr>
            </w:pPr>
            <w:r w:rsidRPr="00100F0A">
              <w:rPr>
                <w:color w:val="FFFFFF" w:themeColor="background1"/>
              </w:rPr>
              <w:t>Industry sources</w:t>
            </w:r>
          </w:p>
        </w:tc>
        <w:tc>
          <w:tcPr>
            <w:tcW w:w="1005" w:type="pct"/>
            <w:shd w:val="clear" w:color="auto" w:fill="AAABD6"/>
          </w:tcPr>
          <w:p w14:paraId="1C339641" w14:textId="77777777" w:rsidR="00601CB2" w:rsidRPr="00100F0A" w:rsidRDefault="00601CB2"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Considerations</w:t>
            </w:r>
          </w:p>
        </w:tc>
        <w:tc>
          <w:tcPr>
            <w:tcW w:w="1682" w:type="pct"/>
            <w:shd w:val="clear" w:color="auto" w:fill="AAABD6"/>
          </w:tcPr>
          <w:p w14:paraId="02180DAA" w14:textId="77777777" w:rsidR="00601CB2" w:rsidRPr="00100F0A" w:rsidRDefault="00601CB2"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Comments</w:t>
            </w:r>
          </w:p>
        </w:tc>
        <w:tc>
          <w:tcPr>
            <w:tcW w:w="1305" w:type="pct"/>
            <w:shd w:val="clear" w:color="auto" w:fill="AAABD6"/>
          </w:tcPr>
          <w:p w14:paraId="6FD0E242" w14:textId="77777777" w:rsidR="00601CB2" w:rsidRPr="00100F0A" w:rsidRDefault="00601CB2"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r>
      <w:tr w:rsidR="00601CB2" w:rsidRPr="00100F0A" w14:paraId="1E1594FB" w14:textId="77777777" w:rsidTr="009321D6">
        <w:tc>
          <w:tcPr>
            <w:cnfStyle w:val="001000000000" w:firstRow="0" w:lastRow="0" w:firstColumn="1" w:lastColumn="0" w:oddVBand="0" w:evenVBand="0" w:oddHBand="0" w:evenHBand="0" w:firstRowFirstColumn="0" w:firstRowLastColumn="0" w:lastRowFirstColumn="0" w:lastRowLastColumn="0"/>
            <w:tcW w:w="1008" w:type="pct"/>
          </w:tcPr>
          <w:p w14:paraId="7903C8C7" w14:textId="2EE22739" w:rsidR="00601CB2" w:rsidRPr="00100F0A" w:rsidRDefault="00601CB2" w:rsidP="002A3A54">
            <w:pPr>
              <w:pStyle w:val="BodyText"/>
            </w:pPr>
            <w:r w:rsidRPr="00100F0A">
              <w:t>• C</w:t>
            </w:r>
            <w:r w:rsidR="0050590B">
              <w:t>&amp;D</w:t>
            </w:r>
            <w:r w:rsidRPr="00100F0A">
              <w:t xml:space="preserve"> (including asbestos removal services)</w:t>
            </w:r>
          </w:p>
          <w:p w14:paraId="213A7853" w14:textId="77777777" w:rsidR="00601CB2" w:rsidRPr="00100F0A" w:rsidRDefault="00601CB2" w:rsidP="002A3A54">
            <w:pPr>
              <w:pStyle w:val="BodyText"/>
            </w:pPr>
            <w:r w:rsidRPr="00100F0A">
              <w:t>• Property development</w:t>
            </w:r>
          </w:p>
          <w:p w14:paraId="5B26CFB5" w14:textId="77777777" w:rsidR="00601CB2" w:rsidRPr="00100F0A" w:rsidRDefault="00601CB2" w:rsidP="002A3A54">
            <w:pPr>
              <w:pStyle w:val="BodyText"/>
            </w:pPr>
            <w:r w:rsidRPr="00100F0A">
              <w:t>• Hospitals</w:t>
            </w:r>
          </w:p>
          <w:p w14:paraId="7AFB3E7F" w14:textId="77777777" w:rsidR="00601CB2" w:rsidRPr="00100F0A" w:rsidRDefault="00601CB2" w:rsidP="002A3A54">
            <w:pPr>
              <w:pStyle w:val="BodyText"/>
            </w:pPr>
            <w:r w:rsidRPr="00100F0A">
              <w:t>• Schools</w:t>
            </w:r>
          </w:p>
          <w:p w14:paraId="139995FC" w14:textId="77777777" w:rsidR="00601CB2" w:rsidRPr="00100F0A" w:rsidRDefault="00601CB2" w:rsidP="002A3A54">
            <w:pPr>
              <w:pStyle w:val="BodyText"/>
            </w:pPr>
            <w:r w:rsidRPr="00100F0A">
              <w:t>• Defence</w:t>
            </w:r>
          </w:p>
          <w:p w14:paraId="061BA42A" w14:textId="77777777" w:rsidR="00601CB2" w:rsidRPr="00100F0A" w:rsidRDefault="00601CB2" w:rsidP="002A3A54">
            <w:pPr>
              <w:pStyle w:val="BodyText"/>
              <w:rPr>
                <w:color w:val="000000"/>
              </w:rPr>
            </w:pPr>
            <w:r w:rsidRPr="00100F0A">
              <w:t>• Numerous sectors involved in asbestos removal from their buildings</w:t>
            </w:r>
          </w:p>
        </w:tc>
        <w:tc>
          <w:tcPr>
            <w:tcW w:w="1005" w:type="pct"/>
          </w:tcPr>
          <w:p w14:paraId="6D759AE6" w14:textId="77777777" w:rsidR="00601CB2" w:rsidRPr="00100F0A" w:rsidRDefault="00601CB2" w:rsidP="002A3A54">
            <w:pPr>
              <w:pStyle w:val="BodyText"/>
              <w:cnfStyle w:val="000000000000" w:firstRow="0" w:lastRow="0" w:firstColumn="0" w:lastColumn="0" w:oddVBand="0" w:evenVBand="0" w:oddHBand="0" w:evenHBand="0" w:firstRowFirstColumn="0" w:firstRowLastColumn="0" w:lastRowFirstColumn="0" w:lastRowLastColumn="0"/>
            </w:pPr>
            <w:r w:rsidRPr="00100F0A">
              <w:t>No sufficiently credible pre-existing projections were identified</w:t>
            </w:r>
          </w:p>
          <w:p w14:paraId="53C459DF" w14:textId="77777777" w:rsidR="00601CB2" w:rsidRPr="00100F0A" w:rsidRDefault="00601CB2" w:rsidP="002A3A54">
            <w:pPr>
              <w:pStyle w:val="BodyText"/>
              <w:cnfStyle w:val="000000000000" w:firstRow="0" w:lastRow="0" w:firstColumn="0" w:lastColumn="0" w:oddVBand="0" w:evenVBand="0" w:oddHBand="0" w:evenHBand="0" w:firstRowFirstColumn="0" w:firstRowLastColumn="0" w:lastRowFirstColumn="0" w:lastRowLastColumn="0"/>
            </w:pPr>
            <w:r w:rsidRPr="00100F0A">
              <w:t>There may be historical data set which are adequate for discerning trends</w:t>
            </w:r>
          </w:p>
        </w:tc>
        <w:tc>
          <w:tcPr>
            <w:tcW w:w="1682" w:type="pct"/>
          </w:tcPr>
          <w:p w14:paraId="4039FABB" w14:textId="77777777" w:rsidR="005E0601" w:rsidRDefault="00601CB2" w:rsidP="002A3A54">
            <w:pPr>
              <w:pStyle w:val="BodyText"/>
              <w:cnfStyle w:val="000000000000" w:firstRow="0" w:lastRow="0" w:firstColumn="0" w:lastColumn="0" w:oddVBand="0" w:evenVBand="0" w:oddHBand="0" w:evenHBand="0" w:firstRowFirstColumn="0" w:firstRowLastColumn="0" w:lastRowFirstColumn="0" w:lastRowLastColumn="0"/>
            </w:pPr>
            <w:r w:rsidRPr="00100F0A">
              <w:t>No evidence to suggest the supply of waste asbestos peaking or slowing</w:t>
            </w:r>
          </w:p>
          <w:p w14:paraId="2EB8A4A4" w14:textId="0896B965" w:rsidR="00601CB2" w:rsidRPr="00100F0A" w:rsidRDefault="00601CB2" w:rsidP="002A3A54">
            <w:pPr>
              <w:pStyle w:val="BodyText"/>
              <w:cnfStyle w:val="000000000000" w:firstRow="0" w:lastRow="0" w:firstColumn="0" w:lastColumn="0" w:oddVBand="0" w:evenVBand="0" w:oddHBand="0" w:evenHBand="0" w:firstRowFirstColumn="0" w:firstRowLastColumn="0" w:lastRowFirstColumn="0" w:lastRowLastColumn="0"/>
            </w:pPr>
            <w:r w:rsidRPr="00100F0A">
              <w:t xml:space="preserve">Average </w:t>
            </w:r>
            <w:r w:rsidR="00C34F48" w:rsidRPr="00100F0A">
              <w:t>60</w:t>
            </w:r>
            <w:r w:rsidR="00C34F48">
              <w:t>-year</w:t>
            </w:r>
            <w:r w:rsidRPr="00100F0A">
              <w:t xml:space="preserve"> lifespan of buildings suggests increasing quantities in the coming years </w:t>
            </w:r>
          </w:p>
          <w:p w14:paraId="7C90FF3E" w14:textId="77777777" w:rsidR="00601CB2" w:rsidRPr="00100F0A" w:rsidRDefault="00601CB2" w:rsidP="002A3A54">
            <w:pPr>
              <w:pStyle w:val="BodyText"/>
              <w:cnfStyle w:val="000000000000" w:firstRow="0" w:lastRow="0" w:firstColumn="0" w:lastColumn="0" w:oddVBand="0" w:evenVBand="0" w:oddHBand="0" w:evenHBand="0" w:firstRowFirstColumn="0" w:firstRowLastColumn="0" w:lastRowFirstColumn="0" w:lastRowLastColumn="0"/>
            </w:pPr>
            <w:r w:rsidRPr="00100F0A">
              <w:t>NSW does not generally track asbestos</w:t>
            </w:r>
          </w:p>
          <w:p w14:paraId="619CDB4B" w14:textId="77777777" w:rsidR="00601CB2" w:rsidRPr="00100F0A" w:rsidRDefault="00601CB2" w:rsidP="002A3A54">
            <w:pPr>
              <w:pStyle w:val="BodyText"/>
              <w:cnfStyle w:val="000000000000" w:firstRow="0" w:lastRow="0" w:firstColumn="0" w:lastColumn="0" w:oddVBand="0" w:evenVBand="0" w:oddHBand="0" w:evenHBand="0" w:firstRowFirstColumn="0" w:firstRowLastColumn="0" w:lastRowFirstColumn="0" w:lastRowLastColumn="0"/>
            </w:pPr>
            <w:r w:rsidRPr="00100F0A">
              <w:t>Combined Vic, SA, Qld data between 05-06 and 12-13 is consistent with average 17% annual increase</w:t>
            </w:r>
          </w:p>
          <w:p w14:paraId="5995AA21" w14:textId="7A28CB21" w:rsidR="00601CB2" w:rsidRPr="00100F0A" w:rsidRDefault="00601CB2" w:rsidP="002A3A54">
            <w:pPr>
              <w:pStyle w:val="BodyText"/>
              <w:cnfStyle w:val="000000000000" w:firstRow="0" w:lastRow="0" w:firstColumn="0" w:lastColumn="0" w:oddVBand="0" w:evenVBand="0" w:oddHBand="0" w:evenHBand="0" w:firstRowFirstColumn="0" w:firstRowLastColumn="0" w:lastRowFirstColumn="0" w:lastRowLastColumn="0"/>
            </w:pPr>
            <w:r w:rsidRPr="00100F0A">
              <w:t>Estimates of &gt;1,000 Mr Fluffy homes in ACT and NSW may need demolition (~30-60</w:t>
            </w:r>
            <w:r w:rsidR="005E0601">
              <w:t xml:space="preserve"> </w:t>
            </w:r>
            <w:r w:rsidRPr="00100F0A">
              <w:t>kt</w:t>
            </w:r>
            <w:r w:rsidR="005E0601">
              <w:t>)</w:t>
            </w:r>
          </w:p>
        </w:tc>
        <w:tc>
          <w:tcPr>
            <w:tcW w:w="1305" w:type="pct"/>
          </w:tcPr>
          <w:p w14:paraId="5DACA4AE" w14:textId="77777777" w:rsidR="00601CB2" w:rsidRPr="00100F0A" w:rsidRDefault="00601CB2" w:rsidP="002A3A54">
            <w:pPr>
              <w:pStyle w:val="BodyText"/>
              <w:cnfStyle w:val="000000000000" w:firstRow="0" w:lastRow="0" w:firstColumn="0" w:lastColumn="0" w:oddVBand="0" w:evenVBand="0" w:oddHBand="0" w:evenHBand="0" w:firstRowFirstColumn="0" w:firstRowLastColumn="0" w:lastRowFirstColumn="0" w:lastRowLastColumn="0"/>
            </w:pPr>
            <w:r w:rsidRPr="00100F0A">
              <w:t>Use judgement - trend and causal analysis</w:t>
            </w:r>
          </w:p>
          <w:p w14:paraId="6D0EC0CE" w14:textId="3B0612A5" w:rsidR="005E0601" w:rsidRDefault="00601CB2" w:rsidP="002A3A54">
            <w:pPr>
              <w:pStyle w:val="BodyText"/>
              <w:cnfStyle w:val="000000000000" w:firstRow="0" w:lastRow="0" w:firstColumn="0" w:lastColumn="0" w:oddVBand="0" w:evenVBand="0" w:oddHBand="0" w:evenHBand="0" w:firstRowFirstColumn="0" w:firstRowLastColumn="0" w:lastRowFirstColumn="0" w:lastRowLastColumn="0"/>
            </w:pPr>
            <w:r w:rsidRPr="00100F0A">
              <w:t xml:space="preserve">Assume additional Mr Fluffy waste in the ACT over </w:t>
            </w:r>
            <w:r w:rsidR="0026508D">
              <w:t>five</w:t>
            </w:r>
            <w:r w:rsidRPr="00100F0A">
              <w:t xml:space="preserve"> years</w:t>
            </w:r>
          </w:p>
          <w:p w14:paraId="4336883E" w14:textId="730610D1" w:rsidR="00601CB2" w:rsidRPr="00100F0A" w:rsidRDefault="00601CB2" w:rsidP="002A3A54">
            <w:pPr>
              <w:pStyle w:val="BodyText"/>
              <w:cnfStyle w:val="000000000000" w:firstRow="0" w:lastRow="0" w:firstColumn="0" w:lastColumn="0" w:oddVBand="0" w:evenVBand="0" w:oddHBand="0" w:evenHBand="0" w:firstRowFirstColumn="0" w:firstRowLastColumn="0" w:lastRowFirstColumn="0" w:lastRowLastColumn="0"/>
            </w:pPr>
            <w:r w:rsidRPr="00100F0A">
              <w:t>See range estimates in Belot 2014</w:t>
            </w:r>
          </w:p>
        </w:tc>
      </w:tr>
    </w:tbl>
    <w:p w14:paraId="47C61122" w14:textId="0F90DE57" w:rsidR="00601CB2" w:rsidRPr="00100F0A" w:rsidRDefault="00601CB2" w:rsidP="00273FA6">
      <w:pPr>
        <w:pStyle w:val="Caption"/>
      </w:pPr>
      <w:bookmarkStart w:id="249" w:name="_Toc425849320"/>
      <w:bookmarkStart w:id="250" w:name="_Toc13225655"/>
      <w:r w:rsidRPr="00100F0A">
        <w:t xml:space="preserve">Table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36</w:t>
      </w:r>
      <w:r w:rsidR="00B404A6" w:rsidRPr="00100F0A">
        <w:rPr>
          <w:noProof/>
        </w:rPr>
        <w:fldChar w:fldCharType="end"/>
      </w:r>
      <w:r w:rsidR="00AD2F76">
        <w:rPr>
          <w:noProof/>
        </w:rPr>
        <w:t>:</w:t>
      </w:r>
      <w:r w:rsidR="00D11FEE" w:rsidRPr="00100F0A">
        <w:tab/>
      </w:r>
      <w:r w:rsidRPr="00100F0A">
        <w:t>Best, high and low projected rates of change for asbestos waste to 203</w:t>
      </w:r>
      <w:bookmarkEnd w:id="249"/>
      <w:r w:rsidR="00BB5EDE" w:rsidRPr="00100F0A">
        <w:t>7</w:t>
      </w:r>
      <w:bookmarkEnd w:id="250"/>
    </w:p>
    <w:tbl>
      <w:tblPr>
        <w:tblStyle w:val="BETable1"/>
        <w:tblW w:w="8869" w:type="dxa"/>
        <w:tblLayout w:type="fixed"/>
        <w:tblLook w:val="04A0" w:firstRow="1" w:lastRow="0" w:firstColumn="1" w:lastColumn="0" w:noHBand="0" w:noVBand="1"/>
      </w:tblPr>
      <w:tblGrid>
        <w:gridCol w:w="709"/>
        <w:gridCol w:w="1134"/>
        <w:gridCol w:w="4332"/>
        <w:gridCol w:w="993"/>
        <w:gridCol w:w="708"/>
        <w:gridCol w:w="993"/>
      </w:tblGrid>
      <w:tr w:rsidR="0026563E" w:rsidRPr="00100F0A" w14:paraId="70BEBB79" w14:textId="77777777" w:rsidTr="00F271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AABD6"/>
              <w:left w:val="single" w:sz="4" w:space="0" w:color="AAABD6"/>
              <w:bottom w:val="single" w:sz="4" w:space="0" w:color="AAABD6"/>
            </w:tcBorders>
            <w:shd w:val="clear" w:color="auto" w:fill="AAABD6"/>
          </w:tcPr>
          <w:p w14:paraId="0CBCBB42" w14:textId="77777777" w:rsidR="0026563E" w:rsidRPr="00100F0A" w:rsidRDefault="0026563E" w:rsidP="00481E42">
            <w:pPr>
              <w:rPr>
                <w:color w:val="FFFFFF" w:themeColor="background1"/>
              </w:rPr>
            </w:pPr>
          </w:p>
        </w:tc>
        <w:tc>
          <w:tcPr>
            <w:tcW w:w="1134" w:type="dxa"/>
            <w:tcBorders>
              <w:top w:val="single" w:sz="4" w:space="0" w:color="AAABD6"/>
              <w:bottom w:val="single" w:sz="4" w:space="0" w:color="AAABD6"/>
            </w:tcBorders>
            <w:shd w:val="clear" w:color="auto" w:fill="AAABD6"/>
          </w:tcPr>
          <w:p w14:paraId="3F688315" w14:textId="77777777" w:rsidR="0026563E" w:rsidRPr="00100F0A" w:rsidRDefault="0026563E" w:rsidP="00481E4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Applies to</w:t>
            </w:r>
          </w:p>
        </w:tc>
        <w:tc>
          <w:tcPr>
            <w:tcW w:w="4332" w:type="dxa"/>
            <w:tcBorders>
              <w:top w:val="single" w:sz="4" w:space="0" w:color="AAABD6"/>
              <w:bottom w:val="single" w:sz="4" w:space="0" w:color="AAABD6"/>
            </w:tcBorders>
            <w:shd w:val="clear" w:color="auto" w:fill="AAABD6"/>
          </w:tcPr>
          <w:p w14:paraId="277987A2" w14:textId="77777777" w:rsidR="0026563E" w:rsidRPr="00100F0A" w:rsidRDefault="0026563E" w:rsidP="00481E4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c>
          <w:tcPr>
            <w:tcW w:w="993" w:type="dxa"/>
            <w:tcBorders>
              <w:top w:val="single" w:sz="4" w:space="0" w:color="AAABD6"/>
              <w:bottom w:val="single" w:sz="4" w:space="0" w:color="AAABD6"/>
            </w:tcBorders>
            <w:shd w:val="clear" w:color="auto" w:fill="AAABD6"/>
          </w:tcPr>
          <w:p w14:paraId="7C5524DE" w14:textId="77777777" w:rsidR="0026563E" w:rsidRPr="00100F0A" w:rsidRDefault="0026563E" w:rsidP="00481E42">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2018</w:t>
            </w:r>
          </w:p>
        </w:tc>
        <w:tc>
          <w:tcPr>
            <w:tcW w:w="708" w:type="dxa"/>
            <w:tcBorders>
              <w:top w:val="single" w:sz="4" w:space="0" w:color="AAABD6"/>
              <w:bottom w:val="single" w:sz="4" w:space="0" w:color="AAABD6"/>
            </w:tcBorders>
            <w:shd w:val="clear" w:color="auto" w:fill="AAABD6"/>
          </w:tcPr>
          <w:p w14:paraId="697462BD" w14:textId="77777777" w:rsidR="0026563E" w:rsidRPr="00100F0A" w:rsidRDefault="0026563E" w:rsidP="00481E42">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w:t>
            </w:r>
          </w:p>
        </w:tc>
        <w:tc>
          <w:tcPr>
            <w:tcW w:w="993" w:type="dxa"/>
            <w:tcBorders>
              <w:top w:val="single" w:sz="4" w:space="0" w:color="AAABD6"/>
              <w:bottom w:val="single" w:sz="4" w:space="0" w:color="AAABD6"/>
              <w:right w:val="single" w:sz="4" w:space="0" w:color="AAABD6"/>
            </w:tcBorders>
            <w:shd w:val="clear" w:color="auto" w:fill="AAABD6"/>
          </w:tcPr>
          <w:p w14:paraId="30FCE3DF" w14:textId="77777777" w:rsidR="0026563E" w:rsidRPr="00100F0A" w:rsidRDefault="0026563E" w:rsidP="00481E42">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2037</w:t>
            </w:r>
          </w:p>
        </w:tc>
      </w:tr>
      <w:tr w:rsidR="0026563E" w:rsidRPr="00100F0A" w14:paraId="6E8BEBA8" w14:textId="77777777" w:rsidTr="00F27177">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AABD6"/>
              <w:left w:val="single" w:sz="4" w:space="0" w:color="AAABD6"/>
              <w:bottom w:val="dotted" w:sz="4" w:space="0" w:color="AAABD6"/>
              <w:right w:val="single" w:sz="4" w:space="0" w:color="AAABD6"/>
            </w:tcBorders>
          </w:tcPr>
          <w:p w14:paraId="602B0C83" w14:textId="77777777" w:rsidR="0026563E" w:rsidRPr="00100F0A" w:rsidRDefault="0026563E" w:rsidP="00481E42">
            <w:r w:rsidRPr="00100F0A">
              <w:rPr>
                <w:iCs/>
                <w:color w:val="4D4DB8"/>
                <w:szCs w:val="18"/>
              </w:rPr>
              <w:t>Arisings - rate</w:t>
            </w:r>
          </w:p>
        </w:tc>
      </w:tr>
      <w:tr w:rsidR="00F27177" w:rsidRPr="00100F0A" w14:paraId="00B29690" w14:textId="77777777" w:rsidTr="00F27177">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AABD6"/>
              <w:left w:val="single" w:sz="4" w:space="0" w:color="AAABD6"/>
              <w:bottom w:val="dotted" w:sz="4" w:space="0" w:color="AAABD6"/>
              <w:right w:val="single" w:sz="4" w:space="0" w:color="AAABD6"/>
            </w:tcBorders>
          </w:tcPr>
          <w:p w14:paraId="08DC85B8" w14:textId="77777777" w:rsidR="00F27177" w:rsidRPr="00100F0A" w:rsidRDefault="00F27177" w:rsidP="00F27177">
            <w:r w:rsidRPr="00100F0A">
              <w:t>Best</w:t>
            </w:r>
          </w:p>
        </w:tc>
        <w:tc>
          <w:tcPr>
            <w:tcW w:w="1134" w:type="dxa"/>
            <w:vMerge w:val="restart"/>
            <w:tcBorders>
              <w:top w:val="single" w:sz="4" w:space="0" w:color="AAABD6"/>
              <w:left w:val="single" w:sz="4" w:space="0" w:color="AAABD6"/>
              <w:bottom w:val="dotted" w:sz="4" w:space="0" w:color="AAABD6"/>
              <w:right w:val="single" w:sz="4" w:space="0" w:color="AAABD6"/>
            </w:tcBorders>
            <w:vAlign w:val="center"/>
          </w:tcPr>
          <w:p w14:paraId="0F0296B9" w14:textId="77777777" w:rsidR="00F27177" w:rsidRPr="00100F0A" w:rsidRDefault="00F27177" w:rsidP="00F27177">
            <w:pPr>
              <w:cnfStyle w:val="000000000000" w:firstRow="0" w:lastRow="0" w:firstColumn="0" w:lastColumn="0" w:oddVBand="0" w:evenVBand="0" w:oddHBand="0" w:evenHBand="0" w:firstRowFirstColumn="0" w:firstRowLastColumn="0" w:lastRowFirstColumn="0" w:lastRowLastColumn="0"/>
            </w:pPr>
            <w:r w:rsidRPr="00100F0A">
              <w:t>ACT, NSW, NT, Qld, SA, Tas, Vic, WA</w:t>
            </w:r>
          </w:p>
        </w:tc>
        <w:tc>
          <w:tcPr>
            <w:tcW w:w="4332" w:type="dxa"/>
            <w:tcBorders>
              <w:top w:val="single" w:sz="4" w:space="0" w:color="AAABD6"/>
              <w:left w:val="single" w:sz="4" w:space="0" w:color="AAABD6"/>
              <w:bottom w:val="dotted" w:sz="4" w:space="0" w:color="AAABD6"/>
              <w:right w:val="single" w:sz="4" w:space="0" w:color="AAABD6"/>
            </w:tcBorders>
            <w:vAlign w:val="bottom"/>
          </w:tcPr>
          <w:p w14:paraId="715CF77E" w14:textId="20BA28BD" w:rsidR="00F27177" w:rsidRPr="00100F0A" w:rsidRDefault="00C34F48" w:rsidP="00F27177">
            <w:pPr>
              <w:cnfStyle w:val="000000000000" w:firstRow="0" w:lastRow="0" w:firstColumn="0" w:lastColumn="0" w:oddVBand="0" w:evenVBand="0" w:oddHBand="0" w:evenHBand="0" w:firstRowFirstColumn="0" w:firstRowLastColumn="0" w:lastRowFirstColumn="0" w:lastRowLastColumn="0"/>
            </w:pPr>
            <w:r>
              <w:rPr>
                <w:rFonts w:cs="Calibri"/>
                <w:color w:val="000000"/>
              </w:rPr>
              <w:t>20-year average</w:t>
            </w:r>
            <w:r w:rsidR="00F27177" w:rsidRPr="00100F0A">
              <w:rPr>
                <w:rFonts w:cs="Calibri"/>
                <w:color w:val="000000"/>
              </w:rPr>
              <w:t xml:space="preserve"> annual economic growth </w:t>
            </w:r>
          </w:p>
        </w:tc>
        <w:tc>
          <w:tcPr>
            <w:tcW w:w="993" w:type="dxa"/>
            <w:tcBorders>
              <w:top w:val="single" w:sz="4" w:space="0" w:color="AAABD6"/>
              <w:left w:val="single" w:sz="4" w:space="0" w:color="AAABD6"/>
              <w:bottom w:val="dotted" w:sz="4" w:space="0" w:color="AAABD6"/>
              <w:right w:val="single" w:sz="4" w:space="0" w:color="AAABD6"/>
            </w:tcBorders>
          </w:tcPr>
          <w:p w14:paraId="168F9722" w14:textId="33EE4546"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2.8%</w:t>
            </w:r>
          </w:p>
        </w:tc>
        <w:tc>
          <w:tcPr>
            <w:tcW w:w="708" w:type="dxa"/>
            <w:tcBorders>
              <w:top w:val="single" w:sz="4" w:space="0" w:color="AAABD6"/>
              <w:left w:val="single" w:sz="4" w:space="0" w:color="AAABD6"/>
              <w:bottom w:val="dotted" w:sz="4" w:space="0" w:color="AAABD6"/>
              <w:right w:val="single" w:sz="4" w:space="0" w:color="AAABD6"/>
            </w:tcBorders>
          </w:tcPr>
          <w:p w14:paraId="1DA5BEA8" w14:textId="77777777"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single" w:sz="4" w:space="0" w:color="AAABD6"/>
              <w:left w:val="single" w:sz="4" w:space="0" w:color="AAABD6"/>
              <w:bottom w:val="dotted" w:sz="4" w:space="0" w:color="AAABD6"/>
              <w:right w:val="single" w:sz="4" w:space="0" w:color="AAABD6"/>
            </w:tcBorders>
          </w:tcPr>
          <w:p w14:paraId="7A8FFB8F" w14:textId="0858C984"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2.8%</w:t>
            </w:r>
          </w:p>
        </w:tc>
      </w:tr>
      <w:tr w:rsidR="00F27177" w:rsidRPr="00100F0A" w14:paraId="7D68210E" w14:textId="77777777" w:rsidTr="00F27177">
        <w:tc>
          <w:tcPr>
            <w:cnfStyle w:val="001000000000" w:firstRow="0" w:lastRow="0" w:firstColumn="1" w:lastColumn="0" w:oddVBand="0" w:evenVBand="0" w:oddHBand="0" w:evenHBand="0" w:firstRowFirstColumn="0" w:firstRowLastColumn="0" w:lastRowFirstColumn="0" w:lastRowLastColumn="0"/>
            <w:tcW w:w="709" w:type="dxa"/>
            <w:tcBorders>
              <w:top w:val="dotted" w:sz="4" w:space="0" w:color="AAABD6"/>
              <w:left w:val="single" w:sz="4" w:space="0" w:color="AAABD6"/>
              <w:bottom w:val="dotted" w:sz="4" w:space="0" w:color="AAABD6"/>
              <w:right w:val="single" w:sz="4" w:space="0" w:color="AAABD6"/>
            </w:tcBorders>
          </w:tcPr>
          <w:p w14:paraId="5E46BE4B" w14:textId="77777777" w:rsidR="00F27177" w:rsidRPr="00100F0A" w:rsidRDefault="00F27177" w:rsidP="00F27177">
            <w:r w:rsidRPr="00100F0A">
              <w:t>High</w:t>
            </w:r>
          </w:p>
        </w:tc>
        <w:tc>
          <w:tcPr>
            <w:tcW w:w="1134" w:type="dxa"/>
            <w:vMerge/>
            <w:tcBorders>
              <w:top w:val="dotted" w:sz="4" w:space="0" w:color="AAABD6"/>
              <w:left w:val="single" w:sz="4" w:space="0" w:color="AAABD6"/>
              <w:bottom w:val="dotted" w:sz="4" w:space="0" w:color="AAABD6"/>
              <w:right w:val="single" w:sz="4" w:space="0" w:color="AAABD6"/>
            </w:tcBorders>
            <w:vAlign w:val="center"/>
          </w:tcPr>
          <w:p w14:paraId="5AFF34FD" w14:textId="77777777" w:rsidR="00F27177" w:rsidRPr="00100F0A" w:rsidRDefault="00F27177" w:rsidP="00F27177">
            <w:pPr>
              <w:cnfStyle w:val="000000000000" w:firstRow="0" w:lastRow="0" w:firstColumn="0" w:lastColumn="0" w:oddVBand="0" w:evenVBand="0" w:oddHBand="0" w:evenHBand="0" w:firstRowFirstColumn="0" w:firstRowLastColumn="0" w:lastRowFirstColumn="0" w:lastRowLastColumn="0"/>
            </w:pPr>
          </w:p>
        </w:tc>
        <w:tc>
          <w:tcPr>
            <w:tcW w:w="4332" w:type="dxa"/>
            <w:tcBorders>
              <w:top w:val="dotted" w:sz="4" w:space="0" w:color="AAABD6"/>
              <w:left w:val="single" w:sz="4" w:space="0" w:color="AAABD6"/>
              <w:bottom w:val="dotted" w:sz="4" w:space="0" w:color="AAABD6"/>
              <w:right w:val="single" w:sz="4" w:space="0" w:color="AAABD6"/>
            </w:tcBorders>
            <w:vAlign w:val="bottom"/>
          </w:tcPr>
          <w:p w14:paraId="0BA0A8E0" w14:textId="4FE8E1C5" w:rsidR="00F27177" w:rsidRPr="00100F0A" w:rsidRDefault="00F27177" w:rsidP="00F27177">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As per best estimate, with adjustment below</w:t>
            </w:r>
          </w:p>
        </w:tc>
        <w:tc>
          <w:tcPr>
            <w:tcW w:w="993" w:type="dxa"/>
            <w:tcBorders>
              <w:top w:val="dotted" w:sz="4" w:space="0" w:color="AAABD6"/>
              <w:left w:val="single" w:sz="4" w:space="0" w:color="AAABD6"/>
              <w:bottom w:val="dotted" w:sz="4" w:space="0" w:color="AAABD6"/>
              <w:right w:val="single" w:sz="4" w:space="0" w:color="AAABD6"/>
            </w:tcBorders>
          </w:tcPr>
          <w:p w14:paraId="2D7B607C" w14:textId="0DCAEB42"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2.8%</w:t>
            </w:r>
          </w:p>
        </w:tc>
        <w:tc>
          <w:tcPr>
            <w:tcW w:w="708" w:type="dxa"/>
            <w:tcBorders>
              <w:top w:val="dotted" w:sz="4" w:space="0" w:color="AAABD6"/>
              <w:left w:val="single" w:sz="4" w:space="0" w:color="AAABD6"/>
              <w:bottom w:val="dotted" w:sz="4" w:space="0" w:color="AAABD6"/>
              <w:right w:val="single" w:sz="4" w:space="0" w:color="AAABD6"/>
            </w:tcBorders>
          </w:tcPr>
          <w:p w14:paraId="713136FB" w14:textId="77777777"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tcPr>
          <w:p w14:paraId="08173565" w14:textId="57C59EF6"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2.8%</w:t>
            </w:r>
          </w:p>
        </w:tc>
      </w:tr>
      <w:tr w:rsidR="00F27177" w:rsidRPr="00100F0A" w14:paraId="6E48727C" w14:textId="77777777" w:rsidTr="00F27177">
        <w:tc>
          <w:tcPr>
            <w:cnfStyle w:val="001000000000" w:firstRow="0" w:lastRow="0" w:firstColumn="1" w:lastColumn="0" w:oddVBand="0" w:evenVBand="0" w:oddHBand="0" w:evenHBand="0" w:firstRowFirstColumn="0" w:firstRowLastColumn="0" w:lastRowFirstColumn="0" w:lastRowLastColumn="0"/>
            <w:tcW w:w="709" w:type="dxa"/>
            <w:tcBorders>
              <w:top w:val="dotted" w:sz="4" w:space="0" w:color="AAABD6"/>
              <w:left w:val="single" w:sz="4" w:space="0" w:color="AAABD6"/>
              <w:bottom w:val="single" w:sz="4" w:space="0" w:color="AAABD6"/>
              <w:right w:val="single" w:sz="4" w:space="0" w:color="AAABD6"/>
            </w:tcBorders>
          </w:tcPr>
          <w:p w14:paraId="1EC90D39" w14:textId="77777777" w:rsidR="00F27177" w:rsidRPr="00100F0A" w:rsidRDefault="00F27177" w:rsidP="00F27177">
            <w:r w:rsidRPr="00100F0A">
              <w:t>Low</w:t>
            </w:r>
          </w:p>
        </w:tc>
        <w:tc>
          <w:tcPr>
            <w:tcW w:w="1134" w:type="dxa"/>
            <w:vMerge/>
            <w:tcBorders>
              <w:top w:val="dotted" w:sz="4" w:space="0" w:color="AAABD6"/>
              <w:left w:val="single" w:sz="4" w:space="0" w:color="AAABD6"/>
              <w:bottom w:val="single" w:sz="4" w:space="0" w:color="AAABD6"/>
              <w:right w:val="single" w:sz="4" w:space="0" w:color="AAABD6"/>
            </w:tcBorders>
            <w:vAlign w:val="center"/>
          </w:tcPr>
          <w:p w14:paraId="220D165B" w14:textId="77777777" w:rsidR="00F27177" w:rsidRPr="00100F0A" w:rsidRDefault="00F27177" w:rsidP="00F27177">
            <w:pPr>
              <w:cnfStyle w:val="000000000000" w:firstRow="0" w:lastRow="0" w:firstColumn="0" w:lastColumn="0" w:oddVBand="0" w:evenVBand="0" w:oddHBand="0" w:evenHBand="0" w:firstRowFirstColumn="0" w:firstRowLastColumn="0" w:lastRowFirstColumn="0" w:lastRowLastColumn="0"/>
            </w:pPr>
          </w:p>
        </w:tc>
        <w:tc>
          <w:tcPr>
            <w:tcW w:w="4332" w:type="dxa"/>
            <w:tcBorders>
              <w:top w:val="dotted" w:sz="4" w:space="0" w:color="AAABD6"/>
              <w:left w:val="single" w:sz="4" w:space="0" w:color="AAABD6"/>
              <w:bottom w:val="single" w:sz="4" w:space="0" w:color="AAABD6"/>
              <w:right w:val="single" w:sz="4" w:space="0" w:color="AAABD6"/>
            </w:tcBorders>
            <w:vAlign w:val="bottom"/>
          </w:tcPr>
          <w:p w14:paraId="6B1F61F2" w14:textId="342A2759" w:rsidR="00F27177" w:rsidRPr="00100F0A" w:rsidRDefault="00F27177" w:rsidP="00F27177">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As per best estimate, with adjustment below</w:t>
            </w:r>
          </w:p>
        </w:tc>
        <w:tc>
          <w:tcPr>
            <w:tcW w:w="993" w:type="dxa"/>
            <w:tcBorders>
              <w:top w:val="dotted" w:sz="4" w:space="0" w:color="AAABD6"/>
              <w:left w:val="single" w:sz="4" w:space="0" w:color="AAABD6"/>
              <w:bottom w:val="single" w:sz="4" w:space="0" w:color="AAABD6"/>
              <w:right w:val="single" w:sz="4" w:space="0" w:color="AAABD6"/>
            </w:tcBorders>
          </w:tcPr>
          <w:p w14:paraId="2DFD664B" w14:textId="46A28566"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2.8%</w:t>
            </w:r>
          </w:p>
        </w:tc>
        <w:tc>
          <w:tcPr>
            <w:tcW w:w="708" w:type="dxa"/>
            <w:tcBorders>
              <w:top w:val="dotted" w:sz="4" w:space="0" w:color="AAABD6"/>
              <w:left w:val="single" w:sz="4" w:space="0" w:color="AAABD6"/>
              <w:bottom w:val="single" w:sz="4" w:space="0" w:color="AAABD6"/>
              <w:right w:val="single" w:sz="4" w:space="0" w:color="AAABD6"/>
            </w:tcBorders>
          </w:tcPr>
          <w:p w14:paraId="6D4A1BF1" w14:textId="77777777"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single" w:sz="4" w:space="0" w:color="AAABD6"/>
              <w:right w:val="single" w:sz="4" w:space="0" w:color="AAABD6"/>
            </w:tcBorders>
          </w:tcPr>
          <w:p w14:paraId="4F1EDE71" w14:textId="1150B295"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2.8%</w:t>
            </w:r>
          </w:p>
        </w:tc>
      </w:tr>
      <w:tr w:rsidR="0026563E" w:rsidRPr="00100F0A" w14:paraId="43E1CCCB" w14:textId="77777777" w:rsidTr="00F27177">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AABD6"/>
              <w:left w:val="single" w:sz="4" w:space="0" w:color="AAABD6"/>
              <w:bottom w:val="single" w:sz="4" w:space="0" w:color="AAABD6"/>
              <w:right w:val="single" w:sz="4" w:space="0" w:color="AAABD6"/>
            </w:tcBorders>
          </w:tcPr>
          <w:p w14:paraId="6C5CEC4A" w14:textId="77777777" w:rsidR="0026563E" w:rsidRPr="00100F0A" w:rsidRDefault="0026563E" w:rsidP="00481E42">
            <w:r w:rsidRPr="00100F0A">
              <w:rPr>
                <w:iCs/>
                <w:color w:val="4D4DB8"/>
                <w:szCs w:val="18"/>
              </w:rPr>
              <w:t>Arisings – absolute tonnes pa</w:t>
            </w:r>
          </w:p>
        </w:tc>
      </w:tr>
      <w:tr w:rsidR="00F27177" w:rsidRPr="00100F0A" w14:paraId="068A4AD4" w14:textId="77777777" w:rsidTr="00F27177">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AABD6"/>
              <w:left w:val="single" w:sz="4" w:space="0" w:color="AAABD6"/>
              <w:bottom w:val="dotted" w:sz="4" w:space="0" w:color="AAABD6"/>
              <w:right w:val="single" w:sz="4" w:space="0" w:color="AAABD6"/>
            </w:tcBorders>
            <w:vAlign w:val="center"/>
          </w:tcPr>
          <w:p w14:paraId="487A4F9A" w14:textId="72DF4427" w:rsidR="00F27177" w:rsidRPr="00100F0A" w:rsidRDefault="00F27177" w:rsidP="00F27177">
            <w:r w:rsidRPr="00100F0A">
              <w:t>Best</w:t>
            </w:r>
          </w:p>
        </w:tc>
        <w:tc>
          <w:tcPr>
            <w:tcW w:w="1134" w:type="dxa"/>
            <w:tcBorders>
              <w:top w:val="single" w:sz="4" w:space="0" w:color="AAABD6"/>
              <w:left w:val="single" w:sz="4" w:space="0" w:color="AAABD6"/>
              <w:bottom w:val="dotted" w:sz="4" w:space="0" w:color="AAABD6"/>
              <w:right w:val="single" w:sz="4" w:space="0" w:color="AAABD6"/>
            </w:tcBorders>
            <w:vAlign w:val="center"/>
          </w:tcPr>
          <w:p w14:paraId="174CA834" w14:textId="77777777" w:rsidR="00F27177" w:rsidRPr="00100F0A" w:rsidRDefault="00F27177" w:rsidP="00F27177">
            <w:pPr>
              <w:cnfStyle w:val="000000000000" w:firstRow="0" w:lastRow="0" w:firstColumn="0" w:lastColumn="0" w:oddVBand="0" w:evenVBand="0" w:oddHBand="0" w:evenHBand="0" w:firstRowFirstColumn="0" w:firstRowLastColumn="0" w:lastRowFirstColumn="0" w:lastRowLastColumn="0"/>
            </w:pPr>
            <w:r w:rsidRPr="00100F0A">
              <w:t>ACT</w:t>
            </w:r>
          </w:p>
        </w:tc>
        <w:tc>
          <w:tcPr>
            <w:tcW w:w="4332" w:type="dxa"/>
            <w:tcBorders>
              <w:top w:val="single" w:sz="4" w:space="0" w:color="AAABD6"/>
              <w:left w:val="single" w:sz="4" w:space="0" w:color="AAABD6"/>
              <w:bottom w:val="dotted" w:sz="4" w:space="0" w:color="AAABD6"/>
              <w:right w:val="single" w:sz="4" w:space="0" w:color="AAABD6"/>
            </w:tcBorders>
            <w:vAlign w:val="bottom"/>
          </w:tcPr>
          <w:p w14:paraId="72DDA3E3" w14:textId="1A46F7B2" w:rsidR="00F27177" w:rsidRPr="00100F0A" w:rsidRDefault="00F27177" w:rsidP="00F27177">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 xml:space="preserve">Mr Fluffy disposal estimate provided by ACT Govt </w:t>
            </w:r>
          </w:p>
        </w:tc>
        <w:tc>
          <w:tcPr>
            <w:tcW w:w="993" w:type="dxa"/>
            <w:tcBorders>
              <w:top w:val="single" w:sz="4" w:space="0" w:color="AAABD6"/>
              <w:left w:val="single" w:sz="4" w:space="0" w:color="AAABD6"/>
              <w:bottom w:val="dotted" w:sz="4" w:space="0" w:color="AAABD6"/>
              <w:right w:val="single" w:sz="4" w:space="0" w:color="AAABD6"/>
            </w:tcBorders>
            <w:vAlign w:val="bottom"/>
          </w:tcPr>
          <w:p w14:paraId="3BE522DE" w14:textId="1DA8C059"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93,000</w:t>
            </w:r>
          </w:p>
        </w:tc>
        <w:tc>
          <w:tcPr>
            <w:tcW w:w="708" w:type="dxa"/>
            <w:tcBorders>
              <w:top w:val="single" w:sz="4" w:space="0" w:color="AAABD6"/>
              <w:left w:val="single" w:sz="4" w:space="0" w:color="AAABD6"/>
              <w:bottom w:val="dotted" w:sz="4" w:space="0" w:color="AAABD6"/>
              <w:right w:val="single" w:sz="4" w:space="0" w:color="AAABD6"/>
            </w:tcBorders>
          </w:tcPr>
          <w:p w14:paraId="60776B99" w14:textId="77777777"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single" w:sz="4" w:space="0" w:color="AAABD6"/>
              <w:left w:val="single" w:sz="4" w:space="0" w:color="AAABD6"/>
              <w:bottom w:val="dotted" w:sz="4" w:space="0" w:color="AAABD6"/>
              <w:right w:val="single" w:sz="4" w:space="0" w:color="AAABD6"/>
            </w:tcBorders>
            <w:vAlign w:val="bottom"/>
          </w:tcPr>
          <w:p w14:paraId="6067BB53" w14:textId="159FCC53"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0</w:t>
            </w:r>
          </w:p>
        </w:tc>
      </w:tr>
      <w:tr w:rsidR="00F27177" w:rsidRPr="00100F0A" w14:paraId="7B303C9A" w14:textId="77777777" w:rsidTr="00F27177">
        <w:tc>
          <w:tcPr>
            <w:cnfStyle w:val="001000000000" w:firstRow="0" w:lastRow="0" w:firstColumn="1" w:lastColumn="0" w:oddVBand="0" w:evenVBand="0" w:oddHBand="0" w:evenHBand="0" w:firstRowFirstColumn="0" w:firstRowLastColumn="0" w:lastRowFirstColumn="0" w:lastRowLastColumn="0"/>
            <w:tcW w:w="709" w:type="dxa"/>
            <w:tcBorders>
              <w:top w:val="dotted" w:sz="4" w:space="0" w:color="AAABD6"/>
              <w:left w:val="single" w:sz="4" w:space="0" w:color="AAABD6"/>
              <w:bottom w:val="dotted" w:sz="4" w:space="0" w:color="AAABD6"/>
              <w:right w:val="single" w:sz="4" w:space="0" w:color="AAABD6"/>
            </w:tcBorders>
          </w:tcPr>
          <w:p w14:paraId="02655B2B" w14:textId="7269A92F" w:rsidR="00F27177" w:rsidRPr="00100F0A" w:rsidRDefault="00F27177" w:rsidP="00F27177">
            <w:r w:rsidRPr="00100F0A">
              <w:t>High</w:t>
            </w:r>
          </w:p>
        </w:tc>
        <w:tc>
          <w:tcPr>
            <w:tcW w:w="1134" w:type="dxa"/>
            <w:tcBorders>
              <w:top w:val="dotted" w:sz="4" w:space="0" w:color="AAABD6"/>
              <w:left w:val="single" w:sz="4" w:space="0" w:color="AAABD6"/>
              <w:bottom w:val="dotted" w:sz="4" w:space="0" w:color="AAABD6"/>
              <w:right w:val="single" w:sz="4" w:space="0" w:color="AAABD6"/>
            </w:tcBorders>
          </w:tcPr>
          <w:p w14:paraId="05674449" w14:textId="57E1DE7B" w:rsidR="00F27177" w:rsidRPr="00100F0A" w:rsidRDefault="00F27177" w:rsidP="00F27177">
            <w:pPr>
              <w:cnfStyle w:val="000000000000" w:firstRow="0" w:lastRow="0" w:firstColumn="0" w:lastColumn="0" w:oddVBand="0" w:evenVBand="0" w:oddHBand="0" w:evenHBand="0" w:firstRowFirstColumn="0" w:firstRowLastColumn="0" w:lastRowFirstColumn="0" w:lastRowLastColumn="0"/>
            </w:pPr>
            <w:r w:rsidRPr="00100F0A">
              <w:t>ACT</w:t>
            </w:r>
          </w:p>
        </w:tc>
        <w:tc>
          <w:tcPr>
            <w:tcW w:w="4332" w:type="dxa"/>
            <w:tcBorders>
              <w:top w:val="dotted" w:sz="4" w:space="0" w:color="AAABD6"/>
              <w:left w:val="single" w:sz="4" w:space="0" w:color="AAABD6"/>
              <w:bottom w:val="dotted" w:sz="4" w:space="0" w:color="AAABD6"/>
              <w:right w:val="single" w:sz="4" w:space="0" w:color="AAABD6"/>
            </w:tcBorders>
            <w:vAlign w:val="bottom"/>
          </w:tcPr>
          <w:p w14:paraId="65B358D2" w14:textId="2F992D93" w:rsidR="00F27177" w:rsidRPr="00100F0A" w:rsidRDefault="00F27177" w:rsidP="00F27177">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Best estimate + 10%</w:t>
            </w:r>
          </w:p>
        </w:tc>
        <w:tc>
          <w:tcPr>
            <w:tcW w:w="993" w:type="dxa"/>
            <w:tcBorders>
              <w:top w:val="dotted" w:sz="4" w:space="0" w:color="AAABD6"/>
              <w:left w:val="single" w:sz="4" w:space="0" w:color="AAABD6"/>
              <w:bottom w:val="dotted" w:sz="4" w:space="0" w:color="AAABD6"/>
              <w:right w:val="single" w:sz="4" w:space="0" w:color="AAABD6"/>
            </w:tcBorders>
            <w:vAlign w:val="bottom"/>
          </w:tcPr>
          <w:p w14:paraId="2C6358E2" w14:textId="6DE7E754"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102,300</w:t>
            </w:r>
          </w:p>
        </w:tc>
        <w:tc>
          <w:tcPr>
            <w:tcW w:w="708" w:type="dxa"/>
            <w:tcBorders>
              <w:top w:val="dotted" w:sz="4" w:space="0" w:color="AAABD6"/>
              <w:left w:val="single" w:sz="4" w:space="0" w:color="AAABD6"/>
              <w:bottom w:val="dotted" w:sz="4" w:space="0" w:color="AAABD6"/>
              <w:right w:val="single" w:sz="4" w:space="0" w:color="AAABD6"/>
            </w:tcBorders>
          </w:tcPr>
          <w:p w14:paraId="7A55902B" w14:textId="77777777"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vAlign w:val="bottom"/>
          </w:tcPr>
          <w:p w14:paraId="3F88B90F" w14:textId="2E6E549C"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0</w:t>
            </w:r>
          </w:p>
        </w:tc>
      </w:tr>
      <w:tr w:rsidR="00F27177" w:rsidRPr="00100F0A" w14:paraId="2F4795BC" w14:textId="77777777" w:rsidTr="00F27177">
        <w:tc>
          <w:tcPr>
            <w:cnfStyle w:val="001000000000" w:firstRow="0" w:lastRow="0" w:firstColumn="1" w:lastColumn="0" w:oddVBand="0" w:evenVBand="0" w:oddHBand="0" w:evenHBand="0" w:firstRowFirstColumn="0" w:firstRowLastColumn="0" w:lastRowFirstColumn="0" w:lastRowLastColumn="0"/>
            <w:tcW w:w="709" w:type="dxa"/>
            <w:tcBorders>
              <w:top w:val="dotted" w:sz="4" w:space="0" w:color="AAABD6"/>
              <w:left w:val="single" w:sz="4" w:space="0" w:color="AAABD6"/>
              <w:bottom w:val="single" w:sz="4" w:space="0" w:color="AAABD6"/>
              <w:right w:val="single" w:sz="4" w:space="0" w:color="AAABD6"/>
            </w:tcBorders>
          </w:tcPr>
          <w:p w14:paraId="0491DD14" w14:textId="5A8C5DD8" w:rsidR="00F27177" w:rsidRPr="00100F0A" w:rsidRDefault="00F27177" w:rsidP="00F27177">
            <w:r w:rsidRPr="00100F0A">
              <w:t>Low</w:t>
            </w:r>
          </w:p>
        </w:tc>
        <w:tc>
          <w:tcPr>
            <w:tcW w:w="1134" w:type="dxa"/>
            <w:tcBorders>
              <w:top w:val="dotted" w:sz="4" w:space="0" w:color="AAABD6"/>
              <w:left w:val="single" w:sz="4" w:space="0" w:color="AAABD6"/>
              <w:bottom w:val="single" w:sz="4" w:space="0" w:color="AAABD6"/>
              <w:right w:val="single" w:sz="4" w:space="0" w:color="AAABD6"/>
            </w:tcBorders>
          </w:tcPr>
          <w:p w14:paraId="6ADB08ED" w14:textId="7E515201" w:rsidR="00F27177" w:rsidRPr="00100F0A" w:rsidRDefault="00F27177" w:rsidP="00F27177">
            <w:pPr>
              <w:cnfStyle w:val="000000000000" w:firstRow="0" w:lastRow="0" w:firstColumn="0" w:lastColumn="0" w:oddVBand="0" w:evenVBand="0" w:oddHBand="0" w:evenHBand="0" w:firstRowFirstColumn="0" w:firstRowLastColumn="0" w:lastRowFirstColumn="0" w:lastRowLastColumn="0"/>
            </w:pPr>
            <w:r w:rsidRPr="00100F0A">
              <w:t>ACT</w:t>
            </w:r>
          </w:p>
        </w:tc>
        <w:tc>
          <w:tcPr>
            <w:tcW w:w="4332" w:type="dxa"/>
            <w:tcBorders>
              <w:top w:val="dotted" w:sz="4" w:space="0" w:color="AAABD6"/>
              <w:left w:val="single" w:sz="4" w:space="0" w:color="AAABD6"/>
              <w:bottom w:val="single" w:sz="4" w:space="0" w:color="AAABD6"/>
              <w:right w:val="single" w:sz="4" w:space="0" w:color="AAABD6"/>
            </w:tcBorders>
            <w:vAlign w:val="bottom"/>
          </w:tcPr>
          <w:p w14:paraId="6FF262EE" w14:textId="227625F0" w:rsidR="00F27177" w:rsidRPr="00100F0A" w:rsidRDefault="00F27177" w:rsidP="00F27177">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Best estimate - 10%</w:t>
            </w:r>
          </w:p>
        </w:tc>
        <w:tc>
          <w:tcPr>
            <w:tcW w:w="993" w:type="dxa"/>
            <w:tcBorders>
              <w:top w:val="dotted" w:sz="4" w:space="0" w:color="AAABD6"/>
              <w:left w:val="single" w:sz="4" w:space="0" w:color="AAABD6"/>
              <w:bottom w:val="single" w:sz="4" w:space="0" w:color="AAABD6"/>
              <w:right w:val="single" w:sz="4" w:space="0" w:color="AAABD6"/>
            </w:tcBorders>
            <w:vAlign w:val="bottom"/>
          </w:tcPr>
          <w:p w14:paraId="40CA47F6" w14:textId="74A268EA"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83,700</w:t>
            </w:r>
          </w:p>
        </w:tc>
        <w:tc>
          <w:tcPr>
            <w:tcW w:w="708" w:type="dxa"/>
            <w:tcBorders>
              <w:top w:val="dotted" w:sz="4" w:space="0" w:color="AAABD6"/>
              <w:left w:val="single" w:sz="4" w:space="0" w:color="AAABD6"/>
              <w:bottom w:val="single" w:sz="4" w:space="0" w:color="AAABD6"/>
              <w:right w:val="single" w:sz="4" w:space="0" w:color="AAABD6"/>
            </w:tcBorders>
          </w:tcPr>
          <w:p w14:paraId="2B3779D1" w14:textId="77777777"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single" w:sz="4" w:space="0" w:color="AAABD6"/>
              <w:right w:val="single" w:sz="4" w:space="0" w:color="AAABD6"/>
            </w:tcBorders>
            <w:vAlign w:val="bottom"/>
          </w:tcPr>
          <w:p w14:paraId="0A490B6A" w14:textId="59B0B0F3"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0</w:t>
            </w:r>
          </w:p>
        </w:tc>
      </w:tr>
      <w:tr w:rsidR="00E565F9" w:rsidRPr="00100F0A" w14:paraId="3900FF15" w14:textId="77777777" w:rsidTr="00F27177">
        <w:tc>
          <w:tcPr>
            <w:cnfStyle w:val="001000000000" w:firstRow="0" w:lastRow="0" w:firstColumn="1" w:lastColumn="0" w:oddVBand="0" w:evenVBand="0" w:oddHBand="0" w:evenHBand="0" w:firstRowFirstColumn="0" w:firstRowLastColumn="0" w:lastRowFirstColumn="0" w:lastRowLastColumn="0"/>
            <w:tcW w:w="709" w:type="dxa"/>
            <w:vMerge w:val="restart"/>
            <w:tcBorders>
              <w:top w:val="single" w:sz="4" w:space="0" w:color="AAABD6"/>
              <w:left w:val="single" w:sz="4" w:space="0" w:color="AAABD6"/>
              <w:right w:val="single" w:sz="4" w:space="0" w:color="AAABD6"/>
            </w:tcBorders>
            <w:vAlign w:val="center"/>
          </w:tcPr>
          <w:p w14:paraId="3E37CE10" w14:textId="61986C40" w:rsidR="00E565F9" w:rsidRPr="00100F0A" w:rsidRDefault="00E565F9" w:rsidP="00E565F9">
            <w:r w:rsidRPr="00100F0A">
              <w:t>High</w:t>
            </w:r>
          </w:p>
        </w:tc>
        <w:tc>
          <w:tcPr>
            <w:tcW w:w="1134" w:type="dxa"/>
            <w:tcBorders>
              <w:top w:val="single" w:sz="4" w:space="0" w:color="AAABD6"/>
              <w:left w:val="single" w:sz="4" w:space="0" w:color="AAABD6"/>
              <w:bottom w:val="dotted" w:sz="4" w:space="0" w:color="AAABD6"/>
              <w:right w:val="single" w:sz="4" w:space="0" w:color="AAABD6"/>
            </w:tcBorders>
            <w:vAlign w:val="center"/>
          </w:tcPr>
          <w:p w14:paraId="7DE90AEF" w14:textId="61921CDF" w:rsidR="00E565F9" w:rsidRPr="00100F0A" w:rsidRDefault="00E565F9" w:rsidP="00E565F9">
            <w:pPr>
              <w:cnfStyle w:val="000000000000" w:firstRow="0" w:lastRow="0" w:firstColumn="0" w:lastColumn="0" w:oddVBand="0" w:evenVBand="0" w:oddHBand="0" w:evenHBand="0" w:firstRowFirstColumn="0" w:firstRowLastColumn="0" w:lastRowFirstColumn="0" w:lastRowLastColumn="0"/>
            </w:pPr>
            <w:r w:rsidRPr="00100F0A">
              <w:t>NSW</w:t>
            </w:r>
          </w:p>
        </w:tc>
        <w:tc>
          <w:tcPr>
            <w:tcW w:w="4332" w:type="dxa"/>
            <w:vMerge w:val="restart"/>
            <w:tcBorders>
              <w:top w:val="single" w:sz="4" w:space="0" w:color="AAABD6"/>
              <w:left w:val="single" w:sz="4" w:space="0" w:color="AAABD6"/>
              <w:right w:val="single" w:sz="4" w:space="0" w:color="AAABD6"/>
            </w:tcBorders>
            <w:vAlign w:val="center"/>
          </w:tcPr>
          <w:p w14:paraId="70556BD5" w14:textId="262E5D5B" w:rsidR="00E565F9" w:rsidRPr="00100F0A" w:rsidRDefault="00E565F9" w:rsidP="00E565F9">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Best estimate (absolute) + 50%</w:t>
            </w:r>
          </w:p>
        </w:tc>
        <w:tc>
          <w:tcPr>
            <w:tcW w:w="993" w:type="dxa"/>
            <w:tcBorders>
              <w:top w:val="single" w:sz="4" w:space="0" w:color="AAABD6"/>
              <w:left w:val="single" w:sz="4" w:space="0" w:color="AAABD6"/>
              <w:bottom w:val="dotted" w:sz="4" w:space="0" w:color="AAABD6"/>
              <w:right w:val="single" w:sz="4" w:space="0" w:color="AAABD6"/>
            </w:tcBorders>
            <w:vAlign w:val="bottom"/>
          </w:tcPr>
          <w:p w14:paraId="1816B1B5" w14:textId="7831CE36" w:rsidR="00E565F9" w:rsidRPr="00100F0A" w:rsidRDefault="00E565F9" w:rsidP="00E565F9">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337,699</w:t>
            </w:r>
          </w:p>
        </w:tc>
        <w:tc>
          <w:tcPr>
            <w:tcW w:w="708" w:type="dxa"/>
            <w:tcBorders>
              <w:top w:val="single" w:sz="4" w:space="0" w:color="AAABD6"/>
              <w:left w:val="single" w:sz="4" w:space="0" w:color="AAABD6"/>
              <w:bottom w:val="dotted" w:sz="4" w:space="0" w:color="AAABD6"/>
              <w:right w:val="single" w:sz="4" w:space="0" w:color="AAABD6"/>
            </w:tcBorders>
          </w:tcPr>
          <w:p w14:paraId="39AC32D0" w14:textId="77777777" w:rsidR="00E565F9" w:rsidRPr="00100F0A" w:rsidRDefault="00E565F9" w:rsidP="00E565F9">
            <w:pPr>
              <w:jc w:val="right"/>
              <w:cnfStyle w:val="000000000000" w:firstRow="0" w:lastRow="0" w:firstColumn="0" w:lastColumn="0" w:oddVBand="0" w:evenVBand="0" w:oddHBand="0" w:evenHBand="0" w:firstRowFirstColumn="0" w:firstRowLastColumn="0" w:lastRowFirstColumn="0" w:lastRowLastColumn="0"/>
            </w:pPr>
          </w:p>
        </w:tc>
        <w:tc>
          <w:tcPr>
            <w:tcW w:w="993" w:type="dxa"/>
            <w:tcBorders>
              <w:top w:val="single" w:sz="4" w:space="0" w:color="AAABD6"/>
              <w:left w:val="single" w:sz="4" w:space="0" w:color="AAABD6"/>
              <w:bottom w:val="dotted" w:sz="4" w:space="0" w:color="AAABD6"/>
              <w:right w:val="single" w:sz="4" w:space="0" w:color="AAABD6"/>
            </w:tcBorders>
            <w:vAlign w:val="bottom"/>
          </w:tcPr>
          <w:p w14:paraId="1E262909" w14:textId="7952351C" w:rsidR="00E565F9" w:rsidRPr="00100F0A" w:rsidRDefault="00E565F9" w:rsidP="00E565F9">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337,699</w:t>
            </w:r>
          </w:p>
        </w:tc>
      </w:tr>
      <w:tr w:rsidR="00E565F9" w:rsidRPr="00100F0A" w14:paraId="7FA506C0" w14:textId="77777777" w:rsidTr="00481E42">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7646A709" w14:textId="77777777" w:rsidR="00E565F9" w:rsidRPr="00100F0A" w:rsidRDefault="00E565F9" w:rsidP="00E565F9"/>
        </w:tc>
        <w:tc>
          <w:tcPr>
            <w:tcW w:w="1134" w:type="dxa"/>
            <w:tcBorders>
              <w:top w:val="dotted" w:sz="4" w:space="0" w:color="AAABD6"/>
              <w:left w:val="single" w:sz="4" w:space="0" w:color="AAABD6"/>
              <w:bottom w:val="dotted" w:sz="4" w:space="0" w:color="AAABD6"/>
              <w:right w:val="single" w:sz="4" w:space="0" w:color="AAABD6"/>
            </w:tcBorders>
            <w:vAlign w:val="center"/>
          </w:tcPr>
          <w:p w14:paraId="0F82FF61" w14:textId="3D6A7772" w:rsidR="00E565F9" w:rsidRPr="00100F0A" w:rsidRDefault="00E565F9" w:rsidP="00E565F9">
            <w:pPr>
              <w:cnfStyle w:val="000000000000" w:firstRow="0" w:lastRow="0" w:firstColumn="0" w:lastColumn="0" w:oddVBand="0" w:evenVBand="0" w:oddHBand="0" w:evenHBand="0" w:firstRowFirstColumn="0" w:firstRowLastColumn="0" w:lastRowFirstColumn="0" w:lastRowLastColumn="0"/>
            </w:pPr>
            <w:r w:rsidRPr="00100F0A">
              <w:t>NT</w:t>
            </w:r>
          </w:p>
        </w:tc>
        <w:tc>
          <w:tcPr>
            <w:tcW w:w="4332" w:type="dxa"/>
            <w:vMerge/>
            <w:tcBorders>
              <w:left w:val="single" w:sz="4" w:space="0" w:color="AAABD6"/>
              <w:right w:val="single" w:sz="4" w:space="0" w:color="AAABD6"/>
            </w:tcBorders>
            <w:vAlign w:val="center"/>
          </w:tcPr>
          <w:p w14:paraId="2F8BF080" w14:textId="77777777" w:rsidR="00E565F9" w:rsidRPr="00100F0A" w:rsidRDefault="00E565F9" w:rsidP="00E565F9">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2696242F" w14:textId="6787B905" w:rsidR="00E565F9" w:rsidRPr="00100F0A" w:rsidRDefault="00E565F9" w:rsidP="00E565F9">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2,956</w:t>
            </w:r>
          </w:p>
        </w:tc>
        <w:tc>
          <w:tcPr>
            <w:tcW w:w="708" w:type="dxa"/>
            <w:tcBorders>
              <w:top w:val="dotted" w:sz="4" w:space="0" w:color="AAABD6"/>
              <w:left w:val="single" w:sz="4" w:space="0" w:color="AAABD6"/>
              <w:bottom w:val="dotted" w:sz="4" w:space="0" w:color="AAABD6"/>
              <w:right w:val="single" w:sz="4" w:space="0" w:color="AAABD6"/>
            </w:tcBorders>
          </w:tcPr>
          <w:p w14:paraId="68F6F610" w14:textId="77777777" w:rsidR="00E565F9" w:rsidRPr="00100F0A" w:rsidRDefault="00E565F9" w:rsidP="00E565F9">
            <w:pPr>
              <w:jc w:val="right"/>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654ABF98" w14:textId="7B02E096" w:rsidR="00E565F9" w:rsidRPr="00100F0A" w:rsidRDefault="00E565F9" w:rsidP="00E565F9">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2,956</w:t>
            </w:r>
          </w:p>
        </w:tc>
      </w:tr>
      <w:tr w:rsidR="00E565F9" w:rsidRPr="00100F0A" w14:paraId="52DEB1FF" w14:textId="77777777" w:rsidTr="00481E42">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79010076" w14:textId="77777777" w:rsidR="00E565F9" w:rsidRPr="00100F0A" w:rsidRDefault="00E565F9" w:rsidP="00E565F9"/>
        </w:tc>
        <w:tc>
          <w:tcPr>
            <w:tcW w:w="1134" w:type="dxa"/>
            <w:tcBorders>
              <w:top w:val="dotted" w:sz="4" w:space="0" w:color="AAABD6"/>
              <w:left w:val="single" w:sz="4" w:space="0" w:color="AAABD6"/>
              <w:bottom w:val="dotted" w:sz="4" w:space="0" w:color="AAABD6"/>
              <w:right w:val="single" w:sz="4" w:space="0" w:color="AAABD6"/>
            </w:tcBorders>
            <w:vAlign w:val="center"/>
          </w:tcPr>
          <w:p w14:paraId="367BB3DE" w14:textId="3875217D" w:rsidR="00E565F9" w:rsidRPr="00100F0A" w:rsidRDefault="00E565F9" w:rsidP="00E565F9">
            <w:pPr>
              <w:cnfStyle w:val="000000000000" w:firstRow="0" w:lastRow="0" w:firstColumn="0" w:lastColumn="0" w:oddVBand="0" w:evenVBand="0" w:oddHBand="0" w:evenHBand="0" w:firstRowFirstColumn="0" w:firstRowLastColumn="0" w:lastRowFirstColumn="0" w:lastRowLastColumn="0"/>
            </w:pPr>
            <w:r w:rsidRPr="00100F0A">
              <w:t>Qld</w:t>
            </w:r>
          </w:p>
        </w:tc>
        <w:tc>
          <w:tcPr>
            <w:tcW w:w="4332" w:type="dxa"/>
            <w:vMerge/>
            <w:tcBorders>
              <w:left w:val="single" w:sz="4" w:space="0" w:color="AAABD6"/>
              <w:right w:val="single" w:sz="4" w:space="0" w:color="AAABD6"/>
            </w:tcBorders>
            <w:vAlign w:val="center"/>
          </w:tcPr>
          <w:p w14:paraId="42B00F02" w14:textId="77777777" w:rsidR="00E565F9" w:rsidRPr="00100F0A" w:rsidRDefault="00E565F9" w:rsidP="00E565F9">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773CA4E0" w14:textId="7A6D181E" w:rsidR="00E565F9" w:rsidRPr="00100F0A" w:rsidRDefault="00E565F9" w:rsidP="00E565F9">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74,015</w:t>
            </w:r>
          </w:p>
        </w:tc>
        <w:tc>
          <w:tcPr>
            <w:tcW w:w="708" w:type="dxa"/>
            <w:tcBorders>
              <w:top w:val="dotted" w:sz="4" w:space="0" w:color="AAABD6"/>
              <w:left w:val="single" w:sz="4" w:space="0" w:color="AAABD6"/>
              <w:bottom w:val="dotted" w:sz="4" w:space="0" w:color="AAABD6"/>
              <w:right w:val="single" w:sz="4" w:space="0" w:color="AAABD6"/>
            </w:tcBorders>
          </w:tcPr>
          <w:p w14:paraId="6C8E2DD1" w14:textId="77777777" w:rsidR="00E565F9" w:rsidRPr="00100F0A" w:rsidRDefault="00E565F9" w:rsidP="00E565F9">
            <w:pPr>
              <w:jc w:val="right"/>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2580A24A" w14:textId="10CE44B8" w:rsidR="00E565F9" w:rsidRPr="00100F0A" w:rsidRDefault="00E565F9" w:rsidP="00E565F9">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74,015</w:t>
            </w:r>
          </w:p>
        </w:tc>
      </w:tr>
      <w:tr w:rsidR="00E565F9" w:rsidRPr="00100F0A" w14:paraId="2210FCF6" w14:textId="77777777" w:rsidTr="00481E42">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445F578E" w14:textId="77777777" w:rsidR="00E565F9" w:rsidRPr="00100F0A" w:rsidRDefault="00E565F9" w:rsidP="00E565F9"/>
        </w:tc>
        <w:tc>
          <w:tcPr>
            <w:tcW w:w="1134" w:type="dxa"/>
            <w:tcBorders>
              <w:top w:val="dotted" w:sz="4" w:space="0" w:color="AAABD6"/>
              <w:left w:val="single" w:sz="4" w:space="0" w:color="AAABD6"/>
              <w:bottom w:val="dotted" w:sz="4" w:space="0" w:color="AAABD6"/>
              <w:right w:val="single" w:sz="4" w:space="0" w:color="AAABD6"/>
            </w:tcBorders>
            <w:vAlign w:val="center"/>
          </w:tcPr>
          <w:p w14:paraId="18AECD36" w14:textId="0092806C" w:rsidR="00E565F9" w:rsidRPr="00100F0A" w:rsidRDefault="00E565F9" w:rsidP="00E565F9">
            <w:pPr>
              <w:cnfStyle w:val="000000000000" w:firstRow="0" w:lastRow="0" w:firstColumn="0" w:lastColumn="0" w:oddVBand="0" w:evenVBand="0" w:oddHBand="0" w:evenHBand="0" w:firstRowFirstColumn="0" w:firstRowLastColumn="0" w:lastRowFirstColumn="0" w:lastRowLastColumn="0"/>
            </w:pPr>
            <w:r w:rsidRPr="00100F0A">
              <w:t>SA</w:t>
            </w:r>
          </w:p>
        </w:tc>
        <w:tc>
          <w:tcPr>
            <w:tcW w:w="4332" w:type="dxa"/>
            <w:vMerge/>
            <w:tcBorders>
              <w:left w:val="single" w:sz="4" w:space="0" w:color="AAABD6"/>
              <w:right w:val="single" w:sz="4" w:space="0" w:color="AAABD6"/>
            </w:tcBorders>
            <w:vAlign w:val="center"/>
          </w:tcPr>
          <w:p w14:paraId="0503564E" w14:textId="77777777" w:rsidR="00E565F9" w:rsidRPr="00100F0A" w:rsidRDefault="00E565F9" w:rsidP="00E565F9">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6C129EF6" w14:textId="1D12C1D8" w:rsidR="00E565F9" w:rsidRPr="00100F0A" w:rsidRDefault="00E565F9" w:rsidP="00E565F9">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5,885</w:t>
            </w:r>
          </w:p>
        </w:tc>
        <w:tc>
          <w:tcPr>
            <w:tcW w:w="708" w:type="dxa"/>
            <w:tcBorders>
              <w:top w:val="dotted" w:sz="4" w:space="0" w:color="AAABD6"/>
              <w:left w:val="single" w:sz="4" w:space="0" w:color="AAABD6"/>
              <w:bottom w:val="dotted" w:sz="4" w:space="0" w:color="AAABD6"/>
              <w:right w:val="single" w:sz="4" w:space="0" w:color="AAABD6"/>
            </w:tcBorders>
          </w:tcPr>
          <w:p w14:paraId="21693F27" w14:textId="77777777" w:rsidR="00E565F9" w:rsidRPr="00100F0A" w:rsidRDefault="00E565F9" w:rsidP="00E565F9">
            <w:pPr>
              <w:jc w:val="right"/>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5DA87157" w14:textId="2C95E750" w:rsidR="00E565F9" w:rsidRPr="00100F0A" w:rsidRDefault="00E565F9" w:rsidP="00E565F9">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5,885</w:t>
            </w:r>
          </w:p>
        </w:tc>
      </w:tr>
      <w:tr w:rsidR="00E565F9" w:rsidRPr="00100F0A" w14:paraId="54DFC52B" w14:textId="77777777" w:rsidTr="00481E42">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00C5217E" w14:textId="77777777" w:rsidR="00E565F9" w:rsidRPr="00100F0A" w:rsidRDefault="00E565F9" w:rsidP="00E565F9"/>
        </w:tc>
        <w:tc>
          <w:tcPr>
            <w:tcW w:w="1134" w:type="dxa"/>
            <w:tcBorders>
              <w:top w:val="dotted" w:sz="4" w:space="0" w:color="AAABD6"/>
              <w:left w:val="single" w:sz="4" w:space="0" w:color="AAABD6"/>
              <w:bottom w:val="dotted" w:sz="4" w:space="0" w:color="AAABD6"/>
              <w:right w:val="single" w:sz="4" w:space="0" w:color="AAABD6"/>
            </w:tcBorders>
            <w:vAlign w:val="center"/>
          </w:tcPr>
          <w:p w14:paraId="25A29420" w14:textId="0F5551B4" w:rsidR="00E565F9" w:rsidRPr="00100F0A" w:rsidRDefault="00E565F9" w:rsidP="00E565F9">
            <w:pPr>
              <w:cnfStyle w:val="000000000000" w:firstRow="0" w:lastRow="0" w:firstColumn="0" w:lastColumn="0" w:oddVBand="0" w:evenVBand="0" w:oddHBand="0" w:evenHBand="0" w:firstRowFirstColumn="0" w:firstRowLastColumn="0" w:lastRowFirstColumn="0" w:lastRowLastColumn="0"/>
            </w:pPr>
            <w:r w:rsidRPr="00100F0A">
              <w:t>Tas</w:t>
            </w:r>
          </w:p>
        </w:tc>
        <w:tc>
          <w:tcPr>
            <w:tcW w:w="4332" w:type="dxa"/>
            <w:vMerge/>
            <w:tcBorders>
              <w:left w:val="single" w:sz="4" w:space="0" w:color="AAABD6"/>
              <w:right w:val="single" w:sz="4" w:space="0" w:color="AAABD6"/>
            </w:tcBorders>
            <w:vAlign w:val="center"/>
          </w:tcPr>
          <w:p w14:paraId="69194FB0" w14:textId="77777777" w:rsidR="00E565F9" w:rsidRPr="00100F0A" w:rsidRDefault="00E565F9" w:rsidP="00E565F9">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0B1303E5" w14:textId="5A603CA4" w:rsidR="00E565F9" w:rsidRPr="00100F0A" w:rsidRDefault="00E565F9" w:rsidP="00E565F9">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7,614</w:t>
            </w:r>
          </w:p>
        </w:tc>
        <w:tc>
          <w:tcPr>
            <w:tcW w:w="708" w:type="dxa"/>
            <w:tcBorders>
              <w:top w:val="dotted" w:sz="4" w:space="0" w:color="AAABD6"/>
              <w:left w:val="single" w:sz="4" w:space="0" w:color="AAABD6"/>
              <w:bottom w:val="dotted" w:sz="4" w:space="0" w:color="AAABD6"/>
              <w:right w:val="single" w:sz="4" w:space="0" w:color="AAABD6"/>
            </w:tcBorders>
          </w:tcPr>
          <w:p w14:paraId="73892807" w14:textId="77777777" w:rsidR="00E565F9" w:rsidRPr="00100F0A" w:rsidRDefault="00E565F9" w:rsidP="00E565F9">
            <w:pPr>
              <w:jc w:val="right"/>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6FD18B74" w14:textId="252E9B05" w:rsidR="00E565F9" w:rsidRPr="00100F0A" w:rsidRDefault="00E565F9" w:rsidP="00E565F9">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7,614</w:t>
            </w:r>
          </w:p>
        </w:tc>
      </w:tr>
      <w:tr w:rsidR="00E565F9" w:rsidRPr="00100F0A" w14:paraId="66E696B1" w14:textId="77777777" w:rsidTr="00481E42">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279BEF58" w14:textId="77777777" w:rsidR="00E565F9" w:rsidRPr="00100F0A" w:rsidRDefault="00E565F9" w:rsidP="00E565F9"/>
        </w:tc>
        <w:tc>
          <w:tcPr>
            <w:tcW w:w="1134" w:type="dxa"/>
            <w:tcBorders>
              <w:top w:val="dotted" w:sz="4" w:space="0" w:color="AAABD6"/>
              <w:left w:val="single" w:sz="4" w:space="0" w:color="AAABD6"/>
              <w:bottom w:val="dotted" w:sz="4" w:space="0" w:color="AAABD6"/>
              <w:right w:val="single" w:sz="4" w:space="0" w:color="AAABD6"/>
            </w:tcBorders>
            <w:vAlign w:val="center"/>
          </w:tcPr>
          <w:p w14:paraId="2439CBF3" w14:textId="572C2F25" w:rsidR="00E565F9" w:rsidRPr="00100F0A" w:rsidRDefault="00E565F9" w:rsidP="00E565F9">
            <w:pPr>
              <w:cnfStyle w:val="000000000000" w:firstRow="0" w:lastRow="0" w:firstColumn="0" w:lastColumn="0" w:oddVBand="0" w:evenVBand="0" w:oddHBand="0" w:evenHBand="0" w:firstRowFirstColumn="0" w:firstRowLastColumn="0" w:lastRowFirstColumn="0" w:lastRowLastColumn="0"/>
            </w:pPr>
            <w:r w:rsidRPr="00100F0A">
              <w:t>Vic</w:t>
            </w:r>
          </w:p>
        </w:tc>
        <w:tc>
          <w:tcPr>
            <w:tcW w:w="4332" w:type="dxa"/>
            <w:vMerge/>
            <w:tcBorders>
              <w:left w:val="single" w:sz="4" w:space="0" w:color="AAABD6"/>
              <w:right w:val="single" w:sz="4" w:space="0" w:color="AAABD6"/>
            </w:tcBorders>
            <w:vAlign w:val="center"/>
          </w:tcPr>
          <w:p w14:paraId="5851FFF8" w14:textId="77777777" w:rsidR="00E565F9" w:rsidRPr="00100F0A" w:rsidRDefault="00E565F9" w:rsidP="00E565F9">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5CD5AD00" w14:textId="4BB8CFCD" w:rsidR="00E565F9" w:rsidRPr="00100F0A" w:rsidRDefault="00E565F9" w:rsidP="00E565F9">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59,313</w:t>
            </w:r>
          </w:p>
        </w:tc>
        <w:tc>
          <w:tcPr>
            <w:tcW w:w="708" w:type="dxa"/>
            <w:tcBorders>
              <w:top w:val="dotted" w:sz="4" w:space="0" w:color="AAABD6"/>
              <w:left w:val="single" w:sz="4" w:space="0" w:color="AAABD6"/>
              <w:bottom w:val="dotted" w:sz="4" w:space="0" w:color="AAABD6"/>
              <w:right w:val="single" w:sz="4" w:space="0" w:color="AAABD6"/>
            </w:tcBorders>
          </w:tcPr>
          <w:p w14:paraId="0C5AC606" w14:textId="77777777" w:rsidR="00E565F9" w:rsidRPr="00100F0A" w:rsidRDefault="00E565F9" w:rsidP="00E565F9">
            <w:pPr>
              <w:jc w:val="right"/>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116B92AC" w14:textId="30410452" w:rsidR="00E565F9" w:rsidRPr="00100F0A" w:rsidRDefault="00E565F9" w:rsidP="00E565F9">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59,313</w:t>
            </w:r>
          </w:p>
        </w:tc>
      </w:tr>
      <w:tr w:rsidR="00E565F9" w:rsidRPr="00100F0A" w14:paraId="0A273341" w14:textId="77777777" w:rsidTr="00481E42">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bottom w:val="single" w:sz="4" w:space="0" w:color="AAABD6"/>
              <w:right w:val="single" w:sz="4" w:space="0" w:color="AAABD6"/>
            </w:tcBorders>
          </w:tcPr>
          <w:p w14:paraId="372FE5B5" w14:textId="77777777" w:rsidR="00E565F9" w:rsidRPr="00100F0A" w:rsidRDefault="00E565F9" w:rsidP="00E565F9"/>
        </w:tc>
        <w:tc>
          <w:tcPr>
            <w:tcW w:w="1134" w:type="dxa"/>
            <w:tcBorders>
              <w:top w:val="dotted" w:sz="4" w:space="0" w:color="AAABD6"/>
              <w:left w:val="single" w:sz="4" w:space="0" w:color="AAABD6"/>
              <w:bottom w:val="single" w:sz="4" w:space="0" w:color="AAABD6"/>
              <w:right w:val="single" w:sz="4" w:space="0" w:color="AAABD6"/>
            </w:tcBorders>
            <w:vAlign w:val="center"/>
          </w:tcPr>
          <w:p w14:paraId="438C2FB0" w14:textId="55199218" w:rsidR="00E565F9" w:rsidRPr="00100F0A" w:rsidRDefault="00E565F9" w:rsidP="00E565F9">
            <w:pPr>
              <w:cnfStyle w:val="000000000000" w:firstRow="0" w:lastRow="0" w:firstColumn="0" w:lastColumn="0" w:oddVBand="0" w:evenVBand="0" w:oddHBand="0" w:evenHBand="0" w:firstRowFirstColumn="0" w:firstRowLastColumn="0" w:lastRowFirstColumn="0" w:lastRowLastColumn="0"/>
            </w:pPr>
            <w:r w:rsidRPr="00100F0A">
              <w:t>WA</w:t>
            </w:r>
          </w:p>
        </w:tc>
        <w:tc>
          <w:tcPr>
            <w:tcW w:w="4332" w:type="dxa"/>
            <w:vMerge/>
            <w:tcBorders>
              <w:left w:val="single" w:sz="4" w:space="0" w:color="AAABD6"/>
              <w:bottom w:val="single" w:sz="4" w:space="0" w:color="AAABD6"/>
              <w:right w:val="single" w:sz="4" w:space="0" w:color="AAABD6"/>
            </w:tcBorders>
            <w:vAlign w:val="center"/>
          </w:tcPr>
          <w:p w14:paraId="740E5218" w14:textId="77777777" w:rsidR="00E565F9" w:rsidRPr="00100F0A" w:rsidRDefault="00E565F9" w:rsidP="00E565F9">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single" w:sz="4" w:space="0" w:color="AAABD6"/>
              <w:right w:val="single" w:sz="4" w:space="0" w:color="AAABD6"/>
            </w:tcBorders>
            <w:vAlign w:val="bottom"/>
          </w:tcPr>
          <w:p w14:paraId="647056C8" w14:textId="48B15249" w:rsidR="00E565F9" w:rsidRPr="00100F0A" w:rsidRDefault="00E565F9" w:rsidP="00E565F9">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19,500</w:t>
            </w:r>
          </w:p>
        </w:tc>
        <w:tc>
          <w:tcPr>
            <w:tcW w:w="708" w:type="dxa"/>
            <w:tcBorders>
              <w:top w:val="dotted" w:sz="4" w:space="0" w:color="AAABD6"/>
              <w:left w:val="single" w:sz="4" w:space="0" w:color="AAABD6"/>
              <w:bottom w:val="single" w:sz="4" w:space="0" w:color="AAABD6"/>
              <w:right w:val="single" w:sz="4" w:space="0" w:color="AAABD6"/>
            </w:tcBorders>
          </w:tcPr>
          <w:p w14:paraId="44BE1E6F" w14:textId="77777777" w:rsidR="00E565F9" w:rsidRPr="00100F0A" w:rsidRDefault="00E565F9" w:rsidP="00E565F9">
            <w:pPr>
              <w:jc w:val="right"/>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single" w:sz="4" w:space="0" w:color="AAABD6"/>
              <w:right w:val="single" w:sz="4" w:space="0" w:color="AAABD6"/>
            </w:tcBorders>
            <w:vAlign w:val="bottom"/>
          </w:tcPr>
          <w:p w14:paraId="4CA251C1" w14:textId="0B1A4874" w:rsidR="00E565F9" w:rsidRPr="00100F0A" w:rsidRDefault="00E565F9" w:rsidP="00E565F9">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19,500</w:t>
            </w:r>
          </w:p>
        </w:tc>
      </w:tr>
      <w:tr w:rsidR="00E565F9" w:rsidRPr="00100F0A" w14:paraId="032DC3CE" w14:textId="77777777" w:rsidTr="00F27177">
        <w:tc>
          <w:tcPr>
            <w:cnfStyle w:val="001000000000" w:firstRow="0" w:lastRow="0" w:firstColumn="1" w:lastColumn="0" w:oddVBand="0" w:evenVBand="0" w:oddHBand="0" w:evenHBand="0" w:firstRowFirstColumn="0" w:firstRowLastColumn="0" w:lastRowFirstColumn="0" w:lastRowLastColumn="0"/>
            <w:tcW w:w="709" w:type="dxa"/>
            <w:vMerge w:val="restart"/>
            <w:tcBorders>
              <w:left w:val="single" w:sz="4" w:space="0" w:color="AAABD6"/>
              <w:right w:val="single" w:sz="4" w:space="0" w:color="AAABD6"/>
            </w:tcBorders>
            <w:vAlign w:val="center"/>
          </w:tcPr>
          <w:p w14:paraId="02347D3C" w14:textId="5250E231" w:rsidR="00E565F9" w:rsidRPr="00100F0A" w:rsidRDefault="00E565F9" w:rsidP="00E565F9">
            <w:r w:rsidRPr="00100F0A">
              <w:t>Low</w:t>
            </w:r>
          </w:p>
        </w:tc>
        <w:tc>
          <w:tcPr>
            <w:tcW w:w="1134" w:type="dxa"/>
            <w:tcBorders>
              <w:top w:val="single" w:sz="4" w:space="0" w:color="AAABD6"/>
              <w:left w:val="single" w:sz="4" w:space="0" w:color="AAABD6"/>
              <w:bottom w:val="dotted" w:sz="4" w:space="0" w:color="AAABD6"/>
              <w:right w:val="single" w:sz="4" w:space="0" w:color="AAABD6"/>
            </w:tcBorders>
            <w:vAlign w:val="center"/>
          </w:tcPr>
          <w:p w14:paraId="32B51E8B" w14:textId="77777777" w:rsidR="00E565F9" w:rsidRPr="00100F0A" w:rsidRDefault="00E565F9" w:rsidP="00E565F9">
            <w:pPr>
              <w:cnfStyle w:val="000000000000" w:firstRow="0" w:lastRow="0" w:firstColumn="0" w:lastColumn="0" w:oddVBand="0" w:evenVBand="0" w:oddHBand="0" w:evenHBand="0" w:firstRowFirstColumn="0" w:firstRowLastColumn="0" w:lastRowFirstColumn="0" w:lastRowLastColumn="0"/>
            </w:pPr>
            <w:r w:rsidRPr="00100F0A">
              <w:t>NSW</w:t>
            </w:r>
          </w:p>
        </w:tc>
        <w:tc>
          <w:tcPr>
            <w:tcW w:w="4332" w:type="dxa"/>
            <w:vMerge w:val="restart"/>
            <w:tcBorders>
              <w:top w:val="single" w:sz="4" w:space="0" w:color="AAABD6"/>
              <w:left w:val="single" w:sz="4" w:space="0" w:color="AAABD6"/>
              <w:right w:val="single" w:sz="4" w:space="0" w:color="AAABD6"/>
            </w:tcBorders>
            <w:vAlign w:val="center"/>
          </w:tcPr>
          <w:p w14:paraId="696199BB" w14:textId="5BC03ACF" w:rsidR="00E565F9" w:rsidRPr="00100F0A" w:rsidRDefault="00E565F9" w:rsidP="00E565F9">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Best estimate (absolute) - 50%</w:t>
            </w:r>
          </w:p>
        </w:tc>
        <w:tc>
          <w:tcPr>
            <w:tcW w:w="993" w:type="dxa"/>
            <w:tcBorders>
              <w:top w:val="single" w:sz="4" w:space="0" w:color="AAABD6"/>
              <w:left w:val="single" w:sz="4" w:space="0" w:color="AAABD6"/>
              <w:bottom w:val="dotted" w:sz="4" w:space="0" w:color="AAABD6"/>
              <w:right w:val="single" w:sz="4" w:space="0" w:color="AAABD6"/>
            </w:tcBorders>
            <w:vAlign w:val="bottom"/>
          </w:tcPr>
          <w:p w14:paraId="6053869B" w14:textId="24702B41" w:rsidR="00E565F9" w:rsidRPr="00100F0A" w:rsidRDefault="00E565F9" w:rsidP="00E565F9">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-337,699</w:t>
            </w:r>
          </w:p>
        </w:tc>
        <w:tc>
          <w:tcPr>
            <w:tcW w:w="708" w:type="dxa"/>
            <w:tcBorders>
              <w:top w:val="single" w:sz="4" w:space="0" w:color="AAABD6"/>
              <w:left w:val="single" w:sz="4" w:space="0" w:color="AAABD6"/>
              <w:bottom w:val="dotted" w:sz="4" w:space="0" w:color="AAABD6"/>
              <w:right w:val="single" w:sz="4" w:space="0" w:color="AAABD6"/>
            </w:tcBorders>
          </w:tcPr>
          <w:p w14:paraId="7F5FC2D2" w14:textId="77777777" w:rsidR="00E565F9" w:rsidRPr="00100F0A" w:rsidRDefault="00E565F9" w:rsidP="00E565F9">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single" w:sz="4" w:space="0" w:color="AAABD6"/>
              <w:left w:val="single" w:sz="4" w:space="0" w:color="AAABD6"/>
              <w:bottom w:val="dotted" w:sz="4" w:space="0" w:color="AAABD6"/>
              <w:right w:val="single" w:sz="4" w:space="0" w:color="AAABD6"/>
            </w:tcBorders>
            <w:vAlign w:val="bottom"/>
          </w:tcPr>
          <w:p w14:paraId="17C1DC51" w14:textId="40FDDEF6" w:rsidR="00E565F9" w:rsidRPr="00100F0A" w:rsidRDefault="00E565F9" w:rsidP="00E565F9">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-337,699</w:t>
            </w:r>
          </w:p>
        </w:tc>
      </w:tr>
      <w:tr w:rsidR="00F27177" w:rsidRPr="00100F0A" w14:paraId="25F7B496" w14:textId="77777777" w:rsidTr="00F27177">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0DBD680B" w14:textId="77777777" w:rsidR="00F27177" w:rsidRPr="00100F0A" w:rsidRDefault="00F27177" w:rsidP="00F27177"/>
        </w:tc>
        <w:tc>
          <w:tcPr>
            <w:tcW w:w="1134" w:type="dxa"/>
            <w:tcBorders>
              <w:top w:val="dotted" w:sz="4" w:space="0" w:color="AAABD6"/>
              <w:left w:val="single" w:sz="4" w:space="0" w:color="AAABD6"/>
              <w:bottom w:val="dotted" w:sz="4" w:space="0" w:color="AAABD6"/>
              <w:right w:val="single" w:sz="4" w:space="0" w:color="AAABD6"/>
            </w:tcBorders>
            <w:vAlign w:val="center"/>
          </w:tcPr>
          <w:p w14:paraId="364D15F0" w14:textId="77777777" w:rsidR="00F27177" w:rsidRPr="00100F0A" w:rsidRDefault="00F27177" w:rsidP="00F27177">
            <w:pPr>
              <w:cnfStyle w:val="000000000000" w:firstRow="0" w:lastRow="0" w:firstColumn="0" w:lastColumn="0" w:oddVBand="0" w:evenVBand="0" w:oddHBand="0" w:evenHBand="0" w:firstRowFirstColumn="0" w:firstRowLastColumn="0" w:lastRowFirstColumn="0" w:lastRowLastColumn="0"/>
            </w:pPr>
            <w:r w:rsidRPr="00100F0A">
              <w:t>NT</w:t>
            </w:r>
          </w:p>
        </w:tc>
        <w:tc>
          <w:tcPr>
            <w:tcW w:w="4332" w:type="dxa"/>
            <w:vMerge/>
            <w:tcBorders>
              <w:left w:val="single" w:sz="4" w:space="0" w:color="AAABD6"/>
              <w:right w:val="single" w:sz="4" w:space="0" w:color="AAABD6"/>
            </w:tcBorders>
          </w:tcPr>
          <w:p w14:paraId="464F5B8C" w14:textId="77777777" w:rsidR="00F27177" w:rsidRPr="00100F0A" w:rsidRDefault="00F27177" w:rsidP="00F27177">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6D77EF03" w14:textId="484C8E56"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-2,956</w:t>
            </w:r>
          </w:p>
        </w:tc>
        <w:tc>
          <w:tcPr>
            <w:tcW w:w="708" w:type="dxa"/>
            <w:tcBorders>
              <w:top w:val="dotted" w:sz="4" w:space="0" w:color="AAABD6"/>
              <w:left w:val="single" w:sz="4" w:space="0" w:color="AAABD6"/>
              <w:bottom w:val="dotted" w:sz="4" w:space="0" w:color="AAABD6"/>
              <w:right w:val="single" w:sz="4" w:space="0" w:color="AAABD6"/>
            </w:tcBorders>
          </w:tcPr>
          <w:p w14:paraId="2D19282C" w14:textId="77777777"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vAlign w:val="bottom"/>
          </w:tcPr>
          <w:p w14:paraId="3926F0FC" w14:textId="738A6BCB"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-2,956</w:t>
            </w:r>
          </w:p>
        </w:tc>
      </w:tr>
      <w:tr w:rsidR="00F27177" w:rsidRPr="00100F0A" w14:paraId="6EE0FDFA" w14:textId="77777777" w:rsidTr="00F27177">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2AD7AB72" w14:textId="77777777" w:rsidR="00F27177" w:rsidRPr="00100F0A" w:rsidRDefault="00F27177" w:rsidP="00F27177"/>
        </w:tc>
        <w:tc>
          <w:tcPr>
            <w:tcW w:w="1134" w:type="dxa"/>
            <w:tcBorders>
              <w:top w:val="dotted" w:sz="4" w:space="0" w:color="AAABD6"/>
              <w:left w:val="single" w:sz="4" w:space="0" w:color="AAABD6"/>
              <w:bottom w:val="dotted" w:sz="4" w:space="0" w:color="AAABD6"/>
              <w:right w:val="single" w:sz="4" w:space="0" w:color="AAABD6"/>
            </w:tcBorders>
            <w:vAlign w:val="center"/>
          </w:tcPr>
          <w:p w14:paraId="2ED8FCCC" w14:textId="77777777" w:rsidR="00F27177" w:rsidRPr="00100F0A" w:rsidRDefault="00F27177" w:rsidP="00F27177">
            <w:pPr>
              <w:cnfStyle w:val="000000000000" w:firstRow="0" w:lastRow="0" w:firstColumn="0" w:lastColumn="0" w:oddVBand="0" w:evenVBand="0" w:oddHBand="0" w:evenHBand="0" w:firstRowFirstColumn="0" w:firstRowLastColumn="0" w:lastRowFirstColumn="0" w:lastRowLastColumn="0"/>
            </w:pPr>
            <w:r w:rsidRPr="00100F0A">
              <w:t>Qld</w:t>
            </w:r>
          </w:p>
        </w:tc>
        <w:tc>
          <w:tcPr>
            <w:tcW w:w="4332" w:type="dxa"/>
            <w:vMerge/>
            <w:tcBorders>
              <w:left w:val="single" w:sz="4" w:space="0" w:color="AAABD6"/>
              <w:right w:val="single" w:sz="4" w:space="0" w:color="AAABD6"/>
            </w:tcBorders>
          </w:tcPr>
          <w:p w14:paraId="5566E36B" w14:textId="77777777" w:rsidR="00F27177" w:rsidRPr="00100F0A" w:rsidRDefault="00F27177" w:rsidP="00F27177">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672F5A62" w14:textId="01F00CB7"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-74,015</w:t>
            </w:r>
          </w:p>
        </w:tc>
        <w:tc>
          <w:tcPr>
            <w:tcW w:w="708" w:type="dxa"/>
            <w:tcBorders>
              <w:top w:val="dotted" w:sz="4" w:space="0" w:color="AAABD6"/>
              <w:left w:val="single" w:sz="4" w:space="0" w:color="AAABD6"/>
              <w:bottom w:val="dotted" w:sz="4" w:space="0" w:color="AAABD6"/>
              <w:right w:val="single" w:sz="4" w:space="0" w:color="AAABD6"/>
            </w:tcBorders>
          </w:tcPr>
          <w:p w14:paraId="1EAB4BA1" w14:textId="77777777"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vAlign w:val="bottom"/>
          </w:tcPr>
          <w:p w14:paraId="2C8113CA" w14:textId="28D6C5FD"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-74,015</w:t>
            </w:r>
          </w:p>
        </w:tc>
      </w:tr>
      <w:tr w:rsidR="00F27177" w:rsidRPr="00100F0A" w14:paraId="6014F98A" w14:textId="77777777" w:rsidTr="00F27177">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487C589B" w14:textId="77777777" w:rsidR="00F27177" w:rsidRPr="00100F0A" w:rsidRDefault="00F27177" w:rsidP="00F27177"/>
        </w:tc>
        <w:tc>
          <w:tcPr>
            <w:tcW w:w="1134" w:type="dxa"/>
            <w:tcBorders>
              <w:top w:val="dotted" w:sz="4" w:space="0" w:color="AAABD6"/>
              <w:left w:val="single" w:sz="4" w:space="0" w:color="AAABD6"/>
              <w:bottom w:val="dotted" w:sz="4" w:space="0" w:color="AAABD6"/>
              <w:right w:val="single" w:sz="4" w:space="0" w:color="AAABD6"/>
            </w:tcBorders>
            <w:vAlign w:val="center"/>
          </w:tcPr>
          <w:p w14:paraId="656004A7" w14:textId="77777777" w:rsidR="00F27177" w:rsidRPr="00100F0A" w:rsidRDefault="00F27177" w:rsidP="00F27177">
            <w:pPr>
              <w:cnfStyle w:val="000000000000" w:firstRow="0" w:lastRow="0" w:firstColumn="0" w:lastColumn="0" w:oddVBand="0" w:evenVBand="0" w:oddHBand="0" w:evenHBand="0" w:firstRowFirstColumn="0" w:firstRowLastColumn="0" w:lastRowFirstColumn="0" w:lastRowLastColumn="0"/>
            </w:pPr>
            <w:r w:rsidRPr="00100F0A">
              <w:t>SA</w:t>
            </w:r>
          </w:p>
        </w:tc>
        <w:tc>
          <w:tcPr>
            <w:tcW w:w="4332" w:type="dxa"/>
            <w:vMerge/>
            <w:tcBorders>
              <w:left w:val="single" w:sz="4" w:space="0" w:color="AAABD6"/>
              <w:right w:val="single" w:sz="4" w:space="0" w:color="AAABD6"/>
            </w:tcBorders>
          </w:tcPr>
          <w:p w14:paraId="2F9F6C69" w14:textId="77777777" w:rsidR="00F27177" w:rsidRPr="00100F0A" w:rsidRDefault="00F27177" w:rsidP="00F27177">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120EC7A6" w14:textId="21E1DE97"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-5,885</w:t>
            </w:r>
          </w:p>
        </w:tc>
        <w:tc>
          <w:tcPr>
            <w:tcW w:w="708" w:type="dxa"/>
            <w:tcBorders>
              <w:top w:val="dotted" w:sz="4" w:space="0" w:color="AAABD6"/>
              <w:left w:val="single" w:sz="4" w:space="0" w:color="AAABD6"/>
              <w:bottom w:val="dotted" w:sz="4" w:space="0" w:color="AAABD6"/>
              <w:right w:val="single" w:sz="4" w:space="0" w:color="AAABD6"/>
            </w:tcBorders>
          </w:tcPr>
          <w:p w14:paraId="5C0DD410" w14:textId="77777777"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vAlign w:val="bottom"/>
          </w:tcPr>
          <w:p w14:paraId="198D62D3" w14:textId="201141C3"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-5,885</w:t>
            </w:r>
          </w:p>
        </w:tc>
      </w:tr>
      <w:tr w:rsidR="00F27177" w:rsidRPr="00100F0A" w14:paraId="05FBA45A" w14:textId="77777777" w:rsidTr="00F27177">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1FB60883" w14:textId="77777777" w:rsidR="00F27177" w:rsidRPr="00100F0A" w:rsidRDefault="00F27177" w:rsidP="00F27177"/>
        </w:tc>
        <w:tc>
          <w:tcPr>
            <w:tcW w:w="1134" w:type="dxa"/>
            <w:tcBorders>
              <w:top w:val="dotted" w:sz="4" w:space="0" w:color="AAABD6"/>
              <w:left w:val="single" w:sz="4" w:space="0" w:color="AAABD6"/>
              <w:bottom w:val="dotted" w:sz="4" w:space="0" w:color="AAABD6"/>
              <w:right w:val="single" w:sz="4" w:space="0" w:color="AAABD6"/>
            </w:tcBorders>
            <w:vAlign w:val="center"/>
          </w:tcPr>
          <w:p w14:paraId="25715A37" w14:textId="77777777" w:rsidR="00F27177" w:rsidRPr="00100F0A" w:rsidRDefault="00F27177" w:rsidP="00F27177">
            <w:pPr>
              <w:cnfStyle w:val="000000000000" w:firstRow="0" w:lastRow="0" w:firstColumn="0" w:lastColumn="0" w:oddVBand="0" w:evenVBand="0" w:oddHBand="0" w:evenHBand="0" w:firstRowFirstColumn="0" w:firstRowLastColumn="0" w:lastRowFirstColumn="0" w:lastRowLastColumn="0"/>
            </w:pPr>
            <w:r w:rsidRPr="00100F0A">
              <w:t>Tas</w:t>
            </w:r>
          </w:p>
        </w:tc>
        <w:tc>
          <w:tcPr>
            <w:tcW w:w="4332" w:type="dxa"/>
            <w:vMerge/>
            <w:tcBorders>
              <w:left w:val="single" w:sz="4" w:space="0" w:color="AAABD6"/>
              <w:right w:val="single" w:sz="4" w:space="0" w:color="AAABD6"/>
            </w:tcBorders>
          </w:tcPr>
          <w:p w14:paraId="089EB48B" w14:textId="77777777" w:rsidR="00F27177" w:rsidRPr="00100F0A" w:rsidRDefault="00F27177" w:rsidP="00F27177">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4B80F3B0" w14:textId="36F42EE4"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-7,614</w:t>
            </w:r>
          </w:p>
        </w:tc>
        <w:tc>
          <w:tcPr>
            <w:tcW w:w="708" w:type="dxa"/>
            <w:tcBorders>
              <w:top w:val="dotted" w:sz="4" w:space="0" w:color="AAABD6"/>
              <w:left w:val="single" w:sz="4" w:space="0" w:color="AAABD6"/>
              <w:bottom w:val="dotted" w:sz="4" w:space="0" w:color="AAABD6"/>
              <w:right w:val="single" w:sz="4" w:space="0" w:color="AAABD6"/>
            </w:tcBorders>
          </w:tcPr>
          <w:p w14:paraId="2D1193CF" w14:textId="77777777"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vAlign w:val="bottom"/>
          </w:tcPr>
          <w:p w14:paraId="1660431E" w14:textId="1D57896B"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-7,614</w:t>
            </w:r>
          </w:p>
        </w:tc>
      </w:tr>
      <w:tr w:rsidR="00F27177" w:rsidRPr="00100F0A" w14:paraId="15023E9A" w14:textId="77777777" w:rsidTr="00F27177">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21DCCAFE" w14:textId="77777777" w:rsidR="00F27177" w:rsidRPr="00100F0A" w:rsidRDefault="00F27177" w:rsidP="00F27177"/>
        </w:tc>
        <w:tc>
          <w:tcPr>
            <w:tcW w:w="1134" w:type="dxa"/>
            <w:tcBorders>
              <w:top w:val="dotted" w:sz="4" w:space="0" w:color="AAABD6"/>
              <w:left w:val="single" w:sz="4" w:space="0" w:color="AAABD6"/>
              <w:bottom w:val="dotted" w:sz="4" w:space="0" w:color="AAABD6"/>
              <w:right w:val="single" w:sz="4" w:space="0" w:color="AAABD6"/>
            </w:tcBorders>
            <w:vAlign w:val="center"/>
          </w:tcPr>
          <w:p w14:paraId="2E6431E4" w14:textId="77777777" w:rsidR="00F27177" w:rsidRPr="00100F0A" w:rsidRDefault="00F27177" w:rsidP="00F27177">
            <w:pPr>
              <w:cnfStyle w:val="000000000000" w:firstRow="0" w:lastRow="0" w:firstColumn="0" w:lastColumn="0" w:oddVBand="0" w:evenVBand="0" w:oddHBand="0" w:evenHBand="0" w:firstRowFirstColumn="0" w:firstRowLastColumn="0" w:lastRowFirstColumn="0" w:lastRowLastColumn="0"/>
            </w:pPr>
            <w:r w:rsidRPr="00100F0A">
              <w:t>Vic</w:t>
            </w:r>
          </w:p>
        </w:tc>
        <w:tc>
          <w:tcPr>
            <w:tcW w:w="4332" w:type="dxa"/>
            <w:vMerge/>
            <w:tcBorders>
              <w:left w:val="single" w:sz="4" w:space="0" w:color="AAABD6"/>
              <w:right w:val="single" w:sz="4" w:space="0" w:color="AAABD6"/>
            </w:tcBorders>
          </w:tcPr>
          <w:p w14:paraId="54DAB378" w14:textId="77777777" w:rsidR="00F27177" w:rsidRPr="00100F0A" w:rsidRDefault="00F27177" w:rsidP="00F27177">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6523F2E9" w14:textId="320594DD"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-59,313</w:t>
            </w:r>
          </w:p>
        </w:tc>
        <w:tc>
          <w:tcPr>
            <w:tcW w:w="708" w:type="dxa"/>
            <w:tcBorders>
              <w:top w:val="dotted" w:sz="4" w:space="0" w:color="AAABD6"/>
              <w:left w:val="single" w:sz="4" w:space="0" w:color="AAABD6"/>
              <w:bottom w:val="dotted" w:sz="4" w:space="0" w:color="AAABD6"/>
              <w:right w:val="single" w:sz="4" w:space="0" w:color="AAABD6"/>
            </w:tcBorders>
          </w:tcPr>
          <w:p w14:paraId="2F2AB933" w14:textId="77777777"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vAlign w:val="bottom"/>
          </w:tcPr>
          <w:p w14:paraId="150FAA3A" w14:textId="1A129C57"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-59,313</w:t>
            </w:r>
          </w:p>
        </w:tc>
      </w:tr>
      <w:tr w:rsidR="00F27177" w:rsidRPr="00100F0A" w14:paraId="0DAA5F5C" w14:textId="77777777" w:rsidTr="00F27177">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bottom w:val="single" w:sz="4" w:space="0" w:color="AAABD6"/>
              <w:right w:val="single" w:sz="4" w:space="0" w:color="AAABD6"/>
            </w:tcBorders>
          </w:tcPr>
          <w:p w14:paraId="12285105" w14:textId="77777777" w:rsidR="00F27177" w:rsidRPr="00100F0A" w:rsidRDefault="00F27177" w:rsidP="00F27177"/>
        </w:tc>
        <w:tc>
          <w:tcPr>
            <w:tcW w:w="1134" w:type="dxa"/>
            <w:tcBorders>
              <w:top w:val="dotted" w:sz="4" w:space="0" w:color="AAABD6"/>
              <w:left w:val="single" w:sz="4" w:space="0" w:color="AAABD6"/>
              <w:bottom w:val="single" w:sz="4" w:space="0" w:color="AAABD6"/>
              <w:right w:val="single" w:sz="4" w:space="0" w:color="AAABD6"/>
            </w:tcBorders>
            <w:vAlign w:val="center"/>
          </w:tcPr>
          <w:p w14:paraId="2FB8F3B3" w14:textId="77777777" w:rsidR="00F27177" w:rsidRPr="00100F0A" w:rsidRDefault="00F27177" w:rsidP="00F27177">
            <w:pPr>
              <w:cnfStyle w:val="000000000000" w:firstRow="0" w:lastRow="0" w:firstColumn="0" w:lastColumn="0" w:oddVBand="0" w:evenVBand="0" w:oddHBand="0" w:evenHBand="0" w:firstRowFirstColumn="0" w:firstRowLastColumn="0" w:lastRowFirstColumn="0" w:lastRowLastColumn="0"/>
            </w:pPr>
            <w:r w:rsidRPr="00100F0A">
              <w:t>WA</w:t>
            </w:r>
          </w:p>
        </w:tc>
        <w:tc>
          <w:tcPr>
            <w:tcW w:w="4332" w:type="dxa"/>
            <w:vMerge/>
            <w:tcBorders>
              <w:left w:val="single" w:sz="4" w:space="0" w:color="AAABD6"/>
              <w:bottom w:val="single" w:sz="4" w:space="0" w:color="AAABD6"/>
              <w:right w:val="single" w:sz="4" w:space="0" w:color="AAABD6"/>
            </w:tcBorders>
          </w:tcPr>
          <w:p w14:paraId="6569ED6C" w14:textId="77777777" w:rsidR="00F27177" w:rsidRPr="00100F0A" w:rsidRDefault="00F27177" w:rsidP="00F27177">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single" w:sz="4" w:space="0" w:color="AAABD6"/>
              <w:right w:val="single" w:sz="4" w:space="0" w:color="AAABD6"/>
            </w:tcBorders>
            <w:vAlign w:val="bottom"/>
          </w:tcPr>
          <w:p w14:paraId="2BC62872" w14:textId="1F311E2D"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-19,500</w:t>
            </w:r>
          </w:p>
        </w:tc>
        <w:tc>
          <w:tcPr>
            <w:tcW w:w="708" w:type="dxa"/>
            <w:tcBorders>
              <w:top w:val="dotted" w:sz="4" w:space="0" w:color="AAABD6"/>
              <w:left w:val="single" w:sz="4" w:space="0" w:color="AAABD6"/>
              <w:bottom w:val="single" w:sz="4" w:space="0" w:color="AAABD6"/>
              <w:right w:val="single" w:sz="4" w:space="0" w:color="AAABD6"/>
            </w:tcBorders>
          </w:tcPr>
          <w:p w14:paraId="6C0A5994" w14:textId="77777777"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single" w:sz="4" w:space="0" w:color="AAABD6"/>
              <w:right w:val="single" w:sz="4" w:space="0" w:color="AAABD6"/>
            </w:tcBorders>
            <w:vAlign w:val="bottom"/>
          </w:tcPr>
          <w:p w14:paraId="641B7D7F" w14:textId="63CC47EC" w:rsidR="00F27177" w:rsidRPr="00100F0A" w:rsidRDefault="00F27177" w:rsidP="00F27177">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-19,500</w:t>
            </w:r>
          </w:p>
        </w:tc>
      </w:tr>
    </w:tbl>
    <w:p w14:paraId="08EAAD14" w14:textId="44D2E5B4" w:rsidR="00601CB2" w:rsidRPr="00100F0A" w:rsidRDefault="00601CB2" w:rsidP="002F5AA8">
      <w:pPr>
        <w:pStyle w:val="Caption"/>
      </w:pPr>
      <w:bookmarkStart w:id="251" w:name="_Toc425849246"/>
      <w:bookmarkStart w:id="252" w:name="_Toc13225605"/>
      <w:r w:rsidRPr="00100F0A">
        <w:t xml:space="preserve">Figure </w:t>
      </w:r>
      <w:r w:rsidR="00A1102D">
        <w:rPr>
          <w:noProof/>
        </w:rPr>
        <w:fldChar w:fldCharType="begin"/>
      </w:r>
      <w:r w:rsidR="00A1102D">
        <w:rPr>
          <w:noProof/>
        </w:rPr>
        <w:instrText xml:space="preserve"> SEQ Figure \* ARABIC </w:instrText>
      </w:r>
      <w:r w:rsidR="00A1102D">
        <w:rPr>
          <w:noProof/>
        </w:rPr>
        <w:fldChar w:fldCharType="separate"/>
      </w:r>
      <w:r w:rsidR="00EB634D">
        <w:rPr>
          <w:noProof/>
        </w:rPr>
        <w:t>32</w:t>
      </w:r>
      <w:r w:rsidR="00A1102D">
        <w:rPr>
          <w:noProof/>
        </w:rPr>
        <w:fldChar w:fldCharType="end"/>
      </w:r>
      <w:r w:rsidR="00AD2F76">
        <w:t>:</w:t>
      </w:r>
      <w:r w:rsidR="00D11FEE" w:rsidRPr="00100F0A">
        <w:tab/>
      </w:r>
      <w:r w:rsidRPr="00100F0A">
        <w:t>Best, high and low national projection estimates of asbestos waste to 203</w:t>
      </w:r>
      <w:bookmarkEnd w:id="251"/>
      <w:r w:rsidR="009321D6" w:rsidRPr="00100F0A">
        <w:t>7</w:t>
      </w:r>
      <w:bookmarkEnd w:id="252"/>
    </w:p>
    <w:p w14:paraId="448E2CB3" w14:textId="01F30DED" w:rsidR="00BA531D" w:rsidRPr="00100F0A" w:rsidRDefault="00BA531D" w:rsidP="00BA531D">
      <w:pPr>
        <w:pStyle w:val="BodyText"/>
      </w:pPr>
      <w:r w:rsidRPr="00100F0A">
        <w:rPr>
          <w:noProof/>
          <w:lang w:eastAsia="en-AU"/>
        </w:rPr>
        <w:drawing>
          <wp:inline distT="0" distB="0" distL="0" distR="0" wp14:anchorId="6469E209" wp14:editId="0D07ED9D">
            <wp:extent cx="5735955" cy="2033905"/>
            <wp:effectExtent l="0" t="0" r="0" b="444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5955" cy="2033905"/>
                    </a:xfrm>
                    <a:prstGeom prst="rect">
                      <a:avLst/>
                    </a:prstGeom>
                  </pic:spPr>
                </pic:pic>
              </a:graphicData>
            </a:graphic>
          </wp:inline>
        </w:drawing>
      </w:r>
    </w:p>
    <w:p w14:paraId="31B0C628" w14:textId="559BFAED" w:rsidR="00BA531D" w:rsidRPr="00100F0A" w:rsidRDefault="00BA531D" w:rsidP="00BA531D">
      <w:pPr>
        <w:pStyle w:val="BodyText"/>
      </w:pPr>
    </w:p>
    <w:p w14:paraId="19CDC37E" w14:textId="0E6018C0" w:rsidR="00601CB2" w:rsidRPr="00100F0A" w:rsidRDefault="00601CB2" w:rsidP="00AD35BF">
      <w:pPr>
        <w:pStyle w:val="Heading3"/>
      </w:pPr>
      <w:bookmarkStart w:id="253" w:name="_Hlk9016166"/>
      <w:r w:rsidRPr="00100F0A">
        <w:t>Other N Other soil/sludge</w:t>
      </w:r>
    </w:p>
    <w:bookmarkEnd w:id="253"/>
    <w:p w14:paraId="05D165CF" w14:textId="17A235F3" w:rsidR="00601CB2" w:rsidRPr="00100F0A" w:rsidRDefault="00601CB2" w:rsidP="00601CB2">
      <w:pPr>
        <w:spacing w:after="60"/>
        <w:rPr>
          <w:color w:val="080808"/>
        </w:rPr>
      </w:pPr>
      <w:r w:rsidRPr="00100F0A">
        <w:rPr>
          <w:color w:val="080808"/>
        </w:rPr>
        <w:t>This waste group co</w:t>
      </w:r>
      <w:r w:rsidR="005E0601">
        <w:rPr>
          <w:color w:val="080808"/>
        </w:rPr>
        <w:t>ntain</w:t>
      </w:r>
      <w:r w:rsidRPr="00100F0A">
        <w:rPr>
          <w:color w:val="080808"/>
        </w:rPr>
        <w:t xml:space="preserve">s those remaining N group NEPM codes including: </w:t>
      </w:r>
    </w:p>
    <w:p w14:paraId="4D3B700B" w14:textId="77777777" w:rsidR="00601CB2" w:rsidRPr="00100F0A" w:rsidRDefault="00601CB2" w:rsidP="00E96D3C">
      <w:pPr>
        <w:pStyle w:val="ListParagraph"/>
        <w:numPr>
          <w:ilvl w:val="0"/>
          <w:numId w:val="27"/>
        </w:numPr>
        <w:spacing w:before="80"/>
        <w:rPr>
          <w:i/>
        </w:rPr>
      </w:pPr>
      <w:r w:rsidRPr="00100F0A">
        <w:rPr>
          <w:i/>
        </w:rPr>
        <w:t>N100 containers &amp; drums contaminated with residues of substances referred to in the NEPM 15 list</w:t>
      </w:r>
    </w:p>
    <w:p w14:paraId="7C463886" w14:textId="77777777" w:rsidR="00601CB2" w:rsidRPr="00100F0A" w:rsidRDefault="00601CB2" w:rsidP="00E96D3C">
      <w:pPr>
        <w:pStyle w:val="ListParagraph"/>
        <w:numPr>
          <w:ilvl w:val="0"/>
          <w:numId w:val="27"/>
        </w:numPr>
        <w:spacing w:before="80"/>
        <w:rPr>
          <w:i/>
        </w:rPr>
      </w:pPr>
      <w:r w:rsidRPr="00100F0A">
        <w:rPr>
          <w:i/>
        </w:rPr>
        <w:t>N140 fire debris and fire wash waters</w:t>
      </w:r>
    </w:p>
    <w:p w14:paraId="2CF3676A" w14:textId="77777777" w:rsidR="00601CB2" w:rsidRPr="00100F0A" w:rsidRDefault="00601CB2" w:rsidP="00E96D3C">
      <w:pPr>
        <w:pStyle w:val="ListParagraph"/>
        <w:numPr>
          <w:ilvl w:val="0"/>
          <w:numId w:val="27"/>
        </w:numPr>
        <w:spacing w:before="80"/>
        <w:rPr>
          <w:i/>
        </w:rPr>
      </w:pPr>
      <w:r w:rsidRPr="00100F0A">
        <w:rPr>
          <w:i/>
        </w:rPr>
        <w:t>N150 fly ash, excluding fly ash generated from Australian coal fired power stations</w:t>
      </w:r>
    </w:p>
    <w:p w14:paraId="10D3155E" w14:textId="77777777" w:rsidR="00601CB2" w:rsidRPr="00100F0A" w:rsidRDefault="00601CB2" w:rsidP="00E96D3C">
      <w:pPr>
        <w:pStyle w:val="ListParagraph"/>
        <w:numPr>
          <w:ilvl w:val="0"/>
          <w:numId w:val="27"/>
        </w:numPr>
        <w:spacing w:before="80"/>
        <w:rPr>
          <w:i/>
        </w:rPr>
      </w:pPr>
      <w:r w:rsidRPr="00100F0A">
        <w:rPr>
          <w:i/>
        </w:rPr>
        <w:t>N160 encapsulated, chemically-fixed, solidified or polymerised wastes referred to in the NEPM 15 list</w:t>
      </w:r>
    </w:p>
    <w:p w14:paraId="0CE7720C" w14:textId="77777777" w:rsidR="00601CB2" w:rsidRPr="00100F0A" w:rsidRDefault="00601CB2" w:rsidP="00E96D3C">
      <w:pPr>
        <w:pStyle w:val="ListParagraph"/>
        <w:numPr>
          <w:ilvl w:val="0"/>
          <w:numId w:val="27"/>
        </w:numPr>
        <w:spacing w:before="80"/>
        <w:rPr>
          <w:i/>
        </w:rPr>
      </w:pPr>
      <w:r w:rsidRPr="00100F0A">
        <w:rPr>
          <w:i/>
        </w:rPr>
        <w:t>N190 filter cake contaminated with residues of substances referred to in the NEPM 15 list</w:t>
      </w:r>
    </w:p>
    <w:p w14:paraId="260EE0FF" w14:textId="77777777" w:rsidR="00601CB2" w:rsidRPr="00100F0A" w:rsidRDefault="00601CB2" w:rsidP="00E96D3C">
      <w:pPr>
        <w:pStyle w:val="ListParagraph"/>
        <w:numPr>
          <w:ilvl w:val="0"/>
          <w:numId w:val="27"/>
        </w:numPr>
        <w:spacing w:before="80"/>
        <w:rPr>
          <w:i/>
        </w:rPr>
      </w:pPr>
      <w:r w:rsidRPr="00100F0A">
        <w:rPr>
          <w:i/>
        </w:rPr>
        <w:t>N230 ceramic-based fibres with physico-chemical characteristics similar to those of asbestos.</w:t>
      </w:r>
    </w:p>
    <w:p w14:paraId="23DA57AD" w14:textId="77777777" w:rsidR="00601CB2" w:rsidRPr="00100F0A" w:rsidRDefault="00601CB2" w:rsidP="00601CB2">
      <w:pPr>
        <w:pStyle w:val="BodyText"/>
      </w:pPr>
    </w:p>
    <w:p w14:paraId="0A6254CD" w14:textId="0F714532" w:rsidR="00601CB2" w:rsidRPr="00100F0A" w:rsidRDefault="00E565F9" w:rsidP="00601CB2">
      <w:pPr>
        <w:pStyle w:val="BodyText"/>
      </w:pPr>
      <w:r w:rsidRPr="00100F0A">
        <w:t xml:space="preserve">N160 is the largest contributor, as an output stream from </w:t>
      </w:r>
      <w:r w:rsidR="008546BD" w:rsidRPr="00100F0A">
        <w:t xml:space="preserve">CPT </w:t>
      </w:r>
      <w:r w:rsidRPr="00100F0A">
        <w:t xml:space="preserve">(including immobilisation), followed by N100 &amp; N190. Other soil/sludge </w:t>
      </w:r>
      <w:r w:rsidR="00601CB2" w:rsidRPr="00100F0A">
        <w:t>contains a waste of particular interest – fly ash</w:t>
      </w:r>
      <w:r w:rsidR="00693512">
        <w:t>.</w:t>
      </w:r>
      <w:r w:rsidR="00601CB2" w:rsidRPr="00100F0A">
        <w:t xml:space="preserve"> </w:t>
      </w:r>
    </w:p>
    <w:p w14:paraId="795C04DA" w14:textId="77777777" w:rsidR="00601CB2" w:rsidRPr="00100F0A" w:rsidRDefault="00601CB2" w:rsidP="00601CB2">
      <w:pPr>
        <w:pStyle w:val="BodyText"/>
      </w:pPr>
    </w:p>
    <w:p w14:paraId="5A330ADE" w14:textId="77777777" w:rsidR="00601CB2" w:rsidRPr="00100F0A" w:rsidRDefault="00601CB2" w:rsidP="00931F74">
      <w:pPr>
        <w:pStyle w:val="Heading3-nonumber"/>
      </w:pPr>
      <w:r w:rsidRPr="00100F0A">
        <w:t>Summary analysis</w:t>
      </w:r>
    </w:p>
    <w:tbl>
      <w:tblPr>
        <w:tblStyle w:val="BETable11"/>
        <w:tblW w:w="5000" w:type="pct"/>
        <w:tblInd w:w="0" w:type="dxa"/>
        <w:tblBorders>
          <w:top w:val="single" w:sz="4" w:space="0" w:color="AAABD6"/>
          <w:left w:val="single" w:sz="4" w:space="0" w:color="AAABD6"/>
          <w:bottom w:val="single" w:sz="4" w:space="0" w:color="AAABD6"/>
          <w:right w:val="single" w:sz="4" w:space="0" w:color="AAABD6"/>
          <w:insideH w:val="single" w:sz="4" w:space="0" w:color="AAABD6"/>
          <w:insideV w:val="single" w:sz="4" w:space="0" w:color="AAABD6"/>
        </w:tblBorders>
        <w:tblLook w:val="04A0" w:firstRow="1" w:lastRow="0" w:firstColumn="1" w:lastColumn="0" w:noHBand="0" w:noVBand="1"/>
      </w:tblPr>
      <w:tblGrid>
        <w:gridCol w:w="1814"/>
        <w:gridCol w:w="1942"/>
        <w:gridCol w:w="3179"/>
        <w:gridCol w:w="2268"/>
      </w:tblGrid>
      <w:tr w:rsidR="00E565F9" w:rsidRPr="00100F0A" w14:paraId="30402971" w14:textId="77777777" w:rsidTr="008546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tcBorders>
              <w:top w:val="nil"/>
              <w:left w:val="single" w:sz="4" w:space="0" w:color="AAABD6"/>
              <w:bottom w:val="nil"/>
            </w:tcBorders>
            <w:shd w:val="clear" w:color="auto" w:fill="AAABD6"/>
          </w:tcPr>
          <w:p w14:paraId="7334C13C" w14:textId="77777777" w:rsidR="00601CB2" w:rsidRPr="00100F0A" w:rsidRDefault="00601CB2" w:rsidP="002A3A54">
            <w:pPr>
              <w:pStyle w:val="BodyText"/>
              <w:rPr>
                <w:color w:val="FFFFFF" w:themeColor="background1"/>
              </w:rPr>
            </w:pPr>
            <w:r w:rsidRPr="00100F0A">
              <w:rPr>
                <w:color w:val="FFFFFF" w:themeColor="background1"/>
              </w:rPr>
              <w:t>Industry sources</w:t>
            </w:r>
          </w:p>
        </w:tc>
        <w:tc>
          <w:tcPr>
            <w:tcW w:w="1055" w:type="pct"/>
            <w:tcBorders>
              <w:top w:val="nil"/>
              <w:bottom w:val="nil"/>
            </w:tcBorders>
            <w:shd w:val="clear" w:color="auto" w:fill="AAABD6"/>
          </w:tcPr>
          <w:p w14:paraId="49E60BCA" w14:textId="77777777" w:rsidR="00601CB2" w:rsidRPr="00100F0A" w:rsidRDefault="00601CB2"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Considerations</w:t>
            </w:r>
          </w:p>
        </w:tc>
        <w:tc>
          <w:tcPr>
            <w:tcW w:w="1727" w:type="pct"/>
            <w:tcBorders>
              <w:top w:val="nil"/>
              <w:bottom w:val="nil"/>
            </w:tcBorders>
            <w:shd w:val="clear" w:color="auto" w:fill="AAABD6"/>
          </w:tcPr>
          <w:p w14:paraId="195F1AED" w14:textId="77777777" w:rsidR="00601CB2" w:rsidRPr="00100F0A" w:rsidRDefault="00601CB2"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Comments</w:t>
            </w:r>
          </w:p>
        </w:tc>
        <w:tc>
          <w:tcPr>
            <w:tcW w:w="1232" w:type="pct"/>
            <w:tcBorders>
              <w:top w:val="nil"/>
              <w:bottom w:val="nil"/>
              <w:right w:val="single" w:sz="4" w:space="0" w:color="AAABD6"/>
            </w:tcBorders>
            <w:shd w:val="clear" w:color="auto" w:fill="AAABD6"/>
          </w:tcPr>
          <w:p w14:paraId="7098C811" w14:textId="77777777" w:rsidR="00601CB2" w:rsidRPr="00100F0A" w:rsidRDefault="00601CB2"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r>
      <w:tr w:rsidR="00E565F9" w:rsidRPr="00100F0A" w14:paraId="237EC86E" w14:textId="77777777" w:rsidTr="008546BD">
        <w:trPr>
          <w:trHeight w:val="2431"/>
        </w:trPr>
        <w:tc>
          <w:tcPr>
            <w:cnfStyle w:val="001000000000" w:firstRow="0" w:lastRow="0" w:firstColumn="1" w:lastColumn="0" w:oddVBand="0" w:evenVBand="0" w:oddHBand="0" w:evenHBand="0" w:firstRowFirstColumn="0" w:firstRowLastColumn="0" w:lastRowFirstColumn="0" w:lastRowLastColumn="0"/>
            <w:tcW w:w="985" w:type="pct"/>
            <w:tcBorders>
              <w:top w:val="nil"/>
            </w:tcBorders>
          </w:tcPr>
          <w:p w14:paraId="288291DE" w14:textId="77777777" w:rsidR="00E565F9" w:rsidRPr="00100F0A" w:rsidRDefault="00E565F9" w:rsidP="002A3A54">
            <w:pPr>
              <w:pStyle w:val="BodyText"/>
            </w:pPr>
            <w:r w:rsidRPr="00100F0A">
              <w:t>• Waste industry</w:t>
            </w:r>
          </w:p>
          <w:p w14:paraId="3422C5DE" w14:textId="77777777" w:rsidR="00E565F9" w:rsidRPr="00100F0A" w:rsidRDefault="00E565F9" w:rsidP="002A3A54">
            <w:pPr>
              <w:pStyle w:val="BodyText"/>
            </w:pPr>
            <w:r w:rsidRPr="00100F0A">
              <w:t>• Chemical product manufacturing</w:t>
            </w:r>
          </w:p>
          <w:p w14:paraId="350DB5C8" w14:textId="77777777" w:rsidR="00E565F9" w:rsidRPr="00100F0A" w:rsidRDefault="00E565F9" w:rsidP="002A3A54">
            <w:pPr>
              <w:pStyle w:val="BodyText"/>
            </w:pPr>
            <w:r w:rsidRPr="00100F0A">
              <w:t>• Metals manufacturing</w:t>
            </w:r>
          </w:p>
          <w:p w14:paraId="6A039537" w14:textId="77777777" w:rsidR="00E565F9" w:rsidRPr="00100F0A" w:rsidRDefault="00E565F9" w:rsidP="002A3A54">
            <w:pPr>
              <w:pStyle w:val="BodyText"/>
            </w:pPr>
            <w:r w:rsidRPr="00100F0A">
              <w:t>• Petroleum refining</w:t>
            </w:r>
          </w:p>
          <w:p w14:paraId="26805DD6" w14:textId="77777777" w:rsidR="00E565F9" w:rsidRPr="00100F0A" w:rsidRDefault="00E565F9" w:rsidP="002A3A54">
            <w:pPr>
              <w:pStyle w:val="BodyText"/>
              <w:rPr>
                <w:color w:val="000000"/>
              </w:rPr>
            </w:pPr>
            <w:r w:rsidRPr="00100F0A">
              <w:t>• Paper &amp; paper product manufacturing</w:t>
            </w:r>
          </w:p>
        </w:tc>
        <w:tc>
          <w:tcPr>
            <w:tcW w:w="1055" w:type="pct"/>
            <w:tcBorders>
              <w:top w:val="nil"/>
            </w:tcBorders>
          </w:tcPr>
          <w:p w14:paraId="74AA84A9" w14:textId="759D07B7" w:rsidR="00E565F9" w:rsidRPr="00100F0A" w:rsidRDefault="00E565F9" w:rsidP="002A3A54">
            <w:pPr>
              <w:pStyle w:val="BodyText"/>
              <w:cnfStyle w:val="000000000000" w:firstRow="0" w:lastRow="0" w:firstColumn="0" w:lastColumn="0" w:oddVBand="0" w:evenVBand="0" w:oddHBand="0" w:evenHBand="0" w:firstRowFirstColumn="0" w:firstRowLastColumn="0" w:lastRowFirstColumn="0" w:lastRowLastColumn="0"/>
            </w:pPr>
            <w:r w:rsidRPr="00100F0A">
              <w:t>No sufficiently credible pre-existing projections were identified</w:t>
            </w:r>
          </w:p>
          <w:p w14:paraId="066D904B" w14:textId="7173C6A8" w:rsidR="00E565F9" w:rsidRPr="00100F0A" w:rsidRDefault="00E565F9" w:rsidP="002A3A54">
            <w:pPr>
              <w:pStyle w:val="BodyText"/>
              <w:cnfStyle w:val="000000000000" w:firstRow="0" w:lastRow="0" w:firstColumn="0" w:lastColumn="0" w:oddVBand="0" w:evenVBand="0" w:oddHBand="0" w:evenHBand="0" w:firstRowFirstColumn="0" w:firstRowLastColumn="0" w:lastRowFirstColumn="0" w:lastRowLastColumn="0"/>
            </w:pPr>
          </w:p>
          <w:p w14:paraId="259CA213" w14:textId="57E640A4" w:rsidR="00E565F9" w:rsidRPr="00100F0A" w:rsidRDefault="008546BD" w:rsidP="002A3A54">
            <w:pPr>
              <w:pStyle w:val="BodyText"/>
              <w:cnfStyle w:val="000000000000" w:firstRow="0" w:lastRow="0" w:firstColumn="0" w:lastColumn="0" w:oddVBand="0" w:evenVBand="0" w:oddHBand="0" w:evenHBand="0" w:firstRowFirstColumn="0" w:firstRowLastColumn="0" w:lastRowFirstColumn="0" w:lastRowLastColumn="0"/>
            </w:pPr>
            <w:r w:rsidRPr="00100F0A">
              <w:t>Although spikes exist, Vic dataset indicates steady decline - others relatively flat over last 5-10 y</w:t>
            </w:r>
            <w:r w:rsidR="005E0601">
              <w:t>ea</w:t>
            </w:r>
            <w:r w:rsidRPr="00100F0A">
              <w:t>rs</w:t>
            </w:r>
          </w:p>
        </w:tc>
        <w:tc>
          <w:tcPr>
            <w:tcW w:w="1727" w:type="pct"/>
            <w:tcBorders>
              <w:top w:val="nil"/>
            </w:tcBorders>
          </w:tcPr>
          <w:p w14:paraId="7B72DDA0" w14:textId="374AAB52" w:rsidR="00E565F9" w:rsidRPr="00100F0A" w:rsidRDefault="00E565F9" w:rsidP="002A3A54">
            <w:pPr>
              <w:pStyle w:val="BodyText"/>
              <w:cnfStyle w:val="000000000000" w:firstRow="0" w:lastRow="0" w:firstColumn="0" w:lastColumn="0" w:oddVBand="0" w:evenVBand="0" w:oddHBand="0" w:evenHBand="0" w:firstRowFirstColumn="0" w:firstRowLastColumn="0" w:lastRowFirstColumn="0" w:lastRowLastColumn="0"/>
            </w:pPr>
            <w:r w:rsidRPr="00100F0A">
              <w:t>'Other soil/sludges' is not the ideal name but is consistent with the NEPM</w:t>
            </w:r>
          </w:p>
          <w:p w14:paraId="4BCC1861" w14:textId="469B372A" w:rsidR="008546BD" w:rsidRPr="00100F0A" w:rsidRDefault="008546BD" w:rsidP="002A3A54">
            <w:pPr>
              <w:pStyle w:val="BodyText"/>
              <w:cnfStyle w:val="000000000000" w:firstRow="0" w:lastRow="0" w:firstColumn="0" w:lastColumn="0" w:oddVBand="0" w:evenVBand="0" w:oddHBand="0" w:evenHBand="0" w:firstRowFirstColumn="0" w:firstRowLastColumn="0" w:lastRowFirstColumn="0" w:lastRowLastColumn="0"/>
            </w:pPr>
            <w:r w:rsidRPr="00100F0A">
              <w:t>Trend supports anecdotal evidence from the waste industry that there is a decline in traditional CPT feedstock</w:t>
            </w:r>
          </w:p>
          <w:p w14:paraId="050289C0" w14:textId="71077C16" w:rsidR="00E565F9" w:rsidRPr="00100F0A" w:rsidRDefault="00E565F9" w:rsidP="002A3A54">
            <w:pPr>
              <w:pStyle w:val="BodyText"/>
              <w:cnfStyle w:val="000000000000" w:firstRow="0" w:lastRow="0" w:firstColumn="0" w:lastColumn="0" w:oddVBand="0" w:evenVBand="0" w:oddHBand="0" w:evenHBand="0" w:firstRowFirstColumn="0" w:firstRowLastColumn="0" w:lastRowFirstColumn="0" w:lastRowLastColumn="0"/>
            </w:pPr>
            <w:bookmarkStart w:id="254" w:name="_Hlk9016225"/>
            <w:r w:rsidRPr="00100F0A">
              <w:t xml:space="preserve">Energy-from-waste facilities likely </w:t>
            </w:r>
            <w:r w:rsidR="008546BD" w:rsidRPr="00100F0A">
              <w:t xml:space="preserve">to grow, initially in WA, </w:t>
            </w:r>
            <w:r w:rsidRPr="00100F0A">
              <w:t>producing 3% fly ash (Kalogirou et al. 2010)</w:t>
            </w:r>
            <w:bookmarkEnd w:id="254"/>
          </w:p>
        </w:tc>
        <w:tc>
          <w:tcPr>
            <w:tcW w:w="1232" w:type="pct"/>
            <w:tcBorders>
              <w:top w:val="nil"/>
            </w:tcBorders>
          </w:tcPr>
          <w:p w14:paraId="49A496F8" w14:textId="70D22A86" w:rsidR="008546BD" w:rsidRPr="00100F0A" w:rsidRDefault="008546BD" w:rsidP="008546BD">
            <w:pPr>
              <w:pStyle w:val="BodyText"/>
              <w:cnfStyle w:val="000000000000" w:firstRow="0" w:lastRow="0" w:firstColumn="0" w:lastColumn="0" w:oddVBand="0" w:evenVBand="0" w:oddHBand="0" w:evenHBand="0" w:firstRowFirstColumn="0" w:firstRowLastColumn="0" w:lastRowFirstColumn="0" w:lastRowLastColumn="0"/>
            </w:pPr>
            <w:r w:rsidRPr="00100F0A">
              <w:t>Best: Flat trend overall</w:t>
            </w:r>
          </w:p>
          <w:p w14:paraId="49B65BC1" w14:textId="77777777" w:rsidR="008546BD" w:rsidRPr="00100F0A" w:rsidRDefault="008546BD" w:rsidP="008546BD">
            <w:pPr>
              <w:pStyle w:val="BodyText"/>
              <w:cnfStyle w:val="000000000000" w:firstRow="0" w:lastRow="0" w:firstColumn="0" w:lastColumn="0" w:oddVBand="0" w:evenVBand="0" w:oddHBand="0" w:evenHBand="0" w:firstRowFirstColumn="0" w:firstRowLastColumn="0" w:lastRowFirstColumn="0" w:lastRowLastColumn="0"/>
            </w:pPr>
          </w:p>
          <w:p w14:paraId="4A4071E6" w14:textId="69F1A2AF" w:rsidR="008546BD" w:rsidRPr="00100F0A" w:rsidRDefault="008546BD" w:rsidP="008546BD">
            <w:pPr>
              <w:pStyle w:val="BodyText"/>
              <w:cnfStyle w:val="000000000000" w:firstRow="0" w:lastRow="0" w:firstColumn="0" w:lastColumn="0" w:oddVBand="0" w:evenVBand="0" w:oddHBand="0" w:evenHBand="0" w:firstRowFirstColumn="0" w:firstRowLastColumn="0" w:lastRowFirstColumn="0" w:lastRowLastColumn="0"/>
            </w:pPr>
            <w:r w:rsidRPr="00100F0A">
              <w:t>High: Small growth +1%</w:t>
            </w:r>
          </w:p>
          <w:p w14:paraId="2BA3DBC3" w14:textId="77777777" w:rsidR="008546BD" w:rsidRPr="00100F0A" w:rsidRDefault="008546BD" w:rsidP="008546BD">
            <w:pPr>
              <w:pStyle w:val="BodyText"/>
              <w:cnfStyle w:val="000000000000" w:firstRow="0" w:lastRow="0" w:firstColumn="0" w:lastColumn="0" w:oddVBand="0" w:evenVBand="0" w:oddHBand="0" w:evenHBand="0" w:firstRowFirstColumn="0" w:firstRowLastColumn="0" w:lastRowFirstColumn="0" w:lastRowLastColumn="0"/>
            </w:pPr>
          </w:p>
          <w:p w14:paraId="4D6B2BDE" w14:textId="1F2E0E1B" w:rsidR="00E565F9" w:rsidRPr="00100F0A" w:rsidRDefault="008546BD" w:rsidP="008546BD">
            <w:pPr>
              <w:pStyle w:val="BodyText"/>
              <w:cnfStyle w:val="000000000000" w:firstRow="0" w:lastRow="0" w:firstColumn="0" w:lastColumn="0" w:oddVBand="0" w:evenVBand="0" w:oddHBand="0" w:evenHBand="0" w:firstRowFirstColumn="0" w:firstRowLastColumn="0" w:lastRowFirstColumn="0" w:lastRowLastColumn="0"/>
            </w:pPr>
            <w:r w:rsidRPr="00100F0A">
              <w:t>Low: Vic decline reflects all (declining traditional wastes into CPT). Vic CAGR (excluding start/end year spikes) = -3.1%</w:t>
            </w:r>
          </w:p>
        </w:tc>
      </w:tr>
    </w:tbl>
    <w:p w14:paraId="337FA7BD" w14:textId="069C7895" w:rsidR="00601CB2" w:rsidRPr="00100F0A" w:rsidRDefault="00601CB2" w:rsidP="005E702F">
      <w:pPr>
        <w:pStyle w:val="BodyText"/>
      </w:pPr>
    </w:p>
    <w:p w14:paraId="4352DDDE" w14:textId="6CA0A7FA" w:rsidR="00601CB2" w:rsidRPr="00100F0A" w:rsidRDefault="00601CB2" w:rsidP="00273FA6">
      <w:pPr>
        <w:pStyle w:val="Caption"/>
      </w:pPr>
      <w:bookmarkStart w:id="255" w:name="_Toc425849321"/>
      <w:bookmarkStart w:id="256" w:name="_Toc13225656"/>
      <w:r w:rsidRPr="00100F0A">
        <w:t xml:space="preserve">Table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37</w:t>
      </w:r>
      <w:r w:rsidR="00B404A6" w:rsidRPr="00100F0A">
        <w:rPr>
          <w:noProof/>
        </w:rPr>
        <w:fldChar w:fldCharType="end"/>
      </w:r>
      <w:r w:rsidR="00AD2F76">
        <w:rPr>
          <w:noProof/>
        </w:rPr>
        <w:t>:</w:t>
      </w:r>
      <w:r w:rsidR="00D11FEE" w:rsidRPr="00100F0A">
        <w:tab/>
      </w:r>
      <w:r w:rsidRPr="00100F0A">
        <w:t>Best, high and low projected rates of change for other soil/sludge waste to 203</w:t>
      </w:r>
      <w:bookmarkEnd w:id="255"/>
      <w:r w:rsidR="00966E81" w:rsidRPr="00100F0A">
        <w:t>7</w:t>
      </w:r>
      <w:bookmarkEnd w:id="256"/>
    </w:p>
    <w:tbl>
      <w:tblPr>
        <w:tblStyle w:val="BETable1"/>
        <w:tblW w:w="8222" w:type="dxa"/>
        <w:tblBorders>
          <w:top w:val="single" w:sz="4" w:space="0" w:color="AAABD6"/>
          <w:left w:val="single" w:sz="4" w:space="0" w:color="AAABD6"/>
          <w:bottom w:val="single" w:sz="4" w:space="0" w:color="AAABD6"/>
          <w:right w:val="single" w:sz="4" w:space="0" w:color="AAABD6"/>
          <w:insideH w:val="single" w:sz="4" w:space="0" w:color="AAABD6"/>
          <w:insideV w:val="single" w:sz="4" w:space="0" w:color="AAABD6"/>
        </w:tblBorders>
        <w:tblLayout w:type="fixed"/>
        <w:tblLook w:val="04A0" w:firstRow="1" w:lastRow="0" w:firstColumn="1" w:lastColumn="0" w:noHBand="0" w:noVBand="1"/>
      </w:tblPr>
      <w:tblGrid>
        <w:gridCol w:w="1134"/>
        <w:gridCol w:w="1134"/>
        <w:gridCol w:w="3828"/>
        <w:gridCol w:w="708"/>
        <w:gridCol w:w="567"/>
        <w:gridCol w:w="851"/>
      </w:tblGrid>
      <w:tr w:rsidR="00966E81" w:rsidRPr="00100F0A" w14:paraId="0D0667F1" w14:textId="77777777" w:rsidTr="00481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AAABD6"/>
            </w:tcBorders>
            <w:shd w:val="clear" w:color="auto" w:fill="AAABD6"/>
          </w:tcPr>
          <w:p w14:paraId="6DC589B2" w14:textId="77777777" w:rsidR="00966E81" w:rsidRPr="00100F0A" w:rsidRDefault="00966E81" w:rsidP="00481E42">
            <w:pPr>
              <w:rPr>
                <w:color w:val="FFFFFF" w:themeColor="background1"/>
              </w:rPr>
            </w:pPr>
          </w:p>
        </w:tc>
        <w:tc>
          <w:tcPr>
            <w:tcW w:w="1134" w:type="dxa"/>
            <w:tcBorders>
              <w:bottom w:val="single" w:sz="4" w:space="0" w:color="AAABD6"/>
            </w:tcBorders>
            <w:shd w:val="clear" w:color="auto" w:fill="AAABD6"/>
          </w:tcPr>
          <w:p w14:paraId="4E406906" w14:textId="77777777" w:rsidR="00966E81" w:rsidRPr="00100F0A" w:rsidRDefault="00966E81" w:rsidP="00481E4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Applies to</w:t>
            </w:r>
          </w:p>
        </w:tc>
        <w:tc>
          <w:tcPr>
            <w:tcW w:w="3828" w:type="dxa"/>
            <w:tcBorders>
              <w:bottom w:val="single" w:sz="4" w:space="0" w:color="AAABD6"/>
            </w:tcBorders>
            <w:shd w:val="clear" w:color="auto" w:fill="AAABD6"/>
          </w:tcPr>
          <w:p w14:paraId="1809F2A9" w14:textId="77777777" w:rsidR="00966E81" w:rsidRPr="00100F0A" w:rsidRDefault="00966E81" w:rsidP="00481E4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c>
          <w:tcPr>
            <w:tcW w:w="708" w:type="dxa"/>
            <w:tcBorders>
              <w:bottom w:val="single" w:sz="4" w:space="0" w:color="AAABD6"/>
            </w:tcBorders>
            <w:shd w:val="clear" w:color="auto" w:fill="AAABD6"/>
          </w:tcPr>
          <w:p w14:paraId="50AEEAF3" w14:textId="77777777" w:rsidR="00966E81" w:rsidRPr="00100F0A" w:rsidRDefault="00966E81" w:rsidP="00481E42">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2018</w:t>
            </w:r>
          </w:p>
        </w:tc>
        <w:tc>
          <w:tcPr>
            <w:tcW w:w="567" w:type="dxa"/>
            <w:tcBorders>
              <w:bottom w:val="single" w:sz="4" w:space="0" w:color="AAABD6"/>
            </w:tcBorders>
            <w:shd w:val="clear" w:color="auto" w:fill="AAABD6"/>
          </w:tcPr>
          <w:p w14:paraId="617856E6" w14:textId="77777777" w:rsidR="00966E81" w:rsidRPr="00100F0A" w:rsidRDefault="00966E81" w:rsidP="00481E42">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w:t>
            </w:r>
          </w:p>
        </w:tc>
        <w:tc>
          <w:tcPr>
            <w:tcW w:w="851" w:type="dxa"/>
            <w:tcBorders>
              <w:bottom w:val="single" w:sz="4" w:space="0" w:color="AAABD6"/>
            </w:tcBorders>
            <w:shd w:val="clear" w:color="auto" w:fill="AAABD6"/>
          </w:tcPr>
          <w:p w14:paraId="60AAA19A" w14:textId="77777777" w:rsidR="00966E81" w:rsidRPr="00100F0A" w:rsidRDefault="00966E81" w:rsidP="00481E42">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2037</w:t>
            </w:r>
          </w:p>
        </w:tc>
      </w:tr>
      <w:tr w:rsidR="00966E81" w:rsidRPr="00100F0A" w14:paraId="57974BD1" w14:textId="77777777" w:rsidTr="00481E42">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AABD6"/>
              <w:bottom w:val="dotted" w:sz="4" w:space="0" w:color="AAABD6"/>
            </w:tcBorders>
          </w:tcPr>
          <w:p w14:paraId="49CE379B" w14:textId="77777777" w:rsidR="00966E81" w:rsidRPr="00100F0A" w:rsidRDefault="00966E81" w:rsidP="00966E81">
            <w:r w:rsidRPr="00100F0A">
              <w:t>Best</w:t>
            </w:r>
          </w:p>
        </w:tc>
        <w:tc>
          <w:tcPr>
            <w:tcW w:w="1134" w:type="dxa"/>
            <w:vMerge w:val="restart"/>
            <w:tcBorders>
              <w:top w:val="single" w:sz="4" w:space="0" w:color="AAABD6"/>
              <w:bottom w:val="dotted" w:sz="4" w:space="0" w:color="AAABD6"/>
            </w:tcBorders>
            <w:vAlign w:val="center"/>
          </w:tcPr>
          <w:p w14:paraId="073811D9" w14:textId="77777777" w:rsidR="00966E81" w:rsidRPr="00100F0A" w:rsidRDefault="00966E81" w:rsidP="00966E81">
            <w:pPr>
              <w:cnfStyle w:val="000000000000" w:firstRow="0" w:lastRow="0" w:firstColumn="0" w:lastColumn="0" w:oddVBand="0" w:evenVBand="0" w:oddHBand="0" w:evenHBand="0" w:firstRowFirstColumn="0" w:firstRowLastColumn="0" w:lastRowFirstColumn="0" w:lastRowLastColumn="0"/>
            </w:pPr>
            <w:r w:rsidRPr="00100F0A">
              <w:t>ACT, NSW, NT, Qld, SA, Tas, Vic, WA</w:t>
            </w:r>
          </w:p>
        </w:tc>
        <w:tc>
          <w:tcPr>
            <w:tcW w:w="3828" w:type="dxa"/>
            <w:tcBorders>
              <w:top w:val="single" w:sz="4" w:space="0" w:color="AAABD6"/>
              <w:bottom w:val="dotted" w:sz="4" w:space="0" w:color="AAABD6"/>
            </w:tcBorders>
            <w:vAlign w:val="bottom"/>
          </w:tcPr>
          <w:p w14:paraId="0D1171D3" w14:textId="2F32738B" w:rsidR="00966E81" w:rsidRPr="00100F0A" w:rsidRDefault="00966E81" w:rsidP="00966E81">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Flat trend</w:t>
            </w:r>
          </w:p>
        </w:tc>
        <w:tc>
          <w:tcPr>
            <w:tcW w:w="708" w:type="dxa"/>
            <w:tcBorders>
              <w:top w:val="single" w:sz="4" w:space="0" w:color="AAABD6"/>
              <w:bottom w:val="dotted" w:sz="4" w:space="0" w:color="AAABD6"/>
            </w:tcBorders>
            <w:vAlign w:val="bottom"/>
          </w:tcPr>
          <w:p w14:paraId="714863C5" w14:textId="6BE58C57" w:rsidR="00966E81" w:rsidRPr="00100F0A" w:rsidRDefault="00966E81" w:rsidP="00966E81">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0.0%</w:t>
            </w:r>
          </w:p>
        </w:tc>
        <w:tc>
          <w:tcPr>
            <w:tcW w:w="567" w:type="dxa"/>
            <w:tcBorders>
              <w:top w:val="single" w:sz="4" w:space="0" w:color="AAABD6"/>
              <w:bottom w:val="dotted" w:sz="4" w:space="0" w:color="AAABD6"/>
            </w:tcBorders>
          </w:tcPr>
          <w:p w14:paraId="01287EA5" w14:textId="77777777" w:rsidR="00966E81" w:rsidRPr="00100F0A" w:rsidRDefault="00966E81" w:rsidP="00966E81">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851" w:type="dxa"/>
            <w:tcBorders>
              <w:top w:val="single" w:sz="4" w:space="0" w:color="AAABD6"/>
              <w:bottom w:val="dotted" w:sz="4" w:space="0" w:color="AAABD6"/>
            </w:tcBorders>
            <w:vAlign w:val="bottom"/>
          </w:tcPr>
          <w:p w14:paraId="098F4002" w14:textId="44A97ADF" w:rsidR="00966E81" w:rsidRPr="00100F0A" w:rsidRDefault="00966E81" w:rsidP="00966E81">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0.0%</w:t>
            </w:r>
          </w:p>
        </w:tc>
      </w:tr>
      <w:tr w:rsidR="00966E81" w:rsidRPr="00100F0A" w14:paraId="0B1C99F0" w14:textId="77777777" w:rsidTr="00481E42">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AAABD6"/>
              <w:bottom w:val="dotted" w:sz="4" w:space="0" w:color="AAABD6"/>
            </w:tcBorders>
          </w:tcPr>
          <w:p w14:paraId="62447404" w14:textId="77777777" w:rsidR="00966E81" w:rsidRPr="00100F0A" w:rsidRDefault="00966E81" w:rsidP="00966E81">
            <w:r w:rsidRPr="00100F0A">
              <w:t>High</w:t>
            </w:r>
          </w:p>
        </w:tc>
        <w:tc>
          <w:tcPr>
            <w:tcW w:w="1134" w:type="dxa"/>
            <w:vMerge/>
            <w:tcBorders>
              <w:top w:val="dotted" w:sz="4" w:space="0" w:color="AAABD6"/>
              <w:bottom w:val="dotted" w:sz="4" w:space="0" w:color="AAABD6"/>
            </w:tcBorders>
            <w:vAlign w:val="center"/>
          </w:tcPr>
          <w:p w14:paraId="7723B2F0" w14:textId="77777777" w:rsidR="00966E81" w:rsidRPr="00100F0A" w:rsidRDefault="00966E81" w:rsidP="00966E81">
            <w:pPr>
              <w:cnfStyle w:val="000000000000" w:firstRow="0" w:lastRow="0" w:firstColumn="0" w:lastColumn="0" w:oddVBand="0" w:evenVBand="0" w:oddHBand="0" w:evenHBand="0" w:firstRowFirstColumn="0" w:firstRowLastColumn="0" w:lastRowFirstColumn="0" w:lastRowLastColumn="0"/>
            </w:pPr>
          </w:p>
        </w:tc>
        <w:tc>
          <w:tcPr>
            <w:tcW w:w="3828" w:type="dxa"/>
            <w:tcBorders>
              <w:top w:val="dotted" w:sz="4" w:space="0" w:color="AAABD6"/>
              <w:bottom w:val="dotted" w:sz="4" w:space="0" w:color="AAABD6"/>
            </w:tcBorders>
            <w:vAlign w:val="bottom"/>
          </w:tcPr>
          <w:p w14:paraId="2F949A33" w14:textId="0E26517F" w:rsidR="00966E81" w:rsidRPr="00100F0A" w:rsidRDefault="00C34F48" w:rsidP="00966E81">
            <w:pPr>
              <w:cnfStyle w:val="000000000000" w:firstRow="0" w:lastRow="0" w:firstColumn="0" w:lastColumn="0" w:oddVBand="0" w:evenVBand="0" w:oddHBand="0" w:evenHBand="0" w:firstRowFirstColumn="0" w:firstRowLastColumn="0" w:lastRowFirstColumn="0" w:lastRowLastColumn="0"/>
            </w:pPr>
            <w:r>
              <w:rPr>
                <w:rFonts w:cs="Calibri"/>
                <w:color w:val="000000"/>
              </w:rPr>
              <w:t>20-year average</w:t>
            </w:r>
            <w:r w:rsidR="00966E81" w:rsidRPr="00100F0A">
              <w:rPr>
                <w:rFonts w:cs="Calibri"/>
                <w:color w:val="000000"/>
              </w:rPr>
              <w:t xml:space="preserve"> annual population growth </w:t>
            </w:r>
          </w:p>
        </w:tc>
        <w:tc>
          <w:tcPr>
            <w:tcW w:w="708" w:type="dxa"/>
            <w:tcBorders>
              <w:top w:val="dotted" w:sz="4" w:space="0" w:color="AAABD6"/>
              <w:bottom w:val="dotted" w:sz="4" w:space="0" w:color="AAABD6"/>
            </w:tcBorders>
            <w:vAlign w:val="bottom"/>
          </w:tcPr>
          <w:p w14:paraId="72EC577D" w14:textId="7465C9C1" w:rsidR="00966E81" w:rsidRPr="00100F0A" w:rsidRDefault="00966E81" w:rsidP="00966E81">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1.4%</w:t>
            </w:r>
          </w:p>
        </w:tc>
        <w:tc>
          <w:tcPr>
            <w:tcW w:w="567" w:type="dxa"/>
            <w:tcBorders>
              <w:top w:val="dotted" w:sz="4" w:space="0" w:color="AAABD6"/>
              <w:bottom w:val="dotted" w:sz="4" w:space="0" w:color="AAABD6"/>
            </w:tcBorders>
          </w:tcPr>
          <w:p w14:paraId="6FE542C1" w14:textId="77777777" w:rsidR="00966E81" w:rsidRPr="00100F0A" w:rsidRDefault="00966E81" w:rsidP="00966E81">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851" w:type="dxa"/>
            <w:tcBorders>
              <w:top w:val="dotted" w:sz="4" w:space="0" w:color="AAABD6"/>
              <w:bottom w:val="dotted" w:sz="4" w:space="0" w:color="AAABD6"/>
            </w:tcBorders>
            <w:vAlign w:val="bottom"/>
          </w:tcPr>
          <w:p w14:paraId="493ED921" w14:textId="67CC7424" w:rsidR="00966E81" w:rsidRPr="00100F0A" w:rsidRDefault="00966E81" w:rsidP="00966E81">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1.4%</w:t>
            </w:r>
          </w:p>
        </w:tc>
      </w:tr>
      <w:tr w:rsidR="00966E81" w:rsidRPr="00100F0A" w14:paraId="7D48A5DE" w14:textId="77777777" w:rsidTr="00481E42">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AAABD6"/>
            </w:tcBorders>
          </w:tcPr>
          <w:p w14:paraId="634A4295" w14:textId="77777777" w:rsidR="00966E81" w:rsidRPr="00100F0A" w:rsidRDefault="00966E81" w:rsidP="00966E81">
            <w:r w:rsidRPr="00100F0A">
              <w:t>Low</w:t>
            </w:r>
          </w:p>
        </w:tc>
        <w:tc>
          <w:tcPr>
            <w:tcW w:w="1134" w:type="dxa"/>
            <w:vMerge/>
            <w:tcBorders>
              <w:top w:val="dotted" w:sz="4" w:space="0" w:color="AAABD6"/>
            </w:tcBorders>
            <w:vAlign w:val="center"/>
          </w:tcPr>
          <w:p w14:paraId="32E94963" w14:textId="77777777" w:rsidR="00966E81" w:rsidRPr="00100F0A" w:rsidRDefault="00966E81" w:rsidP="00966E81">
            <w:pPr>
              <w:cnfStyle w:val="000000000000" w:firstRow="0" w:lastRow="0" w:firstColumn="0" w:lastColumn="0" w:oddVBand="0" w:evenVBand="0" w:oddHBand="0" w:evenHBand="0" w:firstRowFirstColumn="0" w:firstRowLastColumn="0" w:lastRowFirstColumn="0" w:lastRowLastColumn="0"/>
            </w:pPr>
          </w:p>
        </w:tc>
        <w:tc>
          <w:tcPr>
            <w:tcW w:w="3828" w:type="dxa"/>
            <w:tcBorders>
              <w:top w:val="dotted" w:sz="4" w:space="0" w:color="AAABD6"/>
            </w:tcBorders>
            <w:vAlign w:val="bottom"/>
          </w:tcPr>
          <w:p w14:paraId="3AB12D16" w14:textId="281BF7D9" w:rsidR="00966E81" w:rsidRPr="00100F0A" w:rsidRDefault="00966E81" w:rsidP="00966E81">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Vic decline in CPT indicative for all</w:t>
            </w:r>
          </w:p>
        </w:tc>
        <w:tc>
          <w:tcPr>
            <w:tcW w:w="708" w:type="dxa"/>
            <w:tcBorders>
              <w:top w:val="dotted" w:sz="4" w:space="0" w:color="AAABD6"/>
            </w:tcBorders>
            <w:vAlign w:val="bottom"/>
          </w:tcPr>
          <w:p w14:paraId="3A1B81D4" w14:textId="30CB77B2" w:rsidR="00966E81" w:rsidRPr="00100F0A" w:rsidRDefault="00966E81" w:rsidP="00966E81">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-2.0%</w:t>
            </w:r>
          </w:p>
        </w:tc>
        <w:tc>
          <w:tcPr>
            <w:tcW w:w="567" w:type="dxa"/>
            <w:tcBorders>
              <w:top w:val="dotted" w:sz="4" w:space="0" w:color="AAABD6"/>
            </w:tcBorders>
          </w:tcPr>
          <w:p w14:paraId="4C507DE1" w14:textId="77777777" w:rsidR="00966E81" w:rsidRPr="00100F0A" w:rsidRDefault="00966E81" w:rsidP="00966E81">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851" w:type="dxa"/>
            <w:tcBorders>
              <w:top w:val="dotted" w:sz="4" w:space="0" w:color="AAABD6"/>
            </w:tcBorders>
            <w:vAlign w:val="bottom"/>
          </w:tcPr>
          <w:p w14:paraId="46F9EEBD" w14:textId="257FC867" w:rsidR="00966E81" w:rsidRPr="00100F0A" w:rsidRDefault="00966E81" w:rsidP="00966E81">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-2.0%</w:t>
            </w:r>
          </w:p>
        </w:tc>
      </w:tr>
    </w:tbl>
    <w:p w14:paraId="6BEB5C56" w14:textId="77777777" w:rsidR="00601CB2" w:rsidRPr="00100F0A" w:rsidRDefault="00601CB2" w:rsidP="00601CB2">
      <w:pPr>
        <w:pStyle w:val="BodyText"/>
      </w:pPr>
    </w:p>
    <w:p w14:paraId="1DF06596" w14:textId="28FFF901" w:rsidR="00601CB2" w:rsidRPr="00100F0A" w:rsidRDefault="00601CB2" w:rsidP="00273FA6">
      <w:pPr>
        <w:pStyle w:val="Caption"/>
      </w:pPr>
      <w:bookmarkStart w:id="257" w:name="_Toc425849247"/>
      <w:bookmarkStart w:id="258" w:name="_Toc13225606"/>
      <w:r w:rsidRPr="00100F0A">
        <w:t xml:space="preserve">Figure </w:t>
      </w:r>
      <w:r w:rsidR="00971D78" w:rsidRPr="00100F0A">
        <w:rPr>
          <w:noProof/>
        </w:rPr>
        <w:fldChar w:fldCharType="begin"/>
      </w:r>
      <w:r w:rsidR="00971D78" w:rsidRPr="00100F0A">
        <w:rPr>
          <w:noProof/>
        </w:rPr>
        <w:instrText xml:space="preserve"> SEQ Figure \* ARABIC </w:instrText>
      </w:r>
      <w:r w:rsidR="00971D78" w:rsidRPr="00100F0A">
        <w:rPr>
          <w:noProof/>
        </w:rPr>
        <w:fldChar w:fldCharType="separate"/>
      </w:r>
      <w:r w:rsidR="00EB634D">
        <w:rPr>
          <w:noProof/>
        </w:rPr>
        <w:t>33</w:t>
      </w:r>
      <w:r w:rsidR="00971D78" w:rsidRPr="00100F0A">
        <w:rPr>
          <w:noProof/>
        </w:rPr>
        <w:fldChar w:fldCharType="end"/>
      </w:r>
      <w:r w:rsidR="00AD2F76">
        <w:rPr>
          <w:noProof/>
        </w:rPr>
        <w:t>:</w:t>
      </w:r>
      <w:r w:rsidR="00D11FEE" w:rsidRPr="00100F0A">
        <w:tab/>
      </w:r>
      <w:r w:rsidRPr="00100F0A">
        <w:t>Best, high and low national projection estimates of other soil/sludge waste to 203</w:t>
      </w:r>
      <w:bookmarkEnd w:id="257"/>
      <w:r w:rsidR="00966E81" w:rsidRPr="00100F0A">
        <w:t>7</w:t>
      </w:r>
      <w:bookmarkEnd w:id="258"/>
    </w:p>
    <w:p w14:paraId="3B08EAB5" w14:textId="1EC0E6B3" w:rsidR="00D82D44" w:rsidRPr="00100F0A" w:rsidRDefault="00D82D44" w:rsidP="00D82D44">
      <w:pPr>
        <w:pStyle w:val="BodyText"/>
      </w:pPr>
      <w:r w:rsidRPr="00100F0A">
        <w:rPr>
          <w:noProof/>
          <w:lang w:eastAsia="en-AU"/>
        </w:rPr>
        <w:drawing>
          <wp:inline distT="0" distB="0" distL="0" distR="0" wp14:anchorId="695F12ED" wp14:editId="043352FE">
            <wp:extent cx="5735955" cy="2033905"/>
            <wp:effectExtent l="0" t="0" r="0" b="4445"/>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5955" cy="2033905"/>
                    </a:xfrm>
                    <a:prstGeom prst="rect">
                      <a:avLst/>
                    </a:prstGeom>
                  </pic:spPr>
                </pic:pic>
              </a:graphicData>
            </a:graphic>
          </wp:inline>
        </w:drawing>
      </w:r>
    </w:p>
    <w:p w14:paraId="0B7B2DC8" w14:textId="1EB128CE" w:rsidR="00601CB2" w:rsidRPr="00100F0A" w:rsidRDefault="00601CB2" w:rsidP="00AD35BF">
      <w:pPr>
        <w:pStyle w:val="Heading3"/>
      </w:pPr>
      <w:r w:rsidRPr="00100F0A">
        <w:t>R Clinical and pharmaceutical</w:t>
      </w:r>
    </w:p>
    <w:p w14:paraId="0F97FDA4" w14:textId="77777777" w:rsidR="00601CB2" w:rsidRPr="00100F0A" w:rsidRDefault="00601CB2" w:rsidP="00601CB2">
      <w:pPr>
        <w:spacing w:after="60"/>
        <w:rPr>
          <w:color w:val="080808"/>
        </w:rPr>
      </w:pPr>
      <w:r w:rsidRPr="00100F0A">
        <w:rPr>
          <w:color w:val="080808"/>
        </w:rPr>
        <w:t>This waste group is made up of:</w:t>
      </w:r>
    </w:p>
    <w:p w14:paraId="54EA47F4" w14:textId="77777777" w:rsidR="00601CB2" w:rsidRPr="00100F0A" w:rsidRDefault="00601CB2" w:rsidP="00512118">
      <w:pPr>
        <w:pStyle w:val="ListParagraph"/>
        <w:numPr>
          <w:ilvl w:val="0"/>
          <w:numId w:val="34"/>
        </w:numPr>
        <w:spacing w:before="80"/>
        <w:rPr>
          <w:i/>
        </w:rPr>
      </w:pPr>
      <w:r w:rsidRPr="00100F0A">
        <w:rPr>
          <w:i/>
        </w:rPr>
        <w:t>R100 Clinical and related wastes</w:t>
      </w:r>
    </w:p>
    <w:p w14:paraId="3AD75181" w14:textId="77777777" w:rsidR="00601CB2" w:rsidRPr="00100F0A" w:rsidRDefault="00601CB2" w:rsidP="00512118">
      <w:pPr>
        <w:pStyle w:val="ListParagraph"/>
        <w:numPr>
          <w:ilvl w:val="0"/>
          <w:numId w:val="34"/>
        </w:numPr>
        <w:spacing w:before="80"/>
        <w:rPr>
          <w:i/>
        </w:rPr>
      </w:pPr>
      <w:r w:rsidRPr="00100F0A">
        <w:rPr>
          <w:i/>
        </w:rPr>
        <w:t>R120 Waste pharmaceuticals, drugs and medicines</w:t>
      </w:r>
    </w:p>
    <w:p w14:paraId="715E90FC" w14:textId="77777777" w:rsidR="00601CB2" w:rsidRPr="00100F0A" w:rsidRDefault="00601CB2" w:rsidP="00512118">
      <w:pPr>
        <w:pStyle w:val="ListParagraph"/>
        <w:numPr>
          <w:ilvl w:val="0"/>
          <w:numId w:val="34"/>
        </w:numPr>
        <w:spacing w:before="80"/>
        <w:rPr>
          <w:i/>
        </w:rPr>
      </w:pPr>
      <w:r w:rsidRPr="00100F0A">
        <w:rPr>
          <w:i/>
        </w:rPr>
        <w:t>R140 Waste from the production and preparation of pharmaceutical products.</w:t>
      </w:r>
    </w:p>
    <w:p w14:paraId="53ED0C8E" w14:textId="77777777" w:rsidR="00601CB2" w:rsidRPr="00100F0A" w:rsidRDefault="00601CB2" w:rsidP="00601CB2">
      <w:pPr>
        <w:rPr>
          <w:color w:val="080808"/>
        </w:rPr>
      </w:pPr>
    </w:p>
    <w:p w14:paraId="48078AE9" w14:textId="0D7736A3" w:rsidR="00601CB2" w:rsidRPr="00100F0A" w:rsidRDefault="00601CB2" w:rsidP="00601CB2">
      <w:pPr>
        <w:rPr>
          <w:color w:val="080808"/>
        </w:rPr>
      </w:pPr>
      <w:r w:rsidRPr="00100F0A">
        <w:rPr>
          <w:color w:val="080808"/>
        </w:rPr>
        <w:t>Clinical and related wastes are wastes arising from medical, nursing, dental, veterinary, laboratory, pharmaceutical, podiatry, tattooing, body piercing, brothels, emergency services, blood banks, mortuary practices and other similar practices, and wastes generated in healthcare facilities or other facilities during the investigation or treatment of patients or research projects, which have the potential to cause disease, injury, or public offence, and includes sharps and non-sharps clinical waste.</w:t>
      </w:r>
    </w:p>
    <w:p w14:paraId="6468F8FD" w14:textId="77777777" w:rsidR="00601CB2" w:rsidRPr="00100F0A" w:rsidRDefault="00601CB2" w:rsidP="00601CB2">
      <w:pPr>
        <w:rPr>
          <w:color w:val="080808"/>
        </w:rPr>
      </w:pPr>
    </w:p>
    <w:p w14:paraId="2A24F4C7" w14:textId="74ADABCE" w:rsidR="00601CB2" w:rsidRPr="00100F0A" w:rsidRDefault="00601CB2" w:rsidP="00601CB2">
      <w:pPr>
        <w:rPr>
          <w:color w:val="080808"/>
        </w:rPr>
      </w:pPr>
      <w:r w:rsidRPr="00100F0A">
        <w:rPr>
          <w:color w:val="080808"/>
        </w:rPr>
        <w:t>Other wastes are also generated within health care settings. Waste pharmaceuticals, drugs and medicines are waste pharmaceutical products that have passed their recommended shelf life</w:t>
      </w:r>
      <w:r w:rsidR="005E0601">
        <w:rPr>
          <w:color w:val="080808"/>
        </w:rPr>
        <w:t>,</w:t>
      </w:r>
      <w:r w:rsidRPr="00100F0A">
        <w:rPr>
          <w:color w:val="080808"/>
        </w:rPr>
        <w:t xml:space="preserve"> been discarded as off-specification batches</w:t>
      </w:r>
      <w:r w:rsidR="005E0601">
        <w:rPr>
          <w:color w:val="080808"/>
        </w:rPr>
        <w:t xml:space="preserve"> or</w:t>
      </w:r>
      <w:r w:rsidRPr="00100F0A">
        <w:rPr>
          <w:color w:val="080808"/>
        </w:rPr>
        <w:t xml:space="preserve"> been returned by patients or discarded. These wastes are often generated directly from pharmacies, hospitals, medical centres and hospital dispensaries.</w:t>
      </w:r>
    </w:p>
    <w:p w14:paraId="66CF3B3A" w14:textId="77777777" w:rsidR="00601CB2" w:rsidRPr="00100F0A" w:rsidRDefault="00601CB2" w:rsidP="00601CB2">
      <w:pPr>
        <w:pStyle w:val="BodyText"/>
        <w:rPr>
          <w:b/>
        </w:rPr>
      </w:pPr>
    </w:p>
    <w:p w14:paraId="371FFE1B" w14:textId="77777777" w:rsidR="00601CB2" w:rsidRPr="00100F0A" w:rsidRDefault="00601CB2" w:rsidP="00931F74">
      <w:pPr>
        <w:pStyle w:val="Heading3-nonumber"/>
      </w:pPr>
      <w:r w:rsidRPr="00100F0A">
        <w:t>Summary analysis</w:t>
      </w:r>
    </w:p>
    <w:tbl>
      <w:tblPr>
        <w:tblStyle w:val="BETable11"/>
        <w:tblW w:w="5000" w:type="pct"/>
        <w:tblInd w:w="0" w:type="dxa"/>
        <w:tblBorders>
          <w:top w:val="single" w:sz="4" w:space="0" w:color="AAABD6"/>
          <w:left w:val="single" w:sz="4" w:space="0" w:color="AAABD6"/>
          <w:bottom w:val="single" w:sz="4" w:space="0" w:color="AAABD6"/>
          <w:right w:val="single" w:sz="4" w:space="0" w:color="AAABD6"/>
          <w:insideH w:val="single" w:sz="4" w:space="0" w:color="AAABD6"/>
          <w:insideV w:val="single" w:sz="4" w:space="0" w:color="AAABD6"/>
        </w:tblBorders>
        <w:tblLook w:val="04A0" w:firstRow="1" w:lastRow="0" w:firstColumn="1" w:lastColumn="0" w:noHBand="0" w:noVBand="1"/>
      </w:tblPr>
      <w:tblGrid>
        <w:gridCol w:w="2227"/>
        <w:gridCol w:w="1817"/>
        <w:gridCol w:w="2170"/>
        <w:gridCol w:w="2989"/>
      </w:tblGrid>
      <w:tr w:rsidR="00871A0B" w:rsidRPr="00100F0A" w14:paraId="3D3A1079" w14:textId="77777777" w:rsidTr="006E3D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shd w:val="clear" w:color="auto" w:fill="AAABD6"/>
          </w:tcPr>
          <w:p w14:paraId="61642A13" w14:textId="77777777" w:rsidR="00601CB2" w:rsidRPr="00100F0A" w:rsidRDefault="00601CB2" w:rsidP="002A3A54">
            <w:pPr>
              <w:pStyle w:val="BodyText"/>
              <w:rPr>
                <w:color w:val="FFFFFF" w:themeColor="background1"/>
              </w:rPr>
            </w:pPr>
            <w:r w:rsidRPr="00100F0A">
              <w:rPr>
                <w:color w:val="FFFFFF" w:themeColor="background1"/>
              </w:rPr>
              <w:t>Industry sources</w:t>
            </w:r>
          </w:p>
        </w:tc>
        <w:tc>
          <w:tcPr>
            <w:tcW w:w="987" w:type="pct"/>
            <w:shd w:val="clear" w:color="auto" w:fill="AAABD6"/>
          </w:tcPr>
          <w:p w14:paraId="5AAEF3B1" w14:textId="77777777" w:rsidR="00601CB2" w:rsidRPr="00100F0A" w:rsidRDefault="00601CB2"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Considerations</w:t>
            </w:r>
          </w:p>
        </w:tc>
        <w:tc>
          <w:tcPr>
            <w:tcW w:w="1179" w:type="pct"/>
            <w:shd w:val="clear" w:color="auto" w:fill="AAABD6"/>
          </w:tcPr>
          <w:p w14:paraId="04C7B083" w14:textId="77777777" w:rsidR="00601CB2" w:rsidRPr="00100F0A" w:rsidRDefault="00601CB2"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Comments</w:t>
            </w:r>
          </w:p>
        </w:tc>
        <w:tc>
          <w:tcPr>
            <w:tcW w:w="1625" w:type="pct"/>
            <w:shd w:val="clear" w:color="auto" w:fill="AAABD6"/>
          </w:tcPr>
          <w:p w14:paraId="7BCB3195" w14:textId="77777777" w:rsidR="00601CB2" w:rsidRPr="00100F0A" w:rsidRDefault="00601CB2"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r>
      <w:tr w:rsidR="00871A0B" w:rsidRPr="00100F0A" w14:paraId="22E4FD9D" w14:textId="77777777" w:rsidTr="006E3DBB">
        <w:trPr>
          <w:trHeight w:val="1534"/>
        </w:trPr>
        <w:tc>
          <w:tcPr>
            <w:cnfStyle w:val="001000000000" w:firstRow="0" w:lastRow="0" w:firstColumn="1" w:lastColumn="0" w:oddVBand="0" w:evenVBand="0" w:oddHBand="0" w:evenHBand="0" w:firstRowFirstColumn="0" w:firstRowLastColumn="0" w:lastRowFirstColumn="0" w:lastRowLastColumn="0"/>
            <w:tcW w:w="1210" w:type="pct"/>
          </w:tcPr>
          <w:p w14:paraId="7796C8CC" w14:textId="77777777" w:rsidR="00871A0B" w:rsidRPr="00100F0A" w:rsidRDefault="00871A0B" w:rsidP="002A3A54">
            <w:pPr>
              <w:pStyle w:val="BodyText"/>
            </w:pPr>
            <w:r w:rsidRPr="00100F0A">
              <w:t>• Hospitals, health care centres and clinics</w:t>
            </w:r>
          </w:p>
          <w:p w14:paraId="6EA227F4" w14:textId="77777777" w:rsidR="00871A0B" w:rsidRPr="00100F0A" w:rsidRDefault="00871A0B" w:rsidP="002A3A54">
            <w:pPr>
              <w:pStyle w:val="BodyText"/>
            </w:pPr>
            <w:r w:rsidRPr="00100F0A">
              <w:t>• Nursing homes and aged care facilities</w:t>
            </w:r>
          </w:p>
          <w:p w14:paraId="5DE3A091" w14:textId="77777777" w:rsidR="00871A0B" w:rsidRPr="00100F0A" w:rsidRDefault="00871A0B" w:rsidP="002A3A54">
            <w:pPr>
              <w:pStyle w:val="BodyText"/>
            </w:pPr>
            <w:r w:rsidRPr="00100F0A">
              <w:t>• Dentists</w:t>
            </w:r>
          </w:p>
          <w:p w14:paraId="0093CE4B" w14:textId="77777777" w:rsidR="00871A0B" w:rsidRPr="00100F0A" w:rsidRDefault="00871A0B" w:rsidP="002A3A54">
            <w:pPr>
              <w:pStyle w:val="BodyText"/>
              <w:rPr>
                <w:color w:val="000000"/>
              </w:rPr>
            </w:pPr>
            <w:r w:rsidRPr="00100F0A">
              <w:t>• Pharmacies</w:t>
            </w:r>
          </w:p>
        </w:tc>
        <w:tc>
          <w:tcPr>
            <w:tcW w:w="987" w:type="pct"/>
          </w:tcPr>
          <w:p w14:paraId="4051805B" w14:textId="4990A82F" w:rsidR="00871A0B" w:rsidRPr="00100F0A" w:rsidRDefault="00871A0B" w:rsidP="002A3A54">
            <w:pPr>
              <w:pStyle w:val="BodyText"/>
              <w:cnfStyle w:val="000000000000" w:firstRow="0" w:lastRow="0" w:firstColumn="0" w:lastColumn="0" w:oddVBand="0" w:evenVBand="0" w:oddHBand="0" w:evenHBand="0" w:firstRowFirstColumn="0" w:firstRowLastColumn="0" w:lastRowFirstColumn="0" w:lastRowLastColumn="0"/>
            </w:pPr>
            <w:r w:rsidRPr="00100F0A">
              <w:t>Credible projection exists (Thornton 2014)</w:t>
            </w:r>
          </w:p>
          <w:p w14:paraId="4D90F202" w14:textId="77777777" w:rsidR="006E3DBB" w:rsidRPr="00100F0A" w:rsidRDefault="006E3DBB" w:rsidP="002A3A54">
            <w:pPr>
              <w:pStyle w:val="BodyText"/>
              <w:cnfStyle w:val="000000000000" w:firstRow="0" w:lastRow="0" w:firstColumn="0" w:lastColumn="0" w:oddVBand="0" w:evenVBand="0" w:oddHBand="0" w:evenHBand="0" w:firstRowFirstColumn="0" w:firstRowLastColumn="0" w:lastRowFirstColumn="0" w:lastRowLastColumn="0"/>
            </w:pPr>
          </w:p>
          <w:p w14:paraId="415DD123" w14:textId="6550DBC6" w:rsidR="006E3DBB" w:rsidRPr="00100F0A" w:rsidRDefault="006E3DBB" w:rsidP="002A3A54">
            <w:pPr>
              <w:pStyle w:val="BodyText"/>
              <w:cnfStyle w:val="000000000000" w:firstRow="0" w:lastRow="0" w:firstColumn="0" w:lastColumn="0" w:oddVBand="0" w:evenVBand="0" w:oddHBand="0" w:evenHBand="0" w:firstRowFirstColumn="0" w:firstRowLastColumn="0" w:lastRowFirstColumn="0" w:lastRowLastColumn="0"/>
              <w:rPr>
                <w:highlight w:val="yellow"/>
              </w:rPr>
            </w:pPr>
            <w:r w:rsidRPr="00100F0A">
              <w:t>Vic, SA &amp; WA 10+</w:t>
            </w:r>
            <w:r w:rsidR="0026508D">
              <w:t> </w:t>
            </w:r>
            <w:r w:rsidR="00387CBE" w:rsidRPr="00100F0A">
              <w:t>y</w:t>
            </w:r>
            <w:r w:rsidR="005E0601">
              <w:t>ea</w:t>
            </w:r>
            <w:r w:rsidR="00387CBE" w:rsidRPr="00100F0A">
              <w:t>r</w:t>
            </w:r>
            <w:r w:rsidRPr="00100F0A">
              <w:t xml:space="preserve"> trends seem reasonable</w:t>
            </w:r>
          </w:p>
        </w:tc>
        <w:tc>
          <w:tcPr>
            <w:tcW w:w="1179" w:type="pct"/>
          </w:tcPr>
          <w:p w14:paraId="44E65485" w14:textId="6A0C3450" w:rsidR="00871A0B" w:rsidRPr="00100F0A" w:rsidRDefault="00871A0B" w:rsidP="002A3A54">
            <w:pPr>
              <w:pStyle w:val="BodyText"/>
              <w:cnfStyle w:val="000000000000" w:firstRow="0" w:lastRow="0" w:firstColumn="0" w:lastColumn="0" w:oddVBand="0" w:evenVBand="0" w:oddHBand="0" w:evenHBand="0" w:firstRowFirstColumn="0" w:firstRowLastColumn="0" w:lastRowFirstColumn="0" w:lastRowLastColumn="0"/>
            </w:pPr>
            <w:r w:rsidRPr="00100F0A">
              <w:t>Waste not tracked in NSW due to re</w:t>
            </w:r>
            <w:r w:rsidR="006E3DBB" w:rsidRPr="00100F0A">
              <w:t>gulatory exemption</w:t>
            </w:r>
          </w:p>
          <w:p w14:paraId="472D06E7" w14:textId="4ADDE05E" w:rsidR="00871A0B" w:rsidRPr="00100F0A" w:rsidRDefault="006E3DBB" w:rsidP="002A3A54">
            <w:pPr>
              <w:pStyle w:val="BodyText"/>
              <w:cnfStyle w:val="000000000000" w:firstRow="0" w:lastRow="0" w:firstColumn="0" w:lastColumn="0" w:oddVBand="0" w:evenVBand="0" w:oddHBand="0" w:evenHBand="0" w:firstRowFirstColumn="0" w:firstRowLastColumn="0" w:lastRowFirstColumn="0" w:lastRowLastColumn="0"/>
            </w:pPr>
            <w:r w:rsidRPr="00100F0A">
              <w:t>There is potential to reduce hazardous waste by better separation in hospitals etc.</w:t>
            </w:r>
          </w:p>
        </w:tc>
        <w:tc>
          <w:tcPr>
            <w:tcW w:w="1625" w:type="pct"/>
          </w:tcPr>
          <w:p w14:paraId="6C88C427" w14:textId="5A5BE92A" w:rsidR="006E3DBB" w:rsidRPr="00100F0A" w:rsidRDefault="006E3DBB" w:rsidP="006E3DBB">
            <w:pPr>
              <w:pStyle w:val="BodyText"/>
              <w:cnfStyle w:val="000000000000" w:firstRow="0" w:lastRow="0" w:firstColumn="0" w:lastColumn="0" w:oddVBand="0" w:evenVBand="0" w:oddHBand="0" w:evenHBand="0" w:firstRowFirstColumn="0" w:firstRowLastColumn="0" w:lastRowFirstColumn="0" w:lastRowLastColumn="0"/>
            </w:pPr>
            <w:r w:rsidRPr="00100F0A">
              <w:t>Best: Flat trend overall</w:t>
            </w:r>
          </w:p>
          <w:p w14:paraId="55D9F1EB" w14:textId="675F5D06" w:rsidR="006E3DBB" w:rsidRPr="00100F0A" w:rsidRDefault="006E3DBB" w:rsidP="006E3DBB">
            <w:pPr>
              <w:pStyle w:val="BodyText"/>
              <w:cnfStyle w:val="000000000000" w:firstRow="0" w:lastRow="0" w:firstColumn="0" w:lastColumn="0" w:oddVBand="0" w:evenVBand="0" w:oddHBand="0" w:evenHBand="0" w:firstRowFirstColumn="0" w:firstRowLastColumn="0" w:lastRowFirstColumn="0" w:lastRowLastColumn="0"/>
            </w:pPr>
            <w:r w:rsidRPr="00100F0A">
              <w:t>High: Thornton 2014 growth</w:t>
            </w:r>
          </w:p>
          <w:p w14:paraId="256EB365" w14:textId="7C1A92C5" w:rsidR="006E3DBB" w:rsidRPr="00100F0A" w:rsidRDefault="006E3DBB" w:rsidP="006E3DBB">
            <w:pPr>
              <w:pStyle w:val="BodyText"/>
              <w:cnfStyle w:val="000000000000" w:firstRow="0" w:lastRow="0" w:firstColumn="0" w:lastColumn="0" w:oddVBand="0" w:evenVBand="0" w:oddHBand="0" w:evenHBand="0" w:firstRowFirstColumn="0" w:firstRowLastColumn="0" w:lastRowFirstColumn="0" w:lastRowLastColumn="0"/>
              <w:rPr>
                <w:highlight w:val="yellow"/>
              </w:rPr>
            </w:pPr>
            <w:r w:rsidRPr="00100F0A">
              <w:t>Low: -2% from best case, due to improved waste segregation, miniaturisation and mgt practices</w:t>
            </w:r>
          </w:p>
        </w:tc>
      </w:tr>
    </w:tbl>
    <w:p w14:paraId="44FA12C9" w14:textId="5C522032" w:rsidR="00601CB2" w:rsidRPr="00100F0A" w:rsidRDefault="00601CB2" w:rsidP="00273FA6">
      <w:pPr>
        <w:pStyle w:val="Caption"/>
      </w:pPr>
      <w:bookmarkStart w:id="259" w:name="_Toc425849322"/>
      <w:bookmarkStart w:id="260" w:name="_Toc13225657"/>
      <w:r w:rsidRPr="00100F0A">
        <w:t xml:space="preserve">Table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38</w:t>
      </w:r>
      <w:r w:rsidR="00B404A6" w:rsidRPr="00100F0A">
        <w:rPr>
          <w:noProof/>
        </w:rPr>
        <w:fldChar w:fldCharType="end"/>
      </w:r>
      <w:r w:rsidR="00AD2F76">
        <w:rPr>
          <w:noProof/>
        </w:rPr>
        <w:t>:</w:t>
      </w:r>
      <w:r w:rsidR="00D11FEE" w:rsidRPr="00100F0A">
        <w:tab/>
      </w:r>
      <w:r w:rsidRPr="00100F0A">
        <w:t>Best, high and low projected rates of change for clinical and pharmaceutical waste to 203</w:t>
      </w:r>
      <w:bookmarkEnd w:id="259"/>
      <w:r w:rsidR="00871A0B" w:rsidRPr="00100F0A">
        <w:t>7</w:t>
      </w:r>
      <w:bookmarkEnd w:id="260"/>
    </w:p>
    <w:tbl>
      <w:tblPr>
        <w:tblStyle w:val="BETable1"/>
        <w:tblW w:w="8018" w:type="dxa"/>
        <w:tblBorders>
          <w:top w:val="single" w:sz="4" w:space="0" w:color="AAABD6"/>
          <w:left w:val="single" w:sz="4" w:space="0" w:color="AAABD6"/>
          <w:bottom w:val="single" w:sz="4" w:space="0" w:color="AAABD6"/>
          <w:right w:val="single" w:sz="4" w:space="0" w:color="AAABD6"/>
          <w:insideH w:val="single" w:sz="4" w:space="0" w:color="AAABD6"/>
          <w:insideV w:val="single" w:sz="4" w:space="0" w:color="AAABD6"/>
        </w:tblBorders>
        <w:tblLayout w:type="fixed"/>
        <w:tblLook w:val="04A0" w:firstRow="1" w:lastRow="0" w:firstColumn="1" w:lastColumn="0" w:noHBand="0" w:noVBand="1"/>
      </w:tblPr>
      <w:tblGrid>
        <w:gridCol w:w="566"/>
        <w:gridCol w:w="1134"/>
        <w:gridCol w:w="4394"/>
        <w:gridCol w:w="81"/>
        <w:gridCol w:w="567"/>
        <w:gridCol w:w="62"/>
        <w:gridCol w:w="364"/>
        <w:gridCol w:w="62"/>
        <w:gridCol w:w="788"/>
      </w:tblGrid>
      <w:tr w:rsidR="006E3DBB" w:rsidRPr="00100F0A" w14:paraId="126A0A34" w14:textId="77777777" w:rsidTr="006E3D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tcBorders>
              <w:top w:val="nil"/>
              <w:left w:val="single" w:sz="4" w:space="0" w:color="AAABD6"/>
              <w:bottom w:val="single" w:sz="4" w:space="0" w:color="AAABD6"/>
            </w:tcBorders>
            <w:shd w:val="clear" w:color="auto" w:fill="AAABD6"/>
          </w:tcPr>
          <w:p w14:paraId="48AF92AB" w14:textId="77777777" w:rsidR="006E3DBB" w:rsidRPr="00100F0A" w:rsidRDefault="006E3DBB" w:rsidP="002A3A54">
            <w:pPr>
              <w:rPr>
                <w:color w:val="FFFFFF" w:themeColor="background1"/>
              </w:rPr>
            </w:pPr>
          </w:p>
        </w:tc>
        <w:tc>
          <w:tcPr>
            <w:tcW w:w="1134" w:type="dxa"/>
            <w:tcBorders>
              <w:top w:val="nil"/>
              <w:bottom w:val="single" w:sz="4" w:space="0" w:color="AAABD6"/>
            </w:tcBorders>
            <w:shd w:val="clear" w:color="auto" w:fill="AAABD6"/>
          </w:tcPr>
          <w:p w14:paraId="129A884F" w14:textId="77777777" w:rsidR="006E3DBB" w:rsidRPr="00100F0A" w:rsidRDefault="006E3DBB" w:rsidP="002A3A5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Applies to</w:t>
            </w:r>
          </w:p>
        </w:tc>
        <w:tc>
          <w:tcPr>
            <w:tcW w:w="4475" w:type="dxa"/>
            <w:gridSpan w:val="2"/>
            <w:tcBorders>
              <w:top w:val="nil"/>
              <w:bottom w:val="single" w:sz="4" w:space="0" w:color="AAABD6"/>
            </w:tcBorders>
            <w:shd w:val="clear" w:color="auto" w:fill="AAABD6"/>
          </w:tcPr>
          <w:p w14:paraId="4D6BFE8A" w14:textId="77777777" w:rsidR="006E3DBB" w:rsidRPr="00100F0A" w:rsidRDefault="006E3DBB" w:rsidP="002A3A5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c>
          <w:tcPr>
            <w:tcW w:w="567" w:type="dxa"/>
            <w:tcBorders>
              <w:top w:val="nil"/>
              <w:bottom w:val="single" w:sz="4" w:space="0" w:color="AAABD6"/>
            </w:tcBorders>
            <w:shd w:val="clear" w:color="auto" w:fill="AAABD6"/>
          </w:tcPr>
          <w:p w14:paraId="4310C4AE" w14:textId="1C581FC6" w:rsidR="006E3DBB" w:rsidRPr="00100F0A" w:rsidRDefault="006E3DBB" w:rsidP="002A3A54">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2018</w:t>
            </w:r>
          </w:p>
        </w:tc>
        <w:tc>
          <w:tcPr>
            <w:tcW w:w="426" w:type="dxa"/>
            <w:gridSpan w:val="2"/>
            <w:tcBorders>
              <w:top w:val="nil"/>
              <w:bottom w:val="single" w:sz="4" w:space="0" w:color="AAABD6"/>
            </w:tcBorders>
            <w:shd w:val="clear" w:color="auto" w:fill="AAABD6"/>
          </w:tcPr>
          <w:p w14:paraId="75562B2A" w14:textId="77777777" w:rsidR="006E3DBB" w:rsidRPr="00100F0A" w:rsidRDefault="006E3DBB" w:rsidP="002A3A54">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w:t>
            </w:r>
          </w:p>
        </w:tc>
        <w:tc>
          <w:tcPr>
            <w:tcW w:w="850" w:type="dxa"/>
            <w:gridSpan w:val="2"/>
            <w:tcBorders>
              <w:top w:val="nil"/>
              <w:bottom w:val="single" w:sz="4" w:space="0" w:color="AAABD6"/>
            </w:tcBorders>
            <w:shd w:val="clear" w:color="auto" w:fill="AAABD6"/>
          </w:tcPr>
          <w:p w14:paraId="05C2CFF0" w14:textId="03627020" w:rsidR="006E3DBB" w:rsidRPr="00100F0A" w:rsidRDefault="006E3DBB" w:rsidP="002A3A54">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2020</w:t>
            </w:r>
          </w:p>
        </w:tc>
      </w:tr>
      <w:tr w:rsidR="006E3DBB" w:rsidRPr="00100F0A" w14:paraId="6769181E" w14:textId="77777777" w:rsidTr="006E3DBB">
        <w:tc>
          <w:tcPr>
            <w:cnfStyle w:val="001000000000" w:firstRow="0" w:lastRow="0" w:firstColumn="1" w:lastColumn="0" w:oddVBand="0" w:evenVBand="0" w:oddHBand="0" w:evenHBand="0" w:firstRowFirstColumn="0" w:firstRowLastColumn="0" w:lastRowFirstColumn="0" w:lastRowLastColumn="0"/>
            <w:tcW w:w="566" w:type="dxa"/>
            <w:tcBorders>
              <w:bottom w:val="dotted" w:sz="4" w:space="0" w:color="AAABD6"/>
            </w:tcBorders>
          </w:tcPr>
          <w:p w14:paraId="09162637" w14:textId="77777777" w:rsidR="006E3DBB" w:rsidRPr="00100F0A" w:rsidRDefault="006E3DBB" w:rsidP="006E3DBB">
            <w:r w:rsidRPr="00100F0A">
              <w:t>Best</w:t>
            </w:r>
          </w:p>
        </w:tc>
        <w:tc>
          <w:tcPr>
            <w:tcW w:w="1134" w:type="dxa"/>
            <w:vMerge w:val="restart"/>
            <w:tcBorders>
              <w:bottom w:val="dotted" w:sz="4" w:space="0" w:color="AAABD6"/>
            </w:tcBorders>
            <w:vAlign w:val="center"/>
          </w:tcPr>
          <w:p w14:paraId="31C4BDBC" w14:textId="77777777" w:rsidR="006E3DBB" w:rsidRPr="00100F0A" w:rsidRDefault="006E3DBB" w:rsidP="006E3DBB">
            <w:pPr>
              <w:cnfStyle w:val="000000000000" w:firstRow="0" w:lastRow="0" w:firstColumn="0" w:lastColumn="0" w:oddVBand="0" w:evenVBand="0" w:oddHBand="0" w:evenHBand="0" w:firstRowFirstColumn="0" w:firstRowLastColumn="0" w:lastRowFirstColumn="0" w:lastRowLastColumn="0"/>
            </w:pPr>
            <w:r w:rsidRPr="00100F0A">
              <w:t>ACT, NSW, NT, Qld, SA, Tas, Vic, WA</w:t>
            </w:r>
          </w:p>
        </w:tc>
        <w:tc>
          <w:tcPr>
            <w:tcW w:w="4394" w:type="dxa"/>
            <w:tcBorders>
              <w:bottom w:val="dotted" w:sz="4" w:space="0" w:color="AAABD6"/>
            </w:tcBorders>
            <w:vAlign w:val="bottom"/>
          </w:tcPr>
          <w:p w14:paraId="63AFA026" w14:textId="009D7D38" w:rsidR="006E3DBB" w:rsidRPr="00100F0A" w:rsidRDefault="00C34F48" w:rsidP="006E3DBB">
            <w:pPr>
              <w:cnfStyle w:val="000000000000" w:firstRow="0" w:lastRow="0" w:firstColumn="0" w:lastColumn="0" w:oddVBand="0" w:evenVBand="0" w:oddHBand="0" w:evenHBand="0" w:firstRowFirstColumn="0" w:firstRowLastColumn="0" w:lastRowFirstColumn="0" w:lastRowLastColumn="0"/>
            </w:pPr>
            <w:r>
              <w:rPr>
                <w:rFonts w:cs="Calibri"/>
                <w:color w:val="000000"/>
              </w:rPr>
              <w:t>20-year average</w:t>
            </w:r>
            <w:r w:rsidR="006E3DBB" w:rsidRPr="00100F0A">
              <w:rPr>
                <w:rFonts w:cs="Calibri"/>
                <w:color w:val="000000"/>
              </w:rPr>
              <w:t xml:space="preserve"> annual population growth </w:t>
            </w:r>
          </w:p>
        </w:tc>
        <w:tc>
          <w:tcPr>
            <w:tcW w:w="710" w:type="dxa"/>
            <w:gridSpan w:val="3"/>
            <w:tcBorders>
              <w:bottom w:val="dotted" w:sz="4" w:space="0" w:color="AAABD6"/>
            </w:tcBorders>
          </w:tcPr>
          <w:p w14:paraId="639FBD40" w14:textId="07074853" w:rsidR="006E3DBB" w:rsidRPr="00100F0A" w:rsidRDefault="006E3DBB" w:rsidP="006E3DBB">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1.4%</w:t>
            </w:r>
          </w:p>
        </w:tc>
        <w:tc>
          <w:tcPr>
            <w:tcW w:w="426" w:type="dxa"/>
            <w:gridSpan w:val="2"/>
            <w:tcBorders>
              <w:bottom w:val="dotted" w:sz="4" w:space="0" w:color="AAABD6"/>
            </w:tcBorders>
          </w:tcPr>
          <w:p w14:paraId="022C2C3A" w14:textId="77777777" w:rsidR="006E3DBB" w:rsidRPr="00100F0A" w:rsidRDefault="006E3DBB" w:rsidP="006E3DBB">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788" w:type="dxa"/>
            <w:tcBorders>
              <w:bottom w:val="dotted" w:sz="4" w:space="0" w:color="AAABD6"/>
            </w:tcBorders>
          </w:tcPr>
          <w:p w14:paraId="73A956BA" w14:textId="3FD685CD" w:rsidR="006E3DBB" w:rsidRPr="00100F0A" w:rsidRDefault="006E3DBB" w:rsidP="006E3DBB">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1.4%</w:t>
            </w:r>
          </w:p>
        </w:tc>
      </w:tr>
      <w:tr w:rsidR="006E3DBB" w:rsidRPr="00100F0A" w14:paraId="0EDA6E44" w14:textId="77777777" w:rsidTr="006E3DBB">
        <w:tc>
          <w:tcPr>
            <w:cnfStyle w:val="001000000000" w:firstRow="0" w:lastRow="0" w:firstColumn="1" w:lastColumn="0" w:oddVBand="0" w:evenVBand="0" w:oddHBand="0" w:evenHBand="0" w:firstRowFirstColumn="0" w:firstRowLastColumn="0" w:lastRowFirstColumn="0" w:lastRowLastColumn="0"/>
            <w:tcW w:w="566" w:type="dxa"/>
            <w:tcBorders>
              <w:top w:val="dotted" w:sz="4" w:space="0" w:color="AAABD6"/>
              <w:bottom w:val="dotted" w:sz="4" w:space="0" w:color="AAABD6"/>
            </w:tcBorders>
          </w:tcPr>
          <w:p w14:paraId="45CF27F7" w14:textId="77777777" w:rsidR="006E3DBB" w:rsidRPr="00100F0A" w:rsidRDefault="006E3DBB" w:rsidP="006E3DBB">
            <w:r w:rsidRPr="00100F0A">
              <w:t>High</w:t>
            </w:r>
          </w:p>
        </w:tc>
        <w:tc>
          <w:tcPr>
            <w:tcW w:w="1134" w:type="dxa"/>
            <w:vMerge/>
            <w:tcBorders>
              <w:top w:val="dotted" w:sz="4" w:space="0" w:color="AAABD6"/>
              <w:bottom w:val="dotted" w:sz="4" w:space="0" w:color="AAABD6"/>
            </w:tcBorders>
            <w:vAlign w:val="center"/>
          </w:tcPr>
          <w:p w14:paraId="373D0C3E" w14:textId="77777777" w:rsidR="006E3DBB" w:rsidRPr="00100F0A" w:rsidRDefault="006E3DBB" w:rsidP="006E3DBB">
            <w:pPr>
              <w:cnfStyle w:val="000000000000" w:firstRow="0" w:lastRow="0" w:firstColumn="0" w:lastColumn="0" w:oddVBand="0" w:evenVBand="0" w:oddHBand="0" w:evenHBand="0" w:firstRowFirstColumn="0" w:firstRowLastColumn="0" w:lastRowFirstColumn="0" w:lastRowLastColumn="0"/>
            </w:pPr>
          </w:p>
        </w:tc>
        <w:tc>
          <w:tcPr>
            <w:tcW w:w="4394" w:type="dxa"/>
            <w:tcBorders>
              <w:top w:val="dotted" w:sz="4" w:space="0" w:color="AAABD6"/>
              <w:bottom w:val="dotted" w:sz="4" w:space="0" w:color="AAABD6"/>
            </w:tcBorders>
            <w:vAlign w:val="bottom"/>
          </w:tcPr>
          <w:p w14:paraId="3C0B7460" w14:textId="37AE6EC0" w:rsidR="006E3DBB" w:rsidRPr="00100F0A" w:rsidRDefault="006E3DBB" w:rsidP="006E3DBB">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Thornton 2014 growth rate (2.0 - 2.1%)</w:t>
            </w:r>
          </w:p>
        </w:tc>
        <w:tc>
          <w:tcPr>
            <w:tcW w:w="710" w:type="dxa"/>
            <w:gridSpan w:val="3"/>
            <w:tcBorders>
              <w:top w:val="dotted" w:sz="4" w:space="0" w:color="AAABD6"/>
              <w:bottom w:val="dotted" w:sz="4" w:space="0" w:color="AAABD6"/>
            </w:tcBorders>
          </w:tcPr>
          <w:p w14:paraId="1E7C5627" w14:textId="4A60FC48" w:rsidR="006E3DBB" w:rsidRPr="00100F0A" w:rsidRDefault="006E3DBB" w:rsidP="006E3DBB">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2.0%</w:t>
            </w:r>
          </w:p>
        </w:tc>
        <w:tc>
          <w:tcPr>
            <w:tcW w:w="426" w:type="dxa"/>
            <w:gridSpan w:val="2"/>
            <w:tcBorders>
              <w:top w:val="dotted" w:sz="4" w:space="0" w:color="AAABD6"/>
              <w:bottom w:val="dotted" w:sz="4" w:space="0" w:color="AAABD6"/>
            </w:tcBorders>
          </w:tcPr>
          <w:p w14:paraId="2301D064" w14:textId="77777777" w:rsidR="006E3DBB" w:rsidRPr="00100F0A" w:rsidRDefault="006E3DBB" w:rsidP="006E3DBB">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788" w:type="dxa"/>
            <w:tcBorders>
              <w:top w:val="dotted" w:sz="4" w:space="0" w:color="AAABD6"/>
              <w:bottom w:val="dotted" w:sz="4" w:space="0" w:color="AAABD6"/>
            </w:tcBorders>
          </w:tcPr>
          <w:p w14:paraId="17A444FA" w14:textId="2D12BBE8" w:rsidR="006E3DBB" w:rsidRPr="00100F0A" w:rsidRDefault="006E3DBB" w:rsidP="006E3DBB">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2.0%</w:t>
            </w:r>
          </w:p>
        </w:tc>
      </w:tr>
      <w:tr w:rsidR="006E3DBB" w:rsidRPr="00100F0A" w14:paraId="2EA1C090" w14:textId="77777777" w:rsidTr="006E3DBB">
        <w:tc>
          <w:tcPr>
            <w:cnfStyle w:val="001000000000" w:firstRow="0" w:lastRow="0" w:firstColumn="1" w:lastColumn="0" w:oddVBand="0" w:evenVBand="0" w:oddHBand="0" w:evenHBand="0" w:firstRowFirstColumn="0" w:firstRowLastColumn="0" w:lastRowFirstColumn="0" w:lastRowLastColumn="0"/>
            <w:tcW w:w="566" w:type="dxa"/>
            <w:tcBorders>
              <w:top w:val="dotted" w:sz="4" w:space="0" w:color="AAABD6"/>
            </w:tcBorders>
          </w:tcPr>
          <w:p w14:paraId="6CC4E677" w14:textId="77777777" w:rsidR="006E3DBB" w:rsidRPr="00100F0A" w:rsidRDefault="006E3DBB" w:rsidP="006E3DBB">
            <w:r w:rsidRPr="00100F0A">
              <w:t>Low</w:t>
            </w:r>
          </w:p>
        </w:tc>
        <w:tc>
          <w:tcPr>
            <w:tcW w:w="1134" w:type="dxa"/>
            <w:vMerge/>
            <w:tcBorders>
              <w:top w:val="dotted" w:sz="4" w:space="0" w:color="AAABD6"/>
            </w:tcBorders>
            <w:vAlign w:val="center"/>
          </w:tcPr>
          <w:p w14:paraId="58CA532C" w14:textId="77777777" w:rsidR="006E3DBB" w:rsidRPr="00100F0A" w:rsidRDefault="006E3DBB" w:rsidP="006E3DBB">
            <w:pPr>
              <w:cnfStyle w:val="000000000000" w:firstRow="0" w:lastRow="0" w:firstColumn="0" w:lastColumn="0" w:oddVBand="0" w:evenVBand="0" w:oddHBand="0" w:evenHBand="0" w:firstRowFirstColumn="0" w:firstRowLastColumn="0" w:lastRowFirstColumn="0" w:lastRowLastColumn="0"/>
            </w:pPr>
          </w:p>
        </w:tc>
        <w:tc>
          <w:tcPr>
            <w:tcW w:w="4394" w:type="dxa"/>
            <w:tcBorders>
              <w:top w:val="dotted" w:sz="4" w:space="0" w:color="AAABD6"/>
            </w:tcBorders>
            <w:vAlign w:val="bottom"/>
          </w:tcPr>
          <w:p w14:paraId="64E5A735" w14:textId="393D0590" w:rsidR="006E3DBB" w:rsidRPr="00100F0A" w:rsidRDefault="006E3DBB" w:rsidP="006E3DBB">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Flat trend</w:t>
            </w:r>
          </w:p>
        </w:tc>
        <w:tc>
          <w:tcPr>
            <w:tcW w:w="710" w:type="dxa"/>
            <w:gridSpan w:val="3"/>
            <w:tcBorders>
              <w:top w:val="dotted" w:sz="4" w:space="0" w:color="AAABD6"/>
            </w:tcBorders>
          </w:tcPr>
          <w:p w14:paraId="594C8F7E" w14:textId="7A7A8C4E" w:rsidR="006E3DBB" w:rsidRPr="00100F0A" w:rsidRDefault="006E3DBB" w:rsidP="006E3DBB">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0.0%</w:t>
            </w:r>
          </w:p>
        </w:tc>
        <w:tc>
          <w:tcPr>
            <w:tcW w:w="426" w:type="dxa"/>
            <w:gridSpan w:val="2"/>
            <w:tcBorders>
              <w:top w:val="dotted" w:sz="4" w:space="0" w:color="AAABD6"/>
            </w:tcBorders>
          </w:tcPr>
          <w:p w14:paraId="6929BC8C" w14:textId="77777777" w:rsidR="006E3DBB" w:rsidRPr="00100F0A" w:rsidRDefault="006E3DBB" w:rsidP="006E3DBB">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788" w:type="dxa"/>
            <w:tcBorders>
              <w:top w:val="dotted" w:sz="4" w:space="0" w:color="AAABD6"/>
            </w:tcBorders>
          </w:tcPr>
          <w:p w14:paraId="013336A8" w14:textId="4892FB93" w:rsidR="006E3DBB" w:rsidRPr="00100F0A" w:rsidRDefault="006E3DBB" w:rsidP="006E3DBB">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0.0%</w:t>
            </w:r>
          </w:p>
        </w:tc>
      </w:tr>
    </w:tbl>
    <w:p w14:paraId="58413B84" w14:textId="561D2CBA" w:rsidR="00601CB2" w:rsidRPr="00100F0A" w:rsidRDefault="00601CB2" w:rsidP="002F5AA8">
      <w:pPr>
        <w:pStyle w:val="Caption"/>
        <w:keepNext/>
      </w:pPr>
      <w:bookmarkStart w:id="261" w:name="_Toc425849248"/>
      <w:bookmarkStart w:id="262" w:name="_Toc13225607"/>
      <w:r w:rsidRPr="00100F0A">
        <w:t xml:space="preserve">Figure </w:t>
      </w:r>
      <w:r w:rsidR="007828B5" w:rsidRPr="00100F0A">
        <w:rPr>
          <w:noProof/>
        </w:rPr>
        <w:fldChar w:fldCharType="begin"/>
      </w:r>
      <w:r w:rsidR="007828B5" w:rsidRPr="00100F0A">
        <w:rPr>
          <w:noProof/>
        </w:rPr>
        <w:instrText xml:space="preserve"> SEQ Figure \* ARABIC </w:instrText>
      </w:r>
      <w:r w:rsidR="007828B5" w:rsidRPr="00100F0A">
        <w:rPr>
          <w:noProof/>
        </w:rPr>
        <w:fldChar w:fldCharType="separate"/>
      </w:r>
      <w:r w:rsidR="00EB634D">
        <w:rPr>
          <w:noProof/>
        </w:rPr>
        <w:t>34</w:t>
      </w:r>
      <w:r w:rsidR="007828B5" w:rsidRPr="00100F0A">
        <w:rPr>
          <w:noProof/>
        </w:rPr>
        <w:fldChar w:fldCharType="end"/>
      </w:r>
      <w:r w:rsidR="00AD2F76">
        <w:rPr>
          <w:noProof/>
        </w:rPr>
        <w:t>:</w:t>
      </w:r>
      <w:r w:rsidR="00D11FEE" w:rsidRPr="00100F0A">
        <w:tab/>
      </w:r>
      <w:r w:rsidRPr="00100F0A">
        <w:t>Best, high and low national projection estimates of clinical and pharmaceutical waste to 203</w:t>
      </w:r>
      <w:r w:rsidR="005E0601">
        <w:t>7</w:t>
      </w:r>
      <w:bookmarkEnd w:id="261"/>
      <w:bookmarkEnd w:id="262"/>
    </w:p>
    <w:p w14:paraId="26D1D90A" w14:textId="07CD8F46" w:rsidR="00D82D44" w:rsidRPr="00100F0A" w:rsidRDefault="00D82D44" w:rsidP="004206B0">
      <w:pPr>
        <w:keepNext/>
      </w:pPr>
      <w:r w:rsidRPr="00100F0A">
        <w:rPr>
          <w:noProof/>
          <w:lang w:eastAsia="en-AU"/>
        </w:rPr>
        <w:drawing>
          <wp:inline distT="0" distB="0" distL="0" distR="0" wp14:anchorId="73FE239A" wp14:editId="40037B2B">
            <wp:extent cx="5735955" cy="2033905"/>
            <wp:effectExtent l="0" t="0" r="0" b="444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5955" cy="2033905"/>
                    </a:xfrm>
                    <a:prstGeom prst="rect">
                      <a:avLst/>
                    </a:prstGeom>
                  </pic:spPr>
                </pic:pic>
              </a:graphicData>
            </a:graphic>
          </wp:inline>
        </w:drawing>
      </w:r>
    </w:p>
    <w:p w14:paraId="468F8EF8" w14:textId="3FBB7920" w:rsidR="00601CB2" w:rsidRPr="00100F0A" w:rsidRDefault="00601CB2" w:rsidP="00AD35BF">
      <w:pPr>
        <w:pStyle w:val="Heading3"/>
      </w:pPr>
      <w:r w:rsidRPr="00100F0A">
        <w:t>T140 Tyres</w:t>
      </w:r>
    </w:p>
    <w:p w14:paraId="0C6CA493" w14:textId="468A100D" w:rsidR="00601CB2" w:rsidRPr="00100F0A" w:rsidRDefault="00601CB2" w:rsidP="00601CB2">
      <w:pPr>
        <w:rPr>
          <w:color w:val="080808"/>
        </w:rPr>
      </w:pPr>
      <w:r w:rsidRPr="00100F0A">
        <w:rPr>
          <w:color w:val="080808"/>
        </w:rPr>
        <w:t xml:space="preserve">This group is the sole NEPM category </w:t>
      </w:r>
      <w:r w:rsidRPr="00100F0A">
        <w:rPr>
          <w:i/>
          <w:color w:val="080808"/>
        </w:rPr>
        <w:t>T140 Tyres</w:t>
      </w:r>
      <w:r w:rsidRPr="00100F0A">
        <w:rPr>
          <w:color w:val="080808"/>
        </w:rPr>
        <w:t xml:space="preserve">. </w:t>
      </w:r>
      <w:r w:rsidR="005E0601">
        <w:rPr>
          <w:color w:val="080808"/>
        </w:rPr>
        <w:t>Waste t</w:t>
      </w:r>
      <w:r w:rsidRPr="00100F0A">
        <w:rPr>
          <w:color w:val="080808"/>
        </w:rPr>
        <w:t xml:space="preserve">yres are used, discarded or rejected tyres that have reached the end of their useful life, i.e., when they can no longer be used for their original purpose, and are subsequently removed from a vehicle. </w:t>
      </w:r>
    </w:p>
    <w:p w14:paraId="3EF26522" w14:textId="77777777" w:rsidR="00601CB2" w:rsidRPr="00100F0A" w:rsidRDefault="00601CB2" w:rsidP="00601CB2">
      <w:pPr>
        <w:rPr>
          <w:color w:val="080808"/>
        </w:rPr>
      </w:pPr>
    </w:p>
    <w:p w14:paraId="741E98FF" w14:textId="2EA3B3CD" w:rsidR="00601CB2" w:rsidRPr="00100F0A" w:rsidRDefault="00601CB2" w:rsidP="00601CB2">
      <w:pPr>
        <w:rPr>
          <w:color w:val="080808"/>
        </w:rPr>
      </w:pPr>
      <w:r w:rsidRPr="00100F0A">
        <w:rPr>
          <w:color w:val="080808"/>
        </w:rPr>
        <w:t>Tyres are only tracked in Q</w:t>
      </w:r>
      <w:r w:rsidR="005E0601">
        <w:rPr>
          <w:color w:val="080808"/>
        </w:rPr>
        <w:t>ld</w:t>
      </w:r>
      <w:r w:rsidRPr="00100F0A">
        <w:rPr>
          <w:color w:val="080808"/>
        </w:rPr>
        <w:t xml:space="preserve"> and W</w:t>
      </w:r>
      <w:r w:rsidR="005E0601">
        <w:rPr>
          <w:color w:val="080808"/>
        </w:rPr>
        <w:t>A</w:t>
      </w:r>
      <w:r w:rsidRPr="00100F0A">
        <w:rPr>
          <w:color w:val="080808"/>
        </w:rPr>
        <w:t xml:space="preserve"> and the recorded arisings indicate that they are significantly under-reported in tracking data, when compared with credible recent estimates of arisings produced by </w:t>
      </w:r>
      <w:r w:rsidR="00947054" w:rsidRPr="00100F0A">
        <w:rPr>
          <w:color w:val="080808"/>
        </w:rPr>
        <w:t>REC (2016</w:t>
      </w:r>
      <w:r w:rsidRPr="00100F0A">
        <w:rPr>
          <w:color w:val="080808"/>
        </w:rPr>
        <w:t>)</w:t>
      </w:r>
      <w:r w:rsidRPr="00100F0A">
        <w:rPr>
          <w:color w:val="080808"/>
          <w:vertAlign w:val="superscript"/>
        </w:rPr>
        <w:footnoteReference w:id="23"/>
      </w:r>
      <w:r w:rsidRPr="00100F0A">
        <w:rPr>
          <w:color w:val="080808"/>
        </w:rPr>
        <w:t>. Consequently, in reporting to Basel and the 2012-13 dataset for this report, data from the Hyder report was used to estimate arisings.</w:t>
      </w:r>
    </w:p>
    <w:p w14:paraId="54E0720F" w14:textId="77777777" w:rsidR="00601CB2" w:rsidRPr="00100F0A" w:rsidRDefault="00601CB2" w:rsidP="00601CB2">
      <w:pPr>
        <w:pStyle w:val="BodyText"/>
        <w:rPr>
          <w:b/>
        </w:rPr>
      </w:pPr>
    </w:p>
    <w:p w14:paraId="41849A5E" w14:textId="77777777" w:rsidR="00601CB2" w:rsidRPr="00100F0A" w:rsidRDefault="00601CB2" w:rsidP="00931F74">
      <w:pPr>
        <w:pStyle w:val="Heading3-nonumber"/>
      </w:pPr>
      <w:r w:rsidRPr="00100F0A">
        <w:t>Summary analysis</w:t>
      </w:r>
    </w:p>
    <w:tbl>
      <w:tblPr>
        <w:tblStyle w:val="BETable11"/>
        <w:tblW w:w="5000" w:type="pct"/>
        <w:tblInd w:w="0" w:type="dxa"/>
        <w:tblBorders>
          <w:insideH w:val="none" w:sz="0" w:space="0" w:color="auto"/>
          <w:insideV w:val="single" w:sz="4" w:space="0" w:color="E7E6E6" w:themeColor="background2"/>
        </w:tblBorders>
        <w:tblLook w:val="04A0" w:firstRow="1" w:lastRow="0" w:firstColumn="1" w:lastColumn="0" w:noHBand="0" w:noVBand="1"/>
      </w:tblPr>
      <w:tblGrid>
        <w:gridCol w:w="1587"/>
        <w:gridCol w:w="2746"/>
        <w:gridCol w:w="2571"/>
        <w:gridCol w:w="2299"/>
      </w:tblGrid>
      <w:tr w:rsidR="00D142B1" w:rsidRPr="00100F0A" w14:paraId="76C857B1" w14:textId="77777777" w:rsidTr="00D142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tcBorders>
              <w:top w:val="nil"/>
              <w:left w:val="single" w:sz="4" w:space="0" w:color="AAABD6"/>
              <w:bottom w:val="single" w:sz="4" w:space="0" w:color="AAABD6"/>
            </w:tcBorders>
            <w:shd w:val="clear" w:color="auto" w:fill="AAABD6"/>
          </w:tcPr>
          <w:p w14:paraId="1722D7BA" w14:textId="77777777" w:rsidR="00601CB2" w:rsidRPr="00100F0A" w:rsidRDefault="00601CB2" w:rsidP="002A3A54">
            <w:pPr>
              <w:pStyle w:val="BodyText"/>
              <w:rPr>
                <w:color w:val="FFFFFF" w:themeColor="background1"/>
              </w:rPr>
            </w:pPr>
            <w:r w:rsidRPr="00100F0A">
              <w:rPr>
                <w:color w:val="FFFFFF" w:themeColor="background1"/>
              </w:rPr>
              <w:t>Industry sources</w:t>
            </w:r>
          </w:p>
        </w:tc>
        <w:tc>
          <w:tcPr>
            <w:tcW w:w="1492" w:type="pct"/>
            <w:tcBorders>
              <w:top w:val="nil"/>
              <w:bottom w:val="single" w:sz="4" w:space="0" w:color="AAABD6"/>
            </w:tcBorders>
            <w:shd w:val="clear" w:color="auto" w:fill="AAABD6"/>
          </w:tcPr>
          <w:p w14:paraId="2EBAAA4D" w14:textId="77777777" w:rsidR="00601CB2" w:rsidRPr="00100F0A" w:rsidRDefault="00601CB2"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Considerations</w:t>
            </w:r>
          </w:p>
        </w:tc>
        <w:tc>
          <w:tcPr>
            <w:tcW w:w="1397" w:type="pct"/>
            <w:tcBorders>
              <w:top w:val="nil"/>
              <w:bottom w:val="single" w:sz="4" w:space="0" w:color="AAABD6"/>
            </w:tcBorders>
            <w:shd w:val="clear" w:color="auto" w:fill="AAABD6"/>
          </w:tcPr>
          <w:p w14:paraId="4A241A7F" w14:textId="77777777" w:rsidR="00601CB2" w:rsidRPr="00100F0A" w:rsidRDefault="00601CB2"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Comments</w:t>
            </w:r>
          </w:p>
        </w:tc>
        <w:tc>
          <w:tcPr>
            <w:tcW w:w="1249" w:type="pct"/>
            <w:tcBorders>
              <w:top w:val="nil"/>
              <w:bottom w:val="single" w:sz="4" w:space="0" w:color="AAABD6"/>
              <w:right w:val="single" w:sz="4" w:space="0" w:color="AAABD6"/>
            </w:tcBorders>
            <w:shd w:val="clear" w:color="auto" w:fill="AAABD6"/>
          </w:tcPr>
          <w:p w14:paraId="661961C3" w14:textId="77777777" w:rsidR="00601CB2" w:rsidRPr="00100F0A" w:rsidRDefault="00601CB2"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r>
      <w:tr w:rsidR="00D142B1" w:rsidRPr="00100F0A" w14:paraId="79E9120A" w14:textId="77777777" w:rsidTr="00D142B1">
        <w:trPr>
          <w:trHeight w:val="2111"/>
        </w:trPr>
        <w:tc>
          <w:tcPr>
            <w:cnfStyle w:val="001000000000" w:firstRow="0" w:lastRow="0" w:firstColumn="1" w:lastColumn="0" w:oddVBand="0" w:evenVBand="0" w:oddHBand="0" w:evenHBand="0" w:firstRowFirstColumn="0" w:firstRowLastColumn="0" w:lastRowFirstColumn="0" w:lastRowLastColumn="0"/>
            <w:tcW w:w="862" w:type="pct"/>
            <w:tcBorders>
              <w:top w:val="single" w:sz="4" w:space="0" w:color="AAABD6"/>
              <w:left w:val="single" w:sz="4" w:space="0" w:color="AAABD6"/>
              <w:right w:val="single" w:sz="4" w:space="0" w:color="AAABD6"/>
            </w:tcBorders>
          </w:tcPr>
          <w:p w14:paraId="7ED92A0B" w14:textId="77777777" w:rsidR="00D142B1" w:rsidRPr="00100F0A" w:rsidRDefault="00D142B1" w:rsidP="002A3A54">
            <w:pPr>
              <w:rPr>
                <w:color w:val="000000"/>
              </w:rPr>
            </w:pPr>
            <w:r w:rsidRPr="00100F0A">
              <w:t>Motor vehicle servicing industry</w:t>
            </w:r>
          </w:p>
        </w:tc>
        <w:tc>
          <w:tcPr>
            <w:tcW w:w="1492" w:type="pct"/>
            <w:tcBorders>
              <w:top w:val="single" w:sz="4" w:space="0" w:color="AAABD6"/>
              <w:left w:val="single" w:sz="4" w:space="0" w:color="AAABD6"/>
              <w:right w:val="single" w:sz="4" w:space="0" w:color="AAABD6"/>
            </w:tcBorders>
          </w:tcPr>
          <w:p w14:paraId="3EC9007C" w14:textId="7B1B5CAE" w:rsidR="00D142B1" w:rsidRPr="00100F0A" w:rsidRDefault="00D142B1" w:rsidP="002A3A54">
            <w:pPr>
              <w:pStyle w:val="BodyText"/>
              <w:cnfStyle w:val="000000000000" w:firstRow="0" w:lastRow="0" w:firstColumn="0" w:lastColumn="0" w:oddVBand="0" w:evenVBand="0" w:oddHBand="0" w:evenHBand="0" w:firstRowFirstColumn="0" w:firstRowLastColumn="0" w:lastRowFirstColumn="0" w:lastRowLastColumn="0"/>
            </w:pPr>
            <w:r w:rsidRPr="00100F0A">
              <w:t>REC (2016a) provides credible and recent projections.</w:t>
            </w:r>
          </w:p>
          <w:p w14:paraId="63BF8495" w14:textId="77777777" w:rsidR="00D142B1" w:rsidRPr="00100F0A" w:rsidRDefault="00D142B1" w:rsidP="002A3A54">
            <w:pPr>
              <w:pStyle w:val="BodyText"/>
              <w:cnfStyle w:val="000000000000" w:firstRow="0" w:lastRow="0" w:firstColumn="0" w:lastColumn="0" w:oddVBand="0" w:evenVBand="0" w:oddHBand="0" w:evenHBand="0" w:firstRowFirstColumn="0" w:firstRowLastColumn="0" w:lastRowFirstColumn="0" w:lastRowLastColumn="0"/>
            </w:pPr>
          </w:p>
          <w:p w14:paraId="6C2ED4DD" w14:textId="593590EB" w:rsidR="00D142B1" w:rsidRPr="00100F0A" w:rsidRDefault="00D142B1" w:rsidP="002A3A54">
            <w:pPr>
              <w:pStyle w:val="BodyText"/>
              <w:cnfStyle w:val="000000000000" w:firstRow="0" w:lastRow="0" w:firstColumn="0" w:lastColumn="0" w:oddVBand="0" w:evenVBand="0" w:oddHBand="0" w:evenHBand="0" w:firstRowFirstColumn="0" w:firstRowLastColumn="0" w:lastRowFirstColumn="0" w:lastRowLastColumn="0"/>
            </w:pPr>
            <w:r w:rsidRPr="00100F0A">
              <w:t>No historical data set exists that is adequate for discerning trends – limited tracking data is patchy and unreliable</w:t>
            </w:r>
          </w:p>
        </w:tc>
        <w:tc>
          <w:tcPr>
            <w:tcW w:w="1397" w:type="pct"/>
            <w:tcBorders>
              <w:top w:val="single" w:sz="4" w:space="0" w:color="AAABD6"/>
              <w:left w:val="single" w:sz="4" w:space="0" w:color="AAABD6"/>
              <w:bottom w:val="single" w:sz="4" w:space="0" w:color="AAABD6"/>
              <w:right w:val="single" w:sz="4" w:space="0" w:color="AAABD6"/>
            </w:tcBorders>
          </w:tcPr>
          <w:p w14:paraId="105D4DA3" w14:textId="77057237" w:rsidR="00D142B1" w:rsidRPr="00100F0A" w:rsidRDefault="00D142B1" w:rsidP="002A3A54">
            <w:pPr>
              <w:pStyle w:val="BodyText"/>
              <w:cnfStyle w:val="000000000000" w:firstRow="0" w:lastRow="0" w:firstColumn="0" w:lastColumn="0" w:oddVBand="0" w:evenVBand="0" w:oddHBand="0" w:evenHBand="0" w:firstRowFirstColumn="0" w:firstRowLastColumn="0" w:lastRowFirstColumn="0" w:lastRowLastColumn="0"/>
            </w:pPr>
            <w:r w:rsidRPr="00100F0A">
              <w:t>Only Qld &amp; WA have historically tracked tyres, although NSW have recently begun doing so</w:t>
            </w:r>
          </w:p>
          <w:p w14:paraId="5BA91FA4" w14:textId="2D7F8987" w:rsidR="00D142B1" w:rsidRPr="00100F0A" w:rsidRDefault="00D142B1" w:rsidP="002A3A54">
            <w:pPr>
              <w:pStyle w:val="BodyText"/>
              <w:cnfStyle w:val="000000000000" w:firstRow="0" w:lastRow="0" w:firstColumn="0" w:lastColumn="0" w:oddVBand="0" w:evenVBand="0" w:oddHBand="0" w:evenHBand="0" w:firstRowFirstColumn="0" w:firstRowLastColumn="0" w:lastRowFirstColumn="0" w:lastRowLastColumn="0"/>
            </w:pPr>
            <w:r w:rsidRPr="00100F0A">
              <w:t>Tracking data has been replaced by more comprehensive data (Hyder 2015)</w:t>
            </w:r>
          </w:p>
        </w:tc>
        <w:tc>
          <w:tcPr>
            <w:tcW w:w="1249" w:type="pct"/>
            <w:tcBorders>
              <w:top w:val="single" w:sz="4" w:space="0" w:color="AAABD6"/>
              <w:left w:val="single" w:sz="4" w:space="0" w:color="AAABD6"/>
              <w:right w:val="single" w:sz="4" w:space="0" w:color="AAABD6"/>
            </w:tcBorders>
          </w:tcPr>
          <w:p w14:paraId="7A05E64A" w14:textId="77777777" w:rsidR="00D142B1" w:rsidRPr="00100F0A" w:rsidRDefault="00D142B1" w:rsidP="00D142B1">
            <w:pPr>
              <w:cnfStyle w:val="000000000000" w:firstRow="0" w:lastRow="0" w:firstColumn="0" w:lastColumn="0" w:oddVBand="0" w:evenVBand="0" w:oddHBand="0" w:evenHBand="0" w:firstRowFirstColumn="0" w:firstRowLastColumn="0" w:lastRowFirstColumn="0" w:lastRowLastColumn="0"/>
            </w:pPr>
            <w:r w:rsidRPr="00100F0A">
              <w:t>Use REC (2016a)</w:t>
            </w:r>
          </w:p>
          <w:p w14:paraId="4F60AF5A" w14:textId="77777777" w:rsidR="00D142B1" w:rsidRPr="00100F0A" w:rsidRDefault="00D142B1" w:rsidP="00D142B1">
            <w:pPr>
              <w:cnfStyle w:val="000000000000" w:firstRow="0" w:lastRow="0" w:firstColumn="0" w:lastColumn="0" w:oddVBand="0" w:evenVBand="0" w:oddHBand="0" w:evenHBand="0" w:firstRowFirstColumn="0" w:firstRowLastColumn="0" w:lastRowFirstColumn="0" w:lastRowLastColumn="0"/>
            </w:pPr>
            <w:r w:rsidRPr="00100F0A">
              <w:t>Best + 10%</w:t>
            </w:r>
          </w:p>
          <w:p w14:paraId="022FAC13" w14:textId="410290CF" w:rsidR="00D142B1" w:rsidRPr="00100F0A" w:rsidRDefault="00D142B1" w:rsidP="00D142B1">
            <w:pPr>
              <w:cnfStyle w:val="000000000000" w:firstRow="0" w:lastRow="0" w:firstColumn="0" w:lastColumn="0" w:oddVBand="0" w:evenVBand="0" w:oddHBand="0" w:evenHBand="0" w:firstRowFirstColumn="0" w:firstRowLastColumn="0" w:lastRowFirstColumn="0" w:lastRowLastColumn="0"/>
            </w:pPr>
            <w:r w:rsidRPr="00100F0A">
              <w:t>Best -10%</w:t>
            </w:r>
          </w:p>
        </w:tc>
      </w:tr>
    </w:tbl>
    <w:p w14:paraId="0C6C1422" w14:textId="77777777" w:rsidR="00601CB2" w:rsidRPr="00100F0A" w:rsidRDefault="00601CB2" w:rsidP="00601CB2">
      <w:pPr>
        <w:pStyle w:val="BodyText"/>
        <w:rPr>
          <w:b/>
        </w:rPr>
      </w:pPr>
    </w:p>
    <w:p w14:paraId="294D0317" w14:textId="25AF698D" w:rsidR="00601CB2" w:rsidRPr="00100F0A" w:rsidRDefault="00601CB2" w:rsidP="00273FA6">
      <w:pPr>
        <w:pStyle w:val="Caption"/>
      </w:pPr>
      <w:bookmarkStart w:id="263" w:name="_Toc425849323"/>
      <w:bookmarkStart w:id="264" w:name="_Toc13225658"/>
      <w:r w:rsidRPr="00100F0A">
        <w:t xml:space="preserve">Table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39</w:t>
      </w:r>
      <w:r w:rsidR="00B404A6" w:rsidRPr="00100F0A">
        <w:rPr>
          <w:noProof/>
        </w:rPr>
        <w:fldChar w:fldCharType="end"/>
      </w:r>
      <w:r w:rsidR="00AD2F76">
        <w:rPr>
          <w:noProof/>
        </w:rPr>
        <w:t>:</w:t>
      </w:r>
      <w:r w:rsidR="00D11FEE" w:rsidRPr="00100F0A">
        <w:tab/>
      </w:r>
      <w:r w:rsidRPr="00100F0A">
        <w:t>Best, high and low projected rates of change for tyre waste to 203</w:t>
      </w:r>
      <w:bookmarkEnd w:id="263"/>
      <w:r w:rsidR="007828B5" w:rsidRPr="00100F0A">
        <w:t>7</w:t>
      </w:r>
      <w:bookmarkEnd w:id="264"/>
    </w:p>
    <w:tbl>
      <w:tblPr>
        <w:tblStyle w:val="BETable1"/>
        <w:tblW w:w="8869" w:type="dxa"/>
        <w:tblLayout w:type="fixed"/>
        <w:tblLook w:val="04A0" w:firstRow="1" w:lastRow="0" w:firstColumn="1" w:lastColumn="0" w:noHBand="0" w:noVBand="1"/>
      </w:tblPr>
      <w:tblGrid>
        <w:gridCol w:w="709"/>
        <w:gridCol w:w="1134"/>
        <w:gridCol w:w="4332"/>
        <w:gridCol w:w="993"/>
        <w:gridCol w:w="708"/>
        <w:gridCol w:w="993"/>
      </w:tblGrid>
      <w:tr w:rsidR="00AE187A" w:rsidRPr="00100F0A" w14:paraId="6426E021" w14:textId="77777777" w:rsidTr="00D702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AABD6"/>
              <w:left w:val="single" w:sz="4" w:space="0" w:color="AAABD6"/>
              <w:bottom w:val="single" w:sz="4" w:space="0" w:color="AAABD6"/>
            </w:tcBorders>
            <w:shd w:val="clear" w:color="auto" w:fill="AAABD6"/>
          </w:tcPr>
          <w:p w14:paraId="6902856A" w14:textId="77777777" w:rsidR="00AE187A" w:rsidRPr="00100F0A" w:rsidRDefault="00AE187A" w:rsidP="00CA34C4">
            <w:pPr>
              <w:rPr>
                <w:color w:val="FFFFFF" w:themeColor="background1"/>
              </w:rPr>
            </w:pPr>
          </w:p>
        </w:tc>
        <w:tc>
          <w:tcPr>
            <w:tcW w:w="1134" w:type="dxa"/>
            <w:tcBorders>
              <w:top w:val="single" w:sz="4" w:space="0" w:color="AAABD6"/>
              <w:bottom w:val="single" w:sz="4" w:space="0" w:color="AAABD6"/>
            </w:tcBorders>
            <w:shd w:val="clear" w:color="auto" w:fill="AAABD6"/>
          </w:tcPr>
          <w:p w14:paraId="20C51F2F" w14:textId="77777777" w:rsidR="00AE187A" w:rsidRPr="00100F0A" w:rsidRDefault="00AE187A" w:rsidP="00CA34C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Applies to</w:t>
            </w:r>
          </w:p>
        </w:tc>
        <w:tc>
          <w:tcPr>
            <w:tcW w:w="4332" w:type="dxa"/>
            <w:tcBorders>
              <w:top w:val="single" w:sz="4" w:space="0" w:color="AAABD6"/>
              <w:bottom w:val="single" w:sz="4" w:space="0" w:color="AAABD6"/>
            </w:tcBorders>
            <w:shd w:val="clear" w:color="auto" w:fill="AAABD6"/>
          </w:tcPr>
          <w:p w14:paraId="454A0239" w14:textId="77777777" w:rsidR="00AE187A" w:rsidRPr="00100F0A" w:rsidRDefault="00AE187A" w:rsidP="00CA34C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c>
          <w:tcPr>
            <w:tcW w:w="993" w:type="dxa"/>
            <w:tcBorders>
              <w:top w:val="single" w:sz="4" w:space="0" w:color="AAABD6"/>
              <w:bottom w:val="single" w:sz="4" w:space="0" w:color="AAABD6"/>
            </w:tcBorders>
            <w:shd w:val="clear" w:color="auto" w:fill="AAABD6"/>
          </w:tcPr>
          <w:p w14:paraId="43442EBB" w14:textId="77777777" w:rsidR="00AE187A" w:rsidRPr="00100F0A" w:rsidRDefault="00AE187A" w:rsidP="00CA34C4">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2018</w:t>
            </w:r>
          </w:p>
        </w:tc>
        <w:tc>
          <w:tcPr>
            <w:tcW w:w="708" w:type="dxa"/>
            <w:tcBorders>
              <w:top w:val="single" w:sz="4" w:space="0" w:color="AAABD6"/>
              <w:bottom w:val="single" w:sz="4" w:space="0" w:color="AAABD6"/>
            </w:tcBorders>
            <w:shd w:val="clear" w:color="auto" w:fill="AAABD6"/>
          </w:tcPr>
          <w:p w14:paraId="29C19699" w14:textId="77777777" w:rsidR="00AE187A" w:rsidRPr="00100F0A" w:rsidRDefault="00AE187A" w:rsidP="00CA34C4">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w:t>
            </w:r>
          </w:p>
        </w:tc>
        <w:tc>
          <w:tcPr>
            <w:tcW w:w="993" w:type="dxa"/>
            <w:tcBorders>
              <w:top w:val="single" w:sz="4" w:space="0" w:color="AAABD6"/>
              <w:bottom w:val="single" w:sz="4" w:space="0" w:color="AAABD6"/>
              <w:right w:val="single" w:sz="4" w:space="0" w:color="AAABD6"/>
            </w:tcBorders>
            <w:shd w:val="clear" w:color="auto" w:fill="AAABD6"/>
          </w:tcPr>
          <w:p w14:paraId="02BB3D2F" w14:textId="77777777" w:rsidR="00AE187A" w:rsidRPr="00100F0A" w:rsidRDefault="00AE187A" w:rsidP="00CA34C4">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2037</w:t>
            </w:r>
          </w:p>
        </w:tc>
      </w:tr>
      <w:tr w:rsidR="00AE187A" w:rsidRPr="00100F0A" w14:paraId="4AEA9D71" w14:textId="77777777" w:rsidTr="00CA34C4">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AABD6"/>
              <w:left w:val="single" w:sz="4" w:space="0" w:color="AAABD6"/>
              <w:bottom w:val="single" w:sz="4" w:space="0" w:color="AAABD6"/>
              <w:right w:val="single" w:sz="4" w:space="0" w:color="AAABD6"/>
            </w:tcBorders>
          </w:tcPr>
          <w:p w14:paraId="272ED693" w14:textId="77777777" w:rsidR="00AE187A" w:rsidRPr="00100F0A" w:rsidRDefault="00AE187A" w:rsidP="00CA34C4">
            <w:r w:rsidRPr="00100F0A">
              <w:rPr>
                <w:iCs/>
                <w:color w:val="4D4DB8"/>
                <w:szCs w:val="18"/>
              </w:rPr>
              <w:t>Arisings – absolute tonnes pa</w:t>
            </w:r>
          </w:p>
        </w:tc>
      </w:tr>
      <w:tr w:rsidR="00501087" w:rsidRPr="00100F0A" w14:paraId="77C39F30" w14:textId="77777777" w:rsidTr="00501087">
        <w:tc>
          <w:tcPr>
            <w:cnfStyle w:val="001000000000" w:firstRow="0" w:lastRow="0" w:firstColumn="1" w:lastColumn="0" w:oddVBand="0" w:evenVBand="0" w:oddHBand="0" w:evenHBand="0" w:firstRowFirstColumn="0" w:firstRowLastColumn="0" w:lastRowFirstColumn="0" w:lastRowLastColumn="0"/>
            <w:tcW w:w="709" w:type="dxa"/>
            <w:vMerge w:val="restart"/>
            <w:tcBorders>
              <w:top w:val="single" w:sz="4" w:space="0" w:color="AAABD6"/>
              <w:left w:val="single" w:sz="4" w:space="0" w:color="AAABD6"/>
              <w:right w:val="single" w:sz="4" w:space="0" w:color="AAABD6"/>
            </w:tcBorders>
            <w:vAlign w:val="center"/>
          </w:tcPr>
          <w:p w14:paraId="53C51C95" w14:textId="1CEF299D" w:rsidR="00501087" w:rsidRPr="00100F0A" w:rsidRDefault="00501087" w:rsidP="00501087">
            <w:r w:rsidRPr="00100F0A">
              <w:t>Best</w:t>
            </w:r>
          </w:p>
        </w:tc>
        <w:tc>
          <w:tcPr>
            <w:tcW w:w="1134" w:type="dxa"/>
            <w:tcBorders>
              <w:top w:val="single" w:sz="4" w:space="0" w:color="AAABD6"/>
              <w:left w:val="single" w:sz="4" w:space="0" w:color="AAABD6"/>
              <w:bottom w:val="dotted" w:sz="4" w:space="0" w:color="AAABD6"/>
              <w:right w:val="single" w:sz="4" w:space="0" w:color="AAABD6"/>
            </w:tcBorders>
            <w:vAlign w:val="center"/>
          </w:tcPr>
          <w:p w14:paraId="4BE66582" w14:textId="66BFC256"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r w:rsidRPr="00100F0A">
              <w:t>ACT</w:t>
            </w:r>
          </w:p>
        </w:tc>
        <w:tc>
          <w:tcPr>
            <w:tcW w:w="4332" w:type="dxa"/>
            <w:vMerge w:val="restart"/>
            <w:tcBorders>
              <w:top w:val="single" w:sz="4" w:space="0" w:color="AAABD6"/>
              <w:left w:val="single" w:sz="4" w:space="0" w:color="AAABD6"/>
              <w:right w:val="single" w:sz="4" w:space="0" w:color="AAABD6"/>
            </w:tcBorders>
            <w:vAlign w:val="center"/>
          </w:tcPr>
          <w:p w14:paraId="60D0FCD9" w14:textId="33FA86DA"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REC (201</w:t>
            </w:r>
            <w:r w:rsidR="00387CBE" w:rsidRPr="00100F0A">
              <w:rPr>
                <w:rFonts w:cs="Calibri"/>
                <w:color w:val="000000"/>
              </w:rPr>
              <w:t>7</w:t>
            </w:r>
            <w:r w:rsidRPr="00100F0A">
              <w:rPr>
                <w:rFonts w:cs="Calibri"/>
                <w:color w:val="000000"/>
              </w:rPr>
              <w:t>) projections</w:t>
            </w:r>
          </w:p>
        </w:tc>
        <w:tc>
          <w:tcPr>
            <w:tcW w:w="993" w:type="dxa"/>
            <w:tcBorders>
              <w:top w:val="single" w:sz="4" w:space="0" w:color="AAABD6"/>
              <w:left w:val="single" w:sz="4" w:space="0" w:color="AAABD6"/>
              <w:bottom w:val="dotted" w:sz="4" w:space="0" w:color="AAABD6"/>
              <w:right w:val="single" w:sz="4" w:space="0" w:color="AAABD6"/>
            </w:tcBorders>
          </w:tcPr>
          <w:p w14:paraId="4C80FBC1" w14:textId="0E27EBAE"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7,398</w:t>
            </w:r>
          </w:p>
        </w:tc>
        <w:tc>
          <w:tcPr>
            <w:tcW w:w="708" w:type="dxa"/>
            <w:tcBorders>
              <w:top w:val="single" w:sz="4" w:space="0" w:color="AAABD6"/>
              <w:left w:val="single" w:sz="4" w:space="0" w:color="AAABD6"/>
              <w:bottom w:val="dotted" w:sz="4" w:space="0" w:color="AAABD6"/>
              <w:right w:val="single" w:sz="4" w:space="0" w:color="AAABD6"/>
            </w:tcBorders>
          </w:tcPr>
          <w:p w14:paraId="0B46FCAC" w14:textId="344EC0D0"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single" w:sz="4" w:space="0" w:color="AAABD6"/>
              <w:left w:val="single" w:sz="4" w:space="0" w:color="AAABD6"/>
              <w:bottom w:val="dotted" w:sz="4" w:space="0" w:color="AAABD6"/>
              <w:right w:val="single" w:sz="4" w:space="0" w:color="AAABD6"/>
            </w:tcBorders>
          </w:tcPr>
          <w:p w14:paraId="3D5818FE" w14:textId="5005E9CD"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10,060</w:t>
            </w:r>
          </w:p>
        </w:tc>
      </w:tr>
      <w:tr w:rsidR="00501087" w:rsidRPr="00100F0A" w14:paraId="06CCC196" w14:textId="77777777" w:rsidTr="00501087">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26BEE941" w14:textId="77777777" w:rsidR="00501087" w:rsidRPr="00100F0A" w:rsidRDefault="00501087" w:rsidP="00501087"/>
        </w:tc>
        <w:tc>
          <w:tcPr>
            <w:tcW w:w="1134" w:type="dxa"/>
            <w:tcBorders>
              <w:top w:val="dotted" w:sz="4" w:space="0" w:color="AAABD6"/>
              <w:left w:val="single" w:sz="4" w:space="0" w:color="AAABD6"/>
              <w:bottom w:val="dotted" w:sz="4" w:space="0" w:color="AAABD6"/>
              <w:right w:val="single" w:sz="4" w:space="0" w:color="AAABD6"/>
            </w:tcBorders>
            <w:vAlign w:val="center"/>
          </w:tcPr>
          <w:p w14:paraId="05071CFD" w14:textId="3BA81843"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r w:rsidRPr="00100F0A">
              <w:t>NSW</w:t>
            </w:r>
          </w:p>
        </w:tc>
        <w:tc>
          <w:tcPr>
            <w:tcW w:w="4332" w:type="dxa"/>
            <w:vMerge/>
            <w:tcBorders>
              <w:left w:val="single" w:sz="4" w:space="0" w:color="AAABD6"/>
              <w:right w:val="single" w:sz="4" w:space="0" w:color="AAABD6"/>
            </w:tcBorders>
            <w:vAlign w:val="center"/>
          </w:tcPr>
          <w:p w14:paraId="7CEFB620" w14:textId="77777777"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tcPr>
          <w:p w14:paraId="132AEDE0" w14:textId="2C893A38"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138,612</w:t>
            </w:r>
          </w:p>
        </w:tc>
        <w:tc>
          <w:tcPr>
            <w:tcW w:w="708" w:type="dxa"/>
            <w:tcBorders>
              <w:top w:val="dotted" w:sz="4" w:space="0" w:color="AAABD6"/>
              <w:left w:val="single" w:sz="4" w:space="0" w:color="AAABD6"/>
              <w:bottom w:val="dotted" w:sz="4" w:space="0" w:color="AAABD6"/>
              <w:right w:val="single" w:sz="4" w:space="0" w:color="AAABD6"/>
            </w:tcBorders>
          </w:tcPr>
          <w:p w14:paraId="70F474C7" w14:textId="4C47B00C"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tcPr>
          <w:p w14:paraId="6D30DE4A" w14:textId="0DE72FBF"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171,903</w:t>
            </w:r>
          </w:p>
        </w:tc>
      </w:tr>
      <w:tr w:rsidR="00501087" w:rsidRPr="00100F0A" w14:paraId="49D03CC7" w14:textId="77777777" w:rsidTr="00501087">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782B3EFA" w14:textId="77777777" w:rsidR="00501087" w:rsidRPr="00100F0A" w:rsidRDefault="00501087" w:rsidP="00501087"/>
        </w:tc>
        <w:tc>
          <w:tcPr>
            <w:tcW w:w="1134" w:type="dxa"/>
            <w:tcBorders>
              <w:top w:val="dotted" w:sz="4" w:space="0" w:color="AAABD6"/>
              <w:left w:val="single" w:sz="4" w:space="0" w:color="AAABD6"/>
              <w:bottom w:val="dotted" w:sz="4" w:space="0" w:color="AAABD6"/>
              <w:right w:val="single" w:sz="4" w:space="0" w:color="AAABD6"/>
            </w:tcBorders>
            <w:vAlign w:val="center"/>
          </w:tcPr>
          <w:p w14:paraId="2E1BF276" w14:textId="2E09C3C0"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r w:rsidRPr="00100F0A">
              <w:t>NT</w:t>
            </w:r>
          </w:p>
        </w:tc>
        <w:tc>
          <w:tcPr>
            <w:tcW w:w="4332" w:type="dxa"/>
            <w:vMerge/>
            <w:tcBorders>
              <w:left w:val="single" w:sz="4" w:space="0" w:color="AAABD6"/>
              <w:right w:val="single" w:sz="4" w:space="0" w:color="AAABD6"/>
            </w:tcBorders>
            <w:vAlign w:val="center"/>
          </w:tcPr>
          <w:p w14:paraId="0131533E" w14:textId="77777777"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tcPr>
          <w:p w14:paraId="5C5311BE" w14:textId="278B3F2D"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4,594</w:t>
            </w:r>
          </w:p>
        </w:tc>
        <w:tc>
          <w:tcPr>
            <w:tcW w:w="708" w:type="dxa"/>
            <w:tcBorders>
              <w:top w:val="dotted" w:sz="4" w:space="0" w:color="AAABD6"/>
              <w:left w:val="single" w:sz="4" w:space="0" w:color="AAABD6"/>
              <w:bottom w:val="dotted" w:sz="4" w:space="0" w:color="AAABD6"/>
              <w:right w:val="single" w:sz="4" w:space="0" w:color="AAABD6"/>
            </w:tcBorders>
          </w:tcPr>
          <w:p w14:paraId="79DC83E8" w14:textId="753996F2"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tcPr>
          <w:p w14:paraId="1BBD5771" w14:textId="791F76CB"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6,102</w:t>
            </w:r>
          </w:p>
        </w:tc>
      </w:tr>
      <w:tr w:rsidR="00501087" w:rsidRPr="00100F0A" w14:paraId="1EE52140" w14:textId="77777777" w:rsidTr="00501087">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54B87702" w14:textId="77777777" w:rsidR="00501087" w:rsidRPr="00100F0A" w:rsidRDefault="00501087" w:rsidP="00501087"/>
        </w:tc>
        <w:tc>
          <w:tcPr>
            <w:tcW w:w="1134" w:type="dxa"/>
            <w:tcBorders>
              <w:top w:val="dotted" w:sz="4" w:space="0" w:color="AAABD6"/>
              <w:left w:val="single" w:sz="4" w:space="0" w:color="AAABD6"/>
              <w:bottom w:val="dotted" w:sz="4" w:space="0" w:color="AAABD6"/>
              <w:right w:val="single" w:sz="4" w:space="0" w:color="AAABD6"/>
            </w:tcBorders>
            <w:vAlign w:val="center"/>
          </w:tcPr>
          <w:p w14:paraId="43BA63F7" w14:textId="7CC8642E"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r w:rsidRPr="00100F0A">
              <w:t>Qld</w:t>
            </w:r>
          </w:p>
        </w:tc>
        <w:tc>
          <w:tcPr>
            <w:tcW w:w="4332" w:type="dxa"/>
            <w:vMerge/>
            <w:tcBorders>
              <w:left w:val="single" w:sz="4" w:space="0" w:color="AAABD6"/>
              <w:right w:val="single" w:sz="4" w:space="0" w:color="AAABD6"/>
            </w:tcBorders>
            <w:vAlign w:val="center"/>
          </w:tcPr>
          <w:p w14:paraId="6099C535" w14:textId="77777777"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tcPr>
          <w:p w14:paraId="062F713A" w14:textId="24036A1B"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90,581</w:t>
            </w:r>
          </w:p>
        </w:tc>
        <w:tc>
          <w:tcPr>
            <w:tcW w:w="708" w:type="dxa"/>
            <w:tcBorders>
              <w:top w:val="dotted" w:sz="4" w:space="0" w:color="AAABD6"/>
              <w:left w:val="single" w:sz="4" w:space="0" w:color="AAABD6"/>
              <w:bottom w:val="dotted" w:sz="4" w:space="0" w:color="AAABD6"/>
              <w:right w:val="single" w:sz="4" w:space="0" w:color="AAABD6"/>
            </w:tcBorders>
          </w:tcPr>
          <w:p w14:paraId="651771EB" w14:textId="3D60B2E8"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tcPr>
          <w:p w14:paraId="4F7A38E2" w14:textId="471D43BB"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125,161</w:t>
            </w:r>
          </w:p>
        </w:tc>
      </w:tr>
      <w:tr w:rsidR="00501087" w:rsidRPr="00100F0A" w14:paraId="5F4AE469" w14:textId="77777777" w:rsidTr="00501087">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57396459" w14:textId="77777777" w:rsidR="00501087" w:rsidRPr="00100F0A" w:rsidRDefault="00501087" w:rsidP="00501087"/>
        </w:tc>
        <w:tc>
          <w:tcPr>
            <w:tcW w:w="1134" w:type="dxa"/>
            <w:tcBorders>
              <w:top w:val="dotted" w:sz="4" w:space="0" w:color="AAABD6"/>
              <w:left w:val="single" w:sz="4" w:space="0" w:color="AAABD6"/>
              <w:bottom w:val="dotted" w:sz="4" w:space="0" w:color="AAABD6"/>
              <w:right w:val="single" w:sz="4" w:space="0" w:color="AAABD6"/>
            </w:tcBorders>
            <w:vAlign w:val="center"/>
          </w:tcPr>
          <w:p w14:paraId="4FCB8AD7" w14:textId="6E3DE5CD"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r w:rsidRPr="00100F0A">
              <w:t>SA</w:t>
            </w:r>
          </w:p>
        </w:tc>
        <w:tc>
          <w:tcPr>
            <w:tcW w:w="4332" w:type="dxa"/>
            <w:vMerge/>
            <w:tcBorders>
              <w:left w:val="single" w:sz="4" w:space="0" w:color="AAABD6"/>
              <w:right w:val="single" w:sz="4" w:space="0" w:color="AAABD6"/>
            </w:tcBorders>
            <w:vAlign w:val="center"/>
          </w:tcPr>
          <w:p w14:paraId="4E9A3225" w14:textId="77777777"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tcPr>
          <w:p w14:paraId="0C829FB1" w14:textId="320A4F99"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30,941</w:t>
            </w:r>
          </w:p>
        </w:tc>
        <w:tc>
          <w:tcPr>
            <w:tcW w:w="708" w:type="dxa"/>
            <w:tcBorders>
              <w:top w:val="dotted" w:sz="4" w:space="0" w:color="AAABD6"/>
              <w:left w:val="single" w:sz="4" w:space="0" w:color="AAABD6"/>
              <w:bottom w:val="dotted" w:sz="4" w:space="0" w:color="AAABD6"/>
              <w:right w:val="single" w:sz="4" w:space="0" w:color="AAABD6"/>
            </w:tcBorders>
          </w:tcPr>
          <w:p w14:paraId="0A351282" w14:textId="41BC44D3"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tcPr>
          <w:p w14:paraId="3113CA76" w14:textId="48BC2BAF"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36,571</w:t>
            </w:r>
          </w:p>
        </w:tc>
      </w:tr>
      <w:tr w:rsidR="00501087" w:rsidRPr="00100F0A" w14:paraId="7FDE8BB6" w14:textId="77777777" w:rsidTr="00501087">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57297E4A" w14:textId="77777777" w:rsidR="00501087" w:rsidRPr="00100F0A" w:rsidRDefault="00501087" w:rsidP="00501087"/>
        </w:tc>
        <w:tc>
          <w:tcPr>
            <w:tcW w:w="1134" w:type="dxa"/>
            <w:tcBorders>
              <w:top w:val="dotted" w:sz="4" w:space="0" w:color="AAABD6"/>
              <w:left w:val="single" w:sz="4" w:space="0" w:color="AAABD6"/>
              <w:bottom w:val="dotted" w:sz="4" w:space="0" w:color="AAABD6"/>
              <w:right w:val="single" w:sz="4" w:space="0" w:color="AAABD6"/>
            </w:tcBorders>
            <w:vAlign w:val="center"/>
          </w:tcPr>
          <w:p w14:paraId="6DDEB72B" w14:textId="11AC52EA"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r w:rsidRPr="00100F0A">
              <w:t>Tas</w:t>
            </w:r>
          </w:p>
        </w:tc>
        <w:tc>
          <w:tcPr>
            <w:tcW w:w="4332" w:type="dxa"/>
            <w:vMerge/>
            <w:tcBorders>
              <w:left w:val="single" w:sz="4" w:space="0" w:color="AAABD6"/>
              <w:right w:val="single" w:sz="4" w:space="0" w:color="AAABD6"/>
            </w:tcBorders>
            <w:vAlign w:val="center"/>
          </w:tcPr>
          <w:p w14:paraId="1425E81B" w14:textId="77777777"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tcPr>
          <w:p w14:paraId="0D46147A" w14:textId="509C667D"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9,278</w:t>
            </w:r>
          </w:p>
        </w:tc>
        <w:tc>
          <w:tcPr>
            <w:tcW w:w="708" w:type="dxa"/>
            <w:tcBorders>
              <w:top w:val="dotted" w:sz="4" w:space="0" w:color="AAABD6"/>
              <w:left w:val="single" w:sz="4" w:space="0" w:color="AAABD6"/>
              <w:bottom w:val="dotted" w:sz="4" w:space="0" w:color="AAABD6"/>
              <w:right w:val="single" w:sz="4" w:space="0" w:color="AAABD6"/>
            </w:tcBorders>
          </w:tcPr>
          <w:p w14:paraId="548C366E" w14:textId="6EA9249F"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tcPr>
          <w:p w14:paraId="2210F6F3" w14:textId="75E4AEBD"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10,098</w:t>
            </w:r>
          </w:p>
        </w:tc>
      </w:tr>
      <w:tr w:rsidR="00501087" w:rsidRPr="00100F0A" w14:paraId="0856B7FB" w14:textId="77777777" w:rsidTr="00501087">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296EFC16" w14:textId="77777777" w:rsidR="00501087" w:rsidRPr="00100F0A" w:rsidRDefault="00501087" w:rsidP="00501087"/>
        </w:tc>
        <w:tc>
          <w:tcPr>
            <w:tcW w:w="1134" w:type="dxa"/>
            <w:tcBorders>
              <w:top w:val="dotted" w:sz="4" w:space="0" w:color="AAABD6"/>
              <w:left w:val="single" w:sz="4" w:space="0" w:color="AAABD6"/>
              <w:bottom w:val="dotted" w:sz="4" w:space="0" w:color="AAABD6"/>
              <w:right w:val="single" w:sz="4" w:space="0" w:color="AAABD6"/>
            </w:tcBorders>
            <w:vAlign w:val="center"/>
          </w:tcPr>
          <w:p w14:paraId="21C9A5FF" w14:textId="1AF585B8"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r w:rsidRPr="00100F0A">
              <w:t>Vic</w:t>
            </w:r>
          </w:p>
        </w:tc>
        <w:tc>
          <w:tcPr>
            <w:tcW w:w="4332" w:type="dxa"/>
            <w:vMerge/>
            <w:tcBorders>
              <w:left w:val="single" w:sz="4" w:space="0" w:color="AAABD6"/>
              <w:right w:val="single" w:sz="4" w:space="0" w:color="AAABD6"/>
            </w:tcBorders>
            <w:vAlign w:val="center"/>
          </w:tcPr>
          <w:p w14:paraId="4FF1DE7C" w14:textId="77777777"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tcPr>
          <w:p w14:paraId="0CF11364" w14:textId="1B14B54F"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109,769</w:t>
            </w:r>
          </w:p>
        </w:tc>
        <w:tc>
          <w:tcPr>
            <w:tcW w:w="708" w:type="dxa"/>
            <w:tcBorders>
              <w:top w:val="dotted" w:sz="4" w:space="0" w:color="AAABD6"/>
              <w:left w:val="single" w:sz="4" w:space="0" w:color="AAABD6"/>
              <w:bottom w:val="dotted" w:sz="4" w:space="0" w:color="AAABD6"/>
              <w:right w:val="single" w:sz="4" w:space="0" w:color="AAABD6"/>
            </w:tcBorders>
          </w:tcPr>
          <w:p w14:paraId="17819CBA" w14:textId="6264BE31"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tcPr>
          <w:p w14:paraId="6266444A" w14:textId="61108484"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145,465</w:t>
            </w:r>
          </w:p>
        </w:tc>
      </w:tr>
      <w:tr w:rsidR="00501087" w:rsidRPr="00100F0A" w14:paraId="739B5099" w14:textId="77777777" w:rsidTr="00501087">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bottom w:val="single" w:sz="4" w:space="0" w:color="AAABD6"/>
              <w:right w:val="single" w:sz="4" w:space="0" w:color="AAABD6"/>
            </w:tcBorders>
          </w:tcPr>
          <w:p w14:paraId="17A2B13E" w14:textId="77777777" w:rsidR="00501087" w:rsidRPr="00100F0A" w:rsidRDefault="00501087" w:rsidP="00501087"/>
        </w:tc>
        <w:tc>
          <w:tcPr>
            <w:tcW w:w="1134" w:type="dxa"/>
            <w:tcBorders>
              <w:top w:val="dotted" w:sz="4" w:space="0" w:color="AAABD6"/>
              <w:left w:val="single" w:sz="4" w:space="0" w:color="AAABD6"/>
              <w:bottom w:val="single" w:sz="4" w:space="0" w:color="AAABD6"/>
              <w:right w:val="single" w:sz="4" w:space="0" w:color="AAABD6"/>
            </w:tcBorders>
            <w:vAlign w:val="center"/>
          </w:tcPr>
          <w:p w14:paraId="57764F32" w14:textId="77777777"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r w:rsidRPr="00100F0A">
              <w:t>WA</w:t>
            </w:r>
          </w:p>
        </w:tc>
        <w:tc>
          <w:tcPr>
            <w:tcW w:w="4332" w:type="dxa"/>
            <w:vMerge/>
            <w:tcBorders>
              <w:left w:val="single" w:sz="4" w:space="0" w:color="AAABD6"/>
              <w:bottom w:val="single" w:sz="4" w:space="0" w:color="AAABD6"/>
              <w:right w:val="single" w:sz="4" w:space="0" w:color="AAABD6"/>
            </w:tcBorders>
            <w:vAlign w:val="center"/>
          </w:tcPr>
          <w:p w14:paraId="70C9096D" w14:textId="77777777"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single" w:sz="4" w:space="0" w:color="AAABD6"/>
              <w:right w:val="single" w:sz="4" w:space="0" w:color="AAABD6"/>
            </w:tcBorders>
          </w:tcPr>
          <w:p w14:paraId="6B7B99C0" w14:textId="047C60C2"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51,196</w:t>
            </w:r>
          </w:p>
        </w:tc>
        <w:tc>
          <w:tcPr>
            <w:tcW w:w="708" w:type="dxa"/>
            <w:tcBorders>
              <w:top w:val="dotted" w:sz="4" w:space="0" w:color="AAABD6"/>
              <w:left w:val="single" w:sz="4" w:space="0" w:color="AAABD6"/>
              <w:bottom w:val="single" w:sz="4" w:space="0" w:color="AAABD6"/>
              <w:right w:val="single" w:sz="4" w:space="0" w:color="AAABD6"/>
            </w:tcBorders>
          </w:tcPr>
          <w:p w14:paraId="7FC63E07" w14:textId="69EEDD06"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single" w:sz="4" w:space="0" w:color="AAABD6"/>
              <w:right w:val="single" w:sz="4" w:space="0" w:color="AAABD6"/>
            </w:tcBorders>
          </w:tcPr>
          <w:p w14:paraId="7346864E" w14:textId="51B89F88"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79,426</w:t>
            </w:r>
          </w:p>
        </w:tc>
      </w:tr>
      <w:tr w:rsidR="00501087" w:rsidRPr="00100F0A" w14:paraId="46DA97C4" w14:textId="77777777" w:rsidTr="00501087">
        <w:tc>
          <w:tcPr>
            <w:cnfStyle w:val="001000000000" w:firstRow="0" w:lastRow="0" w:firstColumn="1" w:lastColumn="0" w:oddVBand="0" w:evenVBand="0" w:oddHBand="0" w:evenHBand="0" w:firstRowFirstColumn="0" w:firstRowLastColumn="0" w:lastRowFirstColumn="0" w:lastRowLastColumn="0"/>
            <w:tcW w:w="709" w:type="dxa"/>
            <w:vMerge w:val="restart"/>
            <w:tcBorders>
              <w:left w:val="single" w:sz="4" w:space="0" w:color="AAABD6"/>
              <w:right w:val="single" w:sz="4" w:space="0" w:color="AAABD6"/>
            </w:tcBorders>
            <w:vAlign w:val="center"/>
          </w:tcPr>
          <w:p w14:paraId="04929B7C" w14:textId="140B496B" w:rsidR="00501087" w:rsidRPr="00100F0A" w:rsidRDefault="00501087" w:rsidP="00501087">
            <w:r w:rsidRPr="00100F0A">
              <w:t>High</w:t>
            </w:r>
          </w:p>
        </w:tc>
        <w:tc>
          <w:tcPr>
            <w:tcW w:w="1134" w:type="dxa"/>
            <w:tcBorders>
              <w:top w:val="single" w:sz="4" w:space="0" w:color="AAABD6"/>
              <w:left w:val="single" w:sz="4" w:space="0" w:color="AAABD6"/>
              <w:bottom w:val="dotted" w:sz="4" w:space="0" w:color="AAABD6"/>
              <w:right w:val="single" w:sz="4" w:space="0" w:color="AAABD6"/>
            </w:tcBorders>
            <w:vAlign w:val="center"/>
          </w:tcPr>
          <w:p w14:paraId="0763A2C4" w14:textId="79A661CA"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r w:rsidRPr="00100F0A">
              <w:t>ACT</w:t>
            </w:r>
          </w:p>
        </w:tc>
        <w:tc>
          <w:tcPr>
            <w:tcW w:w="4332" w:type="dxa"/>
            <w:vMerge w:val="restart"/>
            <w:tcBorders>
              <w:left w:val="single" w:sz="4" w:space="0" w:color="AAABD6"/>
              <w:right w:val="single" w:sz="4" w:space="0" w:color="AAABD6"/>
            </w:tcBorders>
            <w:vAlign w:val="center"/>
          </w:tcPr>
          <w:p w14:paraId="1467EDF5" w14:textId="61C3F03D"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rPr>
                <w:rFonts w:cs="Calibri"/>
                <w:color w:val="000000"/>
              </w:rPr>
            </w:pPr>
            <w:r w:rsidRPr="00100F0A">
              <w:rPr>
                <w:rFonts w:cs="Calibri"/>
                <w:color w:val="000000"/>
              </w:rPr>
              <w:t>Best estimate (REC 201</w:t>
            </w:r>
            <w:r w:rsidR="00387CBE" w:rsidRPr="00100F0A">
              <w:rPr>
                <w:rFonts w:cs="Calibri"/>
                <w:color w:val="000000"/>
              </w:rPr>
              <w:t>7</w:t>
            </w:r>
            <w:r w:rsidRPr="00100F0A">
              <w:rPr>
                <w:rFonts w:cs="Calibri"/>
                <w:color w:val="000000"/>
              </w:rPr>
              <w:t>) + 10%</w:t>
            </w:r>
          </w:p>
        </w:tc>
        <w:tc>
          <w:tcPr>
            <w:tcW w:w="993" w:type="dxa"/>
            <w:tcBorders>
              <w:top w:val="single" w:sz="4" w:space="0" w:color="AAABD6"/>
              <w:left w:val="single" w:sz="4" w:space="0" w:color="AAABD6"/>
              <w:bottom w:val="dotted" w:sz="4" w:space="0" w:color="AAABD6"/>
              <w:right w:val="single" w:sz="4" w:space="0" w:color="AAABD6"/>
            </w:tcBorders>
          </w:tcPr>
          <w:p w14:paraId="72207EAE" w14:textId="072C2A09"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rFonts w:cs="Calibri"/>
              </w:rPr>
              <w:t>8,138</w:t>
            </w:r>
          </w:p>
        </w:tc>
        <w:tc>
          <w:tcPr>
            <w:tcW w:w="708" w:type="dxa"/>
            <w:tcBorders>
              <w:top w:val="single" w:sz="4" w:space="0" w:color="AAABD6"/>
              <w:left w:val="single" w:sz="4" w:space="0" w:color="AAABD6"/>
              <w:bottom w:val="dotted" w:sz="4" w:space="0" w:color="AAABD6"/>
              <w:right w:val="single" w:sz="4" w:space="0" w:color="AAABD6"/>
            </w:tcBorders>
          </w:tcPr>
          <w:p w14:paraId="63A8DFA1" w14:textId="2007B2D8"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single" w:sz="4" w:space="0" w:color="AAABD6"/>
              <w:left w:val="single" w:sz="4" w:space="0" w:color="AAABD6"/>
              <w:bottom w:val="dotted" w:sz="4" w:space="0" w:color="AAABD6"/>
              <w:right w:val="single" w:sz="4" w:space="0" w:color="AAABD6"/>
            </w:tcBorders>
          </w:tcPr>
          <w:p w14:paraId="60981E98" w14:textId="55E95811"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rFonts w:cs="Calibri"/>
              </w:rPr>
              <w:t>11,066</w:t>
            </w:r>
          </w:p>
        </w:tc>
      </w:tr>
      <w:tr w:rsidR="00501087" w:rsidRPr="00100F0A" w14:paraId="5557AA45" w14:textId="77777777" w:rsidTr="00501087">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vAlign w:val="center"/>
          </w:tcPr>
          <w:p w14:paraId="06CB0D78" w14:textId="4F8A9F3A" w:rsidR="00501087" w:rsidRPr="00100F0A" w:rsidRDefault="00501087" w:rsidP="00501087"/>
        </w:tc>
        <w:tc>
          <w:tcPr>
            <w:tcW w:w="1134" w:type="dxa"/>
            <w:tcBorders>
              <w:top w:val="dotted" w:sz="4" w:space="0" w:color="AAABD6"/>
              <w:left w:val="single" w:sz="4" w:space="0" w:color="AAABD6"/>
              <w:bottom w:val="dotted" w:sz="4" w:space="0" w:color="AAABD6"/>
              <w:right w:val="single" w:sz="4" w:space="0" w:color="AAABD6"/>
            </w:tcBorders>
            <w:vAlign w:val="center"/>
          </w:tcPr>
          <w:p w14:paraId="36D05916" w14:textId="2ADC0D41"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r w:rsidRPr="00100F0A">
              <w:t>NSW</w:t>
            </w:r>
          </w:p>
        </w:tc>
        <w:tc>
          <w:tcPr>
            <w:tcW w:w="4332" w:type="dxa"/>
            <w:vMerge/>
            <w:tcBorders>
              <w:left w:val="single" w:sz="4" w:space="0" w:color="AAABD6"/>
              <w:right w:val="single" w:sz="4" w:space="0" w:color="AAABD6"/>
            </w:tcBorders>
            <w:vAlign w:val="center"/>
          </w:tcPr>
          <w:p w14:paraId="71F66613" w14:textId="18025B07"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tcPr>
          <w:p w14:paraId="14B6D2E1" w14:textId="4455429B"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rFonts w:cs="Calibri"/>
              </w:rPr>
              <w:t>152,473</w:t>
            </w:r>
          </w:p>
        </w:tc>
        <w:tc>
          <w:tcPr>
            <w:tcW w:w="708" w:type="dxa"/>
            <w:tcBorders>
              <w:top w:val="dotted" w:sz="4" w:space="0" w:color="AAABD6"/>
              <w:left w:val="single" w:sz="4" w:space="0" w:color="AAABD6"/>
              <w:bottom w:val="dotted" w:sz="4" w:space="0" w:color="AAABD6"/>
              <w:right w:val="single" w:sz="4" w:space="0" w:color="AAABD6"/>
            </w:tcBorders>
          </w:tcPr>
          <w:p w14:paraId="44C4AB79" w14:textId="7622D3D6"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tcPr>
          <w:p w14:paraId="47F32177" w14:textId="73E45A57"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rFonts w:cs="Calibri"/>
              </w:rPr>
              <w:t>189,093</w:t>
            </w:r>
          </w:p>
        </w:tc>
      </w:tr>
      <w:tr w:rsidR="00501087" w:rsidRPr="00100F0A" w14:paraId="49C2A2CD" w14:textId="77777777" w:rsidTr="00501087">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1F2C0351" w14:textId="77777777" w:rsidR="00501087" w:rsidRPr="00100F0A" w:rsidRDefault="00501087" w:rsidP="00501087"/>
        </w:tc>
        <w:tc>
          <w:tcPr>
            <w:tcW w:w="1134" w:type="dxa"/>
            <w:tcBorders>
              <w:top w:val="dotted" w:sz="4" w:space="0" w:color="AAABD6"/>
              <w:left w:val="single" w:sz="4" w:space="0" w:color="AAABD6"/>
              <w:bottom w:val="dotted" w:sz="4" w:space="0" w:color="AAABD6"/>
              <w:right w:val="single" w:sz="4" w:space="0" w:color="AAABD6"/>
            </w:tcBorders>
            <w:vAlign w:val="center"/>
          </w:tcPr>
          <w:p w14:paraId="768803A1" w14:textId="56F551CD"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r w:rsidRPr="00100F0A">
              <w:t>NT</w:t>
            </w:r>
          </w:p>
        </w:tc>
        <w:tc>
          <w:tcPr>
            <w:tcW w:w="4332" w:type="dxa"/>
            <w:vMerge/>
            <w:tcBorders>
              <w:left w:val="single" w:sz="4" w:space="0" w:color="AAABD6"/>
              <w:right w:val="single" w:sz="4" w:space="0" w:color="AAABD6"/>
            </w:tcBorders>
            <w:vAlign w:val="center"/>
          </w:tcPr>
          <w:p w14:paraId="5B002315" w14:textId="77777777"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tcPr>
          <w:p w14:paraId="2F4ED68A" w14:textId="15E91C03"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rFonts w:cs="Calibri"/>
              </w:rPr>
              <w:t>5,053</w:t>
            </w:r>
          </w:p>
        </w:tc>
        <w:tc>
          <w:tcPr>
            <w:tcW w:w="708" w:type="dxa"/>
            <w:tcBorders>
              <w:top w:val="dotted" w:sz="4" w:space="0" w:color="AAABD6"/>
              <w:left w:val="single" w:sz="4" w:space="0" w:color="AAABD6"/>
              <w:bottom w:val="dotted" w:sz="4" w:space="0" w:color="AAABD6"/>
              <w:right w:val="single" w:sz="4" w:space="0" w:color="AAABD6"/>
            </w:tcBorders>
          </w:tcPr>
          <w:p w14:paraId="7E8933E9" w14:textId="3125B92C"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tcPr>
          <w:p w14:paraId="7099724B" w14:textId="1A6AB777"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rFonts w:cs="Calibri"/>
              </w:rPr>
              <w:t>6,712</w:t>
            </w:r>
          </w:p>
        </w:tc>
      </w:tr>
      <w:tr w:rsidR="00501087" w:rsidRPr="00100F0A" w14:paraId="6DA9ACF7" w14:textId="77777777" w:rsidTr="00501087">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4AEC808B" w14:textId="77777777" w:rsidR="00501087" w:rsidRPr="00100F0A" w:rsidRDefault="00501087" w:rsidP="00501087"/>
        </w:tc>
        <w:tc>
          <w:tcPr>
            <w:tcW w:w="1134" w:type="dxa"/>
            <w:tcBorders>
              <w:top w:val="dotted" w:sz="4" w:space="0" w:color="AAABD6"/>
              <w:left w:val="single" w:sz="4" w:space="0" w:color="AAABD6"/>
              <w:bottom w:val="dotted" w:sz="4" w:space="0" w:color="AAABD6"/>
              <w:right w:val="single" w:sz="4" w:space="0" w:color="AAABD6"/>
            </w:tcBorders>
            <w:vAlign w:val="center"/>
          </w:tcPr>
          <w:p w14:paraId="6E0C27D0" w14:textId="1C500CFD"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r w:rsidRPr="00100F0A">
              <w:t>Qld</w:t>
            </w:r>
          </w:p>
        </w:tc>
        <w:tc>
          <w:tcPr>
            <w:tcW w:w="4332" w:type="dxa"/>
            <w:vMerge/>
            <w:tcBorders>
              <w:left w:val="single" w:sz="4" w:space="0" w:color="AAABD6"/>
              <w:right w:val="single" w:sz="4" w:space="0" w:color="AAABD6"/>
            </w:tcBorders>
            <w:vAlign w:val="center"/>
          </w:tcPr>
          <w:p w14:paraId="6360562A" w14:textId="77777777"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tcPr>
          <w:p w14:paraId="01D66FFD" w14:textId="2AE4618E"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rFonts w:cs="Calibri"/>
              </w:rPr>
              <w:t>99,639</w:t>
            </w:r>
          </w:p>
        </w:tc>
        <w:tc>
          <w:tcPr>
            <w:tcW w:w="708" w:type="dxa"/>
            <w:tcBorders>
              <w:top w:val="dotted" w:sz="4" w:space="0" w:color="AAABD6"/>
              <w:left w:val="single" w:sz="4" w:space="0" w:color="AAABD6"/>
              <w:bottom w:val="dotted" w:sz="4" w:space="0" w:color="AAABD6"/>
              <w:right w:val="single" w:sz="4" w:space="0" w:color="AAABD6"/>
            </w:tcBorders>
          </w:tcPr>
          <w:p w14:paraId="1A92F183" w14:textId="0F3D8D5A"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tcPr>
          <w:p w14:paraId="1247F5B4" w14:textId="0B0D0D73"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rFonts w:cs="Calibri"/>
              </w:rPr>
              <w:t>137,677</w:t>
            </w:r>
          </w:p>
        </w:tc>
      </w:tr>
      <w:tr w:rsidR="00501087" w:rsidRPr="00100F0A" w14:paraId="3E935D5A" w14:textId="77777777" w:rsidTr="00501087">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215D70E0" w14:textId="77777777" w:rsidR="00501087" w:rsidRPr="00100F0A" w:rsidRDefault="00501087" w:rsidP="00501087"/>
        </w:tc>
        <w:tc>
          <w:tcPr>
            <w:tcW w:w="1134" w:type="dxa"/>
            <w:tcBorders>
              <w:top w:val="dotted" w:sz="4" w:space="0" w:color="AAABD6"/>
              <w:left w:val="single" w:sz="4" w:space="0" w:color="AAABD6"/>
              <w:bottom w:val="dotted" w:sz="4" w:space="0" w:color="AAABD6"/>
              <w:right w:val="single" w:sz="4" w:space="0" w:color="AAABD6"/>
            </w:tcBorders>
            <w:vAlign w:val="center"/>
          </w:tcPr>
          <w:p w14:paraId="18BFFFA5" w14:textId="460F0A18"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r w:rsidRPr="00100F0A">
              <w:t>SA</w:t>
            </w:r>
          </w:p>
        </w:tc>
        <w:tc>
          <w:tcPr>
            <w:tcW w:w="4332" w:type="dxa"/>
            <w:vMerge/>
            <w:tcBorders>
              <w:left w:val="single" w:sz="4" w:space="0" w:color="AAABD6"/>
              <w:right w:val="single" w:sz="4" w:space="0" w:color="AAABD6"/>
            </w:tcBorders>
            <w:vAlign w:val="center"/>
          </w:tcPr>
          <w:p w14:paraId="18BF0E3F" w14:textId="77777777"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tcPr>
          <w:p w14:paraId="74924E4A" w14:textId="167F3C7C"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rFonts w:cs="Calibri"/>
              </w:rPr>
              <w:t>34,035</w:t>
            </w:r>
          </w:p>
        </w:tc>
        <w:tc>
          <w:tcPr>
            <w:tcW w:w="708" w:type="dxa"/>
            <w:tcBorders>
              <w:top w:val="dotted" w:sz="4" w:space="0" w:color="AAABD6"/>
              <w:left w:val="single" w:sz="4" w:space="0" w:color="AAABD6"/>
              <w:bottom w:val="dotted" w:sz="4" w:space="0" w:color="AAABD6"/>
              <w:right w:val="single" w:sz="4" w:space="0" w:color="AAABD6"/>
            </w:tcBorders>
          </w:tcPr>
          <w:p w14:paraId="2BD2710F" w14:textId="47646A4B"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tcPr>
          <w:p w14:paraId="43480FCF" w14:textId="0EC9B79E"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rFonts w:cs="Calibri"/>
              </w:rPr>
              <w:t>40,229</w:t>
            </w:r>
          </w:p>
        </w:tc>
      </w:tr>
      <w:tr w:rsidR="00501087" w:rsidRPr="00100F0A" w14:paraId="5795FD9D" w14:textId="77777777" w:rsidTr="00501087">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367127C7" w14:textId="77777777" w:rsidR="00501087" w:rsidRPr="00100F0A" w:rsidRDefault="00501087" w:rsidP="00501087"/>
        </w:tc>
        <w:tc>
          <w:tcPr>
            <w:tcW w:w="1134" w:type="dxa"/>
            <w:tcBorders>
              <w:top w:val="dotted" w:sz="4" w:space="0" w:color="AAABD6"/>
              <w:left w:val="single" w:sz="4" w:space="0" w:color="AAABD6"/>
              <w:bottom w:val="dotted" w:sz="4" w:space="0" w:color="AAABD6"/>
              <w:right w:val="single" w:sz="4" w:space="0" w:color="AAABD6"/>
            </w:tcBorders>
            <w:vAlign w:val="center"/>
          </w:tcPr>
          <w:p w14:paraId="2E0FCE38" w14:textId="4A031FCC"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r w:rsidRPr="00100F0A">
              <w:t>Tas</w:t>
            </w:r>
          </w:p>
        </w:tc>
        <w:tc>
          <w:tcPr>
            <w:tcW w:w="4332" w:type="dxa"/>
            <w:vMerge/>
            <w:tcBorders>
              <w:left w:val="single" w:sz="4" w:space="0" w:color="AAABD6"/>
              <w:right w:val="single" w:sz="4" w:space="0" w:color="AAABD6"/>
            </w:tcBorders>
            <w:vAlign w:val="center"/>
          </w:tcPr>
          <w:p w14:paraId="2F66F46A" w14:textId="77777777"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tcPr>
          <w:p w14:paraId="1BBB5795" w14:textId="2A4027DB"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rFonts w:cs="Calibri"/>
              </w:rPr>
              <w:t>10,206</w:t>
            </w:r>
          </w:p>
        </w:tc>
        <w:tc>
          <w:tcPr>
            <w:tcW w:w="708" w:type="dxa"/>
            <w:tcBorders>
              <w:top w:val="dotted" w:sz="4" w:space="0" w:color="AAABD6"/>
              <w:left w:val="single" w:sz="4" w:space="0" w:color="AAABD6"/>
              <w:bottom w:val="dotted" w:sz="4" w:space="0" w:color="AAABD6"/>
              <w:right w:val="single" w:sz="4" w:space="0" w:color="AAABD6"/>
            </w:tcBorders>
          </w:tcPr>
          <w:p w14:paraId="7D1BB722" w14:textId="724EACB7"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tcPr>
          <w:p w14:paraId="2B4D828C" w14:textId="6B95DCC5"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rFonts w:cs="Calibri"/>
              </w:rPr>
              <w:t>11,107</w:t>
            </w:r>
          </w:p>
        </w:tc>
      </w:tr>
      <w:tr w:rsidR="00501087" w:rsidRPr="00100F0A" w14:paraId="02529CA0" w14:textId="77777777" w:rsidTr="00501087">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302F5830" w14:textId="77777777" w:rsidR="00501087" w:rsidRPr="00100F0A" w:rsidRDefault="00501087" w:rsidP="00501087"/>
        </w:tc>
        <w:tc>
          <w:tcPr>
            <w:tcW w:w="1134" w:type="dxa"/>
            <w:tcBorders>
              <w:top w:val="dotted" w:sz="4" w:space="0" w:color="AAABD6"/>
              <w:left w:val="single" w:sz="4" w:space="0" w:color="AAABD6"/>
              <w:bottom w:val="dotted" w:sz="4" w:space="0" w:color="AAABD6"/>
              <w:right w:val="single" w:sz="4" w:space="0" w:color="AAABD6"/>
            </w:tcBorders>
            <w:vAlign w:val="center"/>
          </w:tcPr>
          <w:p w14:paraId="2356EF59" w14:textId="74E7B038"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r w:rsidRPr="00100F0A">
              <w:t>Vic</w:t>
            </w:r>
          </w:p>
        </w:tc>
        <w:tc>
          <w:tcPr>
            <w:tcW w:w="4332" w:type="dxa"/>
            <w:vMerge/>
            <w:tcBorders>
              <w:left w:val="single" w:sz="4" w:space="0" w:color="AAABD6"/>
              <w:right w:val="single" w:sz="4" w:space="0" w:color="AAABD6"/>
            </w:tcBorders>
            <w:vAlign w:val="center"/>
          </w:tcPr>
          <w:p w14:paraId="5928EEDD" w14:textId="77777777"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tcPr>
          <w:p w14:paraId="126083B5" w14:textId="7A45C8FB"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rFonts w:cs="Calibri"/>
              </w:rPr>
              <w:t>120,746</w:t>
            </w:r>
          </w:p>
        </w:tc>
        <w:tc>
          <w:tcPr>
            <w:tcW w:w="708" w:type="dxa"/>
            <w:tcBorders>
              <w:top w:val="dotted" w:sz="4" w:space="0" w:color="AAABD6"/>
              <w:left w:val="single" w:sz="4" w:space="0" w:color="AAABD6"/>
              <w:bottom w:val="dotted" w:sz="4" w:space="0" w:color="AAABD6"/>
              <w:right w:val="single" w:sz="4" w:space="0" w:color="AAABD6"/>
            </w:tcBorders>
          </w:tcPr>
          <w:p w14:paraId="1BA96E0E" w14:textId="4F44D0C8"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tcPr>
          <w:p w14:paraId="4DEFC482" w14:textId="6F43707E"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rFonts w:cs="Calibri"/>
              </w:rPr>
              <w:t>160,011</w:t>
            </w:r>
          </w:p>
        </w:tc>
      </w:tr>
      <w:tr w:rsidR="00501087" w:rsidRPr="00100F0A" w14:paraId="2CA5A7E7" w14:textId="77777777" w:rsidTr="00501087">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bottom w:val="single" w:sz="4" w:space="0" w:color="AAABD6"/>
              <w:right w:val="single" w:sz="4" w:space="0" w:color="AAABD6"/>
            </w:tcBorders>
          </w:tcPr>
          <w:p w14:paraId="364F6118" w14:textId="77777777" w:rsidR="00501087" w:rsidRPr="00100F0A" w:rsidRDefault="00501087" w:rsidP="00501087"/>
        </w:tc>
        <w:tc>
          <w:tcPr>
            <w:tcW w:w="1134" w:type="dxa"/>
            <w:tcBorders>
              <w:top w:val="dotted" w:sz="4" w:space="0" w:color="AAABD6"/>
              <w:left w:val="single" w:sz="4" w:space="0" w:color="AAABD6"/>
              <w:bottom w:val="single" w:sz="4" w:space="0" w:color="AAABD6"/>
              <w:right w:val="single" w:sz="4" w:space="0" w:color="AAABD6"/>
            </w:tcBorders>
            <w:vAlign w:val="center"/>
          </w:tcPr>
          <w:p w14:paraId="1E4CADB0" w14:textId="77604FBF"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r w:rsidRPr="00100F0A">
              <w:t>WA</w:t>
            </w:r>
          </w:p>
        </w:tc>
        <w:tc>
          <w:tcPr>
            <w:tcW w:w="4332" w:type="dxa"/>
            <w:vMerge/>
            <w:tcBorders>
              <w:left w:val="single" w:sz="4" w:space="0" w:color="AAABD6"/>
              <w:bottom w:val="single" w:sz="4" w:space="0" w:color="AAABD6"/>
              <w:right w:val="single" w:sz="4" w:space="0" w:color="AAABD6"/>
            </w:tcBorders>
            <w:vAlign w:val="center"/>
          </w:tcPr>
          <w:p w14:paraId="7EB00CDB" w14:textId="77777777"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single" w:sz="4" w:space="0" w:color="AAABD6"/>
              <w:right w:val="single" w:sz="4" w:space="0" w:color="AAABD6"/>
            </w:tcBorders>
          </w:tcPr>
          <w:p w14:paraId="42EA182F" w14:textId="623C4FE0"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rFonts w:cs="Calibri"/>
              </w:rPr>
              <w:t>56,316</w:t>
            </w:r>
          </w:p>
        </w:tc>
        <w:tc>
          <w:tcPr>
            <w:tcW w:w="708" w:type="dxa"/>
            <w:tcBorders>
              <w:top w:val="dotted" w:sz="4" w:space="0" w:color="AAABD6"/>
              <w:left w:val="single" w:sz="4" w:space="0" w:color="AAABD6"/>
              <w:bottom w:val="single" w:sz="4" w:space="0" w:color="AAABD6"/>
              <w:right w:val="single" w:sz="4" w:space="0" w:color="AAABD6"/>
            </w:tcBorders>
          </w:tcPr>
          <w:p w14:paraId="29AE88D6" w14:textId="1E0A5C81"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single" w:sz="4" w:space="0" w:color="AAABD6"/>
              <w:right w:val="single" w:sz="4" w:space="0" w:color="AAABD6"/>
            </w:tcBorders>
          </w:tcPr>
          <w:p w14:paraId="27C43157" w14:textId="093F8697"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rFonts w:cs="Calibri"/>
              </w:rPr>
              <w:t>87,368</w:t>
            </w:r>
          </w:p>
        </w:tc>
      </w:tr>
      <w:tr w:rsidR="00501087" w:rsidRPr="00100F0A" w14:paraId="60F2E417" w14:textId="77777777" w:rsidTr="00501087">
        <w:tc>
          <w:tcPr>
            <w:cnfStyle w:val="001000000000" w:firstRow="0" w:lastRow="0" w:firstColumn="1" w:lastColumn="0" w:oddVBand="0" w:evenVBand="0" w:oddHBand="0" w:evenHBand="0" w:firstRowFirstColumn="0" w:firstRowLastColumn="0" w:lastRowFirstColumn="0" w:lastRowLastColumn="0"/>
            <w:tcW w:w="709" w:type="dxa"/>
            <w:vMerge w:val="restart"/>
            <w:tcBorders>
              <w:left w:val="single" w:sz="4" w:space="0" w:color="AAABD6"/>
              <w:right w:val="single" w:sz="4" w:space="0" w:color="AAABD6"/>
            </w:tcBorders>
            <w:vAlign w:val="center"/>
          </w:tcPr>
          <w:p w14:paraId="286FFDF0" w14:textId="77777777" w:rsidR="00501087" w:rsidRPr="00100F0A" w:rsidRDefault="00501087" w:rsidP="00501087">
            <w:r w:rsidRPr="00100F0A">
              <w:t>Low</w:t>
            </w:r>
          </w:p>
        </w:tc>
        <w:tc>
          <w:tcPr>
            <w:tcW w:w="1134" w:type="dxa"/>
            <w:tcBorders>
              <w:top w:val="single" w:sz="4" w:space="0" w:color="AAABD6"/>
              <w:left w:val="single" w:sz="4" w:space="0" w:color="AAABD6"/>
              <w:bottom w:val="dotted" w:sz="4" w:space="0" w:color="AAABD6"/>
              <w:right w:val="single" w:sz="4" w:space="0" w:color="AAABD6"/>
            </w:tcBorders>
            <w:vAlign w:val="center"/>
          </w:tcPr>
          <w:p w14:paraId="6B6D9981" w14:textId="3F349B45"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r w:rsidRPr="00100F0A">
              <w:t>ACT</w:t>
            </w:r>
          </w:p>
        </w:tc>
        <w:tc>
          <w:tcPr>
            <w:tcW w:w="4332" w:type="dxa"/>
            <w:vMerge w:val="restart"/>
            <w:tcBorders>
              <w:top w:val="single" w:sz="4" w:space="0" w:color="AAABD6"/>
              <w:left w:val="single" w:sz="4" w:space="0" w:color="AAABD6"/>
              <w:right w:val="single" w:sz="4" w:space="0" w:color="AAABD6"/>
            </w:tcBorders>
            <w:vAlign w:val="center"/>
          </w:tcPr>
          <w:p w14:paraId="66A6E857" w14:textId="714F7549"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Best estimate (REC 201</w:t>
            </w:r>
            <w:r w:rsidR="00387CBE" w:rsidRPr="00100F0A">
              <w:rPr>
                <w:rFonts w:cs="Calibri"/>
                <w:color w:val="000000"/>
              </w:rPr>
              <w:t>7</w:t>
            </w:r>
            <w:r w:rsidRPr="00100F0A">
              <w:rPr>
                <w:rFonts w:cs="Calibri"/>
                <w:color w:val="000000"/>
              </w:rPr>
              <w:t>) - 10%</w:t>
            </w:r>
          </w:p>
        </w:tc>
        <w:tc>
          <w:tcPr>
            <w:tcW w:w="993" w:type="dxa"/>
            <w:tcBorders>
              <w:top w:val="single" w:sz="4" w:space="0" w:color="AAABD6"/>
              <w:left w:val="single" w:sz="4" w:space="0" w:color="AAABD6"/>
              <w:bottom w:val="dotted" w:sz="4" w:space="0" w:color="AAABD6"/>
              <w:right w:val="single" w:sz="4" w:space="0" w:color="AAABD6"/>
            </w:tcBorders>
          </w:tcPr>
          <w:p w14:paraId="2C2C42D3" w14:textId="3ED1269B"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6,659</w:t>
            </w:r>
          </w:p>
        </w:tc>
        <w:tc>
          <w:tcPr>
            <w:tcW w:w="708" w:type="dxa"/>
            <w:tcBorders>
              <w:top w:val="single" w:sz="4" w:space="0" w:color="AAABD6"/>
              <w:left w:val="single" w:sz="4" w:space="0" w:color="AAABD6"/>
              <w:bottom w:val="dotted" w:sz="4" w:space="0" w:color="AAABD6"/>
              <w:right w:val="single" w:sz="4" w:space="0" w:color="AAABD6"/>
            </w:tcBorders>
          </w:tcPr>
          <w:p w14:paraId="390C5DBD" w14:textId="28D806BE"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single" w:sz="4" w:space="0" w:color="AAABD6"/>
              <w:left w:val="single" w:sz="4" w:space="0" w:color="AAABD6"/>
              <w:bottom w:val="dotted" w:sz="4" w:space="0" w:color="AAABD6"/>
              <w:right w:val="single" w:sz="4" w:space="0" w:color="AAABD6"/>
            </w:tcBorders>
          </w:tcPr>
          <w:p w14:paraId="2A74E145" w14:textId="651B0939"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9,054</w:t>
            </w:r>
          </w:p>
        </w:tc>
      </w:tr>
      <w:tr w:rsidR="00501087" w:rsidRPr="00100F0A" w14:paraId="62EFD03F" w14:textId="77777777" w:rsidTr="00501087">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090989F4" w14:textId="77777777" w:rsidR="00501087" w:rsidRPr="00100F0A" w:rsidRDefault="00501087" w:rsidP="00501087"/>
        </w:tc>
        <w:tc>
          <w:tcPr>
            <w:tcW w:w="1134" w:type="dxa"/>
            <w:tcBorders>
              <w:top w:val="dotted" w:sz="4" w:space="0" w:color="AAABD6"/>
              <w:left w:val="single" w:sz="4" w:space="0" w:color="AAABD6"/>
              <w:bottom w:val="dotted" w:sz="4" w:space="0" w:color="AAABD6"/>
              <w:right w:val="single" w:sz="4" w:space="0" w:color="AAABD6"/>
            </w:tcBorders>
            <w:vAlign w:val="center"/>
          </w:tcPr>
          <w:p w14:paraId="4DFE158E" w14:textId="41E32F3E"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r w:rsidRPr="00100F0A">
              <w:t>NSW</w:t>
            </w:r>
          </w:p>
        </w:tc>
        <w:tc>
          <w:tcPr>
            <w:tcW w:w="4332" w:type="dxa"/>
            <w:vMerge/>
            <w:tcBorders>
              <w:left w:val="single" w:sz="4" w:space="0" w:color="AAABD6"/>
              <w:right w:val="single" w:sz="4" w:space="0" w:color="AAABD6"/>
            </w:tcBorders>
          </w:tcPr>
          <w:p w14:paraId="278DC01B" w14:textId="77777777"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tcPr>
          <w:p w14:paraId="040F8548" w14:textId="78C2E72A"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124,751</w:t>
            </w:r>
          </w:p>
        </w:tc>
        <w:tc>
          <w:tcPr>
            <w:tcW w:w="708" w:type="dxa"/>
            <w:tcBorders>
              <w:top w:val="dotted" w:sz="4" w:space="0" w:color="AAABD6"/>
              <w:left w:val="single" w:sz="4" w:space="0" w:color="AAABD6"/>
              <w:bottom w:val="dotted" w:sz="4" w:space="0" w:color="AAABD6"/>
              <w:right w:val="single" w:sz="4" w:space="0" w:color="AAABD6"/>
            </w:tcBorders>
          </w:tcPr>
          <w:p w14:paraId="6278DAD8" w14:textId="77777777"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tcPr>
          <w:p w14:paraId="51707971" w14:textId="593DBCA7"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154,712</w:t>
            </w:r>
          </w:p>
        </w:tc>
      </w:tr>
      <w:tr w:rsidR="00501087" w:rsidRPr="00100F0A" w14:paraId="7842CC82" w14:textId="77777777" w:rsidTr="00501087">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61251FE5" w14:textId="77777777" w:rsidR="00501087" w:rsidRPr="00100F0A" w:rsidRDefault="00501087" w:rsidP="00501087"/>
        </w:tc>
        <w:tc>
          <w:tcPr>
            <w:tcW w:w="1134" w:type="dxa"/>
            <w:tcBorders>
              <w:top w:val="dotted" w:sz="4" w:space="0" w:color="AAABD6"/>
              <w:left w:val="single" w:sz="4" w:space="0" w:color="AAABD6"/>
              <w:bottom w:val="dotted" w:sz="4" w:space="0" w:color="AAABD6"/>
              <w:right w:val="single" w:sz="4" w:space="0" w:color="AAABD6"/>
            </w:tcBorders>
            <w:vAlign w:val="center"/>
          </w:tcPr>
          <w:p w14:paraId="6845705A" w14:textId="77777777"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r w:rsidRPr="00100F0A">
              <w:t>NT</w:t>
            </w:r>
          </w:p>
        </w:tc>
        <w:tc>
          <w:tcPr>
            <w:tcW w:w="4332" w:type="dxa"/>
            <w:vMerge/>
            <w:tcBorders>
              <w:left w:val="single" w:sz="4" w:space="0" w:color="AAABD6"/>
              <w:right w:val="single" w:sz="4" w:space="0" w:color="AAABD6"/>
            </w:tcBorders>
          </w:tcPr>
          <w:p w14:paraId="4AF41692" w14:textId="77777777"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tcPr>
          <w:p w14:paraId="1112ABC5" w14:textId="682B34CF"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4,134</w:t>
            </w:r>
          </w:p>
        </w:tc>
        <w:tc>
          <w:tcPr>
            <w:tcW w:w="708" w:type="dxa"/>
            <w:tcBorders>
              <w:top w:val="dotted" w:sz="4" w:space="0" w:color="AAABD6"/>
              <w:left w:val="single" w:sz="4" w:space="0" w:color="AAABD6"/>
              <w:bottom w:val="dotted" w:sz="4" w:space="0" w:color="AAABD6"/>
              <w:right w:val="single" w:sz="4" w:space="0" w:color="AAABD6"/>
            </w:tcBorders>
          </w:tcPr>
          <w:p w14:paraId="1454580C" w14:textId="02877135"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tcPr>
          <w:p w14:paraId="02C26FAC" w14:textId="307B308E"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5,492</w:t>
            </w:r>
          </w:p>
        </w:tc>
      </w:tr>
      <w:tr w:rsidR="00501087" w:rsidRPr="00100F0A" w14:paraId="0E55593C" w14:textId="77777777" w:rsidTr="00501087">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35AC8BD1" w14:textId="77777777" w:rsidR="00501087" w:rsidRPr="00100F0A" w:rsidRDefault="00501087" w:rsidP="00501087"/>
        </w:tc>
        <w:tc>
          <w:tcPr>
            <w:tcW w:w="1134" w:type="dxa"/>
            <w:tcBorders>
              <w:top w:val="dotted" w:sz="4" w:space="0" w:color="AAABD6"/>
              <w:left w:val="single" w:sz="4" w:space="0" w:color="AAABD6"/>
              <w:bottom w:val="dotted" w:sz="4" w:space="0" w:color="AAABD6"/>
              <w:right w:val="single" w:sz="4" w:space="0" w:color="AAABD6"/>
            </w:tcBorders>
            <w:vAlign w:val="center"/>
          </w:tcPr>
          <w:p w14:paraId="377CB3C2" w14:textId="77777777"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r w:rsidRPr="00100F0A">
              <w:t>Qld</w:t>
            </w:r>
          </w:p>
        </w:tc>
        <w:tc>
          <w:tcPr>
            <w:tcW w:w="4332" w:type="dxa"/>
            <w:vMerge/>
            <w:tcBorders>
              <w:left w:val="single" w:sz="4" w:space="0" w:color="AAABD6"/>
              <w:right w:val="single" w:sz="4" w:space="0" w:color="AAABD6"/>
            </w:tcBorders>
          </w:tcPr>
          <w:p w14:paraId="4608E35B" w14:textId="77777777"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tcPr>
          <w:p w14:paraId="5E06F7A4" w14:textId="5C95E175"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81,523</w:t>
            </w:r>
          </w:p>
        </w:tc>
        <w:tc>
          <w:tcPr>
            <w:tcW w:w="708" w:type="dxa"/>
            <w:tcBorders>
              <w:top w:val="dotted" w:sz="4" w:space="0" w:color="AAABD6"/>
              <w:left w:val="single" w:sz="4" w:space="0" w:color="AAABD6"/>
              <w:bottom w:val="dotted" w:sz="4" w:space="0" w:color="AAABD6"/>
              <w:right w:val="single" w:sz="4" w:space="0" w:color="AAABD6"/>
            </w:tcBorders>
          </w:tcPr>
          <w:p w14:paraId="4C5749C3" w14:textId="210EAAFD"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tcPr>
          <w:p w14:paraId="4BB588FE" w14:textId="010281EB"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112,644</w:t>
            </w:r>
          </w:p>
        </w:tc>
      </w:tr>
      <w:tr w:rsidR="00501087" w:rsidRPr="00100F0A" w14:paraId="6998087A" w14:textId="77777777" w:rsidTr="00501087">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7B4D07EB" w14:textId="77777777" w:rsidR="00501087" w:rsidRPr="00100F0A" w:rsidRDefault="00501087" w:rsidP="00501087"/>
        </w:tc>
        <w:tc>
          <w:tcPr>
            <w:tcW w:w="1134" w:type="dxa"/>
            <w:tcBorders>
              <w:top w:val="dotted" w:sz="4" w:space="0" w:color="AAABD6"/>
              <w:left w:val="single" w:sz="4" w:space="0" w:color="AAABD6"/>
              <w:bottom w:val="dotted" w:sz="4" w:space="0" w:color="AAABD6"/>
              <w:right w:val="single" w:sz="4" w:space="0" w:color="AAABD6"/>
            </w:tcBorders>
            <w:vAlign w:val="center"/>
          </w:tcPr>
          <w:p w14:paraId="5535BA41" w14:textId="77777777"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r w:rsidRPr="00100F0A">
              <w:t>SA</w:t>
            </w:r>
          </w:p>
        </w:tc>
        <w:tc>
          <w:tcPr>
            <w:tcW w:w="4332" w:type="dxa"/>
            <w:vMerge/>
            <w:tcBorders>
              <w:left w:val="single" w:sz="4" w:space="0" w:color="AAABD6"/>
              <w:right w:val="single" w:sz="4" w:space="0" w:color="AAABD6"/>
            </w:tcBorders>
          </w:tcPr>
          <w:p w14:paraId="0937416F" w14:textId="77777777"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tcPr>
          <w:p w14:paraId="27D5EF6E" w14:textId="7CF733CC"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27,847</w:t>
            </w:r>
          </w:p>
        </w:tc>
        <w:tc>
          <w:tcPr>
            <w:tcW w:w="708" w:type="dxa"/>
            <w:tcBorders>
              <w:top w:val="dotted" w:sz="4" w:space="0" w:color="AAABD6"/>
              <w:left w:val="single" w:sz="4" w:space="0" w:color="AAABD6"/>
              <w:bottom w:val="dotted" w:sz="4" w:space="0" w:color="AAABD6"/>
              <w:right w:val="single" w:sz="4" w:space="0" w:color="AAABD6"/>
            </w:tcBorders>
          </w:tcPr>
          <w:p w14:paraId="554F19F7" w14:textId="4AC2703F"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tcPr>
          <w:p w14:paraId="56A3EBC0" w14:textId="583ECF0A"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32,914</w:t>
            </w:r>
          </w:p>
        </w:tc>
      </w:tr>
      <w:tr w:rsidR="00501087" w:rsidRPr="00100F0A" w14:paraId="198DD2B8" w14:textId="77777777" w:rsidTr="00501087">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088A2776" w14:textId="77777777" w:rsidR="00501087" w:rsidRPr="00100F0A" w:rsidRDefault="00501087" w:rsidP="00501087"/>
        </w:tc>
        <w:tc>
          <w:tcPr>
            <w:tcW w:w="1134" w:type="dxa"/>
            <w:tcBorders>
              <w:top w:val="dotted" w:sz="4" w:space="0" w:color="AAABD6"/>
              <w:left w:val="single" w:sz="4" w:space="0" w:color="AAABD6"/>
              <w:bottom w:val="dotted" w:sz="4" w:space="0" w:color="AAABD6"/>
              <w:right w:val="single" w:sz="4" w:space="0" w:color="AAABD6"/>
            </w:tcBorders>
            <w:vAlign w:val="center"/>
          </w:tcPr>
          <w:p w14:paraId="37188600" w14:textId="77777777"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r w:rsidRPr="00100F0A">
              <w:t>Tas</w:t>
            </w:r>
          </w:p>
        </w:tc>
        <w:tc>
          <w:tcPr>
            <w:tcW w:w="4332" w:type="dxa"/>
            <w:vMerge/>
            <w:tcBorders>
              <w:left w:val="single" w:sz="4" w:space="0" w:color="AAABD6"/>
              <w:right w:val="single" w:sz="4" w:space="0" w:color="AAABD6"/>
            </w:tcBorders>
          </w:tcPr>
          <w:p w14:paraId="42D98751" w14:textId="77777777"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tcPr>
          <w:p w14:paraId="2E28F5AF" w14:textId="328B0156"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8,350</w:t>
            </w:r>
          </w:p>
        </w:tc>
        <w:tc>
          <w:tcPr>
            <w:tcW w:w="708" w:type="dxa"/>
            <w:tcBorders>
              <w:top w:val="dotted" w:sz="4" w:space="0" w:color="AAABD6"/>
              <w:left w:val="single" w:sz="4" w:space="0" w:color="AAABD6"/>
              <w:bottom w:val="dotted" w:sz="4" w:space="0" w:color="AAABD6"/>
              <w:right w:val="single" w:sz="4" w:space="0" w:color="AAABD6"/>
            </w:tcBorders>
          </w:tcPr>
          <w:p w14:paraId="74660A72" w14:textId="2059048B"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tcPr>
          <w:p w14:paraId="09ABA962" w14:textId="7C999516"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9,088</w:t>
            </w:r>
          </w:p>
        </w:tc>
      </w:tr>
      <w:tr w:rsidR="00501087" w:rsidRPr="00100F0A" w14:paraId="1AA28580" w14:textId="77777777" w:rsidTr="00501087">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70D9A692" w14:textId="77777777" w:rsidR="00501087" w:rsidRPr="00100F0A" w:rsidRDefault="00501087" w:rsidP="00501087"/>
        </w:tc>
        <w:tc>
          <w:tcPr>
            <w:tcW w:w="1134" w:type="dxa"/>
            <w:tcBorders>
              <w:top w:val="dotted" w:sz="4" w:space="0" w:color="AAABD6"/>
              <w:left w:val="single" w:sz="4" w:space="0" w:color="AAABD6"/>
              <w:bottom w:val="dotted" w:sz="4" w:space="0" w:color="AAABD6"/>
              <w:right w:val="single" w:sz="4" w:space="0" w:color="AAABD6"/>
            </w:tcBorders>
            <w:vAlign w:val="center"/>
          </w:tcPr>
          <w:p w14:paraId="68D8250D" w14:textId="77777777"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r w:rsidRPr="00100F0A">
              <w:t>Vic</w:t>
            </w:r>
          </w:p>
        </w:tc>
        <w:tc>
          <w:tcPr>
            <w:tcW w:w="4332" w:type="dxa"/>
            <w:vMerge/>
            <w:tcBorders>
              <w:left w:val="single" w:sz="4" w:space="0" w:color="AAABD6"/>
              <w:right w:val="single" w:sz="4" w:space="0" w:color="AAABD6"/>
            </w:tcBorders>
          </w:tcPr>
          <w:p w14:paraId="471240DC" w14:textId="77777777"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tcPr>
          <w:p w14:paraId="224F094C" w14:textId="19BF0D32"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98,792</w:t>
            </w:r>
          </w:p>
        </w:tc>
        <w:tc>
          <w:tcPr>
            <w:tcW w:w="708" w:type="dxa"/>
            <w:tcBorders>
              <w:top w:val="dotted" w:sz="4" w:space="0" w:color="AAABD6"/>
              <w:left w:val="single" w:sz="4" w:space="0" w:color="AAABD6"/>
              <w:bottom w:val="dotted" w:sz="4" w:space="0" w:color="AAABD6"/>
              <w:right w:val="single" w:sz="4" w:space="0" w:color="AAABD6"/>
            </w:tcBorders>
          </w:tcPr>
          <w:p w14:paraId="4D246620" w14:textId="1210124E"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tcPr>
          <w:p w14:paraId="086EB857" w14:textId="2AF96C39"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130,918</w:t>
            </w:r>
          </w:p>
        </w:tc>
      </w:tr>
      <w:tr w:rsidR="00501087" w:rsidRPr="00100F0A" w14:paraId="200B6320" w14:textId="77777777" w:rsidTr="00501087">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bottom w:val="single" w:sz="4" w:space="0" w:color="AAABD6"/>
              <w:right w:val="single" w:sz="4" w:space="0" w:color="AAABD6"/>
            </w:tcBorders>
          </w:tcPr>
          <w:p w14:paraId="67E83333" w14:textId="77777777" w:rsidR="00501087" w:rsidRPr="00100F0A" w:rsidRDefault="00501087" w:rsidP="00501087"/>
        </w:tc>
        <w:tc>
          <w:tcPr>
            <w:tcW w:w="1134" w:type="dxa"/>
            <w:tcBorders>
              <w:top w:val="dotted" w:sz="4" w:space="0" w:color="AAABD6"/>
              <w:left w:val="single" w:sz="4" w:space="0" w:color="AAABD6"/>
              <w:bottom w:val="single" w:sz="4" w:space="0" w:color="AAABD6"/>
              <w:right w:val="single" w:sz="4" w:space="0" w:color="AAABD6"/>
            </w:tcBorders>
            <w:vAlign w:val="center"/>
          </w:tcPr>
          <w:p w14:paraId="5201121A" w14:textId="77777777"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r w:rsidRPr="00100F0A">
              <w:t>WA</w:t>
            </w:r>
          </w:p>
        </w:tc>
        <w:tc>
          <w:tcPr>
            <w:tcW w:w="4332" w:type="dxa"/>
            <w:vMerge/>
            <w:tcBorders>
              <w:left w:val="single" w:sz="4" w:space="0" w:color="AAABD6"/>
              <w:bottom w:val="single" w:sz="4" w:space="0" w:color="AAABD6"/>
              <w:right w:val="single" w:sz="4" w:space="0" w:color="AAABD6"/>
            </w:tcBorders>
          </w:tcPr>
          <w:p w14:paraId="0E2062D7" w14:textId="77777777" w:rsidR="00501087" w:rsidRPr="00100F0A" w:rsidRDefault="00501087" w:rsidP="00501087">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single" w:sz="4" w:space="0" w:color="AAABD6"/>
              <w:right w:val="single" w:sz="4" w:space="0" w:color="AAABD6"/>
            </w:tcBorders>
          </w:tcPr>
          <w:p w14:paraId="0B7C7B18" w14:textId="5169FF8B"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46,077</w:t>
            </w:r>
          </w:p>
        </w:tc>
        <w:tc>
          <w:tcPr>
            <w:tcW w:w="708" w:type="dxa"/>
            <w:tcBorders>
              <w:top w:val="dotted" w:sz="4" w:space="0" w:color="AAABD6"/>
              <w:left w:val="single" w:sz="4" w:space="0" w:color="AAABD6"/>
              <w:bottom w:val="single" w:sz="4" w:space="0" w:color="AAABD6"/>
              <w:right w:val="single" w:sz="4" w:space="0" w:color="AAABD6"/>
            </w:tcBorders>
          </w:tcPr>
          <w:p w14:paraId="418B08E8" w14:textId="0D9AEA98"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single" w:sz="4" w:space="0" w:color="AAABD6"/>
              <w:right w:val="single" w:sz="4" w:space="0" w:color="AAABD6"/>
            </w:tcBorders>
          </w:tcPr>
          <w:p w14:paraId="0DE1872C" w14:textId="3DB98AAB" w:rsidR="00501087" w:rsidRPr="00100F0A" w:rsidRDefault="00501087" w:rsidP="00501087">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71,483</w:t>
            </w:r>
          </w:p>
        </w:tc>
      </w:tr>
      <w:tr w:rsidR="00683794" w:rsidRPr="00100F0A" w14:paraId="077C982C" w14:textId="77777777" w:rsidTr="00683794">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AABD6"/>
              <w:left w:val="single" w:sz="4" w:space="0" w:color="AAABD6"/>
              <w:bottom w:val="single" w:sz="4" w:space="0" w:color="AAABD6"/>
              <w:right w:val="single" w:sz="4" w:space="0" w:color="AAABD6"/>
            </w:tcBorders>
          </w:tcPr>
          <w:p w14:paraId="2F8B20F8" w14:textId="7B92A051" w:rsidR="00683794" w:rsidRPr="00100F0A" w:rsidRDefault="00683794" w:rsidP="00683794">
            <w:pPr>
              <w:rPr>
                <w:color w:val="000000" w:themeColor="text1"/>
              </w:rPr>
            </w:pPr>
            <w:r w:rsidRPr="00100F0A">
              <w:rPr>
                <w:iCs/>
                <w:color w:val="4D4DB8"/>
                <w:szCs w:val="18"/>
              </w:rPr>
              <w:t>Stockpiles – absolute tonnes pa</w:t>
            </w:r>
          </w:p>
        </w:tc>
      </w:tr>
      <w:tr w:rsidR="007501B3" w:rsidRPr="00100F0A" w14:paraId="1F7692AF" w14:textId="77777777" w:rsidTr="004206B0">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AABD6"/>
              <w:left w:val="single" w:sz="4" w:space="0" w:color="AAABD6"/>
              <w:bottom w:val="single" w:sz="4" w:space="0" w:color="AAABD6"/>
              <w:right w:val="single" w:sz="4" w:space="0" w:color="AAABD6"/>
            </w:tcBorders>
          </w:tcPr>
          <w:p w14:paraId="4F3115CD" w14:textId="077855D3" w:rsidR="007501B3" w:rsidRPr="00100F0A" w:rsidRDefault="007501B3" w:rsidP="007501B3">
            <w:r>
              <w:t>Low</w:t>
            </w:r>
          </w:p>
        </w:tc>
        <w:tc>
          <w:tcPr>
            <w:tcW w:w="0" w:type="dxa"/>
            <w:tcBorders>
              <w:top w:val="single" w:sz="4" w:space="0" w:color="AAABD6"/>
              <w:left w:val="single" w:sz="4" w:space="0" w:color="AAABD6"/>
              <w:bottom w:val="single" w:sz="4" w:space="0" w:color="AAABD6"/>
              <w:right w:val="single" w:sz="4" w:space="0" w:color="AAABD6"/>
            </w:tcBorders>
            <w:vAlign w:val="center"/>
          </w:tcPr>
          <w:p w14:paraId="291E42E6" w14:textId="784490C8"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r w:rsidRPr="00100F0A">
              <w:t>All</w:t>
            </w:r>
          </w:p>
        </w:tc>
        <w:tc>
          <w:tcPr>
            <w:tcW w:w="0" w:type="dxa"/>
            <w:tcBorders>
              <w:top w:val="single" w:sz="4" w:space="0" w:color="AAABD6"/>
              <w:left w:val="single" w:sz="4" w:space="0" w:color="AAABD6"/>
              <w:bottom w:val="single" w:sz="4" w:space="0" w:color="AAABD6"/>
              <w:right w:val="single" w:sz="4" w:space="0" w:color="AAABD6"/>
            </w:tcBorders>
            <w:vAlign w:val="center"/>
          </w:tcPr>
          <w:p w14:paraId="08F93AD7" w14:textId="43AA110D" w:rsidR="007501B3" w:rsidRPr="00100F0A" w:rsidRDefault="007501B3" w:rsidP="00B30B8D">
            <w:pPr>
              <w:cnfStyle w:val="000000000000" w:firstRow="0" w:lastRow="0" w:firstColumn="0" w:lastColumn="0" w:oddVBand="0" w:evenVBand="0" w:oddHBand="0" w:evenHBand="0" w:firstRowFirstColumn="0" w:firstRowLastColumn="0" w:lastRowFirstColumn="0" w:lastRowLastColumn="0"/>
              <w:rPr>
                <w:iCs/>
                <w:color w:val="4D4DB8"/>
                <w:szCs w:val="18"/>
              </w:rPr>
            </w:pPr>
            <w:r>
              <w:rPr>
                <w:rFonts w:cs="Calibri"/>
                <w:color w:val="000000"/>
              </w:rPr>
              <w:t>Stockpiles - no new additions and no releases</w:t>
            </w:r>
          </w:p>
        </w:tc>
        <w:tc>
          <w:tcPr>
            <w:tcW w:w="0" w:type="dxa"/>
            <w:tcBorders>
              <w:top w:val="single" w:sz="4" w:space="0" w:color="AAABD6"/>
              <w:left w:val="single" w:sz="4" w:space="0" w:color="AAABD6"/>
              <w:bottom w:val="single" w:sz="4" w:space="0" w:color="AAABD6"/>
              <w:right w:val="single" w:sz="4" w:space="0" w:color="AAABD6"/>
            </w:tcBorders>
          </w:tcPr>
          <w:p w14:paraId="5C52EFF1" w14:textId="0817FC2A"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0" w:type="dxa"/>
            <w:tcBorders>
              <w:top w:val="single" w:sz="4" w:space="0" w:color="AAABD6"/>
              <w:left w:val="single" w:sz="4" w:space="0" w:color="AAABD6"/>
              <w:bottom w:val="single" w:sz="4" w:space="0" w:color="AAABD6"/>
              <w:right w:val="single" w:sz="4" w:space="0" w:color="AAABD6"/>
            </w:tcBorders>
          </w:tcPr>
          <w:p w14:paraId="74CBE656" w14:textId="0B267BCD"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0" w:type="dxa"/>
            <w:tcBorders>
              <w:top w:val="single" w:sz="4" w:space="0" w:color="AAABD6"/>
              <w:left w:val="single" w:sz="4" w:space="0" w:color="AAABD6"/>
              <w:bottom w:val="single" w:sz="4" w:space="0" w:color="AAABD6"/>
              <w:right w:val="single" w:sz="4" w:space="0" w:color="AAABD6"/>
            </w:tcBorders>
          </w:tcPr>
          <w:p w14:paraId="4D505FC3" w14:textId="0F7F4172"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color w:val="000000" w:themeColor="text1"/>
              </w:rPr>
              <w:t>-</w:t>
            </w:r>
          </w:p>
        </w:tc>
      </w:tr>
      <w:tr w:rsidR="007501B3" w:rsidRPr="00100F0A" w14:paraId="23A35416" w14:textId="77777777" w:rsidTr="004206B0">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4" w:space="0" w:color="AAABD6"/>
              <w:left w:val="single" w:sz="4" w:space="0" w:color="AAABD6"/>
              <w:right w:val="single" w:sz="4" w:space="0" w:color="AAABD6"/>
            </w:tcBorders>
            <w:vAlign w:val="center"/>
          </w:tcPr>
          <w:p w14:paraId="51E68DCD" w14:textId="6E5CFEE1" w:rsidR="007501B3" w:rsidRPr="00100F0A" w:rsidRDefault="007501B3" w:rsidP="007501B3">
            <w:r>
              <w:t>Best</w:t>
            </w:r>
          </w:p>
        </w:tc>
        <w:tc>
          <w:tcPr>
            <w:tcW w:w="0" w:type="dxa"/>
            <w:tcBorders>
              <w:top w:val="single" w:sz="4" w:space="0" w:color="AAABD6"/>
              <w:left w:val="single" w:sz="4" w:space="0" w:color="AAABD6"/>
              <w:bottom w:val="dotted" w:sz="4" w:space="0" w:color="AAABD6"/>
              <w:right w:val="single" w:sz="4" w:space="0" w:color="AAABD6"/>
            </w:tcBorders>
            <w:vAlign w:val="center"/>
          </w:tcPr>
          <w:p w14:paraId="14DAC5B2" w14:textId="14822D07"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r w:rsidRPr="00100F0A">
              <w:t>ACT</w:t>
            </w:r>
          </w:p>
        </w:tc>
        <w:tc>
          <w:tcPr>
            <w:tcW w:w="0" w:type="dxa"/>
            <w:vMerge w:val="restart"/>
            <w:tcBorders>
              <w:top w:val="single" w:sz="4" w:space="0" w:color="AAABD6"/>
              <w:left w:val="single" w:sz="4" w:space="0" w:color="AAABD6"/>
              <w:right w:val="single" w:sz="4" w:space="0" w:color="AAABD6"/>
            </w:tcBorders>
            <w:vAlign w:val="center"/>
          </w:tcPr>
          <w:p w14:paraId="27DEF770" w14:textId="7CD3B9AD"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r>
              <w:rPr>
                <w:rFonts w:cs="Calibri"/>
                <w:color w:val="000000"/>
              </w:rPr>
              <w:t>Stockpiles - no new additions and 5% per annum cleared to recycling infrastructure from 2018 until 50% cleared</w:t>
            </w:r>
          </w:p>
        </w:tc>
        <w:tc>
          <w:tcPr>
            <w:tcW w:w="0" w:type="dxa"/>
            <w:tcBorders>
              <w:top w:val="single" w:sz="4" w:space="0" w:color="AAABD6"/>
              <w:left w:val="single" w:sz="4" w:space="0" w:color="AAABD6"/>
              <w:bottom w:val="dotted" w:sz="4" w:space="0" w:color="AAABD6"/>
              <w:right w:val="single" w:sz="4" w:space="0" w:color="AAABD6"/>
            </w:tcBorders>
            <w:vAlign w:val="bottom"/>
          </w:tcPr>
          <w:p w14:paraId="2FC738E3" w14:textId="61872DD0"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rFonts w:cs="Calibri"/>
              </w:rPr>
              <w:t>363</w:t>
            </w:r>
          </w:p>
        </w:tc>
        <w:tc>
          <w:tcPr>
            <w:tcW w:w="0" w:type="dxa"/>
            <w:tcBorders>
              <w:top w:val="single" w:sz="4" w:space="0" w:color="AAABD6"/>
              <w:left w:val="single" w:sz="4" w:space="0" w:color="AAABD6"/>
              <w:bottom w:val="dotted" w:sz="4" w:space="0" w:color="AAABD6"/>
              <w:right w:val="single" w:sz="4" w:space="0" w:color="AAABD6"/>
            </w:tcBorders>
          </w:tcPr>
          <w:p w14:paraId="08DE34F5" w14:textId="2073CEB7"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0" w:type="dxa"/>
            <w:tcBorders>
              <w:top w:val="single" w:sz="4" w:space="0" w:color="AAABD6"/>
              <w:left w:val="single" w:sz="4" w:space="0" w:color="AAABD6"/>
              <w:bottom w:val="dotted" w:sz="4" w:space="0" w:color="AAABD6"/>
              <w:right w:val="single" w:sz="4" w:space="0" w:color="AAABD6"/>
            </w:tcBorders>
          </w:tcPr>
          <w:p w14:paraId="4FA26256" w14:textId="17E066C6"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0</w:t>
            </w:r>
          </w:p>
        </w:tc>
      </w:tr>
      <w:tr w:rsidR="007501B3" w:rsidRPr="00100F0A" w14:paraId="5B42C834" w14:textId="77777777" w:rsidTr="004206B0">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vAlign w:val="center"/>
          </w:tcPr>
          <w:p w14:paraId="4BDD9779" w14:textId="77777777" w:rsidR="007501B3" w:rsidRPr="00100F0A" w:rsidRDefault="007501B3" w:rsidP="007501B3"/>
        </w:tc>
        <w:tc>
          <w:tcPr>
            <w:tcW w:w="0" w:type="dxa"/>
            <w:tcBorders>
              <w:top w:val="dotted" w:sz="4" w:space="0" w:color="AAABD6"/>
              <w:left w:val="single" w:sz="4" w:space="0" w:color="AAABD6"/>
              <w:bottom w:val="dotted" w:sz="4" w:space="0" w:color="AAABD6"/>
              <w:right w:val="single" w:sz="4" w:space="0" w:color="AAABD6"/>
            </w:tcBorders>
            <w:vAlign w:val="center"/>
          </w:tcPr>
          <w:p w14:paraId="0F08E1BD" w14:textId="7B3E3ABF"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r w:rsidRPr="00100F0A">
              <w:t>NSW</w:t>
            </w:r>
          </w:p>
        </w:tc>
        <w:tc>
          <w:tcPr>
            <w:tcW w:w="0" w:type="dxa"/>
            <w:vMerge/>
            <w:tcBorders>
              <w:left w:val="single" w:sz="4" w:space="0" w:color="AAABD6"/>
              <w:right w:val="single" w:sz="4" w:space="0" w:color="AAABD6"/>
            </w:tcBorders>
            <w:vAlign w:val="center"/>
          </w:tcPr>
          <w:p w14:paraId="62C8CEE6" w14:textId="77777777"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p>
        </w:tc>
        <w:tc>
          <w:tcPr>
            <w:tcW w:w="0" w:type="dxa"/>
            <w:tcBorders>
              <w:top w:val="dotted" w:sz="4" w:space="0" w:color="AAABD6"/>
              <w:left w:val="single" w:sz="4" w:space="0" w:color="AAABD6"/>
              <w:bottom w:val="dotted" w:sz="4" w:space="0" w:color="AAABD6"/>
              <w:right w:val="single" w:sz="4" w:space="0" w:color="AAABD6"/>
            </w:tcBorders>
            <w:vAlign w:val="bottom"/>
          </w:tcPr>
          <w:p w14:paraId="4CB63315" w14:textId="19F56A18"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rFonts w:cs="Calibri"/>
              </w:rPr>
              <w:t>10,038</w:t>
            </w:r>
          </w:p>
        </w:tc>
        <w:tc>
          <w:tcPr>
            <w:tcW w:w="0" w:type="dxa"/>
            <w:tcBorders>
              <w:top w:val="dotted" w:sz="4" w:space="0" w:color="AAABD6"/>
              <w:left w:val="single" w:sz="4" w:space="0" w:color="AAABD6"/>
              <w:bottom w:val="dotted" w:sz="4" w:space="0" w:color="AAABD6"/>
              <w:right w:val="single" w:sz="4" w:space="0" w:color="AAABD6"/>
            </w:tcBorders>
          </w:tcPr>
          <w:p w14:paraId="04D28B31" w14:textId="15CE120F"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0" w:type="dxa"/>
            <w:tcBorders>
              <w:top w:val="dotted" w:sz="4" w:space="0" w:color="AAABD6"/>
              <w:left w:val="single" w:sz="4" w:space="0" w:color="AAABD6"/>
              <w:bottom w:val="dotted" w:sz="4" w:space="0" w:color="AAABD6"/>
              <w:right w:val="single" w:sz="4" w:space="0" w:color="AAABD6"/>
            </w:tcBorders>
          </w:tcPr>
          <w:p w14:paraId="1C32931F" w14:textId="16D38130"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0</w:t>
            </w:r>
          </w:p>
        </w:tc>
      </w:tr>
      <w:tr w:rsidR="007501B3" w:rsidRPr="00100F0A" w14:paraId="5E9CF73E" w14:textId="77777777" w:rsidTr="004206B0">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vAlign w:val="center"/>
          </w:tcPr>
          <w:p w14:paraId="15CDECC8" w14:textId="77777777" w:rsidR="007501B3" w:rsidRPr="00100F0A" w:rsidRDefault="007501B3" w:rsidP="007501B3"/>
        </w:tc>
        <w:tc>
          <w:tcPr>
            <w:tcW w:w="0" w:type="dxa"/>
            <w:tcBorders>
              <w:top w:val="dotted" w:sz="4" w:space="0" w:color="AAABD6"/>
              <w:left w:val="single" w:sz="4" w:space="0" w:color="AAABD6"/>
              <w:bottom w:val="dotted" w:sz="4" w:space="0" w:color="AAABD6"/>
              <w:right w:val="single" w:sz="4" w:space="0" w:color="AAABD6"/>
            </w:tcBorders>
            <w:vAlign w:val="center"/>
          </w:tcPr>
          <w:p w14:paraId="18016C55" w14:textId="1DE66982"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r w:rsidRPr="00100F0A">
              <w:t>NT</w:t>
            </w:r>
          </w:p>
        </w:tc>
        <w:tc>
          <w:tcPr>
            <w:tcW w:w="0" w:type="dxa"/>
            <w:vMerge/>
            <w:tcBorders>
              <w:left w:val="single" w:sz="4" w:space="0" w:color="AAABD6"/>
              <w:right w:val="single" w:sz="4" w:space="0" w:color="AAABD6"/>
            </w:tcBorders>
            <w:vAlign w:val="center"/>
          </w:tcPr>
          <w:p w14:paraId="09A5AAC9" w14:textId="77777777"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p>
        </w:tc>
        <w:tc>
          <w:tcPr>
            <w:tcW w:w="0" w:type="dxa"/>
            <w:tcBorders>
              <w:top w:val="dotted" w:sz="4" w:space="0" w:color="AAABD6"/>
              <w:left w:val="single" w:sz="4" w:space="0" w:color="AAABD6"/>
              <w:bottom w:val="dotted" w:sz="4" w:space="0" w:color="AAABD6"/>
              <w:right w:val="single" w:sz="4" w:space="0" w:color="AAABD6"/>
            </w:tcBorders>
            <w:vAlign w:val="bottom"/>
          </w:tcPr>
          <w:p w14:paraId="33959373" w14:textId="76F3D2E9"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rFonts w:cs="Calibri"/>
              </w:rPr>
              <w:t>550</w:t>
            </w:r>
          </w:p>
        </w:tc>
        <w:tc>
          <w:tcPr>
            <w:tcW w:w="0" w:type="dxa"/>
            <w:tcBorders>
              <w:top w:val="dotted" w:sz="4" w:space="0" w:color="AAABD6"/>
              <w:left w:val="single" w:sz="4" w:space="0" w:color="AAABD6"/>
              <w:bottom w:val="dotted" w:sz="4" w:space="0" w:color="AAABD6"/>
              <w:right w:val="single" w:sz="4" w:space="0" w:color="AAABD6"/>
            </w:tcBorders>
          </w:tcPr>
          <w:p w14:paraId="0C465F9F" w14:textId="1D97792E"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0" w:type="dxa"/>
            <w:tcBorders>
              <w:top w:val="dotted" w:sz="4" w:space="0" w:color="AAABD6"/>
              <w:left w:val="single" w:sz="4" w:space="0" w:color="AAABD6"/>
              <w:bottom w:val="dotted" w:sz="4" w:space="0" w:color="AAABD6"/>
              <w:right w:val="single" w:sz="4" w:space="0" w:color="AAABD6"/>
            </w:tcBorders>
          </w:tcPr>
          <w:p w14:paraId="02CF1D20" w14:textId="4B0FDE50"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0</w:t>
            </w:r>
          </w:p>
        </w:tc>
      </w:tr>
      <w:tr w:rsidR="007501B3" w:rsidRPr="00100F0A" w14:paraId="35036F18" w14:textId="77777777" w:rsidTr="004206B0">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vAlign w:val="center"/>
          </w:tcPr>
          <w:p w14:paraId="2C0758B8" w14:textId="77777777" w:rsidR="007501B3" w:rsidRPr="00100F0A" w:rsidRDefault="007501B3" w:rsidP="007501B3"/>
        </w:tc>
        <w:tc>
          <w:tcPr>
            <w:tcW w:w="0" w:type="dxa"/>
            <w:tcBorders>
              <w:top w:val="dotted" w:sz="4" w:space="0" w:color="AAABD6"/>
              <w:left w:val="single" w:sz="4" w:space="0" w:color="AAABD6"/>
              <w:bottom w:val="dotted" w:sz="4" w:space="0" w:color="AAABD6"/>
              <w:right w:val="single" w:sz="4" w:space="0" w:color="AAABD6"/>
            </w:tcBorders>
            <w:vAlign w:val="center"/>
          </w:tcPr>
          <w:p w14:paraId="30E35EEA" w14:textId="28F493BF"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r w:rsidRPr="00100F0A">
              <w:t>Qld</w:t>
            </w:r>
          </w:p>
        </w:tc>
        <w:tc>
          <w:tcPr>
            <w:tcW w:w="0" w:type="dxa"/>
            <w:vMerge/>
            <w:tcBorders>
              <w:left w:val="single" w:sz="4" w:space="0" w:color="AAABD6"/>
              <w:right w:val="single" w:sz="4" w:space="0" w:color="AAABD6"/>
            </w:tcBorders>
            <w:vAlign w:val="center"/>
          </w:tcPr>
          <w:p w14:paraId="1DBD0935" w14:textId="77777777"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p>
        </w:tc>
        <w:tc>
          <w:tcPr>
            <w:tcW w:w="0" w:type="dxa"/>
            <w:tcBorders>
              <w:top w:val="dotted" w:sz="4" w:space="0" w:color="AAABD6"/>
              <w:left w:val="single" w:sz="4" w:space="0" w:color="AAABD6"/>
              <w:bottom w:val="dotted" w:sz="4" w:space="0" w:color="AAABD6"/>
              <w:right w:val="single" w:sz="4" w:space="0" w:color="AAABD6"/>
            </w:tcBorders>
            <w:vAlign w:val="bottom"/>
          </w:tcPr>
          <w:p w14:paraId="7816F3B1" w14:textId="02EF3DB1"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rFonts w:cs="Calibri"/>
              </w:rPr>
              <w:t>8,075</w:t>
            </w:r>
          </w:p>
        </w:tc>
        <w:tc>
          <w:tcPr>
            <w:tcW w:w="0" w:type="dxa"/>
            <w:tcBorders>
              <w:top w:val="dotted" w:sz="4" w:space="0" w:color="AAABD6"/>
              <w:left w:val="single" w:sz="4" w:space="0" w:color="AAABD6"/>
              <w:bottom w:val="dotted" w:sz="4" w:space="0" w:color="AAABD6"/>
              <w:right w:val="single" w:sz="4" w:space="0" w:color="AAABD6"/>
            </w:tcBorders>
          </w:tcPr>
          <w:p w14:paraId="238FCB68" w14:textId="5710A83C"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0" w:type="dxa"/>
            <w:tcBorders>
              <w:top w:val="dotted" w:sz="4" w:space="0" w:color="AAABD6"/>
              <w:left w:val="single" w:sz="4" w:space="0" w:color="AAABD6"/>
              <w:bottom w:val="dotted" w:sz="4" w:space="0" w:color="AAABD6"/>
              <w:right w:val="single" w:sz="4" w:space="0" w:color="AAABD6"/>
            </w:tcBorders>
          </w:tcPr>
          <w:p w14:paraId="5E7B233B" w14:textId="3AD06EAA"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0</w:t>
            </w:r>
          </w:p>
        </w:tc>
      </w:tr>
      <w:tr w:rsidR="007501B3" w:rsidRPr="00100F0A" w14:paraId="2484A0EF" w14:textId="77777777" w:rsidTr="004206B0">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vAlign w:val="center"/>
          </w:tcPr>
          <w:p w14:paraId="5FC9AB55" w14:textId="77777777" w:rsidR="007501B3" w:rsidRPr="00100F0A" w:rsidRDefault="007501B3" w:rsidP="007501B3"/>
        </w:tc>
        <w:tc>
          <w:tcPr>
            <w:tcW w:w="0" w:type="dxa"/>
            <w:tcBorders>
              <w:top w:val="dotted" w:sz="4" w:space="0" w:color="AAABD6"/>
              <w:left w:val="single" w:sz="4" w:space="0" w:color="AAABD6"/>
              <w:bottom w:val="dotted" w:sz="4" w:space="0" w:color="AAABD6"/>
              <w:right w:val="single" w:sz="4" w:space="0" w:color="AAABD6"/>
            </w:tcBorders>
            <w:vAlign w:val="center"/>
          </w:tcPr>
          <w:p w14:paraId="56BEBDE2" w14:textId="03216B7C"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r w:rsidRPr="00100F0A">
              <w:t>SA</w:t>
            </w:r>
          </w:p>
        </w:tc>
        <w:tc>
          <w:tcPr>
            <w:tcW w:w="0" w:type="dxa"/>
            <w:vMerge/>
            <w:tcBorders>
              <w:left w:val="single" w:sz="4" w:space="0" w:color="AAABD6"/>
              <w:right w:val="single" w:sz="4" w:space="0" w:color="AAABD6"/>
            </w:tcBorders>
            <w:vAlign w:val="center"/>
          </w:tcPr>
          <w:p w14:paraId="6E87776B" w14:textId="77777777"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p>
        </w:tc>
        <w:tc>
          <w:tcPr>
            <w:tcW w:w="0" w:type="dxa"/>
            <w:tcBorders>
              <w:top w:val="dotted" w:sz="4" w:space="0" w:color="AAABD6"/>
              <w:left w:val="single" w:sz="4" w:space="0" w:color="AAABD6"/>
              <w:bottom w:val="dotted" w:sz="4" w:space="0" w:color="AAABD6"/>
              <w:right w:val="single" w:sz="4" w:space="0" w:color="AAABD6"/>
            </w:tcBorders>
            <w:vAlign w:val="bottom"/>
          </w:tcPr>
          <w:p w14:paraId="5DFD286C" w14:textId="2F1E6B52"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rFonts w:cs="Calibri"/>
              </w:rPr>
              <w:t>1,500</w:t>
            </w:r>
          </w:p>
        </w:tc>
        <w:tc>
          <w:tcPr>
            <w:tcW w:w="0" w:type="dxa"/>
            <w:tcBorders>
              <w:top w:val="dotted" w:sz="4" w:space="0" w:color="AAABD6"/>
              <w:left w:val="single" w:sz="4" w:space="0" w:color="AAABD6"/>
              <w:bottom w:val="dotted" w:sz="4" w:space="0" w:color="AAABD6"/>
              <w:right w:val="single" w:sz="4" w:space="0" w:color="AAABD6"/>
            </w:tcBorders>
          </w:tcPr>
          <w:p w14:paraId="5404AE72" w14:textId="3512ED6C"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0" w:type="dxa"/>
            <w:tcBorders>
              <w:top w:val="dotted" w:sz="4" w:space="0" w:color="AAABD6"/>
              <w:left w:val="single" w:sz="4" w:space="0" w:color="AAABD6"/>
              <w:bottom w:val="dotted" w:sz="4" w:space="0" w:color="AAABD6"/>
              <w:right w:val="single" w:sz="4" w:space="0" w:color="AAABD6"/>
            </w:tcBorders>
          </w:tcPr>
          <w:p w14:paraId="52A524E1" w14:textId="69325429"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0</w:t>
            </w:r>
          </w:p>
        </w:tc>
      </w:tr>
      <w:tr w:rsidR="007501B3" w:rsidRPr="00100F0A" w14:paraId="181E8D51" w14:textId="77777777" w:rsidTr="004206B0">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vAlign w:val="center"/>
          </w:tcPr>
          <w:p w14:paraId="0F1EB875" w14:textId="77777777" w:rsidR="007501B3" w:rsidRPr="00100F0A" w:rsidRDefault="007501B3" w:rsidP="007501B3"/>
        </w:tc>
        <w:tc>
          <w:tcPr>
            <w:tcW w:w="0" w:type="dxa"/>
            <w:tcBorders>
              <w:top w:val="dotted" w:sz="4" w:space="0" w:color="AAABD6"/>
              <w:left w:val="single" w:sz="4" w:space="0" w:color="AAABD6"/>
              <w:bottom w:val="dotted" w:sz="4" w:space="0" w:color="AAABD6"/>
              <w:right w:val="single" w:sz="4" w:space="0" w:color="AAABD6"/>
            </w:tcBorders>
            <w:vAlign w:val="center"/>
          </w:tcPr>
          <w:p w14:paraId="28972CDC" w14:textId="0F6A3CDE"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r w:rsidRPr="00100F0A">
              <w:t>Tas</w:t>
            </w:r>
          </w:p>
        </w:tc>
        <w:tc>
          <w:tcPr>
            <w:tcW w:w="0" w:type="dxa"/>
            <w:vMerge/>
            <w:tcBorders>
              <w:left w:val="single" w:sz="4" w:space="0" w:color="AAABD6"/>
              <w:right w:val="single" w:sz="4" w:space="0" w:color="AAABD6"/>
            </w:tcBorders>
            <w:vAlign w:val="center"/>
          </w:tcPr>
          <w:p w14:paraId="4AA0AAEB" w14:textId="77777777"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p>
        </w:tc>
        <w:tc>
          <w:tcPr>
            <w:tcW w:w="0" w:type="dxa"/>
            <w:tcBorders>
              <w:top w:val="dotted" w:sz="4" w:space="0" w:color="AAABD6"/>
              <w:left w:val="single" w:sz="4" w:space="0" w:color="AAABD6"/>
              <w:bottom w:val="dotted" w:sz="4" w:space="0" w:color="AAABD6"/>
              <w:right w:val="single" w:sz="4" w:space="0" w:color="AAABD6"/>
            </w:tcBorders>
            <w:vAlign w:val="bottom"/>
          </w:tcPr>
          <w:p w14:paraId="10C9DFA7" w14:textId="3D07EF39"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rFonts w:cs="Calibri"/>
              </w:rPr>
              <w:t>1,100</w:t>
            </w:r>
          </w:p>
        </w:tc>
        <w:tc>
          <w:tcPr>
            <w:tcW w:w="0" w:type="dxa"/>
            <w:tcBorders>
              <w:top w:val="dotted" w:sz="4" w:space="0" w:color="AAABD6"/>
              <w:left w:val="single" w:sz="4" w:space="0" w:color="AAABD6"/>
              <w:bottom w:val="dotted" w:sz="4" w:space="0" w:color="AAABD6"/>
              <w:right w:val="single" w:sz="4" w:space="0" w:color="AAABD6"/>
            </w:tcBorders>
          </w:tcPr>
          <w:p w14:paraId="2B95BAD3" w14:textId="322B2A18"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0" w:type="dxa"/>
            <w:tcBorders>
              <w:top w:val="dotted" w:sz="4" w:space="0" w:color="AAABD6"/>
              <w:left w:val="single" w:sz="4" w:space="0" w:color="AAABD6"/>
              <w:bottom w:val="dotted" w:sz="4" w:space="0" w:color="AAABD6"/>
              <w:right w:val="single" w:sz="4" w:space="0" w:color="AAABD6"/>
            </w:tcBorders>
          </w:tcPr>
          <w:p w14:paraId="2A2CEA20" w14:textId="4AD39205"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0</w:t>
            </w:r>
          </w:p>
        </w:tc>
      </w:tr>
      <w:tr w:rsidR="007501B3" w:rsidRPr="00100F0A" w14:paraId="4045C4E0" w14:textId="77777777" w:rsidTr="004206B0">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vAlign w:val="center"/>
          </w:tcPr>
          <w:p w14:paraId="67201F09" w14:textId="77777777" w:rsidR="007501B3" w:rsidRPr="00100F0A" w:rsidRDefault="007501B3" w:rsidP="007501B3"/>
        </w:tc>
        <w:tc>
          <w:tcPr>
            <w:tcW w:w="0" w:type="dxa"/>
            <w:tcBorders>
              <w:top w:val="dotted" w:sz="4" w:space="0" w:color="AAABD6"/>
              <w:left w:val="single" w:sz="4" w:space="0" w:color="AAABD6"/>
              <w:bottom w:val="dotted" w:sz="4" w:space="0" w:color="AAABD6"/>
              <w:right w:val="single" w:sz="4" w:space="0" w:color="AAABD6"/>
            </w:tcBorders>
            <w:vAlign w:val="center"/>
          </w:tcPr>
          <w:p w14:paraId="56538877" w14:textId="1B244778"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r w:rsidRPr="00100F0A">
              <w:t>Vic</w:t>
            </w:r>
          </w:p>
        </w:tc>
        <w:tc>
          <w:tcPr>
            <w:tcW w:w="0" w:type="dxa"/>
            <w:vMerge/>
            <w:tcBorders>
              <w:left w:val="single" w:sz="4" w:space="0" w:color="AAABD6"/>
              <w:right w:val="single" w:sz="4" w:space="0" w:color="AAABD6"/>
            </w:tcBorders>
            <w:vAlign w:val="center"/>
          </w:tcPr>
          <w:p w14:paraId="5DA72228" w14:textId="77777777"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p>
        </w:tc>
        <w:tc>
          <w:tcPr>
            <w:tcW w:w="0" w:type="dxa"/>
            <w:tcBorders>
              <w:top w:val="dotted" w:sz="4" w:space="0" w:color="AAABD6"/>
              <w:left w:val="single" w:sz="4" w:space="0" w:color="AAABD6"/>
              <w:bottom w:val="dotted" w:sz="4" w:space="0" w:color="AAABD6"/>
              <w:right w:val="single" w:sz="4" w:space="0" w:color="AAABD6"/>
            </w:tcBorders>
            <w:vAlign w:val="bottom"/>
          </w:tcPr>
          <w:p w14:paraId="6FD64C11" w14:textId="747144A8"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rFonts w:cs="Calibri"/>
              </w:rPr>
              <w:t>7,138</w:t>
            </w:r>
          </w:p>
        </w:tc>
        <w:tc>
          <w:tcPr>
            <w:tcW w:w="0" w:type="dxa"/>
            <w:tcBorders>
              <w:top w:val="dotted" w:sz="4" w:space="0" w:color="AAABD6"/>
              <w:left w:val="single" w:sz="4" w:space="0" w:color="AAABD6"/>
              <w:bottom w:val="dotted" w:sz="4" w:space="0" w:color="AAABD6"/>
              <w:right w:val="single" w:sz="4" w:space="0" w:color="AAABD6"/>
            </w:tcBorders>
          </w:tcPr>
          <w:p w14:paraId="0B312BD4" w14:textId="3CFA96BD"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0" w:type="dxa"/>
            <w:tcBorders>
              <w:top w:val="dotted" w:sz="4" w:space="0" w:color="AAABD6"/>
              <w:left w:val="single" w:sz="4" w:space="0" w:color="AAABD6"/>
              <w:bottom w:val="dotted" w:sz="4" w:space="0" w:color="AAABD6"/>
              <w:right w:val="single" w:sz="4" w:space="0" w:color="AAABD6"/>
            </w:tcBorders>
          </w:tcPr>
          <w:p w14:paraId="786B1D08" w14:textId="31959D96"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0</w:t>
            </w:r>
          </w:p>
        </w:tc>
      </w:tr>
      <w:tr w:rsidR="007501B3" w:rsidRPr="00100F0A" w14:paraId="7CDF47B4" w14:textId="77777777" w:rsidTr="004206B0">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bottom w:val="single" w:sz="4" w:space="0" w:color="AAABD6"/>
              <w:right w:val="single" w:sz="4" w:space="0" w:color="AAABD6"/>
            </w:tcBorders>
            <w:vAlign w:val="center"/>
          </w:tcPr>
          <w:p w14:paraId="4F9EA0B6" w14:textId="77777777" w:rsidR="007501B3" w:rsidRPr="00100F0A" w:rsidRDefault="007501B3" w:rsidP="007501B3"/>
        </w:tc>
        <w:tc>
          <w:tcPr>
            <w:tcW w:w="0" w:type="dxa"/>
            <w:tcBorders>
              <w:top w:val="dotted" w:sz="4" w:space="0" w:color="AAABD6"/>
              <w:left w:val="single" w:sz="4" w:space="0" w:color="AAABD6"/>
              <w:bottom w:val="single" w:sz="4" w:space="0" w:color="AAABD6"/>
              <w:right w:val="single" w:sz="4" w:space="0" w:color="AAABD6"/>
            </w:tcBorders>
            <w:vAlign w:val="center"/>
          </w:tcPr>
          <w:p w14:paraId="13885012" w14:textId="18D89F61"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r w:rsidRPr="00100F0A">
              <w:t>WA</w:t>
            </w:r>
          </w:p>
        </w:tc>
        <w:tc>
          <w:tcPr>
            <w:tcW w:w="0" w:type="dxa"/>
            <w:vMerge/>
            <w:tcBorders>
              <w:left w:val="single" w:sz="4" w:space="0" w:color="AAABD6"/>
              <w:bottom w:val="single" w:sz="4" w:space="0" w:color="AAABD6"/>
              <w:right w:val="single" w:sz="4" w:space="0" w:color="AAABD6"/>
            </w:tcBorders>
            <w:vAlign w:val="center"/>
          </w:tcPr>
          <w:p w14:paraId="6F746FDE" w14:textId="77777777"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p>
        </w:tc>
        <w:tc>
          <w:tcPr>
            <w:tcW w:w="0" w:type="dxa"/>
            <w:tcBorders>
              <w:top w:val="dotted" w:sz="4" w:space="0" w:color="AAABD6"/>
              <w:left w:val="single" w:sz="4" w:space="0" w:color="AAABD6"/>
              <w:bottom w:val="single" w:sz="4" w:space="0" w:color="AAABD6"/>
              <w:right w:val="single" w:sz="4" w:space="0" w:color="AAABD6"/>
            </w:tcBorders>
            <w:vAlign w:val="bottom"/>
          </w:tcPr>
          <w:p w14:paraId="60F493BA" w14:textId="3863D0E6"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rFonts w:cs="Calibri"/>
              </w:rPr>
              <w:t>6,050</w:t>
            </w:r>
          </w:p>
        </w:tc>
        <w:tc>
          <w:tcPr>
            <w:tcW w:w="0" w:type="dxa"/>
            <w:tcBorders>
              <w:top w:val="dotted" w:sz="4" w:space="0" w:color="AAABD6"/>
              <w:left w:val="single" w:sz="4" w:space="0" w:color="AAABD6"/>
              <w:bottom w:val="single" w:sz="4" w:space="0" w:color="AAABD6"/>
              <w:right w:val="single" w:sz="4" w:space="0" w:color="AAABD6"/>
            </w:tcBorders>
          </w:tcPr>
          <w:p w14:paraId="21D43EFB" w14:textId="74759717"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0" w:type="dxa"/>
            <w:tcBorders>
              <w:top w:val="dotted" w:sz="4" w:space="0" w:color="AAABD6"/>
              <w:left w:val="single" w:sz="4" w:space="0" w:color="AAABD6"/>
              <w:bottom w:val="single" w:sz="4" w:space="0" w:color="AAABD6"/>
              <w:right w:val="single" w:sz="4" w:space="0" w:color="AAABD6"/>
            </w:tcBorders>
          </w:tcPr>
          <w:p w14:paraId="6680F90D" w14:textId="53CB602D"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0</w:t>
            </w:r>
          </w:p>
        </w:tc>
      </w:tr>
      <w:tr w:rsidR="007501B3" w:rsidRPr="00100F0A" w14:paraId="608161E9" w14:textId="77777777" w:rsidTr="004206B0">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4" w:space="0" w:color="AAABD6"/>
              <w:left w:val="single" w:sz="4" w:space="0" w:color="AAABD6"/>
              <w:right w:val="single" w:sz="4" w:space="0" w:color="AAABD6"/>
            </w:tcBorders>
            <w:vAlign w:val="center"/>
          </w:tcPr>
          <w:p w14:paraId="1CCEB862" w14:textId="6851E8BC" w:rsidR="007501B3" w:rsidRPr="00100F0A" w:rsidRDefault="007501B3" w:rsidP="007501B3">
            <w:r>
              <w:t>High</w:t>
            </w:r>
          </w:p>
        </w:tc>
        <w:tc>
          <w:tcPr>
            <w:tcW w:w="0" w:type="dxa"/>
            <w:tcBorders>
              <w:top w:val="single" w:sz="4" w:space="0" w:color="AAABD6"/>
              <w:left w:val="single" w:sz="4" w:space="0" w:color="AAABD6"/>
              <w:bottom w:val="dotted" w:sz="4" w:space="0" w:color="AAABD6"/>
              <w:right w:val="single" w:sz="4" w:space="0" w:color="AAABD6"/>
            </w:tcBorders>
            <w:vAlign w:val="center"/>
          </w:tcPr>
          <w:p w14:paraId="418441F9" w14:textId="50CC12FC"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r w:rsidRPr="00100F0A">
              <w:t>ACT</w:t>
            </w:r>
          </w:p>
        </w:tc>
        <w:tc>
          <w:tcPr>
            <w:tcW w:w="0" w:type="dxa"/>
            <w:vMerge w:val="restart"/>
            <w:tcBorders>
              <w:top w:val="single" w:sz="4" w:space="0" w:color="AAABD6"/>
              <w:left w:val="single" w:sz="4" w:space="0" w:color="AAABD6"/>
              <w:right w:val="single" w:sz="4" w:space="0" w:color="AAABD6"/>
            </w:tcBorders>
            <w:vAlign w:val="center"/>
          </w:tcPr>
          <w:p w14:paraId="09E3B40B" w14:textId="1D8F6752"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r>
              <w:rPr>
                <w:rFonts w:cs="Calibri"/>
                <w:color w:val="000000"/>
              </w:rPr>
              <w:t>Stockpiles - no new additions and 10% per annum cleared to recycling infrastructure from 2018 until 100% cleared</w:t>
            </w:r>
          </w:p>
        </w:tc>
        <w:tc>
          <w:tcPr>
            <w:tcW w:w="0" w:type="dxa"/>
            <w:tcBorders>
              <w:top w:val="single" w:sz="4" w:space="0" w:color="AAABD6"/>
              <w:left w:val="single" w:sz="4" w:space="0" w:color="AAABD6"/>
              <w:bottom w:val="dotted" w:sz="4" w:space="0" w:color="AAABD6"/>
              <w:right w:val="single" w:sz="4" w:space="0" w:color="AAABD6"/>
            </w:tcBorders>
            <w:vAlign w:val="bottom"/>
          </w:tcPr>
          <w:p w14:paraId="7F7EC184" w14:textId="217B6858"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rFonts w:cs="Calibri"/>
              </w:rPr>
              <w:t>725</w:t>
            </w:r>
          </w:p>
        </w:tc>
        <w:tc>
          <w:tcPr>
            <w:tcW w:w="0" w:type="dxa"/>
            <w:tcBorders>
              <w:top w:val="single" w:sz="4" w:space="0" w:color="AAABD6"/>
              <w:left w:val="single" w:sz="4" w:space="0" w:color="AAABD6"/>
              <w:bottom w:val="dotted" w:sz="4" w:space="0" w:color="AAABD6"/>
              <w:right w:val="single" w:sz="4" w:space="0" w:color="AAABD6"/>
            </w:tcBorders>
          </w:tcPr>
          <w:p w14:paraId="3CD2D5A5" w14:textId="5E3243AA"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0" w:type="dxa"/>
            <w:tcBorders>
              <w:top w:val="single" w:sz="4" w:space="0" w:color="AAABD6"/>
              <w:left w:val="single" w:sz="4" w:space="0" w:color="AAABD6"/>
              <w:bottom w:val="dotted" w:sz="4" w:space="0" w:color="AAABD6"/>
              <w:right w:val="single" w:sz="4" w:space="0" w:color="AAABD6"/>
            </w:tcBorders>
          </w:tcPr>
          <w:p w14:paraId="7F5AFBF8" w14:textId="3C3592A3"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0</w:t>
            </w:r>
          </w:p>
        </w:tc>
      </w:tr>
      <w:tr w:rsidR="007501B3" w:rsidRPr="00100F0A" w14:paraId="2F4F231B" w14:textId="77777777" w:rsidTr="004206B0">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tcPr>
          <w:p w14:paraId="5E961B8F" w14:textId="77777777" w:rsidR="007501B3" w:rsidRPr="00100F0A" w:rsidRDefault="007501B3" w:rsidP="007501B3"/>
        </w:tc>
        <w:tc>
          <w:tcPr>
            <w:tcW w:w="0" w:type="dxa"/>
            <w:tcBorders>
              <w:top w:val="dotted" w:sz="4" w:space="0" w:color="AAABD6"/>
              <w:left w:val="single" w:sz="4" w:space="0" w:color="AAABD6"/>
              <w:bottom w:val="dotted" w:sz="4" w:space="0" w:color="AAABD6"/>
              <w:right w:val="single" w:sz="4" w:space="0" w:color="AAABD6"/>
            </w:tcBorders>
            <w:vAlign w:val="center"/>
          </w:tcPr>
          <w:p w14:paraId="3FAC16B7" w14:textId="40013E3D"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r w:rsidRPr="00100F0A">
              <w:t>NSW</w:t>
            </w:r>
          </w:p>
        </w:tc>
        <w:tc>
          <w:tcPr>
            <w:tcW w:w="0" w:type="dxa"/>
            <w:vMerge/>
            <w:tcBorders>
              <w:left w:val="single" w:sz="4" w:space="0" w:color="AAABD6"/>
              <w:right w:val="single" w:sz="4" w:space="0" w:color="AAABD6"/>
            </w:tcBorders>
          </w:tcPr>
          <w:p w14:paraId="47F0352F" w14:textId="77777777"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p>
        </w:tc>
        <w:tc>
          <w:tcPr>
            <w:tcW w:w="0" w:type="dxa"/>
            <w:tcBorders>
              <w:top w:val="dotted" w:sz="4" w:space="0" w:color="AAABD6"/>
              <w:left w:val="single" w:sz="4" w:space="0" w:color="AAABD6"/>
              <w:bottom w:val="dotted" w:sz="4" w:space="0" w:color="AAABD6"/>
              <w:right w:val="single" w:sz="4" w:space="0" w:color="AAABD6"/>
            </w:tcBorders>
            <w:vAlign w:val="bottom"/>
          </w:tcPr>
          <w:p w14:paraId="65352995" w14:textId="165EAA40"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rFonts w:cs="Calibri"/>
              </w:rPr>
              <w:t>20,075</w:t>
            </w:r>
          </w:p>
        </w:tc>
        <w:tc>
          <w:tcPr>
            <w:tcW w:w="0" w:type="dxa"/>
            <w:tcBorders>
              <w:top w:val="dotted" w:sz="4" w:space="0" w:color="AAABD6"/>
              <w:left w:val="single" w:sz="4" w:space="0" w:color="AAABD6"/>
              <w:bottom w:val="dotted" w:sz="4" w:space="0" w:color="AAABD6"/>
              <w:right w:val="single" w:sz="4" w:space="0" w:color="AAABD6"/>
            </w:tcBorders>
          </w:tcPr>
          <w:p w14:paraId="43892D58" w14:textId="495AC9C4"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0" w:type="dxa"/>
            <w:tcBorders>
              <w:top w:val="dotted" w:sz="4" w:space="0" w:color="AAABD6"/>
              <w:left w:val="single" w:sz="4" w:space="0" w:color="AAABD6"/>
              <w:bottom w:val="dotted" w:sz="4" w:space="0" w:color="AAABD6"/>
              <w:right w:val="single" w:sz="4" w:space="0" w:color="AAABD6"/>
            </w:tcBorders>
          </w:tcPr>
          <w:p w14:paraId="009D583F" w14:textId="6E474D74"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0</w:t>
            </w:r>
          </w:p>
        </w:tc>
      </w:tr>
      <w:tr w:rsidR="007501B3" w:rsidRPr="00100F0A" w14:paraId="2AEE9BF6" w14:textId="77777777" w:rsidTr="004206B0">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tcPr>
          <w:p w14:paraId="0A02A1D3" w14:textId="77777777" w:rsidR="007501B3" w:rsidRPr="00100F0A" w:rsidRDefault="007501B3" w:rsidP="007501B3"/>
        </w:tc>
        <w:tc>
          <w:tcPr>
            <w:tcW w:w="0" w:type="dxa"/>
            <w:tcBorders>
              <w:top w:val="dotted" w:sz="4" w:space="0" w:color="AAABD6"/>
              <w:left w:val="single" w:sz="4" w:space="0" w:color="AAABD6"/>
              <w:bottom w:val="dotted" w:sz="4" w:space="0" w:color="AAABD6"/>
              <w:right w:val="single" w:sz="4" w:space="0" w:color="AAABD6"/>
            </w:tcBorders>
            <w:vAlign w:val="center"/>
          </w:tcPr>
          <w:p w14:paraId="2206C08F" w14:textId="0ABD8B32"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r w:rsidRPr="00100F0A">
              <w:t>NT</w:t>
            </w:r>
          </w:p>
        </w:tc>
        <w:tc>
          <w:tcPr>
            <w:tcW w:w="0" w:type="dxa"/>
            <w:vMerge/>
            <w:tcBorders>
              <w:left w:val="single" w:sz="4" w:space="0" w:color="AAABD6"/>
              <w:right w:val="single" w:sz="4" w:space="0" w:color="AAABD6"/>
            </w:tcBorders>
          </w:tcPr>
          <w:p w14:paraId="7815DFD0" w14:textId="77777777"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p>
        </w:tc>
        <w:tc>
          <w:tcPr>
            <w:tcW w:w="0" w:type="dxa"/>
            <w:tcBorders>
              <w:top w:val="dotted" w:sz="4" w:space="0" w:color="AAABD6"/>
              <w:left w:val="single" w:sz="4" w:space="0" w:color="AAABD6"/>
              <w:bottom w:val="dotted" w:sz="4" w:space="0" w:color="AAABD6"/>
              <w:right w:val="single" w:sz="4" w:space="0" w:color="AAABD6"/>
            </w:tcBorders>
            <w:vAlign w:val="bottom"/>
          </w:tcPr>
          <w:p w14:paraId="7A38170C" w14:textId="48B60828"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rFonts w:cs="Calibri"/>
              </w:rPr>
              <w:t>1,100</w:t>
            </w:r>
          </w:p>
        </w:tc>
        <w:tc>
          <w:tcPr>
            <w:tcW w:w="0" w:type="dxa"/>
            <w:tcBorders>
              <w:top w:val="dotted" w:sz="4" w:space="0" w:color="AAABD6"/>
              <w:left w:val="single" w:sz="4" w:space="0" w:color="AAABD6"/>
              <w:bottom w:val="dotted" w:sz="4" w:space="0" w:color="AAABD6"/>
              <w:right w:val="single" w:sz="4" w:space="0" w:color="AAABD6"/>
            </w:tcBorders>
          </w:tcPr>
          <w:p w14:paraId="54D91FEB" w14:textId="3AFB4B74"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0" w:type="dxa"/>
            <w:tcBorders>
              <w:top w:val="dotted" w:sz="4" w:space="0" w:color="AAABD6"/>
              <w:left w:val="single" w:sz="4" w:space="0" w:color="AAABD6"/>
              <w:bottom w:val="dotted" w:sz="4" w:space="0" w:color="AAABD6"/>
              <w:right w:val="single" w:sz="4" w:space="0" w:color="AAABD6"/>
            </w:tcBorders>
          </w:tcPr>
          <w:p w14:paraId="28AA5E41" w14:textId="40735DF7"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0</w:t>
            </w:r>
          </w:p>
        </w:tc>
      </w:tr>
      <w:tr w:rsidR="007501B3" w:rsidRPr="00100F0A" w14:paraId="49A0732A" w14:textId="77777777" w:rsidTr="004206B0">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tcPr>
          <w:p w14:paraId="1EE1F6A0" w14:textId="77777777" w:rsidR="007501B3" w:rsidRPr="00100F0A" w:rsidRDefault="007501B3" w:rsidP="007501B3"/>
        </w:tc>
        <w:tc>
          <w:tcPr>
            <w:tcW w:w="0" w:type="dxa"/>
            <w:tcBorders>
              <w:top w:val="dotted" w:sz="4" w:space="0" w:color="AAABD6"/>
              <w:left w:val="single" w:sz="4" w:space="0" w:color="AAABD6"/>
              <w:bottom w:val="dotted" w:sz="4" w:space="0" w:color="AAABD6"/>
              <w:right w:val="single" w:sz="4" w:space="0" w:color="AAABD6"/>
            </w:tcBorders>
            <w:vAlign w:val="center"/>
          </w:tcPr>
          <w:p w14:paraId="5DBF0BD3" w14:textId="2491B942"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r w:rsidRPr="00100F0A">
              <w:t>Qld</w:t>
            </w:r>
          </w:p>
        </w:tc>
        <w:tc>
          <w:tcPr>
            <w:tcW w:w="0" w:type="dxa"/>
            <w:vMerge/>
            <w:tcBorders>
              <w:left w:val="single" w:sz="4" w:space="0" w:color="AAABD6"/>
              <w:right w:val="single" w:sz="4" w:space="0" w:color="AAABD6"/>
            </w:tcBorders>
          </w:tcPr>
          <w:p w14:paraId="0535843C" w14:textId="77777777"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p>
        </w:tc>
        <w:tc>
          <w:tcPr>
            <w:tcW w:w="0" w:type="dxa"/>
            <w:tcBorders>
              <w:top w:val="dotted" w:sz="4" w:space="0" w:color="AAABD6"/>
              <w:left w:val="single" w:sz="4" w:space="0" w:color="AAABD6"/>
              <w:bottom w:val="dotted" w:sz="4" w:space="0" w:color="AAABD6"/>
              <w:right w:val="single" w:sz="4" w:space="0" w:color="AAABD6"/>
            </w:tcBorders>
            <w:vAlign w:val="bottom"/>
          </w:tcPr>
          <w:p w14:paraId="711E9875" w14:textId="0A63B522"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rFonts w:cs="Calibri"/>
              </w:rPr>
              <w:t>16,150</w:t>
            </w:r>
          </w:p>
        </w:tc>
        <w:tc>
          <w:tcPr>
            <w:tcW w:w="0" w:type="dxa"/>
            <w:tcBorders>
              <w:top w:val="dotted" w:sz="4" w:space="0" w:color="AAABD6"/>
              <w:left w:val="single" w:sz="4" w:space="0" w:color="AAABD6"/>
              <w:bottom w:val="dotted" w:sz="4" w:space="0" w:color="AAABD6"/>
              <w:right w:val="single" w:sz="4" w:space="0" w:color="AAABD6"/>
            </w:tcBorders>
          </w:tcPr>
          <w:p w14:paraId="3DCBB637" w14:textId="558A8685"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0" w:type="dxa"/>
            <w:tcBorders>
              <w:top w:val="dotted" w:sz="4" w:space="0" w:color="AAABD6"/>
              <w:left w:val="single" w:sz="4" w:space="0" w:color="AAABD6"/>
              <w:bottom w:val="dotted" w:sz="4" w:space="0" w:color="AAABD6"/>
              <w:right w:val="single" w:sz="4" w:space="0" w:color="AAABD6"/>
            </w:tcBorders>
          </w:tcPr>
          <w:p w14:paraId="4B1A439B" w14:textId="24E8AC44"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0</w:t>
            </w:r>
          </w:p>
        </w:tc>
      </w:tr>
      <w:tr w:rsidR="007501B3" w:rsidRPr="00100F0A" w14:paraId="212DF239" w14:textId="77777777" w:rsidTr="004206B0">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tcPr>
          <w:p w14:paraId="10ECF4AF" w14:textId="77777777" w:rsidR="007501B3" w:rsidRPr="00100F0A" w:rsidRDefault="007501B3" w:rsidP="007501B3"/>
        </w:tc>
        <w:tc>
          <w:tcPr>
            <w:tcW w:w="0" w:type="dxa"/>
            <w:tcBorders>
              <w:top w:val="dotted" w:sz="4" w:space="0" w:color="AAABD6"/>
              <w:left w:val="single" w:sz="4" w:space="0" w:color="AAABD6"/>
              <w:bottom w:val="dotted" w:sz="4" w:space="0" w:color="AAABD6"/>
              <w:right w:val="single" w:sz="4" w:space="0" w:color="AAABD6"/>
            </w:tcBorders>
            <w:vAlign w:val="center"/>
          </w:tcPr>
          <w:p w14:paraId="6D73A295" w14:textId="057CE662"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r w:rsidRPr="00100F0A">
              <w:t>SA</w:t>
            </w:r>
          </w:p>
        </w:tc>
        <w:tc>
          <w:tcPr>
            <w:tcW w:w="0" w:type="dxa"/>
            <w:vMerge/>
            <w:tcBorders>
              <w:left w:val="single" w:sz="4" w:space="0" w:color="AAABD6"/>
              <w:right w:val="single" w:sz="4" w:space="0" w:color="AAABD6"/>
            </w:tcBorders>
          </w:tcPr>
          <w:p w14:paraId="08311323" w14:textId="77777777"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p>
        </w:tc>
        <w:tc>
          <w:tcPr>
            <w:tcW w:w="0" w:type="dxa"/>
            <w:tcBorders>
              <w:top w:val="dotted" w:sz="4" w:space="0" w:color="AAABD6"/>
              <w:left w:val="single" w:sz="4" w:space="0" w:color="AAABD6"/>
              <w:bottom w:val="dotted" w:sz="4" w:space="0" w:color="AAABD6"/>
              <w:right w:val="single" w:sz="4" w:space="0" w:color="AAABD6"/>
            </w:tcBorders>
            <w:vAlign w:val="bottom"/>
          </w:tcPr>
          <w:p w14:paraId="5DB7D37F" w14:textId="2E28A195"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rFonts w:cs="Calibri"/>
              </w:rPr>
              <w:t>3,000</w:t>
            </w:r>
          </w:p>
        </w:tc>
        <w:tc>
          <w:tcPr>
            <w:tcW w:w="0" w:type="dxa"/>
            <w:tcBorders>
              <w:top w:val="dotted" w:sz="4" w:space="0" w:color="AAABD6"/>
              <w:left w:val="single" w:sz="4" w:space="0" w:color="AAABD6"/>
              <w:bottom w:val="dotted" w:sz="4" w:space="0" w:color="AAABD6"/>
              <w:right w:val="single" w:sz="4" w:space="0" w:color="AAABD6"/>
            </w:tcBorders>
          </w:tcPr>
          <w:p w14:paraId="7039884C" w14:textId="77777777"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pPr>
          </w:p>
        </w:tc>
        <w:tc>
          <w:tcPr>
            <w:tcW w:w="0" w:type="dxa"/>
            <w:tcBorders>
              <w:top w:val="dotted" w:sz="4" w:space="0" w:color="AAABD6"/>
              <w:left w:val="single" w:sz="4" w:space="0" w:color="AAABD6"/>
              <w:bottom w:val="dotted" w:sz="4" w:space="0" w:color="AAABD6"/>
              <w:right w:val="single" w:sz="4" w:space="0" w:color="AAABD6"/>
            </w:tcBorders>
          </w:tcPr>
          <w:p w14:paraId="6A2ED1A7" w14:textId="0D2576E3"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0</w:t>
            </w:r>
          </w:p>
        </w:tc>
      </w:tr>
      <w:tr w:rsidR="007501B3" w:rsidRPr="00100F0A" w14:paraId="6DB6F84B" w14:textId="77777777" w:rsidTr="004206B0">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tcPr>
          <w:p w14:paraId="2B6EF4A4" w14:textId="77777777" w:rsidR="007501B3" w:rsidRPr="00100F0A" w:rsidRDefault="007501B3" w:rsidP="007501B3"/>
        </w:tc>
        <w:tc>
          <w:tcPr>
            <w:tcW w:w="0" w:type="dxa"/>
            <w:tcBorders>
              <w:top w:val="dotted" w:sz="4" w:space="0" w:color="AAABD6"/>
              <w:left w:val="single" w:sz="4" w:space="0" w:color="AAABD6"/>
              <w:bottom w:val="dotted" w:sz="4" w:space="0" w:color="AAABD6"/>
              <w:right w:val="single" w:sz="4" w:space="0" w:color="AAABD6"/>
            </w:tcBorders>
            <w:vAlign w:val="center"/>
          </w:tcPr>
          <w:p w14:paraId="5AABFE02" w14:textId="239EE311"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r w:rsidRPr="00100F0A">
              <w:t>Tas</w:t>
            </w:r>
          </w:p>
        </w:tc>
        <w:tc>
          <w:tcPr>
            <w:tcW w:w="0" w:type="dxa"/>
            <w:vMerge/>
            <w:tcBorders>
              <w:left w:val="single" w:sz="4" w:space="0" w:color="AAABD6"/>
              <w:right w:val="single" w:sz="4" w:space="0" w:color="AAABD6"/>
            </w:tcBorders>
          </w:tcPr>
          <w:p w14:paraId="133C890B" w14:textId="77777777"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p>
        </w:tc>
        <w:tc>
          <w:tcPr>
            <w:tcW w:w="0" w:type="dxa"/>
            <w:tcBorders>
              <w:top w:val="dotted" w:sz="4" w:space="0" w:color="AAABD6"/>
              <w:left w:val="single" w:sz="4" w:space="0" w:color="AAABD6"/>
              <w:bottom w:val="dotted" w:sz="4" w:space="0" w:color="AAABD6"/>
              <w:right w:val="single" w:sz="4" w:space="0" w:color="AAABD6"/>
            </w:tcBorders>
            <w:vAlign w:val="bottom"/>
          </w:tcPr>
          <w:p w14:paraId="14621735" w14:textId="67CBAEDD"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rFonts w:cs="Calibri"/>
              </w:rPr>
              <w:t>2,200</w:t>
            </w:r>
          </w:p>
        </w:tc>
        <w:tc>
          <w:tcPr>
            <w:tcW w:w="0" w:type="dxa"/>
            <w:tcBorders>
              <w:top w:val="dotted" w:sz="4" w:space="0" w:color="AAABD6"/>
              <w:left w:val="single" w:sz="4" w:space="0" w:color="AAABD6"/>
              <w:bottom w:val="dotted" w:sz="4" w:space="0" w:color="AAABD6"/>
              <w:right w:val="single" w:sz="4" w:space="0" w:color="AAABD6"/>
            </w:tcBorders>
          </w:tcPr>
          <w:p w14:paraId="1221062D" w14:textId="3E576CF1"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0" w:type="dxa"/>
            <w:tcBorders>
              <w:top w:val="dotted" w:sz="4" w:space="0" w:color="AAABD6"/>
              <w:left w:val="single" w:sz="4" w:space="0" w:color="AAABD6"/>
              <w:bottom w:val="dotted" w:sz="4" w:space="0" w:color="AAABD6"/>
              <w:right w:val="single" w:sz="4" w:space="0" w:color="AAABD6"/>
            </w:tcBorders>
          </w:tcPr>
          <w:p w14:paraId="17F6AF7C" w14:textId="714E8F32"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0</w:t>
            </w:r>
          </w:p>
        </w:tc>
      </w:tr>
      <w:tr w:rsidR="007501B3" w:rsidRPr="00100F0A" w14:paraId="2B2658DB" w14:textId="77777777" w:rsidTr="004206B0">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right w:val="single" w:sz="4" w:space="0" w:color="AAABD6"/>
            </w:tcBorders>
          </w:tcPr>
          <w:p w14:paraId="1F6043B1" w14:textId="77777777" w:rsidR="007501B3" w:rsidRPr="00100F0A" w:rsidRDefault="007501B3" w:rsidP="007501B3"/>
        </w:tc>
        <w:tc>
          <w:tcPr>
            <w:tcW w:w="0" w:type="dxa"/>
            <w:tcBorders>
              <w:top w:val="dotted" w:sz="4" w:space="0" w:color="AAABD6"/>
              <w:left w:val="single" w:sz="4" w:space="0" w:color="AAABD6"/>
              <w:bottom w:val="dotted" w:sz="4" w:space="0" w:color="AAABD6"/>
              <w:right w:val="single" w:sz="4" w:space="0" w:color="AAABD6"/>
            </w:tcBorders>
            <w:vAlign w:val="center"/>
          </w:tcPr>
          <w:p w14:paraId="4B11AD40" w14:textId="2179D620"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r w:rsidRPr="00100F0A">
              <w:t>Vic</w:t>
            </w:r>
          </w:p>
        </w:tc>
        <w:tc>
          <w:tcPr>
            <w:tcW w:w="0" w:type="dxa"/>
            <w:vMerge/>
            <w:tcBorders>
              <w:left w:val="single" w:sz="4" w:space="0" w:color="AAABD6"/>
              <w:right w:val="single" w:sz="4" w:space="0" w:color="AAABD6"/>
            </w:tcBorders>
          </w:tcPr>
          <w:p w14:paraId="003042D3" w14:textId="77777777"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p>
        </w:tc>
        <w:tc>
          <w:tcPr>
            <w:tcW w:w="0" w:type="dxa"/>
            <w:tcBorders>
              <w:top w:val="dotted" w:sz="4" w:space="0" w:color="AAABD6"/>
              <w:left w:val="single" w:sz="4" w:space="0" w:color="AAABD6"/>
              <w:bottom w:val="dotted" w:sz="4" w:space="0" w:color="AAABD6"/>
              <w:right w:val="single" w:sz="4" w:space="0" w:color="AAABD6"/>
            </w:tcBorders>
            <w:vAlign w:val="bottom"/>
          </w:tcPr>
          <w:p w14:paraId="56805292" w14:textId="0C00370B"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rFonts w:cs="Calibri"/>
              </w:rPr>
              <w:t>14,275</w:t>
            </w:r>
          </w:p>
        </w:tc>
        <w:tc>
          <w:tcPr>
            <w:tcW w:w="0" w:type="dxa"/>
            <w:tcBorders>
              <w:top w:val="dotted" w:sz="4" w:space="0" w:color="AAABD6"/>
              <w:left w:val="single" w:sz="4" w:space="0" w:color="AAABD6"/>
              <w:bottom w:val="dotted" w:sz="4" w:space="0" w:color="AAABD6"/>
              <w:right w:val="single" w:sz="4" w:space="0" w:color="AAABD6"/>
            </w:tcBorders>
          </w:tcPr>
          <w:p w14:paraId="13EC948B" w14:textId="3AFB1E1C"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0" w:type="dxa"/>
            <w:tcBorders>
              <w:top w:val="dotted" w:sz="4" w:space="0" w:color="AAABD6"/>
              <w:left w:val="single" w:sz="4" w:space="0" w:color="AAABD6"/>
              <w:bottom w:val="dotted" w:sz="4" w:space="0" w:color="AAABD6"/>
              <w:right w:val="single" w:sz="4" w:space="0" w:color="AAABD6"/>
            </w:tcBorders>
          </w:tcPr>
          <w:p w14:paraId="760B50C4" w14:textId="6DD85BDC"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0</w:t>
            </w:r>
          </w:p>
        </w:tc>
      </w:tr>
      <w:tr w:rsidR="007501B3" w:rsidRPr="00100F0A" w14:paraId="72AAD7E6" w14:textId="77777777" w:rsidTr="004206B0">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AABD6"/>
              <w:bottom w:val="single" w:sz="4" w:space="0" w:color="AAABD6"/>
              <w:right w:val="single" w:sz="4" w:space="0" w:color="AAABD6"/>
            </w:tcBorders>
          </w:tcPr>
          <w:p w14:paraId="33F3D6DC" w14:textId="77777777" w:rsidR="007501B3" w:rsidRPr="00100F0A" w:rsidRDefault="007501B3" w:rsidP="007501B3"/>
        </w:tc>
        <w:tc>
          <w:tcPr>
            <w:tcW w:w="0" w:type="dxa"/>
            <w:tcBorders>
              <w:top w:val="dotted" w:sz="4" w:space="0" w:color="AAABD6"/>
              <w:left w:val="single" w:sz="4" w:space="0" w:color="AAABD6"/>
              <w:bottom w:val="single" w:sz="4" w:space="0" w:color="AAABD6"/>
              <w:right w:val="single" w:sz="4" w:space="0" w:color="AAABD6"/>
            </w:tcBorders>
            <w:vAlign w:val="center"/>
          </w:tcPr>
          <w:p w14:paraId="2C868D11" w14:textId="5A184006"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r w:rsidRPr="00100F0A">
              <w:t>WA</w:t>
            </w:r>
          </w:p>
        </w:tc>
        <w:tc>
          <w:tcPr>
            <w:tcW w:w="0" w:type="dxa"/>
            <w:vMerge/>
            <w:tcBorders>
              <w:left w:val="single" w:sz="4" w:space="0" w:color="AAABD6"/>
              <w:bottom w:val="single" w:sz="4" w:space="0" w:color="AAABD6"/>
              <w:right w:val="single" w:sz="4" w:space="0" w:color="AAABD6"/>
            </w:tcBorders>
          </w:tcPr>
          <w:p w14:paraId="40DE822B" w14:textId="77777777" w:rsidR="007501B3" w:rsidRPr="00100F0A" w:rsidRDefault="007501B3" w:rsidP="007501B3">
            <w:pPr>
              <w:cnfStyle w:val="000000000000" w:firstRow="0" w:lastRow="0" w:firstColumn="0" w:lastColumn="0" w:oddVBand="0" w:evenVBand="0" w:oddHBand="0" w:evenHBand="0" w:firstRowFirstColumn="0" w:firstRowLastColumn="0" w:lastRowFirstColumn="0" w:lastRowLastColumn="0"/>
            </w:pPr>
          </w:p>
        </w:tc>
        <w:tc>
          <w:tcPr>
            <w:tcW w:w="0" w:type="dxa"/>
            <w:tcBorders>
              <w:top w:val="dotted" w:sz="4" w:space="0" w:color="AAABD6"/>
              <w:left w:val="single" w:sz="4" w:space="0" w:color="AAABD6"/>
              <w:bottom w:val="single" w:sz="4" w:space="0" w:color="AAABD6"/>
              <w:right w:val="single" w:sz="4" w:space="0" w:color="AAABD6"/>
            </w:tcBorders>
            <w:vAlign w:val="bottom"/>
          </w:tcPr>
          <w:p w14:paraId="33347FEB" w14:textId="7F4C63E7"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rFonts w:cs="Calibri"/>
              </w:rPr>
              <w:t>12,100</w:t>
            </w:r>
          </w:p>
        </w:tc>
        <w:tc>
          <w:tcPr>
            <w:tcW w:w="0" w:type="dxa"/>
            <w:tcBorders>
              <w:top w:val="dotted" w:sz="4" w:space="0" w:color="AAABD6"/>
              <w:left w:val="single" w:sz="4" w:space="0" w:color="AAABD6"/>
              <w:bottom w:val="single" w:sz="4" w:space="0" w:color="AAABD6"/>
              <w:right w:val="single" w:sz="4" w:space="0" w:color="AAABD6"/>
            </w:tcBorders>
          </w:tcPr>
          <w:p w14:paraId="001C1B1D" w14:textId="4EBEF9BA"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0" w:type="dxa"/>
            <w:tcBorders>
              <w:top w:val="dotted" w:sz="4" w:space="0" w:color="AAABD6"/>
              <w:left w:val="single" w:sz="4" w:space="0" w:color="AAABD6"/>
              <w:bottom w:val="single" w:sz="4" w:space="0" w:color="AAABD6"/>
              <w:right w:val="single" w:sz="4" w:space="0" w:color="AAABD6"/>
            </w:tcBorders>
          </w:tcPr>
          <w:p w14:paraId="5148D89D" w14:textId="2048F9F0" w:rsidR="007501B3" w:rsidRPr="00100F0A" w:rsidRDefault="007501B3" w:rsidP="007501B3">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color w:val="000000" w:themeColor="text1"/>
              </w:rPr>
              <w:t>0</w:t>
            </w:r>
          </w:p>
        </w:tc>
      </w:tr>
    </w:tbl>
    <w:p w14:paraId="4354E2C9" w14:textId="58DAEA3D" w:rsidR="007828B5" w:rsidRDefault="007828B5" w:rsidP="00601CB2">
      <w:pPr>
        <w:pStyle w:val="BodyText"/>
      </w:pPr>
    </w:p>
    <w:p w14:paraId="61590A6A" w14:textId="482ED919" w:rsidR="005E0601" w:rsidRDefault="005E0601">
      <w:r>
        <w:br w:type="page"/>
      </w:r>
    </w:p>
    <w:p w14:paraId="2B935979" w14:textId="53F7F1AE" w:rsidR="00601CB2" w:rsidRPr="00100F0A" w:rsidRDefault="00601CB2" w:rsidP="00273FA6">
      <w:pPr>
        <w:pStyle w:val="Caption"/>
      </w:pPr>
      <w:bookmarkStart w:id="265" w:name="_Toc425849249"/>
      <w:bookmarkStart w:id="266" w:name="_Toc13225608"/>
      <w:r w:rsidRPr="00100F0A">
        <w:t xml:space="preserve">Figure </w:t>
      </w:r>
      <w:r w:rsidR="00971D78" w:rsidRPr="00100F0A">
        <w:rPr>
          <w:noProof/>
        </w:rPr>
        <w:fldChar w:fldCharType="begin"/>
      </w:r>
      <w:r w:rsidR="00971D78" w:rsidRPr="00100F0A">
        <w:rPr>
          <w:noProof/>
        </w:rPr>
        <w:instrText xml:space="preserve"> SEQ Figure \* ARABIC </w:instrText>
      </w:r>
      <w:r w:rsidR="00971D78" w:rsidRPr="00100F0A">
        <w:rPr>
          <w:noProof/>
        </w:rPr>
        <w:fldChar w:fldCharType="separate"/>
      </w:r>
      <w:r w:rsidR="00EB634D">
        <w:rPr>
          <w:noProof/>
        </w:rPr>
        <w:t>35</w:t>
      </w:r>
      <w:r w:rsidR="00971D78" w:rsidRPr="00100F0A">
        <w:rPr>
          <w:noProof/>
        </w:rPr>
        <w:fldChar w:fldCharType="end"/>
      </w:r>
      <w:r w:rsidR="00AD2F76">
        <w:rPr>
          <w:noProof/>
        </w:rPr>
        <w:t>:</w:t>
      </w:r>
      <w:r w:rsidR="00D11FEE" w:rsidRPr="00100F0A">
        <w:tab/>
      </w:r>
      <w:r w:rsidRPr="00100F0A">
        <w:t>Best, high and low national projection estimates of tyre waste to 203</w:t>
      </w:r>
      <w:bookmarkEnd w:id="265"/>
      <w:r w:rsidR="007828B5" w:rsidRPr="00100F0A">
        <w:t>7</w:t>
      </w:r>
      <w:bookmarkEnd w:id="266"/>
    </w:p>
    <w:p w14:paraId="37BBD1E2" w14:textId="30A19CFD" w:rsidR="00D142B1" w:rsidRPr="00100F0A" w:rsidRDefault="007501B3" w:rsidP="00601CB2">
      <w:r w:rsidRPr="007501B3">
        <w:rPr>
          <w:noProof/>
        </w:rPr>
        <w:t xml:space="preserve"> </w:t>
      </w:r>
      <w:r w:rsidRPr="007501B3">
        <w:rPr>
          <w:noProof/>
          <w:lang w:eastAsia="en-AU"/>
        </w:rPr>
        <w:drawing>
          <wp:inline distT="0" distB="0" distL="0" distR="0" wp14:anchorId="0B97025A" wp14:editId="771718A3">
            <wp:extent cx="5850255" cy="1729105"/>
            <wp:effectExtent l="0" t="0" r="0" b="4445"/>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850255" cy="1729105"/>
                    </a:xfrm>
                    <a:prstGeom prst="rect">
                      <a:avLst/>
                    </a:prstGeom>
                  </pic:spPr>
                </pic:pic>
              </a:graphicData>
            </a:graphic>
          </wp:inline>
        </w:drawing>
      </w:r>
    </w:p>
    <w:p w14:paraId="248A41F6" w14:textId="1D40739B" w:rsidR="00947054" w:rsidRPr="00100F0A" w:rsidRDefault="00947054" w:rsidP="005E702F">
      <w:pPr>
        <w:pStyle w:val="BodyText"/>
      </w:pPr>
    </w:p>
    <w:p w14:paraId="50D42371" w14:textId="4C9FB6E2" w:rsidR="00601CB2" w:rsidRPr="00100F0A" w:rsidRDefault="00601CB2" w:rsidP="00AD35BF">
      <w:pPr>
        <w:pStyle w:val="Heading3"/>
      </w:pPr>
      <w:r w:rsidRPr="00100F0A">
        <w:t>Other T Other miscellaneous</w:t>
      </w:r>
    </w:p>
    <w:p w14:paraId="75608E20" w14:textId="77777777" w:rsidR="00601CB2" w:rsidRPr="00100F0A" w:rsidRDefault="00601CB2" w:rsidP="00601CB2">
      <w:pPr>
        <w:spacing w:after="60"/>
        <w:rPr>
          <w:color w:val="080808"/>
        </w:rPr>
      </w:pPr>
      <w:r w:rsidRPr="00100F0A">
        <w:rPr>
          <w:color w:val="080808"/>
        </w:rPr>
        <w:t xml:space="preserve">This waste group includes: </w:t>
      </w:r>
    </w:p>
    <w:p w14:paraId="143946EE" w14:textId="77777777" w:rsidR="00601CB2" w:rsidRPr="00100F0A" w:rsidRDefault="00601CB2" w:rsidP="00E96D3C">
      <w:pPr>
        <w:pStyle w:val="ListParagraph"/>
        <w:numPr>
          <w:ilvl w:val="0"/>
          <w:numId w:val="28"/>
        </w:numPr>
        <w:spacing w:before="80"/>
        <w:rPr>
          <w:i/>
        </w:rPr>
      </w:pPr>
      <w:r w:rsidRPr="00100F0A">
        <w:rPr>
          <w:i/>
        </w:rPr>
        <w:t>T100 waste chemicals from research and development or teaching activities</w:t>
      </w:r>
    </w:p>
    <w:p w14:paraId="7462E21D" w14:textId="77777777" w:rsidR="00601CB2" w:rsidRPr="00100F0A" w:rsidRDefault="00601CB2" w:rsidP="00E96D3C">
      <w:pPr>
        <w:pStyle w:val="ListParagraph"/>
        <w:numPr>
          <w:ilvl w:val="0"/>
          <w:numId w:val="28"/>
        </w:numPr>
        <w:spacing w:before="80"/>
        <w:rPr>
          <w:i/>
        </w:rPr>
      </w:pPr>
      <w:r w:rsidRPr="00100F0A">
        <w:rPr>
          <w:i/>
        </w:rPr>
        <w:t>T120 waste from the production &amp; use of photographic chemicals and processing materials</w:t>
      </w:r>
    </w:p>
    <w:p w14:paraId="10896195" w14:textId="77777777" w:rsidR="00601CB2" w:rsidRPr="00100F0A" w:rsidRDefault="00601CB2" w:rsidP="00E96D3C">
      <w:pPr>
        <w:pStyle w:val="ListParagraph"/>
        <w:numPr>
          <w:ilvl w:val="0"/>
          <w:numId w:val="28"/>
        </w:numPr>
        <w:spacing w:before="80"/>
        <w:rPr>
          <w:i/>
        </w:rPr>
      </w:pPr>
      <w:r w:rsidRPr="00100F0A">
        <w:rPr>
          <w:i/>
        </w:rPr>
        <w:t>T200 waste of an explosive nature not subject to other legislation.</w:t>
      </w:r>
    </w:p>
    <w:p w14:paraId="01714C1A" w14:textId="77777777" w:rsidR="00601CB2" w:rsidRPr="00100F0A" w:rsidRDefault="00601CB2" w:rsidP="00601CB2">
      <w:pPr>
        <w:rPr>
          <w:color w:val="080808"/>
        </w:rPr>
      </w:pPr>
    </w:p>
    <w:p w14:paraId="7281330C" w14:textId="55ACC074" w:rsidR="00601CB2" w:rsidRPr="00100F0A" w:rsidRDefault="00601CB2" w:rsidP="00601CB2">
      <w:pPr>
        <w:rPr>
          <w:color w:val="080808"/>
        </w:rPr>
      </w:pPr>
      <w:r w:rsidRPr="00100F0A">
        <w:rPr>
          <w:color w:val="080808"/>
        </w:rPr>
        <w:t xml:space="preserve">This waste group is a collection of relatively unrelated wastes that are produced in small quantities and are made up of mostly T100, </w:t>
      </w:r>
      <w:r w:rsidR="00947054" w:rsidRPr="00100F0A">
        <w:rPr>
          <w:color w:val="080808"/>
        </w:rPr>
        <w:t>from schools, universities and other laboratory facilities such as those related to mining.</w:t>
      </w:r>
    </w:p>
    <w:p w14:paraId="619036A4" w14:textId="77777777" w:rsidR="00601CB2" w:rsidRPr="00100F0A" w:rsidRDefault="00601CB2" w:rsidP="00601CB2">
      <w:pPr>
        <w:pStyle w:val="BodyText"/>
      </w:pPr>
    </w:p>
    <w:p w14:paraId="748D0A84" w14:textId="77777777" w:rsidR="00601CB2" w:rsidRPr="00100F0A" w:rsidRDefault="00601CB2" w:rsidP="00931F74">
      <w:pPr>
        <w:pStyle w:val="Heading3-nonumber"/>
      </w:pPr>
      <w:r w:rsidRPr="00100F0A">
        <w:t>Summary analysis</w:t>
      </w:r>
    </w:p>
    <w:tbl>
      <w:tblPr>
        <w:tblStyle w:val="BETable11"/>
        <w:tblW w:w="4710" w:type="pct"/>
        <w:tblInd w:w="0" w:type="dxa"/>
        <w:tblBorders>
          <w:top w:val="single" w:sz="4" w:space="0" w:color="AAABD6"/>
          <w:left w:val="single" w:sz="4" w:space="0" w:color="AAABD6"/>
          <w:bottom w:val="single" w:sz="4" w:space="0" w:color="AAABD6"/>
          <w:right w:val="single" w:sz="4" w:space="0" w:color="AAABD6"/>
          <w:insideH w:val="single" w:sz="4" w:space="0" w:color="AAABD6"/>
          <w:insideV w:val="single" w:sz="4" w:space="0" w:color="AAABD6"/>
        </w:tblBorders>
        <w:tblLook w:val="04A0" w:firstRow="1" w:lastRow="0" w:firstColumn="1" w:lastColumn="0" w:noHBand="0" w:noVBand="1"/>
      </w:tblPr>
      <w:tblGrid>
        <w:gridCol w:w="4043"/>
        <w:gridCol w:w="3036"/>
        <w:gridCol w:w="1590"/>
      </w:tblGrid>
      <w:tr w:rsidR="00D72A20" w:rsidRPr="00100F0A" w14:paraId="67D99897" w14:textId="77777777" w:rsidTr="00D72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pct"/>
            <w:tcBorders>
              <w:top w:val="nil"/>
              <w:left w:val="single" w:sz="4" w:space="0" w:color="AAABD6"/>
              <w:bottom w:val="nil"/>
            </w:tcBorders>
            <w:shd w:val="clear" w:color="auto" w:fill="AAABD6"/>
          </w:tcPr>
          <w:p w14:paraId="61D95B18" w14:textId="77777777" w:rsidR="00D72A20" w:rsidRPr="00100F0A" w:rsidRDefault="00D72A20" w:rsidP="002A3A54">
            <w:pPr>
              <w:pStyle w:val="BodyText"/>
              <w:rPr>
                <w:color w:val="FFFFFF" w:themeColor="background1"/>
              </w:rPr>
            </w:pPr>
            <w:r w:rsidRPr="00100F0A">
              <w:rPr>
                <w:color w:val="FFFFFF" w:themeColor="background1"/>
              </w:rPr>
              <w:t>Industry sources</w:t>
            </w:r>
          </w:p>
        </w:tc>
        <w:tc>
          <w:tcPr>
            <w:tcW w:w="1751" w:type="pct"/>
            <w:tcBorders>
              <w:top w:val="nil"/>
              <w:bottom w:val="nil"/>
            </w:tcBorders>
            <w:shd w:val="clear" w:color="auto" w:fill="AAABD6"/>
          </w:tcPr>
          <w:p w14:paraId="6A888C58" w14:textId="77777777" w:rsidR="00D72A20" w:rsidRPr="00100F0A" w:rsidRDefault="00D72A20"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Considerations</w:t>
            </w:r>
          </w:p>
        </w:tc>
        <w:tc>
          <w:tcPr>
            <w:tcW w:w="917" w:type="pct"/>
            <w:tcBorders>
              <w:top w:val="nil"/>
              <w:bottom w:val="nil"/>
              <w:right w:val="single" w:sz="4" w:space="0" w:color="AAABD6"/>
            </w:tcBorders>
            <w:shd w:val="clear" w:color="auto" w:fill="AAABD6"/>
          </w:tcPr>
          <w:p w14:paraId="3EF56968" w14:textId="77777777" w:rsidR="00D72A20" w:rsidRPr="00100F0A" w:rsidRDefault="00D72A20"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r>
      <w:tr w:rsidR="00D72A20" w:rsidRPr="00100F0A" w14:paraId="70440444" w14:textId="77777777" w:rsidTr="00D72A20">
        <w:trPr>
          <w:trHeight w:val="2010"/>
        </w:trPr>
        <w:tc>
          <w:tcPr>
            <w:cnfStyle w:val="001000000000" w:firstRow="0" w:lastRow="0" w:firstColumn="1" w:lastColumn="0" w:oddVBand="0" w:evenVBand="0" w:oddHBand="0" w:evenHBand="0" w:firstRowFirstColumn="0" w:firstRowLastColumn="0" w:lastRowFirstColumn="0" w:lastRowLastColumn="0"/>
            <w:tcW w:w="2332" w:type="pct"/>
            <w:tcBorders>
              <w:top w:val="nil"/>
            </w:tcBorders>
          </w:tcPr>
          <w:p w14:paraId="21BFC295" w14:textId="77777777" w:rsidR="00D72A20" w:rsidRPr="00100F0A" w:rsidRDefault="00D72A20" w:rsidP="002A3A54">
            <w:pPr>
              <w:pStyle w:val="BodyText"/>
            </w:pPr>
            <w:r w:rsidRPr="00100F0A">
              <w:t>• Waste sector</w:t>
            </w:r>
          </w:p>
          <w:p w14:paraId="54988CEB" w14:textId="77777777" w:rsidR="00D72A20" w:rsidRPr="00100F0A" w:rsidRDefault="00D72A20" w:rsidP="002A3A54">
            <w:pPr>
              <w:pStyle w:val="BodyText"/>
            </w:pPr>
            <w:r w:rsidRPr="00100F0A">
              <w:t>• Public administration &amp; other education</w:t>
            </w:r>
          </w:p>
          <w:p w14:paraId="7B62F573" w14:textId="77777777" w:rsidR="00D72A20" w:rsidRPr="00100F0A" w:rsidRDefault="00D72A20" w:rsidP="002A3A54">
            <w:pPr>
              <w:pStyle w:val="BodyText"/>
            </w:pPr>
            <w:r w:rsidRPr="00100F0A">
              <w:t>• Mining</w:t>
            </w:r>
          </w:p>
          <w:p w14:paraId="1E6F3411" w14:textId="77777777" w:rsidR="00D72A20" w:rsidRPr="00100F0A" w:rsidRDefault="00D72A20" w:rsidP="002A3A54">
            <w:pPr>
              <w:pStyle w:val="BodyText"/>
            </w:pPr>
            <w:r w:rsidRPr="00100F0A">
              <w:t>• Explosives manufacturing</w:t>
            </w:r>
          </w:p>
          <w:p w14:paraId="2B2D2A3F" w14:textId="77777777" w:rsidR="00D72A20" w:rsidRPr="00100F0A" w:rsidRDefault="00D72A20" w:rsidP="002A3A54">
            <w:pPr>
              <w:pStyle w:val="BodyText"/>
            </w:pPr>
            <w:r w:rsidRPr="00100F0A">
              <w:t>• Printing</w:t>
            </w:r>
          </w:p>
          <w:p w14:paraId="7EBA83F5" w14:textId="77777777" w:rsidR="00D72A20" w:rsidRPr="00100F0A" w:rsidRDefault="00D72A20" w:rsidP="002A3A54">
            <w:pPr>
              <w:pStyle w:val="BodyText"/>
              <w:rPr>
                <w:color w:val="000000"/>
              </w:rPr>
            </w:pPr>
            <w:r w:rsidRPr="00100F0A">
              <w:t>• Water supply, sewerage &amp; drainage services</w:t>
            </w:r>
          </w:p>
        </w:tc>
        <w:tc>
          <w:tcPr>
            <w:tcW w:w="1751" w:type="pct"/>
            <w:tcBorders>
              <w:top w:val="nil"/>
            </w:tcBorders>
          </w:tcPr>
          <w:p w14:paraId="24896F38" w14:textId="77777777" w:rsidR="00D72A20" w:rsidRPr="00100F0A" w:rsidRDefault="00D72A20" w:rsidP="002A3A54">
            <w:pPr>
              <w:pStyle w:val="BodyText"/>
              <w:cnfStyle w:val="000000000000" w:firstRow="0" w:lastRow="0" w:firstColumn="0" w:lastColumn="0" w:oddVBand="0" w:evenVBand="0" w:oddHBand="0" w:evenHBand="0" w:firstRowFirstColumn="0" w:firstRowLastColumn="0" w:lastRowFirstColumn="0" w:lastRowLastColumn="0"/>
            </w:pPr>
            <w:r w:rsidRPr="00100F0A">
              <w:t>No sufficiently credible pre-existing projections were identified</w:t>
            </w:r>
          </w:p>
          <w:p w14:paraId="46651C35" w14:textId="77777777" w:rsidR="00D72A20" w:rsidRPr="00100F0A" w:rsidRDefault="00D72A20" w:rsidP="002A3A54">
            <w:pPr>
              <w:pStyle w:val="BodyText"/>
              <w:cnfStyle w:val="000000000000" w:firstRow="0" w:lastRow="0" w:firstColumn="0" w:lastColumn="0" w:oddVBand="0" w:evenVBand="0" w:oddHBand="0" w:evenHBand="0" w:firstRowFirstColumn="0" w:firstRowLastColumn="0" w:lastRowFirstColumn="0" w:lastRowLastColumn="0"/>
            </w:pPr>
          </w:p>
          <w:p w14:paraId="54653C5F" w14:textId="7C6B8A07" w:rsidR="00D72A20" w:rsidRPr="00100F0A" w:rsidRDefault="00D72A20" w:rsidP="002A3A54">
            <w:pPr>
              <w:pStyle w:val="BodyText"/>
              <w:cnfStyle w:val="000000000000" w:firstRow="0" w:lastRow="0" w:firstColumn="0" w:lastColumn="0" w:oddVBand="0" w:evenVBand="0" w:oddHBand="0" w:evenHBand="0" w:firstRowFirstColumn="0" w:firstRowLastColumn="0" w:lastRowFirstColumn="0" w:lastRowLastColumn="0"/>
            </w:pPr>
            <w:r w:rsidRPr="00100F0A">
              <w:t xml:space="preserve">Vic historical data set shows a long-term decline curve, with other jurisdictions generally increasing </w:t>
            </w:r>
          </w:p>
        </w:tc>
        <w:tc>
          <w:tcPr>
            <w:tcW w:w="917" w:type="pct"/>
            <w:tcBorders>
              <w:top w:val="nil"/>
            </w:tcBorders>
          </w:tcPr>
          <w:p w14:paraId="3A290756" w14:textId="7A5B66AC" w:rsidR="00D72A20" w:rsidRPr="00100F0A" w:rsidRDefault="00D72A20" w:rsidP="00D72A20">
            <w:pPr>
              <w:cnfStyle w:val="000000000000" w:firstRow="0" w:lastRow="0" w:firstColumn="0" w:lastColumn="0" w:oddVBand="0" w:evenVBand="0" w:oddHBand="0" w:evenHBand="0" w:firstRowFirstColumn="0" w:firstRowLastColumn="0" w:lastRowFirstColumn="0" w:lastRowLastColumn="0"/>
              <w:rPr>
                <w:color w:val="080808"/>
              </w:rPr>
            </w:pPr>
            <w:r w:rsidRPr="00100F0A">
              <w:rPr>
                <w:color w:val="080808"/>
              </w:rPr>
              <w:t>All: Use general rates of growth with flat as the low case</w:t>
            </w:r>
          </w:p>
          <w:p w14:paraId="41338361" w14:textId="27C05F66" w:rsidR="00D72A20" w:rsidRPr="00100F0A" w:rsidRDefault="00D72A20" w:rsidP="002A3A54">
            <w:pPr>
              <w:pStyle w:val="BodyText"/>
              <w:cnfStyle w:val="000000000000" w:firstRow="0" w:lastRow="0" w:firstColumn="0" w:lastColumn="0" w:oddVBand="0" w:evenVBand="0" w:oddHBand="0" w:evenHBand="0" w:firstRowFirstColumn="0" w:firstRowLastColumn="0" w:lastRowFirstColumn="0" w:lastRowLastColumn="0"/>
            </w:pPr>
          </w:p>
        </w:tc>
      </w:tr>
    </w:tbl>
    <w:p w14:paraId="1BFDEB8E" w14:textId="77777777" w:rsidR="00601CB2" w:rsidRPr="00100F0A" w:rsidRDefault="00601CB2" w:rsidP="005E702F">
      <w:pPr>
        <w:pStyle w:val="BodyText"/>
      </w:pPr>
    </w:p>
    <w:p w14:paraId="77426320" w14:textId="66297823" w:rsidR="00601CB2" w:rsidRPr="00100F0A" w:rsidRDefault="00601CB2" w:rsidP="00273FA6">
      <w:pPr>
        <w:pStyle w:val="Caption"/>
      </w:pPr>
      <w:bookmarkStart w:id="267" w:name="_Toc425849324"/>
      <w:bookmarkStart w:id="268" w:name="_Toc13225659"/>
      <w:r w:rsidRPr="00100F0A">
        <w:t xml:space="preserve">Table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40</w:t>
      </w:r>
      <w:r w:rsidR="00B404A6" w:rsidRPr="00100F0A">
        <w:rPr>
          <w:noProof/>
        </w:rPr>
        <w:fldChar w:fldCharType="end"/>
      </w:r>
      <w:r w:rsidR="00AD2F76">
        <w:rPr>
          <w:noProof/>
        </w:rPr>
        <w:t>:</w:t>
      </w:r>
      <w:r w:rsidR="00D11FEE" w:rsidRPr="00100F0A">
        <w:tab/>
      </w:r>
      <w:r w:rsidRPr="00100F0A">
        <w:t>Best, high and low projected rates of change for other miscellaneous waste to 203</w:t>
      </w:r>
      <w:bookmarkEnd w:id="267"/>
      <w:r w:rsidR="00D72A20" w:rsidRPr="00100F0A">
        <w:t>7</w:t>
      </w:r>
      <w:bookmarkEnd w:id="268"/>
    </w:p>
    <w:tbl>
      <w:tblPr>
        <w:tblStyle w:val="BETable1"/>
        <w:tblW w:w="8647" w:type="dxa"/>
        <w:tblLayout w:type="fixed"/>
        <w:tblLook w:val="04A0" w:firstRow="1" w:lastRow="0" w:firstColumn="1" w:lastColumn="0" w:noHBand="0" w:noVBand="1"/>
      </w:tblPr>
      <w:tblGrid>
        <w:gridCol w:w="709"/>
        <w:gridCol w:w="1134"/>
        <w:gridCol w:w="4253"/>
        <w:gridCol w:w="850"/>
        <w:gridCol w:w="709"/>
        <w:gridCol w:w="992"/>
      </w:tblGrid>
      <w:tr w:rsidR="00D72A20" w:rsidRPr="00100F0A" w14:paraId="76FB7F52" w14:textId="77777777" w:rsidTr="00D72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left w:val="single" w:sz="4" w:space="0" w:color="AAABD6"/>
              <w:bottom w:val="nil"/>
            </w:tcBorders>
            <w:shd w:val="clear" w:color="auto" w:fill="AAABD6"/>
          </w:tcPr>
          <w:p w14:paraId="48E1B9D6" w14:textId="77777777" w:rsidR="00601CB2" w:rsidRPr="00100F0A" w:rsidRDefault="00601CB2" w:rsidP="002A3A54">
            <w:pPr>
              <w:rPr>
                <w:color w:val="FFFFFF" w:themeColor="background1"/>
              </w:rPr>
            </w:pPr>
          </w:p>
        </w:tc>
        <w:tc>
          <w:tcPr>
            <w:tcW w:w="1134" w:type="dxa"/>
            <w:tcBorders>
              <w:top w:val="nil"/>
              <w:bottom w:val="nil"/>
            </w:tcBorders>
            <w:shd w:val="clear" w:color="auto" w:fill="AAABD6"/>
          </w:tcPr>
          <w:p w14:paraId="16A32049" w14:textId="77777777" w:rsidR="00601CB2" w:rsidRPr="00100F0A" w:rsidRDefault="00601CB2" w:rsidP="002A3A5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Applies to</w:t>
            </w:r>
          </w:p>
        </w:tc>
        <w:tc>
          <w:tcPr>
            <w:tcW w:w="4253" w:type="dxa"/>
            <w:tcBorders>
              <w:top w:val="nil"/>
              <w:bottom w:val="nil"/>
            </w:tcBorders>
            <w:shd w:val="clear" w:color="auto" w:fill="AAABD6"/>
          </w:tcPr>
          <w:p w14:paraId="0B1A4652" w14:textId="77777777" w:rsidR="00601CB2" w:rsidRPr="00100F0A" w:rsidRDefault="00601CB2" w:rsidP="002A3A5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c>
          <w:tcPr>
            <w:tcW w:w="850" w:type="dxa"/>
            <w:tcBorders>
              <w:top w:val="nil"/>
              <w:bottom w:val="nil"/>
            </w:tcBorders>
            <w:shd w:val="clear" w:color="auto" w:fill="AAABD6"/>
          </w:tcPr>
          <w:p w14:paraId="0A087B4E" w14:textId="4A56F87D" w:rsidR="00601CB2" w:rsidRPr="00100F0A" w:rsidRDefault="00584F2F" w:rsidP="002A3A54">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2018</w:t>
            </w:r>
          </w:p>
        </w:tc>
        <w:tc>
          <w:tcPr>
            <w:tcW w:w="709" w:type="dxa"/>
            <w:tcBorders>
              <w:top w:val="nil"/>
              <w:bottom w:val="nil"/>
            </w:tcBorders>
            <w:shd w:val="clear" w:color="auto" w:fill="AAABD6"/>
          </w:tcPr>
          <w:p w14:paraId="026F05B4" w14:textId="77777777" w:rsidR="00601CB2" w:rsidRPr="00100F0A" w:rsidRDefault="00601CB2" w:rsidP="002A3A54">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w:t>
            </w:r>
          </w:p>
        </w:tc>
        <w:tc>
          <w:tcPr>
            <w:tcW w:w="992" w:type="dxa"/>
            <w:tcBorders>
              <w:top w:val="nil"/>
              <w:bottom w:val="nil"/>
              <w:right w:val="single" w:sz="4" w:space="0" w:color="AAABD6"/>
            </w:tcBorders>
            <w:shd w:val="clear" w:color="auto" w:fill="AAABD6"/>
          </w:tcPr>
          <w:p w14:paraId="783A7DDD" w14:textId="56D8B4AD" w:rsidR="00601CB2" w:rsidRPr="00100F0A" w:rsidRDefault="00584F2F" w:rsidP="002A3A54">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2037</w:t>
            </w:r>
          </w:p>
        </w:tc>
      </w:tr>
      <w:tr w:rsidR="00D72A20" w:rsidRPr="00100F0A" w14:paraId="54DBF948" w14:textId="77777777" w:rsidTr="00D72A20">
        <w:tc>
          <w:tcPr>
            <w:cnfStyle w:val="001000000000" w:firstRow="0" w:lastRow="0" w:firstColumn="1" w:lastColumn="0" w:oddVBand="0" w:evenVBand="0" w:oddHBand="0" w:evenHBand="0" w:firstRowFirstColumn="0" w:firstRowLastColumn="0" w:lastRowFirstColumn="0" w:lastRowLastColumn="0"/>
            <w:tcW w:w="709" w:type="dxa"/>
            <w:tcBorders>
              <w:top w:val="nil"/>
              <w:left w:val="single" w:sz="12" w:space="0" w:color="AAABD6"/>
              <w:bottom w:val="dotted" w:sz="4" w:space="0" w:color="AAABD6"/>
              <w:right w:val="single" w:sz="12" w:space="0" w:color="AAABD6"/>
            </w:tcBorders>
          </w:tcPr>
          <w:p w14:paraId="29505D42" w14:textId="77777777" w:rsidR="00D72A20" w:rsidRPr="00100F0A" w:rsidRDefault="00D72A20" w:rsidP="00D72A20">
            <w:r w:rsidRPr="00100F0A">
              <w:t>Best</w:t>
            </w:r>
          </w:p>
        </w:tc>
        <w:tc>
          <w:tcPr>
            <w:tcW w:w="1134" w:type="dxa"/>
            <w:vMerge w:val="restart"/>
            <w:tcBorders>
              <w:top w:val="nil"/>
              <w:left w:val="single" w:sz="12" w:space="0" w:color="AAABD6"/>
              <w:bottom w:val="dotted" w:sz="4" w:space="0" w:color="AAABD6"/>
              <w:right w:val="single" w:sz="12" w:space="0" w:color="AAABD6"/>
            </w:tcBorders>
            <w:vAlign w:val="center"/>
          </w:tcPr>
          <w:p w14:paraId="0B16792F" w14:textId="4DF8B2F4" w:rsidR="00D72A20" w:rsidRPr="00100F0A" w:rsidRDefault="00D72A20" w:rsidP="00D72A20">
            <w:pPr>
              <w:cnfStyle w:val="000000000000" w:firstRow="0" w:lastRow="0" w:firstColumn="0" w:lastColumn="0" w:oddVBand="0" w:evenVBand="0" w:oddHBand="0" w:evenHBand="0" w:firstRowFirstColumn="0" w:firstRowLastColumn="0" w:lastRowFirstColumn="0" w:lastRowLastColumn="0"/>
            </w:pPr>
            <w:r w:rsidRPr="00100F0A">
              <w:t>ACT, NSW, NT, Qld, SA, Tas, Vic, WA</w:t>
            </w:r>
          </w:p>
        </w:tc>
        <w:tc>
          <w:tcPr>
            <w:tcW w:w="4253" w:type="dxa"/>
            <w:tcBorders>
              <w:top w:val="nil"/>
              <w:left w:val="single" w:sz="12" w:space="0" w:color="AAABD6"/>
              <w:bottom w:val="dotted" w:sz="4" w:space="0" w:color="AAABD6"/>
              <w:right w:val="single" w:sz="12" w:space="0" w:color="AAABD6"/>
            </w:tcBorders>
            <w:vAlign w:val="bottom"/>
          </w:tcPr>
          <w:p w14:paraId="7833A922" w14:textId="17B40404" w:rsidR="00D72A20" w:rsidRPr="00100F0A" w:rsidRDefault="00C34F48" w:rsidP="00D72A20">
            <w:pPr>
              <w:cnfStyle w:val="000000000000" w:firstRow="0" w:lastRow="0" w:firstColumn="0" w:lastColumn="0" w:oddVBand="0" w:evenVBand="0" w:oddHBand="0" w:evenHBand="0" w:firstRowFirstColumn="0" w:firstRowLastColumn="0" w:lastRowFirstColumn="0" w:lastRowLastColumn="0"/>
            </w:pPr>
            <w:r>
              <w:rPr>
                <w:rFonts w:cs="Calibri"/>
                <w:color w:val="000000"/>
              </w:rPr>
              <w:t>20-year average</w:t>
            </w:r>
            <w:r w:rsidR="00D72A20" w:rsidRPr="00100F0A">
              <w:rPr>
                <w:rFonts w:cs="Calibri"/>
                <w:color w:val="000000"/>
              </w:rPr>
              <w:t xml:space="preserve"> annual population growth </w:t>
            </w:r>
          </w:p>
        </w:tc>
        <w:tc>
          <w:tcPr>
            <w:tcW w:w="850" w:type="dxa"/>
            <w:tcBorders>
              <w:top w:val="nil"/>
              <w:left w:val="single" w:sz="12" w:space="0" w:color="AAABD6"/>
              <w:bottom w:val="dotted" w:sz="4" w:space="0" w:color="AAABD6"/>
              <w:right w:val="single" w:sz="12" w:space="0" w:color="AAABD6"/>
            </w:tcBorders>
          </w:tcPr>
          <w:p w14:paraId="70EC6BDE" w14:textId="78DA5776" w:rsidR="00D72A20" w:rsidRPr="00100F0A" w:rsidRDefault="00D72A20" w:rsidP="00D72A20">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2.8%</w:t>
            </w:r>
          </w:p>
        </w:tc>
        <w:tc>
          <w:tcPr>
            <w:tcW w:w="709" w:type="dxa"/>
            <w:tcBorders>
              <w:top w:val="nil"/>
              <w:left w:val="single" w:sz="12" w:space="0" w:color="AAABD6"/>
              <w:bottom w:val="dotted" w:sz="4" w:space="0" w:color="AAABD6"/>
              <w:right w:val="single" w:sz="12" w:space="0" w:color="AAABD6"/>
            </w:tcBorders>
          </w:tcPr>
          <w:p w14:paraId="38F320DB" w14:textId="77777777" w:rsidR="00D72A20" w:rsidRPr="00100F0A" w:rsidRDefault="00D72A20" w:rsidP="00D72A20">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2" w:type="dxa"/>
            <w:tcBorders>
              <w:top w:val="nil"/>
              <w:left w:val="single" w:sz="12" w:space="0" w:color="AAABD6"/>
              <w:bottom w:val="dotted" w:sz="4" w:space="0" w:color="AAABD6"/>
              <w:right w:val="single" w:sz="12" w:space="0" w:color="AAABD6"/>
            </w:tcBorders>
          </w:tcPr>
          <w:p w14:paraId="6240391D" w14:textId="07E4223E" w:rsidR="00D72A20" w:rsidRPr="00100F0A" w:rsidRDefault="00D72A20" w:rsidP="00D72A20">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2.8%</w:t>
            </w:r>
          </w:p>
        </w:tc>
      </w:tr>
      <w:tr w:rsidR="00D72A20" w:rsidRPr="00100F0A" w14:paraId="500338E7" w14:textId="77777777" w:rsidTr="00D72A20">
        <w:tc>
          <w:tcPr>
            <w:cnfStyle w:val="001000000000" w:firstRow="0" w:lastRow="0" w:firstColumn="1" w:lastColumn="0" w:oddVBand="0" w:evenVBand="0" w:oddHBand="0" w:evenHBand="0" w:firstRowFirstColumn="0" w:firstRowLastColumn="0" w:lastRowFirstColumn="0" w:lastRowLastColumn="0"/>
            <w:tcW w:w="709" w:type="dxa"/>
            <w:tcBorders>
              <w:top w:val="dotted" w:sz="4" w:space="0" w:color="AAABD6"/>
              <w:left w:val="single" w:sz="12" w:space="0" w:color="AAABD6"/>
              <w:bottom w:val="dotted" w:sz="4" w:space="0" w:color="AAABD6"/>
              <w:right w:val="single" w:sz="12" w:space="0" w:color="AAABD6"/>
            </w:tcBorders>
          </w:tcPr>
          <w:p w14:paraId="15F720A4" w14:textId="77777777" w:rsidR="00D72A20" w:rsidRPr="00100F0A" w:rsidRDefault="00D72A20" w:rsidP="00D72A20">
            <w:r w:rsidRPr="00100F0A">
              <w:t>High</w:t>
            </w:r>
          </w:p>
        </w:tc>
        <w:tc>
          <w:tcPr>
            <w:tcW w:w="1134" w:type="dxa"/>
            <w:vMerge/>
            <w:tcBorders>
              <w:top w:val="dotted" w:sz="4" w:space="0" w:color="AAABD6"/>
              <w:left w:val="single" w:sz="12" w:space="0" w:color="AAABD6"/>
              <w:bottom w:val="dotted" w:sz="4" w:space="0" w:color="AAABD6"/>
              <w:right w:val="single" w:sz="12" w:space="0" w:color="AAABD6"/>
            </w:tcBorders>
            <w:vAlign w:val="center"/>
          </w:tcPr>
          <w:p w14:paraId="44ABF31E" w14:textId="77777777" w:rsidR="00D72A20" w:rsidRPr="00100F0A" w:rsidRDefault="00D72A20" w:rsidP="00D72A20">
            <w:pPr>
              <w:cnfStyle w:val="000000000000" w:firstRow="0" w:lastRow="0" w:firstColumn="0" w:lastColumn="0" w:oddVBand="0" w:evenVBand="0" w:oddHBand="0" w:evenHBand="0" w:firstRowFirstColumn="0" w:firstRowLastColumn="0" w:lastRowFirstColumn="0" w:lastRowLastColumn="0"/>
            </w:pPr>
          </w:p>
        </w:tc>
        <w:tc>
          <w:tcPr>
            <w:tcW w:w="4253" w:type="dxa"/>
            <w:tcBorders>
              <w:top w:val="dotted" w:sz="4" w:space="0" w:color="AAABD6"/>
              <w:left w:val="single" w:sz="12" w:space="0" w:color="AAABD6"/>
              <w:bottom w:val="dotted" w:sz="4" w:space="0" w:color="AAABD6"/>
              <w:right w:val="single" w:sz="12" w:space="0" w:color="AAABD6"/>
            </w:tcBorders>
            <w:vAlign w:val="bottom"/>
          </w:tcPr>
          <w:p w14:paraId="139AA0F0" w14:textId="6996752D" w:rsidR="00D72A20" w:rsidRPr="00100F0A" w:rsidRDefault="00C34F48" w:rsidP="00D72A20">
            <w:pPr>
              <w:cnfStyle w:val="000000000000" w:firstRow="0" w:lastRow="0" w:firstColumn="0" w:lastColumn="0" w:oddVBand="0" w:evenVBand="0" w:oddHBand="0" w:evenHBand="0" w:firstRowFirstColumn="0" w:firstRowLastColumn="0" w:lastRowFirstColumn="0" w:lastRowLastColumn="0"/>
            </w:pPr>
            <w:r>
              <w:rPr>
                <w:rFonts w:cs="Calibri"/>
                <w:color w:val="000000"/>
              </w:rPr>
              <w:t>20-year average</w:t>
            </w:r>
            <w:r w:rsidR="00D72A20" w:rsidRPr="00100F0A">
              <w:rPr>
                <w:rFonts w:cs="Calibri"/>
                <w:color w:val="000000"/>
              </w:rPr>
              <w:t xml:space="preserve"> annual economic growth </w:t>
            </w:r>
          </w:p>
        </w:tc>
        <w:tc>
          <w:tcPr>
            <w:tcW w:w="850" w:type="dxa"/>
            <w:tcBorders>
              <w:top w:val="dotted" w:sz="4" w:space="0" w:color="AAABD6"/>
              <w:left w:val="single" w:sz="12" w:space="0" w:color="AAABD6"/>
              <w:bottom w:val="dotted" w:sz="4" w:space="0" w:color="AAABD6"/>
              <w:right w:val="single" w:sz="12" w:space="0" w:color="AAABD6"/>
            </w:tcBorders>
          </w:tcPr>
          <w:p w14:paraId="2E1CE544" w14:textId="7F09C69D" w:rsidR="00D72A20" w:rsidRPr="00100F0A" w:rsidRDefault="00D72A20" w:rsidP="00D72A20">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1.4%</w:t>
            </w:r>
          </w:p>
        </w:tc>
        <w:tc>
          <w:tcPr>
            <w:tcW w:w="709" w:type="dxa"/>
            <w:tcBorders>
              <w:top w:val="dotted" w:sz="4" w:space="0" w:color="AAABD6"/>
              <w:left w:val="single" w:sz="12" w:space="0" w:color="AAABD6"/>
              <w:bottom w:val="dotted" w:sz="4" w:space="0" w:color="AAABD6"/>
              <w:right w:val="single" w:sz="12" w:space="0" w:color="AAABD6"/>
            </w:tcBorders>
          </w:tcPr>
          <w:p w14:paraId="25941F85" w14:textId="77777777" w:rsidR="00D72A20" w:rsidRPr="00100F0A" w:rsidRDefault="00D72A20" w:rsidP="00D72A20">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2" w:type="dxa"/>
            <w:tcBorders>
              <w:top w:val="dotted" w:sz="4" w:space="0" w:color="AAABD6"/>
              <w:left w:val="single" w:sz="12" w:space="0" w:color="AAABD6"/>
              <w:bottom w:val="dotted" w:sz="4" w:space="0" w:color="AAABD6"/>
              <w:right w:val="single" w:sz="12" w:space="0" w:color="AAABD6"/>
            </w:tcBorders>
          </w:tcPr>
          <w:p w14:paraId="3E8A0589" w14:textId="33A901A8" w:rsidR="00D72A20" w:rsidRPr="00100F0A" w:rsidRDefault="00D72A20" w:rsidP="00D72A20">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1.4%</w:t>
            </w:r>
          </w:p>
        </w:tc>
      </w:tr>
      <w:tr w:rsidR="00D72A20" w:rsidRPr="00100F0A" w14:paraId="07C90570" w14:textId="77777777" w:rsidTr="00D72A20">
        <w:tc>
          <w:tcPr>
            <w:cnfStyle w:val="001000000000" w:firstRow="0" w:lastRow="0" w:firstColumn="1" w:lastColumn="0" w:oddVBand="0" w:evenVBand="0" w:oddHBand="0" w:evenHBand="0" w:firstRowFirstColumn="0" w:firstRowLastColumn="0" w:lastRowFirstColumn="0" w:lastRowLastColumn="0"/>
            <w:tcW w:w="709" w:type="dxa"/>
            <w:tcBorders>
              <w:top w:val="dotted" w:sz="4" w:space="0" w:color="AAABD6"/>
              <w:left w:val="single" w:sz="12" w:space="0" w:color="AAABD6"/>
              <w:bottom w:val="single" w:sz="12" w:space="0" w:color="AAABD6"/>
              <w:right w:val="single" w:sz="12" w:space="0" w:color="AAABD6"/>
            </w:tcBorders>
          </w:tcPr>
          <w:p w14:paraId="26AAD17B" w14:textId="77777777" w:rsidR="00D72A20" w:rsidRPr="00100F0A" w:rsidRDefault="00D72A20" w:rsidP="00D72A20">
            <w:r w:rsidRPr="00100F0A">
              <w:t>Low</w:t>
            </w:r>
          </w:p>
        </w:tc>
        <w:tc>
          <w:tcPr>
            <w:tcW w:w="1134" w:type="dxa"/>
            <w:vMerge/>
            <w:tcBorders>
              <w:top w:val="dotted" w:sz="4" w:space="0" w:color="AAABD6"/>
              <w:left w:val="single" w:sz="12" w:space="0" w:color="AAABD6"/>
              <w:bottom w:val="single" w:sz="12" w:space="0" w:color="AAABD6"/>
              <w:right w:val="single" w:sz="12" w:space="0" w:color="AAABD6"/>
            </w:tcBorders>
            <w:vAlign w:val="center"/>
          </w:tcPr>
          <w:p w14:paraId="0233342E" w14:textId="77777777" w:rsidR="00D72A20" w:rsidRPr="00100F0A" w:rsidRDefault="00D72A20" w:rsidP="00D72A20">
            <w:pPr>
              <w:cnfStyle w:val="000000000000" w:firstRow="0" w:lastRow="0" w:firstColumn="0" w:lastColumn="0" w:oddVBand="0" w:evenVBand="0" w:oddHBand="0" w:evenHBand="0" w:firstRowFirstColumn="0" w:firstRowLastColumn="0" w:lastRowFirstColumn="0" w:lastRowLastColumn="0"/>
            </w:pPr>
          </w:p>
        </w:tc>
        <w:tc>
          <w:tcPr>
            <w:tcW w:w="4253" w:type="dxa"/>
            <w:tcBorders>
              <w:top w:val="dotted" w:sz="4" w:space="0" w:color="AAABD6"/>
              <w:left w:val="single" w:sz="12" w:space="0" w:color="AAABD6"/>
              <w:bottom w:val="single" w:sz="12" w:space="0" w:color="AAABD6"/>
              <w:right w:val="single" w:sz="12" w:space="0" w:color="AAABD6"/>
            </w:tcBorders>
            <w:vAlign w:val="bottom"/>
          </w:tcPr>
          <w:p w14:paraId="016569AF" w14:textId="1D0B715A" w:rsidR="00D72A20" w:rsidRPr="00100F0A" w:rsidRDefault="00D72A20" w:rsidP="00D72A20">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Flat trend</w:t>
            </w:r>
          </w:p>
        </w:tc>
        <w:tc>
          <w:tcPr>
            <w:tcW w:w="850" w:type="dxa"/>
            <w:tcBorders>
              <w:top w:val="dotted" w:sz="4" w:space="0" w:color="AAABD6"/>
              <w:left w:val="single" w:sz="12" w:space="0" w:color="AAABD6"/>
              <w:bottom w:val="single" w:sz="12" w:space="0" w:color="AAABD6"/>
              <w:right w:val="single" w:sz="12" w:space="0" w:color="AAABD6"/>
            </w:tcBorders>
          </w:tcPr>
          <w:p w14:paraId="2A940F0F" w14:textId="1367B519" w:rsidR="00D72A20" w:rsidRPr="00100F0A" w:rsidRDefault="00D72A20" w:rsidP="00D72A20">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0.0%</w:t>
            </w:r>
          </w:p>
        </w:tc>
        <w:tc>
          <w:tcPr>
            <w:tcW w:w="709" w:type="dxa"/>
            <w:tcBorders>
              <w:top w:val="dotted" w:sz="4" w:space="0" w:color="AAABD6"/>
              <w:left w:val="single" w:sz="12" w:space="0" w:color="AAABD6"/>
              <w:bottom w:val="single" w:sz="12" w:space="0" w:color="AAABD6"/>
              <w:right w:val="single" w:sz="12" w:space="0" w:color="AAABD6"/>
            </w:tcBorders>
          </w:tcPr>
          <w:p w14:paraId="0D126A91" w14:textId="77777777" w:rsidR="00D72A20" w:rsidRPr="00100F0A" w:rsidRDefault="00D72A20" w:rsidP="00D72A20">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2" w:type="dxa"/>
            <w:tcBorders>
              <w:top w:val="dotted" w:sz="4" w:space="0" w:color="AAABD6"/>
              <w:left w:val="single" w:sz="12" w:space="0" w:color="AAABD6"/>
              <w:bottom w:val="single" w:sz="12" w:space="0" w:color="AAABD6"/>
              <w:right w:val="single" w:sz="12" w:space="0" w:color="AAABD6"/>
            </w:tcBorders>
          </w:tcPr>
          <w:p w14:paraId="168F053F" w14:textId="2D74602C" w:rsidR="00D72A20" w:rsidRPr="00100F0A" w:rsidRDefault="00D72A20" w:rsidP="00D72A20">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0.0%</w:t>
            </w:r>
          </w:p>
        </w:tc>
      </w:tr>
    </w:tbl>
    <w:p w14:paraId="6F10B068" w14:textId="4A808251" w:rsidR="00601CB2" w:rsidRDefault="00601CB2" w:rsidP="00601CB2">
      <w:pPr>
        <w:pStyle w:val="BodyText"/>
      </w:pPr>
    </w:p>
    <w:p w14:paraId="3F144979" w14:textId="0388FFE7" w:rsidR="005E0601" w:rsidRDefault="005E0601">
      <w:r>
        <w:br w:type="page"/>
      </w:r>
    </w:p>
    <w:p w14:paraId="046A382A" w14:textId="353EB867" w:rsidR="00601CB2" w:rsidRPr="00100F0A" w:rsidRDefault="00601CB2" w:rsidP="00584F2F">
      <w:pPr>
        <w:pStyle w:val="Caption"/>
      </w:pPr>
      <w:bookmarkStart w:id="269" w:name="_Toc425849250"/>
      <w:bookmarkStart w:id="270" w:name="_Toc13225609"/>
      <w:r w:rsidRPr="00100F0A">
        <w:t xml:space="preserve">Figure </w:t>
      </w:r>
      <w:r w:rsidR="00971D78" w:rsidRPr="00100F0A">
        <w:rPr>
          <w:noProof/>
        </w:rPr>
        <w:fldChar w:fldCharType="begin"/>
      </w:r>
      <w:r w:rsidR="00971D78" w:rsidRPr="00100F0A">
        <w:rPr>
          <w:noProof/>
        </w:rPr>
        <w:instrText xml:space="preserve"> SEQ Figure \* ARABIC </w:instrText>
      </w:r>
      <w:r w:rsidR="00971D78" w:rsidRPr="00100F0A">
        <w:rPr>
          <w:noProof/>
        </w:rPr>
        <w:fldChar w:fldCharType="separate"/>
      </w:r>
      <w:r w:rsidR="00EB634D">
        <w:rPr>
          <w:noProof/>
        </w:rPr>
        <w:t>36</w:t>
      </w:r>
      <w:r w:rsidR="00971D78" w:rsidRPr="00100F0A">
        <w:rPr>
          <w:noProof/>
        </w:rPr>
        <w:fldChar w:fldCharType="end"/>
      </w:r>
      <w:r w:rsidR="00AD2F76">
        <w:rPr>
          <w:noProof/>
        </w:rPr>
        <w:t>:</w:t>
      </w:r>
      <w:r w:rsidR="00D11FEE" w:rsidRPr="00100F0A">
        <w:tab/>
      </w:r>
      <w:r w:rsidRPr="00100F0A">
        <w:t>Best, high and low national projection estimates of other miscellaneous waste to 203</w:t>
      </w:r>
      <w:bookmarkEnd w:id="269"/>
      <w:r w:rsidR="00D72A20" w:rsidRPr="00100F0A">
        <w:t>7</w:t>
      </w:r>
      <w:bookmarkEnd w:id="270"/>
    </w:p>
    <w:p w14:paraId="51313AD0" w14:textId="6F9EAB3A" w:rsidR="00601CB2" w:rsidRPr="00100F0A" w:rsidRDefault="00C544C4" w:rsidP="00601CB2">
      <w:r w:rsidRPr="00100F0A">
        <w:rPr>
          <w:noProof/>
          <w:lang w:eastAsia="en-AU"/>
        </w:rPr>
        <w:drawing>
          <wp:inline distT="0" distB="0" distL="0" distR="0" wp14:anchorId="351BCA81" wp14:editId="664F03BD">
            <wp:extent cx="5735955" cy="20250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5955" cy="2025015"/>
                    </a:xfrm>
                    <a:prstGeom prst="rect">
                      <a:avLst/>
                    </a:prstGeom>
                  </pic:spPr>
                </pic:pic>
              </a:graphicData>
            </a:graphic>
          </wp:inline>
        </w:drawing>
      </w:r>
    </w:p>
    <w:p w14:paraId="2E6BAD32" w14:textId="30EE6C79" w:rsidR="00601CB2" w:rsidRPr="00A307F3" w:rsidRDefault="00601CB2" w:rsidP="00A307F3"/>
    <w:p w14:paraId="6F9D007A" w14:textId="3766C4E4" w:rsidR="00CA34C4" w:rsidRPr="00100F0A" w:rsidRDefault="0018460F" w:rsidP="00CA34C4">
      <w:pPr>
        <w:pStyle w:val="Heading3"/>
      </w:pPr>
      <w:r>
        <w:t>Lithium ion</w:t>
      </w:r>
      <w:r w:rsidR="00CA34C4" w:rsidRPr="00100F0A">
        <w:t xml:space="preserve"> batteries (not regulated as hazardous waste)</w:t>
      </w:r>
    </w:p>
    <w:p w14:paraId="73E028AF" w14:textId="610B1854" w:rsidR="00601CB2" w:rsidRPr="00100F0A" w:rsidRDefault="00601CB2" w:rsidP="00601CB2">
      <w:pPr>
        <w:pStyle w:val="BodyText"/>
      </w:pPr>
      <w:r w:rsidRPr="00100F0A">
        <w:t xml:space="preserve">Although </w:t>
      </w:r>
      <w:r w:rsidR="0018460F">
        <w:t>lithium ion</w:t>
      </w:r>
      <w:r w:rsidRPr="00100F0A">
        <w:t xml:space="preserve"> batteries are not regulated as hazardous waste</w:t>
      </w:r>
      <w:r w:rsidR="002F582A">
        <w:rPr>
          <w:rStyle w:val="FootnoteReference"/>
        </w:rPr>
        <w:footnoteReference w:id="24"/>
      </w:r>
      <w:r w:rsidRPr="00100F0A">
        <w:t xml:space="preserve">, they are assessed in this report because of their potential to have a significant impact on hazardous waste infrastructure. </w:t>
      </w:r>
      <w:r w:rsidR="0018460F">
        <w:t>Lithium ion</w:t>
      </w:r>
      <w:r w:rsidRPr="00100F0A">
        <w:t xml:space="preserve"> battery use has been increasing strongly and, if not appropriately managed, represent</w:t>
      </w:r>
      <w:r w:rsidR="005E0601">
        <w:t>s</w:t>
      </w:r>
      <w:r w:rsidRPr="00100F0A">
        <w:t xml:space="preserve"> a safety hazard due to risks of causing explosions and or fire (</w:t>
      </w:r>
      <w:r w:rsidRPr="00100F0A">
        <w:rPr>
          <w:rFonts w:asciiTheme="minorHAnsi" w:hAnsiTheme="minorHAnsi" w:cs="Times New Roman"/>
          <w:lang w:eastAsia="en-AU"/>
        </w:rPr>
        <w:t>ABRI 2014</w:t>
      </w:r>
      <w:r w:rsidR="003F79DE" w:rsidRPr="00100F0A">
        <w:rPr>
          <w:rFonts w:asciiTheme="minorHAnsi" w:hAnsiTheme="minorHAnsi" w:cs="Times New Roman"/>
          <w:lang w:eastAsia="en-AU"/>
        </w:rPr>
        <w:t>)</w:t>
      </w:r>
      <w:r w:rsidRPr="00100F0A">
        <w:rPr>
          <w:rFonts w:asciiTheme="minorHAnsi" w:hAnsiTheme="minorHAnsi" w:cs="Times New Roman"/>
          <w:lang w:eastAsia="en-AU"/>
        </w:rPr>
        <w:t>.</w:t>
      </w:r>
    </w:p>
    <w:p w14:paraId="7985B363" w14:textId="77777777" w:rsidR="00601CB2" w:rsidRPr="00100F0A" w:rsidRDefault="00601CB2" w:rsidP="00601CB2">
      <w:pPr>
        <w:pStyle w:val="BodyText"/>
      </w:pPr>
    </w:p>
    <w:p w14:paraId="193FD9DF" w14:textId="77777777" w:rsidR="00601CB2" w:rsidRPr="00100F0A" w:rsidRDefault="00601CB2" w:rsidP="00931F74">
      <w:pPr>
        <w:pStyle w:val="Heading3-nonumber"/>
      </w:pPr>
      <w:r w:rsidRPr="00100F0A">
        <w:t>Summary analysis</w:t>
      </w:r>
    </w:p>
    <w:tbl>
      <w:tblPr>
        <w:tblStyle w:val="BETable11"/>
        <w:tblW w:w="4990" w:type="pct"/>
        <w:tblInd w:w="0" w:type="dxa"/>
        <w:tblBorders>
          <w:top w:val="single" w:sz="4" w:space="0" w:color="AAABD6"/>
          <w:left w:val="single" w:sz="4" w:space="0" w:color="AAABD6"/>
          <w:bottom w:val="single" w:sz="4" w:space="0" w:color="AAABD6"/>
          <w:right w:val="single" w:sz="4" w:space="0" w:color="AAABD6"/>
          <w:insideH w:val="single" w:sz="4" w:space="0" w:color="AAABD6"/>
          <w:insideV w:val="single" w:sz="4" w:space="0" w:color="AAABD6"/>
        </w:tblBorders>
        <w:tblLook w:val="04A0" w:firstRow="1" w:lastRow="0" w:firstColumn="1" w:lastColumn="0" w:noHBand="0" w:noVBand="1"/>
      </w:tblPr>
      <w:tblGrid>
        <w:gridCol w:w="4387"/>
        <w:gridCol w:w="3733"/>
        <w:gridCol w:w="1065"/>
      </w:tblGrid>
      <w:tr w:rsidR="000C2083" w:rsidRPr="00100F0A" w14:paraId="11FB77C6" w14:textId="77777777" w:rsidTr="00CA34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pct"/>
            <w:tcBorders>
              <w:top w:val="nil"/>
              <w:left w:val="single" w:sz="4" w:space="0" w:color="AAABD6"/>
              <w:bottom w:val="nil"/>
            </w:tcBorders>
            <w:shd w:val="clear" w:color="auto" w:fill="AAABD6"/>
          </w:tcPr>
          <w:p w14:paraId="4196120F" w14:textId="77777777" w:rsidR="00601CB2" w:rsidRPr="00100F0A" w:rsidRDefault="00601CB2" w:rsidP="002A3A54">
            <w:pPr>
              <w:pStyle w:val="BodyText"/>
              <w:rPr>
                <w:color w:val="FFFFFF" w:themeColor="background1"/>
              </w:rPr>
            </w:pPr>
            <w:r w:rsidRPr="00100F0A">
              <w:rPr>
                <w:color w:val="FFFFFF" w:themeColor="background1"/>
              </w:rPr>
              <w:t>Considerations</w:t>
            </w:r>
          </w:p>
        </w:tc>
        <w:tc>
          <w:tcPr>
            <w:tcW w:w="2032" w:type="pct"/>
            <w:tcBorders>
              <w:top w:val="nil"/>
              <w:bottom w:val="nil"/>
            </w:tcBorders>
            <w:shd w:val="clear" w:color="auto" w:fill="AAABD6"/>
          </w:tcPr>
          <w:p w14:paraId="353F9F51" w14:textId="77777777" w:rsidR="00601CB2" w:rsidRPr="00100F0A" w:rsidRDefault="00601CB2"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Comments</w:t>
            </w:r>
          </w:p>
        </w:tc>
        <w:tc>
          <w:tcPr>
            <w:tcW w:w="580" w:type="pct"/>
            <w:tcBorders>
              <w:top w:val="nil"/>
              <w:bottom w:val="nil"/>
              <w:right w:val="single" w:sz="4" w:space="0" w:color="AAABD6"/>
            </w:tcBorders>
            <w:shd w:val="clear" w:color="auto" w:fill="AAABD6"/>
          </w:tcPr>
          <w:p w14:paraId="64CFC668" w14:textId="77777777" w:rsidR="00601CB2" w:rsidRPr="00100F0A" w:rsidRDefault="00601CB2" w:rsidP="002A3A5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r>
      <w:tr w:rsidR="00CA34C4" w:rsidRPr="00100F0A" w14:paraId="0D93595A" w14:textId="77777777" w:rsidTr="00CA34C4">
        <w:trPr>
          <w:trHeight w:val="1645"/>
        </w:trPr>
        <w:tc>
          <w:tcPr>
            <w:cnfStyle w:val="001000000000" w:firstRow="0" w:lastRow="0" w:firstColumn="1" w:lastColumn="0" w:oddVBand="0" w:evenVBand="0" w:oddHBand="0" w:evenHBand="0" w:firstRowFirstColumn="0" w:firstRowLastColumn="0" w:lastRowFirstColumn="0" w:lastRowLastColumn="0"/>
            <w:tcW w:w="2388" w:type="pct"/>
            <w:tcBorders>
              <w:top w:val="nil"/>
            </w:tcBorders>
          </w:tcPr>
          <w:p w14:paraId="772EA14C" w14:textId="0DE361A6" w:rsidR="00CA34C4" w:rsidRPr="00100F0A" w:rsidRDefault="00CA34C4" w:rsidP="002A3A54">
            <w:pPr>
              <w:pStyle w:val="BodyText"/>
            </w:pPr>
            <w:r w:rsidRPr="00100F0A">
              <w:t xml:space="preserve">Projections for </w:t>
            </w:r>
            <w:r w:rsidR="0018460F">
              <w:t>lithium ion</w:t>
            </w:r>
            <w:r w:rsidRPr="00100F0A">
              <w:t xml:space="preserve"> batteries are considered for three differing sizes: </w:t>
            </w:r>
          </w:p>
          <w:p w14:paraId="52EECD8E" w14:textId="77777777" w:rsidR="00CA34C4" w:rsidRPr="00100F0A" w:rsidRDefault="00CA34C4" w:rsidP="00E96D3C">
            <w:pPr>
              <w:pStyle w:val="BodyText"/>
              <w:numPr>
                <w:ilvl w:val="0"/>
                <w:numId w:val="17"/>
              </w:numPr>
              <w:rPr>
                <w:color w:val="000000"/>
              </w:rPr>
            </w:pPr>
            <w:r w:rsidRPr="00100F0A">
              <w:t>h</w:t>
            </w:r>
            <w:r w:rsidRPr="00100F0A">
              <w:rPr>
                <w:color w:val="000000"/>
              </w:rPr>
              <w:t>andheld batteries</w:t>
            </w:r>
          </w:p>
          <w:p w14:paraId="2E509E9F" w14:textId="77777777" w:rsidR="00CA34C4" w:rsidRPr="00100F0A" w:rsidRDefault="00CA34C4" w:rsidP="00E96D3C">
            <w:pPr>
              <w:pStyle w:val="BodyText"/>
              <w:numPr>
                <w:ilvl w:val="0"/>
                <w:numId w:val="17"/>
              </w:numPr>
              <w:rPr>
                <w:color w:val="000000"/>
              </w:rPr>
            </w:pPr>
            <w:r w:rsidRPr="00100F0A">
              <w:rPr>
                <w:color w:val="000000"/>
              </w:rPr>
              <w:t>automotive batteries</w:t>
            </w:r>
          </w:p>
          <w:p w14:paraId="5804BD2A" w14:textId="77777777" w:rsidR="00CA34C4" w:rsidRPr="00100F0A" w:rsidRDefault="00CA34C4" w:rsidP="00E96D3C">
            <w:pPr>
              <w:pStyle w:val="BodyText"/>
              <w:numPr>
                <w:ilvl w:val="0"/>
                <w:numId w:val="17"/>
              </w:numPr>
            </w:pPr>
            <w:r w:rsidRPr="00100F0A">
              <w:rPr>
                <w:color w:val="000000"/>
              </w:rPr>
              <w:t>large and industrial batteries.</w:t>
            </w:r>
          </w:p>
          <w:p w14:paraId="6F8BCC68" w14:textId="77777777" w:rsidR="00CA34C4" w:rsidRPr="00100F0A" w:rsidRDefault="00CA34C4" w:rsidP="00CA34C4">
            <w:pPr>
              <w:pStyle w:val="BodyText"/>
            </w:pPr>
          </w:p>
          <w:p w14:paraId="65E21206" w14:textId="33E9563F" w:rsidR="00CA34C4" w:rsidRPr="00100F0A" w:rsidRDefault="00CA34C4" w:rsidP="00CA34C4">
            <w:pPr>
              <w:pStyle w:val="BodyText"/>
            </w:pPr>
            <w:r w:rsidRPr="00100F0A">
              <w:t>Recent projections exist: REC (201</w:t>
            </w:r>
            <w:r w:rsidR="00C544C4" w:rsidRPr="00100F0A">
              <w:t>8</w:t>
            </w:r>
            <w:r w:rsidRPr="00100F0A">
              <w:t xml:space="preserve">) - lithium ion waste report for </w:t>
            </w:r>
            <w:r w:rsidR="005E0601">
              <w:t>DoEE</w:t>
            </w:r>
            <w:r w:rsidRPr="00100F0A">
              <w:t xml:space="preserve"> </w:t>
            </w:r>
          </w:p>
        </w:tc>
        <w:tc>
          <w:tcPr>
            <w:tcW w:w="2032" w:type="pct"/>
            <w:tcBorders>
              <w:top w:val="nil"/>
            </w:tcBorders>
          </w:tcPr>
          <w:p w14:paraId="2CDA6F56" w14:textId="199E8967" w:rsidR="00CA34C4" w:rsidRPr="00100F0A" w:rsidRDefault="00CA34C4" w:rsidP="002A3A54">
            <w:pPr>
              <w:pStyle w:val="BodyText"/>
              <w:cnfStyle w:val="000000000000" w:firstRow="0" w:lastRow="0" w:firstColumn="0" w:lastColumn="0" w:oddVBand="0" w:evenVBand="0" w:oddHBand="0" w:evenHBand="0" w:firstRowFirstColumn="0" w:firstRowLastColumn="0" w:lastRowFirstColumn="0" w:lastRowLastColumn="0"/>
            </w:pPr>
            <w:r w:rsidRPr="00100F0A">
              <w:t xml:space="preserve">Sales of rechargeable </w:t>
            </w:r>
            <w:r w:rsidR="0018460F">
              <w:t>lithium ion</w:t>
            </w:r>
            <w:r w:rsidRPr="00100F0A">
              <w:t xml:space="preserve"> batteries account for about 24% of all batteries by weight and 7% by unit. They have grown strongly since 2003–04, and are forecast to continue to do so as they enable new applications and replace other chemistries in existing applications (NC &amp; SRU 2014).</w:t>
            </w:r>
          </w:p>
        </w:tc>
        <w:tc>
          <w:tcPr>
            <w:tcW w:w="580" w:type="pct"/>
            <w:tcBorders>
              <w:top w:val="nil"/>
            </w:tcBorders>
          </w:tcPr>
          <w:p w14:paraId="52EDF315" w14:textId="1F88C377" w:rsidR="00CA34C4" w:rsidRPr="00100F0A" w:rsidRDefault="00CA34C4" w:rsidP="002A3A54">
            <w:pPr>
              <w:pStyle w:val="BodyText"/>
              <w:cnfStyle w:val="000000000000" w:firstRow="0" w:lastRow="0" w:firstColumn="0" w:lastColumn="0" w:oddVBand="0" w:evenVBand="0" w:oddHBand="0" w:evenHBand="0" w:firstRowFirstColumn="0" w:firstRowLastColumn="0" w:lastRowFirstColumn="0" w:lastRowLastColumn="0"/>
            </w:pPr>
            <w:r w:rsidRPr="00100F0A">
              <w:rPr>
                <w:color w:val="000000"/>
              </w:rPr>
              <w:t>Use REC (201</w:t>
            </w:r>
            <w:r w:rsidR="00C544C4" w:rsidRPr="00100F0A">
              <w:rPr>
                <w:color w:val="000000"/>
              </w:rPr>
              <w:t>8</w:t>
            </w:r>
            <w:r w:rsidRPr="00100F0A">
              <w:rPr>
                <w:color w:val="000000"/>
              </w:rPr>
              <w:t xml:space="preserve">) </w:t>
            </w:r>
            <w:r w:rsidR="00C544C4" w:rsidRPr="00100F0A">
              <w:rPr>
                <w:color w:val="000000"/>
              </w:rPr>
              <w:t>proj</w:t>
            </w:r>
            <w:r w:rsidRPr="00100F0A">
              <w:rPr>
                <w:color w:val="000000"/>
              </w:rPr>
              <w:t>ections</w:t>
            </w:r>
          </w:p>
        </w:tc>
      </w:tr>
    </w:tbl>
    <w:p w14:paraId="413235DF" w14:textId="5319EDD5" w:rsidR="00601CB2" w:rsidRDefault="00601CB2" w:rsidP="00601CB2">
      <w:pPr>
        <w:pStyle w:val="BodyText"/>
      </w:pPr>
    </w:p>
    <w:p w14:paraId="24C5D454" w14:textId="53E2A96D" w:rsidR="005E0601" w:rsidRDefault="005E0601">
      <w:r>
        <w:br w:type="page"/>
      </w:r>
    </w:p>
    <w:p w14:paraId="08D8C92E" w14:textId="0BC50C1B" w:rsidR="00601CB2" w:rsidRPr="00100F0A" w:rsidRDefault="00601CB2" w:rsidP="0095119F">
      <w:pPr>
        <w:pStyle w:val="Caption"/>
      </w:pPr>
      <w:bookmarkStart w:id="271" w:name="_Toc425849326"/>
      <w:bookmarkStart w:id="272" w:name="_Toc13225660"/>
      <w:r w:rsidRPr="00100F0A">
        <w:t xml:space="preserve">Table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41</w:t>
      </w:r>
      <w:r w:rsidR="00B404A6" w:rsidRPr="00100F0A">
        <w:rPr>
          <w:noProof/>
        </w:rPr>
        <w:fldChar w:fldCharType="end"/>
      </w:r>
      <w:r w:rsidR="00AD2F76">
        <w:rPr>
          <w:noProof/>
        </w:rPr>
        <w:t>:</w:t>
      </w:r>
      <w:r w:rsidR="00D11FEE" w:rsidRPr="00100F0A">
        <w:tab/>
      </w:r>
      <w:r w:rsidRPr="00100F0A">
        <w:t xml:space="preserve">Best, high and low projected rates of change for </w:t>
      </w:r>
      <w:r w:rsidR="0018460F">
        <w:t>lithium ion</w:t>
      </w:r>
      <w:r w:rsidRPr="00100F0A">
        <w:t xml:space="preserve"> battery waste to 2034</w:t>
      </w:r>
      <w:bookmarkEnd w:id="271"/>
      <w:bookmarkEnd w:id="272"/>
    </w:p>
    <w:tbl>
      <w:tblPr>
        <w:tblStyle w:val="BETable1"/>
        <w:tblW w:w="8869" w:type="dxa"/>
        <w:tblLayout w:type="fixed"/>
        <w:tblLook w:val="04A0" w:firstRow="1" w:lastRow="0" w:firstColumn="1" w:lastColumn="0" w:noHBand="0" w:noVBand="1"/>
      </w:tblPr>
      <w:tblGrid>
        <w:gridCol w:w="709"/>
        <w:gridCol w:w="1134"/>
        <w:gridCol w:w="4332"/>
        <w:gridCol w:w="993"/>
        <w:gridCol w:w="708"/>
        <w:gridCol w:w="993"/>
      </w:tblGrid>
      <w:tr w:rsidR="00CA34C4" w:rsidRPr="00100F0A" w14:paraId="33E851FC" w14:textId="77777777" w:rsidTr="00CA34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AABD6"/>
              <w:left w:val="single" w:sz="4" w:space="0" w:color="AAABD6"/>
              <w:bottom w:val="single" w:sz="4" w:space="0" w:color="AAABD6"/>
            </w:tcBorders>
            <w:shd w:val="clear" w:color="auto" w:fill="AAABD6"/>
          </w:tcPr>
          <w:p w14:paraId="68B7083A" w14:textId="77777777" w:rsidR="00CA34C4" w:rsidRPr="00100F0A" w:rsidRDefault="00CA34C4" w:rsidP="00CA34C4">
            <w:pPr>
              <w:rPr>
                <w:color w:val="FFFFFF" w:themeColor="background1"/>
              </w:rPr>
            </w:pPr>
          </w:p>
        </w:tc>
        <w:tc>
          <w:tcPr>
            <w:tcW w:w="1134" w:type="dxa"/>
            <w:tcBorders>
              <w:top w:val="single" w:sz="4" w:space="0" w:color="AAABD6"/>
              <w:bottom w:val="single" w:sz="4" w:space="0" w:color="AAABD6"/>
            </w:tcBorders>
            <w:shd w:val="clear" w:color="auto" w:fill="AAABD6"/>
          </w:tcPr>
          <w:p w14:paraId="50C38784" w14:textId="77777777" w:rsidR="00CA34C4" w:rsidRPr="00100F0A" w:rsidRDefault="00CA34C4" w:rsidP="00CA34C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Applies to</w:t>
            </w:r>
          </w:p>
        </w:tc>
        <w:tc>
          <w:tcPr>
            <w:tcW w:w="4332" w:type="dxa"/>
            <w:tcBorders>
              <w:top w:val="single" w:sz="4" w:space="0" w:color="AAABD6"/>
              <w:bottom w:val="single" w:sz="4" w:space="0" w:color="AAABD6"/>
            </w:tcBorders>
            <w:shd w:val="clear" w:color="auto" w:fill="AAABD6"/>
          </w:tcPr>
          <w:p w14:paraId="7832A2C0" w14:textId="77777777" w:rsidR="00CA34C4" w:rsidRPr="00100F0A" w:rsidRDefault="00CA34C4" w:rsidP="00CA34C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Approach</w:t>
            </w:r>
          </w:p>
        </w:tc>
        <w:tc>
          <w:tcPr>
            <w:tcW w:w="993" w:type="dxa"/>
            <w:tcBorders>
              <w:top w:val="single" w:sz="4" w:space="0" w:color="AAABD6"/>
              <w:bottom w:val="single" w:sz="4" w:space="0" w:color="AAABD6"/>
            </w:tcBorders>
            <w:shd w:val="clear" w:color="auto" w:fill="AAABD6"/>
          </w:tcPr>
          <w:p w14:paraId="499A8ABF" w14:textId="77777777" w:rsidR="00CA34C4" w:rsidRPr="00100F0A" w:rsidRDefault="00CA34C4" w:rsidP="00CA34C4">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2018</w:t>
            </w:r>
          </w:p>
        </w:tc>
        <w:tc>
          <w:tcPr>
            <w:tcW w:w="708" w:type="dxa"/>
            <w:tcBorders>
              <w:top w:val="single" w:sz="4" w:space="0" w:color="AAABD6"/>
              <w:bottom w:val="single" w:sz="4" w:space="0" w:color="AAABD6"/>
            </w:tcBorders>
            <w:shd w:val="clear" w:color="auto" w:fill="AAABD6"/>
          </w:tcPr>
          <w:p w14:paraId="48C9A9E9" w14:textId="77777777" w:rsidR="00CA34C4" w:rsidRPr="00100F0A" w:rsidRDefault="00CA34C4" w:rsidP="00CA34C4">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w:t>
            </w:r>
          </w:p>
        </w:tc>
        <w:tc>
          <w:tcPr>
            <w:tcW w:w="993" w:type="dxa"/>
            <w:tcBorders>
              <w:top w:val="single" w:sz="4" w:space="0" w:color="AAABD6"/>
              <w:bottom w:val="single" w:sz="4" w:space="0" w:color="AAABD6"/>
              <w:right w:val="single" w:sz="4" w:space="0" w:color="AAABD6"/>
            </w:tcBorders>
            <w:shd w:val="clear" w:color="auto" w:fill="AAABD6"/>
          </w:tcPr>
          <w:p w14:paraId="7B883864" w14:textId="77777777" w:rsidR="00CA34C4" w:rsidRPr="00100F0A" w:rsidRDefault="00CA34C4" w:rsidP="00CA34C4">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2037</w:t>
            </w:r>
          </w:p>
        </w:tc>
      </w:tr>
      <w:tr w:rsidR="00CA34C4" w:rsidRPr="00100F0A" w14:paraId="31C8233F" w14:textId="77777777" w:rsidTr="00CA34C4">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AABD6"/>
              <w:left w:val="single" w:sz="4" w:space="0" w:color="AAABD6"/>
              <w:bottom w:val="single" w:sz="4" w:space="0" w:color="AAABD6"/>
              <w:right w:val="single" w:sz="4" w:space="0" w:color="AAABD6"/>
            </w:tcBorders>
          </w:tcPr>
          <w:p w14:paraId="729DFB8C" w14:textId="77777777" w:rsidR="00CA34C4" w:rsidRPr="00100F0A" w:rsidRDefault="00CA34C4" w:rsidP="00CA34C4">
            <w:r w:rsidRPr="00100F0A">
              <w:rPr>
                <w:iCs/>
                <w:color w:val="4D4DB8"/>
                <w:szCs w:val="18"/>
              </w:rPr>
              <w:t>Arisings – absolute tonnes pa</w:t>
            </w:r>
          </w:p>
        </w:tc>
      </w:tr>
      <w:tr w:rsidR="00C544C4" w:rsidRPr="00100F0A" w14:paraId="1DC418B8" w14:textId="77777777" w:rsidTr="008265C8">
        <w:tc>
          <w:tcPr>
            <w:cnfStyle w:val="001000000000" w:firstRow="0" w:lastRow="0" w:firstColumn="1" w:lastColumn="0" w:oddVBand="0" w:evenVBand="0" w:oddHBand="0" w:evenHBand="0" w:firstRowFirstColumn="0" w:firstRowLastColumn="0" w:lastRowFirstColumn="0" w:lastRowLastColumn="0"/>
            <w:tcW w:w="709" w:type="dxa"/>
            <w:vMerge w:val="restart"/>
            <w:tcBorders>
              <w:top w:val="single" w:sz="4" w:space="0" w:color="AAABD6"/>
              <w:left w:val="single" w:sz="4" w:space="0" w:color="AAABD6"/>
              <w:right w:val="single" w:sz="4" w:space="0" w:color="AAABD6"/>
            </w:tcBorders>
            <w:vAlign w:val="center"/>
          </w:tcPr>
          <w:p w14:paraId="65FCE540" w14:textId="77777777" w:rsidR="00C544C4" w:rsidRPr="00100F0A" w:rsidRDefault="00C544C4" w:rsidP="00C544C4">
            <w:r w:rsidRPr="00100F0A">
              <w:t>Best</w:t>
            </w:r>
          </w:p>
        </w:tc>
        <w:tc>
          <w:tcPr>
            <w:tcW w:w="1134" w:type="dxa"/>
            <w:tcBorders>
              <w:top w:val="single" w:sz="4" w:space="0" w:color="AAABD6"/>
              <w:left w:val="single" w:sz="4" w:space="0" w:color="AAABD6"/>
              <w:bottom w:val="dotted" w:sz="4" w:space="0" w:color="AAABD6"/>
              <w:right w:val="single" w:sz="4" w:space="0" w:color="AAABD6"/>
            </w:tcBorders>
            <w:vAlign w:val="center"/>
          </w:tcPr>
          <w:p w14:paraId="31F3BF63"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r w:rsidRPr="00100F0A">
              <w:t>ACT</w:t>
            </w:r>
          </w:p>
        </w:tc>
        <w:tc>
          <w:tcPr>
            <w:tcW w:w="4332" w:type="dxa"/>
            <w:vMerge w:val="restart"/>
            <w:tcBorders>
              <w:top w:val="single" w:sz="4" w:space="0" w:color="AAABD6"/>
              <w:left w:val="single" w:sz="4" w:space="0" w:color="AAABD6"/>
              <w:right w:val="single" w:sz="4" w:space="0" w:color="AAABD6"/>
            </w:tcBorders>
            <w:vAlign w:val="center"/>
          </w:tcPr>
          <w:p w14:paraId="6F020B75" w14:textId="23B1BF54"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REC (2018) projections best estimate</w:t>
            </w:r>
          </w:p>
        </w:tc>
        <w:tc>
          <w:tcPr>
            <w:tcW w:w="993" w:type="dxa"/>
            <w:tcBorders>
              <w:top w:val="single" w:sz="4" w:space="0" w:color="AAABD6"/>
              <w:left w:val="single" w:sz="4" w:space="0" w:color="AAABD6"/>
              <w:bottom w:val="dotted" w:sz="4" w:space="0" w:color="AAABD6"/>
              <w:right w:val="single" w:sz="4" w:space="0" w:color="AAABD6"/>
            </w:tcBorders>
            <w:vAlign w:val="bottom"/>
          </w:tcPr>
          <w:p w14:paraId="3C7E872F" w14:textId="54AEA82A"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65</w:t>
            </w:r>
          </w:p>
        </w:tc>
        <w:tc>
          <w:tcPr>
            <w:tcW w:w="708" w:type="dxa"/>
            <w:tcBorders>
              <w:top w:val="single" w:sz="4" w:space="0" w:color="AAABD6"/>
              <w:left w:val="single" w:sz="4" w:space="0" w:color="AAABD6"/>
              <w:bottom w:val="dotted" w:sz="4" w:space="0" w:color="AAABD6"/>
              <w:right w:val="single" w:sz="4" w:space="0" w:color="AAABD6"/>
            </w:tcBorders>
          </w:tcPr>
          <w:p w14:paraId="5D14DD54" w14:textId="77777777"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single" w:sz="4" w:space="0" w:color="AAABD6"/>
              <w:left w:val="single" w:sz="4" w:space="0" w:color="AAABD6"/>
              <w:bottom w:val="dotted" w:sz="4" w:space="0" w:color="AAABD6"/>
              <w:right w:val="single" w:sz="4" w:space="0" w:color="AAABD6"/>
            </w:tcBorders>
            <w:vAlign w:val="bottom"/>
          </w:tcPr>
          <w:p w14:paraId="047BD5C2" w14:textId="595F2C71"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2,194</w:t>
            </w:r>
          </w:p>
        </w:tc>
      </w:tr>
      <w:tr w:rsidR="00C544C4" w:rsidRPr="00100F0A" w14:paraId="137F9D4E" w14:textId="77777777" w:rsidTr="008265C8">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06F508E3" w14:textId="77777777" w:rsidR="00C544C4" w:rsidRPr="00100F0A" w:rsidRDefault="00C544C4" w:rsidP="00C544C4"/>
        </w:tc>
        <w:tc>
          <w:tcPr>
            <w:tcW w:w="1134" w:type="dxa"/>
            <w:tcBorders>
              <w:top w:val="dotted" w:sz="4" w:space="0" w:color="AAABD6"/>
              <w:left w:val="single" w:sz="4" w:space="0" w:color="AAABD6"/>
              <w:bottom w:val="dotted" w:sz="4" w:space="0" w:color="AAABD6"/>
              <w:right w:val="single" w:sz="4" w:space="0" w:color="AAABD6"/>
            </w:tcBorders>
            <w:vAlign w:val="center"/>
          </w:tcPr>
          <w:p w14:paraId="0162AF3B"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r w:rsidRPr="00100F0A">
              <w:t>NSW</w:t>
            </w:r>
          </w:p>
        </w:tc>
        <w:tc>
          <w:tcPr>
            <w:tcW w:w="4332" w:type="dxa"/>
            <w:vMerge/>
            <w:tcBorders>
              <w:left w:val="single" w:sz="4" w:space="0" w:color="AAABD6"/>
              <w:right w:val="single" w:sz="4" w:space="0" w:color="AAABD6"/>
            </w:tcBorders>
            <w:vAlign w:val="center"/>
          </w:tcPr>
          <w:p w14:paraId="41E917D7"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26446FCB" w14:textId="10876E51"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1,230</w:t>
            </w:r>
          </w:p>
        </w:tc>
        <w:tc>
          <w:tcPr>
            <w:tcW w:w="708" w:type="dxa"/>
            <w:tcBorders>
              <w:top w:val="dotted" w:sz="4" w:space="0" w:color="AAABD6"/>
              <w:left w:val="single" w:sz="4" w:space="0" w:color="AAABD6"/>
              <w:bottom w:val="dotted" w:sz="4" w:space="0" w:color="AAABD6"/>
              <w:right w:val="single" w:sz="4" w:space="0" w:color="AAABD6"/>
            </w:tcBorders>
          </w:tcPr>
          <w:p w14:paraId="2A819823" w14:textId="77777777"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vAlign w:val="bottom"/>
          </w:tcPr>
          <w:p w14:paraId="48B644F1" w14:textId="23DAB105"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37,484</w:t>
            </w:r>
          </w:p>
        </w:tc>
      </w:tr>
      <w:tr w:rsidR="00C544C4" w:rsidRPr="00100F0A" w14:paraId="5E1084F4" w14:textId="77777777" w:rsidTr="008265C8">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21C28551" w14:textId="77777777" w:rsidR="00C544C4" w:rsidRPr="00100F0A" w:rsidRDefault="00C544C4" w:rsidP="00C544C4"/>
        </w:tc>
        <w:tc>
          <w:tcPr>
            <w:tcW w:w="1134" w:type="dxa"/>
            <w:tcBorders>
              <w:top w:val="dotted" w:sz="4" w:space="0" w:color="AAABD6"/>
              <w:left w:val="single" w:sz="4" w:space="0" w:color="AAABD6"/>
              <w:bottom w:val="dotted" w:sz="4" w:space="0" w:color="AAABD6"/>
              <w:right w:val="single" w:sz="4" w:space="0" w:color="AAABD6"/>
            </w:tcBorders>
            <w:vAlign w:val="center"/>
          </w:tcPr>
          <w:p w14:paraId="3E812EF2"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r w:rsidRPr="00100F0A">
              <w:t>NT</w:t>
            </w:r>
          </w:p>
        </w:tc>
        <w:tc>
          <w:tcPr>
            <w:tcW w:w="4332" w:type="dxa"/>
            <w:vMerge/>
            <w:tcBorders>
              <w:left w:val="single" w:sz="4" w:space="0" w:color="AAABD6"/>
              <w:right w:val="single" w:sz="4" w:space="0" w:color="AAABD6"/>
            </w:tcBorders>
            <w:vAlign w:val="center"/>
          </w:tcPr>
          <w:p w14:paraId="7CF2CE6E"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09E64DF9" w14:textId="29C9DF82"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41</w:t>
            </w:r>
          </w:p>
        </w:tc>
        <w:tc>
          <w:tcPr>
            <w:tcW w:w="708" w:type="dxa"/>
            <w:tcBorders>
              <w:top w:val="dotted" w:sz="4" w:space="0" w:color="AAABD6"/>
              <w:left w:val="single" w:sz="4" w:space="0" w:color="AAABD6"/>
              <w:bottom w:val="dotted" w:sz="4" w:space="0" w:color="AAABD6"/>
              <w:right w:val="single" w:sz="4" w:space="0" w:color="AAABD6"/>
            </w:tcBorders>
          </w:tcPr>
          <w:p w14:paraId="6349EE3F" w14:textId="77777777"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vAlign w:val="bottom"/>
          </w:tcPr>
          <w:p w14:paraId="2645C7D9" w14:textId="1AD5F33F"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1,331</w:t>
            </w:r>
          </w:p>
        </w:tc>
      </w:tr>
      <w:tr w:rsidR="00C544C4" w:rsidRPr="00100F0A" w14:paraId="6BA93031" w14:textId="77777777" w:rsidTr="008265C8">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3AC97C87" w14:textId="77777777" w:rsidR="00C544C4" w:rsidRPr="00100F0A" w:rsidRDefault="00C544C4" w:rsidP="00C544C4"/>
        </w:tc>
        <w:tc>
          <w:tcPr>
            <w:tcW w:w="1134" w:type="dxa"/>
            <w:tcBorders>
              <w:top w:val="dotted" w:sz="4" w:space="0" w:color="AAABD6"/>
              <w:left w:val="single" w:sz="4" w:space="0" w:color="AAABD6"/>
              <w:bottom w:val="dotted" w:sz="4" w:space="0" w:color="AAABD6"/>
              <w:right w:val="single" w:sz="4" w:space="0" w:color="AAABD6"/>
            </w:tcBorders>
            <w:vAlign w:val="center"/>
          </w:tcPr>
          <w:p w14:paraId="5EBB127F"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r w:rsidRPr="00100F0A">
              <w:t>Qld</w:t>
            </w:r>
          </w:p>
        </w:tc>
        <w:tc>
          <w:tcPr>
            <w:tcW w:w="4332" w:type="dxa"/>
            <w:vMerge/>
            <w:tcBorders>
              <w:left w:val="single" w:sz="4" w:space="0" w:color="AAABD6"/>
              <w:right w:val="single" w:sz="4" w:space="0" w:color="AAABD6"/>
            </w:tcBorders>
            <w:vAlign w:val="center"/>
          </w:tcPr>
          <w:p w14:paraId="49C1689B"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1BD6CD50" w14:textId="79DD74E2"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798</w:t>
            </w:r>
          </w:p>
        </w:tc>
        <w:tc>
          <w:tcPr>
            <w:tcW w:w="708" w:type="dxa"/>
            <w:tcBorders>
              <w:top w:val="dotted" w:sz="4" w:space="0" w:color="AAABD6"/>
              <w:left w:val="single" w:sz="4" w:space="0" w:color="AAABD6"/>
              <w:bottom w:val="dotted" w:sz="4" w:space="0" w:color="AAABD6"/>
              <w:right w:val="single" w:sz="4" w:space="0" w:color="AAABD6"/>
            </w:tcBorders>
          </w:tcPr>
          <w:p w14:paraId="1A8F4916" w14:textId="77777777"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vAlign w:val="bottom"/>
          </w:tcPr>
          <w:p w14:paraId="05F38E5D" w14:textId="0EE0A076"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27,292</w:t>
            </w:r>
          </w:p>
        </w:tc>
      </w:tr>
      <w:tr w:rsidR="00C544C4" w:rsidRPr="00100F0A" w14:paraId="00445DE1" w14:textId="77777777" w:rsidTr="008265C8">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54AAC0A9" w14:textId="77777777" w:rsidR="00C544C4" w:rsidRPr="00100F0A" w:rsidRDefault="00C544C4" w:rsidP="00C544C4"/>
        </w:tc>
        <w:tc>
          <w:tcPr>
            <w:tcW w:w="1134" w:type="dxa"/>
            <w:tcBorders>
              <w:top w:val="dotted" w:sz="4" w:space="0" w:color="AAABD6"/>
              <w:left w:val="single" w:sz="4" w:space="0" w:color="AAABD6"/>
              <w:bottom w:val="dotted" w:sz="4" w:space="0" w:color="AAABD6"/>
              <w:right w:val="single" w:sz="4" w:space="0" w:color="AAABD6"/>
            </w:tcBorders>
            <w:vAlign w:val="center"/>
          </w:tcPr>
          <w:p w14:paraId="35ADECC9"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r w:rsidRPr="00100F0A">
              <w:t>SA</w:t>
            </w:r>
          </w:p>
        </w:tc>
        <w:tc>
          <w:tcPr>
            <w:tcW w:w="4332" w:type="dxa"/>
            <w:vMerge/>
            <w:tcBorders>
              <w:left w:val="single" w:sz="4" w:space="0" w:color="AAABD6"/>
              <w:right w:val="single" w:sz="4" w:space="0" w:color="AAABD6"/>
            </w:tcBorders>
            <w:vAlign w:val="center"/>
          </w:tcPr>
          <w:p w14:paraId="6C61A93E"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79A6A1A3" w14:textId="28440B58"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275</w:t>
            </w:r>
          </w:p>
        </w:tc>
        <w:tc>
          <w:tcPr>
            <w:tcW w:w="708" w:type="dxa"/>
            <w:tcBorders>
              <w:top w:val="dotted" w:sz="4" w:space="0" w:color="AAABD6"/>
              <w:left w:val="single" w:sz="4" w:space="0" w:color="AAABD6"/>
              <w:bottom w:val="dotted" w:sz="4" w:space="0" w:color="AAABD6"/>
              <w:right w:val="single" w:sz="4" w:space="0" w:color="AAABD6"/>
            </w:tcBorders>
          </w:tcPr>
          <w:p w14:paraId="0893DCA2" w14:textId="77777777"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vAlign w:val="bottom"/>
          </w:tcPr>
          <w:p w14:paraId="2B83F46A" w14:textId="5C1BFC6A"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7,975</w:t>
            </w:r>
          </w:p>
        </w:tc>
      </w:tr>
      <w:tr w:rsidR="00C544C4" w:rsidRPr="00100F0A" w14:paraId="23F68230" w14:textId="77777777" w:rsidTr="008265C8">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59D22C45" w14:textId="77777777" w:rsidR="00C544C4" w:rsidRPr="00100F0A" w:rsidRDefault="00C544C4" w:rsidP="00C544C4"/>
        </w:tc>
        <w:tc>
          <w:tcPr>
            <w:tcW w:w="1134" w:type="dxa"/>
            <w:tcBorders>
              <w:top w:val="dotted" w:sz="4" w:space="0" w:color="AAABD6"/>
              <w:left w:val="single" w:sz="4" w:space="0" w:color="AAABD6"/>
              <w:bottom w:val="dotted" w:sz="4" w:space="0" w:color="AAABD6"/>
              <w:right w:val="single" w:sz="4" w:space="0" w:color="AAABD6"/>
            </w:tcBorders>
            <w:vAlign w:val="center"/>
          </w:tcPr>
          <w:p w14:paraId="6EF9415C"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r w:rsidRPr="00100F0A">
              <w:t>Tas</w:t>
            </w:r>
          </w:p>
        </w:tc>
        <w:tc>
          <w:tcPr>
            <w:tcW w:w="4332" w:type="dxa"/>
            <w:vMerge/>
            <w:tcBorders>
              <w:left w:val="single" w:sz="4" w:space="0" w:color="AAABD6"/>
              <w:right w:val="single" w:sz="4" w:space="0" w:color="AAABD6"/>
            </w:tcBorders>
            <w:vAlign w:val="center"/>
          </w:tcPr>
          <w:p w14:paraId="6B4D5D08"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11F6EA6E" w14:textId="5E9FA916"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83</w:t>
            </w:r>
          </w:p>
        </w:tc>
        <w:tc>
          <w:tcPr>
            <w:tcW w:w="708" w:type="dxa"/>
            <w:tcBorders>
              <w:top w:val="dotted" w:sz="4" w:space="0" w:color="AAABD6"/>
              <w:left w:val="single" w:sz="4" w:space="0" w:color="AAABD6"/>
              <w:bottom w:val="dotted" w:sz="4" w:space="0" w:color="AAABD6"/>
              <w:right w:val="single" w:sz="4" w:space="0" w:color="AAABD6"/>
            </w:tcBorders>
          </w:tcPr>
          <w:p w14:paraId="488C2E70" w14:textId="77777777"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vAlign w:val="bottom"/>
          </w:tcPr>
          <w:p w14:paraId="44DE6C88" w14:textId="3B1AA61A"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2,202</w:t>
            </w:r>
          </w:p>
        </w:tc>
      </w:tr>
      <w:tr w:rsidR="00C544C4" w:rsidRPr="00100F0A" w14:paraId="6165056C" w14:textId="77777777" w:rsidTr="008265C8">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42ED2AAD" w14:textId="77777777" w:rsidR="00C544C4" w:rsidRPr="00100F0A" w:rsidRDefault="00C544C4" w:rsidP="00C544C4"/>
        </w:tc>
        <w:tc>
          <w:tcPr>
            <w:tcW w:w="1134" w:type="dxa"/>
            <w:tcBorders>
              <w:top w:val="dotted" w:sz="4" w:space="0" w:color="AAABD6"/>
              <w:left w:val="single" w:sz="4" w:space="0" w:color="AAABD6"/>
              <w:bottom w:val="dotted" w:sz="4" w:space="0" w:color="AAABD6"/>
              <w:right w:val="single" w:sz="4" w:space="0" w:color="AAABD6"/>
            </w:tcBorders>
            <w:vAlign w:val="center"/>
          </w:tcPr>
          <w:p w14:paraId="1F8B1461"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r w:rsidRPr="00100F0A">
              <w:t>Vic</w:t>
            </w:r>
          </w:p>
        </w:tc>
        <w:tc>
          <w:tcPr>
            <w:tcW w:w="4332" w:type="dxa"/>
            <w:vMerge/>
            <w:tcBorders>
              <w:left w:val="single" w:sz="4" w:space="0" w:color="AAABD6"/>
              <w:right w:val="single" w:sz="4" w:space="0" w:color="AAABD6"/>
            </w:tcBorders>
            <w:vAlign w:val="center"/>
          </w:tcPr>
          <w:p w14:paraId="3599856F"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5DA0D601" w14:textId="1A635FA1"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970</w:t>
            </w:r>
          </w:p>
        </w:tc>
        <w:tc>
          <w:tcPr>
            <w:tcW w:w="708" w:type="dxa"/>
            <w:tcBorders>
              <w:top w:val="dotted" w:sz="4" w:space="0" w:color="AAABD6"/>
              <w:left w:val="single" w:sz="4" w:space="0" w:color="AAABD6"/>
              <w:bottom w:val="dotted" w:sz="4" w:space="0" w:color="AAABD6"/>
              <w:right w:val="single" w:sz="4" w:space="0" w:color="AAABD6"/>
            </w:tcBorders>
          </w:tcPr>
          <w:p w14:paraId="7E3EC6AA" w14:textId="77777777"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vAlign w:val="bottom"/>
          </w:tcPr>
          <w:p w14:paraId="495873F3" w14:textId="5C0FAF09"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31,719</w:t>
            </w:r>
          </w:p>
        </w:tc>
      </w:tr>
      <w:tr w:rsidR="00C544C4" w:rsidRPr="00100F0A" w14:paraId="20A1DA15" w14:textId="77777777" w:rsidTr="008265C8">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bottom w:val="single" w:sz="4" w:space="0" w:color="AAABD6"/>
              <w:right w:val="single" w:sz="4" w:space="0" w:color="AAABD6"/>
            </w:tcBorders>
          </w:tcPr>
          <w:p w14:paraId="7B8DD965" w14:textId="77777777" w:rsidR="00C544C4" w:rsidRPr="00100F0A" w:rsidRDefault="00C544C4" w:rsidP="00C544C4"/>
        </w:tc>
        <w:tc>
          <w:tcPr>
            <w:tcW w:w="1134" w:type="dxa"/>
            <w:tcBorders>
              <w:top w:val="dotted" w:sz="4" w:space="0" w:color="AAABD6"/>
              <w:left w:val="single" w:sz="4" w:space="0" w:color="AAABD6"/>
              <w:bottom w:val="single" w:sz="4" w:space="0" w:color="AAABD6"/>
              <w:right w:val="single" w:sz="4" w:space="0" w:color="AAABD6"/>
            </w:tcBorders>
            <w:vAlign w:val="center"/>
          </w:tcPr>
          <w:p w14:paraId="0BD9FDBE"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r w:rsidRPr="00100F0A">
              <w:t>WA</w:t>
            </w:r>
          </w:p>
        </w:tc>
        <w:tc>
          <w:tcPr>
            <w:tcW w:w="4332" w:type="dxa"/>
            <w:vMerge/>
            <w:tcBorders>
              <w:left w:val="single" w:sz="4" w:space="0" w:color="AAABD6"/>
              <w:bottom w:val="single" w:sz="4" w:space="0" w:color="AAABD6"/>
              <w:right w:val="single" w:sz="4" w:space="0" w:color="AAABD6"/>
            </w:tcBorders>
            <w:vAlign w:val="center"/>
          </w:tcPr>
          <w:p w14:paraId="44E813DA"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single" w:sz="4" w:space="0" w:color="AAABD6"/>
              <w:right w:val="single" w:sz="4" w:space="0" w:color="AAABD6"/>
            </w:tcBorders>
            <w:vAlign w:val="bottom"/>
          </w:tcPr>
          <w:p w14:paraId="164E6405" w14:textId="64637B08"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447</w:t>
            </w:r>
          </w:p>
        </w:tc>
        <w:tc>
          <w:tcPr>
            <w:tcW w:w="708" w:type="dxa"/>
            <w:tcBorders>
              <w:top w:val="dotted" w:sz="4" w:space="0" w:color="AAABD6"/>
              <w:left w:val="single" w:sz="4" w:space="0" w:color="AAABD6"/>
              <w:bottom w:val="single" w:sz="4" w:space="0" w:color="AAABD6"/>
              <w:right w:val="single" w:sz="4" w:space="0" w:color="AAABD6"/>
            </w:tcBorders>
          </w:tcPr>
          <w:p w14:paraId="585FD4C7" w14:textId="77777777"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single" w:sz="4" w:space="0" w:color="AAABD6"/>
              <w:right w:val="single" w:sz="4" w:space="0" w:color="AAABD6"/>
            </w:tcBorders>
            <w:vAlign w:val="bottom"/>
          </w:tcPr>
          <w:p w14:paraId="6F72C2A3" w14:textId="77ADF915"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17,319</w:t>
            </w:r>
          </w:p>
        </w:tc>
      </w:tr>
      <w:tr w:rsidR="00C544C4" w:rsidRPr="00100F0A" w14:paraId="205391E6" w14:textId="77777777" w:rsidTr="008265C8">
        <w:tc>
          <w:tcPr>
            <w:cnfStyle w:val="001000000000" w:firstRow="0" w:lastRow="0" w:firstColumn="1" w:lastColumn="0" w:oddVBand="0" w:evenVBand="0" w:oddHBand="0" w:evenHBand="0" w:firstRowFirstColumn="0" w:firstRowLastColumn="0" w:lastRowFirstColumn="0" w:lastRowLastColumn="0"/>
            <w:tcW w:w="709" w:type="dxa"/>
            <w:vMerge w:val="restart"/>
            <w:tcBorders>
              <w:left w:val="single" w:sz="4" w:space="0" w:color="AAABD6"/>
              <w:right w:val="single" w:sz="4" w:space="0" w:color="AAABD6"/>
            </w:tcBorders>
            <w:vAlign w:val="center"/>
          </w:tcPr>
          <w:p w14:paraId="7C381CA2" w14:textId="77777777" w:rsidR="00C544C4" w:rsidRPr="00100F0A" w:rsidRDefault="00C544C4" w:rsidP="00C544C4">
            <w:r w:rsidRPr="00100F0A">
              <w:t>High</w:t>
            </w:r>
          </w:p>
        </w:tc>
        <w:tc>
          <w:tcPr>
            <w:tcW w:w="1134" w:type="dxa"/>
            <w:tcBorders>
              <w:top w:val="single" w:sz="4" w:space="0" w:color="AAABD6"/>
              <w:left w:val="single" w:sz="4" w:space="0" w:color="AAABD6"/>
              <w:bottom w:val="dotted" w:sz="4" w:space="0" w:color="AAABD6"/>
              <w:right w:val="single" w:sz="4" w:space="0" w:color="AAABD6"/>
            </w:tcBorders>
            <w:vAlign w:val="center"/>
          </w:tcPr>
          <w:p w14:paraId="0FAF7E39"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r w:rsidRPr="00100F0A">
              <w:t>ACT</w:t>
            </w:r>
          </w:p>
        </w:tc>
        <w:tc>
          <w:tcPr>
            <w:tcW w:w="4332" w:type="dxa"/>
            <w:vMerge w:val="restart"/>
            <w:tcBorders>
              <w:left w:val="single" w:sz="4" w:space="0" w:color="AAABD6"/>
              <w:right w:val="single" w:sz="4" w:space="0" w:color="AAABD6"/>
            </w:tcBorders>
            <w:vAlign w:val="center"/>
          </w:tcPr>
          <w:p w14:paraId="5A89FE7D" w14:textId="6D13CC55"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rPr>
                <w:rFonts w:cs="Calibri"/>
                <w:color w:val="000000"/>
              </w:rPr>
            </w:pPr>
            <w:r w:rsidRPr="00100F0A">
              <w:rPr>
                <w:rFonts w:cs="Calibri"/>
                <w:color w:val="000000"/>
              </w:rPr>
              <w:t>REC (2018) projections high estimate</w:t>
            </w:r>
          </w:p>
        </w:tc>
        <w:tc>
          <w:tcPr>
            <w:tcW w:w="993" w:type="dxa"/>
            <w:tcBorders>
              <w:top w:val="single" w:sz="4" w:space="0" w:color="AAABD6"/>
              <w:left w:val="single" w:sz="4" w:space="0" w:color="AAABD6"/>
              <w:bottom w:val="dotted" w:sz="4" w:space="0" w:color="AAABD6"/>
              <w:right w:val="single" w:sz="4" w:space="0" w:color="AAABD6"/>
            </w:tcBorders>
            <w:vAlign w:val="bottom"/>
          </w:tcPr>
          <w:p w14:paraId="7AF4DA92" w14:textId="0FD94A56"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rFonts w:cs="Calibri"/>
              </w:rPr>
              <w:t>65</w:t>
            </w:r>
          </w:p>
        </w:tc>
        <w:tc>
          <w:tcPr>
            <w:tcW w:w="708" w:type="dxa"/>
            <w:tcBorders>
              <w:top w:val="single" w:sz="4" w:space="0" w:color="AAABD6"/>
              <w:left w:val="single" w:sz="4" w:space="0" w:color="AAABD6"/>
              <w:bottom w:val="dotted" w:sz="4" w:space="0" w:color="AAABD6"/>
              <w:right w:val="single" w:sz="4" w:space="0" w:color="AAABD6"/>
            </w:tcBorders>
          </w:tcPr>
          <w:p w14:paraId="1E721917" w14:textId="77777777"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single" w:sz="4" w:space="0" w:color="AAABD6"/>
              <w:left w:val="single" w:sz="4" w:space="0" w:color="AAABD6"/>
              <w:bottom w:val="dotted" w:sz="4" w:space="0" w:color="AAABD6"/>
              <w:right w:val="single" w:sz="4" w:space="0" w:color="AAABD6"/>
            </w:tcBorders>
            <w:vAlign w:val="bottom"/>
          </w:tcPr>
          <w:p w14:paraId="1A39392F" w14:textId="04FB6EDF"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rFonts w:cs="Calibri"/>
              </w:rPr>
              <w:t>3,388</w:t>
            </w:r>
          </w:p>
        </w:tc>
      </w:tr>
      <w:tr w:rsidR="00C544C4" w:rsidRPr="00100F0A" w14:paraId="5CBDBCFA" w14:textId="77777777" w:rsidTr="008265C8">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vAlign w:val="center"/>
          </w:tcPr>
          <w:p w14:paraId="4110E585" w14:textId="77777777" w:rsidR="00C544C4" w:rsidRPr="00100F0A" w:rsidRDefault="00C544C4" w:rsidP="00C544C4"/>
        </w:tc>
        <w:tc>
          <w:tcPr>
            <w:tcW w:w="1134" w:type="dxa"/>
            <w:tcBorders>
              <w:top w:val="dotted" w:sz="4" w:space="0" w:color="AAABD6"/>
              <w:left w:val="single" w:sz="4" w:space="0" w:color="AAABD6"/>
              <w:bottom w:val="dotted" w:sz="4" w:space="0" w:color="AAABD6"/>
              <w:right w:val="single" w:sz="4" w:space="0" w:color="AAABD6"/>
            </w:tcBorders>
            <w:vAlign w:val="center"/>
          </w:tcPr>
          <w:p w14:paraId="4041E54D"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r w:rsidRPr="00100F0A">
              <w:t>NSW</w:t>
            </w:r>
          </w:p>
        </w:tc>
        <w:tc>
          <w:tcPr>
            <w:tcW w:w="4332" w:type="dxa"/>
            <w:vMerge/>
            <w:tcBorders>
              <w:left w:val="single" w:sz="4" w:space="0" w:color="AAABD6"/>
              <w:right w:val="single" w:sz="4" w:space="0" w:color="AAABD6"/>
            </w:tcBorders>
            <w:vAlign w:val="center"/>
          </w:tcPr>
          <w:p w14:paraId="3B06877A"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04881842" w14:textId="529EC065"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rFonts w:cs="Calibri"/>
              </w:rPr>
              <w:t>1,230</w:t>
            </w:r>
          </w:p>
        </w:tc>
        <w:tc>
          <w:tcPr>
            <w:tcW w:w="708" w:type="dxa"/>
            <w:tcBorders>
              <w:top w:val="dotted" w:sz="4" w:space="0" w:color="AAABD6"/>
              <w:left w:val="single" w:sz="4" w:space="0" w:color="AAABD6"/>
              <w:bottom w:val="dotted" w:sz="4" w:space="0" w:color="AAABD6"/>
              <w:right w:val="single" w:sz="4" w:space="0" w:color="AAABD6"/>
            </w:tcBorders>
          </w:tcPr>
          <w:p w14:paraId="741753A5" w14:textId="77777777"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vAlign w:val="bottom"/>
          </w:tcPr>
          <w:p w14:paraId="3DF0DF92" w14:textId="6EB1B40E"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rFonts w:cs="Calibri"/>
              </w:rPr>
              <w:t>57,889</w:t>
            </w:r>
          </w:p>
        </w:tc>
      </w:tr>
      <w:tr w:rsidR="00C544C4" w:rsidRPr="00100F0A" w14:paraId="7E7DEC27" w14:textId="77777777" w:rsidTr="008265C8">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7607B3F6" w14:textId="77777777" w:rsidR="00C544C4" w:rsidRPr="00100F0A" w:rsidRDefault="00C544C4" w:rsidP="00C544C4"/>
        </w:tc>
        <w:tc>
          <w:tcPr>
            <w:tcW w:w="1134" w:type="dxa"/>
            <w:tcBorders>
              <w:top w:val="dotted" w:sz="4" w:space="0" w:color="AAABD6"/>
              <w:left w:val="single" w:sz="4" w:space="0" w:color="AAABD6"/>
              <w:bottom w:val="dotted" w:sz="4" w:space="0" w:color="AAABD6"/>
              <w:right w:val="single" w:sz="4" w:space="0" w:color="AAABD6"/>
            </w:tcBorders>
            <w:vAlign w:val="center"/>
          </w:tcPr>
          <w:p w14:paraId="208FC8D9"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r w:rsidRPr="00100F0A">
              <w:t>NT</w:t>
            </w:r>
          </w:p>
        </w:tc>
        <w:tc>
          <w:tcPr>
            <w:tcW w:w="4332" w:type="dxa"/>
            <w:vMerge/>
            <w:tcBorders>
              <w:left w:val="single" w:sz="4" w:space="0" w:color="AAABD6"/>
              <w:right w:val="single" w:sz="4" w:space="0" w:color="AAABD6"/>
            </w:tcBorders>
            <w:vAlign w:val="center"/>
          </w:tcPr>
          <w:p w14:paraId="4718F6A3"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23BAA1D6" w14:textId="6F4EF11C"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rFonts w:cs="Calibri"/>
              </w:rPr>
              <w:t>41</w:t>
            </w:r>
          </w:p>
        </w:tc>
        <w:tc>
          <w:tcPr>
            <w:tcW w:w="708" w:type="dxa"/>
            <w:tcBorders>
              <w:top w:val="dotted" w:sz="4" w:space="0" w:color="AAABD6"/>
              <w:left w:val="single" w:sz="4" w:space="0" w:color="AAABD6"/>
              <w:bottom w:val="dotted" w:sz="4" w:space="0" w:color="AAABD6"/>
              <w:right w:val="single" w:sz="4" w:space="0" w:color="AAABD6"/>
            </w:tcBorders>
          </w:tcPr>
          <w:p w14:paraId="49DF4152" w14:textId="77777777"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vAlign w:val="bottom"/>
          </w:tcPr>
          <w:p w14:paraId="14D9B192" w14:textId="11981588"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rFonts w:cs="Calibri"/>
              </w:rPr>
              <w:t>2,055</w:t>
            </w:r>
          </w:p>
        </w:tc>
      </w:tr>
      <w:tr w:rsidR="00C544C4" w:rsidRPr="00100F0A" w14:paraId="1B8D5451" w14:textId="77777777" w:rsidTr="008265C8">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3FD98443" w14:textId="77777777" w:rsidR="00C544C4" w:rsidRPr="00100F0A" w:rsidRDefault="00C544C4" w:rsidP="00C544C4"/>
        </w:tc>
        <w:tc>
          <w:tcPr>
            <w:tcW w:w="1134" w:type="dxa"/>
            <w:tcBorders>
              <w:top w:val="dotted" w:sz="4" w:space="0" w:color="AAABD6"/>
              <w:left w:val="single" w:sz="4" w:space="0" w:color="AAABD6"/>
              <w:bottom w:val="dotted" w:sz="4" w:space="0" w:color="AAABD6"/>
              <w:right w:val="single" w:sz="4" w:space="0" w:color="AAABD6"/>
            </w:tcBorders>
            <w:vAlign w:val="center"/>
          </w:tcPr>
          <w:p w14:paraId="16B3CDFE"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r w:rsidRPr="00100F0A">
              <w:t>Qld</w:t>
            </w:r>
          </w:p>
        </w:tc>
        <w:tc>
          <w:tcPr>
            <w:tcW w:w="4332" w:type="dxa"/>
            <w:vMerge/>
            <w:tcBorders>
              <w:left w:val="single" w:sz="4" w:space="0" w:color="AAABD6"/>
              <w:right w:val="single" w:sz="4" w:space="0" w:color="AAABD6"/>
            </w:tcBorders>
            <w:vAlign w:val="center"/>
          </w:tcPr>
          <w:p w14:paraId="0AF23FFA"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0A8CFDDD" w14:textId="7628003A"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rFonts w:cs="Calibri"/>
              </w:rPr>
              <w:t>798</w:t>
            </w:r>
          </w:p>
        </w:tc>
        <w:tc>
          <w:tcPr>
            <w:tcW w:w="708" w:type="dxa"/>
            <w:tcBorders>
              <w:top w:val="dotted" w:sz="4" w:space="0" w:color="AAABD6"/>
              <w:left w:val="single" w:sz="4" w:space="0" w:color="AAABD6"/>
              <w:bottom w:val="dotted" w:sz="4" w:space="0" w:color="AAABD6"/>
              <w:right w:val="single" w:sz="4" w:space="0" w:color="AAABD6"/>
            </w:tcBorders>
          </w:tcPr>
          <w:p w14:paraId="5DF3C8EC" w14:textId="77777777"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vAlign w:val="bottom"/>
          </w:tcPr>
          <w:p w14:paraId="6C6FE411" w14:textId="22B289AA"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rFonts w:cs="Calibri"/>
              </w:rPr>
              <w:t>42,149</w:t>
            </w:r>
          </w:p>
        </w:tc>
      </w:tr>
      <w:tr w:rsidR="00C544C4" w:rsidRPr="00100F0A" w14:paraId="3814C40E" w14:textId="77777777" w:rsidTr="008265C8">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17E86FE2" w14:textId="77777777" w:rsidR="00C544C4" w:rsidRPr="00100F0A" w:rsidRDefault="00C544C4" w:rsidP="00C544C4"/>
        </w:tc>
        <w:tc>
          <w:tcPr>
            <w:tcW w:w="1134" w:type="dxa"/>
            <w:tcBorders>
              <w:top w:val="dotted" w:sz="4" w:space="0" w:color="AAABD6"/>
              <w:left w:val="single" w:sz="4" w:space="0" w:color="AAABD6"/>
              <w:bottom w:val="dotted" w:sz="4" w:space="0" w:color="AAABD6"/>
              <w:right w:val="single" w:sz="4" w:space="0" w:color="AAABD6"/>
            </w:tcBorders>
            <w:vAlign w:val="center"/>
          </w:tcPr>
          <w:p w14:paraId="4B18FD61"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r w:rsidRPr="00100F0A">
              <w:t>SA</w:t>
            </w:r>
          </w:p>
        </w:tc>
        <w:tc>
          <w:tcPr>
            <w:tcW w:w="4332" w:type="dxa"/>
            <w:vMerge/>
            <w:tcBorders>
              <w:left w:val="single" w:sz="4" w:space="0" w:color="AAABD6"/>
              <w:right w:val="single" w:sz="4" w:space="0" w:color="AAABD6"/>
            </w:tcBorders>
            <w:vAlign w:val="center"/>
          </w:tcPr>
          <w:p w14:paraId="18BD48A2"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309832E3" w14:textId="771402B2"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rFonts w:cs="Calibri"/>
              </w:rPr>
              <w:t>275</w:t>
            </w:r>
          </w:p>
        </w:tc>
        <w:tc>
          <w:tcPr>
            <w:tcW w:w="708" w:type="dxa"/>
            <w:tcBorders>
              <w:top w:val="dotted" w:sz="4" w:space="0" w:color="AAABD6"/>
              <w:left w:val="single" w:sz="4" w:space="0" w:color="AAABD6"/>
              <w:bottom w:val="dotted" w:sz="4" w:space="0" w:color="AAABD6"/>
              <w:right w:val="single" w:sz="4" w:space="0" w:color="AAABD6"/>
            </w:tcBorders>
          </w:tcPr>
          <w:p w14:paraId="59E5059B" w14:textId="77777777"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vAlign w:val="bottom"/>
          </w:tcPr>
          <w:p w14:paraId="4214EEAA" w14:textId="676A942A"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rFonts w:cs="Calibri"/>
              </w:rPr>
              <w:t>12,316</w:t>
            </w:r>
          </w:p>
        </w:tc>
      </w:tr>
      <w:tr w:rsidR="00C544C4" w:rsidRPr="00100F0A" w14:paraId="78D2F1B8" w14:textId="77777777" w:rsidTr="008265C8">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0FB20DD4" w14:textId="77777777" w:rsidR="00C544C4" w:rsidRPr="00100F0A" w:rsidRDefault="00C544C4" w:rsidP="00C544C4"/>
        </w:tc>
        <w:tc>
          <w:tcPr>
            <w:tcW w:w="1134" w:type="dxa"/>
            <w:tcBorders>
              <w:top w:val="dotted" w:sz="4" w:space="0" w:color="AAABD6"/>
              <w:left w:val="single" w:sz="4" w:space="0" w:color="AAABD6"/>
              <w:bottom w:val="dotted" w:sz="4" w:space="0" w:color="AAABD6"/>
              <w:right w:val="single" w:sz="4" w:space="0" w:color="AAABD6"/>
            </w:tcBorders>
            <w:vAlign w:val="center"/>
          </w:tcPr>
          <w:p w14:paraId="3CC92F18"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r w:rsidRPr="00100F0A">
              <w:t>Tas</w:t>
            </w:r>
          </w:p>
        </w:tc>
        <w:tc>
          <w:tcPr>
            <w:tcW w:w="4332" w:type="dxa"/>
            <w:vMerge/>
            <w:tcBorders>
              <w:left w:val="single" w:sz="4" w:space="0" w:color="AAABD6"/>
              <w:right w:val="single" w:sz="4" w:space="0" w:color="AAABD6"/>
            </w:tcBorders>
            <w:vAlign w:val="center"/>
          </w:tcPr>
          <w:p w14:paraId="0D208496"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338B324E" w14:textId="1B414793"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rFonts w:cs="Calibri"/>
              </w:rPr>
              <w:t>83</w:t>
            </w:r>
          </w:p>
        </w:tc>
        <w:tc>
          <w:tcPr>
            <w:tcW w:w="708" w:type="dxa"/>
            <w:tcBorders>
              <w:top w:val="dotted" w:sz="4" w:space="0" w:color="AAABD6"/>
              <w:left w:val="single" w:sz="4" w:space="0" w:color="AAABD6"/>
              <w:bottom w:val="dotted" w:sz="4" w:space="0" w:color="AAABD6"/>
              <w:right w:val="single" w:sz="4" w:space="0" w:color="AAABD6"/>
            </w:tcBorders>
          </w:tcPr>
          <w:p w14:paraId="7E159C92" w14:textId="77777777"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vAlign w:val="bottom"/>
          </w:tcPr>
          <w:p w14:paraId="1E247CC2" w14:textId="19D0AF17"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rFonts w:cs="Calibri"/>
              </w:rPr>
              <w:t>3,400</w:t>
            </w:r>
          </w:p>
        </w:tc>
      </w:tr>
      <w:tr w:rsidR="00C544C4" w:rsidRPr="00100F0A" w14:paraId="42C89FA1" w14:textId="77777777" w:rsidTr="008265C8">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4F90187A" w14:textId="77777777" w:rsidR="00C544C4" w:rsidRPr="00100F0A" w:rsidRDefault="00C544C4" w:rsidP="00C544C4"/>
        </w:tc>
        <w:tc>
          <w:tcPr>
            <w:tcW w:w="1134" w:type="dxa"/>
            <w:tcBorders>
              <w:top w:val="dotted" w:sz="4" w:space="0" w:color="AAABD6"/>
              <w:left w:val="single" w:sz="4" w:space="0" w:color="AAABD6"/>
              <w:bottom w:val="dotted" w:sz="4" w:space="0" w:color="AAABD6"/>
              <w:right w:val="single" w:sz="4" w:space="0" w:color="AAABD6"/>
            </w:tcBorders>
            <w:vAlign w:val="center"/>
          </w:tcPr>
          <w:p w14:paraId="6607EB3E"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r w:rsidRPr="00100F0A">
              <w:t>Vic</w:t>
            </w:r>
          </w:p>
        </w:tc>
        <w:tc>
          <w:tcPr>
            <w:tcW w:w="4332" w:type="dxa"/>
            <w:vMerge/>
            <w:tcBorders>
              <w:left w:val="single" w:sz="4" w:space="0" w:color="AAABD6"/>
              <w:right w:val="single" w:sz="4" w:space="0" w:color="AAABD6"/>
            </w:tcBorders>
            <w:vAlign w:val="center"/>
          </w:tcPr>
          <w:p w14:paraId="58D88B14"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065C6B24" w14:textId="314FE0AD"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rFonts w:cs="Calibri"/>
              </w:rPr>
              <w:t>970</w:t>
            </w:r>
          </w:p>
        </w:tc>
        <w:tc>
          <w:tcPr>
            <w:tcW w:w="708" w:type="dxa"/>
            <w:tcBorders>
              <w:top w:val="dotted" w:sz="4" w:space="0" w:color="AAABD6"/>
              <w:left w:val="single" w:sz="4" w:space="0" w:color="AAABD6"/>
              <w:bottom w:val="dotted" w:sz="4" w:space="0" w:color="AAABD6"/>
              <w:right w:val="single" w:sz="4" w:space="0" w:color="AAABD6"/>
            </w:tcBorders>
          </w:tcPr>
          <w:p w14:paraId="2286F4A2" w14:textId="77777777"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vAlign w:val="bottom"/>
          </w:tcPr>
          <w:p w14:paraId="2E63B94E" w14:textId="3BD6DD96"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rFonts w:cs="Calibri"/>
              </w:rPr>
              <w:t>48,986</w:t>
            </w:r>
          </w:p>
        </w:tc>
      </w:tr>
      <w:tr w:rsidR="00C544C4" w:rsidRPr="00100F0A" w14:paraId="221F5E79" w14:textId="77777777" w:rsidTr="008265C8">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bottom w:val="single" w:sz="4" w:space="0" w:color="AAABD6"/>
              <w:right w:val="single" w:sz="4" w:space="0" w:color="AAABD6"/>
            </w:tcBorders>
          </w:tcPr>
          <w:p w14:paraId="25A0C978" w14:textId="77777777" w:rsidR="00C544C4" w:rsidRPr="00100F0A" w:rsidRDefault="00C544C4" w:rsidP="00C544C4"/>
        </w:tc>
        <w:tc>
          <w:tcPr>
            <w:tcW w:w="1134" w:type="dxa"/>
            <w:tcBorders>
              <w:top w:val="dotted" w:sz="4" w:space="0" w:color="AAABD6"/>
              <w:left w:val="single" w:sz="4" w:space="0" w:color="AAABD6"/>
              <w:bottom w:val="single" w:sz="4" w:space="0" w:color="AAABD6"/>
              <w:right w:val="single" w:sz="4" w:space="0" w:color="AAABD6"/>
            </w:tcBorders>
            <w:vAlign w:val="center"/>
          </w:tcPr>
          <w:p w14:paraId="245DBC3D"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r w:rsidRPr="00100F0A">
              <w:t>WA</w:t>
            </w:r>
          </w:p>
        </w:tc>
        <w:tc>
          <w:tcPr>
            <w:tcW w:w="4332" w:type="dxa"/>
            <w:vMerge/>
            <w:tcBorders>
              <w:left w:val="single" w:sz="4" w:space="0" w:color="AAABD6"/>
              <w:bottom w:val="single" w:sz="4" w:space="0" w:color="AAABD6"/>
              <w:right w:val="single" w:sz="4" w:space="0" w:color="AAABD6"/>
            </w:tcBorders>
            <w:vAlign w:val="center"/>
          </w:tcPr>
          <w:p w14:paraId="3B0B3A1D"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single" w:sz="4" w:space="0" w:color="AAABD6"/>
              <w:right w:val="single" w:sz="4" w:space="0" w:color="AAABD6"/>
            </w:tcBorders>
            <w:vAlign w:val="bottom"/>
          </w:tcPr>
          <w:p w14:paraId="38C14F17" w14:textId="077BF959"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rFonts w:cs="Calibri"/>
              </w:rPr>
              <w:t>447</w:t>
            </w:r>
          </w:p>
        </w:tc>
        <w:tc>
          <w:tcPr>
            <w:tcW w:w="708" w:type="dxa"/>
            <w:tcBorders>
              <w:top w:val="dotted" w:sz="4" w:space="0" w:color="AAABD6"/>
              <w:left w:val="single" w:sz="4" w:space="0" w:color="AAABD6"/>
              <w:bottom w:val="single" w:sz="4" w:space="0" w:color="AAABD6"/>
              <w:right w:val="single" w:sz="4" w:space="0" w:color="AAABD6"/>
            </w:tcBorders>
          </w:tcPr>
          <w:p w14:paraId="6B03F60D" w14:textId="77777777"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single" w:sz="4" w:space="0" w:color="AAABD6"/>
              <w:right w:val="single" w:sz="4" w:space="0" w:color="AAABD6"/>
            </w:tcBorders>
            <w:vAlign w:val="bottom"/>
          </w:tcPr>
          <w:p w14:paraId="1203429E" w14:textId="35B69261"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rPr>
                <w:rFonts w:cs="Calibri"/>
              </w:rPr>
            </w:pPr>
            <w:r w:rsidRPr="00100F0A">
              <w:rPr>
                <w:rFonts w:cs="Calibri"/>
              </w:rPr>
              <w:t>26,747</w:t>
            </w:r>
          </w:p>
        </w:tc>
      </w:tr>
      <w:tr w:rsidR="00C544C4" w:rsidRPr="00100F0A" w14:paraId="367E2E17" w14:textId="77777777" w:rsidTr="008265C8">
        <w:tc>
          <w:tcPr>
            <w:cnfStyle w:val="001000000000" w:firstRow="0" w:lastRow="0" w:firstColumn="1" w:lastColumn="0" w:oddVBand="0" w:evenVBand="0" w:oddHBand="0" w:evenHBand="0" w:firstRowFirstColumn="0" w:firstRowLastColumn="0" w:lastRowFirstColumn="0" w:lastRowLastColumn="0"/>
            <w:tcW w:w="709" w:type="dxa"/>
            <w:vMerge w:val="restart"/>
            <w:tcBorders>
              <w:left w:val="single" w:sz="4" w:space="0" w:color="AAABD6"/>
              <w:right w:val="single" w:sz="4" w:space="0" w:color="AAABD6"/>
            </w:tcBorders>
            <w:vAlign w:val="center"/>
          </w:tcPr>
          <w:p w14:paraId="28780ED7" w14:textId="77777777" w:rsidR="00C544C4" w:rsidRPr="00100F0A" w:rsidRDefault="00C544C4" w:rsidP="00C544C4">
            <w:r w:rsidRPr="00100F0A">
              <w:t>Low</w:t>
            </w:r>
          </w:p>
        </w:tc>
        <w:tc>
          <w:tcPr>
            <w:tcW w:w="1134" w:type="dxa"/>
            <w:tcBorders>
              <w:top w:val="single" w:sz="4" w:space="0" w:color="AAABD6"/>
              <w:left w:val="single" w:sz="4" w:space="0" w:color="AAABD6"/>
              <w:bottom w:val="dotted" w:sz="4" w:space="0" w:color="AAABD6"/>
              <w:right w:val="single" w:sz="4" w:space="0" w:color="AAABD6"/>
            </w:tcBorders>
            <w:vAlign w:val="center"/>
          </w:tcPr>
          <w:p w14:paraId="20DE2181"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r w:rsidRPr="00100F0A">
              <w:t>ACT</w:t>
            </w:r>
          </w:p>
        </w:tc>
        <w:tc>
          <w:tcPr>
            <w:tcW w:w="4332" w:type="dxa"/>
            <w:vMerge w:val="restart"/>
            <w:tcBorders>
              <w:top w:val="single" w:sz="4" w:space="0" w:color="AAABD6"/>
              <w:left w:val="single" w:sz="4" w:space="0" w:color="AAABD6"/>
              <w:right w:val="single" w:sz="4" w:space="0" w:color="AAABD6"/>
            </w:tcBorders>
            <w:vAlign w:val="center"/>
          </w:tcPr>
          <w:p w14:paraId="04B80BB6" w14:textId="304CC8C9"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r w:rsidRPr="00100F0A">
              <w:rPr>
                <w:rFonts w:cs="Calibri"/>
                <w:color w:val="000000"/>
              </w:rPr>
              <w:t>REC (2018) projections low estimate</w:t>
            </w:r>
          </w:p>
        </w:tc>
        <w:tc>
          <w:tcPr>
            <w:tcW w:w="993" w:type="dxa"/>
            <w:tcBorders>
              <w:top w:val="single" w:sz="4" w:space="0" w:color="AAABD6"/>
              <w:left w:val="single" w:sz="4" w:space="0" w:color="AAABD6"/>
              <w:bottom w:val="dotted" w:sz="4" w:space="0" w:color="AAABD6"/>
              <w:right w:val="single" w:sz="4" w:space="0" w:color="AAABD6"/>
            </w:tcBorders>
            <w:vAlign w:val="bottom"/>
          </w:tcPr>
          <w:p w14:paraId="23A60149" w14:textId="013C24B1"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65</w:t>
            </w:r>
          </w:p>
        </w:tc>
        <w:tc>
          <w:tcPr>
            <w:tcW w:w="708" w:type="dxa"/>
            <w:tcBorders>
              <w:top w:val="single" w:sz="4" w:space="0" w:color="AAABD6"/>
              <w:left w:val="single" w:sz="4" w:space="0" w:color="AAABD6"/>
              <w:bottom w:val="dotted" w:sz="4" w:space="0" w:color="AAABD6"/>
              <w:right w:val="single" w:sz="4" w:space="0" w:color="AAABD6"/>
            </w:tcBorders>
          </w:tcPr>
          <w:p w14:paraId="328C21E4" w14:textId="77777777"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single" w:sz="4" w:space="0" w:color="AAABD6"/>
              <w:left w:val="single" w:sz="4" w:space="0" w:color="AAABD6"/>
              <w:bottom w:val="dotted" w:sz="4" w:space="0" w:color="AAABD6"/>
              <w:right w:val="single" w:sz="4" w:space="0" w:color="AAABD6"/>
            </w:tcBorders>
            <w:vAlign w:val="bottom"/>
          </w:tcPr>
          <w:p w14:paraId="44FCEF89" w14:textId="67113E5E"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1,466</w:t>
            </w:r>
          </w:p>
        </w:tc>
      </w:tr>
      <w:tr w:rsidR="00C544C4" w:rsidRPr="00100F0A" w14:paraId="0C32DDE5" w14:textId="77777777" w:rsidTr="008265C8">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21BB0199" w14:textId="77777777" w:rsidR="00C544C4" w:rsidRPr="00100F0A" w:rsidRDefault="00C544C4" w:rsidP="00C544C4"/>
        </w:tc>
        <w:tc>
          <w:tcPr>
            <w:tcW w:w="1134" w:type="dxa"/>
            <w:tcBorders>
              <w:top w:val="dotted" w:sz="4" w:space="0" w:color="AAABD6"/>
              <w:left w:val="single" w:sz="4" w:space="0" w:color="AAABD6"/>
              <w:bottom w:val="dotted" w:sz="4" w:space="0" w:color="AAABD6"/>
              <w:right w:val="single" w:sz="4" w:space="0" w:color="AAABD6"/>
            </w:tcBorders>
            <w:vAlign w:val="center"/>
          </w:tcPr>
          <w:p w14:paraId="1E390ADF"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r w:rsidRPr="00100F0A">
              <w:t>NSW</w:t>
            </w:r>
          </w:p>
        </w:tc>
        <w:tc>
          <w:tcPr>
            <w:tcW w:w="4332" w:type="dxa"/>
            <w:vMerge/>
            <w:tcBorders>
              <w:left w:val="single" w:sz="4" w:space="0" w:color="AAABD6"/>
              <w:right w:val="single" w:sz="4" w:space="0" w:color="AAABD6"/>
            </w:tcBorders>
          </w:tcPr>
          <w:p w14:paraId="0D62E102"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255ED4F5" w14:textId="051A0391"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1,230</w:t>
            </w:r>
          </w:p>
        </w:tc>
        <w:tc>
          <w:tcPr>
            <w:tcW w:w="708" w:type="dxa"/>
            <w:tcBorders>
              <w:top w:val="dotted" w:sz="4" w:space="0" w:color="AAABD6"/>
              <w:left w:val="single" w:sz="4" w:space="0" w:color="AAABD6"/>
              <w:bottom w:val="dotted" w:sz="4" w:space="0" w:color="AAABD6"/>
              <w:right w:val="single" w:sz="4" w:space="0" w:color="AAABD6"/>
            </w:tcBorders>
          </w:tcPr>
          <w:p w14:paraId="421C7C91" w14:textId="77777777"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59E39E0A" w14:textId="624B7CF4"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25,054</w:t>
            </w:r>
          </w:p>
        </w:tc>
      </w:tr>
      <w:tr w:rsidR="00C544C4" w:rsidRPr="00100F0A" w14:paraId="206B8269" w14:textId="77777777" w:rsidTr="008265C8">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16776220" w14:textId="77777777" w:rsidR="00C544C4" w:rsidRPr="00100F0A" w:rsidRDefault="00C544C4" w:rsidP="00C544C4"/>
        </w:tc>
        <w:tc>
          <w:tcPr>
            <w:tcW w:w="1134" w:type="dxa"/>
            <w:tcBorders>
              <w:top w:val="dotted" w:sz="4" w:space="0" w:color="AAABD6"/>
              <w:left w:val="single" w:sz="4" w:space="0" w:color="AAABD6"/>
              <w:bottom w:val="dotted" w:sz="4" w:space="0" w:color="AAABD6"/>
              <w:right w:val="single" w:sz="4" w:space="0" w:color="AAABD6"/>
            </w:tcBorders>
            <w:vAlign w:val="center"/>
          </w:tcPr>
          <w:p w14:paraId="7CFC277C"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r w:rsidRPr="00100F0A">
              <w:t>NT</w:t>
            </w:r>
          </w:p>
        </w:tc>
        <w:tc>
          <w:tcPr>
            <w:tcW w:w="4332" w:type="dxa"/>
            <w:vMerge/>
            <w:tcBorders>
              <w:left w:val="single" w:sz="4" w:space="0" w:color="AAABD6"/>
              <w:right w:val="single" w:sz="4" w:space="0" w:color="AAABD6"/>
            </w:tcBorders>
          </w:tcPr>
          <w:p w14:paraId="7083B349"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0781DF73" w14:textId="0438CA1B"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41</w:t>
            </w:r>
          </w:p>
        </w:tc>
        <w:tc>
          <w:tcPr>
            <w:tcW w:w="708" w:type="dxa"/>
            <w:tcBorders>
              <w:top w:val="dotted" w:sz="4" w:space="0" w:color="AAABD6"/>
              <w:left w:val="single" w:sz="4" w:space="0" w:color="AAABD6"/>
              <w:bottom w:val="dotted" w:sz="4" w:space="0" w:color="AAABD6"/>
              <w:right w:val="single" w:sz="4" w:space="0" w:color="AAABD6"/>
            </w:tcBorders>
          </w:tcPr>
          <w:p w14:paraId="1C65EFDC" w14:textId="77777777"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vAlign w:val="bottom"/>
          </w:tcPr>
          <w:p w14:paraId="0DAF7D6D" w14:textId="3E68554E"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889</w:t>
            </w:r>
          </w:p>
        </w:tc>
      </w:tr>
      <w:tr w:rsidR="00C544C4" w:rsidRPr="00100F0A" w14:paraId="4A062574" w14:textId="77777777" w:rsidTr="008265C8">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5776B861" w14:textId="77777777" w:rsidR="00C544C4" w:rsidRPr="00100F0A" w:rsidRDefault="00C544C4" w:rsidP="00C544C4"/>
        </w:tc>
        <w:tc>
          <w:tcPr>
            <w:tcW w:w="1134" w:type="dxa"/>
            <w:tcBorders>
              <w:top w:val="dotted" w:sz="4" w:space="0" w:color="AAABD6"/>
              <w:left w:val="single" w:sz="4" w:space="0" w:color="AAABD6"/>
              <w:bottom w:val="dotted" w:sz="4" w:space="0" w:color="AAABD6"/>
              <w:right w:val="single" w:sz="4" w:space="0" w:color="AAABD6"/>
            </w:tcBorders>
            <w:vAlign w:val="center"/>
          </w:tcPr>
          <w:p w14:paraId="008C50F6"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r w:rsidRPr="00100F0A">
              <w:t>Qld</w:t>
            </w:r>
          </w:p>
        </w:tc>
        <w:tc>
          <w:tcPr>
            <w:tcW w:w="4332" w:type="dxa"/>
            <w:vMerge/>
            <w:tcBorders>
              <w:left w:val="single" w:sz="4" w:space="0" w:color="AAABD6"/>
              <w:right w:val="single" w:sz="4" w:space="0" w:color="AAABD6"/>
            </w:tcBorders>
          </w:tcPr>
          <w:p w14:paraId="220A9A2D"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0BC97BA8" w14:textId="5E51556F"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798</w:t>
            </w:r>
          </w:p>
        </w:tc>
        <w:tc>
          <w:tcPr>
            <w:tcW w:w="708" w:type="dxa"/>
            <w:tcBorders>
              <w:top w:val="dotted" w:sz="4" w:space="0" w:color="AAABD6"/>
              <w:left w:val="single" w:sz="4" w:space="0" w:color="AAABD6"/>
              <w:bottom w:val="dotted" w:sz="4" w:space="0" w:color="AAABD6"/>
              <w:right w:val="single" w:sz="4" w:space="0" w:color="AAABD6"/>
            </w:tcBorders>
          </w:tcPr>
          <w:p w14:paraId="4B9989B3" w14:textId="77777777"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vAlign w:val="bottom"/>
          </w:tcPr>
          <w:p w14:paraId="5C4479EB" w14:textId="06179233"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18,241</w:t>
            </w:r>
          </w:p>
        </w:tc>
      </w:tr>
      <w:tr w:rsidR="00C544C4" w:rsidRPr="00100F0A" w14:paraId="51547F11" w14:textId="77777777" w:rsidTr="008265C8">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68D7C15C" w14:textId="77777777" w:rsidR="00C544C4" w:rsidRPr="00100F0A" w:rsidRDefault="00C544C4" w:rsidP="00C544C4"/>
        </w:tc>
        <w:tc>
          <w:tcPr>
            <w:tcW w:w="1134" w:type="dxa"/>
            <w:tcBorders>
              <w:top w:val="dotted" w:sz="4" w:space="0" w:color="AAABD6"/>
              <w:left w:val="single" w:sz="4" w:space="0" w:color="AAABD6"/>
              <w:bottom w:val="dotted" w:sz="4" w:space="0" w:color="AAABD6"/>
              <w:right w:val="single" w:sz="4" w:space="0" w:color="AAABD6"/>
            </w:tcBorders>
            <w:vAlign w:val="center"/>
          </w:tcPr>
          <w:p w14:paraId="3821C7AE"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r w:rsidRPr="00100F0A">
              <w:t>SA</w:t>
            </w:r>
          </w:p>
        </w:tc>
        <w:tc>
          <w:tcPr>
            <w:tcW w:w="4332" w:type="dxa"/>
            <w:vMerge/>
            <w:tcBorders>
              <w:left w:val="single" w:sz="4" w:space="0" w:color="AAABD6"/>
              <w:right w:val="single" w:sz="4" w:space="0" w:color="AAABD6"/>
            </w:tcBorders>
          </w:tcPr>
          <w:p w14:paraId="02F62F36"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397DEBA8" w14:textId="5C7A0726"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275</w:t>
            </w:r>
          </w:p>
        </w:tc>
        <w:tc>
          <w:tcPr>
            <w:tcW w:w="708" w:type="dxa"/>
            <w:tcBorders>
              <w:top w:val="dotted" w:sz="4" w:space="0" w:color="AAABD6"/>
              <w:left w:val="single" w:sz="4" w:space="0" w:color="AAABD6"/>
              <w:bottom w:val="dotted" w:sz="4" w:space="0" w:color="AAABD6"/>
              <w:right w:val="single" w:sz="4" w:space="0" w:color="AAABD6"/>
            </w:tcBorders>
          </w:tcPr>
          <w:p w14:paraId="2EC658FC" w14:textId="77777777"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vAlign w:val="bottom"/>
          </w:tcPr>
          <w:p w14:paraId="0A509AEF" w14:textId="14FD4454"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5,330</w:t>
            </w:r>
          </w:p>
        </w:tc>
      </w:tr>
      <w:tr w:rsidR="00C544C4" w:rsidRPr="00100F0A" w14:paraId="6009ACB9" w14:textId="77777777" w:rsidTr="008265C8">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319B8A84" w14:textId="77777777" w:rsidR="00C544C4" w:rsidRPr="00100F0A" w:rsidRDefault="00C544C4" w:rsidP="00C544C4"/>
        </w:tc>
        <w:tc>
          <w:tcPr>
            <w:tcW w:w="1134" w:type="dxa"/>
            <w:tcBorders>
              <w:top w:val="dotted" w:sz="4" w:space="0" w:color="AAABD6"/>
              <w:left w:val="single" w:sz="4" w:space="0" w:color="AAABD6"/>
              <w:bottom w:val="dotted" w:sz="4" w:space="0" w:color="AAABD6"/>
              <w:right w:val="single" w:sz="4" w:space="0" w:color="AAABD6"/>
            </w:tcBorders>
            <w:vAlign w:val="center"/>
          </w:tcPr>
          <w:p w14:paraId="371DAD8A"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r w:rsidRPr="00100F0A">
              <w:t>Tas</w:t>
            </w:r>
          </w:p>
        </w:tc>
        <w:tc>
          <w:tcPr>
            <w:tcW w:w="4332" w:type="dxa"/>
            <w:vMerge/>
            <w:tcBorders>
              <w:left w:val="single" w:sz="4" w:space="0" w:color="AAABD6"/>
              <w:right w:val="single" w:sz="4" w:space="0" w:color="AAABD6"/>
            </w:tcBorders>
          </w:tcPr>
          <w:p w14:paraId="08975AD5"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31844CBC" w14:textId="1FEB6DAE"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83</w:t>
            </w:r>
          </w:p>
        </w:tc>
        <w:tc>
          <w:tcPr>
            <w:tcW w:w="708" w:type="dxa"/>
            <w:tcBorders>
              <w:top w:val="dotted" w:sz="4" w:space="0" w:color="AAABD6"/>
              <w:left w:val="single" w:sz="4" w:space="0" w:color="AAABD6"/>
              <w:bottom w:val="dotted" w:sz="4" w:space="0" w:color="AAABD6"/>
              <w:right w:val="single" w:sz="4" w:space="0" w:color="AAABD6"/>
            </w:tcBorders>
          </w:tcPr>
          <w:p w14:paraId="3B809A58" w14:textId="77777777"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vAlign w:val="bottom"/>
          </w:tcPr>
          <w:p w14:paraId="4FADF7D6" w14:textId="69BC231C"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1,472</w:t>
            </w:r>
          </w:p>
        </w:tc>
      </w:tr>
      <w:tr w:rsidR="00C544C4" w:rsidRPr="00100F0A" w14:paraId="6E490DB1" w14:textId="77777777" w:rsidTr="008265C8">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right w:val="single" w:sz="4" w:space="0" w:color="AAABD6"/>
            </w:tcBorders>
          </w:tcPr>
          <w:p w14:paraId="6E342932" w14:textId="77777777" w:rsidR="00C544C4" w:rsidRPr="00100F0A" w:rsidRDefault="00C544C4" w:rsidP="00C544C4"/>
        </w:tc>
        <w:tc>
          <w:tcPr>
            <w:tcW w:w="1134" w:type="dxa"/>
            <w:tcBorders>
              <w:top w:val="dotted" w:sz="4" w:space="0" w:color="AAABD6"/>
              <w:left w:val="single" w:sz="4" w:space="0" w:color="AAABD6"/>
              <w:bottom w:val="dotted" w:sz="4" w:space="0" w:color="AAABD6"/>
              <w:right w:val="single" w:sz="4" w:space="0" w:color="AAABD6"/>
            </w:tcBorders>
            <w:vAlign w:val="center"/>
          </w:tcPr>
          <w:p w14:paraId="621D43E5"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r w:rsidRPr="00100F0A">
              <w:t>Vic</w:t>
            </w:r>
          </w:p>
        </w:tc>
        <w:tc>
          <w:tcPr>
            <w:tcW w:w="4332" w:type="dxa"/>
            <w:vMerge/>
            <w:tcBorders>
              <w:left w:val="single" w:sz="4" w:space="0" w:color="AAABD6"/>
              <w:right w:val="single" w:sz="4" w:space="0" w:color="AAABD6"/>
            </w:tcBorders>
          </w:tcPr>
          <w:p w14:paraId="17C29537"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dotted" w:sz="4" w:space="0" w:color="AAABD6"/>
              <w:right w:val="single" w:sz="4" w:space="0" w:color="AAABD6"/>
            </w:tcBorders>
            <w:vAlign w:val="bottom"/>
          </w:tcPr>
          <w:p w14:paraId="1EE31D79" w14:textId="7076409E"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970</w:t>
            </w:r>
          </w:p>
        </w:tc>
        <w:tc>
          <w:tcPr>
            <w:tcW w:w="708" w:type="dxa"/>
            <w:tcBorders>
              <w:top w:val="dotted" w:sz="4" w:space="0" w:color="AAABD6"/>
              <w:left w:val="single" w:sz="4" w:space="0" w:color="AAABD6"/>
              <w:bottom w:val="dotted" w:sz="4" w:space="0" w:color="AAABD6"/>
              <w:right w:val="single" w:sz="4" w:space="0" w:color="AAABD6"/>
            </w:tcBorders>
          </w:tcPr>
          <w:p w14:paraId="09EE712B" w14:textId="77777777"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dotted" w:sz="4" w:space="0" w:color="AAABD6"/>
              <w:right w:val="single" w:sz="4" w:space="0" w:color="AAABD6"/>
            </w:tcBorders>
            <w:vAlign w:val="bottom"/>
          </w:tcPr>
          <w:p w14:paraId="1B7839AB" w14:textId="04C52004"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21,201</w:t>
            </w:r>
          </w:p>
        </w:tc>
      </w:tr>
      <w:tr w:rsidR="00C544C4" w:rsidRPr="00100F0A" w14:paraId="3E0B8D8A" w14:textId="77777777" w:rsidTr="008265C8">
        <w:tc>
          <w:tcPr>
            <w:cnfStyle w:val="001000000000" w:firstRow="0" w:lastRow="0" w:firstColumn="1" w:lastColumn="0" w:oddVBand="0" w:evenVBand="0" w:oddHBand="0" w:evenHBand="0" w:firstRowFirstColumn="0" w:firstRowLastColumn="0" w:lastRowFirstColumn="0" w:lastRowLastColumn="0"/>
            <w:tcW w:w="709" w:type="dxa"/>
            <w:vMerge/>
            <w:tcBorders>
              <w:left w:val="single" w:sz="4" w:space="0" w:color="AAABD6"/>
              <w:bottom w:val="single" w:sz="4" w:space="0" w:color="AAABD6"/>
              <w:right w:val="single" w:sz="4" w:space="0" w:color="AAABD6"/>
            </w:tcBorders>
          </w:tcPr>
          <w:p w14:paraId="039F1E77" w14:textId="77777777" w:rsidR="00C544C4" w:rsidRPr="00100F0A" w:rsidRDefault="00C544C4" w:rsidP="00C544C4"/>
        </w:tc>
        <w:tc>
          <w:tcPr>
            <w:tcW w:w="1134" w:type="dxa"/>
            <w:tcBorders>
              <w:top w:val="dotted" w:sz="4" w:space="0" w:color="AAABD6"/>
              <w:left w:val="single" w:sz="4" w:space="0" w:color="AAABD6"/>
              <w:bottom w:val="single" w:sz="4" w:space="0" w:color="AAABD6"/>
              <w:right w:val="single" w:sz="4" w:space="0" w:color="AAABD6"/>
            </w:tcBorders>
            <w:vAlign w:val="center"/>
          </w:tcPr>
          <w:p w14:paraId="0A6062B9"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r w:rsidRPr="00100F0A">
              <w:t>WA</w:t>
            </w:r>
          </w:p>
        </w:tc>
        <w:tc>
          <w:tcPr>
            <w:tcW w:w="4332" w:type="dxa"/>
            <w:vMerge/>
            <w:tcBorders>
              <w:left w:val="single" w:sz="4" w:space="0" w:color="AAABD6"/>
              <w:bottom w:val="single" w:sz="4" w:space="0" w:color="AAABD6"/>
              <w:right w:val="single" w:sz="4" w:space="0" w:color="AAABD6"/>
            </w:tcBorders>
          </w:tcPr>
          <w:p w14:paraId="2EB7FC1F" w14:textId="77777777" w:rsidR="00C544C4" w:rsidRPr="00100F0A" w:rsidRDefault="00C544C4" w:rsidP="00C544C4">
            <w:pPr>
              <w:cnfStyle w:val="000000000000" w:firstRow="0" w:lastRow="0" w:firstColumn="0" w:lastColumn="0" w:oddVBand="0" w:evenVBand="0" w:oddHBand="0" w:evenHBand="0" w:firstRowFirstColumn="0" w:firstRowLastColumn="0" w:lastRowFirstColumn="0" w:lastRowLastColumn="0"/>
            </w:pPr>
          </w:p>
        </w:tc>
        <w:tc>
          <w:tcPr>
            <w:tcW w:w="993" w:type="dxa"/>
            <w:tcBorders>
              <w:top w:val="dotted" w:sz="4" w:space="0" w:color="AAABD6"/>
              <w:left w:val="single" w:sz="4" w:space="0" w:color="AAABD6"/>
              <w:bottom w:val="single" w:sz="4" w:space="0" w:color="AAABD6"/>
              <w:right w:val="single" w:sz="4" w:space="0" w:color="AAABD6"/>
            </w:tcBorders>
            <w:vAlign w:val="bottom"/>
          </w:tcPr>
          <w:p w14:paraId="634FEB7B" w14:textId="421D8BA0"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rPr>
                <w:rFonts w:cs="Calibri"/>
              </w:rPr>
              <w:t>447</w:t>
            </w:r>
          </w:p>
        </w:tc>
        <w:tc>
          <w:tcPr>
            <w:tcW w:w="708" w:type="dxa"/>
            <w:tcBorders>
              <w:top w:val="dotted" w:sz="4" w:space="0" w:color="AAABD6"/>
              <w:left w:val="single" w:sz="4" w:space="0" w:color="AAABD6"/>
              <w:bottom w:val="single" w:sz="4" w:space="0" w:color="AAABD6"/>
              <w:right w:val="single" w:sz="4" w:space="0" w:color="AAABD6"/>
            </w:tcBorders>
          </w:tcPr>
          <w:p w14:paraId="0C09ACB2" w14:textId="77777777"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pPr>
            <w:r w:rsidRPr="00100F0A">
              <w:t>...</w:t>
            </w:r>
          </w:p>
        </w:tc>
        <w:tc>
          <w:tcPr>
            <w:tcW w:w="993" w:type="dxa"/>
            <w:tcBorders>
              <w:top w:val="dotted" w:sz="4" w:space="0" w:color="AAABD6"/>
              <w:left w:val="single" w:sz="4" w:space="0" w:color="AAABD6"/>
              <w:bottom w:val="single" w:sz="4" w:space="0" w:color="AAABD6"/>
              <w:right w:val="single" w:sz="4" w:space="0" w:color="AAABD6"/>
            </w:tcBorders>
            <w:vAlign w:val="bottom"/>
          </w:tcPr>
          <w:p w14:paraId="6A32E86D" w14:textId="11C42057" w:rsidR="00C544C4" w:rsidRPr="00100F0A" w:rsidRDefault="00C544C4" w:rsidP="00C544C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100F0A">
              <w:rPr>
                <w:rFonts w:cs="Calibri"/>
              </w:rPr>
              <w:t>11,576</w:t>
            </w:r>
          </w:p>
        </w:tc>
      </w:tr>
    </w:tbl>
    <w:p w14:paraId="73B755A3" w14:textId="77777777" w:rsidR="00601CB2" w:rsidRPr="00100F0A" w:rsidRDefault="00601CB2" w:rsidP="00601CB2">
      <w:pPr>
        <w:pStyle w:val="BodyText"/>
      </w:pPr>
    </w:p>
    <w:p w14:paraId="5B5D523D" w14:textId="3A5718FC" w:rsidR="00601CB2" w:rsidRPr="00100F0A" w:rsidRDefault="00601CB2" w:rsidP="0095119F">
      <w:pPr>
        <w:pStyle w:val="Caption"/>
      </w:pPr>
      <w:bookmarkStart w:id="273" w:name="_Toc425849251"/>
      <w:bookmarkStart w:id="274" w:name="_Toc13225610"/>
      <w:r w:rsidRPr="00100F0A">
        <w:t xml:space="preserve">Figure </w:t>
      </w:r>
      <w:r w:rsidR="00971D78" w:rsidRPr="00100F0A">
        <w:rPr>
          <w:noProof/>
        </w:rPr>
        <w:fldChar w:fldCharType="begin"/>
      </w:r>
      <w:r w:rsidR="00971D78" w:rsidRPr="00100F0A">
        <w:rPr>
          <w:noProof/>
        </w:rPr>
        <w:instrText xml:space="preserve"> SEQ Figure \* ARABIC </w:instrText>
      </w:r>
      <w:r w:rsidR="00971D78" w:rsidRPr="00100F0A">
        <w:rPr>
          <w:noProof/>
        </w:rPr>
        <w:fldChar w:fldCharType="separate"/>
      </w:r>
      <w:r w:rsidR="00EB634D">
        <w:rPr>
          <w:noProof/>
        </w:rPr>
        <w:t>37</w:t>
      </w:r>
      <w:r w:rsidR="00971D78" w:rsidRPr="00100F0A">
        <w:rPr>
          <w:noProof/>
        </w:rPr>
        <w:fldChar w:fldCharType="end"/>
      </w:r>
      <w:r w:rsidR="00AD2F76">
        <w:rPr>
          <w:noProof/>
        </w:rPr>
        <w:t>:</w:t>
      </w:r>
      <w:r w:rsidR="00D11FEE" w:rsidRPr="00100F0A">
        <w:tab/>
      </w:r>
      <w:r w:rsidRPr="00100F0A">
        <w:t xml:space="preserve">Best, high and low national projection estimates of </w:t>
      </w:r>
      <w:r w:rsidR="0018460F">
        <w:t>lithium ion</w:t>
      </w:r>
      <w:r w:rsidRPr="00100F0A">
        <w:t xml:space="preserve"> battery waste to 203</w:t>
      </w:r>
      <w:bookmarkEnd w:id="273"/>
      <w:r w:rsidR="000E0243" w:rsidRPr="00100F0A">
        <w:t>7</w:t>
      </w:r>
      <w:bookmarkEnd w:id="274"/>
    </w:p>
    <w:p w14:paraId="05DDF60E" w14:textId="32A13903" w:rsidR="00601CB2" w:rsidRPr="00100F0A" w:rsidRDefault="00C544C4" w:rsidP="00601CB2">
      <w:pPr>
        <w:sectPr w:rsidR="00601CB2" w:rsidRPr="00100F0A" w:rsidSect="00096662">
          <w:headerReference w:type="even" r:id="rId77"/>
          <w:footerReference w:type="even" r:id="rId78"/>
          <w:headerReference w:type="first" r:id="rId79"/>
          <w:footerReference w:type="first" r:id="rId80"/>
          <w:pgSz w:w="11907" w:h="16840" w:code="9"/>
          <w:pgMar w:top="1701" w:right="1418" w:bottom="1134" w:left="1276" w:header="709" w:footer="567" w:gutter="0"/>
          <w:cols w:space="708"/>
          <w:docGrid w:linePitch="360"/>
        </w:sectPr>
      </w:pPr>
      <w:r w:rsidRPr="00100F0A">
        <w:rPr>
          <w:noProof/>
          <w:lang w:eastAsia="en-AU"/>
        </w:rPr>
        <w:drawing>
          <wp:inline distT="0" distB="0" distL="0" distR="0" wp14:anchorId="5ECD9A2C" wp14:editId="004F4E11">
            <wp:extent cx="5850890" cy="19888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850890" cy="1988820"/>
                    </a:xfrm>
                    <a:prstGeom prst="rect">
                      <a:avLst/>
                    </a:prstGeom>
                  </pic:spPr>
                </pic:pic>
              </a:graphicData>
            </a:graphic>
          </wp:inline>
        </w:drawing>
      </w:r>
    </w:p>
    <w:p w14:paraId="011EFAB6" w14:textId="5EBD30F0" w:rsidR="00A50699" w:rsidRPr="00100F0A" w:rsidRDefault="006C37B3" w:rsidP="00A50699">
      <w:pPr>
        <w:pStyle w:val="Heading2"/>
        <w:ind w:left="851" w:hanging="851"/>
      </w:pPr>
      <w:bookmarkStart w:id="275" w:name="_Toc408308722"/>
      <w:bookmarkStart w:id="276" w:name="_Ref420950573"/>
      <w:bookmarkStart w:id="277" w:name="_Toc425849160"/>
      <w:bookmarkStart w:id="278" w:name="_Toc519527695"/>
      <w:bookmarkStart w:id="279" w:name="_Ref530668098"/>
      <w:bookmarkStart w:id="280" w:name="_Toc13225537"/>
      <w:r w:rsidRPr="00100F0A">
        <w:t>Management</w:t>
      </w:r>
      <w:r w:rsidR="00A50699" w:rsidRPr="00100F0A">
        <w:t xml:space="preserve"> of hazardous waste</w:t>
      </w:r>
      <w:bookmarkEnd w:id="275"/>
      <w:bookmarkEnd w:id="276"/>
      <w:bookmarkEnd w:id="277"/>
      <w:bookmarkEnd w:id="278"/>
      <w:bookmarkEnd w:id="279"/>
      <w:bookmarkEnd w:id="280"/>
    </w:p>
    <w:p w14:paraId="7AE628B0" w14:textId="0506E986" w:rsidR="00CC4550" w:rsidRPr="00100F0A" w:rsidRDefault="00CC4550" w:rsidP="00A50699">
      <w:pPr>
        <w:pStyle w:val="BodyText"/>
      </w:pPr>
      <w:r w:rsidRPr="00100F0A">
        <w:t>The states with tracking systems (NSW, Qld, SA, Vic and WA) all record in their tracking data how each load of hazardous waste was managed</w:t>
      </w:r>
      <w:r w:rsidR="006844FF" w:rsidRPr="00100F0A">
        <w:t xml:space="preserve"> (the management method)</w:t>
      </w:r>
      <w:r w:rsidRPr="00100F0A">
        <w:t>.</w:t>
      </w:r>
      <w:r w:rsidR="006C37B3" w:rsidRPr="00100F0A">
        <w:t xml:space="preserve"> The management </w:t>
      </w:r>
      <w:r w:rsidR="006844FF" w:rsidRPr="00100F0A">
        <w:t>methods</w:t>
      </w:r>
      <w:r w:rsidR="006C37B3" w:rsidRPr="00100F0A">
        <w:t xml:space="preserve"> are classified differently across the states</w:t>
      </w:r>
      <w:r w:rsidR="00653B27" w:rsidRPr="00100F0A">
        <w:t xml:space="preserve"> but</w:t>
      </w:r>
      <w:r w:rsidR="006844FF" w:rsidRPr="00100F0A">
        <w:t xml:space="preserve"> </w:t>
      </w:r>
      <w:r w:rsidR="006C37B3" w:rsidRPr="00100F0A">
        <w:t xml:space="preserve">DoEE has established a standard for converting to the lowest common denominator </w:t>
      </w:r>
      <w:r w:rsidR="006844FF" w:rsidRPr="00100F0A">
        <w:t xml:space="preserve">set of management data </w:t>
      </w:r>
      <w:r w:rsidR="006C37B3" w:rsidRPr="00100F0A">
        <w:t>represented by NSW and SA</w:t>
      </w:r>
      <w:r w:rsidR="00396BC4" w:rsidRPr="00100F0A">
        <w:t xml:space="preserve">, </w:t>
      </w:r>
      <w:r w:rsidR="006844FF" w:rsidRPr="00100F0A">
        <w:t xml:space="preserve">see </w:t>
      </w:r>
      <w:r w:rsidR="006C37B3" w:rsidRPr="00100F0A">
        <w:t xml:space="preserve">BE </w:t>
      </w:r>
      <w:r w:rsidR="006C37B3" w:rsidRPr="00100F0A">
        <w:rPr>
          <w:i/>
        </w:rPr>
        <w:t xml:space="preserve">et al. </w:t>
      </w:r>
      <w:r w:rsidR="006C37B3" w:rsidRPr="00100F0A">
        <w:t>2017</w:t>
      </w:r>
      <w:r w:rsidR="006844FF" w:rsidRPr="00100F0A">
        <w:t xml:space="preserve"> Appendix F. </w:t>
      </w:r>
      <w:r w:rsidR="006C37B3" w:rsidRPr="00100F0A">
        <w:t xml:space="preserve"> </w:t>
      </w:r>
    </w:p>
    <w:p w14:paraId="0F45A836" w14:textId="77777777" w:rsidR="00CC4550" w:rsidRPr="00100F0A" w:rsidRDefault="00CC4550" w:rsidP="00A50699">
      <w:pPr>
        <w:pStyle w:val="BodyText"/>
      </w:pPr>
    </w:p>
    <w:p w14:paraId="0C6D1661" w14:textId="5717F895" w:rsidR="002A537D" w:rsidRPr="00100F0A" w:rsidRDefault="00A50699" w:rsidP="00A50699">
      <w:pPr>
        <w:pStyle w:val="BodyText"/>
      </w:pPr>
      <w:r w:rsidRPr="00100F0A">
        <w:t xml:space="preserve">The project team analysed jurisdictional tracking system data to determine the </w:t>
      </w:r>
      <w:r w:rsidR="006C37B3" w:rsidRPr="00100F0A">
        <w:t>management methods</w:t>
      </w:r>
      <w:r w:rsidRPr="00100F0A">
        <w:t xml:space="preserve"> for each waste group. The overall tonnage by </w:t>
      </w:r>
      <w:r w:rsidR="006844FF" w:rsidRPr="00100F0A">
        <w:t xml:space="preserve">management method </w:t>
      </w:r>
      <w:r w:rsidRPr="00100F0A">
        <w:t>in these jurisdictions was compiled for 201</w:t>
      </w:r>
      <w:r w:rsidR="006C37B3" w:rsidRPr="00100F0A">
        <w:t>6</w:t>
      </w:r>
      <w:r w:rsidRPr="00100F0A">
        <w:t>-1</w:t>
      </w:r>
      <w:r w:rsidR="006C37B3" w:rsidRPr="00100F0A">
        <w:t>7</w:t>
      </w:r>
      <w:r w:rsidRPr="00100F0A">
        <w:t xml:space="preserve"> and is presented in</w:t>
      </w:r>
      <w:r w:rsidR="00736026" w:rsidRPr="00100F0A">
        <w:t xml:space="preserve"> </w:t>
      </w:r>
      <w:r w:rsidR="00736026" w:rsidRPr="00100F0A">
        <w:fldChar w:fldCharType="begin"/>
      </w:r>
      <w:r w:rsidR="00736026" w:rsidRPr="00100F0A">
        <w:instrText xml:space="preserve"> REF _Ref531132994 \h </w:instrText>
      </w:r>
      <w:r w:rsidR="00736026" w:rsidRPr="00100F0A">
        <w:fldChar w:fldCharType="separate"/>
      </w:r>
      <w:r w:rsidR="00EB634D" w:rsidRPr="00100F0A">
        <w:t xml:space="preserve">Figure </w:t>
      </w:r>
      <w:r w:rsidR="00EB634D">
        <w:rPr>
          <w:noProof/>
        </w:rPr>
        <w:t>38</w:t>
      </w:r>
      <w:r w:rsidR="00736026" w:rsidRPr="00100F0A">
        <w:fldChar w:fldCharType="end"/>
      </w:r>
      <w:r w:rsidRPr="00100F0A">
        <w:t>.</w:t>
      </w:r>
    </w:p>
    <w:p w14:paraId="36FB5A73" w14:textId="77777777" w:rsidR="002A537D" w:rsidRPr="00100F0A" w:rsidRDefault="002A537D" w:rsidP="00A50699">
      <w:pPr>
        <w:pStyle w:val="BodyText"/>
      </w:pPr>
    </w:p>
    <w:p w14:paraId="364BCE5C" w14:textId="23CAA196" w:rsidR="002A537D" w:rsidRPr="00100F0A" w:rsidRDefault="0039473A" w:rsidP="00A50699">
      <w:pPr>
        <w:pStyle w:val="BodyText"/>
      </w:pPr>
      <w:r w:rsidRPr="00100F0A">
        <w:t>The tracking system data</w:t>
      </w:r>
      <w:r w:rsidR="002A537D" w:rsidRPr="00100F0A">
        <w:t xml:space="preserve"> presented</w:t>
      </w:r>
      <w:r w:rsidRPr="00100F0A">
        <w:t xml:space="preserve"> covers some waste groups partially (e.g. tyres)</w:t>
      </w:r>
      <w:r w:rsidR="00D65E9D" w:rsidRPr="00100F0A">
        <w:t>,</w:t>
      </w:r>
      <w:r w:rsidRPr="00100F0A">
        <w:t xml:space="preserve"> or not at all </w:t>
      </w:r>
      <w:r w:rsidR="00300E8C" w:rsidRPr="00100F0A">
        <w:t>because the wastes are not required to be tracked (e.g. lithium ion batteries)</w:t>
      </w:r>
      <w:r w:rsidR="00653B27" w:rsidRPr="00100F0A">
        <w:t>. Some wastes, such as PFAS contaminated soils,</w:t>
      </w:r>
      <w:r w:rsidR="00300E8C" w:rsidRPr="00100F0A">
        <w:t xml:space="preserve"> </w:t>
      </w:r>
      <w:r w:rsidR="001F7A08" w:rsidRPr="00100F0A">
        <w:t>were not tracked separately in 2016-17 and therefore the</w:t>
      </w:r>
      <w:r w:rsidR="00C9799C">
        <w:t>re</w:t>
      </w:r>
      <w:r w:rsidR="001F7A08" w:rsidRPr="00100F0A">
        <w:t xml:space="preserve"> is no data to report separately</w:t>
      </w:r>
      <w:r w:rsidRPr="00100F0A">
        <w:t>.</w:t>
      </w:r>
      <w:r w:rsidR="002A537D" w:rsidRPr="00100F0A">
        <w:t xml:space="preserve"> </w:t>
      </w:r>
    </w:p>
    <w:p w14:paraId="3231F548" w14:textId="77777777" w:rsidR="002A537D" w:rsidRPr="00100F0A" w:rsidRDefault="002A537D" w:rsidP="00A50699">
      <w:pPr>
        <w:pStyle w:val="BodyText"/>
      </w:pPr>
    </w:p>
    <w:p w14:paraId="509B47E3" w14:textId="5756D048" w:rsidR="004F7683" w:rsidRPr="00100F0A" w:rsidRDefault="00543075" w:rsidP="004F7683">
      <w:pPr>
        <w:pStyle w:val="BodyText"/>
      </w:pPr>
      <w:r w:rsidRPr="00100F0A">
        <w:t>The</w:t>
      </w:r>
      <w:r w:rsidR="00A44324" w:rsidRPr="00100F0A">
        <w:t xml:space="preserve"> </w:t>
      </w:r>
      <w:r w:rsidR="0039473A" w:rsidRPr="00100F0A">
        <w:t xml:space="preserve">management </w:t>
      </w:r>
      <w:r w:rsidR="00D65E9D" w:rsidRPr="00100F0A">
        <w:t xml:space="preserve">methods </w:t>
      </w:r>
      <w:r w:rsidRPr="00100F0A">
        <w:t xml:space="preserve">presented in </w:t>
      </w:r>
      <w:r w:rsidR="00736026" w:rsidRPr="00100F0A">
        <w:fldChar w:fldCharType="begin"/>
      </w:r>
      <w:r w:rsidR="00736026" w:rsidRPr="00100F0A">
        <w:instrText xml:space="preserve"> REF _Ref531132994 \h </w:instrText>
      </w:r>
      <w:r w:rsidR="00736026" w:rsidRPr="00100F0A">
        <w:fldChar w:fldCharType="separate"/>
      </w:r>
      <w:r w:rsidR="00EB634D" w:rsidRPr="00100F0A">
        <w:t xml:space="preserve">Figure </w:t>
      </w:r>
      <w:r w:rsidR="00EB634D">
        <w:rPr>
          <w:noProof/>
        </w:rPr>
        <w:t>38</w:t>
      </w:r>
      <w:r w:rsidR="00736026" w:rsidRPr="00100F0A">
        <w:fldChar w:fldCharType="end"/>
      </w:r>
      <w:r w:rsidR="00736026" w:rsidRPr="00100F0A">
        <w:t xml:space="preserve"> </w:t>
      </w:r>
      <w:r w:rsidR="0039473A" w:rsidRPr="00100F0A">
        <w:t>are not always accurate or comprehensive</w:t>
      </w:r>
      <w:r w:rsidR="004F7683" w:rsidRPr="00100F0A">
        <w:t>. The reported management method required a number of adjustments</w:t>
      </w:r>
      <w:r w:rsidR="00A25FFB" w:rsidRPr="00100F0A">
        <w:t xml:space="preserve"> </w:t>
      </w:r>
      <w:r w:rsidR="004F7683" w:rsidRPr="00100F0A">
        <w:t xml:space="preserve">for </w:t>
      </w:r>
      <w:r w:rsidR="00A25FFB" w:rsidRPr="00100F0A">
        <w:t>several</w:t>
      </w:r>
      <w:r w:rsidR="004F7683" w:rsidRPr="00100F0A">
        <w:t xml:space="preserve"> reasons, including that:</w:t>
      </w:r>
    </w:p>
    <w:p w14:paraId="7021B032" w14:textId="5D2D02DB" w:rsidR="004F7683" w:rsidRPr="00100F0A" w:rsidRDefault="004F7683" w:rsidP="004F7683">
      <w:pPr>
        <w:pStyle w:val="Bullet1"/>
        <w:spacing w:before="80"/>
        <w:ind w:left="454" w:hanging="454"/>
      </w:pPr>
      <w:r w:rsidRPr="00100F0A">
        <w:t>some smaller allocations of waste fates are apparently mistaken (e.g. a small amount of asbestos was recorded under recycling)</w:t>
      </w:r>
    </w:p>
    <w:p w14:paraId="57715B1C" w14:textId="50C7A677" w:rsidR="004F7683" w:rsidRPr="00100F0A" w:rsidRDefault="004F7683" w:rsidP="004F7683">
      <w:pPr>
        <w:pStyle w:val="Bullet1"/>
        <w:spacing w:before="80"/>
        <w:ind w:left="454" w:hanging="454"/>
      </w:pPr>
      <w:r w:rsidRPr="00100F0A">
        <w:t>the</w:t>
      </w:r>
      <w:r w:rsidR="00C9799C">
        <w:t xml:space="preserve"> CPT</w:t>
      </w:r>
      <w:r w:rsidRPr="00100F0A">
        <w:t xml:space="preserve"> infrastructure group is broad, and likely to include some waste fates apart from treatment (e.g. some recycling or biodegradation)</w:t>
      </w:r>
    </w:p>
    <w:p w14:paraId="32C11F35" w14:textId="37D0E7EC" w:rsidR="004F7683" w:rsidRPr="00100F0A" w:rsidRDefault="004F7683" w:rsidP="004F7683">
      <w:pPr>
        <w:pStyle w:val="Bullet1"/>
        <w:spacing w:before="80"/>
        <w:ind w:left="454" w:hanging="454"/>
      </w:pPr>
      <w:r w:rsidRPr="00100F0A">
        <w:t>similarly, some waste allocated to treatment</w:t>
      </w:r>
      <w:r w:rsidR="00C9799C">
        <w:t xml:space="preserve"> is</w:t>
      </w:r>
      <w:r w:rsidRPr="00100F0A">
        <w:t xml:space="preserve"> better considered recycling</w:t>
      </w:r>
    </w:p>
    <w:p w14:paraId="353CA4F2" w14:textId="645E0C8B" w:rsidR="00A25FFB" w:rsidRPr="00100F0A" w:rsidRDefault="004F7683" w:rsidP="0078396C">
      <w:pPr>
        <w:pStyle w:val="Bullet1"/>
        <w:spacing w:before="80"/>
        <w:ind w:left="454" w:hanging="454"/>
      </w:pPr>
      <w:r w:rsidRPr="00100F0A">
        <w:t xml:space="preserve">some allocations are very small and not material to this assessment </w:t>
      </w:r>
    </w:p>
    <w:p w14:paraId="35D70C85" w14:textId="7FD4D9C9" w:rsidR="004F7683" w:rsidRPr="00100F0A" w:rsidRDefault="004F7683" w:rsidP="0078396C">
      <w:pPr>
        <w:pStyle w:val="Bullet1"/>
        <w:spacing w:before="80"/>
        <w:ind w:left="454" w:hanging="454"/>
      </w:pPr>
      <w:r w:rsidRPr="00100F0A">
        <w:t>exports are not accounted for.</w:t>
      </w:r>
    </w:p>
    <w:p w14:paraId="23B3EF94" w14:textId="77777777" w:rsidR="00A25FFB" w:rsidRPr="00100F0A" w:rsidRDefault="00A25FFB" w:rsidP="00A25FFB">
      <w:pPr>
        <w:pStyle w:val="BodyText"/>
      </w:pPr>
    </w:p>
    <w:p w14:paraId="7A7322FF" w14:textId="1A6CD525" w:rsidR="00C9097F" w:rsidRPr="00100F0A" w:rsidRDefault="00676EC7" w:rsidP="00A50699">
      <w:pPr>
        <w:pStyle w:val="BodyText"/>
      </w:pPr>
      <w:r w:rsidRPr="00100F0A">
        <w:t xml:space="preserve">The management </w:t>
      </w:r>
      <w:r w:rsidR="00C9097F" w:rsidRPr="00100F0A">
        <w:t>method ‘</w:t>
      </w:r>
      <w:r w:rsidRPr="00100F0A">
        <w:t xml:space="preserve">other’ was excluded and gaps were filled through estimates. </w:t>
      </w:r>
      <w:r w:rsidR="00B127B1" w:rsidRPr="00100F0A">
        <w:t xml:space="preserve">A full and transparent account of the adjustments made to the </w:t>
      </w:r>
      <w:r w:rsidR="00FA3B3F" w:rsidRPr="00100F0A">
        <w:t xml:space="preserve">reported </w:t>
      </w:r>
      <w:r w:rsidR="00B127B1" w:rsidRPr="00100F0A">
        <w:t>management method</w:t>
      </w:r>
      <w:r w:rsidR="00FA3B3F" w:rsidRPr="00100F0A">
        <w:t>s</w:t>
      </w:r>
      <w:r w:rsidR="00B127B1" w:rsidRPr="00100F0A">
        <w:t xml:space="preserve"> for each waste group</w:t>
      </w:r>
      <w:r w:rsidR="00FA3B3F" w:rsidRPr="00100F0A">
        <w:t>,</w:t>
      </w:r>
      <w:r w:rsidR="00B127B1" w:rsidRPr="00100F0A">
        <w:t xml:space="preserve"> for each jurisdiction</w:t>
      </w:r>
      <w:r w:rsidR="00FA3B3F" w:rsidRPr="00100F0A">
        <w:t>,</w:t>
      </w:r>
      <w:r w:rsidR="00B127B1" w:rsidRPr="00100F0A">
        <w:t xml:space="preserve"> is included in the </w:t>
      </w:r>
      <w:r w:rsidR="00B127B1" w:rsidRPr="00100F0A">
        <w:rPr>
          <w:i/>
        </w:rPr>
        <w:t>Hazardous waste needs vs capacity model</w:t>
      </w:r>
      <w:r w:rsidR="00B127B1" w:rsidRPr="00100F0A">
        <w:t>, see ‘waste mgt’ tab column N.</w:t>
      </w:r>
    </w:p>
    <w:p w14:paraId="5C39B75E" w14:textId="77777777" w:rsidR="00A25FFB" w:rsidRPr="00100F0A" w:rsidRDefault="00A25FFB" w:rsidP="00A50699">
      <w:pPr>
        <w:pStyle w:val="BodyText"/>
      </w:pPr>
    </w:p>
    <w:p w14:paraId="30CE681F" w14:textId="66C6857D" w:rsidR="002F545F" w:rsidRPr="00100F0A" w:rsidRDefault="00A25FFB" w:rsidP="002F545F">
      <w:pPr>
        <w:pStyle w:val="BodyText"/>
      </w:pPr>
      <w:r w:rsidRPr="00100F0A">
        <w:t xml:space="preserve">The adjusted management methods by jurisdiction and waste group </w:t>
      </w:r>
      <w:r w:rsidR="00FA3B3F" w:rsidRPr="00100F0A">
        <w:t xml:space="preserve">are included in </w:t>
      </w:r>
      <w:r w:rsidR="00736026" w:rsidRPr="00100F0A">
        <w:fldChar w:fldCharType="begin"/>
      </w:r>
      <w:r w:rsidR="00736026" w:rsidRPr="00100F0A">
        <w:instrText xml:space="preserve"> REF _Ref531174339 \h </w:instrText>
      </w:r>
      <w:r w:rsidR="00736026" w:rsidRPr="00100F0A">
        <w:fldChar w:fldCharType="separate"/>
      </w:r>
      <w:r w:rsidR="00EB634D" w:rsidRPr="00100F0A">
        <w:t xml:space="preserve">Figure </w:t>
      </w:r>
      <w:r w:rsidR="00EB634D">
        <w:rPr>
          <w:noProof/>
        </w:rPr>
        <w:t>39</w:t>
      </w:r>
      <w:r w:rsidR="00736026" w:rsidRPr="00100F0A">
        <w:fldChar w:fldCharType="end"/>
      </w:r>
      <w:r w:rsidR="00736026" w:rsidRPr="00100F0A">
        <w:t xml:space="preserve"> to</w:t>
      </w:r>
    </w:p>
    <w:p w14:paraId="5AEE1F44" w14:textId="4121DFF6" w:rsidR="00A50699" w:rsidRPr="00100F0A" w:rsidRDefault="00FA3B3F" w:rsidP="00A50699">
      <w:pPr>
        <w:pStyle w:val="BodyText"/>
      </w:pPr>
      <w:r w:rsidRPr="00100F0A">
        <w:fldChar w:fldCharType="begin"/>
      </w:r>
      <w:r w:rsidRPr="00100F0A">
        <w:instrText xml:space="preserve"> REF _Ref529543095 \h </w:instrText>
      </w:r>
      <w:r w:rsidRPr="00100F0A">
        <w:fldChar w:fldCharType="separate"/>
      </w:r>
      <w:r w:rsidR="00EB634D" w:rsidRPr="00100F0A">
        <w:t xml:space="preserve">Figure </w:t>
      </w:r>
      <w:r w:rsidR="00EB634D">
        <w:rPr>
          <w:noProof/>
        </w:rPr>
        <w:t>44</w:t>
      </w:r>
      <w:r w:rsidRPr="00100F0A">
        <w:fldChar w:fldCharType="end"/>
      </w:r>
      <w:r w:rsidRPr="00100F0A">
        <w:t xml:space="preserve">. </w:t>
      </w:r>
      <w:r w:rsidR="008544B2" w:rsidRPr="00100F0A">
        <w:t>The</w:t>
      </w:r>
      <w:r w:rsidR="007405F3" w:rsidRPr="00100F0A">
        <w:t>se</w:t>
      </w:r>
      <w:r w:rsidR="008544B2" w:rsidRPr="00100F0A">
        <w:t xml:space="preserve"> </w:t>
      </w:r>
      <w:r w:rsidR="00A44324" w:rsidRPr="00100F0A">
        <w:t>estimates</w:t>
      </w:r>
      <w:r w:rsidR="008544B2" w:rsidRPr="00100F0A">
        <w:t xml:space="preserve"> </w:t>
      </w:r>
      <w:r w:rsidR="00B249B5" w:rsidRPr="00100F0A">
        <w:t xml:space="preserve">were </w:t>
      </w:r>
      <w:r w:rsidR="008544B2" w:rsidRPr="00100F0A">
        <w:t xml:space="preserve">applied in </w:t>
      </w:r>
      <w:r w:rsidR="00B249B5" w:rsidRPr="00100F0A">
        <w:t xml:space="preserve">comparing </w:t>
      </w:r>
      <w:r w:rsidR="008544B2" w:rsidRPr="00100F0A">
        <w:t xml:space="preserve">future demand with </w:t>
      </w:r>
      <w:r w:rsidR="007405F3" w:rsidRPr="00100F0A">
        <w:t xml:space="preserve">infrastructure </w:t>
      </w:r>
      <w:r w:rsidR="008544B2" w:rsidRPr="00100F0A">
        <w:t>capacity</w:t>
      </w:r>
      <w:r w:rsidR="007405F3" w:rsidRPr="00100F0A">
        <w:t xml:space="preserve">, see Section </w:t>
      </w:r>
      <w:r w:rsidR="007405F3" w:rsidRPr="00100F0A">
        <w:fldChar w:fldCharType="begin"/>
      </w:r>
      <w:r w:rsidR="007405F3" w:rsidRPr="00100F0A">
        <w:instrText xml:space="preserve"> REF _Ref530477133 \r \h </w:instrText>
      </w:r>
      <w:r w:rsidR="007405F3" w:rsidRPr="00100F0A">
        <w:fldChar w:fldCharType="separate"/>
      </w:r>
      <w:r w:rsidR="00EB634D">
        <w:t>4</w:t>
      </w:r>
      <w:r w:rsidR="007405F3" w:rsidRPr="00100F0A">
        <w:fldChar w:fldCharType="end"/>
      </w:r>
      <w:r w:rsidR="008544B2" w:rsidRPr="00100F0A">
        <w:t xml:space="preserve">. </w:t>
      </w:r>
    </w:p>
    <w:p w14:paraId="30104130" w14:textId="77777777" w:rsidR="00551A53" w:rsidRPr="00100F0A" w:rsidRDefault="00551A53" w:rsidP="00A50699">
      <w:pPr>
        <w:pStyle w:val="BodyText"/>
      </w:pPr>
    </w:p>
    <w:p w14:paraId="25B9095D" w14:textId="77777777" w:rsidR="004F7683" w:rsidRPr="00100F0A" w:rsidRDefault="004F7683" w:rsidP="00A50699">
      <w:pPr>
        <w:pStyle w:val="BodyText"/>
      </w:pPr>
    </w:p>
    <w:p w14:paraId="4D4E645E" w14:textId="7AA1A161" w:rsidR="004F7683" w:rsidRPr="00100F0A" w:rsidRDefault="004F7683" w:rsidP="00A50699">
      <w:pPr>
        <w:pStyle w:val="BodyText"/>
        <w:sectPr w:rsidR="004F7683" w:rsidRPr="00100F0A" w:rsidSect="003879F7">
          <w:headerReference w:type="even" r:id="rId82"/>
          <w:footerReference w:type="even" r:id="rId83"/>
          <w:headerReference w:type="first" r:id="rId84"/>
          <w:footerReference w:type="first" r:id="rId85"/>
          <w:pgSz w:w="11907" w:h="16840" w:code="9"/>
          <w:pgMar w:top="1440" w:right="1077" w:bottom="1440" w:left="1797" w:header="709" w:footer="709" w:gutter="0"/>
          <w:cols w:space="708"/>
          <w:docGrid w:linePitch="360"/>
        </w:sectPr>
      </w:pPr>
    </w:p>
    <w:p w14:paraId="0AF98578" w14:textId="01F8CF8E" w:rsidR="006844FF" w:rsidRPr="00100F0A" w:rsidRDefault="006844FF" w:rsidP="006844FF">
      <w:pPr>
        <w:pStyle w:val="Caption"/>
      </w:pPr>
      <w:bookmarkStart w:id="281" w:name="_Ref531132994"/>
      <w:bookmarkStart w:id="282" w:name="_Toc13225611"/>
      <w:bookmarkStart w:id="283" w:name="_Ref529543087"/>
      <w:bookmarkStart w:id="284" w:name="_Ref529543064"/>
      <w:r w:rsidRPr="00100F0A">
        <w:t xml:space="preserve">Figure </w:t>
      </w:r>
      <w:r w:rsidR="00273744" w:rsidRPr="00100F0A">
        <w:rPr>
          <w:noProof/>
        </w:rPr>
        <w:fldChar w:fldCharType="begin"/>
      </w:r>
      <w:r w:rsidR="00273744" w:rsidRPr="00100F0A">
        <w:rPr>
          <w:noProof/>
        </w:rPr>
        <w:instrText xml:space="preserve"> SEQ Figure \* ARABIC </w:instrText>
      </w:r>
      <w:r w:rsidR="00273744" w:rsidRPr="00100F0A">
        <w:rPr>
          <w:noProof/>
        </w:rPr>
        <w:fldChar w:fldCharType="separate"/>
      </w:r>
      <w:r w:rsidR="00EB634D">
        <w:rPr>
          <w:noProof/>
        </w:rPr>
        <w:t>38</w:t>
      </w:r>
      <w:r w:rsidR="00273744" w:rsidRPr="00100F0A">
        <w:rPr>
          <w:noProof/>
        </w:rPr>
        <w:fldChar w:fldCharType="end"/>
      </w:r>
      <w:bookmarkEnd w:id="281"/>
      <w:r w:rsidR="00AD2F76">
        <w:rPr>
          <w:noProof/>
        </w:rPr>
        <w:t>:</w:t>
      </w:r>
      <w:r w:rsidRPr="00100F0A">
        <w:tab/>
        <w:t xml:space="preserve">The </w:t>
      </w:r>
      <w:r w:rsidR="002A537D" w:rsidRPr="00100F0A">
        <w:t>management method</w:t>
      </w:r>
      <w:r w:rsidRPr="00100F0A">
        <w:t xml:space="preserve"> of </w:t>
      </w:r>
      <w:r w:rsidR="007405F3" w:rsidRPr="00100F0A">
        <w:t xml:space="preserve">reported </w:t>
      </w:r>
      <w:r w:rsidRPr="00100F0A">
        <w:t>tracked hazardous waste in NSW, Qld, SA, Vic and WA, 2016-17 (tonnes)</w:t>
      </w:r>
      <w:bookmarkEnd w:id="282"/>
    </w:p>
    <w:p w14:paraId="38A36DC4" w14:textId="391EB63D" w:rsidR="00300E8C" w:rsidRPr="00100F0A" w:rsidRDefault="00300E8C" w:rsidP="00736026">
      <w:pPr>
        <w:pStyle w:val="BodyText"/>
      </w:pPr>
      <w:r w:rsidRPr="00100F0A">
        <w:rPr>
          <w:noProof/>
          <w:lang w:eastAsia="en-AU"/>
        </w:rPr>
        <w:drawing>
          <wp:inline distT="0" distB="0" distL="0" distR="0" wp14:anchorId="6A420465" wp14:editId="7D72A4EF">
            <wp:extent cx="8864600" cy="5266055"/>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64600" cy="5266055"/>
                    </a:xfrm>
                    <a:prstGeom prst="rect">
                      <a:avLst/>
                    </a:prstGeom>
                  </pic:spPr>
                </pic:pic>
              </a:graphicData>
            </a:graphic>
          </wp:inline>
        </w:drawing>
      </w:r>
    </w:p>
    <w:p w14:paraId="21820731" w14:textId="49942924" w:rsidR="006844FF" w:rsidRPr="00100F0A" w:rsidRDefault="006844FF" w:rsidP="006844FF">
      <w:pPr>
        <w:pStyle w:val="Figures"/>
        <w:rPr>
          <w:sz w:val="2"/>
          <w:szCs w:val="2"/>
        </w:rPr>
      </w:pPr>
    </w:p>
    <w:p w14:paraId="489E4456" w14:textId="5A1F1A66" w:rsidR="00DB71A5" w:rsidRPr="00100F0A" w:rsidRDefault="00DB71A5" w:rsidP="00DB71A5">
      <w:pPr>
        <w:pStyle w:val="Caption"/>
      </w:pPr>
      <w:bookmarkStart w:id="285" w:name="_Ref531174339"/>
      <w:bookmarkStart w:id="286" w:name="_Toc13225612"/>
      <w:r w:rsidRPr="00100F0A">
        <w:t xml:space="preserve">Figure </w:t>
      </w:r>
      <w:r w:rsidR="007109C2" w:rsidRPr="00100F0A">
        <w:rPr>
          <w:noProof/>
        </w:rPr>
        <w:fldChar w:fldCharType="begin"/>
      </w:r>
      <w:r w:rsidR="007109C2" w:rsidRPr="00100F0A">
        <w:rPr>
          <w:noProof/>
        </w:rPr>
        <w:instrText xml:space="preserve"> SEQ Figure \* ARABIC </w:instrText>
      </w:r>
      <w:r w:rsidR="007109C2" w:rsidRPr="00100F0A">
        <w:rPr>
          <w:noProof/>
        </w:rPr>
        <w:fldChar w:fldCharType="separate"/>
      </w:r>
      <w:r w:rsidR="00EB634D">
        <w:rPr>
          <w:noProof/>
        </w:rPr>
        <w:t>39</w:t>
      </w:r>
      <w:r w:rsidR="007109C2" w:rsidRPr="00100F0A">
        <w:rPr>
          <w:noProof/>
        </w:rPr>
        <w:fldChar w:fldCharType="end"/>
      </w:r>
      <w:bookmarkEnd w:id="283"/>
      <w:bookmarkEnd w:id="285"/>
      <w:r w:rsidR="00AD2F76">
        <w:rPr>
          <w:noProof/>
        </w:rPr>
        <w:t>:</w:t>
      </w:r>
      <w:r w:rsidRPr="00100F0A">
        <w:tab/>
        <w:t>The assumed proportional management of each waste group in NSW, as used for comparing demand and capacity,</w:t>
      </w:r>
      <w:bookmarkEnd w:id="284"/>
      <w:bookmarkEnd w:id="286"/>
      <w:r w:rsidRPr="00100F0A">
        <w:t xml:space="preserve"> </w:t>
      </w:r>
    </w:p>
    <w:p w14:paraId="41EE0A2C" w14:textId="7D8603AC" w:rsidR="007115AE" w:rsidRPr="00100F0A" w:rsidRDefault="00F5518A" w:rsidP="00611DCF">
      <w:pPr>
        <w:pStyle w:val="BodyText"/>
      </w:pPr>
      <w:r w:rsidRPr="00F5518A">
        <w:rPr>
          <w:noProof/>
          <w:lang w:eastAsia="en-AU"/>
        </w:rPr>
        <w:drawing>
          <wp:inline distT="0" distB="0" distL="0" distR="0" wp14:anchorId="7AD05705" wp14:editId="1CD82016">
            <wp:extent cx="8579120" cy="5433238"/>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8582269" cy="5435232"/>
                    </a:xfrm>
                    <a:prstGeom prst="rect">
                      <a:avLst/>
                    </a:prstGeom>
                  </pic:spPr>
                </pic:pic>
              </a:graphicData>
            </a:graphic>
          </wp:inline>
        </w:drawing>
      </w:r>
      <w:r w:rsidR="007115AE" w:rsidRPr="00100F0A">
        <w:br w:type="page"/>
      </w:r>
    </w:p>
    <w:p w14:paraId="1FF4C5E9" w14:textId="21215208" w:rsidR="007115AE" w:rsidRPr="00100F0A" w:rsidRDefault="007115AE" w:rsidP="007115AE">
      <w:pPr>
        <w:pStyle w:val="Caption"/>
      </w:pPr>
      <w:bookmarkStart w:id="287" w:name="_Ref531183522"/>
      <w:bookmarkStart w:id="288" w:name="_Toc13225613"/>
      <w:r w:rsidRPr="00100F0A">
        <w:t xml:space="preserve">Figure </w:t>
      </w:r>
      <w:r w:rsidR="007109C2" w:rsidRPr="00100F0A">
        <w:rPr>
          <w:noProof/>
        </w:rPr>
        <w:fldChar w:fldCharType="begin"/>
      </w:r>
      <w:r w:rsidR="007109C2" w:rsidRPr="00100F0A">
        <w:rPr>
          <w:noProof/>
        </w:rPr>
        <w:instrText xml:space="preserve"> SEQ Figure \* ARABIC </w:instrText>
      </w:r>
      <w:r w:rsidR="007109C2" w:rsidRPr="00100F0A">
        <w:rPr>
          <w:noProof/>
        </w:rPr>
        <w:fldChar w:fldCharType="separate"/>
      </w:r>
      <w:r w:rsidR="00EB634D">
        <w:rPr>
          <w:noProof/>
        </w:rPr>
        <w:t>40</w:t>
      </w:r>
      <w:r w:rsidR="007109C2" w:rsidRPr="00100F0A">
        <w:rPr>
          <w:noProof/>
        </w:rPr>
        <w:fldChar w:fldCharType="end"/>
      </w:r>
      <w:bookmarkEnd w:id="287"/>
      <w:r w:rsidR="00AD2F76">
        <w:rPr>
          <w:noProof/>
        </w:rPr>
        <w:t>:</w:t>
      </w:r>
      <w:r w:rsidRPr="00100F0A">
        <w:tab/>
        <w:t>The assumed proportional management of each waste group in Qld, as used for comparing demand and capacity,</w:t>
      </w:r>
      <w:bookmarkEnd w:id="288"/>
      <w:r w:rsidRPr="00100F0A">
        <w:t xml:space="preserve"> </w:t>
      </w:r>
    </w:p>
    <w:p w14:paraId="21D61296" w14:textId="766C4AF5" w:rsidR="006D7250" w:rsidRPr="00100F0A" w:rsidRDefault="00F5518A" w:rsidP="00736026">
      <w:pPr>
        <w:pStyle w:val="BodyText"/>
      </w:pPr>
      <w:r w:rsidRPr="00F5518A">
        <w:rPr>
          <w:noProof/>
          <w:lang w:eastAsia="en-AU"/>
        </w:rPr>
        <w:drawing>
          <wp:inline distT="0" distB="0" distL="0" distR="0" wp14:anchorId="09FAD64A" wp14:editId="42BC9296">
            <wp:extent cx="8753852" cy="5560828"/>
            <wp:effectExtent l="0" t="0" r="9525" b="1905"/>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8758344" cy="5563682"/>
                    </a:xfrm>
                    <a:prstGeom prst="rect">
                      <a:avLst/>
                    </a:prstGeom>
                  </pic:spPr>
                </pic:pic>
              </a:graphicData>
            </a:graphic>
          </wp:inline>
        </w:drawing>
      </w:r>
      <w:r w:rsidR="006D7250" w:rsidRPr="00100F0A">
        <w:br w:type="page"/>
      </w:r>
    </w:p>
    <w:p w14:paraId="7A539C32" w14:textId="549D5C4C" w:rsidR="006D7250" w:rsidRPr="00100F0A" w:rsidRDefault="006D7250" w:rsidP="006D7250">
      <w:pPr>
        <w:pStyle w:val="Caption"/>
      </w:pPr>
      <w:bookmarkStart w:id="289" w:name="_Ref531185063"/>
      <w:bookmarkStart w:id="290" w:name="_Toc13225614"/>
      <w:r w:rsidRPr="00100F0A">
        <w:t xml:space="preserve">Figure </w:t>
      </w:r>
      <w:r w:rsidR="007109C2" w:rsidRPr="00100F0A">
        <w:rPr>
          <w:noProof/>
        </w:rPr>
        <w:fldChar w:fldCharType="begin"/>
      </w:r>
      <w:r w:rsidR="007109C2" w:rsidRPr="00100F0A">
        <w:rPr>
          <w:noProof/>
        </w:rPr>
        <w:instrText xml:space="preserve"> SEQ Figure \* ARABIC </w:instrText>
      </w:r>
      <w:r w:rsidR="007109C2" w:rsidRPr="00100F0A">
        <w:rPr>
          <w:noProof/>
        </w:rPr>
        <w:fldChar w:fldCharType="separate"/>
      </w:r>
      <w:r w:rsidR="00EB634D">
        <w:rPr>
          <w:noProof/>
        </w:rPr>
        <w:t>41</w:t>
      </w:r>
      <w:r w:rsidR="007109C2" w:rsidRPr="00100F0A">
        <w:rPr>
          <w:noProof/>
        </w:rPr>
        <w:fldChar w:fldCharType="end"/>
      </w:r>
      <w:r w:rsidR="00AD2F76">
        <w:rPr>
          <w:noProof/>
        </w:rPr>
        <w:t>:</w:t>
      </w:r>
      <w:r w:rsidRPr="00100F0A">
        <w:tab/>
        <w:t>The assumed proportional management of each waste group in SA, as used for comparing demand and capacity,</w:t>
      </w:r>
      <w:bookmarkEnd w:id="289"/>
      <w:bookmarkEnd w:id="290"/>
      <w:r w:rsidRPr="00100F0A">
        <w:t xml:space="preserve"> </w:t>
      </w:r>
    </w:p>
    <w:p w14:paraId="77369A95" w14:textId="00E7F8BA" w:rsidR="006D7250" w:rsidRPr="00100F0A" w:rsidRDefault="00F5518A" w:rsidP="00611DCF">
      <w:pPr>
        <w:pStyle w:val="BodyText"/>
      </w:pPr>
      <w:r w:rsidRPr="00F5518A">
        <w:rPr>
          <w:noProof/>
          <w:lang w:eastAsia="en-AU"/>
        </w:rPr>
        <w:drawing>
          <wp:inline distT="0" distB="0" distL="0" distR="0" wp14:anchorId="3B034E6A" wp14:editId="6CABE262">
            <wp:extent cx="8720377" cy="5539563"/>
            <wp:effectExtent l="0" t="0" r="5080" b="4445"/>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8724025" cy="5541880"/>
                    </a:xfrm>
                    <a:prstGeom prst="rect">
                      <a:avLst/>
                    </a:prstGeom>
                  </pic:spPr>
                </pic:pic>
              </a:graphicData>
            </a:graphic>
          </wp:inline>
        </w:drawing>
      </w:r>
      <w:r w:rsidR="006D7250" w:rsidRPr="00100F0A">
        <w:br w:type="page"/>
      </w:r>
    </w:p>
    <w:p w14:paraId="41C9D6ED" w14:textId="71F2D5E7" w:rsidR="006D7250" w:rsidRPr="00100F0A" w:rsidRDefault="006D7250" w:rsidP="006D7250">
      <w:pPr>
        <w:pStyle w:val="Caption"/>
      </w:pPr>
      <w:bookmarkStart w:id="291" w:name="_Toc13225615"/>
      <w:r w:rsidRPr="00100F0A">
        <w:t xml:space="preserve">Figure </w:t>
      </w:r>
      <w:r w:rsidR="007109C2" w:rsidRPr="00100F0A">
        <w:rPr>
          <w:noProof/>
        </w:rPr>
        <w:fldChar w:fldCharType="begin"/>
      </w:r>
      <w:r w:rsidR="007109C2" w:rsidRPr="00100F0A">
        <w:rPr>
          <w:noProof/>
        </w:rPr>
        <w:instrText xml:space="preserve"> SEQ Figure \* ARABIC </w:instrText>
      </w:r>
      <w:r w:rsidR="007109C2" w:rsidRPr="00100F0A">
        <w:rPr>
          <w:noProof/>
        </w:rPr>
        <w:fldChar w:fldCharType="separate"/>
      </w:r>
      <w:r w:rsidR="00EB634D">
        <w:rPr>
          <w:noProof/>
        </w:rPr>
        <w:t>42</w:t>
      </w:r>
      <w:r w:rsidR="007109C2" w:rsidRPr="00100F0A">
        <w:rPr>
          <w:noProof/>
        </w:rPr>
        <w:fldChar w:fldCharType="end"/>
      </w:r>
      <w:r w:rsidR="00AD2F76">
        <w:rPr>
          <w:noProof/>
        </w:rPr>
        <w:t>:</w:t>
      </w:r>
      <w:r w:rsidRPr="00100F0A">
        <w:tab/>
        <w:t>The assumed proportional management of each waste group in Vic, as used for comparing demand and capacity</w:t>
      </w:r>
      <w:bookmarkEnd w:id="291"/>
      <w:r w:rsidRPr="00100F0A">
        <w:t xml:space="preserve"> </w:t>
      </w:r>
    </w:p>
    <w:p w14:paraId="60D7F964" w14:textId="7E33E467" w:rsidR="006D7250" w:rsidRPr="00100F0A" w:rsidRDefault="00F5518A" w:rsidP="00611DCF">
      <w:pPr>
        <w:pStyle w:val="BodyText"/>
      </w:pPr>
      <w:r w:rsidRPr="00F5518A">
        <w:rPr>
          <w:noProof/>
          <w:lang w:eastAsia="en-AU"/>
        </w:rPr>
        <w:drawing>
          <wp:inline distT="0" distB="0" distL="0" distR="0" wp14:anchorId="2E5BE9B8" wp14:editId="6E108C3B">
            <wp:extent cx="8761228" cy="5571162"/>
            <wp:effectExtent l="0" t="0" r="1905"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8764197" cy="5573050"/>
                    </a:xfrm>
                    <a:prstGeom prst="rect">
                      <a:avLst/>
                    </a:prstGeom>
                  </pic:spPr>
                </pic:pic>
              </a:graphicData>
            </a:graphic>
          </wp:inline>
        </w:drawing>
      </w:r>
      <w:r w:rsidR="006D7250" w:rsidRPr="00100F0A">
        <w:br w:type="page"/>
      </w:r>
    </w:p>
    <w:p w14:paraId="7B1B05B5" w14:textId="792D0C0B" w:rsidR="006D7250" w:rsidRPr="00100F0A" w:rsidRDefault="006D7250" w:rsidP="006D7250">
      <w:pPr>
        <w:pStyle w:val="Caption"/>
      </w:pPr>
      <w:bookmarkStart w:id="292" w:name="_Toc13225616"/>
      <w:r w:rsidRPr="00100F0A">
        <w:t xml:space="preserve">Figure </w:t>
      </w:r>
      <w:r w:rsidR="007109C2" w:rsidRPr="00100F0A">
        <w:rPr>
          <w:noProof/>
        </w:rPr>
        <w:fldChar w:fldCharType="begin"/>
      </w:r>
      <w:r w:rsidR="007109C2" w:rsidRPr="00100F0A">
        <w:rPr>
          <w:noProof/>
        </w:rPr>
        <w:instrText xml:space="preserve"> SEQ Figure \* ARABIC </w:instrText>
      </w:r>
      <w:r w:rsidR="007109C2" w:rsidRPr="00100F0A">
        <w:rPr>
          <w:noProof/>
        </w:rPr>
        <w:fldChar w:fldCharType="separate"/>
      </w:r>
      <w:r w:rsidR="00EB634D">
        <w:rPr>
          <w:noProof/>
        </w:rPr>
        <w:t>43</w:t>
      </w:r>
      <w:r w:rsidR="007109C2" w:rsidRPr="00100F0A">
        <w:rPr>
          <w:noProof/>
        </w:rPr>
        <w:fldChar w:fldCharType="end"/>
      </w:r>
      <w:r w:rsidR="00AD2F76">
        <w:rPr>
          <w:noProof/>
        </w:rPr>
        <w:t>:</w:t>
      </w:r>
      <w:r w:rsidRPr="00100F0A">
        <w:tab/>
        <w:t>The assumed proportional management of each waste group in WA, as used for comparing demand and capacity</w:t>
      </w:r>
      <w:bookmarkEnd w:id="292"/>
      <w:r w:rsidRPr="00100F0A">
        <w:t xml:space="preserve"> </w:t>
      </w:r>
    </w:p>
    <w:p w14:paraId="593BE3B7" w14:textId="2BA0E391" w:rsidR="008544B2" w:rsidRPr="00100F0A" w:rsidRDefault="00F5518A" w:rsidP="00611DCF">
      <w:pPr>
        <w:pStyle w:val="BodyText"/>
      </w:pPr>
      <w:r w:rsidRPr="00F5518A">
        <w:rPr>
          <w:noProof/>
          <w:lang w:eastAsia="en-AU"/>
        </w:rPr>
        <w:drawing>
          <wp:inline distT="0" distB="0" distL="0" distR="0" wp14:anchorId="1C42E0CD" wp14:editId="4E1DEB7F">
            <wp:extent cx="8661374" cy="5507666"/>
            <wp:effectExtent l="0" t="0" r="6985"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8661983" cy="5508053"/>
                    </a:xfrm>
                    <a:prstGeom prst="rect">
                      <a:avLst/>
                    </a:prstGeom>
                  </pic:spPr>
                </pic:pic>
              </a:graphicData>
            </a:graphic>
          </wp:inline>
        </w:drawing>
      </w:r>
      <w:r w:rsidR="008544B2" w:rsidRPr="00100F0A">
        <w:br w:type="page"/>
      </w:r>
    </w:p>
    <w:p w14:paraId="3EE5DC2D" w14:textId="003FE35F" w:rsidR="008544B2" w:rsidRPr="00100F0A" w:rsidRDefault="008544B2" w:rsidP="008544B2">
      <w:pPr>
        <w:pStyle w:val="Caption"/>
      </w:pPr>
      <w:bookmarkStart w:id="293" w:name="_Ref529543095"/>
      <w:bookmarkStart w:id="294" w:name="_Toc13225617"/>
      <w:r w:rsidRPr="00100F0A">
        <w:t xml:space="preserve">Figure </w:t>
      </w:r>
      <w:r w:rsidR="007109C2" w:rsidRPr="00100F0A">
        <w:rPr>
          <w:noProof/>
        </w:rPr>
        <w:fldChar w:fldCharType="begin"/>
      </w:r>
      <w:r w:rsidR="007109C2" w:rsidRPr="00100F0A">
        <w:rPr>
          <w:noProof/>
        </w:rPr>
        <w:instrText xml:space="preserve"> SEQ Figure \* ARABIC </w:instrText>
      </w:r>
      <w:r w:rsidR="007109C2" w:rsidRPr="00100F0A">
        <w:rPr>
          <w:noProof/>
        </w:rPr>
        <w:fldChar w:fldCharType="separate"/>
      </w:r>
      <w:r w:rsidR="00EB634D">
        <w:rPr>
          <w:noProof/>
        </w:rPr>
        <w:t>44</w:t>
      </w:r>
      <w:r w:rsidR="007109C2" w:rsidRPr="00100F0A">
        <w:rPr>
          <w:noProof/>
        </w:rPr>
        <w:fldChar w:fldCharType="end"/>
      </w:r>
      <w:bookmarkEnd w:id="293"/>
      <w:r w:rsidR="00AD2F76">
        <w:rPr>
          <w:noProof/>
        </w:rPr>
        <w:t>:</w:t>
      </w:r>
      <w:r w:rsidRPr="00100F0A">
        <w:tab/>
        <w:t>The assumed proportional management of each waste group generated in the ACT, NT and Tas, as used for comparing demand and capacity</w:t>
      </w:r>
      <w:bookmarkEnd w:id="294"/>
      <w:r w:rsidRPr="00100F0A">
        <w:t xml:space="preserve"> </w:t>
      </w:r>
    </w:p>
    <w:p w14:paraId="364990D2" w14:textId="58C26735" w:rsidR="006D7250" w:rsidRPr="00100F0A" w:rsidRDefault="00B5382D" w:rsidP="00A50699">
      <w:pPr>
        <w:pStyle w:val="BodyText"/>
      </w:pPr>
      <w:r w:rsidRPr="00B5382D">
        <w:rPr>
          <w:noProof/>
          <w:lang w:eastAsia="en-AU"/>
        </w:rPr>
        <w:drawing>
          <wp:inline distT="0" distB="0" distL="0" distR="0" wp14:anchorId="34FE4754" wp14:editId="625DBDE2">
            <wp:extent cx="8439150" cy="535789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8453506" cy="5367008"/>
                    </a:xfrm>
                    <a:prstGeom prst="rect">
                      <a:avLst/>
                    </a:prstGeom>
                  </pic:spPr>
                </pic:pic>
              </a:graphicData>
            </a:graphic>
          </wp:inline>
        </w:drawing>
      </w:r>
    </w:p>
    <w:p w14:paraId="17B4D936" w14:textId="77777777" w:rsidR="006D7250" w:rsidRPr="00100F0A" w:rsidRDefault="006D7250" w:rsidP="00A50699">
      <w:pPr>
        <w:pStyle w:val="BodyText"/>
      </w:pPr>
    </w:p>
    <w:p w14:paraId="4A67B23A" w14:textId="77777777" w:rsidR="00551A53" w:rsidRPr="00100F0A" w:rsidRDefault="00551A53" w:rsidP="00A50699">
      <w:pPr>
        <w:pStyle w:val="BodyText"/>
        <w:sectPr w:rsidR="00551A53" w:rsidRPr="00100F0A" w:rsidSect="00DB71A5">
          <w:footerReference w:type="default" r:id="rId92"/>
          <w:pgSz w:w="16840" w:h="11907" w:orient="landscape" w:code="9"/>
          <w:pgMar w:top="1418" w:right="1440" w:bottom="1077" w:left="1440" w:header="709" w:footer="709" w:gutter="0"/>
          <w:cols w:space="708"/>
          <w:docGrid w:linePitch="360"/>
        </w:sectPr>
      </w:pPr>
    </w:p>
    <w:p w14:paraId="4B0A9992" w14:textId="5410920B" w:rsidR="002514A0" w:rsidRPr="00100F0A" w:rsidRDefault="002514A0" w:rsidP="002514A0">
      <w:pPr>
        <w:pStyle w:val="Heading1"/>
      </w:pPr>
      <w:bookmarkStart w:id="295" w:name="_Ref530644931"/>
      <w:bookmarkStart w:id="296" w:name="_Ref530644946"/>
      <w:bookmarkStart w:id="297" w:name="_Toc13225538"/>
      <w:r w:rsidRPr="00100F0A">
        <w:t>Hazardous waste infrastructure assessment</w:t>
      </w:r>
      <w:bookmarkEnd w:id="295"/>
      <w:bookmarkEnd w:id="296"/>
      <w:bookmarkEnd w:id="297"/>
    </w:p>
    <w:p w14:paraId="5B34F8E1" w14:textId="1795755E" w:rsidR="002A3A54" w:rsidRDefault="002A3A54" w:rsidP="002A3A54">
      <w:pPr>
        <w:pStyle w:val="BodyText"/>
      </w:pPr>
      <w:r w:rsidRPr="00100F0A">
        <w:t xml:space="preserve">This section reports on an assessment of the current </w:t>
      </w:r>
      <w:r w:rsidR="00151D1C" w:rsidRPr="00100F0A">
        <w:t>i</w:t>
      </w:r>
      <w:r w:rsidR="00B23AB2" w:rsidRPr="00100F0A">
        <w:t>nstalled</w:t>
      </w:r>
      <w:r w:rsidRPr="00100F0A">
        <w:rPr>
          <w:vertAlign w:val="superscript"/>
        </w:rPr>
        <w:footnoteReference w:id="25"/>
      </w:r>
      <w:r w:rsidRPr="00100F0A">
        <w:t xml:space="preserve"> capacity of Australia’s hazardous waste infrastructure</w:t>
      </w:r>
      <w:r w:rsidR="00FE070D" w:rsidRPr="00100F0A">
        <w:t xml:space="preserve"> which is included in the </w:t>
      </w:r>
      <w:r w:rsidR="00FE070D" w:rsidRPr="00100F0A">
        <w:rPr>
          <w:i/>
        </w:rPr>
        <w:t>Hazwaste infrastructure database 2018</w:t>
      </w:r>
      <w:r w:rsidRPr="00100F0A">
        <w:t xml:space="preserve">. This was undertaken primarily through consultation with the waste industry. This section discusses the scope, method and result of the assessment. The results of the assessment are followed by a discussion of the key issues raised by industry during consultation, Section </w:t>
      </w:r>
      <w:r w:rsidRPr="00100F0A">
        <w:fldChar w:fldCharType="begin"/>
      </w:r>
      <w:r w:rsidRPr="00100F0A">
        <w:instrText xml:space="preserve"> REF _Ref419402256 \r \h </w:instrText>
      </w:r>
      <w:r w:rsidRPr="00100F0A">
        <w:fldChar w:fldCharType="separate"/>
      </w:r>
      <w:r w:rsidR="00EB634D">
        <w:t>3.6</w:t>
      </w:r>
      <w:r w:rsidRPr="00100F0A">
        <w:fldChar w:fldCharType="end"/>
      </w:r>
      <w:r w:rsidRPr="00100F0A">
        <w:t xml:space="preserve">. The purpose of the assessment was to allow comparison with projected arisings, </w:t>
      </w:r>
      <w:r w:rsidR="00151D1C" w:rsidRPr="00100F0A">
        <w:t xml:space="preserve">see </w:t>
      </w:r>
      <w:r w:rsidRPr="00100F0A">
        <w:t>Section</w:t>
      </w:r>
      <w:r w:rsidR="00151D1C" w:rsidRPr="00100F0A">
        <w:t xml:space="preserve"> </w:t>
      </w:r>
      <w:r w:rsidR="00151D1C" w:rsidRPr="00100F0A">
        <w:fldChar w:fldCharType="begin"/>
      </w:r>
      <w:r w:rsidR="00151D1C" w:rsidRPr="00100F0A">
        <w:instrText xml:space="preserve"> REF _Ref530137916 \r \h </w:instrText>
      </w:r>
      <w:r w:rsidR="00151D1C" w:rsidRPr="00100F0A">
        <w:fldChar w:fldCharType="separate"/>
      </w:r>
      <w:r w:rsidR="00EB634D">
        <w:t>2.5</w:t>
      </w:r>
      <w:r w:rsidR="00151D1C" w:rsidRPr="00100F0A">
        <w:fldChar w:fldCharType="end"/>
      </w:r>
      <w:r w:rsidRPr="00100F0A">
        <w:t>.</w:t>
      </w:r>
    </w:p>
    <w:p w14:paraId="78A71230" w14:textId="77777777" w:rsidR="00B8053D" w:rsidRPr="00100F0A" w:rsidRDefault="00B8053D" w:rsidP="002A3A54">
      <w:pPr>
        <w:pStyle w:val="BodyText"/>
      </w:pPr>
    </w:p>
    <w:p w14:paraId="281C5815" w14:textId="7C80262C" w:rsidR="002A3A54" w:rsidRPr="00100F0A" w:rsidRDefault="002A3A54" w:rsidP="00AD35BF">
      <w:pPr>
        <w:pStyle w:val="Heading2"/>
        <w:ind w:left="851" w:hanging="851"/>
      </w:pPr>
      <w:bookmarkStart w:id="298" w:name="_Toc419449179"/>
      <w:bookmarkStart w:id="299" w:name="_Ref421281642"/>
      <w:bookmarkStart w:id="300" w:name="_Toc425849162"/>
      <w:bookmarkStart w:id="301" w:name="_Toc13225539"/>
      <w:r w:rsidRPr="00100F0A">
        <w:t>Scope of infrastructure assessment</w:t>
      </w:r>
      <w:bookmarkEnd w:id="298"/>
      <w:bookmarkEnd w:id="299"/>
      <w:bookmarkEnd w:id="300"/>
      <w:bookmarkEnd w:id="301"/>
      <w:r w:rsidRPr="00100F0A">
        <w:t xml:space="preserve"> </w:t>
      </w:r>
    </w:p>
    <w:p w14:paraId="626BD693" w14:textId="48B7C87C" w:rsidR="002A3A54" w:rsidRPr="00100F0A" w:rsidRDefault="002A3A54" w:rsidP="002A3A54">
      <w:pPr>
        <w:rPr>
          <w:rFonts w:asciiTheme="minorHAnsi" w:hAnsiTheme="minorHAnsi" w:cs="Times New Roman"/>
          <w:color w:val="000000"/>
          <w:lang w:eastAsia="en-AU"/>
        </w:rPr>
      </w:pPr>
      <w:r w:rsidRPr="00100F0A">
        <w:rPr>
          <w:color w:val="080808"/>
        </w:rPr>
        <w:t xml:space="preserve">The </w:t>
      </w:r>
      <w:r w:rsidR="0014025C" w:rsidRPr="00100F0A">
        <w:rPr>
          <w:color w:val="080808"/>
        </w:rPr>
        <w:t xml:space="preserve">2015 </w:t>
      </w:r>
      <w:r w:rsidRPr="00100F0A">
        <w:rPr>
          <w:color w:val="080808"/>
        </w:rPr>
        <w:t>infrastructure assessment scope was set by a preceding project that produced a database of hazardous waste infrastructure (</w:t>
      </w:r>
      <w:r w:rsidRPr="00100F0A">
        <w:rPr>
          <w:rFonts w:asciiTheme="minorHAnsi" w:hAnsiTheme="minorHAnsi" w:cs="Times New Roman"/>
          <w:color w:val="000000"/>
          <w:lang w:eastAsia="en-AU"/>
        </w:rPr>
        <w:t>Rawtec 2014)</w:t>
      </w:r>
      <w:r w:rsidRPr="00100F0A">
        <w:rPr>
          <w:rFonts w:asciiTheme="minorHAnsi" w:hAnsiTheme="minorHAnsi" w:cs="Times New Roman"/>
          <w:color w:val="000000"/>
          <w:vertAlign w:val="superscript"/>
          <w:lang w:eastAsia="en-AU"/>
        </w:rPr>
        <w:footnoteReference w:id="26"/>
      </w:r>
      <w:r w:rsidRPr="00100F0A">
        <w:rPr>
          <w:rFonts w:asciiTheme="minorHAnsi" w:hAnsiTheme="minorHAnsi" w:cs="Times New Roman"/>
          <w:color w:val="000000"/>
          <w:lang w:eastAsia="en-AU"/>
        </w:rPr>
        <w:t>. Th</w:t>
      </w:r>
      <w:r w:rsidR="0014025C" w:rsidRPr="00100F0A">
        <w:rPr>
          <w:rFonts w:asciiTheme="minorHAnsi" w:hAnsiTheme="minorHAnsi" w:cs="Times New Roman"/>
          <w:color w:val="000000"/>
          <w:lang w:eastAsia="en-AU"/>
        </w:rPr>
        <w:t>is previous scope definition is important and is included below</w:t>
      </w:r>
      <w:r w:rsidRPr="00100F0A">
        <w:rPr>
          <w:rFonts w:asciiTheme="minorHAnsi" w:hAnsiTheme="minorHAnsi" w:cs="Times New Roman"/>
          <w:color w:val="000000"/>
          <w:lang w:eastAsia="en-AU"/>
        </w:rPr>
        <w:t>:</w:t>
      </w:r>
    </w:p>
    <w:p w14:paraId="5E13A10A" w14:textId="77777777" w:rsidR="002A3A54" w:rsidRPr="00100F0A" w:rsidRDefault="002A3A54" w:rsidP="002A3A54">
      <w:pPr>
        <w:rPr>
          <w:color w:val="080808"/>
        </w:rPr>
      </w:pPr>
    </w:p>
    <w:p w14:paraId="3215DC18" w14:textId="42F92E05" w:rsidR="002A3A54" w:rsidRPr="00100F0A" w:rsidRDefault="002A3A54" w:rsidP="002A3A54">
      <w:pPr>
        <w:spacing w:after="120"/>
        <w:ind w:left="425" w:right="595"/>
        <w:rPr>
          <w:i/>
          <w:color w:val="080808"/>
        </w:rPr>
      </w:pPr>
      <w:r w:rsidRPr="00100F0A">
        <w:rPr>
          <w:i/>
          <w:color w:val="080808"/>
        </w:rPr>
        <w:t>“The dataset developed for this project is focused on identifying key sites and facilities across Australia which receive, store (major facilities only), process, treat and dispose of hazardous wastes, whether these are in liquid, solid or sludge forms. It comprises commercial facilities that stand in the market to treat third party hazardous wastes. For example, a facility that generates hazardous waste and processes the hazardous waste onsite but does not process third party wastes is excluded from the dataset.</w:t>
      </w:r>
    </w:p>
    <w:p w14:paraId="0BA947EF" w14:textId="77777777" w:rsidR="002A3A54" w:rsidRPr="00100F0A" w:rsidRDefault="002A3A54" w:rsidP="002A3A54">
      <w:pPr>
        <w:tabs>
          <w:tab w:val="right" w:pos="8931"/>
        </w:tabs>
        <w:ind w:left="426" w:right="595"/>
        <w:rPr>
          <w:color w:val="080808"/>
        </w:rPr>
      </w:pPr>
      <w:r w:rsidRPr="00100F0A">
        <w:rPr>
          <w:i/>
          <w:color w:val="080808"/>
        </w:rPr>
        <w:t>The dataset does not include sites where hazardous wastes are originally generated (such as manufacturing sites). It does not include smelters and cement kilns which may undertake processing of wastes considered hazardous. This is because smelters and cement kilns are not usually considered as hazardous waste treatment or disposal facilities. It does not include sites and facilities that manage grease trap, sewerage and industrial wash waters (e.g. composting facilities, sewerage treatment plants) or sites that dispose of asbestos and tyres (e.g. landfills), except where those sites also manage other hazardous wastes. This is because those sites are not usually considered as hazardous waste treatment or disposal facilities. Quarantine waste facilities are excluded from the scope. A number of e-waste facilities are included, focussed on major facilities that undertake physical/chemical treatment or disassembly. It is recognised that there are other facilities which deal with hazardous wastes that are not included in the dataset, such as smaller storage facilities and transfer stations. To the extent possible, multi-use facilities that also handle hazardous waste are included in the dataset. This includes landfill sites.”</w:t>
      </w:r>
      <w:r w:rsidRPr="00100F0A">
        <w:rPr>
          <w:i/>
          <w:color w:val="080808"/>
        </w:rPr>
        <w:tab/>
      </w:r>
      <w:r w:rsidRPr="00100F0A">
        <w:rPr>
          <w:color w:val="080808"/>
        </w:rPr>
        <w:t>Rawtec (2014 p.7)</w:t>
      </w:r>
    </w:p>
    <w:p w14:paraId="78394CAD" w14:textId="77777777" w:rsidR="002A3A54" w:rsidRPr="00100F0A" w:rsidRDefault="002A3A54" w:rsidP="002A3A54">
      <w:pPr>
        <w:ind w:left="426" w:right="595"/>
        <w:rPr>
          <w:i/>
          <w:color w:val="080808"/>
        </w:rPr>
      </w:pPr>
    </w:p>
    <w:p w14:paraId="493F732C" w14:textId="31836E57" w:rsidR="002A3A54" w:rsidRPr="00100F0A" w:rsidRDefault="002A3A54" w:rsidP="002A3A54">
      <w:pPr>
        <w:rPr>
          <w:color w:val="080808"/>
        </w:rPr>
      </w:pPr>
      <w:r w:rsidRPr="00100F0A">
        <w:rPr>
          <w:color w:val="080808"/>
        </w:rPr>
        <w:t>Rawtec</w:t>
      </w:r>
      <w:r w:rsidR="009400B8" w:rsidRPr="00100F0A">
        <w:rPr>
          <w:color w:val="080808"/>
        </w:rPr>
        <w:t xml:space="preserve"> 2014 </w:t>
      </w:r>
      <w:r w:rsidRPr="00100F0A">
        <w:rPr>
          <w:color w:val="080808"/>
        </w:rPr>
        <w:t>tabulate</w:t>
      </w:r>
      <w:r w:rsidR="009400B8" w:rsidRPr="00100F0A">
        <w:rPr>
          <w:color w:val="080808"/>
        </w:rPr>
        <w:t>d</w:t>
      </w:r>
      <w:r w:rsidRPr="00100F0A">
        <w:rPr>
          <w:color w:val="080808"/>
        </w:rPr>
        <w:t xml:space="preserve"> the scope limitations as shown</w:t>
      </w:r>
      <w:r w:rsidR="009400B8" w:rsidRPr="00100F0A">
        <w:rPr>
          <w:color w:val="080808"/>
        </w:rPr>
        <w:t xml:space="preserve"> in the table </w:t>
      </w:r>
      <w:r w:rsidRPr="00100F0A">
        <w:rPr>
          <w:color w:val="080808"/>
        </w:rPr>
        <w:t>below.</w:t>
      </w:r>
    </w:p>
    <w:p w14:paraId="1A2CCA29" w14:textId="43545678" w:rsidR="00737E8E" w:rsidRPr="00100F0A" w:rsidRDefault="00737E8E" w:rsidP="002A3A54">
      <w:pPr>
        <w:rPr>
          <w:color w:val="080808"/>
        </w:rPr>
      </w:pPr>
    </w:p>
    <w:p w14:paraId="15860FB0" w14:textId="148FAAA2" w:rsidR="00737E8E" w:rsidRPr="00100F0A" w:rsidRDefault="00737E8E" w:rsidP="002A3A54">
      <w:pPr>
        <w:rPr>
          <w:color w:val="080808"/>
        </w:rPr>
      </w:pPr>
    </w:p>
    <w:p w14:paraId="6691C4DE" w14:textId="535F405B" w:rsidR="00737E8E" w:rsidRPr="00100F0A" w:rsidRDefault="00737E8E" w:rsidP="002A3A54">
      <w:pPr>
        <w:rPr>
          <w:color w:val="080808"/>
        </w:rPr>
      </w:pPr>
    </w:p>
    <w:p w14:paraId="0834CECF" w14:textId="40997C8E" w:rsidR="00737E8E" w:rsidRPr="00100F0A" w:rsidRDefault="00737E8E" w:rsidP="002A3A54">
      <w:pPr>
        <w:rPr>
          <w:color w:val="080808"/>
        </w:rPr>
      </w:pPr>
    </w:p>
    <w:p w14:paraId="5B4C21A9" w14:textId="77777777" w:rsidR="00737E8E" w:rsidRPr="00100F0A" w:rsidRDefault="00737E8E" w:rsidP="002A3A54">
      <w:pPr>
        <w:rPr>
          <w:color w:val="080808"/>
        </w:rPr>
      </w:pPr>
    </w:p>
    <w:p w14:paraId="7A4AD8E0" w14:textId="559BEE4A" w:rsidR="002A3A54" w:rsidRPr="00100F0A" w:rsidRDefault="002A3A54" w:rsidP="0095119F">
      <w:pPr>
        <w:pStyle w:val="Caption"/>
      </w:pPr>
      <w:bookmarkStart w:id="302" w:name="_Toc419190506"/>
      <w:bookmarkStart w:id="303" w:name="_Toc425849329"/>
      <w:bookmarkStart w:id="304" w:name="_Toc13225661"/>
      <w:r w:rsidRPr="00100F0A">
        <w:t xml:space="preserve">Table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42</w:t>
      </w:r>
      <w:r w:rsidR="00B404A6" w:rsidRPr="00100F0A">
        <w:rPr>
          <w:noProof/>
        </w:rPr>
        <w:fldChar w:fldCharType="end"/>
      </w:r>
      <w:r w:rsidR="00AD2F76">
        <w:rPr>
          <w:noProof/>
        </w:rPr>
        <w:t>:</w:t>
      </w:r>
      <w:r w:rsidR="00D11FEE" w:rsidRPr="00100F0A">
        <w:tab/>
      </w:r>
      <w:r w:rsidRPr="00100F0A">
        <w:t xml:space="preserve">Limitations to the scope of the </w:t>
      </w:r>
      <w:r w:rsidR="00FE070D" w:rsidRPr="00100F0A">
        <w:t xml:space="preserve">2015 and </w:t>
      </w:r>
      <w:r w:rsidRPr="00100F0A">
        <w:t>Rawtec (2014 p.8) database of hazardous waste infrastructure in Australia</w:t>
      </w:r>
      <w:bookmarkEnd w:id="302"/>
      <w:bookmarkEnd w:id="303"/>
      <w:bookmarkEnd w:id="304"/>
    </w:p>
    <w:tbl>
      <w:tblPr>
        <w:tblStyle w:val="BE-table"/>
        <w:tblW w:w="9498" w:type="dxa"/>
        <w:tblLayout w:type="fixed"/>
        <w:tblLook w:val="04A0" w:firstRow="1" w:lastRow="0" w:firstColumn="1" w:lastColumn="0" w:noHBand="0" w:noVBand="1"/>
      </w:tblPr>
      <w:tblGrid>
        <w:gridCol w:w="2552"/>
        <w:gridCol w:w="6946"/>
      </w:tblGrid>
      <w:tr w:rsidR="002A3A54" w:rsidRPr="00100F0A" w14:paraId="3BA8C899" w14:textId="77777777" w:rsidTr="00B538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46EFF8A" w14:textId="3CA2EBD2" w:rsidR="002A3A54" w:rsidRPr="00100F0A" w:rsidRDefault="002A3A54" w:rsidP="00737E8E">
            <w:pPr>
              <w:spacing w:before="144" w:after="144"/>
              <w:rPr>
                <w:rFonts w:asciiTheme="minorHAnsi" w:hAnsiTheme="minorHAnsi" w:cs="Calibri"/>
                <w:b w:val="0"/>
                <w:i/>
              </w:rPr>
            </w:pPr>
            <w:r w:rsidRPr="00100F0A">
              <w:rPr>
                <w:rFonts w:asciiTheme="minorHAnsi" w:hAnsiTheme="minorHAnsi" w:cs="Calibri"/>
                <w:b w:val="0"/>
                <w:i/>
              </w:rPr>
              <w:t xml:space="preserve">Waste </w:t>
            </w:r>
            <w:r w:rsidR="008A6FC8">
              <w:rPr>
                <w:rFonts w:asciiTheme="minorHAnsi" w:hAnsiTheme="minorHAnsi" w:cs="Calibri"/>
                <w:b w:val="0"/>
                <w:i/>
              </w:rPr>
              <w:t>i</w:t>
            </w:r>
            <w:r w:rsidRPr="00100F0A">
              <w:rPr>
                <w:rFonts w:asciiTheme="minorHAnsi" w:hAnsiTheme="minorHAnsi" w:cs="Calibri"/>
                <w:b w:val="0"/>
                <w:i/>
              </w:rPr>
              <w:t>tem</w:t>
            </w:r>
          </w:p>
        </w:tc>
        <w:tc>
          <w:tcPr>
            <w:tcW w:w="6946" w:type="dxa"/>
          </w:tcPr>
          <w:p w14:paraId="514E15D7" w14:textId="77777777" w:rsidR="002A3A54" w:rsidRPr="00100F0A" w:rsidRDefault="002A3A54" w:rsidP="00737E8E">
            <w:pPr>
              <w:spacing w:before="144" w:after="144"/>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i/>
              </w:rPr>
            </w:pPr>
            <w:r w:rsidRPr="00100F0A">
              <w:rPr>
                <w:rFonts w:asciiTheme="minorHAnsi" w:hAnsiTheme="minorHAnsi" w:cs="Calibri"/>
                <w:b w:val="0"/>
                <w:i/>
              </w:rPr>
              <w:t>Comments</w:t>
            </w:r>
          </w:p>
        </w:tc>
      </w:tr>
      <w:tr w:rsidR="002A3A54" w:rsidRPr="00B5382D" w14:paraId="5AE254ED" w14:textId="77777777" w:rsidTr="00B5382D">
        <w:tc>
          <w:tcPr>
            <w:cnfStyle w:val="001000000000" w:firstRow="0" w:lastRow="0" w:firstColumn="1" w:lastColumn="0" w:oddVBand="0" w:evenVBand="0" w:oddHBand="0" w:evenHBand="0" w:firstRowFirstColumn="0" w:firstRowLastColumn="0" w:lastRowFirstColumn="0" w:lastRowLastColumn="0"/>
            <w:tcW w:w="2552" w:type="dxa"/>
          </w:tcPr>
          <w:p w14:paraId="55247A36" w14:textId="77777777" w:rsidR="002A3A54" w:rsidRPr="00B5382D" w:rsidRDefault="002A3A54" w:rsidP="00737E8E">
            <w:pPr>
              <w:spacing w:before="0" w:after="0"/>
              <w:rPr>
                <w:rFonts w:asciiTheme="minorHAnsi" w:hAnsiTheme="minorHAnsi" w:cs="Calibri"/>
              </w:rPr>
            </w:pPr>
            <w:r w:rsidRPr="00B5382D">
              <w:rPr>
                <w:rFonts w:asciiTheme="minorHAnsi" w:hAnsiTheme="minorHAnsi" w:cs="Calibri"/>
              </w:rPr>
              <w:t>Original points of hazardous waste generation (e.g. manufacturing facilities)</w:t>
            </w:r>
          </w:p>
        </w:tc>
        <w:tc>
          <w:tcPr>
            <w:tcW w:w="6946" w:type="dxa"/>
          </w:tcPr>
          <w:p w14:paraId="73714148" w14:textId="77777777" w:rsidR="002A3A54" w:rsidRPr="00B5382D" w:rsidRDefault="002A3A54" w:rsidP="00737E8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B5382D">
              <w:rPr>
                <w:rFonts w:asciiTheme="minorHAnsi" w:hAnsiTheme="minorHAnsi" w:cs="Calibri"/>
              </w:rPr>
              <w:t>This dataset focuses on facilities or sites that treat or dispose of hazardous wastes and therefore does not include original points of generation.</w:t>
            </w:r>
          </w:p>
        </w:tc>
      </w:tr>
      <w:tr w:rsidR="002A3A54" w:rsidRPr="00B5382D" w14:paraId="411E7868" w14:textId="77777777" w:rsidTr="00B5382D">
        <w:tc>
          <w:tcPr>
            <w:cnfStyle w:val="001000000000" w:firstRow="0" w:lastRow="0" w:firstColumn="1" w:lastColumn="0" w:oddVBand="0" w:evenVBand="0" w:oddHBand="0" w:evenHBand="0" w:firstRowFirstColumn="0" w:firstRowLastColumn="0" w:lastRowFirstColumn="0" w:lastRowLastColumn="0"/>
            <w:tcW w:w="2552" w:type="dxa"/>
          </w:tcPr>
          <w:p w14:paraId="37E0E5FC" w14:textId="77777777" w:rsidR="002A3A54" w:rsidRPr="00B5382D" w:rsidRDefault="002A3A54" w:rsidP="00737E8E">
            <w:pPr>
              <w:spacing w:before="0" w:after="0"/>
              <w:rPr>
                <w:rFonts w:asciiTheme="minorHAnsi" w:hAnsiTheme="minorHAnsi" w:cs="Calibri"/>
              </w:rPr>
            </w:pPr>
            <w:r w:rsidRPr="00B5382D">
              <w:rPr>
                <w:rFonts w:asciiTheme="minorHAnsi" w:hAnsiTheme="minorHAnsi" w:cs="Calibri"/>
              </w:rPr>
              <w:t>Intermediate storage and transfer facilities</w:t>
            </w:r>
          </w:p>
        </w:tc>
        <w:tc>
          <w:tcPr>
            <w:tcW w:w="6946" w:type="dxa"/>
          </w:tcPr>
          <w:p w14:paraId="49E3BEE0" w14:textId="77777777" w:rsidR="002A3A54" w:rsidRPr="00B5382D" w:rsidRDefault="002A3A54" w:rsidP="00737E8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B5382D">
              <w:rPr>
                <w:rFonts w:asciiTheme="minorHAnsi" w:hAnsiTheme="minorHAnsi" w:cs="Calibri"/>
              </w:rPr>
              <w:t>Some intermediate storage facilities are included in this dataset. It is recognised that there are other facilities which deal with hazardous wastes that are not included in the dataset, such as smaller storage facilities and transfer stations.</w:t>
            </w:r>
          </w:p>
        </w:tc>
      </w:tr>
      <w:tr w:rsidR="002A3A54" w:rsidRPr="00B5382D" w14:paraId="052B7D25" w14:textId="77777777" w:rsidTr="00B5382D">
        <w:tc>
          <w:tcPr>
            <w:cnfStyle w:val="001000000000" w:firstRow="0" w:lastRow="0" w:firstColumn="1" w:lastColumn="0" w:oddVBand="0" w:evenVBand="0" w:oddHBand="0" w:evenHBand="0" w:firstRowFirstColumn="0" w:firstRowLastColumn="0" w:lastRowFirstColumn="0" w:lastRowLastColumn="0"/>
            <w:tcW w:w="2552" w:type="dxa"/>
          </w:tcPr>
          <w:p w14:paraId="48FE103D" w14:textId="77777777" w:rsidR="002A3A54" w:rsidRPr="00B5382D" w:rsidRDefault="002A3A54" w:rsidP="00737E8E">
            <w:pPr>
              <w:spacing w:before="0" w:after="0"/>
              <w:rPr>
                <w:rFonts w:asciiTheme="minorHAnsi" w:hAnsiTheme="minorHAnsi" w:cs="Calibri"/>
              </w:rPr>
            </w:pPr>
            <w:r w:rsidRPr="00B5382D">
              <w:rPr>
                <w:rFonts w:asciiTheme="minorHAnsi" w:hAnsiTheme="minorHAnsi" w:cs="Calibri"/>
              </w:rPr>
              <w:t>Smelters and cement kilns</w:t>
            </w:r>
          </w:p>
        </w:tc>
        <w:tc>
          <w:tcPr>
            <w:tcW w:w="6946" w:type="dxa"/>
          </w:tcPr>
          <w:p w14:paraId="55C1C18F" w14:textId="7EB8BE48" w:rsidR="002A3A54" w:rsidRPr="00B5382D" w:rsidRDefault="002A3A54" w:rsidP="00737E8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B5382D">
              <w:rPr>
                <w:rFonts w:asciiTheme="minorHAnsi" w:hAnsiTheme="minorHAnsi" w:cs="Calibri"/>
              </w:rPr>
              <w:t xml:space="preserve">Smelters and cement kilns are not considered as hazardous waste treatment facilities and therefore are not captured in this </w:t>
            </w:r>
            <w:r w:rsidR="00C34F48" w:rsidRPr="00B5382D">
              <w:rPr>
                <w:rFonts w:asciiTheme="minorHAnsi" w:hAnsiTheme="minorHAnsi" w:cs="Calibri"/>
              </w:rPr>
              <w:t>dataset;</w:t>
            </w:r>
            <w:r w:rsidRPr="00B5382D">
              <w:rPr>
                <w:rFonts w:asciiTheme="minorHAnsi" w:hAnsiTheme="minorHAnsi" w:cs="Calibri"/>
              </w:rPr>
              <w:t xml:space="preserve"> </w:t>
            </w:r>
            <w:r w:rsidR="00C34F48" w:rsidRPr="00B5382D">
              <w:rPr>
                <w:rFonts w:asciiTheme="minorHAnsi" w:hAnsiTheme="minorHAnsi" w:cs="Calibri"/>
              </w:rPr>
              <w:t>however,</w:t>
            </w:r>
            <w:r w:rsidRPr="00B5382D">
              <w:rPr>
                <w:rFonts w:asciiTheme="minorHAnsi" w:hAnsiTheme="minorHAnsi" w:cs="Calibri"/>
              </w:rPr>
              <w:t xml:space="preserve"> it is still acknowledged that they may process some hazardous wastes.</w:t>
            </w:r>
            <w:r w:rsidR="009400B8" w:rsidRPr="00B5382D">
              <w:rPr>
                <w:rStyle w:val="FootnoteReference"/>
                <w:rFonts w:asciiTheme="minorHAnsi" w:hAnsiTheme="minorHAnsi" w:cs="Calibri"/>
              </w:rPr>
              <w:footnoteReference w:id="27"/>
            </w:r>
          </w:p>
        </w:tc>
      </w:tr>
      <w:tr w:rsidR="002A3A54" w:rsidRPr="00B5382D" w14:paraId="1123D599" w14:textId="77777777" w:rsidTr="00B5382D">
        <w:tc>
          <w:tcPr>
            <w:cnfStyle w:val="001000000000" w:firstRow="0" w:lastRow="0" w:firstColumn="1" w:lastColumn="0" w:oddVBand="0" w:evenVBand="0" w:oddHBand="0" w:evenHBand="0" w:firstRowFirstColumn="0" w:firstRowLastColumn="0" w:lastRowFirstColumn="0" w:lastRowLastColumn="0"/>
            <w:tcW w:w="2552" w:type="dxa"/>
          </w:tcPr>
          <w:p w14:paraId="706CA105" w14:textId="77777777" w:rsidR="002A3A54" w:rsidRPr="00B5382D" w:rsidRDefault="002A3A54" w:rsidP="00737E8E">
            <w:pPr>
              <w:spacing w:before="0" w:after="0"/>
              <w:rPr>
                <w:rFonts w:asciiTheme="minorHAnsi" w:hAnsiTheme="minorHAnsi" w:cs="Calibri"/>
              </w:rPr>
            </w:pPr>
            <w:r w:rsidRPr="00B5382D">
              <w:rPr>
                <w:rFonts w:asciiTheme="minorHAnsi" w:hAnsiTheme="minorHAnsi" w:cs="Calibri"/>
              </w:rPr>
              <w:t>Tyres</w:t>
            </w:r>
          </w:p>
        </w:tc>
        <w:tc>
          <w:tcPr>
            <w:tcW w:w="6946" w:type="dxa"/>
          </w:tcPr>
          <w:p w14:paraId="126A3FF2" w14:textId="77777777" w:rsidR="002A3A54" w:rsidRPr="00B5382D" w:rsidRDefault="002A3A54" w:rsidP="00737E8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B5382D">
              <w:rPr>
                <w:rFonts w:asciiTheme="minorHAnsi" w:hAnsiTheme="minorHAnsi" w:cs="Calibri"/>
              </w:rPr>
              <w:t>Tyre processing and disposal facilities were excluded from the scope.</w:t>
            </w:r>
          </w:p>
        </w:tc>
      </w:tr>
      <w:tr w:rsidR="002A3A54" w:rsidRPr="00B5382D" w14:paraId="0BD69294" w14:textId="77777777" w:rsidTr="00B5382D">
        <w:tc>
          <w:tcPr>
            <w:cnfStyle w:val="001000000000" w:firstRow="0" w:lastRow="0" w:firstColumn="1" w:lastColumn="0" w:oddVBand="0" w:evenVBand="0" w:oddHBand="0" w:evenHBand="0" w:firstRowFirstColumn="0" w:firstRowLastColumn="0" w:lastRowFirstColumn="0" w:lastRowLastColumn="0"/>
            <w:tcW w:w="2552" w:type="dxa"/>
          </w:tcPr>
          <w:p w14:paraId="26C60847" w14:textId="77777777" w:rsidR="002A3A54" w:rsidRPr="00B5382D" w:rsidRDefault="002A3A54" w:rsidP="00737E8E">
            <w:pPr>
              <w:spacing w:before="0" w:after="0"/>
              <w:rPr>
                <w:rFonts w:asciiTheme="minorHAnsi" w:hAnsiTheme="minorHAnsi" w:cs="Calibri"/>
              </w:rPr>
            </w:pPr>
            <w:r w:rsidRPr="00B5382D">
              <w:rPr>
                <w:rFonts w:asciiTheme="minorHAnsi" w:hAnsiTheme="minorHAnsi" w:cs="Calibri"/>
              </w:rPr>
              <w:t>Grease trap</w:t>
            </w:r>
          </w:p>
        </w:tc>
        <w:tc>
          <w:tcPr>
            <w:tcW w:w="6946" w:type="dxa"/>
          </w:tcPr>
          <w:p w14:paraId="16386064" w14:textId="77777777" w:rsidR="002A3A54" w:rsidRPr="00B5382D" w:rsidRDefault="002A3A54" w:rsidP="00737E8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B5382D">
              <w:rPr>
                <w:rFonts w:asciiTheme="minorHAnsi" w:hAnsiTheme="minorHAnsi" w:cs="Calibri"/>
              </w:rPr>
              <w:t>Grease trap was captured where the treatment facility also treated other hazardous wastes. Grease trap to composting facilities was not included.</w:t>
            </w:r>
          </w:p>
        </w:tc>
      </w:tr>
      <w:tr w:rsidR="002A3A54" w:rsidRPr="00B5382D" w14:paraId="5A889220" w14:textId="77777777" w:rsidTr="00B5382D">
        <w:tc>
          <w:tcPr>
            <w:cnfStyle w:val="001000000000" w:firstRow="0" w:lastRow="0" w:firstColumn="1" w:lastColumn="0" w:oddVBand="0" w:evenVBand="0" w:oddHBand="0" w:evenHBand="0" w:firstRowFirstColumn="0" w:firstRowLastColumn="0" w:lastRowFirstColumn="0" w:lastRowLastColumn="0"/>
            <w:tcW w:w="2552" w:type="dxa"/>
          </w:tcPr>
          <w:p w14:paraId="41C1FEB9" w14:textId="77777777" w:rsidR="002A3A54" w:rsidRPr="00B5382D" w:rsidRDefault="002A3A54" w:rsidP="00737E8E">
            <w:pPr>
              <w:spacing w:before="0" w:after="0"/>
              <w:rPr>
                <w:rFonts w:asciiTheme="minorHAnsi" w:hAnsiTheme="minorHAnsi" w:cs="Calibri"/>
              </w:rPr>
            </w:pPr>
            <w:r w:rsidRPr="00B5382D">
              <w:rPr>
                <w:rFonts w:asciiTheme="minorHAnsi" w:hAnsiTheme="minorHAnsi" w:cs="Calibri"/>
              </w:rPr>
              <w:t>Sewerage and industrial wash waters</w:t>
            </w:r>
          </w:p>
        </w:tc>
        <w:tc>
          <w:tcPr>
            <w:tcW w:w="6946" w:type="dxa"/>
          </w:tcPr>
          <w:p w14:paraId="4A55D992" w14:textId="77777777" w:rsidR="002A3A54" w:rsidRPr="00B5382D" w:rsidRDefault="002A3A54" w:rsidP="00737E8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B5382D">
              <w:rPr>
                <w:rFonts w:asciiTheme="minorHAnsi" w:hAnsiTheme="minorHAnsi" w:cs="Calibri"/>
              </w:rPr>
              <w:t>Sewerage and industrial wash water treatment facilities were excluded from the scope.</w:t>
            </w:r>
          </w:p>
        </w:tc>
      </w:tr>
      <w:tr w:rsidR="002A3A54" w:rsidRPr="00B5382D" w14:paraId="50A43914" w14:textId="77777777" w:rsidTr="00B5382D">
        <w:tc>
          <w:tcPr>
            <w:cnfStyle w:val="001000000000" w:firstRow="0" w:lastRow="0" w:firstColumn="1" w:lastColumn="0" w:oddVBand="0" w:evenVBand="0" w:oddHBand="0" w:evenHBand="0" w:firstRowFirstColumn="0" w:firstRowLastColumn="0" w:lastRowFirstColumn="0" w:lastRowLastColumn="0"/>
            <w:tcW w:w="2552" w:type="dxa"/>
          </w:tcPr>
          <w:p w14:paraId="445AB888" w14:textId="77777777" w:rsidR="002A3A54" w:rsidRPr="00B5382D" w:rsidRDefault="002A3A54" w:rsidP="00737E8E">
            <w:pPr>
              <w:spacing w:before="0" w:after="0"/>
              <w:rPr>
                <w:rFonts w:asciiTheme="minorHAnsi" w:hAnsiTheme="minorHAnsi" w:cs="Calibri"/>
              </w:rPr>
            </w:pPr>
            <w:r w:rsidRPr="00B5382D">
              <w:rPr>
                <w:rFonts w:asciiTheme="minorHAnsi" w:hAnsiTheme="minorHAnsi" w:cs="Calibri"/>
              </w:rPr>
              <w:t>E-waste</w:t>
            </w:r>
          </w:p>
        </w:tc>
        <w:tc>
          <w:tcPr>
            <w:tcW w:w="6946" w:type="dxa"/>
          </w:tcPr>
          <w:p w14:paraId="67660A40" w14:textId="77777777" w:rsidR="002A3A54" w:rsidRPr="00B5382D" w:rsidRDefault="002A3A54" w:rsidP="00737E8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B5382D">
              <w:rPr>
                <w:rFonts w:asciiTheme="minorHAnsi" w:hAnsiTheme="minorHAnsi" w:cs="Calibri"/>
              </w:rPr>
              <w:t xml:space="preserve">Only major e-waste physical/chemical and manual disassembly processing facilities were included in the scope. </w:t>
            </w:r>
          </w:p>
        </w:tc>
      </w:tr>
      <w:tr w:rsidR="002A3A54" w:rsidRPr="00B5382D" w14:paraId="706369D9" w14:textId="77777777" w:rsidTr="00B5382D">
        <w:tc>
          <w:tcPr>
            <w:cnfStyle w:val="001000000000" w:firstRow="0" w:lastRow="0" w:firstColumn="1" w:lastColumn="0" w:oddVBand="0" w:evenVBand="0" w:oddHBand="0" w:evenHBand="0" w:firstRowFirstColumn="0" w:firstRowLastColumn="0" w:lastRowFirstColumn="0" w:lastRowLastColumn="0"/>
            <w:tcW w:w="2552" w:type="dxa"/>
          </w:tcPr>
          <w:p w14:paraId="472E8975" w14:textId="77777777" w:rsidR="002A3A54" w:rsidRPr="00B5382D" w:rsidRDefault="002A3A54" w:rsidP="00737E8E">
            <w:pPr>
              <w:spacing w:before="0" w:after="0"/>
              <w:rPr>
                <w:rFonts w:asciiTheme="minorHAnsi" w:hAnsiTheme="minorHAnsi" w:cs="Calibri"/>
              </w:rPr>
            </w:pPr>
            <w:r w:rsidRPr="00B5382D">
              <w:rPr>
                <w:rFonts w:asciiTheme="minorHAnsi" w:hAnsiTheme="minorHAnsi" w:cs="Calibri"/>
              </w:rPr>
              <w:t>Quarantine wastes</w:t>
            </w:r>
          </w:p>
        </w:tc>
        <w:tc>
          <w:tcPr>
            <w:tcW w:w="6946" w:type="dxa"/>
          </w:tcPr>
          <w:p w14:paraId="5F5C3B7F" w14:textId="77777777" w:rsidR="002A3A54" w:rsidRPr="00B5382D" w:rsidRDefault="002A3A54" w:rsidP="00737E8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B5382D">
              <w:rPr>
                <w:rFonts w:asciiTheme="minorHAnsi" w:hAnsiTheme="minorHAnsi" w:cs="Calibri"/>
              </w:rPr>
              <w:t>Quarantine waste processing facilities were excluded from the scope, except where these facilities also treated other hazardous waste such as clinical waste.</w:t>
            </w:r>
          </w:p>
        </w:tc>
      </w:tr>
      <w:tr w:rsidR="002A3A54" w:rsidRPr="00B5382D" w14:paraId="5C6CE38B" w14:textId="77777777" w:rsidTr="00B5382D">
        <w:tc>
          <w:tcPr>
            <w:cnfStyle w:val="001000000000" w:firstRow="0" w:lastRow="0" w:firstColumn="1" w:lastColumn="0" w:oddVBand="0" w:evenVBand="0" w:oddHBand="0" w:evenHBand="0" w:firstRowFirstColumn="0" w:firstRowLastColumn="0" w:lastRowFirstColumn="0" w:lastRowLastColumn="0"/>
            <w:tcW w:w="2552" w:type="dxa"/>
          </w:tcPr>
          <w:p w14:paraId="30E0AD8F" w14:textId="77777777" w:rsidR="002A3A54" w:rsidRPr="00B5382D" w:rsidRDefault="002A3A54" w:rsidP="00737E8E">
            <w:pPr>
              <w:spacing w:before="0" w:after="0"/>
              <w:rPr>
                <w:rFonts w:asciiTheme="minorHAnsi" w:hAnsiTheme="minorHAnsi" w:cs="Calibri"/>
              </w:rPr>
            </w:pPr>
            <w:r w:rsidRPr="00B5382D">
              <w:rPr>
                <w:rFonts w:asciiTheme="minorHAnsi" w:hAnsiTheme="minorHAnsi" w:cs="Calibri"/>
              </w:rPr>
              <w:t>Asbestos</w:t>
            </w:r>
          </w:p>
        </w:tc>
        <w:tc>
          <w:tcPr>
            <w:tcW w:w="6946" w:type="dxa"/>
          </w:tcPr>
          <w:p w14:paraId="366F0704" w14:textId="513D9900" w:rsidR="002A3A54" w:rsidRPr="00B5382D" w:rsidRDefault="002A3A54" w:rsidP="00737E8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B5382D">
              <w:rPr>
                <w:rFonts w:asciiTheme="minorHAnsi" w:hAnsiTheme="minorHAnsi" w:cs="Calibri"/>
              </w:rPr>
              <w:t>Asbestos disposal facilities were excluded from the scope, except where these sites also disposed other hazardous wastes.</w:t>
            </w:r>
          </w:p>
        </w:tc>
      </w:tr>
    </w:tbl>
    <w:p w14:paraId="58622316" w14:textId="77777777" w:rsidR="002A3A54" w:rsidRPr="00100F0A" w:rsidRDefault="002A3A54" w:rsidP="002A3A54">
      <w:pPr>
        <w:rPr>
          <w:color w:val="080808"/>
        </w:rPr>
      </w:pPr>
    </w:p>
    <w:p w14:paraId="47E8E9CB" w14:textId="6CD76840" w:rsidR="002A3A54" w:rsidRDefault="009400B8" w:rsidP="002A3A54">
      <w:pPr>
        <w:rPr>
          <w:color w:val="080808"/>
        </w:rPr>
      </w:pPr>
      <w:r w:rsidRPr="008A6FC8">
        <w:rPr>
          <w:color w:val="080808"/>
        </w:rPr>
        <w:t xml:space="preserve">An important expansion was made to the 2018 assessment to </w:t>
      </w:r>
      <w:r w:rsidRPr="00A307F3">
        <w:rPr>
          <w:color w:val="080808"/>
        </w:rPr>
        <w:t>include the capacity of cement kilns</w:t>
      </w:r>
      <w:r w:rsidR="008A6FC8">
        <w:rPr>
          <w:color w:val="080808"/>
        </w:rPr>
        <w:t>’</w:t>
      </w:r>
      <w:r w:rsidRPr="00A307F3">
        <w:rPr>
          <w:color w:val="080808"/>
        </w:rPr>
        <w:t xml:space="preserve"> hazardous waste management capacity.</w:t>
      </w:r>
      <w:r w:rsidR="00E35A1B">
        <w:rPr>
          <w:rStyle w:val="FootnoteReference"/>
          <w:color w:val="080808"/>
        </w:rPr>
        <w:footnoteReference w:id="28"/>
      </w:r>
      <w:r w:rsidRPr="00A307F3">
        <w:rPr>
          <w:color w:val="080808"/>
        </w:rPr>
        <w:t xml:space="preserve"> </w:t>
      </w:r>
      <w:r w:rsidR="002A3A54" w:rsidRPr="008A6FC8">
        <w:rPr>
          <w:color w:val="080808"/>
        </w:rPr>
        <w:t xml:space="preserve">Where infrastructure additional to the </w:t>
      </w:r>
      <w:r w:rsidRPr="008A6FC8">
        <w:rPr>
          <w:color w:val="080808"/>
        </w:rPr>
        <w:t xml:space="preserve">2015 </w:t>
      </w:r>
      <w:r w:rsidR="002A3A54" w:rsidRPr="008A6FC8">
        <w:rPr>
          <w:color w:val="080808"/>
        </w:rPr>
        <w:t>database was</w:t>
      </w:r>
      <w:r w:rsidR="002A3A54" w:rsidRPr="00100F0A">
        <w:rPr>
          <w:color w:val="080808"/>
        </w:rPr>
        <w:t xml:space="preserve"> identified by the project team, it was added to the database. See Section </w:t>
      </w:r>
      <w:r w:rsidR="002A3A54" w:rsidRPr="00100F0A">
        <w:rPr>
          <w:color w:val="080808"/>
        </w:rPr>
        <w:fldChar w:fldCharType="begin"/>
      </w:r>
      <w:r w:rsidR="002A3A54" w:rsidRPr="00100F0A">
        <w:rPr>
          <w:color w:val="080808"/>
        </w:rPr>
        <w:instrText xml:space="preserve"> REF _Ref420526107 \r \h </w:instrText>
      </w:r>
      <w:r w:rsidR="002A3A54" w:rsidRPr="00100F0A">
        <w:rPr>
          <w:color w:val="080808"/>
        </w:rPr>
      </w:r>
      <w:r w:rsidR="002A3A54" w:rsidRPr="00100F0A">
        <w:rPr>
          <w:color w:val="080808"/>
        </w:rPr>
        <w:fldChar w:fldCharType="separate"/>
      </w:r>
      <w:r w:rsidR="00EB634D">
        <w:rPr>
          <w:color w:val="080808"/>
        </w:rPr>
        <w:t>3.3.2</w:t>
      </w:r>
      <w:r w:rsidR="002A3A54" w:rsidRPr="00100F0A">
        <w:rPr>
          <w:color w:val="080808"/>
        </w:rPr>
        <w:fldChar w:fldCharType="end"/>
      </w:r>
      <w:r w:rsidR="002A3A54" w:rsidRPr="00100F0A">
        <w:rPr>
          <w:color w:val="080808"/>
        </w:rPr>
        <w:t xml:space="preserve"> for further discussion on this infrastructure.</w:t>
      </w:r>
    </w:p>
    <w:p w14:paraId="607CFB79" w14:textId="35C84792" w:rsidR="00063185" w:rsidRDefault="00063185" w:rsidP="002A3A54">
      <w:pPr>
        <w:rPr>
          <w:color w:val="080808"/>
        </w:rPr>
      </w:pPr>
    </w:p>
    <w:p w14:paraId="62BA60F0" w14:textId="77777777" w:rsidR="00063185" w:rsidRPr="00100F0A" w:rsidRDefault="00063185" w:rsidP="00063185">
      <w:pPr>
        <w:pStyle w:val="BodyText"/>
      </w:pPr>
      <w:r>
        <w:t xml:space="preserve">‘Mobile’ waste treatment technology that is moved from one site clean-up to another is included in the scope of the assessment where the technology is providing the waste treatment (onsite). Mobile equipment that is used to simply collect, concentrate, or transport hazardous wastes simply to enable treatment off-site is typically not included. </w:t>
      </w:r>
    </w:p>
    <w:p w14:paraId="5F6E741E" w14:textId="77777777" w:rsidR="00063185" w:rsidRPr="00100F0A" w:rsidRDefault="00063185" w:rsidP="002A3A54">
      <w:pPr>
        <w:rPr>
          <w:color w:val="080808"/>
        </w:rPr>
      </w:pPr>
    </w:p>
    <w:p w14:paraId="2833C033" w14:textId="47C8D2A6" w:rsidR="002A3A54" w:rsidRPr="00100F0A" w:rsidRDefault="002A3A54" w:rsidP="00AD35BF">
      <w:pPr>
        <w:pStyle w:val="Heading2"/>
        <w:ind w:left="851" w:hanging="851"/>
      </w:pPr>
      <w:bookmarkStart w:id="305" w:name="_Toc419189317"/>
      <w:bookmarkStart w:id="306" w:name="_Toc419189418"/>
      <w:bookmarkStart w:id="307" w:name="_Toc419189519"/>
      <w:bookmarkStart w:id="308" w:name="_Toc419190264"/>
      <w:bookmarkStart w:id="309" w:name="_Toc419449180"/>
      <w:bookmarkStart w:id="310" w:name="_Ref419197816"/>
      <w:bookmarkStart w:id="311" w:name="_Toc419449181"/>
      <w:bookmarkStart w:id="312" w:name="_Toc425849163"/>
      <w:bookmarkStart w:id="313" w:name="_Toc13225540"/>
      <w:bookmarkEnd w:id="305"/>
      <w:bookmarkEnd w:id="306"/>
      <w:bookmarkEnd w:id="307"/>
      <w:bookmarkEnd w:id="308"/>
      <w:bookmarkEnd w:id="309"/>
      <w:r w:rsidRPr="00100F0A">
        <w:t>Infrastructure groups</w:t>
      </w:r>
      <w:bookmarkEnd w:id="310"/>
      <w:bookmarkEnd w:id="311"/>
      <w:bookmarkEnd w:id="312"/>
      <w:bookmarkEnd w:id="313"/>
      <w:r w:rsidRPr="00100F0A">
        <w:t xml:space="preserve"> </w:t>
      </w:r>
    </w:p>
    <w:p w14:paraId="646126D6" w14:textId="02F997F5" w:rsidR="002A3A54" w:rsidRPr="00100F0A" w:rsidRDefault="002A3A54" w:rsidP="002A3A54">
      <w:pPr>
        <w:rPr>
          <w:color w:val="080808"/>
        </w:rPr>
      </w:pPr>
      <w:r w:rsidRPr="00100F0A">
        <w:rPr>
          <w:color w:val="080808"/>
        </w:rPr>
        <w:t xml:space="preserve">To enable the assessment of projected infrastructure need vs capacity, it was necessary to group the infrastructure included in the </w:t>
      </w:r>
      <w:r w:rsidR="00FE070D" w:rsidRPr="00100F0A">
        <w:rPr>
          <w:i/>
        </w:rPr>
        <w:t>Hazwaste infrastructure database 2018</w:t>
      </w:r>
      <w:r w:rsidRPr="00100F0A">
        <w:rPr>
          <w:color w:val="080808"/>
        </w:rPr>
        <w:t xml:space="preserve">. </w:t>
      </w:r>
      <w:r w:rsidR="009A2482" w:rsidRPr="00100F0A">
        <w:rPr>
          <w:color w:val="080808"/>
        </w:rPr>
        <w:t>The infrastructure was grouped based on</w:t>
      </w:r>
      <w:r w:rsidRPr="00100F0A">
        <w:rPr>
          <w:color w:val="080808"/>
        </w:rPr>
        <w:t xml:space="preserve"> </w:t>
      </w:r>
      <w:r w:rsidR="00FE070D" w:rsidRPr="00100F0A">
        <w:rPr>
          <w:color w:val="080808"/>
        </w:rPr>
        <w:t xml:space="preserve">the </w:t>
      </w:r>
      <w:r w:rsidRPr="00100F0A">
        <w:rPr>
          <w:color w:val="080808"/>
        </w:rPr>
        <w:t>waste received</w:t>
      </w:r>
      <w:r w:rsidR="00FE070D" w:rsidRPr="00100F0A">
        <w:rPr>
          <w:color w:val="080808"/>
        </w:rPr>
        <w:t xml:space="preserve"> and the waste management </w:t>
      </w:r>
      <w:r w:rsidR="00993CE4" w:rsidRPr="00100F0A">
        <w:rPr>
          <w:color w:val="080808"/>
        </w:rPr>
        <w:t>method</w:t>
      </w:r>
      <w:r w:rsidR="009A2482" w:rsidRPr="00100F0A">
        <w:rPr>
          <w:color w:val="080808"/>
          <w:vertAlign w:val="superscript"/>
        </w:rPr>
        <w:footnoteReference w:id="29"/>
      </w:r>
      <w:r w:rsidR="00FE070D" w:rsidRPr="00100F0A">
        <w:rPr>
          <w:color w:val="080808"/>
        </w:rPr>
        <w:t xml:space="preserve"> </w:t>
      </w:r>
      <w:r w:rsidR="009A2482" w:rsidRPr="00100F0A">
        <w:rPr>
          <w:color w:val="080808"/>
        </w:rPr>
        <w:t>of the infrastructure</w:t>
      </w:r>
      <w:r w:rsidR="00FE070D" w:rsidRPr="00100F0A">
        <w:rPr>
          <w:color w:val="080808"/>
        </w:rPr>
        <w:t xml:space="preserve">. </w:t>
      </w:r>
      <w:r w:rsidRPr="00100F0A">
        <w:rPr>
          <w:color w:val="080808"/>
        </w:rPr>
        <w:t xml:space="preserve">  </w:t>
      </w:r>
    </w:p>
    <w:p w14:paraId="0ACCFB87" w14:textId="2041DEBE" w:rsidR="009A2482" w:rsidRPr="00100F0A" w:rsidRDefault="002A3A54" w:rsidP="002A3A54">
      <w:pPr>
        <w:rPr>
          <w:color w:val="080808"/>
        </w:rPr>
      </w:pPr>
      <w:r w:rsidRPr="00100F0A">
        <w:rPr>
          <w:color w:val="080808"/>
        </w:rPr>
        <w:t xml:space="preserve">For example, e-waste recycling, </w:t>
      </w:r>
      <w:r w:rsidR="00374225">
        <w:rPr>
          <w:color w:val="080808"/>
        </w:rPr>
        <w:t>POP</w:t>
      </w:r>
      <w:r w:rsidRPr="00100F0A">
        <w:rPr>
          <w:color w:val="080808"/>
        </w:rPr>
        <w:t xml:space="preserve"> thermal destruction, clinical waste treatment and clinical waste thermal destruction.</w:t>
      </w:r>
    </w:p>
    <w:p w14:paraId="6F4961DF" w14:textId="77777777" w:rsidR="009A2482" w:rsidRPr="00100F0A" w:rsidRDefault="009A2482" w:rsidP="002A3A54">
      <w:pPr>
        <w:rPr>
          <w:color w:val="080808"/>
        </w:rPr>
      </w:pPr>
    </w:p>
    <w:p w14:paraId="0CFE0904" w14:textId="4C83B81E" w:rsidR="002A3A54" w:rsidRPr="00100F0A" w:rsidRDefault="00161E88" w:rsidP="002A3A54">
      <w:r w:rsidRPr="00100F0A">
        <w:rPr>
          <w:color w:val="080808"/>
        </w:rPr>
        <w:t xml:space="preserve">The </w:t>
      </w:r>
      <w:r w:rsidR="009A2482" w:rsidRPr="00100F0A">
        <w:rPr>
          <w:color w:val="080808"/>
        </w:rPr>
        <w:t xml:space="preserve">infrastructure groups </w:t>
      </w:r>
      <w:r w:rsidRPr="00100F0A">
        <w:rPr>
          <w:color w:val="080808"/>
        </w:rPr>
        <w:t xml:space="preserve">were then </w:t>
      </w:r>
      <w:r w:rsidR="009A2482" w:rsidRPr="00100F0A">
        <w:rPr>
          <w:color w:val="080808"/>
        </w:rPr>
        <w:t xml:space="preserve">used to compare waste group arisings and management to infrastructure capacity. </w:t>
      </w:r>
      <w:r w:rsidR="002A3A54" w:rsidRPr="00100F0A">
        <w:rPr>
          <w:color w:val="080808"/>
        </w:rPr>
        <w:t xml:space="preserve">The </w:t>
      </w:r>
      <w:r w:rsidR="00B031A7" w:rsidRPr="00100F0A">
        <w:rPr>
          <w:color w:val="080808"/>
        </w:rPr>
        <w:t xml:space="preserve">infrastructure </w:t>
      </w:r>
      <w:r w:rsidR="002A3A54" w:rsidRPr="00100F0A">
        <w:rPr>
          <w:color w:val="080808"/>
        </w:rPr>
        <w:t xml:space="preserve">groups are </w:t>
      </w:r>
      <w:r w:rsidR="002A3A54" w:rsidRPr="00100F0A">
        <w:t xml:space="preserve">listed in </w:t>
      </w:r>
      <w:r w:rsidR="002A3A54" w:rsidRPr="00100F0A">
        <w:fldChar w:fldCharType="begin"/>
      </w:r>
      <w:r w:rsidR="002A3A54" w:rsidRPr="00100F0A">
        <w:instrText xml:space="preserve"> REF _Ref419189745 \h  \* MERGEFORMAT </w:instrText>
      </w:r>
      <w:r w:rsidR="002A3A54" w:rsidRPr="00100F0A">
        <w:fldChar w:fldCharType="separate"/>
      </w:r>
      <w:r w:rsidR="00EB634D" w:rsidRPr="00EB634D">
        <w:rPr>
          <w:rFonts w:asciiTheme="minorHAnsi" w:hAnsiTheme="minorHAnsi" w:cs="Calibri"/>
          <w:noProof/>
        </w:rPr>
        <w:t>Table 43</w:t>
      </w:r>
      <w:r w:rsidR="002A3A54" w:rsidRPr="00100F0A">
        <w:fldChar w:fldCharType="end"/>
      </w:r>
      <w:r w:rsidR="002A3A54" w:rsidRPr="00100F0A">
        <w:t>, which is ordered following the waste hierarchy</w:t>
      </w:r>
      <w:r w:rsidR="00ED2FB5">
        <w:t>.</w:t>
      </w:r>
      <w:r w:rsidR="002A3A54" w:rsidRPr="00100F0A">
        <w:rPr>
          <w:vertAlign w:val="superscript"/>
        </w:rPr>
        <w:footnoteReference w:id="30"/>
      </w:r>
      <w:r w:rsidR="002A3A54" w:rsidRPr="00100F0A">
        <w:t xml:space="preserve"> See Section </w:t>
      </w:r>
      <w:r w:rsidR="002A3A54" w:rsidRPr="00100F0A">
        <w:fldChar w:fldCharType="begin"/>
      </w:r>
      <w:r w:rsidR="002A3A54" w:rsidRPr="00100F0A">
        <w:instrText xml:space="preserve"> REF _Ref419553398 \r \h  \* MERGEFORMAT </w:instrText>
      </w:r>
      <w:r w:rsidR="002A3A54" w:rsidRPr="00100F0A">
        <w:fldChar w:fldCharType="separate"/>
      </w:r>
      <w:r w:rsidR="00EB634D">
        <w:t>4.1</w:t>
      </w:r>
      <w:r w:rsidR="002A3A54" w:rsidRPr="00100F0A">
        <w:fldChar w:fldCharType="end"/>
      </w:r>
      <w:r w:rsidR="002A3A54" w:rsidRPr="00100F0A">
        <w:t xml:space="preserve"> for further discussion of how the infrastructure groups were used in the assessment.</w:t>
      </w:r>
      <w:r w:rsidR="005B0055" w:rsidRPr="00100F0A">
        <w:t xml:space="preserve"> New infrastructure groups for the 2018 assessment are shaded in grey.</w:t>
      </w:r>
    </w:p>
    <w:p w14:paraId="08AC83D9" w14:textId="77777777" w:rsidR="002A3A54" w:rsidRPr="00100F0A" w:rsidRDefault="002A3A54" w:rsidP="002A3A54"/>
    <w:p w14:paraId="56AD1F21" w14:textId="4CC48F93" w:rsidR="002A3A54" w:rsidRPr="00100F0A" w:rsidRDefault="002A3A54" w:rsidP="002A3A54">
      <w:pPr>
        <w:rPr>
          <w:color w:val="080808"/>
        </w:rPr>
      </w:pPr>
      <w:r w:rsidRPr="00100F0A">
        <w:t xml:space="preserve">The scope </w:t>
      </w:r>
      <w:r w:rsidR="00B031A7" w:rsidRPr="00100F0A">
        <w:t xml:space="preserve">and coverage limitations for each </w:t>
      </w:r>
      <w:r w:rsidRPr="00100F0A">
        <w:t xml:space="preserve">infrastructure </w:t>
      </w:r>
      <w:r w:rsidR="00B031A7" w:rsidRPr="00100F0A">
        <w:t xml:space="preserve">are also </w:t>
      </w:r>
      <w:r w:rsidRPr="00100F0A">
        <w:rPr>
          <w:color w:val="080808"/>
        </w:rPr>
        <w:t xml:space="preserve">flagged in </w:t>
      </w:r>
      <w:r w:rsidR="00B031A7" w:rsidRPr="00100F0A">
        <w:fldChar w:fldCharType="begin"/>
      </w:r>
      <w:r w:rsidR="00B031A7" w:rsidRPr="00100F0A">
        <w:instrText xml:space="preserve"> REF _Ref419189745 \h  \* MERGEFORMAT </w:instrText>
      </w:r>
      <w:r w:rsidR="00B031A7" w:rsidRPr="00100F0A">
        <w:fldChar w:fldCharType="separate"/>
      </w:r>
      <w:r w:rsidR="00EB634D" w:rsidRPr="00EB634D">
        <w:rPr>
          <w:rFonts w:asciiTheme="minorHAnsi" w:hAnsiTheme="minorHAnsi" w:cs="Calibri"/>
          <w:noProof/>
        </w:rPr>
        <w:t>Table 43</w:t>
      </w:r>
      <w:r w:rsidR="00B031A7" w:rsidRPr="00100F0A">
        <w:fldChar w:fldCharType="end"/>
      </w:r>
      <w:r w:rsidR="00B031A7" w:rsidRPr="00100F0A">
        <w:t xml:space="preserve"> b</w:t>
      </w:r>
      <w:r w:rsidRPr="00100F0A">
        <w:rPr>
          <w:color w:val="080808"/>
        </w:rPr>
        <w:t>elow. The implications of the database scope and coverage limitations are discussed further in Section</w:t>
      </w:r>
      <w:r w:rsidR="00737E8E" w:rsidRPr="00100F0A">
        <w:rPr>
          <w:color w:val="080808"/>
        </w:rPr>
        <w:t xml:space="preserve"> </w:t>
      </w:r>
      <w:r w:rsidR="00737E8E" w:rsidRPr="00100F0A">
        <w:rPr>
          <w:color w:val="080808"/>
        </w:rPr>
        <w:fldChar w:fldCharType="begin"/>
      </w:r>
      <w:r w:rsidR="00737E8E" w:rsidRPr="00100F0A">
        <w:rPr>
          <w:color w:val="080808"/>
        </w:rPr>
        <w:instrText xml:space="preserve"> REF _Ref420062067 \r \h </w:instrText>
      </w:r>
      <w:r w:rsidR="00737E8E" w:rsidRPr="00100F0A">
        <w:rPr>
          <w:color w:val="080808"/>
        </w:rPr>
      </w:r>
      <w:r w:rsidR="00737E8E" w:rsidRPr="00100F0A">
        <w:rPr>
          <w:color w:val="080808"/>
        </w:rPr>
        <w:fldChar w:fldCharType="separate"/>
      </w:r>
      <w:r w:rsidR="00EB634D">
        <w:rPr>
          <w:color w:val="080808"/>
        </w:rPr>
        <w:t>4.2</w:t>
      </w:r>
      <w:r w:rsidR="00737E8E" w:rsidRPr="00100F0A">
        <w:rPr>
          <w:color w:val="080808"/>
        </w:rPr>
        <w:fldChar w:fldCharType="end"/>
      </w:r>
      <w:r w:rsidRPr="00100F0A">
        <w:rPr>
          <w:color w:val="080808"/>
        </w:rPr>
        <w:t>.</w:t>
      </w:r>
    </w:p>
    <w:p w14:paraId="4A900AA2" w14:textId="77777777" w:rsidR="002A3A54" w:rsidRPr="00100F0A" w:rsidRDefault="002A3A54" w:rsidP="002A3A54">
      <w:pPr>
        <w:rPr>
          <w:color w:val="080808"/>
          <w:sz w:val="2"/>
          <w:szCs w:val="2"/>
        </w:rPr>
      </w:pPr>
    </w:p>
    <w:p w14:paraId="12F4B3EF" w14:textId="442EE45B" w:rsidR="002A3A54" w:rsidRDefault="002A3A54" w:rsidP="0095119F">
      <w:pPr>
        <w:pStyle w:val="Caption"/>
      </w:pPr>
      <w:bookmarkStart w:id="314" w:name="_Ref419189745"/>
      <w:bookmarkStart w:id="315" w:name="_Ref419189271"/>
      <w:bookmarkStart w:id="316" w:name="_Toc419190507"/>
      <w:bookmarkStart w:id="317" w:name="_Toc425849330"/>
      <w:bookmarkStart w:id="318" w:name="_Toc13225662"/>
      <w:r w:rsidRPr="00100F0A">
        <w:t xml:space="preserve">Table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43</w:t>
      </w:r>
      <w:r w:rsidR="00B404A6" w:rsidRPr="00100F0A">
        <w:rPr>
          <w:noProof/>
        </w:rPr>
        <w:fldChar w:fldCharType="end"/>
      </w:r>
      <w:bookmarkEnd w:id="314"/>
      <w:r w:rsidR="00AD2F76">
        <w:rPr>
          <w:noProof/>
        </w:rPr>
        <w:t>:</w:t>
      </w:r>
      <w:r w:rsidR="00D11FEE" w:rsidRPr="00100F0A">
        <w:tab/>
      </w:r>
      <w:r w:rsidRPr="00100F0A">
        <w:t>Infrastructure groups</w:t>
      </w:r>
      <w:bookmarkEnd w:id="315"/>
      <w:bookmarkEnd w:id="316"/>
      <w:bookmarkEnd w:id="317"/>
      <w:r w:rsidR="0075348A">
        <w:t xml:space="preserve"> and coverage</w:t>
      </w:r>
      <w:bookmarkEnd w:id="318"/>
    </w:p>
    <w:tbl>
      <w:tblPr>
        <w:tblStyle w:val="BETable11"/>
        <w:tblW w:w="4999" w:type="pct"/>
        <w:tblInd w:w="0" w:type="dxa"/>
        <w:tblBorders>
          <w:top w:val="single" w:sz="4" w:space="0" w:color="AAABD6"/>
          <w:left w:val="single" w:sz="4" w:space="0" w:color="AAABD6"/>
          <w:bottom w:val="single" w:sz="4" w:space="0" w:color="AAABD6"/>
          <w:right w:val="single" w:sz="4" w:space="0" w:color="AAABD6"/>
          <w:insideH w:val="single" w:sz="4" w:space="0" w:color="AAABD6"/>
          <w:insideV w:val="single" w:sz="4" w:space="0" w:color="AAABD6"/>
        </w:tblBorders>
        <w:tblLook w:val="04A0" w:firstRow="1" w:lastRow="0" w:firstColumn="1" w:lastColumn="0" w:noHBand="0" w:noVBand="1"/>
      </w:tblPr>
      <w:tblGrid>
        <w:gridCol w:w="1548"/>
        <w:gridCol w:w="2670"/>
        <w:gridCol w:w="4803"/>
      </w:tblGrid>
      <w:tr w:rsidR="001A0008" w:rsidRPr="00100F0A" w14:paraId="5D350307" w14:textId="77777777" w:rsidTr="005F2A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8" w:type="pct"/>
            <w:tcBorders>
              <w:top w:val="nil"/>
              <w:left w:val="single" w:sz="4" w:space="0" w:color="AAABD6"/>
              <w:bottom w:val="single" w:sz="4" w:space="0" w:color="AAABD6"/>
            </w:tcBorders>
            <w:shd w:val="clear" w:color="auto" w:fill="AAABD6"/>
          </w:tcPr>
          <w:p w14:paraId="5421D576" w14:textId="77777777" w:rsidR="001A0008" w:rsidRPr="00100F0A" w:rsidRDefault="001A0008" w:rsidP="005F2A3D">
            <w:pPr>
              <w:pStyle w:val="BodyText"/>
              <w:rPr>
                <w:color w:val="FFFFFF" w:themeColor="background1"/>
              </w:rPr>
            </w:pPr>
            <w:r w:rsidRPr="00100F0A">
              <w:rPr>
                <w:color w:val="FFFFFF" w:themeColor="background1"/>
              </w:rPr>
              <w:t>Hazardous waste management method</w:t>
            </w:r>
          </w:p>
        </w:tc>
        <w:tc>
          <w:tcPr>
            <w:tcW w:w="1480" w:type="pct"/>
            <w:tcBorders>
              <w:top w:val="nil"/>
              <w:bottom w:val="single" w:sz="4" w:space="0" w:color="AAABD6"/>
            </w:tcBorders>
            <w:shd w:val="clear" w:color="auto" w:fill="AAABD6"/>
          </w:tcPr>
          <w:p w14:paraId="3106FE3D" w14:textId="77777777" w:rsidR="001A0008" w:rsidRPr="00100F0A" w:rsidRDefault="001A0008" w:rsidP="005F2A3D">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Hazardous waste infrastructure group</w:t>
            </w:r>
          </w:p>
        </w:tc>
        <w:tc>
          <w:tcPr>
            <w:tcW w:w="2662" w:type="pct"/>
            <w:tcBorders>
              <w:top w:val="nil"/>
              <w:bottom w:val="single" w:sz="4" w:space="0" w:color="AAABD6"/>
              <w:right w:val="single" w:sz="4" w:space="0" w:color="AAABD6"/>
            </w:tcBorders>
            <w:shd w:val="clear" w:color="auto" w:fill="AAABD6"/>
          </w:tcPr>
          <w:p w14:paraId="745432FD" w14:textId="396C80C8" w:rsidR="001A0008" w:rsidRPr="00100F0A" w:rsidRDefault="001A0008" w:rsidP="005F2A3D">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0F0A">
              <w:rPr>
                <w:color w:val="FFFFFF" w:themeColor="background1"/>
              </w:rPr>
              <w:t>Description</w:t>
            </w:r>
            <w:r w:rsidR="0075348A">
              <w:rPr>
                <w:color w:val="FFFFFF" w:themeColor="background1"/>
              </w:rPr>
              <w:t xml:space="preserve"> and coverage</w:t>
            </w:r>
          </w:p>
        </w:tc>
      </w:tr>
      <w:tr w:rsidR="001A0008" w:rsidRPr="00100F0A" w14:paraId="56FA296B" w14:textId="77777777" w:rsidTr="005F2A3D">
        <w:trPr>
          <w:trHeight w:val="923"/>
        </w:trPr>
        <w:tc>
          <w:tcPr>
            <w:cnfStyle w:val="001000000000" w:firstRow="0" w:lastRow="0" w:firstColumn="1" w:lastColumn="0" w:oddVBand="0" w:evenVBand="0" w:oddHBand="0" w:evenHBand="0" w:firstRowFirstColumn="0" w:firstRowLastColumn="0" w:lastRowFirstColumn="0" w:lastRowLastColumn="0"/>
            <w:tcW w:w="858" w:type="pct"/>
            <w:vMerge w:val="restart"/>
            <w:tcBorders>
              <w:top w:val="single" w:sz="4" w:space="0" w:color="AAABD6"/>
            </w:tcBorders>
            <w:vAlign w:val="center"/>
          </w:tcPr>
          <w:p w14:paraId="55C20BC4" w14:textId="77777777" w:rsidR="001A0008" w:rsidRPr="00100F0A" w:rsidRDefault="001A0008" w:rsidP="005F2A3D">
            <w:pPr>
              <w:pStyle w:val="BodyText"/>
            </w:pPr>
            <w:r w:rsidRPr="00100F0A">
              <w:rPr>
                <w:b/>
                <w:bCs/>
              </w:rPr>
              <w:t xml:space="preserve">Recycling </w:t>
            </w:r>
          </w:p>
          <w:p w14:paraId="104A5172" w14:textId="77777777" w:rsidR="001A0008" w:rsidRPr="00100F0A" w:rsidRDefault="001A0008" w:rsidP="005F2A3D">
            <w:pPr>
              <w:pStyle w:val="BodyText"/>
            </w:pPr>
            <w:r w:rsidRPr="00100F0A">
              <w:rPr>
                <w:b/>
                <w:bCs/>
              </w:rPr>
              <w:t> </w:t>
            </w:r>
          </w:p>
          <w:p w14:paraId="0E2343D4" w14:textId="77777777" w:rsidR="001A0008" w:rsidRPr="00100F0A" w:rsidRDefault="001A0008" w:rsidP="005F2A3D">
            <w:pPr>
              <w:pStyle w:val="BodyText"/>
            </w:pPr>
            <w:r w:rsidRPr="00100F0A">
              <w:rPr>
                <w:b/>
                <w:bCs/>
              </w:rPr>
              <w:t> </w:t>
            </w:r>
          </w:p>
          <w:p w14:paraId="79EDE571" w14:textId="77777777" w:rsidR="001A0008" w:rsidRPr="00100F0A" w:rsidRDefault="001A0008" w:rsidP="005F2A3D">
            <w:pPr>
              <w:pStyle w:val="BodyText"/>
            </w:pPr>
            <w:r w:rsidRPr="00100F0A">
              <w:rPr>
                <w:b/>
                <w:bCs/>
              </w:rPr>
              <w:t> </w:t>
            </w:r>
          </w:p>
          <w:p w14:paraId="3688208E" w14:textId="77777777" w:rsidR="001A0008" w:rsidRPr="00100F0A" w:rsidRDefault="001A0008" w:rsidP="005F2A3D">
            <w:pPr>
              <w:pStyle w:val="BodyText"/>
            </w:pPr>
            <w:r w:rsidRPr="00100F0A">
              <w:rPr>
                <w:b/>
                <w:bCs/>
              </w:rPr>
              <w:t> </w:t>
            </w:r>
          </w:p>
          <w:p w14:paraId="1F55AED8" w14:textId="77777777" w:rsidR="001A0008" w:rsidRPr="00100F0A" w:rsidRDefault="001A0008" w:rsidP="005F2A3D">
            <w:pPr>
              <w:pStyle w:val="BodyText"/>
            </w:pPr>
            <w:r w:rsidRPr="00100F0A">
              <w:rPr>
                <w:b/>
                <w:bCs/>
              </w:rPr>
              <w:t> </w:t>
            </w:r>
          </w:p>
          <w:p w14:paraId="35216458" w14:textId="77777777" w:rsidR="001A0008" w:rsidRPr="00100F0A" w:rsidRDefault="001A0008" w:rsidP="005F2A3D">
            <w:pPr>
              <w:pStyle w:val="BodyText"/>
            </w:pPr>
            <w:r w:rsidRPr="00100F0A">
              <w:rPr>
                <w:b/>
                <w:bCs/>
              </w:rPr>
              <w:t> </w:t>
            </w:r>
          </w:p>
          <w:p w14:paraId="5D134F92" w14:textId="77777777" w:rsidR="001A0008" w:rsidRPr="00100F0A" w:rsidRDefault="001A0008" w:rsidP="005F2A3D">
            <w:pPr>
              <w:pStyle w:val="BodyText"/>
            </w:pPr>
            <w:r w:rsidRPr="00100F0A">
              <w:rPr>
                <w:b/>
                <w:bCs/>
              </w:rPr>
              <w:t> </w:t>
            </w:r>
          </w:p>
          <w:p w14:paraId="48E07871" w14:textId="77777777" w:rsidR="001A0008" w:rsidRPr="00100F0A" w:rsidRDefault="001A0008" w:rsidP="005F2A3D">
            <w:pPr>
              <w:pStyle w:val="BodyText"/>
            </w:pPr>
            <w:r w:rsidRPr="00100F0A">
              <w:rPr>
                <w:b/>
                <w:bCs/>
              </w:rPr>
              <w:t> </w:t>
            </w:r>
          </w:p>
          <w:p w14:paraId="6679702C" w14:textId="77777777" w:rsidR="001A0008" w:rsidRPr="00100F0A" w:rsidRDefault="001A0008" w:rsidP="005F2A3D">
            <w:pPr>
              <w:pStyle w:val="BodyText"/>
            </w:pPr>
            <w:r w:rsidRPr="00100F0A">
              <w:rPr>
                <w:b/>
                <w:bCs/>
              </w:rPr>
              <w:t> </w:t>
            </w:r>
          </w:p>
        </w:tc>
        <w:tc>
          <w:tcPr>
            <w:tcW w:w="1480" w:type="pct"/>
            <w:tcBorders>
              <w:top w:val="single" w:sz="4" w:space="0" w:color="AAABD6"/>
              <w:bottom w:val="single" w:sz="4" w:space="0" w:color="AAABD6"/>
            </w:tcBorders>
          </w:tcPr>
          <w:p w14:paraId="5BD1421E"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Hazardous waste packaging facility</w:t>
            </w:r>
          </w:p>
        </w:tc>
        <w:tc>
          <w:tcPr>
            <w:tcW w:w="2662" w:type="pct"/>
            <w:tcBorders>
              <w:top w:val="single" w:sz="4" w:space="0" w:color="AAABD6"/>
              <w:bottom w:val="single" w:sz="4" w:space="0" w:color="AAABD6"/>
            </w:tcBorders>
            <w:vAlign w:val="center"/>
          </w:tcPr>
          <w:p w14:paraId="05E25597"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Facilities that recycle industrial packing that contains residual hazardous waste. Containers are typically refurbished and reused or materials are recycled.</w:t>
            </w:r>
          </w:p>
        </w:tc>
      </w:tr>
      <w:tr w:rsidR="001A0008" w:rsidRPr="00100F0A" w14:paraId="7D49486B" w14:textId="77777777" w:rsidTr="005F2A3D">
        <w:trPr>
          <w:trHeight w:val="584"/>
        </w:trPr>
        <w:tc>
          <w:tcPr>
            <w:cnfStyle w:val="001000000000" w:firstRow="0" w:lastRow="0" w:firstColumn="1" w:lastColumn="0" w:oddVBand="0" w:evenVBand="0" w:oddHBand="0" w:evenHBand="0" w:firstRowFirstColumn="0" w:firstRowLastColumn="0" w:lastRowFirstColumn="0" w:lastRowLastColumn="0"/>
            <w:tcW w:w="858" w:type="pct"/>
            <w:vMerge/>
            <w:vAlign w:val="center"/>
          </w:tcPr>
          <w:p w14:paraId="5613C41D" w14:textId="77777777" w:rsidR="001A0008" w:rsidRPr="00100F0A" w:rsidRDefault="001A0008" w:rsidP="005F2A3D">
            <w:pPr>
              <w:pStyle w:val="BodyText"/>
            </w:pPr>
          </w:p>
        </w:tc>
        <w:tc>
          <w:tcPr>
            <w:tcW w:w="1480" w:type="pct"/>
            <w:tcBorders>
              <w:top w:val="single" w:sz="4" w:space="0" w:color="AAABD6"/>
              <w:bottom w:val="single" w:sz="4" w:space="0" w:color="AAABD6"/>
            </w:tcBorders>
          </w:tcPr>
          <w:p w14:paraId="4F5768FF"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E-waste facility</w:t>
            </w:r>
          </w:p>
        </w:tc>
        <w:tc>
          <w:tcPr>
            <w:tcW w:w="2662" w:type="pct"/>
            <w:tcBorders>
              <w:top w:val="single" w:sz="4" w:space="0" w:color="AAABD6"/>
              <w:bottom w:val="single" w:sz="4" w:space="0" w:color="AAABD6"/>
            </w:tcBorders>
            <w:vAlign w:val="center"/>
          </w:tcPr>
          <w:p w14:paraId="6763DE05"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AC42B4">
              <w:t>Major</w:t>
            </w:r>
            <w:r w:rsidRPr="00100F0A">
              <w:t xml:space="preserve"> e-waste physical/chemical and manual disassembly processing facilities. Facilities receive inorganic hazardous waste, such as copper, cobalt, and lead.</w:t>
            </w:r>
          </w:p>
        </w:tc>
      </w:tr>
      <w:tr w:rsidR="001A0008" w:rsidRPr="00100F0A" w14:paraId="608996DC" w14:textId="77777777" w:rsidTr="005F2A3D">
        <w:trPr>
          <w:trHeight w:val="684"/>
        </w:trPr>
        <w:tc>
          <w:tcPr>
            <w:cnfStyle w:val="001000000000" w:firstRow="0" w:lastRow="0" w:firstColumn="1" w:lastColumn="0" w:oddVBand="0" w:evenVBand="0" w:oddHBand="0" w:evenHBand="0" w:firstRowFirstColumn="0" w:firstRowLastColumn="0" w:lastRowFirstColumn="0" w:lastRowLastColumn="0"/>
            <w:tcW w:w="858" w:type="pct"/>
            <w:vMerge/>
            <w:vAlign w:val="center"/>
          </w:tcPr>
          <w:p w14:paraId="7F6C3292" w14:textId="77777777" w:rsidR="001A0008" w:rsidRPr="00100F0A" w:rsidRDefault="001A0008" w:rsidP="005F2A3D">
            <w:pPr>
              <w:pStyle w:val="BodyText"/>
            </w:pPr>
          </w:p>
        </w:tc>
        <w:tc>
          <w:tcPr>
            <w:tcW w:w="1480" w:type="pct"/>
            <w:tcBorders>
              <w:top w:val="single" w:sz="4" w:space="0" w:color="AAABD6"/>
              <w:bottom w:val="single" w:sz="4" w:space="0" w:color="AAABD6"/>
            </w:tcBorders>
          </w:tcPr>
          <w:p w14:paraId="74DCF50F"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Oil re-refining facility</w:t>
            </w:r>
          </w:p>
        </w:tc>
        <w:tc>
          <w:tcPr>
            <w:tcW w:w="2662" w:type="pct"/>
            <w:tcBorders>
              <w:top w:val="single" w:sz="4" w:space="0" w:color="AAABD6"/>
              <w:bottom w:val="single" w:sz="4" w:space="0" w:color="AAABD6"/>
            </w:tcBorders>
            <w:vAlign w:val="center"/>
          </w:tcPr>
          <w:p w14:paraId="5BB2418D"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Facilities that re-refine (recycle) waste oil. Facilities that dewater and filter waste oil are included in oil/water treatment (OWT), see below.</w:t>
            </w:r>
          </w:p>
        </w:tc>
      </w:tr>
      <w:tr w:rsidR="001A0008" w:rsidRPr="00100F0A" w14:paraId="6CCA6DDB" w14:textId="77777777" w:rsidTr="005F2A3D">
        <w:trPr>
          <w:trHeight w:val="61"/>
        </w:trPr>
        <w:tc>
          <w:tcPr>
            <w:cnfStyle w:val="001000000000" w:firstRow="0" w:lastRow="0" w:firstColumn="1" w:lastColumn="0" w:oddVBand="0" w:evenVBand="0" w:oddHBand="0" w:evenHBand="0" w:firstRowFirstColumn="0" w:firstRowLastColumn="0" w:lastRowFirstColumn="0" w:lastRowLastColumn="0"/>
            <w:tcW w:w="858" w:type="pct"/>
            <w:vMerge/>
            <w:vAlign w:val="center"/>
          </w:tcPr>
          <w:p w14:paraId="196D718E" w14:textId="77777777" w:rsidR="001A0008" w:rsidRPr="00100F0A" w:rsidRDefault="001A0008" w:rsidP="005F2A3D">
            <w:pPr>
              <w:pStyle w:val="BodyText"/>
            </w:pPr>
          </w:p>
        </w:tc>
        <w:tc>
          <w:tcPr>
            <w:tcW w:w="1480" w:type="pct"/>
            <w:tcBorders>
              <w:top w:val="single" w:sz="4" w:space="0" w:color="AAABD6"/>
              <w:bottom w:val="single" w:sz="4" w:space="0" w:color="AAABD6"/>
            </w:tcBorders>
          </w:tcPr>
          <w:p w14:paraId="16AA2330"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Lead facility</w:t>
            </w:r>
          </w:p>
        </w:tc>
        <w:tc>
          <w:tcPr>
            <w:tcW w:w="2662" w:type="pct"/>
            <w:tcBorders>
              <w:top w:val="single" w:sz="4" w:space="0" w:color="AAABD6"/>
              <w:bottom w:val="single" w:sz="4" w:space="0" w:color="AAABD6"/>
            </w:tcBorders>
            <w:vAlign w:val="center"/>
          </w:tcPr>
          <w:p w14:paraId="1814B0AC"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Facilities that recycle lead. Typically, the lead is from used lead acid batteries.</w:t>
            </w:r>
          </w:p>
        </w:tc>
      </w:tr>
      <w:tr w:rsidR="001A0008" w:rsidRPr="00100F0A" w14:paraId="7128AD07" w14:textId="77777777" w:rsidTr="005F2A3D">
        <w:trPr>
          <w:trHeight w:val="70"/>
        </w:trPr>
        <w:tc>
          <w:tcPr>
            <w:cnfStyle w:val="001000000000" w:firstRow="0" w:lastRow="0" w:firstColumn="1" w:lastColumn="0" w:oddVBand="0" w:evenVBand="0" w:oddHBand="0" w:evenHBand="0" w:firstRowFirstColumn="0" w:firstRowLastColumn="0" w:lastRowFirstColumn="0" w:lastRowLastColumn="0"/>
            <w:tcW w:w="858" w:type="pct"/>
            <w:vMerge/>
            <w:vAlign w:val="center"/>
          </w:tcPr>
          <w:p w14:paraId="2CE54D51" w14:textId="77777777" w:rsidR="001A0008" w:rsidRPr="00100F0A" w:rsidRDefault="001A0008" w:rsidP="005F2A3D">
            <w:pPr>
              <w:pStyle w:val="BodyText"/>
            </w:pPr>
          </w:p>
        </w:tc>
        <w:tc>
          <w:tcPr>
            <w:tcW w:w="1480" w:type="pct"/>
            <w:tcBorders>
              <w:top w:val="single" w:sz="4" w:space="0" w:color="AAABD6"/>
              <w:bottom w:val="single" w:sz="4" w:space="0" w:color="AAABD6"/>
            </w:tcBorders>
            <w:shd w:val="clear" w:color="auto" w:fill="auto"/>
          </w:tcPr>
          <w:p w14:paraId="73D3DF7C"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Zinc facility</w:t>
            </w:r>
            <w:r>
              <w:t>*</w:t>
            </w:r>
          </w:p>
        </w:tc>
        <w:tc>
          <w:tcPr>
            <w:tcW w:w="2662" w:type="pct"/>
            <w:tcBorders>
              <w:top w:val="single" w:sz="4" w:space="0" w:color="AAABD6"/>
              <w:bottom w:val="single" w:sz="4" w:space="0" w:color="AAABD6"/>
            </w:tcBorders>
            <w:shd w:val="clear" w:color="auto" w:fill="auto"/>
            <w:vAlign w:val="center"/>
          </w:tcPr>
          <w:p w14:paraId="223187B1"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 xml:space="preserve">Currently this group is limited to the Nyrstar Port Pirie multi-metals recovery plant (which processes lead rich concentrates and smelting industry by-products) including waste generated by Nyrstar’s zinc smelter in Hobart. </w:t>
            </w:r>
          </w:p>
          <w:p w14:paraId="612F5DA7"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A307F3">
              <w:t>Note:</w:t>
            </w:r>
            <w:r w:rsidRPr="00100F0A">
              <w:t xml:space="preserve"> due to this group being limited to the Nyrstar Port Pirie facility which is treating waste mostly from Nyrstar Hobart, </w:t>
            </w:r>
            <w:r w:rsidRPr="00A307F3">
              <w:t>no needs versus capacity assessment is provided for this infrastructure group</w:t>
            </w:r>
            <w:r w:rsidRPr="00374B58">
              <w:t>.</w:t>
            </w:r>
            <w:r w:rsidRPr="00100F0A">
              <w:t xml:space="preserve"> Nyrstar Port Pirie reports unconstrained capacity to recycle all lead</w:t>
            </w:r>
            <w:r>
              <w:t>-</w:t>
            </w:r>
            <w:r w:rsidRPr="00100F0A">
              <w:t>rich waste from their Hobart operations.</w:t>
            </w:r>
          </w:p>
        </w:tc>
      </w:tr>
      <w:tr w:rsidR="001A0008" w:rsidRPr="00100F0A" w14:paraId="25C7F411" w14:textId="77777777" w:rsidTr="005F2A3D">
        <w:trPr>
          <w:trHeight w:val="470"/>
        </w:trPr>
        <w:tc>
          <w:tcPr>
            <w:cnfStyle w:val="001000000000" w:firstRow="0" w:lastRow="0" w:firstColumn="1" w:lastColumn="0" w:oddVBand="0" w:evenVBand="0" w:oddHBand="0" w:evenHBand="0" w:firstRowFirstColumn="0" w:firstRowLastColumn="0" w:lastRowFirstColumn="0" w:lastRowLastColumn="0"/>
            <w:tcW w:w="858" w:type="pct"/>
            <w:vMerge/>
            <w:vAlign w:val="center"/>
          </w:tcPr>
          <w:p w14:paraId="4082CBD2" w14:textId="77777777" w:rsidR="001A0008" w:rsidRPr="00100F0A" w:rsidRDefault="001A0008" w:rsidP="005F2A3D">
            <w:pPr>
              <w:pStyle w:val="BodyText"/>
            </w:pPr>
          </w:p>
        </w:tc>
        <w:tc>
          <w:tcPr>
            <w:tcW w:w="1480" w:type="pct"/>
            <w:tcBorders>
              <w:top w:val="single" w:sz="4" w:space="0" w:color="AAABD6"/>
              <w:bottom w:val="single" w:sz="4" w:space="0" w:color="AAABD6"/>
            </w:tcBorders>
          </w:tcPr>
          <w:p w14:paraId="74D20EE1"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Mercury facility</w:t>
            </w:r>
          </w:p>
        </w:tc>
        <w:tc>
          <w:tcPr>
            <w:tcW w:w="2662" w:type="pct"/>
            <w:tcBorders>
              <w:top w:val="single" w:sz="4" w:space="0" w:color="AAABD6"/>
              <w:bottom w:val="single" w:sz="4" w:space="0" w:color="AAABD6"/>
            </w:tcBorders>
            <w:vAlign w:val="center"/>
          </w:tcPr>
          <w:p w14:paraId="3991B48A"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 xml:space="preserve">Facilities that recycle mercury from used fluorescent light fittings and or oil and gas mining spent catalysts. </w:t>
            </w:r>
          </w:p>
        </w:tc>
      </w:tr>
      <w:tr w:rsidR="001A0008" w:rsidRPr="00100F0A" w14:paraId="07F816D5" w14:textId="77777777" w:rsidTr="005F2A3D">
        <w:trPr>
          <w:trHeight w:val="350"/>
        </w:trPr>
        <w:tc>
          <w:tcPr>
            <w:cnfStyle w:val="001000000000" w:firstRow="0" w:lastRow="0" w:firstColumn="1" w:lastColumn="0" w:oddVBand="0" w:evenVBand="0" w:oddHBand="0" w:evenHBand="0" w:firstRowFirstColumn="0" w:firstRowLastColumn="0" w:lastRowFirstColumn="0" w:lastRowLastColumn="0"/>
            <w:tcW w:w="858" w:type="pct"/>
            <w:vMerge/>
            <w:vAlign w:val="center"/>
          </w:tcPr>
          <w:p w14:paraId="02EAF32A" w14:textId="77777777" w:rsidR="001A0008" w:rsidRPr="00100F0A" w:rsidRDefault="001A0008" w:rsidP="005F2A3D">
            <w:pPr>
              <w:pStyle w:val="BodyText"/>
            </w:pPr>
          </w:p>
        </w:tc>
        <w:tc>
          <w:tcPr>
            <w:tcW w:w="1480" w:type="pct"/>
            <w:tcBorders>
              <w:top w:val="single" w:sz="4" w:space="0" w:color="AAABD6"/>
              <w:bottom w:val="single" w:sz="4" w:space="0" w:color="AAABD6"/>
            </w:tcBorders>
          </w:tcPr>
          <w:p w14:paraId="0A7F5493"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Solvents/paints/organic chemicals facility</w:t>
            </w:r>
          </w:p>
        </w:tc>
        <w:tc>
          <w:tcPr>
            <w:tcW w:w="2662" w:type="pct"/>
            <w:tcBorders>
              <w:top w:val="single" w:sz="4" w:space="0" w:color="AAABD6"/>
              <w:bottom w:val="single" w:sz="4" w:space="0" w:color="AAABD6"/>
            </w:tcBorders>
            <w:vAlign w:val="center"/>
          </w:tcPr>
          <w:p w14:paraId="51DC355D"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Facilities that recycle paints, resins, inks, organic sludges and/or organic solvents, but not for energy recovery.</w:t>
            </w:r>
          </w:p>
        </w:tc>
      </w:tr>
      <w:tr w:rsidR="001A0008" w:rsidRPr="00100F0A" w14:paraId="0C21ABA1" w14:textId="77777777" w:rsidTr="005F2A3D">
        <w:trPr>
          <w:trHeight w:val="533"/>
        </w:trPr>
        <w:tc>
          <w:tcPr>
            <w:cnfStyle w:val="001000000000" w:firstRow="0" w:lastRow="0" w:firstColumn="1" w:lastColumn="0" w:oddVBand="0" w:evenVBand="0" w:oddHBand="0" w:evenHBand="0" w:firstRowFirstColumn="0" w:firstRowLastColumn="0" w:lastRowFirstColumn="0" w:lastRowLastColumn="0"/>
            <w:tcW w:w="858" w:type="pct"/>
            <w:vMerge/>
            <w:vAlign w:val="center"/>
          </w:tcPr>
          <w:p w14:paraId="53909CB4" w14:textId="77777777" w:rsidR="001A0008" w:rsidRPr="00100F0A" w:rsidRDefault="001A0008" w:rsidP="005F2A3D">
            <w:pPr>
              <w:pStyle w:val="BodyText"/>
            </w:pPr>
          </w:p>
        </w:tc>
        <w:tc>
          <w:tcPr>
            <w:tcW w:w="1480" w:type="pct"/>
            <w:tcBorders>
              <w:top w:val="single" w:sz="4" w:space="0" w:color="AAABD6"/>
              <w:bottom w:val="single" w:sz="4" w:space="0" w:color="AAABD6"/>
            </w:tcBorders>
          </w:tcPr>
          <w:p w14:paraId="6DD88F7D"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Organics processing facility</w:t>
            </w:r>
          </w:p>
        </w:tc>
        <w:tc>
          <w:tcPr>
            <w:tcW w:w="2662" w:type="pct"/>
            <w:tcBorders>
              <w:top w:val="single" w:sz="4" w:space="0" w:color="AAABD6"/>
              <w:bottom w:val="single" w:sz="4" w:space="0" w:color="AAABD6"/>
            </w:tcBorders>
            <w:vAlign w:val="center"/>
          </w:tcPr>
          <w:p w14:paraId="2805900B"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 xml:space="preserve">Facilities that recycle a range of low hazard organic waste such as grease trap waste, cooking oil, animal effluents, etc. </w:t>
            </w:r>
          </w:p>
          <w:p w14:paraId="7873C38B"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A307F3">
              <w:rPr>
                <w:color w:val="000000"/>
              </w:rPr>
              <w:t>Capacity data coverage limitation</w:t>
            </w:r>
            <w:r w:rsidRPr="00374B58">
              <w:rPr>
                <w:color w:val="000000"/>
              </w:rPr>
              <w:t>:</w:t>
            </w:r>
            <w:r w:rsidRPr="00100F0A">
              <w:rPr>
                <w:color w:val="000000"/>
              </w:rPr>
              <w:t xml:space="preserve"> composting facilities are excluded from the database. This group refers to</w:t>
            </w:r>
            <w:r w:rsidRPr="00100F0A">
              <w:rPr>
                <w:rFonts w:asciiTheme="minorHAnsi" w:hAnsiTheme="minorHAnsi" w:cs="Calibri"/>
                <w:i/>
              </w:rPr>
              <w:t xml:space="preserve"> </w:t>
            </w:r>
            <w:r w:rsidRPr="00100F0A">
              <w:rPr>
                <w:rFonts w:asciiTheme="minorHAnsi" w:hAnsiTheme="minorHAnsi" w:cs="Calibri"/>
              </w:rPr>
              <w:t xml:space="preserve">facilities that treat grease trap waste and other similar waste. </w:t>
            </w:r>
          </w:p>
        </w:tc>
      </w:tr>
      <w:tr w:rsidR="001A0008" w:rsidRPr="00100F0A" w14:paraId="2BBE60E0" w14:textId="77777777" w:rsidTr="005F2A3D">
        <w:trPr>
          <w:trHeight w:val="66"/>
        </w:trPr>
        <w:tc>
          <w:tcPr>
            <w:cnfStyle w:val="001000000000" w:firstRow="0" w:lastRow="0" w:firstColumn="1" w:lastColumn="0" w:oddVBand="0" w:evenVBand="0" w:oddHBand="0" w:evenHBand="0" w:firstRowFirstColumn="0" w:firstRowLastColumn="0" w:lastRowFirstColumn="0" w:lastRowLastColumn="0"/>
            <w:tcW w:w="858" w:type="pct"/>
            <w:vMerge/>
            <w:vAlign w:val="center"/>
          </w:tcPr>
          <w:p w14:paraId="02C1E3FC" w14:textId="77777777" w:rsidR="001A0008" w:rsidRPr="00100F0A" w:rsidRDefault="001A0008" w:rsidP="005F2A3D">
            <w:pPr>
              <w:pStyle w:val="BodyText"/>
            </w:pPr>
          </w:p>
        </w:tc>
        <w:tc>
          <w:tcPr>
            <w:tcW w:w="1480" w:type="pct"/>
            <w:tcBorders>
              <w:top w:val="single" w:sz="4" w:space="0" w:color="AAABD6"/>
              <w:bottom w:val="single" w:sz="4" w:space="0" w:color="AAABD6"/>
            </w:tcBorders>
            <w:shd w:val="clear" w:color="auto" w:fill="auto"/>
          </w:tcPr>
          <w:p w14:paraId="6353D944"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t>EOLT</w:t>
            </w:r>
            <w:r w:rsidRPr="00100F0A">
              <w:t xml:space="preserve"> facility</w:t>
            </w:r>
            <w:r>
              <w:t>*</w:t>
            </w:r>
          </w:p>
        </w:tc>
        <w:tc>
          <w:tcPr>
            <w:tcW w:w="2662" w:type="pct"/>
            <w:tcBorders>
              <w:top w:val="single" w:sz="4" w:space="0" w:color="AAABD6"/>
              <w:bottom w:val="single" w:sz="4" w:space="0" w:color="AAABD6"/>
            </w:tcBorders>
            <w:shd w:val="clear" w:color="auto" w:fill="auto"/>
            <w:vAlign w:val="center"/>
          </w:tcPr>
          <w:p w14:paraId="22C2F1AE"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 xml:space="preserve">Facilities that recycle end-of-life-tyres (EOLT) including facilities that partially process EOLT for export and processing overseas. </w:t>
            </w:r>
          </w:p>
        </w:tc>
      </w:tr>
      <w:tr w:rsidR="001A0008" w:rsidRPr="00100F0A" w14:paraId="46F68254" w14:textId="77777777" w:rsidTr="005F2A3D">
        <w:trPr>
          <w:trHeight w:val="261"/>
        </w:trPr>
        <w:tc>
          <w:tcPr>
            <w:cnfStyle w:val="001000000000" w:firstRow="0" w:lastRow="0" w:firstColumn="1" w:lastColumn="0" w:oddVBand="0" w:evenVBand="0" w:oddHBand="0" w:evenHBand="0" w:firstRowFirstColumn="0" w:firstRowLastColumn="0" w:lastRowFirstColumn="0" w:lastRowLastColumn="0"/>
            <w:tcW w:w="858" w:type="pct"/>
            <w:vMerge/>
            <w:tcBorders>
              <w:bottom w:val="single" w:sz="4" w:space="0" w:color="AAABD6"/>
            </w:tcBorders>
            <w:vAlign w:val="center"/>
          </w:tcPr>
          <w:p w14:paraId="419741D9" w14:textId="77777777" w:rsidR="001A0008" w:rsidRPr="00100F0A" w:rsidRDefault="001A0008" w:rsidP="005F2A3D">
            <w:pPr>
              <w:pStyle w:val="BodyText"/>
            </w:pPr>
          </w:p>
        </w:tc>
        <w:tc>
          <w:tcPr>
            <w:tcW w:w="1480" w:type="pct"/>
            <w:tcBorders>
              <w:top w:val="single" w:sz="4" w:space="0" w:color="AAABD6"/>
              <w:bottom w:val="single" w:sz="4" w:space="0" w:color="AAABD6"/>
            </w:tcBorders>
          </w:tcPr>
          <w:p w14:paraId="62C5FED1"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t>SPL</w:t>
            </w:r>
            <w:r w:rsidRPr="00100F0A">
              <w:t xml:space="preserve"> facility</w:t>
            </w:r>
          </w:p>
        </w:tc>
        <w:tc>
          <w:tcPr>
            <w:tcW w:w="2662" w:type="pct"/>
            <w:tcBorders>
              <w:top w:val="single" w:sz="4" w:space="0" w:color="AAABD6"/>
              <w:bottom w:val="single" w:sz="4" w:space="0" w:color="AAABD6"/>
            </w:tcBorders>
            <w:vAlign w:val="center"/>
          </w:tcPr>
          <w:p w14:paraId="60CD81B9"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 xml:space="preserve">Facilities that recycle </w:t>
            </w:r>
            <w:r>
              <w:t>SPL</w:t>
            </w:r>
            <w:r w:rsidRPr="00100F0A">
              <w:t xml:space="preserve"> waste from the aluminium industry.</w:t>
            </w:r>
          </w:p>
        </w:tc>
      </w:tr>
      <w:tr w:rsidR="001A0008" w:rsidRPr="00100F0A" w14:paraId="2F6AC27A" w14:textId="77777777" w:rsidTr="005F2A3D">
        <w:trPr>
          <w:trHeight w:val="127"/>
        </w:trPr>
        <w:tc>
          <w:tcPr>
            <w:cnfStyle w:val="001000000000" w:firstRow="0" w:lastRow="0" w:firstColumn="1" w:lastColumn="0" w:oddVBand="0" w:evenVBand="0" w:oddHBand="0" w:evenHBand="0" w:firstRowFirstColumn="0" w:firstRowLastColumn="0" w:lastRowFirstColumn="0" w:lastRowLastColumn="0"/>
            <w:tcW w:w="858" w:type="pct"/>
            <w:tcBorders>
              <w:top w:val="single" w:sz="4" w:space="0" w:color="AAABD6"/>
              <w:bottom w:val="single" w:sz="4" w:space="0" w:color="AAABD6"/>
            </w:tcBorders>
            <w:vAlign w:val="center"/>
          </w:tcPr>
          <w:p w14:paraId="79F2AE79" w14:textId="77777777" w:rsidR="001A0008" w:rsidRPr="00100F0A" w:rsidRDefault="001A0008" w:rsidP="005F2A3D">
            <w:pPr>
              <w:pStyle w:val="BodyText"/>
            </w:pPr>
            <w:r w:rsidRPr="00100F0A">
              <w:rPr>
                <w:b/>
                <w:bCs/>
              </w:rPr>
              <w:t>Energy recovery</w:t>
            </w:r>
          </w:p>
        </w:tc>
        <w:tc>
          <w:tcPr>
            <w:tcW w:w="1480" w:type="pct"/>
            <w:tcBorders>
              <w:top w:val="single" w:sz="4" w:space="0" w:color="AAABD6"/>
              <w:bottom w:val="single" w:sz="4" w:space="0" w:color="AAABD6"/>
            </w:tcBorders>
          </w:tcPr>
          <w:p w14:paraId="6E1C4F9D"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Energy recovery</w:t>
            </w:r>
          </w:p>
        </w:tc>
        <w:tc>
          <w:tcPr>
            <w:tcW w:w="2662" w:type="pct"/>
            <w:tcBorders>
              <w:top w:val="single" w:sz="4" w:space="0" w:color="AAABD6"/>
              <w:bottom w:val="single" w:sz="4" w:space="0" w:color="AAABD6"/>
            </w:tcBorders>
            <w:vAlign w:val="center"/>
          </w:tcPr>
          <w:p w14:paraId="4F273D62"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Facilities that recover or use solvents, paints or other hazardous waste with calorific value for energy recovery on-site or elsewhere (e.g. a cement facility).</w:t>
            </w:r>
          </w:p>
        </w:tc>
      </w:tr>
      <w:tr w:rsidR="001A0008" w:rsidRPr="00100F0A" w14:paraId="5CA56E39" w14:textId="77777777" w:rsidTr="005F2A3D">
        <w:trPr>
          <w:trHeight w:val="1645"/>
        </w:trPr>
        <w:tc>
          <w:tcPr>
            <w:cnfStyle w:val="001000000000" w:firstRow="0" w:lastRow="0" w:firstColumn="1" w:lastColumn="0" w:oddVBand="0" w:evenVBand="0" w:oddHBand="0" w:evenHBand="0" w:firstRowFirstColumn="0" w:firstRowLastColumn="0" w:lastRowFirstColumn="0" w:lastRowLastColumn="0"/>
            <w:tcW w:w="858" w:type="pct"/>
            <w:vMerge w:val="restart"/>
            <w:tcBorders>
              <w:top w:val="single" w:sz="4" w:space="0" w:color="AAABD6"/>
            </w:tcBorders>
            <w:vAlign w:val="center"/>
          </w:tcPr>
          <w:p w14:paraId="2DB38F0C" w14:textId="77777777" w:rsidR="001A0008" w:rsidRPr="00100F0A" w:rsidRDefault="001A0008" w:rsidP="005F2A3D">
            <w:pPr>
              <w:pStyle w:val="BodyText"/>
            </w:pPr>
            <w:r w:rsidRPr="00100F0A">
              <w:rPr>
                <w:b/>
                <w:bCs/>
              </w:rPr>
              <w:t>Treatment</w:t>
            </w:r>
          </w:p>
          <w:p w14:paraId="5C839932" w14:textId="77777777" w:rsidR="001A0008" w:rsidRPr="00100F0A" w:rsidRDefault="001A0008" w:rsidP="005F2A3D">
            <w:pPr>
              <w:pStyle w:val="BodyText"/>
            </w:pPr>
            <w:r w:rsidRPr="00100F0A">
              <w:rPr>
                <w:b/>
                <w:bCs/>
              </w:rPr>
              <w:t> </w:t>
            </w:r>
          </w:p>
          <w:p w14:paraId="3F990B33" w14:textId="77777777" w:rsidR="001A0008" w:rsidRPr="00100F0A" w:rsidRDefault="001A0008" w:rsidP="005F2A3D">
            <w:pPr>
              <w:pStyle w:val="BodyText"/>
            </w:pPr>
            <w:r w:rsidRPr="00100F0A">
              <w:rPr>
                <w:b/>
                <w:bCs/>
              </w:rPr>
              <w:t> </w:t>
            </w:r>
          </w:p>
          <w:p w14:paraId="6D4F7CEA" w14:textId="77777777" w:rsidR="001A0008" w:rsidRPr="00100F0A" w:rsidRDefault="001A0008" w:rsidP="005F2A3D">
            <w:pPr>
              <w:pStyle w:val="BodyText"/>
            </w:pPr>
            <w:r w:rsidRPr="00100F0A">
              <w:rPr>
                <w:b/>
                <w:bCs/>
              </w:rPr>
              <w:t> </w:t>
            </w:r>
          </w:p>
          <w:p w14:paraId="1D781199" w14:textId="77777777" w:rsidR="001A0008" w:rsidRPr="00100F0A" w:rsidRDefault="001A0008" w:rsidP="005F2A3D">
            <w:pPr>
              <w:pStyle w:val="BodyText"/>
            </w:pPr>
            <w:r w:rsidRPr="00100F0A">
              <w:rPr>
                <w:b/>
                <w:bCs/>
              </w:rPr>
              <w:t> </w:t>
            </w:r>
          </w:p>
        </w:tc>
        <w:tc>
          <w:tcPr>
            <w:tcW w:w="1480" w:type="pct"/>
            <w:tcBorders>
              <w:top w:val="single" w:sz="4" w:space="0" w:color="AAABD6"/>
              <w:bottom w:val="single" w:sz="4" w:space="0" w:color="AAABD6"/>
            </w:tcBorders>
          </w:tcPr>
          <w:p w14:paraId="2247E656"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Chemical</w:t>
            </w:r>
            <w:r>
              <w:t xml:space="preserve"> or</w:t>
            </w:r>
            <w:r w:rsidRPr="00100F0A">
              <w:t xml:space="preserve"> physical treatment (CPT) plant</w:t>
            </w:r>
          </w:p>
        </w:tc>
        <w:tc>
          <w:tcPr>
            <w:tcW w:w="2662" w:type="pct"/>
            <w:tcBorders>
              <w:top w:val="single" w:sz="4" w:space="0" w:color="AAABD6"/>
              <w:bottom w:val="single" w:sz="4" w:space="0" w:color="AAABD6"/>
            </w:tcBorders>
            <w:vAlign w:val="center"/>
          </w:tcPr>
          <w:p w14:paraId="3B5C3D38"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Sophisticated facilities developed with significant capital to apply chemical and physical treatments to a broad range of waste. Often licensed to receive almost all NEPM 15 waste codes. Processes can include many chemical treatments (e.g. oxidation, reduction, precipitation, neutralisation, etc.) and physical treatments (e.g. sedimentation, filtration, adsorption, immobilisation, etc.)</w:t>
            </w:r>
          </w:p>
        </w:tc>
      </w:tr>
      <w:tr w:rsidR="001A0008" w:rsidRPr="00100F0A" w14:paraId="245089C2" w14:textId="77777777" w:rsidTr="005F2A3D">
        <w:trPr>
          <w:trHeight w:val="42"/>
        </w:trPr>
        <w:tc>
          <w:tcPr>
            <w:cnfStyle w:val="001000000000" w:firstRow="0" w:lastRow="0" w:firstColumn="1" w:lastColumn="0" w:oddVBand="0" w:evenVBand="0" w:oddHBand="0" w:evenHBand="0" w:firstRowFirstColumn="0" w:firstRowLastColumn="0" w:lastRowFirstColumn="0" w:lastRowLastColumn="0"/>
            <w:tcW w:w="858" w:type="pct"/>
            <w:vMerge/>
            <w:vAlign w:val="center"/>
          </w:tcPr>
          <w:p w14:paraId="51827B97" w14:textId="77777777" w:rsidR="001A0008" w:rsidRPr="00100F0A" w:rsidRDefault="001A0008" w:rsidP="005F2A3D">
            <w:pPr>
              <w:pStyle w:val="BodyText"/>
            </w:pPr>
          </w:p>
        </w:tc>
        <w:tc>
          <w:tcPr>
            <w:tcW w:w="1480" w:type="pct"/>
            <w:tcBorders>
              <w:top w:val="single" w:sz="4" w:space="0" w:color="AAABD6"/>
              <w:bottom w:val="single" w:sz="4" w:space="0" w:color="AAABD6"/>
            </w:tcBorders>
          </w:tcPr>
          <w:p w14:paraId="15CC2580"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Clinical waste treatment facility</w:t>
            </w:r>
          </w:p>
        </w:tc>
        <w:tc>
          <w:tcPr>
            <w:tcW w:w="2662" w:type="pct"/>
            <w:tcBorders>
              <w:top w:val="single" w:sz="4" w:space="0" w:color="AAABD6"/>
              <w:bottom w:val="single" w:sz="4" w:space="0" w:color="AAABD6"/>
            </w:tcBorders>
            <w:vAlign w:val="center"/>
          </w:tcPr>
          <w:p w14:paraId="53C76A94"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Facilities that treat clinical waste typically using an autoclave.</w:t>
            </w:r>
          </w:p>
        </w:tc>
      </w:tr>
      <w:tr w:rsidR="001A0008" w:rsidRPr="00100F0A" w14:paraId="4393B1FB" w14:textId="77777777" w:rsidTr="005F2A3D">
        <w:trPr>
          <w:trHeight w:val="813"/>
        </w:trPr>
        <w:tc>
          <w:tcPr>
            <w:cnfStyle w:val="001000000000" w:firstRow="0" w:lastRow="0" w:firstColumn="1" w:lastColumn="0" w:oddVBand="0" w:evenVBand="0" w:oddHBand="0" w:evenHBand="0" w:firstRowFirstColumn="0" w:firstRowLastColumn="0" w:lastRowFirstColumn="0" w:lastRowLastColumn="0"/>
            <w:tcW w:w="858" w:type="pct"/>
            <w:vMerge/>
            <w:vAlign w:val="center"/>
          </w:tcPr>
          <w:p w14:paraId="40C190B9" w14:textId="77777777" w:rsidR="001A0008" w:rsidRPr="00100F0A" w:rsidRDefault="001A0008" w:rsidP="005F2A3D">
            <w:pPr>
              <w:pStyle w:val="BodyText"/>
            </w:pPr>
          </w:p>
        </w:tc>
        <w:tc>
          <w:tcPr>
            <w:tcW w:w="1480" w:type="pct"/>
            <w:tcBorders>
              <w:top w:val="single" w:sz="4" w:space="0" w:color="AAABD6"/>
              <w:bottom w:val="single" w:sz="4" w:space="0" w:color="AAABD6"/>
            </w:tcBorders>
            <w:shd w:val="clear" w:color="auto" w:fill="auto"/>
          </w:tcPr>
          <w:p w14:paraId="5CD9DA5A"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Bioremediation facility</w:t>
            </w:r>
            <w:r>
              <w:t>*</w:t>
            </w:r>
          </w:p>
        </w:tc>
        <w:tc>
          <w:tcPr>
            <w:tcW w:w="2662" w:type="pct"/>
            <w:tcBorders>
              <w:top w:val="single" w:sz="4" w:space="0" w:color="AAABD6"/>
              <w:bottom w:val="single" w:sz="4" w:space="0" w:color="AAABD6"/>
            </w:tcBorders>
            <w:shd w:val="clear" w:color="auto" w:fill="auto"/>
          </w:tcPr>
          <w:p w14:paraId="2C9AA409"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Temporary or permanent facilities that treat hazardous waste by land-farming or bioremediation. Often does not generate a useful product for sale.</w:t>
            </w:r>
            <w:r>
              <w:t xml:space="preserve"> </w:t>
            </w:r>
            <w:r w:rsidRPr="00A307F3">
              <w:rPr>
                <w:color w:val="000000"/>
              </w:rPr>
              <w:t>Capacity data coverage limitation</w:t>
            </w:r>
            <w:r w:rsidRPr="00374B58">
              <w:rPr>
                <w:color w:val="000000"/>
              </w:rPr>
              <w:t>:</w:t>
            </w:r>
            <w:r w:rsidRPr="00100F0A">
              <w:rPr>
                <w:color w:val="000000"/>
              </w:rPr>
              <w:t xml:space="preserve"> composting facilities are excluded from the database. This group is intended to refer to</w:t>
            </w:r>
            <w:r w:rsidRPr="00100F0A">
              <w:rPr>
                <w:rFonts w:asciiTheme="minorHAnsi" w:hAnsiTheme="minorHAnsi" w:cs="Calibri"/>
                <w:i/>
              </w:rPr>
              <w:t xml:space="preserve"> </w:t>
            </w:r>
            <w:r w:rsidRPr="00100F0A">
              <w:rPr>
                <w:rFonts w:asciiTheme="minorHAnsi" w:hAnsiTheme="minorHAnsi" w:cs="Calibri"/>
              </w:rPr>
              <w:t>facilities that treat hazardous waste th</w:t>
            </w:r>
            <w:r>
              <w:rPr>
                <w:rFonts w:asciiTheme="minorHAnsi" w:hAnsiTheme="minorHAnsi" w:cs="Calibri"/>
              </w:rPr>
              <w:t>r</w:t>
            </w:r>
            <w:r w:rsidRPr="00100F0A">
              <w:rPr>
                <w:rFonts w:asciiTheme="minorHAnsi" w:hAnsiTheme="minorHAnsi" w:cs="Calibri"/>
              </w:rPr>
              <w:t xml:space="preserve">ough biodegradation that are not generating compost for sale. However, many commercial composting facilities are licenced to receive low level hazardous waste which </w:t>
            </w:r>
            <w:r>
              <w:rPr>
                <w:rFonts w:asciiTheme="minorHAnsi" w:hAnsiTheme="minorHAnsi" w:cs="Calibri"/>
              </w:rPr>
              <w:t>is</w:t>
            </w:r>
            <w:r w:rsidRPr="00100F0A">
              <w:rPr>
                <w:rFonts w:asciiTheme="minorHAnsi" w:hAnsiTheme="minorHAnsi" w:cs="Calibri"/>
              </w:rPr>
              <w:t xml:space="preserve"> effectively bioremediated in the composting process and these facilities are not within the project scope. </w:t>
            </w:r>
          </w:p>
        </w:tc>
      </w:tr>
      <w:tr w:rsidR="001A0008" w:rsidRPr="00100F0A" w14:paraId="0568E281" w14:textId="77777777" w:rsidTr="005F2A3D">
        <w:trPr>
          <w:trHeight w:val="661"/>
        </w:trPr>
        <w:tc>
          <w:tcPr>
            <w:cnfStyle w:val="001000000000" w:firstRow="0" w:lastRow="0" w:firstColumn="1" w:lastColumn="0" w:oddVBand="0" w:evenVBand="0" w:oddHBand="0" w:evenHBand="0" w:firstRowFirstColumn="0" w:firstRowLastColumn="0" w:lastRowFirstColumn="0" w:lastRowLastColumn="0"/>
            <w:tcW w:w="858" w:type="pct"/>
            <w:vMerge/>
            <w:vAlign w:val="center"/>
          </w:tcPr>
          <w:p w14:paraId="141FB351" w14:textId="77777777" w:rsidR="001A0008" w:rsidRPr="00100F0A" w:rsidRDefault="001A0008" w:rsidP="005F2A3D">
            <w:pPr>
              <w:pStyle w:val="BodyText"/>
            </w:pPr>
          </w:p>
        </w:tc>
        <w:tc>
          <w:tcPr>
            <w:tcW w:w="1480" w:type="pct"/>
            <w:tcBorders>
              <w:top w:val="single" w:sz="4" w:space="0" w:color="AAABD6"/>
              <w:bottom w:val="single" w:sz="4" w:space="0" w:color="AAABD6"/>
            </w:tcBorders>
            <w:shd w:val="clear" w:color="auto" w:fill="auto"/>
          </w:tcPr>
          <w:p w14:paraId="1F2EE8B2"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Oil/water treatment (OWT) facility</w:t>
            </w:r>
            <w:r>
              <w:t>*</w:t>
            </w:r>
          </w:p>
        </w:tc>
        <w:tc>
          <w:tcPr>
            <w:tcW w:w="2662" w:type="pct"/>
            <w:tcBorders>
              <w:top w:val="single" w:sz="4" w:space="0" w:color="AAABD6"/>
              <w:bottom w:val="single" w:sz="4" w:space="0" w:color="AAABD6"/>
            </w:tcBorders>
            <w:shd w:val="clear" w:color="auto" w:fill="auto"/>
          </w:tcPr>
          <w:p w14:paraId="65A1A5F7"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Facilities that treat waste oil/water, hydrocarbons/water mixtures or emulsions. Recovered oils are then typically sent on to an oil re-refining facility</w:t>
            </w:r>
          </w:p>
        </w:tc>
      </w:tr>
      <w:tr w:rsidR="001A0008" w:rsidRPr="00100F0A" w14:paraId="64617A0B" w14:textId="77777777" w:rsidTr="005F2A3D">
        <w:trPr>
          <w:trHeight w:val="193"/>
        </w:trPr>
        <w:tc>
          <w:tcPr>
            <w:cnfStyle w:val="001000000000" w:firstRow="0" w:lastRow="0" w:firstColumn="1" w:lastColumn="0" w:oddVBand="0" w:evenVBand="0" w:oddHBand="0" w:evenHBand="0" w:firstRowFirstColumn="0" w:firstRowLastColumn="0" w:lastRowFirstColumn="0" w:lastRowLastColumn="0"/>
            <w:tcW w:w="858" w:type="pct"/>
            <w:vMerge/>
            <w:tcBorders>
              <w:bottom w:val="single" w:sz="4" w:space="0" w:color="AAABD6"/>
            </w:tcBorders>
            <w:vAlign w:val="center"/>
          </w:tcPr>
          <w:p w14:paraId="23C62650" w14:textId="77777777" w:rsidR="001A0008" w:rsidRPr="00100F0A" w:rsidRDefault="001A0008" w:rsidP="005F2A3D">
            <w:pPr>
              <w:pStyle w:val="BodyText"/>
            </w:pPr>
          </w:p>
        </w:tc>
        <w:tc>
          <w:tcPr>
            <w:tcW w:w="1480" w:type="pct"/>
            <w:tcBorders>
              <w:top w:val="single" w:sz="4" w:space="0" w:color="AAABD6"/>
              <w:bottom w:val="single" w:sz="4" w:space="0" w:color="AAABD6"/>
            </w:tcBorders>
          </w:tcPr>
          <w:p w14:paraId="03B88E6D"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Soils treatment facility</w:t>
            </w:r>
          </w:p>
        </w:tc>
        <w:tc>
          <w:tcPr>
            <w:tcW w:w="2662" w:type="pct"/>
            <w:tcBorders>
              <w:top w:val="single" w:sz="4" w:space="0" w:color="AAABD6"/>
              <w:bottom w:val="single" w:sz="4" w:space="0" w:color="AAABD6"/>
            </w:tcBorders>
            <w:vAlign w:val="center"/>
          </w:tcPr>
          <w:p w14:paraId="5A3CAA63"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Facilities that treat contaminated soils. Treatment processes include biodegradation and thermal destruction of contaminants.</w:t>
            </w:r>
          </w:p>
        </w:tc>
      </w:tr>
      <w:tr w:rsidR="001A0008" w:rsidRPr="00100F0A" w14:paraId="4DC962D8" w14:textId="77777777" w:rsidTr="005F2A3D">
        <w:trPr>
          <w:trHeight w:val="91"/>
        </w:trPr>
        <w:tc>
          <w:tcPr>
            <w:cnfStyle w:val="001000000000" w:firstRow="0" w:lastRow="0" w:firstColumn="1" w:lastColumn="0" w:oddVBand="0" w:evenVBand="0" w:oddHBand="0" w:evenHBand="0" w:firstRowFirstColumn="0" w:firstRowLastColumn="0" w:lastRowFirstColumn="0" w:lastRowLastColumn="0"/>
            <w:tcW w:w="858" w:type="pct"/>
            <w:vMerge w:val="restart"/>
            <w:tcBorders>
              <w:top w:val="single" w:sz="4" w:space="0" w:color="AAABD6"/>
            </w:tcBorders>
            <w:vAlign w:val="center"/>
          </w:tcPr>
          <w:p w14:paraId="0A93EF49" w14:textId="77777777" w:rsidR="001A0008" w:rsidRPr="00100F0A" w:rsidRDefault="001A0008" w:rsidP="005F2A3D">
            <w:pPr>
              <w:pStyle w:val="BodyText"/>
            </w:pPr>
            <w:r w:rsidRPr="00100F0A">
              <w:rPr>
                <w:b/>
                <w:bCs/>
              </w:rPr>
              <w:t>Disposal</w:t>
            </w:r>
          </w:p>
          <w:p w14:paraId="684F7D96" w14:textId="77777777" w:rsidR="001A0008" w:rsidRPr="00100F0A" w:rsidRDefault="001A0008" w:rsidP="005F2A3D">
            <w:pPr>
              <w:pStyle w:val="BodyText"/>
            </w:pPr>
            <w:r w:rsidRPr="00100F0A">
              <w:rPr>
                <w:b/>
                <w:bCs/>
              </w:rPr>
              <w:t> </w:t>
            </w:r>
          </w:p>
          <w:p w14:paraId="4C91DAED" w14:textId="77777777" w:rsidR="001A0008" w:rsidRPr="00100F0A" w:rsidRDefault="001A0008" w:rsidP="005F2A3D">
            <w:pPr>
              <w:pStyle w:val="BodyText"/>
            </w:pPr>
            <w:r w:rsidRPr="00100F0A">
              <w:rPr>
                <w:b/>
                <w:bCs/>
              </w:rPr>
              <w:t> </w:t>
            </w:r>
          </w:p>
          <w:p w14:paraId="1288A478" w14:textId="77777777" w:rsidR="001A0008" w:rsidRPr="00100F0A" w:rsidRDefault="001A0008" w:rsidP="005F2A3D">
            <w:pPr>
              <w:pStyle w:val="BodyText"/>
            </w:pPr>
            <w:r w:rsidRPr="00100F0A">
              <w:rPr>
                <w:b/>
                <w:bCs/>
              </w:rPr>
              <w:t> </w:t>
            </w:r>
          </w:p>
        </w:tc>
        <w:tc>
          <w:tcPr>
            <w:tcW w:w="1480" w:type="pct"/>
            <w:tcBorders>
              <w:top w:val="single" w:sz="4" w:space="0" w:color="AAABD6"/>
              <w:bottom w:val="single" w:sz="4" w:space="0" w:color="AAABD6"/>
            </w:tcBorders>
          </w:tcPr>
          <w:p w14:paraId="1F1A586D"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Hazardous waste landfill facility</w:t>
            </w:r>
          </w:p>
        </w:tc>
        <w:tc>
          <w:tcPr>
            <w:tcW w:w="2662" w:type="pct"/>
            <w:tcBorders>
              <w:top w:val="single" w:sz="4" w:space="0" w:color="AAABD6"/>
              <w:bottom w:val="single" w:sz="4" w:space="0" w:color="AAABD6"/>
            </w:tcBorders>
            <w:vAlign w:val="center"/>
          </w:tcPr>
          <w:p w14:paraId="50BF165A"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A small number of landfill facilities that are licensed to dispose of a wide range of hazardous wastes many of which can only be landfilled at these sites.</w:t>
            </w:r>
          </w:p>
        </w:tc>
      </w:tr>
      <w:tr w:rsidR="001A0008" w:rsidRPr="00100F0A" w14:paraId="7D3DBEF7" w14:textId="77777777" w:rsidTr="005F2A3D">
        <w:trPr>
          <w:trHeight w:val="1156"/>
        </w:trPr>
        <w:tc>
          <w:tcPr>
            <w:cnfStyle w:val="001000000000" w:firstRow="0" w:lastRow="0" w:firstColumn="1" w:lastColumn="0" w:oddVBand="0" w:evenVBand="0" w:oddHBand="0" w:evenHBand="0" w:firstRowFirstColumn="0" w:firstRowLastColumn="0" w:lastRowFirstColumn="0" w:lastRowLastColumn="0"/>
            <w:tcW w:w="858" w:type="pct"/>
            <w:vMerge/>
            <w:vAlign w:val="center"/>
          </w:tcPr>
          <w:p w14:paraId="41E1E4BE" w14:textId="77777777" w:rsidR="001A0008" w:rsidRPr="00100F0A" w:rsidRDefault="001A0008" w:rsidP="005F2A3D">
            <w:pPr>
              <w:pStyle w:val="BodyText"/>
            </w:pPr>
          </w:p>
        </w:tc>
        <w:tc>
          <w:tcPr>
            <w:tcW w:w="1480" w:type="pct"/>
            <w:tcBorders>
              <w:top w:val="single" w:sz="4" w:space="0" w:color="AAABD6"/>
              <w:bottom w:val="single" w:sz="4" w:space="0" w:color="AAABD6"/>
            </w:tcBorders>
          </w:tcPr>
          <w:p w14:paraId="1211128F"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Landfill facility (NEPM codes N, T)</w:t>
            </w:r>
          </w:p>
        </w:tc>
        <w:tc>
          <w:tcPr>
            <w:tcW w:w="2662" w:type="pct"/>
            <w:tcBorders>
              <w:top w:val="single" w:sz="4" w:space="0" w:color="AAABD6"/>
              <w:bottom w:val="single" w:sz="4" w:space="0" w:color="AAABD6"/>
            </w:tcBorders>
            <w:vAlign w:val="center"/>
          </w:tcPr>
          <w:p w14:paraId="3401C101" w14:textId="77777777" w:rsidR="001A0008" w:rsidRPr="00AA13F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AA13FA">
              <w:t>Landfill facilities licensed to dispose of low-risk hazardous waste such as low-level contaminated soils, asbestos, and tyres (NEPM 15 codes N and T). These landfills also generally dispose of non-hazardous waste, which typically represent</w:t>
            </w:r>
            <w:r>
              <w:t>s</w:t>
            </w:r>
            <w:r w:rsidRPr="00AA13FA">
              <w:t xml:space="preserve"> the majority of their inputs.</w:t>
            </w:r>
          </w:p>
          <w:p w14:paraId="42562106" w14:textId="77777777" w:rsidR="001A0008" w:rsidRPr="003E117E"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A307F3">
              <w:t xml:space="preserve">Capacity data for this group is excluded from database. </w:t>
            </w:r>
            <w:r w:rsidRPr="00AA13FA">
              <w:t xml:space="preserve">This infrastructure group is excluded from the </w:t>
            </w:r>
            <w:r w:rsidRPr="00AA13FA">
              <w:rPr>
                <w:i/>
              </w:rPr>
              <w:t xml:space="preserve">Hazwaste infrastructure database 2018. </w:t>
            </w:r>
            <w:r w:rsidRPr="00AA13FA">
              <w:t>Many landfills around Australia dispose</w:t>
            </w:r>
            <w:r>
              <w:t xml:space="preserve"> of</w:t>
            </w:r>
            <w:r w:rsidRPr="00AA13FA">
              <w:t xml:space="preserve"> low-level contaminated soils, asbestos and tyres. These landfills are not classified as hazardous waste landfills and are beyond the scope of this assessment. </w:t>
            </w:r>
          </w:p>
        </w:tc>
      </w:tr>
      <w:tr w:rsidR="001A0008" w:rsidRPr="00100F0A" w14:paraId="7E3E825F" w14:textId="77777777" w:rsidTr="005F2A3D">
        <w:trPr>
          <w:trHeight w:val="42"/>
        </w:trPr>
        <w:tc>
          <w:tcPr>
            <w:cnfStyle w:val="001000000000" w:firstRow="0" w:lastRow="0" w:firstColumn="1" w:lastColumn="0" w:oddVBand="0" w:evenVBand="0" w:oddHBand="0" w:evenHBand="0" w:firstRowFirstColumn="0" w:firstRowLastColumn="0" w:lastRowFirstColumn="0" w:lastRowLastColumn="0"/>
            <w:tcW w:w="858" w:type="pct"/>
            <w:vMerge/>
            <w:vAlign w:val="center"/>
          </w:tcPr>
          <w:p w14:paraId="44D3F720" w14:textId="77777777" w:rsidR="001A0008" w:rsidRPr="00100F0A" w:rsidRDefault="001A0008" w:rsidP="005F2A3D">
            <w:pPr>
              <w:pStyle w:val="BodyText"/>
            </w:pPr>
          </w:p>
        </w:tc>
        <w:tc>
          <w:tcPr>
            <w:tcW w:w="1480" w:type="pct"/>
            <w:tcBorders>
              <w:top w:val="single" w:sz="4" w:space="0" w:color="AAABD6"/>
              <w:bottom w:val="single" w:sz="4" w:space="0" w:color="AAABD6"/>
            </w:tcBorders>
          </w:tcPr>
          <w:p w14:paraId="12BC67F6"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Persistent organic pollutants thermal destruction facility</w:t>
            </w:r>
          </w:p>
        </w:tc>
        <w:tc>
          <w:tcPr>
            <w:tcW w:w="2662" w:type="pct"/>
            <w:tcBorders>
              <w:top w:val="single" w:sz="4" w:space="0" w:color="AAABD6"/>
              <w:bottom w:val="single" w:sz="4" w:space="0" w:color="AAABD6"/>
            </w:tcBorders>
            <w:vAlign w:val="center"/>
          </w:tcPr>
          <w:p w14:paraId="60ECF9F8"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Facilities able to destroy persistent organic compounds or pollutants (</w:t>
            </w:r>
            <w:r>
              <w:t>POP</w:t>
            </w:r>
            <w:r w:rsidRPr="00100F0A">
              <w:t>) by thermal destruction.</w:t>
            </w:r>
          </w:p>
        </w:tc>
      </w:tr>
      <w:tr w:rsidR="001A0008" w:rsidRPr="00100F0A" w14:paraId="14873351" w14:textId="77777777" w:rsidTr="005F2A3D">
        <w:trPr>
          <w:trHeight w:val="42"/>
        </w:trPr>
        <w:tc>
          <w:tcPr>
            <w:cnfStyle w:val="001000000000" w:firstRow="0" w:lastRow="0" w:firstColumn="1" w:lastColumn="0" w:oddVBand="0" w:evenVBand="0" w:oddHBand="0" w:evenHBand="0" w:firstRowFirstColumn="0" w:firstRowLastColumn="0" w:lastRowFirstColumn="0" w:lastRowLastColumn="0"/>
            <w:tcW w:w="858" w:type="pct"/>
            <w:vMerge/>
            <w:tcBorders>
              <w:bottom w:val="single" w:sz="4" w:space="0" w:color="AAABD6"/>
            </w:tcBorders>
            <w:vAlign w:val="center"/>
          </w:tcPr>
          <w:p w14:paraId="3F1C6A34" w14:textId="77777777" w:rsidR="001A0008" w:rsidRPr="00100F0A" w:rsidRDefault="001A0008" w:rsidP="005F2A3D">
            <w:pPr>
              <w:pStyle w:val="BodyText"/>
            </w:pPr>
          </w:p>
        </w:tc>
        <w:tc>
          <w:tcPr>
            <w:tcW w:w="1480" w:type="pct"/>
            <w:tcBorders>
              <w:top w:val="single" w:sz="4" w:space="0" w:color="AAABD6"/>
              <w:bottom w:val="single" w:sz="4" w:space="0" w:color="AAABD6"/>
            </w:tcBorders>
          </w:tcPr>
          <w:p w14:paraId="402311C0"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Clinical waste facility thermal destruction</w:t>
            </w:r>
          </w:p>
        </w:tc>
        <w:tc>
          <w:tcPr>
            <w:tcW w:w="2662" w:type="pct"/>
            <w:tcBorders>
              <w:top w:val="single" w:sz="4" w:space="0" w:color="AAABD6"/>
              <w:bottom w:val="single" w:sz="4" w:space="0" w:color="AAABD6"/>
            </w:tcBorders>
            <w:vAlign w:val="center"/>
          </w:tcPr>
          <w:p w14:paraId="1C6CC9D2"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Facilities that dispose of medical waste by thermal destruction.</w:t>
            </w:r>
          </w:p>
        </w:tc>
      </w:tr>
      <w:tr w:rsidR="001A0008" w:rsidRPr="00100F0A" w14:paraId="2D20ED47" w14:textId="77777777" w:rsidTr="005F2A3D">
        <w:trPr>
          <w:trHeight w:val="61"/>
        </w:trPr>
        <w:tc>
          <w:tcPr>
            <w:cnfStyle w:val="001000000000" w:firstRow="0" w:lastRow="0" w:firstColumn="1" w:lastColumn="0" w:oddVBand="0" w:evenVBand="0" w:oddHBand="0" w:evenHBand="0" w:firstRowFirstColumn="0" w:firstRowLastColumn="0" w:lastRowFirstColumn="0" w:lastRowLastColumn="0"/>
            <w:tcW w:w="858" w:type="pct"/>
            <w:tcBorders>
              <w:top w:val="single" w:sz="4" w:space="0" w:color="AAABD6"/>
              <w:bottom w:val="single" w:sz="4" w:space="0" w:color="AAABD6"/>
            </w:tcBorders>
            <w:vAlign w:val="center"/>
          </w:tcPr>
          <w:p w14:paraId="21C85C7B" w14:textId="77777777" w:rsidR="001A0008" w:rsidRPr="00100F0A" w:rsidRDefault="001A0008" w:rsidP="005F2A3D">
            <w:pPr>
              <w:pStyle w:val="BodyText"/>
            </w:pPr>
            <w:r w:rsidRPr="00100F0A">
              <w:rPr>
                <w:b/>
                <w:bCs/>
              </w:rPr>
              <w:t>Short-term storage or transfer</w:t>
            </w:r>
          </w:p>
        </w:tc>
        <w:tc>
          <w:tcPr>
            <w:tcW w:w="1480" w:type="pct"/>
            <w:tcBorders>
              <w:top w:val="single" w:sz="4" w:space="0" w:color="AAABD6"/>
              <w:bottom w:val="single" w:sz="4" w:space="0" w:color="AAABD6"/>
            </w:tcBorders>
          </w:tcPr>
          <w:p w14:paraId="1E909B0D"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Transfer facility</w:t>
            </w:r>
          </w:p>
        </w:tc>
        <w:tc>
          <w:tcPr>
            <w:tcW w:w="2662" w:type="pct"/>
            <w:tcBorders>
              <w:top w:val="single" w:sz="4" w:space="0" w:color="AAABD6"/>
              <w:bottom w:val="single" w:sz="4" w:space="0" w:color="AAABD6"/>
            </w:tcBorders>
            <w:vAlign w:val="center"/>
          </w:tcPr>
          <w:p w14:paraId="2C98F653"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Facilities that transfer or temporarily store hazardous waste. Some of these facilities receive a wide range of waste, others only specific waste.</w:t>
            </w:r>
          </w:p>
          <w:p w14:paraId="032E9543"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A307F3">
              <w:rPr>
                <w:color w:val="000000"/>
              </w:rPr>
              <w:t>Capacity data coverage limitation</w:t>
            </w:r>
            <w:r w:rsidRPr="00AA13FA">
              <w:rPr>
                <w:color w:val="000000"/>
              </w:rPr>
              <w:t>:</w:t>
            </w:r>
            <w:r w:rsidRPr="00100F0A">
              <w:rPr>
                <w:color w:val="000000"/>
              </w:rPr>
              <w:t xml:space="preserve"> not all transfer facilities are covered in the database and some infrastructure groups operate in part as a transfer facility.</w:t>
            </w:r>
          </w:p>
        </w:tc>
      </w:tr>
      <w:tr w:rsidR="001A0008" w:rsidRPr="00100F0A" w14:paraId="551657AF" w14:textId="77777777" w:rsidTr="005F2A3D">
        <w:trPr>
          <w:trHeight w:val="42"/>
        </w:trPr>
        <w:tc>
          <w:tcPr>
            <w:cnfStyle w:val="001000000000" w:firstRow="0" w:lastRow="0" w:firstColumn="1" w:lastColumn="0" w:oddVBand="0" w:evenVBand="0" w:oddHBand="0" w:evenHBand="0" w:firstRowFirstColumn="0" w:firstRowLastColumn="0" w:lastRowFirstColumn="0" w:lastRowLastColumn="0"/>
            <w:tcW w:w="858" w:type="pct"/>
            <w:tcBorders>
              <w:top w:val="single" w:sz="4" w:space="0" w:color="AAABD6"/>
              <w:bottom w:val="single" w:sz="4" w:space="0" w:color="AAABD6"/>
            </w:tcBorders>
            <w:shd w:val="clear" w:color="auto" w:fill="auto"/>
            <w:vAlign w:val="center"/>
          </w:tcPr>
          <w:p w14:paraId="633B90A3" w14:textId="77777777" w:rsidR="001A0008" w:rsidRPr="00100F0A" w:rsidRDefault="001A0008" w:rsidP="005F2A3D">
            <w:pPr>
              <w:pStyle w:val="BodyText"/>
            </w:pPr>
            <w:r w:rsidRPr="00100F0A">
              <w:rPr>
                <w:b/>
                <w:bCs/>
              </w:rPr>
              <w:t>Long-term storage</w:t>
            </w:r>
          </w:p>
        </w:tc>
        <w:tc>
          <w:tcPr>
            <w:tcW w:w="1480" w:type="pct"/>
            <w:tcBorders>
              <w:top w:val="single" w:sz="4" w:space="0" w:color="AAABD6"/>
              <w:bottom w:val="single" w:sz="4" w:space="0" w:color="AAABD6"/>
            </w:tcBorders>
            <w:shd w:val="clear" w:color="auto" w:fill="auto"/>
          </w:tcPr>
          <w:p w14:paraId="7F28B7DE"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Long-term on-site storage</w:t>
            </w:r>
            <w:r>
              <w:t>*</w:t>
            </w:r>
          </w:p>
        </w:tc>
        <w:tc>
          <w:tcPr>
            <w:tcW w:w="2662" w:type="pct"/>
            <w:tcBorders>
              <w:top w:val="single" w:sz="4" w:space="0" w:color="AAABD6"/>
              <w:bottom w:val="single" w:sz="4" w:space="0" w:color="AAABD6"/>
            </w:tcBorders>
            <w:shd w:val="clear" w:color="auto" w:fill="auto"/>
            <w:vAlign w:val="center"/>
          </w:tcPr>
          <w:p w14:paraId="5822CD1D"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 xml:space="preserve">Pre-approved on-site (or near site) long-term storages of hazardous waste in designated area/s. </w:t>
            </w:r>
          </w:p>
          <w:p w14:paraId="4A23A8FA"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A307F3">
              <w:rPr>
                <w:color w:val="000000"/>
              </w:rPr>
              <w:t>Capacity data coverage limitation</w:t>
            </w:r>
            <w:r w:rsidRPr="00AA13FA">
              <w:rPr>
                <w:color w:val="000000"/>
              </w:rPr>
              <w:t>:</w:t>
            </w:r>
            <w:r w:rsidRPr="00100F0A">
              <w:rPr>
                <w:color w:val="000000"/>
              </w:rPr>
              <w:t xml:space="preserve"> long-term on-site storage facilities are excluded from the database and the needs vs capacity assessment. The infrastructure group has been included recognising that some hazardous waste</w:t>
            </w:r>
            <w:r>
              <w:rPr>
                <w:color w:val="000000"/>
              </w:rPr>
              <w:t xml:space="preserve"> i</w:t>
            </w:r>
            <w:r w:rsidRPr="00100F0A">
              <w:rPr>
                <w:color w:val="000000"/>
              </w:rPr>
              <w:t>s managed in on</w:t>
            </w:r>
            <w:r>
              <w:rPr>
                <w:color w:val="000000"/>
              </w:rPr>
              <w:t>-</w:t>
            </w:r>
            <w:r w:rsidRPr="00100F0A">
              <w:rPr>
                <w:color w:val="000000"/>
              </w:rPr>
              <w:t>site infrastructure that is often for the long term.</w:t>
            </w:r>
            <w:r w:rsidRPr="00100F0A">
              <w:rPr>
                <w:rFonts w:asciiTheme="minorHAnsi" w:hAnsiTheme="minorHAnsi" w:cs="Calibri"/>
              </w:rPr>
              <w:t xml:space="preserve"> </w:t>
            </w:r>
            <w:r w:rsidRPr="00100F0A">
              <w:t xml:space="preserve"> </w:t>
            </w:r>
          </w:p>
        </w:tc>
      </w:tr>
      <w:tr w:rsidR="001A0008" w:rsidRPr="00100F0A" w14:paraId="00B3BFF4" w14:textId="77777777" w:rsidTr="005F2A3D">
        <w:trPr>
          <w:trHeight w:val="485"/>
        </w:trPr>
        <w:tc>
          <w:tcPr>
            <w:cnfStyle w:val="001000000000" w:firstRow="0" w:lastRow="0" w:firstColumn="1" w:lastColumn="0" w:oddVBand="0" w:evenVBand="0" w:oddHBand="0" w:evenHBand="0" w:firstRowFirstColumn="0" w:firstRowLastColumn="0" w:lastRowFirstColumn="0" w:lastRowLastColumn="0"/>
            <w:tcW w:w="858" w:type="pct"/>
            <w:tcBorders>
              <w:top w:val="single" w:sz="4" w:space="0" w:color="AAABD6"/>
              <w:bottom w:val="single" w:sz="4" w:space="0" w:color="AAABD6"/>
            </w:tcBorders>
            <w:shd w:val="clear" w:color="auto" w:fill="auto"/>
            <w:vAlign w:val="center"/>
          </w:tcPr>
          <w:p w14:paraId="552EBEBF" w14:textId="77777777" w:rsidR="001A0008" w:rsidRPr="00100F0A" w:rsidRDefault="001A0008" w:rsidP="005F2A3D">
            <w:pPr>
              <w:pStyle w:val="BodyText"/>
            </w:pPr>
            <w:r w:rsidRPr="00100F0A">
              <w:rPr>
                <w:b/>
                <w:bCs/>
              </w:rPr>
              <w:t> </w:t>
            </w:r>
          </w:p>
        </w:tc>
        <w:tc>
          <w:tcPr>
            <w:tcW w:w="1480" w:type="pct"/>
            <w:tcBorders>
              <w:top w:val="single" w:sz="4" w:space="0" w:color="AAABD6"/>
              <w:bottom w:val="single" w:sz="4" w:space="0" w:color="AAABD6"/>
            </w:tcBorders>
            <w:shd w:val="clear" w:color="auto" w:fill="auto"/>
          </w:tcPr>
          <w:p w14:paraId="7D588DFC"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Long-term isolation facility</w:t>
            </w:r>
            <w:r>
              <w:t>*</w:t>
            </w:r>
          </w:p>
        </w:tc>
        <w:tc>
          <w:tcPr>
            <w:tcW w:w="2662" w:type="pct"/>
            <w:tcBorders>
              <w:top w:val="single" w:sz="4" w:space="0" w:color="AAABD6"/>
              <w:bottom w:val="single" w:sz="4" w:space="0" w:color="AAABD6"/>
            </w:tcBorders>
            <w:shd w:val="clear" w:color="auto" w:fill="auto"/>
            <w:vAlign w:val="center"/>
          </w:tcPr>
          <w:p w14:paraId="494BEC44" w14:textId="77777777" w:rsidR="001A0008" w:rsidRPr="00100F0A" w:rsidRDefault="001A0008" w:rsidP="005F2A3D">
            <w:pPr>
              <w:pStyle w:val="BodyText"/>
              <w:cnfStyle w:val="000000000000" w:firstRow="0" w:lastRow="0" w:firstColumn="0" w:lastColumn="0" w:oddVBand="0" w:evenVBand="0" w:oddHBand="0" w:evenHBand="0" w:firstRowFirstColumn="0" w:firstRowLastColumn="0" w:lastRowFirstColumn="0" w:lastRowLastColumn="0"/>
            </w:pPr>
            <w:r w:rsidRPr="00100F0A">
              <w:t>Facilities licensed to store hazardous waste for long periods (≥10 years), typically until an economically viable treatment or disposal solution is developed.</w:t>
            </w:r>
          </w:p>
        </w:tc>
      </w:tr>
    </w:tbl>
    <w:p w14:paraId="0AD79F8D" w14:textId="4E88A5F3" w:rsidR="001A0008" w:rsidRDefault="001A0008" w:rsidP="001A0008">
      <w:pPr>
        <w:pStyle w:val="Notes"/>
      </w:pPr>
      <w:r w:rsidRPr="00100F0A">
        <w:t>Note</w:t>
      </w:r>
      <w:r>
        <w:t>s</w:t>
      </w:r>
      <w:r w:rsidRPr="00100F0A">
        <w:t xml:space="preserve">: </w:t>
      </w:r>
      <w:r>
        <w:t xml:space="preserve">* </w:t>
      </w:r>
      <w:r w:rsidRPr="00100F0A">
        <w:t>new infrastructure group</w:t>
      </w:r>
      <w:r>
        <w:t>s</w:t>
      </w:r>
      <w:r w:rsidRPr="00100F0A">
        <w:t xml:space="preserve"> added in 2018 assessment </w:t>
      </w:r>
    </w:p>
    <w:p w14:paraId="6B533C02" w14:textId="77777777" w:rsidR="00B8053D" w:rsidRPr="00100F0A" w:rsidRDefault="00B8053D" w:rsidP="00B8053D">
      <w:pPr>
        <w:pStyle w:val="BodyText"/>
      </w:pPr>
    </w:p>
    <w:p w14:paraId="2A7ADEB0" w14:textId="57C8370B" w:rsidR="002A3A54" w:rsidRPr="00100F0A" w:rsidRDefault="002A3A54" w:rsidP="00AD35BF">
      <w:pPr>
        <w:pStyle w:val="Heading2"/>
        <w:ind w:left="851" w:hanging="851"/>
      </w:pPr>
      <w:bookmarkStart w:id="319" w:name="_Toc9383891"/>
      <w:bookmarkStart w:id="320" w:name="_Toc419449182"/>
      <w:bookmarkStart w:id="321" w:name="_Toc419449183"/>
      <w:bookmarkStart w:id="322" w:name="_Toc425849164"/>
      <w:bookmarkStart w:id="323" w:name="_Toc13225541"/>
      <w:bookmarkEnd w:id="319"/>
      <w:bookmarkEnd w:id="320"/>
      <w:r w:rsidRPr="00100F0A">
        <w:t xml:space="preserve">Industry consultation </w:t>
      </w:r>
      <w:bookmarkEnd w:id="321"/>
      <w:bookmarkEnd w:id="322"/>
      <w:r w:rsidR="00DC489D" w:rsidRPr="00100F0A">
        <w:t>and database updates</w:t>
      </w:r>
      <w:bookmarkEnd w:id="323"/>
    </w:p>
    <w:p w14:paraId="7B9AF9D8" w14:textId="202504A0" w:rsidR="002A3A54" w:rsidRPr="00100F0A" w:rsidRDefault="002A3A54" w:rsidP="002A3A54">
      <w:pPr>
        <w:rPr>
          <w:color w:val="080808"/>
        </w:rPr>
      </w:pPr>
      <w:r w:rsidRPr="00100F0A">
        <w:rPr>
          <w:color w:val="080808"/>
        </w:rPr>
        <w:t xml:space="preserve">The </w:t>
      </w:r>
      <w:r w:rsidR="00A66040" w:rsidRPr="00100F0A">
        <w:rPr>
          <w:color w:val="080808"/>
        </w:rPr>
        <w:t xml:space="preserve">2015 infrastructure capacity assessment </w:t>
      </w:r>
      <w:r w:rsidR="00B37C19" w:rsidRPr="00100F0A">
        <w:rPr>
          <w:color w:val="080808"/>
        </w:rPr>
        <w:t xml:space="preserve">involved a major industry consultation program to gather </w:t>
      </w:r>
      <w:r w:rsidRPr="00100F0A">
        <w:rPr>
          <w:color w:val="080808"/>
        </w:rPr>
        <w:t>details of sites that accept hazardous waste throughout Australia and contained information such as facility or site name, company name, facility address, state, treatment activities and technologies</w:t>
      </w:r>
      <w:r w:rsidR="0093743B" w:rsidRPr="00100F0A">
        <w:rPr>
          <w:color w:val="080808"/>
        </w:rPr>
        <w:t xml:space="preserve">, </w:t>
      </w:r>
      <w:r w:rsidRPr="00100F0A">
        <w:rPr>
          <w:color w:val="080808"/>
        </w:rPr>
        <w:t>waste type</w:t>
      </w:r>
      <w:r w:rsidR="0093743B" w:rsidRPr="00100F0A">
        <w:rPr>
          <w:color w:val="080808"/>
        </w:rPr>
        <w:t>s</w:t>
      </w:r>
      <w:r w:rsidRPr="00100F0A">
        <w:rPr>
          <w:color w:val="080808"/>
        </w:rPr>
        <w:t xml:space="preserve"> received (by NEPM 15 category</w:t>
      </w:r>
      <w:r w:rsidR="00BF3378" w:rsidRPr="00100F0A">
        <w:rPr>
          <w:color w:val="080808"/>
        </w:rPr>
        <w:t>)</w:t>
      </w:r>
      <w:r w:rsidR="00B37C19" w:rsidRPr="00100F0A">
        <w:rPr>
          <w:color w:val="080808"/>
        </w:rPr>
        <w:t xml:space="preserve"> and i</w:t>
      </w:r>
      <w:r w:rsidRPr="00100F0A">
        <w:rPr>
          <w:color w:val="080808"/>
        </w:rPr>
        <w:t xml:space="preserve">nformation on current and </w:t>
      </w:r>
      <w:r w:rsidR="0093743B" w:rsidRPr="00100F0A">
        <w:rPr>
          <w:color w:val="080808"/>
        </w:rPr>
        <w:t xml:space="preserve">expected future </w:t>
      </w:r>
      <w:r w:rsidRPr="00100F0A">
        <w:rPr>
          <w:color w:val="080808"/>
        </w:rPr>
        <w:t>infrastructure capacities</w:t>
      </w:r>
      <w:r w:rsidRPr="00100F0A">
        <w:rPr>
          <w:color w:val="080808"/>
          <w:vertAlign w:val="superscript"/>
        </w:rPr>
        <w:footnoteReference w:id="31"/>
      </w:r>
      <w:r w:rsidR="00B37C19" w:rsidRPr="00100F0A">
        <w:rPr>
          <w:color w:val="080808"/>
        </w:rPr>
        <w:t>.</w:t>
      </w:r>
    </w:p>
    <w:p w14:paraId="465E8CB9" w14:textId="2C225CBE" w:rsidR="00B37C19" w:rsidRPr="00100F0A" w:rsidRDefault="00B37C19" w:rsidP="002A3A54">
      <w:pPr>
        <w:rPr>
          <w:color w:val="080808"/>
        </w:rPr>
      </w:pPr>
    </w:p>
    <w:p w14:paraId="4594A6F3" w14:textId="2F3BAE18" w:rsidR="00C47911" w:rsidRPr="00100F0A" w:rsidRDefault="00B37C19" w:rsidP="002A3A54">
      <w:r w:rsidRPr="00100F0A">
        <w:rPr>
          <w:color w:val="080808"/>
        </w:rPr>
        <w:t xml:space="preserve">The 2018 assessment also involved extensive consultation with industry to update and validate the information from the 2015 assessment and to </w:t>
      </w:r>
      <w:r w:rsidR="002A3608" w:rsidRPr="00100F0A">
        <w:rPr>
          <w:color w:val="080808"/>
        </w:rPr>
        <w:t xml:space="preserve">collate capability and capacity data for the additional infrastructure groups that are </w:t>
      </w:r>
      <w:r w:rsidR="009B69BC">
        <w:rPr>
          <w:color w:val="080808"/>
        </w:rPr>
        <w:t xml:space="preserve">marked </w:t>
      </w:r>
      <w:r w:rsidR="002A3608" w:rsidRPr="00100F0A">
        <w:rPr>
          <w:color w:val="080808"/>
        </w:rPr>
        <w:t xml:space="preserve">in and </w:t>
      </w:r>
      <w:r w:rsidR="002A3608" w:rsidRPr="00100F0A">
        <w:fldChar w:fldCharType="begin"/>
      </w:r>
      <w:r w:rsidR="002A3608" w:rsidRPr="00100F0A">
        <w:instrText xml:space="preserve"> REF _Ref419189745 \h  \* MERGEFORMAT </w:instrText>
      </w:r>
      <w:r w:rsidR="002A3608" w:rsidRPr="00100F0A">
        <w:fldChar w:fldCharType="separate"/>
      </w:r>
      <w:r w:rsidR="00EB634D" w:rsidRPr="00EB634D">
        <w:rPr>
          <w:rFonts w:asciiTheme="minorHAnsi" w:hAnsiTheme="minorHAnsi" w:cs="Calibri"/>
          <w:noProof/>
        </w:rPr>
        <w:t>Table 43</w:t>
      </w:r>
      <w:r w:rsidR="002A3608" w:rsidRPr="00100F0A">
        <w:fldChar w:fldCharType="end"/>
      </w:r>
      <w:r w:rsidR="002A3608" w:rsidRPr="00100F0A">
        <w:t>.</w:t>
      </w:r>
    </w:p>
    <w:p w14:paraId="322E6CDE" w14:textId="77777777" w:rsidR="002E4112" w:rsidRPr="00100F0A" w:rsidRDefault="002E4112" w:rsidP="002A3A54">
      <w:pPr>
        <w:rPr>
          <w:color w:val="080808"/>
        </w:rPr>
      </w:pPr>
    </w:p>
    <w:p w14:paraId="132FE2D6" w14:textId="4F9C1BA9" w:rsidR="002E4112" w:rsidRPr="00100F0A" w:rsidRDefault="00171186" w:rsidP="002A3A54">
      <w:pPr>
        <w:rPr>
          <w:color w:val="080808"/>
        </w:rPr>
      </w:pPr>
      <w:r w:rsidRPr="00100F0A">
        <w:rPr>
          <w:color w:val="080808"/>
        </w:rPr>
        <w:t>Stakeholders were asked to validate and update information provided in the 2015 assessment. For each company, an extract of the 2015 database was issued for review and updating. For newly added infrastructure group</w:t>
      </w:r>
      <w:r w:rsidR="00EE49A9">
        <w:rPr>
          <w:color w:val="080808"/>
        </w:rPr>
        <w:t>s</w:t>
      </w:r>
      <w:r w:rsidRPr="00100F0A">
        <w:rPr>
          <w:color w:val="080808"/>
        </w:rPr>
        <w:t xml:space="preserve">/sites, each site was provided an introduction to the project and </w:t>
      </w:r>
      <w:r w:rsidR="000535DB" w:rsidRPr="00100F0A">
        <w:rPr>
          <w:color w:val="080808"/>
        </w:rPr>
        <w:t>the project</w:t>
      </w:r>
      <w:r w:rsidRPr="00100F0A">
        <w:rPr>
          <w:color w:val="080808"/>
        </w:rPr>
        <w:t xml:space="preserve"> objectives and requested to provide input to the 2018 assessment.  </w:t>
      </w:r>
    </w:p>
    <w:p w14:paraId="64614F85" w14:textId="7C21497C" w:rsidR="005D004B" w:rsidRPr="00100F0A" w:rsidRDefault="005D004B" w:rsidP="002A3A54">
      <w:pPr>
        <w:rPr>
          <w:color w:val="080808"/>
        </w:rPr>
      </w:pPr>
    </w:p>
    <w:p w14:paraId="22DABBD9" w14:textId="3D28F79F" w:rsidR="005D004B" w:rsidRPr="00100F0A" w:rsidRDefault="002F2CB3" w:rsidP="005D004B">
      <w:pPr>
        <w:rPr>
          <w:color w:val="080808"/>
        </w:rPr>
      </w:pPr>
      <w:r w:rsidRPr="00100F0A">
        <w:rPr>
          <w:color w:val="080808"/>
        </w:rPr>
        <w:t>Thirty-</w:t>
      </w:r>
      <w:r w:rsidR="00A0635B">
        <w:rPr>
          <w:color w:val="080808"/>
        </w:rPr>
        <w:t xml:space="preserve">six new </w:t>
      </w:r>
      <w:r w:rsidR="005D004B" w:rsidRPr="00100F0A">
        <w:rPr>
          <w:color w:val="080808"/>
        </w:rPr>
        <w:t xml:space="preserve">sites where added to the database during the 2018 assessment to account for the </w:t>
      </w:r>
      <w:r w:rsidR="005D004B" w:rsidRPr="00EE49A9">
        <w:rPr>
          <w:color w:val="080808"/>
        </w:rPr>
        <w:t>expanded scope of assessment</w:t>
      </w:r>
      <w:r w:rsidR="00EE49A9">
        <w:rPr>
          <w:color w:val="080808"/>
        </w:rPr>
        <w:t xml:space="preserve"> and </w:t>
      </w:r>
      <w:r w:rsidR="005D004B" w:rsidRPr="00EE49A9">
        <w:rPr>
          <w:color w:val="080808"/>
        </w:rPr>
        <w:t>new infrastructure groups</w:t>
      </w:r>
      <w:r w:rsidR="005D004B" w:rsidRPr="00100F0A">
        <w:rPr>
          <w:color w:val="080808"/>
        </w:rPr>
        <w:t xml:space="preserve">. </w:t>
      </w:r>
    </w:p>
    <w:p w14:paraId="3C6538C4" w14:textId="77777777" w:rsidR="005D004B" w:rsidRPr="00100F0A" w:rsidRDefault="005D004B" w:rsidP="005D004B">
      <w:pPr>
        <w:rPr>
          <w:color w:val="080808"/>
        </w:rPr>
      </w:pPr>
    </w:p>
    <w:p w14:paraId="123F953E" w14:textId="71EE4DB3" w:rsidR="005D004B" w:rsidRPr="00100F0A" w:rsidRDefault="005D004B" w:rsidP="005D004B">
      <w:pPr>
        <w:rPr>
          <w:color w:val="080808"/>
        </w:rPr>
      </w:pPr>
      <w:r w:rsidRPr="00100F0A">
        <w:rPr>
          <w:color w:val="080808"/>
        </w:rPr>
        <w:t xml:space="preserve">A total of 27 </w:t>
      </w:r>
      <w:r w:rsidR="00EE49A9">
        <w:rPr>
          <w:color w:val="080808"/>
        </w:rPr>
        <w:t>l</w:t>
      </w:r>
      <w:r w:rsidRPr="00100F0A">
        <w:rPr>
          <w:color w:val="080808"/>
        </w:rPr>
        <w:t xml:space="preserve">andfill facilities (NEPM code N, T) were removed from the 2018 database. This infrastructure group is excluded from the 2018 database. Many landfills around Australia dispose </w:t>
      </w:r>
      <w:r w:rsidR="00EE49A9">
        <w:rPr>
          <w:color w:val="080808"/>
        </w:rPr>
        <w:t xml:space="preserve">of </w:t>
      </w:r>
      <w:r w:rsidRPr="00100F0A">
        <w:rPr>
          <w:color w:val="080808"/>
        </w:rPr>
        <w:t xml:space="preserve">low-level contaminated soil, asbestos and tyres. These landfills are not classified as hazardous waste landfills and are beyond the scope of this assessment.  </w:t>
      </w:r>
    </w:p>
    <w:p w14:paraId="2C4D1D6D" w14:textId="77777777" w:rsidR="005D004B" w:rsidRPr="00100F0A" w:rsidRDefault="005D004B" w:rsidP="005D004B">
      <w:pPr>
        <w:rPr>
          <w:color w:val="080808"/>
        </w:rPr>
      </w:pPr>
    </w:p>
    <w:p w14:paraId="256EB764" w14:textId="2D511C3D" w:rsidR="005D004B" w:rsidRPr="00100F0A" w:rsidRDefault="005D004B" w:rsidP="005D004B">
      <w:pPr>
        <w:rPr>
          <w:color w:val="080808"/>
        </w:rPr>
      </w:pPr>
    </w:p>
    <w:p w14:paraId="7C137A40" w14:textId="77777777" w:rsidR="00FB61DF" w:rsidRPr="00100F0A" w:rsidRDefault="00FB61DF" w:rsidP="005D004B">
      <w:pPr>
        <w:rPr>
          <w:b/>
          <w:color w:val="080808"/>
        </w:rPr>
      </w:pPr>
    </w:p>
    <w:p w14:paraId="446B7CB8" w14:textId="591F9EB2" w:rsidR="00F31BCA" w:rsidRDefault="00F31BCA" w:rsidP="005D004B">
      <w:pPr>
        <w:rPr>
          <w:color w:val="080808"/>
        </w:rPr>
      </w:pPr>
      <w:r>
        <w:rPr>
          <w:color w:val="080808"/>
        </w:rPr>
        <w:t xml:space="preserve">In </w:t>
      </w:r>
      <w:r w:rsidR="002F2CB3" w:rsidRPr="00A307F3">
        <w:rPr>
          <w:color w:val="080808"/>
        </w:rPr>
        <w:t>total</w:t>
      </w:r>
      <w:r w:rsidR="004206B0">
        <w:rPr>
          <w:color w:val="080808"/>
        </w:rPr>
        <w:t>, operators of</w:t>
      </w:r>
      <w:r w:rsidR="002F2CB3" w:rsidRPr="00A307F3">
        <w:rPr>
          <w:color w:val="080808"/>
        </w:rPr>
        <w:t xml:space="preserve"> 2</w:t>
      </w:r>
      <w:r w:rsidR="00507917">
        <w:rPr>
          <w:color w:val="080808"/>
        </w:rPr>
        <w:t>26</w:t>
      </w:r>
      <w:r w:rsidR="002F2CB3" w:rsidRPr="00A307F3">
        <w:rPr>
          <w:color w:val="080808"/>
        </w:rPr>
        <w:t xml:space="preserve"> </w:t>
      </w:r>
      <w:r w:rsidR="002F2CB3" w:rsidRPr="004206B0">
        <w:rPr>
          <w:color w:val="080808"/>
          <w:u w:val="single"/>
        </w:rPr>
        <w:t>sites</w:t>
      </w:r>
      <w:r w:rsidR="002F2CB3" w:rsidRPr="00A307F3">
        <w:rPr>
          <w:color w:val="080808"/>
        </w:rPr>
        <w:t xml:space="preserve"> across Australia were consulted</w:t>
      </w:r>
      <w:r w:rsidR="006938C4">
        <w:rPr>
          <w:color w:val="080808"/>
        </w:rPr>
        <w:t xml:space="preserve">. </w:t>
      </w:r>
      <w:r w:rsidR="004206B0">
        <w:rPr>
          <w:color w:val="080808"/>
        </w:rPr>
        <w:t>Thirty-one</w:t>
      </w:r>
      <w:r w:rsidR="006938C4" w:rsidRPr="00100F0A">
        <w:rPr>
          <w:color w:val="080808"/>
        </w:rPr>
        <w:t xml:space="preserve"> site</w:t>
      </w:r>
      <w:r w:rsidR="006938C4">
        <w:rPr>
          <w:color w:val="080808"/>
        </w:rPr>
        <w:t>s/ capacities</w:t>
      </w:r>
      <w:r w:rsidR="006938C4" w:rsidRPr="00100F0A">
        <w:rPr>
          <w:color w:val="080808"/>
        </w:rPr>
        <w:t xml:space="preserve"> </w:t>
      </w:r>
      <w:r w:rsidR="004206B0">
        <w:rPr>
          <w:color w:val="080808"/>
        </w:rPr>
        <w:t>we</w:t>
      </w:r>
      <w:r w:rsidR="006938C4">
        <w:rPr>
          <w:color w:val="080808"/>
        </w:rPr>
        <w:t>re</w:t>
      </w:r>
      <w:r w:rsidR="006938C4" w:rsidRPr="00100F0A">
        <w:rPr>
          <w:color w:val="080808"/>
        </w:rPr>
        <w:t xml:space="preserve"> closed or no longer taking hazardous waste. These sites remain in the 2018 database, but are noted as not operational and they do not contribute to the needs vs capacity assessment in Section</w:t>
      </w:r>
      <w:r w:rsidR="006938C4">
        <w:rPr>
          <w:color w:val="080808"/>
        </w:rPr>
        <w:t xml:space="preserve"> </w:t>
      </w:r>
      <w:r w:rsidRPr="00100F0A">
        <w:rPr>
          <w:color w:val="080808"/>
        </w:rPr>
        <w:fldChar w:fldCharType="begin"/>
      </w:r>
      <w:r w:rsidRPr="00100F0A">
        <w:rPr>
          <w:color w:val="080808"/>
        </w:rPr>
        <w:instrText xml:space="preserve"> REF _Ref530477133 \r \h </w:instrText>
      </w:r>
      <w:r w:rsidRPr="00100F0A">
        <w:rPr>
          <w:color w:val="080808"/>
        </w:rPr>
      </w:r>
      <w:r w:rsidRPr="00100F0A">
        <w:rPr>
          <w:color w:val="080808"/>
        </w:rPr>
        <w:fldChar w:fldCharType="separate"/>
      </w:r>
      <w:r w:rsidR="00EB634D">
        <w:rPr>
          <w:color w:val="080808"/>
        </w:rPr>
        <w:t>4</w:t>
      </w:r>
      <w:r w:rsidRPr="00100F0A">
        <w:rPr>
          <w:color w:val="080808"/>
        </w:rPr>
        <w:fldChar w:fldCharType="end"/>
      </w:r>
      <w:r w:rsidRPr="00100F0A">
        <w:rPr>
          <w:color w:val="080808"/>
        </w:rPr>
        <w:t>.</w:t>
      </w:r>
    </w:p>
    <w:p w14:paraId="67A37021" w14:textId="62D7FC0E" w:rsidR="006938C4" w:rsidRDefault="004206B0" w:rsidP="005D004B">
      <w:pPr>
        <w:rPr>
          <w:color w:val="080808"/>
        </w:rPr>
      </w:pPr>
      <w:r>
        <w:rPr>
          <w:color w:val="080808"/>
        </w:rPr>
        <w:t>One-hundred and eighty-five</w:t>
      </w:r>
      <w:r w:rsidR="006938C4">
        <w:rPr>
          <w:color w:val="080808"/>
        </w:rPr>
        <w:t xml:space="preserve"> sites are currently operational and 10 new sites are planned and expected to be operational in the near future.</w:t>
      </w:r>
    </w:p>
    <w:p w14:paraId="41C42B2F" w14:textId="1DB98052" w:rsidR="006938C4" w:rsidRDefault="006938C4" w:rsidP="005D004B">
      <w:pPr>
        <w:rPr>
          <w:color w:val="080808"/>
        </w:rPr>
      </w:pPr>
    </w:p>
    <w:p w14:paraId="38E18D78" w14:textId="736953E9" w:rsidR="00F31BCA" w:rsidRDefault="006938C4" w:rsidP="005D004B">
      <w:pPr>
        <w:rPr>
          <w:color w:val="080808"/>
        </w:rPr>
      </w:pPr>
      <w:r>
        <w:rPr>
          <w:color w:val="080808"/>
        </w:rPr>
        <w:t xml:space="preserve">A total of 234 hazardous waste management </w:t>
      </w:r>
      <w:r w:rsidRPr="00F7413A">
        <w:rPr>
          <w:color w:val="080808"/>
          <w:u w:val="single"/>
        </w:rPr>
        <w:t>capacities</w:t>
      </w:r>
      <w:r>
        <w:rPr>
          <w:color w:val="080808"/>
        </w:rPr>
        <w:t xml:space="preserve"> were assessed a</w:t>
      </w:r>
      <w:r w:rsidR="00ED2FB5">
        <w:rPr>
          <w:color w:val="080808"/>
        </w:rPr>
        <w:t xml:space="preserve">cross the 185 </w:t>
      </w:r>
      <w:r>
        <w:rPr>
          <w:color w:val="080808"/>
        </w:rPr>
        <w:t>sites. S</w:t>
      </w:r>
      <w:r w:rsidR="00DA4361">
        <w:rPr>
          <w:color w:val="080808"/>
        </w:rPr>
        <w:t xml:space="preserve">ome </w:t>
      </w:r>
      <w:r>
        <w:rPr>
          <w:color w:val="080808"/>
        </w:rPr>
        <w:t xml:space="preserve">sites provided more than one capacity (i.e. the site provided capacity </w:t>
      </w:r>
      <w:r w:rsidR="00ED2FB5">
        <w:rPr>
          <w:color w:val="080808"/>
        </w:rPr>
        <w:t xml:space="preserve">for </w:t>
      </w:r>
      <w:r>
        <w:rPr>
          <w:color w:val="080808"/>
        </w:rPr>
        <w:t>more than one infrastructure group).</w:t>
      </w:r>
      <w:r w:rsidRPr="00A307F3">
        <w:rPr>
          <w:color w:val="080808"/>
        </w:rPr>
        <w:t xml:space="preserve"> </w:t>
      </w:r>
      <w:r w:rsidR="00F31BCA">
        <w:rPr>
          <w:color w:val="080808"/>
        </w:rPr>
        <w:t xml:space="preserve">A total of 192 capacities </w:t>
      </w:r>
      <w:r w:rsidR="00DA4361">
        <w:rPr>
          <w:color w:val="080808"/>
        </w:rPr>
        <w:t xml:space="preserve">were currently operational and 11 new capacities are planned and expected to be operational in near future. </w:t>
      </w:r>
      <w:r w:rsidR="00ED2FB5">
        <w:rPr>
          <w:color w:val="080808"/>
        </w:rPr>
        <w:t xml:space="preserve">A </w:t>
      </w:r>
      <w:r w:rsidR="00DA4361">
        <w:rPr>
          <w:color w:val="080808"/>
        </w:rPr>
        <w:t>total</w:t>
      </w:r>
      <w:r w:rsidR="00ED2FB5">
        <w:rPr>
          <w:color w:val="080808"/>
        </w:rPr>
        <w:t xml:space="preserve"> of 203 </w:t>
      </w:r>
      <w:r w:rsidR="00DA4361">
        <w:rPr>
          <w:color w:val="080808"/>
        </w:rPr>
        <w:t xml:space="preserve">current and planned capacities </w:t>
      </w:r>
      <w:r w:rsidR="00ED2FB5">
        <w:rPr>
          <w:color w:val="080808"/>
        </w:rPr>
        <w:t xml:space="preserve">were assessed across </w:t>
      </w:r>
      <w:r w:rsidR="00DA4361">
        <w:rPr>
          <w:color w:val="080808"/>
        </w:rPr>
        <w:t>all the infrastructure groups assessed.</w:t>
      </w:r>
    </w:p>
    <w:p w14:paraId="7A6EB476" w14:textId="2FAD0DF0" w:rsidR="00A0635B" w:rsidRDefault="00A0635B" w:rsidP="004206B0">
      <w:pPr>
        <w:pStyle w:val="Caption"/>
        <w:rPr>
          <w:color w:val="080808"/>
        </w:rPr>
      </w:pPr>
      <w:bookmarkStart w:id="324" w:name="_Toc13225663"/>
      <w:r>
        <w:t xml:space="preserve">Table </w:t>
      </w:r>
      <w:r w:rsidR="00A1102D">
        <w:rPr>
          <w:noProof/>
        </w:rPr>
        <w:fldChar w:fldCharType="begin"/>
      </w:r>
      <w:r w:rsidR="00A1102D">
        <w:rPr>
          <w:noProof/>
        </w:rPr>
        <w:instrText xml:space="preserve"> SEQ Table \* ARABIC </w:instrText>
      </w:r>
      <w:r w:rsidR="00A1102D">
        <w:rPr>
          <w:noProof/>
        </w:rPr>
        <w:fldChar w:fldCharType="separate"/>
      </w:r>
      <w:r w:rsidR="00EB634D">
        <w:rPr>
          <w:noProof/>
        </w:rPr>
        <w:t>44</w:t>
      </w:r>
      <w:r w:rsidR="00A1102D">
        <w:rPr>
          <w:noProof/>
        </w:rPr>
        <w:fldChar w:fldCharType="end"/>
      </w:r>
      <w:r w:rsidR="00A03A30">
        <w:t>:</w:t>
      </w:r>
      <w:r w:rsidR="00A03A30">
        <w:tab/>
      </w:r>
      <w:r>
        <w:t>Summary of numbers of sites and capacities assessed in 2018 assessment</w:t>
      </w:r>
      <w:bookmarkEnd w:id="324"/>
    </w:p>
    <w:p w14:paraId="5E2A09CC" w14:textId="0DC6AD94" w:rsidR="005F2A3D" w:rsidRDefault="005F2A3D" w:rsidP="005D004B">
      <w:pPr>
        <w:rPr>
          <w:color w:val="080808"/>
        </w:rPr>
      </w:pPr>
    </w:p>
    <w:tbl>
      <w:tblPr>
        <w:tblStyle w:val="BE-table"/>
        <w:tblW w:w="5000" w:type="pct"/>
        <w:tblLook w:val="04A0" w:firstRow="1" w:lastRow="0" w:firstColumn="1" w:lastColumn="0" w:noHBand="0" w:noVBand="1"/>
      </w:tblPr>
      <w:tblGrid>
        <w:gridCol w:w="2248"/>
        <w:gridCol w:w="2061"/>
        <w:gridCol w:w="2662"/>
        <w:gridCol w:w="2052"/>
      </w:tblGrid>
      <w:tr w:rsidR="00981ABF" w:rsidRPr="00100F0A" w14:paraId="639EB8C4" w14:textId="6C68279C" w:rsidTr="004206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tcPr>
          <w:p w14:paraId="39654596" w14:textId="21A1EEF6" w:rsidR="00981ABF" w:rsidRPr="004206B0" w:rsidRDefault="00981ABF" w:rsidP="004206B0">
            <w:pPr>
              <w:spacing w:beforeLines="50" w:before="120" w:afterLines="50" w:after="120"/>
              <w:jc w:val="center"/>
            </w:pPr>
            <w:r>
              <w:t xml:space="preserve">Total </w:t>
            </w:r>
            <w:r w:rsidRPr="004206B0">
              <w:rPr>
                <w:u w:val="single"/>
              </w:rPr>
              <w:t xml:space="preserve">sites </w:t>
            </w:r>
            <w:r>
              <w:t>assessed</w:t>
            </w:r>
          </w:p>
        </w:tc>
        <w:tc>
          <w:tcPr>
            <w:tcW w:w="1142" w:type="pct"/>
          </w:tcPr>
          <w:p w14:paraId="3901A438" w14:textId="12ED9D59" w:rsidR="00981ABF" w:rsidRPr="005F2A3D" w:rsidRDefault="00981ABF" w:rsidP="00981ABF">
            <w:pPr>
              <w:spacing w:beforeLines="50" w:before="120" w:afterLines="50" w:after="120"/>
              <w:jc w:val="center"/>
              <w:cnfStyle w:val="100000000000" w:firstRow="1" w:lastRow="0" w:firstColumn="0" w:lastColumn="0" w:oddVBand="0" w:evenVBand="0" w:oddHBand="0" w:evenHBand="0" w:firstRowFirstColumn="0" w:firstRowLastColumn="0" w:lastRowFirstColumn="0" w:lastRowLastColumn="0"/>
            </w:pPr>
            <w:r>
              <w:t>Closed sites</w:t>
            </w:r>
          </w:p>
        </w:tc>
        <w:tc>
          <w:tcPr>
            <w:tcW w:w="1475" w:type="pct"/>
          </w:tcPr>
          <w:p w14:paraId="62A390F2" w14:textId="40811D91" w:rsidR="00981ABF" w:rsidRPr="005F2A3D" w:rsidRDefault="00981ABF" w:rsidP="00981ABF">
            <w:pPr>
              <w:spacing w:beforeLines="50" w:before="120" w:afterLines="50" w:after="120"/>
              <w:jc w:val="center"/>
              <w:cnfStyle w:val="100000000000" w:firstRow="1" w:lastRow="0" w:firstColumn="0" w:lastColumn="0" w:oddVBand="0" w:evenVBand="0" w:oddHBand="0" w:evenHBand="0" w:firstRowFirstColumn="0" w:firstRowLastColumn="0" w:lastRowFirstColumn="0" w:lastRowLastColumn="0"/>
            </w:pPr>
            <w:r>
              <w:t>Operational sites</w:t>
            </w:r>
          </w:p>
        </w:tc>
        <w:tc>
          <w:tcPr>
            <w:tcW w:w="1137" w:type="pct"/>
          </w:tcPr>
          <w:p w14:paraId="7D2B6F38" w14:textId="386C5080" w:rsidR="00981ABF" w:rsidRPr="004206B0" w:rsidRDefault="00981ABF" w:rsidP="004206B0">
            <w:pPr>
              <w:spacing w:beforeLines="50" w:before="120" w:afterLines="50" w:after="120"/>
              <w:jc w:val="center"/>
              <w:cnfStyle w:val="100000000000" w:firstRow="1" w:lastRow="0" w:firstColumn="0" w:lastColumn="0" w:oddVBand="0" w:evenVBand="0" w:oddHBand="0" w:evenHBand="0" w:firstRowFirstColumn="0" w:firstRowLastColumn="0" w:lastRowFirstColumn="0" w:lastRowLastColumn="0"/>
            </w:pPr>
            <w:r>
              <w:t xml:space="preserve">Planned sites </w:t>
            </w:r>
          </w:p>
        </w:tc>
      </w:tr>
      <w:tr w:rsidR="00981ABF" w:rsidRPr="00100F0A" w14:paraId="4F751460" w14:textId="65504A78" w:rsidTr="004206B0">
        <w:tc>
          <w:tcPr>
            <w:cnfStyle w:val="001000000000" w:firstRow="0" w:lastRow="0" w:firstColumn="1" w:lastColumn="0" w:oddVBand="0" w:evenVBand="0" w:oddHBand="0" w:evenHBand="0" w:firstRowFirstColumn="0" w:firstRowLastColumn="0" w:lastRowFirstColumn="0" w:lastRowLastColumn="0"/>
            <w:tcW w:w="1245" w:type="pct"/>
          </w:tcPr>
          <w:p w14:paraId="5B231C94" w14:textId="039AFFE4" w:rsidR="00981ABF" w:rsidRPr="00100F0A" w:rsidRDefault="00981ABF" w:rsidP="004206B0">
            <w:pPr>
              <w:jc w:val="right"/>
              <w:rPr>
                <w:color w:val="080808"/>
              </w:rPr>
            </w:pPr>
            <w:r>
              <w:rPr>
                <w:color w:val="080808"/>
              </w:rPr>
              <w:t>226</w:t>
            </w:r>
          </w:p>
        </w:tc>
        <w:tc>
          <w:tcPr>
            <w:tcW w:w="1142" w:type="pct"/>
            <w:vAlign w:val="center"/>
          </w:tcPr>
          <w:p w14:paraId="29F3E82C" w14:textId="28AEC79A" w:rsidR="00981ABF" w:rsidRPr="00100F0A" w:rsidRDefault="00981ABF" w:rsidP="00981ABF">
            <w:pPr>
              <w:jc w:val="right"/>
              <w:cnfStyle w:val="000000000000" w:firstRow="0" w:lastRow="0" w:firstColumn="0" w:lastColumn="0" w:oddVBand="0" w:evenVBand="0" w:oddHBand="0" w:evenHBand="0" w:firstRowFirstColumn="0" w:firstRowLastColumn="0" w:lastRowFirstColumn="0" w:lastRowLastColumn="0"/>
              <w:rPr>
                <w:color w:val="080808"/>
              </w:rPr>
            </w:pPr>
            <w:r>
              <w:rPr>
                <w:color w:val="080808"/>
              </w:rPr>
              <w:t>31</w:t>
            </w:r>
          </w:p>
        </w:tc>
        <w:tc>
          <w:tcPr>
            <w:tcW w:w="1475" w:type="pct"/>
          </w:tcPr>
          <w:p w14:paraId="70FCEC89" w14:textId="64AF3D7B" w:rsidR="00981ABF" w:rsidRPr="00100F0A" w:rsidRDefault="00981ABF" w:rsidP="00981ABF">
            <w:pPr>
              <w:jc w:val="right"/>
              <w:cnfStyle w:val="000000000000" w:firstRow="0" w:lastRow="0" w:firstColumn="0" w:lastColumn="0" w:oddVBand="0" w:evenVBand="0" w:oddHBand="0" w:evenHBand="0" w:firstRowFirstColumn="0" w:firstRowLastColumn="0" w:lastRowFirstColumn="0" w:lastRowLastColumn="0"/>
              <w:rPr>
                <w:color w:val="080808"/>
              </w:rPr>
            </w:pPr>
            <w:r>
              <w:rPr>
                <w:color w:val="080808"/>
              </w:rPr>
              <w:t>185</w:t>
            </w:r>
          </w:p>
        </w:tc>
        <w:tc>
          <w:tcPr>
            <w:tcW w:w="1137" w:type="pct"/>
            <w:vAlign w:val="center"/>
          </w:tcPr>
          <w:p w14:paraId="6D0C50C0" w14:textId="28B48E0D" w:rsidR="00981ABF" w:rsidRPr="00100F0A" w:rsidRDefault="00981ABF" w:rsidP="004206B0">
            <w:pPr>
              <w:jc w:val="right"/>
              <w:cnfStyle w:val="000000000000" w:firstRow="0" w:lastRow="0" w:firstColumn="0" w:lastColumn="0" w:oddVBand="0" w:evenVBand="0" w:oddHBand="0" w:evenHBand="0" w:firstRowFirstColumn="0" w:firstRowLastColumn="0" w:lastRowFirstColumn="0" w:lastRowLastColumn="0"/>
              <w:rPr>
                <w:color w:val="080808"/>
              </w:rPr>
            </w:pPr>
            <w:r>
              <w:rPr>
                <w:color w:val="080808"/>
              </w:rPr>
              <w:t>10</w:t>
            </w:r>
          </w:p>
        </w:tc>
      </w:tr>
    </w:tbl>
    <w:p w14:paraId="780EACF1" w14:textId="7C2EBC19" w:rsidR="005B576D" w:rsidRDefault="005B576D" w:rsidP="005D004B">
      <w:pPr>
        <w:rPr>
          <w:color w:val="FFFFFF" w:themeColor="background1"/>
        </w:rPr>
      </w:pPr>
    </w:p>
    <w:tbl>
      <w:tblPr>
        <w:tblStyle w:val="BE-table"/>
        <w:tblW w:w="5000" w:type="pct"/>
        <w:tblLook w:val="04A0" w:firstRow="1" w:lastRow="0" w:firstColumn="1" w:lastColumn="0" w:noHBand="0" w:noVBand="1"/>
      </w:tblPr>
      <w:tblGrid>
        <w:gridCol w:w="1589"/>
        <w:gridCol w:w="1814"/>
        <w:gridCol w:w="1568"/>
        <w:gridCol w:w="2027"/>
        <w:gridCol w:w="2025"/>
      </w:tblGrid>
      <w:tr w:rsidR="008579FC" w:rsidRPr="00100F0A" w14:paraId="1CE0C708" w14:textId="77777777" w:rsidTr="004206B0">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881" w:type="pct"/>
          </w:tcPr>
          <w:p w14:paraId="19FDE866" w14:textId="77777777" w:rsidR="008579FC" w:rsidRPr="00F7413A" w:rsidRDefault="008579FC" w:rsidP="008579FC">
            <w:pPr>
              <w:spacing w:beforeLines="50" w:before="120" w:afterLines="50" w:after="120"/>
              <w:jc w:val="center"/>
            </w:pPr>
            <w:r>
              <w:t xml:space="preserve">Total </w:t>
            </w:r>
            <w:r w:rsidRPr="00F7413A">
              <w:rPr>
                <w:u w:val="single"/>
              </w:rPr>
              <w:t xml:space="preserve">capacities </w:t>
            </w:r>
            <w:r>
              <w:t>assessed</w:t>
            </w:r>
          </w:p>
        </w:tc>
        <w:tc>
          <w:tcPr>
            <w:tcW w:w="1005" w:type="pct"/>
          </w:tcPr>
          <w:p w14:paraId="0FD86CC6" w14:textId="77777777" w:rsidR="008579FC" w:rsidRDefault="008579FC" w:rsidP="008579FC">
            <w:pPr>
              <w:spacing w:beforeLines="50" w:before="120" w:afterLines="50" w:after="120"/>
              <w:jc w:val="center"/>
              <w:cnfStyle w:val="100000000000" w:firstRow="1" w:lastRow="0" w:firstColumn="0" w:lastColumn="0" w:oddVBand="0" w:evenVBand="0" w:oddHBand="0" w:evenHBand="0" w:firstRowFirstColumn="0" w:firstRowLastColumn="0" w:lastRowFirstColumn="0" w:lastRowLastColumn="0"/>
            </w:pPr>
            <w:r>
              <w:t>Operational capacities</w:t>
            </w:r>
          </w:p>
        </w:tc>
        <w:tc>
          <w:tcPr>
            <w:tcW w:w="869" w:type="pct"/>
          </w:tcPr>
          <w:p w14:paraId="7CD19076" w14:textId="77777777" w:rsidR="008579FC" w:rsidRPr="00F7413A" w:rsidRDefault="008579FC" w:rsidP="008579FC">
            <w:pPr>
              <w:spacing w:beforeLines="50" w:before="120" w:afterLines="50" w:after="120"/>
              <w:jc w:val="center"/>
              <w:cnfStyle w:val="100000000000" w:firstRow="1" w:lastRow="0" w:firstColumn="0" w:lastColumn="0" w:oddVBand="0" w:evenVBand="0" w:oddHBand="0" w:evenHBand="0" w:firstRowFirstColumn="0" w:firstRowLastColumn="0" w:lastRowFirstColumn="0" w:lastRowLastColumn="0"/>
            </w:pPr>
            <w:r>
              <w:t xml:space="preserve">Planned capacities </w:t>
            </w:r>
          </w:p>
        </w:tc>
        <w:tc>
          <w:tcPr>
            <w:tcW w:w="1123" w:type="pct"/>
          </w:tcPr>
          <w:p w14:paraId="1EB55D81" w14:textId="748006A5" w:rsidR="008579FC" w:rsidRDefault="008579FC">
            <w:pPr>
              <w:spacing w:beforeLines="50" w:before="120" w:afterLines="50" w:after="120"/>
              <w:jc w:val="center"/>
              <w:cnfStyle w:val="100000000000" w:firstRow="1" w:lastRow="0" w:firstColumn="0" w:lastColumn="0" w:oddVBand="0" w:evenVBand="0" w:oddHBand="0" w:evenHBand="0" w:firstRowFirstColumn="0" w:firstRowLastColumn="0" w:lastRowFirstColumn="0" w:lastRowLastColumn="0"/>
            </w:pPr>
            <w:r>
              <w:t>Closed capacities</w:t>
            </w:r>
          </w:p>
        </w:tc>
        <w:tc>
          <w:tcPr>
            <w:tcW w:w="1122" w:type="pct"/>
          </w:tcPr>
          <w:p w14:paraId="59607908" w14:textId="52C00A75" w:rsidR="008579FC" w:rsidDel="008579FC" w:rsidRDefault="008579FC" w:rsidP="008579FC">
            <w:pPr>
              <w:spacing w:beforeLines="50" w:before="120" w:afterLines="50" w:after="120"/>
              <w:jc w:val="center"/>
              <w:cnfStyle w:val="100000000000" w:firstRow="1" w:lastRow="0" w:firstColumn="0" w:lastColumn="0" w:oddVBand="0" w:evenVBand="0" w:oddHBand="0" w:evenHBand="0" w:firstRowFirstColumn="0" w:firstRowLastColumn="0" w:lastRowFirstColumn="0" w:lastRowLastColumn="0"/>
            </w:pPr>
            <w:r>
              <w:t>Total current &amp; planned capacities</w:t>
            </w:r>
          </w:p>
        </w:tc>
      </w:tr>
      <w:tr w:rsidR="008579FC" w:rsidRPr="00100F0A" w14:paraId="3920C7B4" w14:textId="77777777" w:rsidTr="004206B0">
        <w:tc>
          <w:tcPr>
            <w:cnfStyle w:val="001000000000" w:firstRow="0" w:lastRow="0" w:firstColumn="1" w:lastColumn="0" w:oddVBand="0" w:evenVBand="0" w:oddHBand="0" w:evenHBand="0" w:firstRowFirstColumn="0" w:firstRowLastColumn="0" w:lastRowFirstColumn="0" w:lastRowLastColumn="0"/>
            <w:tcW w:w="881" w:type="pct"/>
          </w:tcPr>
          <w:p w14:paraId="15C21EDB" w14:textId="77777777" w:rsidR="008579FC" w:rsidRPr="00100F0A" w:rsidRDefault="008579FC" w:rsidP="008579FC">
            <w:pPr>
              <w:jc w:val="right"/>
              <w:rPr>
                <w:color w:val="080808"/>
              </w:rPr>
            </w:pPr>
            <w:r>
              <w:rPr>
                <w:color w:val="080808"/>
              </w:rPr>
              <w:t>234</w:t>
            </w:r>
          </w:p>
        </w:tc>
        <w:tc>
          <w:tcPr>
            <w:tcW w:w="1005" w:type="pct"/>
          </w:tcPr>
          <w:p w14:paraId="032A325A" w14:textId="77777777" w:rsidR="008579FC" w:rsidRPr="00100F0A" w:rsidRDefault="008579FC" w:rsidP="008579FC">
            <w:pPr>
              <w:jc w:val="right"/>
              <w:cnfStyle w:val="000000000000" w:firstRow="0" w:lastRow="0" w:firstColumn="0" w:lastColumn="0" w:oddVBand="0" w:evenVBand="0" w:oddHBand="0" w:evenHBand="0" w:firstRowFirstColumn="0" w:firstRowLastColumn="0" w:lastRowFirstColumn="0" w:lastRowLastColumn="0"/>
              <w:rPr>
                <w:color w:val="080808"/>
              </w:rPr>
            </w:pPr>
            <w:r>
              <w:rPr>
                <w:color w:val="080808"/>
              </w:rPr>
              <w:t>192</w:t>
            </w:r>
          </w:p>
        </w:tc>
        <w:tc>
          <w:tcPr>
            <w:tcW w:w="869" w:type="pct"/>
            <w:vAlign w:val="center"/>
          </w:tcPr>
          <w:p w14:paraId="04DA590D" w14:textId="77777777" w:rsidR="008579FC" w:rsidRPr="00100F0A" w:rsidRDefault="008579FC" w:rsidP="008579FC">
            <w:pPr>
              <w:jc w:val="right"/>
              <w:cnfStyle w:val="000000000000" w:firstRow="0" w:lastRow="0" w:firstColumn="0" w:lastColumn="0" w:oddVBand="0" w:evenVBand="0" w:oddHBand="0" w:evenHBand="0" w:firstRowFirstColumn="0" w:firstRowLastColumn="0" w:lastRowFirstColumn="0" w:lastRowLastColumn="0"/>
              <w:rPr>
                <w:color w:val="080808"/>
              </w:rPr>
            </w:pPr>
            <w:r>
              <w:rPr>
                <w:color w:val="080808"/>
              </w:rPr>
              <w:t>11</w:t>
            </w:r>
          </w:p>
        </w:tc>
        <w:tc>
          <w:tcPr>
            <w:tcW w:w="1123" w:type="pct"/>
          </w:tcPr>
          <w:p w14:paraId="7551097C" w14:textId="49F55E0A" w:rsidR="008579FC" w:rsidRDefault="008579FC" w:rsidP="008579FC">
            <w:pPr>
              <w:jc w:val="right"/>
              <w:cnfStyle w:val="000000000000" w:firstRow="0" w:lastRow="0" w:firstColumn="0" w:lastColumn="0" w:oddVBand="0" w:evenVBand="0" w:oddHBand="0" w:evenHBand="0" w:firstRowFirstColumn="0" w:firstRowLastColumn="0" w:lastRowFirstColumn="0" w:lastRowLastColumn="0"/>
              <w:rPr>
                <w:color w:val="080808"/>
              </w:rPr>
            </w:pPr>
            <w:r>
              <w:rPr>
                <w:color w:val="080808"/>
              </w:rPr>
              <w:t>31</w:t>
            </w:r>
          </w:p>
        </w:tc>
        <w:tc>
          <w:tcPr>
            <w:tcW w:w="1122" w:type="pct"/>
          </w:tcPr>
          <w:p w14:paraId="0122B100" w14:textId="27F2F8A1" w:rsidR="008579FC" w:rsidDel="008579FC" w:rsidRDefault="008579FC" w:rsidP="008579FC">
            <w:pPr>
              <w:jc w:val="right"/>
              <w:cnfStyle w:val="000000000000" w:firstRow="0" w:lastRow="0" w:firstColumn="0" w:lastColumn="0" w:oddVBand="0" w:evenVBand="0" w:oddHBand="0" w:evenHBand="0" w:firstRowFirstColumn="0" w:firstRowLastColumn="0" w:lastRowFirstColumn="0" w:lastRowLastColumn="0"/>
              <w:rPr>
                <w:color w:val="080808"/>
              </w:rPr>
            </w:pPr>
            <w:r>
              <w:rPr>
                <w:color w:val="080808"/>
              </w:rPr>
              <w:t>203</w:t>
            </w:r>
          </w:p>
        </w:tc>
      </w:tr>
    </w:tbl>
    <w:p w14:paraId="3BE349E9" w14:textId="77777777" w:rsidR="00981ABF" w:rsidRDefault="00981ABF" w:rsidP="005D004B">
      <w:pPr>
        <w:rPr>
          <w:color w:val="080808"/>
        </w:rPr>
      </w:pPr>
    </w:p>
    <w:p w14:paraId="2D71ADBB" w14:textId="77777777" w:rsidR="002A3A54" w:rsidRPr="00100F0A" w:rsidRDefault="002A3A54" w:rsidP="00B85E4F">
      <w:pPr>
        <w:pStyle w:val="Heading3"/>
      </w:pPr>
      <w:r w:rsidRPr="00100F0A">
        <w:t>The survey questions</w:t>
      </w:r>
    </w:p>
    <w:p w14:paraId="7D22A224" w14:textId="60C5662E" w:rsidR="002A3A54" w:rsidRPr="00100F0A" w:rsidRDefault="002A3A54" w:rsidP="002A3A54">
      <w:pPr>
        <w:keepNext/>
        <w:rPr>
          <w:color w:val="080808"/>
        </w:rPr>
      </w:pPr>
      <w:r w:rsidRPr="00100F0A">
        <w:rPr>
          <w:color w:val="080808"/>
        </w:rPr>
        <w:t xml:space="preserve">All </w:t>
      </w:r>
      <w:r w:rsidR="00972912" w:rsidRPr="00100F0A">
        <w:rPr>
          <w:color w:val="080808"/>
        </w:rPr>
        <w:t>c</w:t>
      </w:r>
      <w:r w:rsidRPr="00100F0A">
        <w:rPr>
          <w:color w:val="080808"/>
        </w:rPr>
        <w:t>ompanies were asked</w:t>
      </w:r>
      <w:r w:rsidR="00972912" w:rsidRPr="00100F0A">
        <w:rPr>
          <w:color w:val="080808"/>
        </w:rPr>
        <w:t xml:space="preserve"> to update or provide additional data for </w:t>
      </w:r>
      <w:r w:rsidRPr="00100F0A">
        <w:t>1</w:t>
      </w:r>
      <w:r w:rsidR="00972912" w:rsidRPr="00100F0A">
        <w:t>3</w:t>
      </w:r>
      <w:r w:rsidRPr="00100F0A">
        <w:t xml:space="preserve"> questions relating to the operations and capacity of each of their sites, as listed in </w:t>
      </w:r>
      <w:r w:rsidRPr="00100F0A">
        <w:fldChar w:fldCharType="begin"/>
      </w:r>
      <w:r w:rsidRPr="00100F0A">
        <w:instrText xml:space="preserve"> REF _Ref419459125 \h  \* MERGEFORMAT </w:instrText>
      </w:r>
      <w:r w:rsidRPr="00100F0A">
        <w:fldChar w:fldCharType="separate"/>
      </w:r>
      <w:r w:rsidR="00EB634D" w:rsidRPr="00EB634D">
        <w:rPr>
          <w:rFonts w:asciiTheme="minorHAnsi" w:hAnsiTheme="minorHAnsi" w:cs="Calibri"/>
        </w:rPr>
        <w:t xml:space="preserve">Table </w:t>
      </w:r>
      <w:r w:rsidR="00EB634D" w:rsidRPr="00EB634D">
        <w:rPr>
          <w:rFonts w:asciiTheme="minorHAnsi" w:hAnsiTheme="minorHAnsi" w:cs="Calibri"/>
          <w:noProof/>
        </w:rPr>
        <w:t>45</w:t>
      </w:r>
      <w:r w:rsidRPr="00100F0A">
        <w:fldChar w:fldCharType="end"/>
      </w:r>
      <w:r w:rsidRPr="00100F0A">
        <w:t xml:space="preserve">. </w:t>
      </w:r>
      <w:r w:rsidRPr="00100F0A">
        <w:rPr>
          <w:color w:val="080808"/>
        </w:rPr>
        <w:t xml:space="preserve">Companies with several sites answered the questions several times, once for each site. </w:t>
      </w:r>
    </w:p>
    <w:p w14:paraId="5B2AE35A" w14:textId="77777777" w:rsidR="002A3A54" w:rsidRPr="00100F0A" w:rsidRDefault="002A3A54" w:rsidP="002A3A54">
      <w:pPr>
        <w:rPr>
          <w:color w:val="080808"/>
          <w:sz w:val="2"/>
          <w:szCs w:val="2"/>
        </w:rPr>
      </w:pPr>
    </w:p>
    <w:p w14:paraId="1760EA3C" w14:textId="5ABEF781" w:rsidR="002A3A54" w:rsidRPr="00100F0A" w:rsidRDefault="002A3A54" w:rsidP="00273FA6">
      <w:pPr>
        <w:pStyle w:val="Caption"/>
      </w:pPr>
      <w:bookmarkStart w:id="325" w:name="_Ref419459125"/>
      <w:bookmarkStart w:id="326" w:name="_Toc419190511"/>
      <w:bookmarkStart w:id="327" w:name="_Toc425849334"/>
      <w:bookmarkStart w:id="328" w:name="_Toc13225664"/>
      <w:r w:rsidRPr="00100F0A">
        <w:t xml:space="preserve">Table </w:t>
      </w:r>
      <w:r w:rsidRPr="00100F0A">
        <w:rPr>
          <w:noProof/>
        </w:rPr>
        <w:fldChar w:fldCharType="begin"/>
      </w:r>
      <w:r w:rsidRPr="00100F0A">
        <w:rPr>
          <w:noProof/>
        </w:rPr>
        <w:instrText xml:space="preserve"> SEQ Table \* ARABIC </w:instrText>
      </w:r>
      <w:r w:rsidRPr="00100F0A">
        <w:rPr>
          <w:noProof/>
        </w:rPr>
        <w:fldChar w:fldCharType="separate"/>
      </w:r>
      <w:r w:rsidR="00EB634D">
        <w:rPr>
          <w:noProof/>
        </w:rPr>
        <w:t>45</w:t>
      </w:r>
      <w:r w:rsidRPr="00100F0A">
        <w:rPr>
          <w:noProof/>
        </w:rPr>
        <w:fldChar w:fldCharType="end"/>
      </w:r>
      <w:bookmarkEnd w:id="325"/>
      <w:r w:rsidR="00AD2F76">
        <w:rPr>
          <w:noProof/>
        </w:rPr>
        <w:t>:</w:t>
      </w:r>
      <w:r w:rsidR="00D11FEE" w:rsidRPr="00100F0A">
        <w:tab/>
      </w:r>
      <w:r w:rsidRPr="00100F0A">
        <w:t>Questions asked of industry consultation survey respondents</w:t>
      </w:r>
      <w:bookmarkEnd w:id="326"/>
      <w:bookmarkEnd w:id="327"/>
      <w:bookmarkEnd w:id="328"/>
    </w:p>
    <w:tbl>
      <w:tblPr>
        <w:tblStyle w:val="BETable12"/>
        <w:tblW w:w="9015" w:type="dxa"/>
        <w:tblLayout w:type="fixed"/>
        <w:tblLook w:val="04A0" w:firstRow="1" w:lastRow="0" w:firstColumn="1" w:lastColumn="0" w:noHBand="0" w:noVBand="1"/>
      </w:tblPr>
      <w:tblGrid>
        <w:gridCol w:w="426"/>
        <w:gridCol w:w="4819"/>
        <w:gridCol w:w="3770"/>
      </w:tblGrid>
      <w:tr w:rsidR="002A3A54" w:rsidRPr="00100F0A" w14:paraId="615070DE" w14:textId="77777777" w:rsidTr="00F05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6" w:type="dxa"/>
          </w:tcPr>
          <w:p w14:paraId="7C06C0E8" w14:textId="77777777" w:rsidR="002A3A54" w:rsidRPr="00100F0A" w:rsidRDefault="002A3A54" w:rsidP="002A3A54">
            <w:r w:rsidRPr="00100F0A">
              <w:t>#</w:t>
            </w:r>
          </w:p>
        </w:tc>
        <w:tc>
          <w:tcPr>
            <w:tcW w:w="4819" w:type="dxa"/>
          </w:tcPr>
          <w:p w14:paraId="2A237E91" w14:textId="77777777" w:rsidR="002A3A54" w:rsidRPr="00100F0A" w:rsidRDefault="002A3A54" w:rsidP="002A3A54">
            <w:pPr>
              <w:cnfStyle w:val="100000000000" w:firstRow="1" w:lastRow="0" w:firstColumn="0" w:lastColumn="0" w:oddVBand="0" w:evenVBand="0" w:oddHBand="0" w:evenHBand="0" w:firstRowFirstColumn="0" w:firstRowLastColumn="0" w:lastRowFirstColumn="0" w:lastRowLastColumn="0"/>
            </w:pPr>
            <w:r w:rsidRPr="00100F0A">
              <w:t>Question</w:t>
            </w:r>
          </w:p>
        </w:tc>
        <w:tc>
          <w:tcPr>
            <w:tcW w:w="3770" w:type="dxa"/>
          </w:tcPr>
          <w:p w14:paraId="2EBB44F0" w14:textId="77777777" w:rsidR="002A3A54" w:rsidRPr="00100F0A" w:rsidRDefault="002A3A54" w:rsidP="002A3A54">
            <w:pPr>
              <w:cnfStyle w:val="100000000000" w:firstRow="1" w:lastRow="0" w:firstColumn="0" w:lastColumn="0" w:oddVBand="0" w:evenVBand="0" w:oddHBand="0" w:evenHBand="0" w:firstRowFirstColumn="0" w:firstRowLastColumn="0" w:lastRowFirstColumn="0" w:lastRowLastColumn="0"/>
            </w:pPr>
            <w:r w:rsidRPr="00100F0A">
              <w:t>Guidance notes provided</w:t>
            </w:r>
          </w:p>
        </w:tc>
      </w:tr>
      <w:tr w:rsidR="008C07F6" w:rsidRPr="00100F0A" w14:paraId="4DF46C27" w14:textId="77777777" w:rsidTr="00F051C6">
        <w:tc>
          <w:tcPr>
            <w:cnfStyle w:val="001000000000" w:firstRow="0" w:lastRow="0" w:firstColumn="1" w:lastColumn="0" w:oddVBand="0" w:evenVBand="0" w:oddHBand="0" w:evenHBand="0" w:firstRowFirstColumn="0" w:firstRowLastColumn="0" w:lastRowFirstColumn="0" w:lastRowLastColumn="0"/>
            <w:tcW w:w="426" w:type="dxa"/>
          </w:tcPr>
          <w:p w14:paraId="6606F200" w14:textId="77777777" w:rsidR="008C07F6" w:rsidRPr="00100F0A" w:rsidRDefault="008C07F6" w:rsidP="008C07F6">
            <w:r w:rsidRPr="00100F0A">
              <w:t>1</w:t>
            </w:r>
          </w:p>
        </w:tc>
        <w:tc>
          <w:tcPr>
            <w:tcW w:w="4819" w:type="dxa"/>
          </w:tcPr>
          <w:p w14:paraId="337EE5C8" w14:textId="41B11B93" w:rsidR="008C07F6" w:rsidRPr="00100F0A" w:rsidRDefault="008C07F6" w:rsidP="008C07F6">
            <w:pPr>
              <w:cnfStyle w:val="000000000000" w:firstRow="0" w:lastRow="0" w:firstColumn="0" w:lastColumn="0" w:oddVBand="0" w:evenVBand="0" w:oddHBand="0" w:evenHBand="0" w:firstRowFirstColumn="0" w:firstRowLastColumn="0" w:lastRowFirstColumn="0" w:lastRowLastColumn="0"/>
            </w:pPr>
            <w:r w:rsidRPr="00100F0A">
              <w:t>Briefly describe the plant, processes &amp; equipment used at the site</w:t>
            </w:r>
          </w:p>
        </w:tc>
        <w:tc>
          <w:tcPr>
            <w:tcW w:w="3770" w:type="dxa"/>
          </w:tcPr>
          <w:p w14:paraId="26420632" w14:textId="77777777" w:rsidR="008C07F6" w:rsidRPr="00100F0A" w:rsidRDefault="008C07F6" w:rsidP="008C07F6">
            <w:pPr>
              <w:cnfStyle w:val="000000000000" w:firstRow="0" w:lastRow="0" w:firstColumn="0" w:lastColumn="0" w:oddVBand="0" w:evenVBand="0" w:oddHBand="0" w:evenHBand="0" w:firstRowFirstColumn="0" w:firstRowLastColumn="0" w:lastRowFirstColumn="0" w:lastRowLastColumn="0"/>
              <w:rPr>
                <w:shd w:val="clear" w:color="auto" w:fill="FFFFFF"/>
              </w:rPr>
            </w:pPr>
          </w:p>
        </w:tc>
      </w:tr>
      <w:tr w:rsidR="008C07F6" w:rsidRPr="00100F0A" w14:paraId="10BDDE4A" w14:textId="77777777" w:rsidTr="00F051C6">
        <w:tc>
          <w:tcPr>
            <w:cnfStyle w:val="001000000000" w:firstRow="0" w:lastRow="0" w:firstColumn="1" w:lastColumn="0" w:oddVBand="0" w:evenVBand="0" w:oddHBand="0" w:evenHBand="0" w:firstRowFirstColumn="0" w:firstRowLastColumn="0" w:lastRowFirstColumn="0" w:lastRowLastColumn="0"/>
            <w:tcW w:w="426" w:type="dxa"/>
          </w:tcPr>
          <w:p w14:paraId="34E5F2A7" w14:textId="77777777" w:rsidR="008C07F6" w:rsidRPr="00100F0A" w:rsidRDefault="008C07F6" w:rsidP="008C07F6">
            <w:r w:rsidRPr="00100F0A">
              <w:t>2</w:t>
            </w:r>
          </w:p>
        </w:tc>
        <w:tc>
          <w:tcPr>
            <w:tcW w:w="4819" w:type="dxa"/>
          </w:tcPr>
          <w:p w14:paraId="749ACC61" w14:textId="53EA6409" w:rsidR="008C07F6" w:rsidRPr="00100F0A" w:rsidRDefault="008C07F6" w:rsidP="008C07F6">
            <w:pPr>
              <w:cnfStyle w:val="000000000000" w:firstRow="0" w:lastRow="0" w:firstColumn="0" w:lastColumn="0" w:oddVBand="0" w:evenVBand="0" w:oddHBand="0" w:evenHBand="0" w:firstRowFirstColumn="0" w:firstRowLastColumn="0" w:lastRowFirstColumn="0" w:lastRowLastColumn="0"/>
              <w:rPr>
                <w:shd w:val="clear" w:color="auto" w:fill="FFFFFF"/>
              </w:rPr>
            </w:pPr>
            <w:r w:rsidRPr="00100F0A">
              <w:t>Estimate of average annual quantity of hazardous waste received over the last three years (tonnes by waste type)</w:t>
            </w:r>
          </w:p>
        </w:tc>
        <w:tc>
          <w:tcPr>
            <w:tcW w:w="3770" w:type="dxa"/>
          </w:tcPr>
          <w:p w14:paraId="719F8BAA" w14:textId="77777777" w:rsidR="008C07F6" w:rsidRPr="00100F0A" w:rsidRDefault="008C07F6" w:rsidP="008C07F6">
            <w:pPr>
              <w:cnfStyle w:val="000000000000" w:firstRow="0" w:lastRow="0" w:firstColumn="0" w:lastColumn="0" w:oddVBand="0" w:evenVBand="0" w:oddHBand="0" w:evenHBand="0" w:firstRowFirstColumn="0" w:firstRowLastColumn="0" w:lastRowFirstColumn="0" w:lastRowLastColumn="0"/>
              <w:rPr>
                <w:shd w:val="clear" w:color="auto" w:fill="FFFFFF"/>
              </w:rPr>
            </w:pPr>
          </w:p>
        </w:tc>
      </w:tr>
      <w:tr w:rsidR="008C07F6" w:rsidRPr="00100F0A" w14:paraId="2FF85A73" w14:textId="77777777" w:rsidTr="00F051C6">
        <w:tc>
          <w:tcPr>
            <w:cnfStyle w:val="001000000000" w:firstRow="0" w:lastRow="0" w:firstColumn="1" w:lastColumn="0" w:oddVBand="0" w:evenVBand="0" w:oddHBand="0" w:evenHBand="0" w:firstRowFirstColumn="0" w:firstRowLastColumn="0" w:lastRowFirstColumn="0" w:lastRowLastColumn="0"/>
            <w:tcW w:w="426" w:type="dxa"/>
          </w:tcPr>
          <w:p w14:paraId="5F057527" w14:textId="77777777" w:rsidR="008C07F6" w:rsidRPr="00100F0A" w:rsidRDefault="008C07F6" w:rsidP="008C07F6">
            <w:r w:rsidRPr="00100F0A">
              <w:t>3</w:t>
            </w:r>
          </w:p>
        </w:tc>
        <w:tc>
          <w:tcPr>
            <w:tcW w:w="4819" w:type="dxa"/>
          </w:tcPr>
          <w:p w14:paraId="6F6C42D0" w14:textId="029D730E" w:rsidR="008C07F6" w:rsidRPr="00100F0A" w:rsidRDefault="008C07F6" w:rsidP="008C07F6">
            <w:pPr>
              <w:cnfStyle w:val="000000000000" w:firstRow="0" w:lastRow="0" w:firstColumn="0" w:lastColumn="0" w:oddVBand="0" w:evenVBand="0" w:oddHBand="0" w:evenHBand="0" w:firstRowFirstColumn="0" w:firstRowLastColumn="0" w:lastRowFirstColumn="0" w:lastRowLastColumn="0"/>
              <w:rPr>
                <w:shd w:val="clear" w:color="auto" w:fill="FFFFFF"/>
              </w:rPr>
            </w:pPr>
            <w:r w:rsidRPr="00100F0A">
              <w:t>Licensed waste processing capacity for the site, in tonnes and by waste type (see note 1)</w:t>
            </w:r>
          </w:p>
        </w:tc>
        <w:tc>
          <w:tcPr>
            <w:tcW w:w="3770" w:type="dxa"/>
          </w:tcPr>
          <w:p w14:paraId="274C2A1D" w14:textId="120CCE0D" w:rsidR="008C07F6" w:rsidRPr="00100F0A" w:rsidRDefault="008C07F6" w:rsidP="008C07F6">
            <w:pPr>
              <w:cnfStyle w:val="000000000000" w:firstRow="0" w:lastRow="0" w:firstColumn="0" w:lastColumn="0" w:oddVBand="0" w:evenVBand="0" w:oddHBand="0" w:evenHBand="0" w:firstRowFirstColumn="0" w:firstRowLastColumn="0" w:lastRowFirstColumn="0" w:lastRowLastColumn="0"/>
              <w:rPr>
                <w:shd w:val="clear" w:color="auto" w:fill="FFFFFF"/>
              </w:rPr>
            </w:pPr>
            <w:r w:rsidRPr="00100F0A">
              <w:rPr>
                <w:shd w:val="clear" w:color="auto" w:fill="FFFFFF"/>
              </w:rPr>
              <w:t>This is to help us understand if the existing infrastructure could receive additional annual tonnages if your licence allowed it</w:t>
            </w:r>
          </w:p>
        </w:tc>
      </w:tr>
      <w:tr w:rsidR="008C07F6" w:rsidRPr="00100F0A" w14:paraId="079ADB67" w14:textId="77777777" w:rsidTr="00F051C6">
        <w:tc>
          <w:tcPr>
            <w:cnfStyle w:val="001000000000" w:firstRow="0" w:lastRow="0" w:firstColumn="1" w:lastColumn="0" w:oddVBand="0" w:evenVBand="0" w:oddHBand="0" w:evenHBand="0" w:firstRowFirstColumn="0" w:firstRowLastColumn="0" w:lastRowFirstColumn="0" w:lastRowLastColumn="0"/>
            <w:tcW w:w="426" w:type="dxa"/>
          </w:tcPr>
          <w:p w14:paraId="65B2C54B" w14:textId="77777777" w:rsidR="008C07F6" w:rsidRPr="00100F0A" w:rsidRDefault="008C07F6" w:rsidP="008C07F6">
            <w:r w:rsidRPr="00100F0A">
              <w:t>4</w:t>
            </w:r>
          </w:p>
        </w:tc>
        <w:tc>
          <w:tcPr>
            <w:tcW w:w="4819" w:type="dxa"/>
          </w:tcPr>
          <w:p w14:paraId="1647AE15" w14:textId="10498BC9" w:rsidR="008C07F6" w:rsidRPr="00100F0A" w:rsidRDefault="008C07F6" w:rsidP="008C07F6">
            <w:pPr>
              <w:cnfStyle w:val="000000000000" w:firstRow="0" w:lastRow="0" w:firstColumn="0" w:lastColumn="0" w:oddVBand="0" w:evenVBand="0" w:oddHBand="0" w:evenHBand="0" w:firstRowFirstColumn="0" w:firstRowLastColumn="0" w:lastRowFirstColumn="0" w:lastRowLastColumn="0"/>
              <w:rPr>
                <w:shd w:val="clear" w:color="auto" w:fill="FFFFFF"/>
              </w:rPr>
            </w:pPr>
            <w:r w:rsidRPr="00100F0A">
              <w:t>The installed annual capacity of the infrastructure at the site, in tonnes and by waste type</w:t>
            </w:r>
          </w:p>
        </w:tc>
        <w:tc>
          <w:tcPr>
            <w:tcW w:w="3770" w:type="dxa"/>
          </w:tcPr>
          <w:p w14:paraId="56EE1B51" w14:textId="77777777" w:rsidR="008C07F6" w:rsidRPr="00100F0A" w:rsidRDefault="008C07F6" w:rsidP="008C07F6">
            <w:pPr>
              <w:cnfStyle w:val="000000000000" w:firstRow="0" w:lastRow="0" w:firstColumn="0" w:lastColumn="0" w:oddVBand="0" w:evenVBand="0" w:oddHBand="0" w:evenHBand="0" w:firstRowFirstColumn="0" w:firstRowLastColumn="0" w:lastRowFirstColumn="0" w:lastRowLastColumn="0"/>
              <w:rPr>
                <w:shd w:val="clear" w:color="auto" w:fill="FFFFFF"/>
              </w:rPr>
            </w:pPr>
          </w:p>
        </w:tc>
      </w:tr>
      <w:tr w:rsidR="008C07F6" w:rsidRPr="00100F0A" w14:paraId="634E5EC0" w14:textId="77777777" w:rsidTr="00F051C6">
        <w:tc>
          <w:tcPr>
            <w:cnfStyle w:val="001000000000" w:firstRow="0" w:lastRow="0" w:firstColumn="1" w:lastColumn="0" w:oddVBand="0" w:evenVBand="0" w:oddHBand="0" w:evenHBand="0" w:firstRowFirstColumn="0" w:firstRowLastColumn="0" w:lastRowFirstColumn="0" w:lastRowLastColumn="0"/>
            <w:tcW w:w="426" w:type="dxa"/>
          </w:tcPr>
          <w:p w14:paraId="5ADFC440" w14:textId="77777777" w:rsidR="008C07F6" w:rsidRPr="00100F0A" w:rsidRDefault="008C07F6" w:rsidP="008C07F6">
            <w:r w:rsidRPr="00100F0A">
              <w:t>5</w:t>
            </w:r>
          </w:p>
        </w:tc>
        <w:tc>
          <w:tcPr>
            <w:tcW w:w="4819" w:type="dxa"/>
          </w:tcPr>
          <w:p w14:paraId="5578B02D" w14:textId="55D5098A" w:rsidR="008C07F6" w:rsidRPr="00100F0A" w:rsidRDefault="008C07F6" w:rsidP="008C07F6">
            <w:pPr>
              <w:cnfStyle w:val="000000000000" w:firstRow="0" w:lastRow="0" w:firstColumn="0" w:lastColumn="0" w:oddVBand="0" w:evenVBand="0" w:oddHBand="0" w:evenHBand="0" w:firstRowFirstColumn="0" w:firstRowLastColumn="0" w:lastRowFirstColumn="0" w:lastRowLastColumn="0"/>
              <w:rPr>
                <w:shd w:val="clear" w:color="auto" w:fill="FFFFFF"/>
              </w:rPr>
            </w:pPr>
            <w:r w:rsidRPr="00100F0A">
              <w:t xml:space="preserve">Details of expected future increases or decreases in the quantities of hazardous waste you receive (see note 2) </w:t>
            </w:r>
          </w:p>
        </w:tc>
        <w:tc>
          <w:tcPr>
            <w:tcW w:w="3770" w:type="dxa"/>
          </w:tcPr>
          <w:p w14:paraId="120BA1E4" w14:textId="26C11A8B" w:rsidR="008C07F6" w:rsidRPr="00100F0A" w:rsidRDefault="008C07F6" w:rsidP="008C07F6">
            <w:pPr>
              <w:cnfStyle w:val="000000000000" w:firstRow="0" w:lastRow="0" w:firstColumn="0" w:lastColumn="0" w:oddVBand="0" w:evenVBand="0" w:oddHBand="0" w:evenHBand="0" w:firstRowFirstColumn="0" w:firstRowLastColumn="0" w:lastRowFirstColumn="0" w:lastRowLastColumn="0"/>
              <w:rPr>
                <w:shd w:val="clear" w:color="auto" w:fill="FFFFFF"/>
              </w:rPr>
            </w:pPr>
            <w:r w:rsidRPr="00100F0A">
              <w:rPr>
                <w:rFonts w:cs="Calibri"/>
                <w:color w:val="000000"/>
              </w:rPr>
              <w:t xml:space="preserve">This is to help us understand expected additional infrastructure capacity or alternatively plans to reduce the capacity of, or shut down, infrastructure. For landfill operators estimate the amount of hazardous waste you expect to receive before the site closes. </w:t>
            </w:r>
          </w:p>
        </w:tc>
      </w:tr>
      <w:tr w:rsidR="008C07F6" w:rsidRPr="00100F0A" w14:paraId="4BAFEE5A" w14:textId="77777777" w:rsidTr="00F051C6">
        <w:tc>
          <w:tcPr>
            <w:cnfStyle w:val="001000000000" w:firstRow="0" w:lastRow="0" w:firstColumn="1" w:lastColumn="0" w:oddVBand="0" w:evenVBand="0" w:oddHBand="0" w:evenHBand="0" w:firstRowFirstColumn="0" w:firstRowLastColumn="0" w:lastRowFirstColumn="0" w:lastRowLastColumn="0"/>
            <w:tcW w:w="426" w:type="dxa"/>
          </w:tcPr>
          <w:p w14:paraId="5095CB0F" w14:textId="77777777" w:rsidR="008C07F6" w:rsidRPr="00100F0A" w:rsidRDefault="008C07F6" w:rsidP="008C07F6">
            <w:r w:rsidRPr="00100F0A">
              <w:t>6</w:t>
            </w:r>
          </w:p>
        </w:tc>
        <w:tc>
          <w:tcPr>
            <w:tcW w:w="4819" w:type="dxa"/>
          </w:tcPr>
          <w:p w14:paraId="1D9BDA17" w14:textId="0D21C81E" w:rsidR="008C07F6" w:rsidRPr="00100F0A" w:rsidRDefault="008C07F6" w:rsidP="008C07F6">
            <w:pPr>
              <w:cnfStyle w:val="000000000000" w:firstRow="0" w:lastRow="0" w:firstColumn="0" w:lastColumn="0" w:oddVBand="0" w:evenVBand="0" w:oddHBand="0" w:evenHBand="0" w:firstRowFirstColumn="0" w:firstRowLastColumn="0" w:lastRowFirstColumn="0" w:lastRowLastColumn="0"/>
              <w:rPr>
                <w:shd w:val="clear" w:color="auto" w:fill="FFFFFF"/>
              </w:rPr>
            </w:pPr>
            <w:r w:rsidRPr="00100F0A">
              <w:t>For treatment and processing facilities only, detail the final fate of the hazardous waste received</w:t>
            </w:r>
          </w:p>
        </w:tc>
        <w:tc>
          <w:tcPr>
            <w:tcW w:w="3770" w:type="dxa"/>
          </w:tcPr>
          <w:p w14:paraId="7F0A5D73" w14:textId="77777777" w:rsidR="008C07F6" w:rsidRPr="00100F0A" w:rsidRDefault="008C07F6" w:rsidP="008C07F6">
            <w:pPr>
              <w:cnfStyle w:val="000000000000" w:firstRow="0" w:lastRow="0" w:firstColumn="0" w:lastColumn="0" w:oddVBand="0" w:evenVBand="0" w:oddHBand="0" w:evenHBand="0" w:firstRowFirstColumn="0" w:firstRowLastColumn="0" w:lastRowFirstColumn="0" w:lastRowLastColumn="0"/>
              <w:rPr>
                <w:shd w:val="clear" w:color="auto" w:fill="FFFFFF"/>
              </w:rPr>
            </w:pPr>
          </w:p>
        </w:tc>
      </w:tr>
      <w:tr w:rsidR="008C07F6" w:rsidRPr="00100F0A" w14:paraId="13779B63" w14:textId="77777777" w:rsidTr="00F051C6">
        <w:tc>
          <w:tcPr>
            <w:cnfStyle w:val="001000000000" w:firstRow="0" w:lastRow="0" w:firstColumn="1" w:lastColumn="0" w:oddVBand="0" w:evenVBand="0" w:oddHBand="0" w:evenHBand="0" w:firstRowFirstColumn="0" w:firstRowLastColumn="0" w:lastRowFirstColumn="0" w:lastRowLastColumn="0"/>
            <w:tcW w:w="426" w:type="dxa"/>
          </w:tcPr>
          <w:p w14:paraId="3757C9FD" w14:textId="77777777" w:rsidR="008C07F6" w:rsidRPr="00100F0A" w:rsidRDefault="008C07F6" w:rsidP="008C07F6">
            <w:r w:rsidRPr="00100F0A">
              <w:t>7</w:t>
            </w:r>
          </w:p>
        </w:tc>
        <w:tc>
          <w:tcPr>
            <w:tcW w:w="4819" w:type="dxa"/>
          </w:tcPr>
          <w:p w14:paraId="3DECB9D7" w14:textId="770F6DDF" w:rsidR="008C07F6" w:rsidRPr="00100F0A" w:rsidRDefault="008C07F6" w:rsidP="008C07F6">
            <w:pPr>
              <w:cnfStyle w:val="000000000000" w:firstRow="0" w:lastRow="0" w:firstColumn="0" w:lastColumn="0" w:oddVBand="0" w:evenVBand="0" w:oddHBand="0" w:evenHBand="0" w:firstRowFirstColumn="0" w:firstRowLastColumn="0" w:lastRowFirstColumn="0" w:lastRowLastColumn="0"/>
              <w:rPr>
                <w:shd w:val="clear" w:color="auto" w:fill="FFFFFF"/>
              </w:rPr>
            </w:pPr>
            <w:r w:rsidRPr="00100F0A">
              <w:t>Are there any major transport constraints and risks for wastes delivered to, or removed from, the site?</w:t>
            </w:r>
          </w:p>
        </w:tc>
        <w:tc>
          <w:tcPr>
            <w:tcW w:w="3770" w:type="dxa"/>
          </w:tcPr>
          <w:p w14:paraId="3DA23928" w14:textId="77777777" w:rsidR="008C07F6" w:rsidRPr="00100F0A" w:rsidRDefault="008C07F6" w:rsidP="008C07F6">
            <w:pPr>
              <w:cnfStyle w:val="000000000000" w:firstRow="0" w:lastRow="0" w:firstColumn="0" w:lastColumn="0" w:oddVBand="0" w:evenVBand="0" w:oddHBand="0" w:evenHBand="0" w:firstRowFirstColumn="0" w:firstRowLastColumn="0" w:lastRowFirstColumn="0" w:lastRowLastColumn="0"/>
              <w:rPr>
                <w:shd w:val="clear" w:color="auto" w:fill="FFFFFF"/>
              </w:rPr>
            </w:pPr>
          </w:p>
        </w:tc>
      </w:tr>
      <w:tr w:rsidR="008C07F6" w:rsidRPr="00100F0A" w14:paraId="39AD4442" w14:textId="77777777" w:rsidTr="00F051C6">
        <w:tc>
          <w:tcPr>
            <w:cnfStyle w:val="001000000000" w:firstRow="0" w:lastRow="0" w:firstColumn="1" w:lastColumn="0" w:oddVBand="0" w:evenVBand="0" w:oddHBand="0" w:evenHBand="0" w:firstRowFirstColumn="0" w:firstRowLastColumn="0" w:lastRowFirstColumn="0" w:lastRowLastColumn="0"/>
            <w:tcW w:w="426" w:type="dxa"/>
          </w:tcPr>
          <w:p w14:paraId="6E90CEFF" w14:textId="77777777" w:rsidR="008C07F6" w:rsidRPr="00100F0A" w:rsidRDefault="008C07F6" w:rsidP="008C07F6">
            <w:r w:rsidRPr="00100F0A">
              <w:t>8</w:t>
            </w:r>
          </w:p>
        </w:tc>
        <w:tc>
          <w:tcPr>
            <w:tcW w:w="4819" w:type="dxa"/>
          </w:tcPr>
          <w:p w14:paraId="44620905" w14:textId="47861CFD" w:rsidR="008C07F6" w:rsidRPr="00100F0A" w:rsidRDefault="008C07F6" w:rsidP="008C07F6">
            <w:pPr>
              <w:cnfStyle w:val="000000000000" w:firstRow="0" w:lastRow="0" w:firstColumn="0" w:lastColumn="0" w:oddVBand="0" w:evenVBand="0" w:oddHBand="0" w:evenHBand="0" w:firstRowFirstColumn="0" w:firstRowLastColumn="0" w:lastRowFirstColumn="0" w:lastRowLastColumn="0"/>
              <w:rPr>
                <w:shd w:val="clear" w:color="auto" w:fill="FFFFFF"/>
              </w:rPr>
            </w:pPr>
            <w:r w:rsidRPr="00100F0A">
              <w:t xml:space="preserve">Are you aware of any stockpiles of hazardous waste? </w:t>
            </w:r>
          </w:p>
        </w:tc>
        <w:tc>
          <w:tcPr>
            <w:tcW w:w="3770" w:type="dxa"/>
          </w:tcPr>
          <w:p w14:paraId="0000CC61" w14:textId="7084674C" w:rsidR="008C07F6" w:rsidRPr="00100F0A" w:rsidRDefault="008C07F6" w:rsidP="008C07F6">
            <w:pPr>
              <w:cnfStyle w:val="000000000000" w:firstRow="0" w:lastRow="0" w:firstColumn="0" w:lastColumn="0" w:oddVBand="0" w:evenVBand="0" w:oddHBand="0" w:evenHBand="0" w:firstRowFirstColumn="0" w:firstRowLastColumn="0" w:lastRowFirstColumn="0" w:lastRowLastColumn="0"/>
              <w:rPr>
                <w:shd w:val="clear" w:color="auto" w:fill="FFFFFF"/>
              </w:rPr>
            </w:pPr>
            <w:r w:rsidRPr="00100F0A">
              <w:rPr>
                <w:shd w:val="clear" w:color="auto" w:fill="FFFFFF"/>
              </w:rPr>
              <w:t>Stockpiles could be located on the site or on another site</w:t>
            </w:r>
          </w:p>
        </w:tc>
      </w:tr>
      <w:tr w:rsidR="008C07F6" w:rsidRPr="00100F0A" w14:paraId="4101CD3F" w14:textId="77777777" w:rsidTr="00F051C6">
        <w:tc>
          <w:tcPr>
            <w:cnfStyle w:val="001000000000" w:firstRow="0" w:lastRow="0" w:firstColumn="1" w:lastColumn="0" w:oddVBand="0" w:evenVBand="0" w:oddHBand="0" w:evenHBand="0" w:firstRowFirstColumn="0" w:firstRowLastColumn="0" w:lastRowFirstColumn="0" w:lastRowLastColumn="0"/>
            <w:tcW w:w="426" w:type="dxa"/>
          </w:tcPr>
          <w:p w14:paraId="47207976" w14:textId="77777777" w:rsidR="008C07F6" w:rsidRPr="00100F0A" w:rsidRDefault="008C07F6" w:rsidP="008C07F6">
            <w:r w:rsidRPr="00100F0A">
              <w:t>9</w:t>
            </w:r>
          </w:p>
        </w:tc>
        <w:tc>
          <w:tcPr>
            <w:tcW w:w="4819" w:type="dxa"/>
          </w:tcPr>
          <w:p w14:paraId="43E07131" w14:textId="07FAB1E3" w:rsidR="008C07F6" w:rsidRPr="00100F0A" w:rsidRDefault="008C07F6" w:rsidP="008C07F6">
            <w:pPr>
              <w:cnfStyle w:val="000000000000" w:firstRow="0" w:lastRow="0" w:firstColumn="0" w:lastColumn="0" w:oddVBand="0" w:evenVBand="0" w:oddHBand="0" w:evenHBand="0" w:firstRowFirstColumn="0" w:firstRowLastColumn="0" w:lastRowFirstColumn="0" w:lastRowLastColumn="0"/>
            </w:pPr>
            <w:r w:rsidRPr="00100F0A">
              <w:t>Are you able to process any the following stockpiles of hazardous waste that are included in the attached list (Hazwaste stockpiles tab)? If so please list.</w:t>
            </w:r>
          </w:p>
        </w:tc>
        <w:tc>
          <w:tcPr>
            <w:tcW w:w="3770" w:type="dxa"/>
          </w:tcPr>
          <w:p w14:paraId="14635007" w14:textId="227BC12D" w:rsidR="008C07F6" w:rsidRPr="00100F0A" w:rsidRDefault="008C07F6" w:rsidP="008C07F6">
            <w:pPr>
              <w:cnfStyle w:val="000000000000" w:firstRow="0" w:lastRow="0" w:firstColumn="0" w:lastColumn="0" w:oddVBand="0" w:evenVBand="0" w:oddHBand="0" w:evenHBand="0" w:firstRowFirstColumn="0" w:firstRowLastColumn="0" w:lastRowFirstColumn="0" w:lastRowLastColumn="0"/>
              <w:rPr>
                <w:shd w:val="clear" w:color="auto" w:fill="FFFFFF"/>
              </w:rPr>
            </w:pPr>
            <w:r w:rsidRPr="00100F0A">
              <w:rPr>
                <w:shd w:val="clear" w:color="auto" w:fill="FFFFFF"/>
              </w:rPr>
              <w:t>This is to help us develop projections of future hazardous waste generation and fate</w:t>
            </w:r>
          </w:p>
        </w:tc>
      </w:tr>
      <w:tr w:rsidR="008C07F6" w:rsidRPr="00100F0A" w14:paraId="73620520" w14:textId="77777777" w:rsidTr="00F051C6">
        <w:tc>
          <w:tcPr>
            <w:cnfStyle w:val="001000000000" w:firstRow="0" w:lastRow="0" w:firstColumn="1" w:lastColumn="0" w:oddVBand="0" w:evenVBand="0" w:oddHBand="0" w:evenHBand="0" w:firstRowFirstColumn="0" w:firstRowLastColumn="0" w:lastRowFirstColumn="0" w:lastRowLastColumn="0"/>
            <w:tcW w:w="426" w:type="dxa"/>
          </w:tcPr>
          <w:p w14:paraId="7D2BC645" w14:textId="77777777" w:rsidR="008C07F6" w:rsidRPr="00100F0A" w:rsidRDefault="008C07F6" w:rsidP="008C07F6">
            <w:r w:rsidRPr="00100F0A">
              <w:t>10</w:t>
            </w:r>
          </w:p>
        </w:tc>
        <w:tc>
          <w:tcPr>
            <w:tcW w:w="4819" w:type="dxa"/>
          </w:tcPr>
          <w:p w14:paraId="136243D9" w14:textId="20290254" w:rsidR="008C07F6" w:rsidRPr="00100F0A" w:rsidRDefault="008C07F6" w:rsidP="008C07F6">
            <w:pPr>
              <w:cnfStyle w:val="000000000000" w:firstRow="0" w:lastRow="0" w:firstColumn="0" w:lastColumn="0" w:oddVBand="0" w:evenVBand="0" w:oddHBand="0" w:evenHBand="0" w:firstRowFirstColumn="0" w:firstRowLastColumn="0" w:lastRowFirstColumn="0" w:lastRowLastColumn="0"/>
              <w:rPr>
                <w:shd w:val="clear" w:color="auto" w:fill="FFFFFF"/>
              </w:rPr>
            </w:pPr>
            <w:r w:rsidRPr="00100F0A">
              <w:t>What are your thoughts regarding future hazardous waste generation and management in Australia? This is to help us develop projections of future hazardous waste generation and fate</w:t>
            </w:r>
          </w:p>
        </w:tc>
        <w:tc>
          <w:tcPr>
            <w:tcW w:w="3770" w:type="dxa"/>
          </w:tcPr>
          <w:p w14:paraId="3BD19C32" w14:textId="77777777" w:rsidR="008C07F6" w:rsidRPr="00100F0A" w:rsidRDefault="008C07F6" w:rsidP="008C07F6">
            <w:pPr>
              <w:cnfStyle w:val="000000000000" w:firstRow="0" w:lastRow="0" w:firstColumn="0" w:lastColumn="0" w:oddVBand="0" w:evenVBand="0" w:oddHBand="0" w:evenHBand="0" w:firstRowFirstColumn="0" w:firstRowLastColumn="0" w:lastRowFirstColumn="0" w:lastRowLastColumn="0"/>
              <w:rPr>
                <w:shd w:val="clear" w:color="auto" w:fill="FFFFFF"/>
              </w:rPr>
            </w:pPr>
          </w:p>
        </w:tc>
      </w:tr>
      <w:tr w:rsidR="008C07F6" w:rsidRPr="00100F0A" w14:paraId="61BFAC1F" w14:textId="77777777" w:rsidTr="00F051C6">
        <w:tc>
          <w:tcPr>
            <w:cnfStyle w:val="001000000000" w:firstRow="0" w:lastRow="0" w:firstColumn="1" w:lastColumn="0" w:oddVBand="0" w:evenVBand="0" w:oddHBand="0" w:evenHBand="0" w:firstRowFirstColumn="0" w:firstRowLastColumn="0" w:lastRowFirstColumn="0" w:lastRowLastColumn="0"/>
            <w:tcW w:w="426" w:type="dxa"/>
          </w:tcPr>
          <w:p w14:paraId="63E618D8" w14:textId="1A9DE31E" w:rsidR="008C07F6" w:rsidRPr="00100F0A" w:rsidRDefault="008C07F6" w:rsidP="008C07F6">
            <w:r w:rsidRPr="00100F0A">
              <w:t>11.</w:t>
            </w:r>
          </w:p>
        </w:tc>
        <w:tc>
          <w:tcPr>
            <w:tcW w:w="4819" w:type="dxa"/>
          </w:tcPr>
          <w:p w14:paraId="0D53F9C1" w14:textId="77200E2D" w:rsidR="008C07F6" w:rsidRPr="00100F0A" w:rsidRDefault="008C07F6" w:rsidP="008C07F6">
            <w:pPr>
              <w:cnfStyle w:val="000000000000" w:firstRow="0" w:lastRow="0" w:firstColumn="0" w:lastColumn="0" w:oddVBand="0" w:evenVBand="0" w:oddHBand="0" w:evenHBand="0" w:firstRowFirstColumn="0" w:firstRowLastColumn="0" w:lastRowFirstColumn="0" w:lastRowLastColumn="0"/>
              <w:rPr>
                <w:shd w:val="clear" w:color="auto" w:fill="FFFFFF"/>
              </w:rPr>
            </w:pPr>
            <w:r w:rsidRPr="00100F0A">
              <w:t>Would you like to bring to government attention any concerns or issues affecting the market for the hazardous wastes you deal with?</w:t>
            </w:r>
          </w:p>
        </w:tc>
        <w:tc>
          <w:tcPr>
            <w:tcW w:w="3770" w:type="dxa"/>
          </w:tcPr>
          <w:p w14:paraId="69A10813" w14:textId="77777777" w:rsidR="008C07F6" w:rsidRPr="00100F0A" w:rsidRDefault="008C07F6" w:rsidP="008C07F6">
            <w:pPr>
              <w:cnfStyle w:val="000000000000" w:firstRow="0" w:lastRow="0" w:firstColumn="0" w:lastColumn="0" w:oddVBand="0" w:evenVBand="0" w:oddHBand="0" w:evenHBand="0" w:firstRowFirstColumn="0" w:firstRowLastColumn="0" w:lastRowFirstColumn="0" w:lastRowLastColumn="0"/>
              <w:rPr>
                <w:shd w:val="clear" w:color="auto" w:fill="FFFFFF"/>
              </w:rPr>
            </w:pPr>
          </w:p>
        </w:tc>
      </w:tr>
      <w:tr w:rsidR="008C07F6" w:rsidRPr="00100F0A" w14:paraId="529D3727" w14:textId="77777777" w:rsidTr="00F051C6">
        <w:tc>
          <w:tcPr>
            <w:cnfStyle w:val="001000000000" w:firstRow="0" w:lastRow="0" w:firstColumn="1" w:lastColumn="0" w:oddVBand="0" w:evenVBand="0" w:oddHBand="0" w:evenHBand="0" w:firstRowFirstColumn="0" w:firstRowLastColumn="0" w:lastRowFirstColumn="0" w:lastRowLastColumn="0"/>
            <w:tcW w:w="426" w:type="dxa"/>
          </w:tcPr>
          <w:p w14:paraId="0D87436D" w14:textId="580C69D9" w:rsidR="008C07F6" w:rsidRPr="00100F0A" w:rsidRDefault="008C07F6" w:rsidP="008C07F6">
            <w:r w:rsidRPr="00100F0A">
              <w:t>12.</w:t>
            </w:r>
          </w:p>
        </w:tc>
        <w:tc>
          <w:tcPr>
            <w:tcW w:w="4819" w:type="dxa"/>
          </w:tcPr>
          <w:p w14:paraId="19326133" w14:textId="7963E9F1" w:rsidR="008C07F6" w:rsidRPr="00100F0A" w:rsidRDefault="008C07F6" w:rsidP="008C07F6">
            <w:pPr>
              <w:cnfStyle w:val="000000000000" w:firstRow="0" w:lastRow="0" w:firstColumn="0" w:lastColumn="0" w:oddVBand="0" w:evenVBand="0" w:oddHBand="0" w:evenHBand="0" w:firstRowFirstColumn="0" w:firstRowLastColumn="0" w:lastRowFirstColumn="0" w:lastRowLastColumn="0"/>
              <w:rPr>
                <w:shd w:val="clear" w:color="auto" w:fill="FFFFFF"/>
              </w:rPr>
            </w:pPr>
            <w:r w:rsidRPr="00100F0A">
              <w:t>Is this database of significant hazardous waste infrastructure complete? Are you aware of any significant sites that should be included?</w:t>
            </w:r>
          </w:p>
        </w:tc>
        <w:tc>
          <w:tcPr>
            <w:tcW w:w="3770" w:type="dxa"/>
          </w:tcPr>
          <w:p w14:paraId="3CC7A8A3" w14:textId="77777777" w:rsidR="008C07F6" w:rsidRPr="00100F0A" w:rsidRDefault="008C07F6" w:rsidP="008C07F6">
            <w:pPr>
              <w:cnfStyle w:val="000000000000" w:firstRow="0" w:lastRow="0" w:firstColumn="0" w:lastColumn="0" w:oddVBand="0" w:evenVBand="0" w:oddHBand="0" w:evenHBand="0" w:firstRowFirstColumn="0" w:firstRowLastColumn="0" w:lastRowFirstColumn="0" w:lastRowLastColumn="0"/>
              <w:rPr>
                <w:shd w:val="clear" w:color="auto" w:fill="FFFFFF"/>
              </w:rPr>
            </w:pPr>
          </w:p>
        </w:tc>
      </w:tr>
      <w:tr w:rsidR="008C07F6" w:rsidRPr="00100F0A" w14:paraId="75F62FD2" w14:textId="77777777" w:rsidTr="00F051C6">
        <w:tc>
          <w:tcPr>
            <w:cnfStyle w:val="001000000000" w:firstRow="0" w:lastRow="0" w:firstColumn="1" w:lastColumn="0" w:oddVBand="0" w:evenVBand="0" w:oddHBand="0" w:evenHBand="0" w:firstRowFirstColumn="0" w:firstRowLastColumn="0" w:lastRowFirstColumn="0" w:lastRowLastColumn="0"/>
            <w:tcW w:w="426" w:type="dxa"/>
          </w:tcPr>
          <w:p w14:paraId="53E9DC29" w14:textId="18E0E77C" w:rsidR="008C07F6" w:rsidRPr="00100F0A" w:rsidRDefault="008C07F6" w:rsidP="008C07F6">
            <w:r w:rsidRPr="00100F0A">
              <w:t>13.</w:t>
            </w:r>
          </w:p>
        </w:tc>
        <w:tc>
          <w:tcPr>
            <w:tcW w:w="4819" w:type="dxa"/>
          </w:tcPr>
          <w:p w14:paraId="4DAFE197" w14:textId="0912B5DE" w:rsidR="008C07F6" w:rsidRPr="00100F0A" w:rsidRDefault="008C07F6" w:rsidP="008C07F6">
            <w:pPr>
              <w:cnfStyle w:val="000000000000" w:firstRow="0" w:lastRow="0" w:firstColumn="0" w:lastColumn="0" w:oddVBand="0" w:evenVBand="0" w:oddHBand="0" w:evenHBand="0" w:firstRowFirstColumn="0" w:firstRowLastColumn="0" w:lastRowFirstColumn="0" w:lastRowLastColumn="0"/>
              <w:rPr>
                <w:shd w:val="clear" w:color="auto" w:fill="FFFFFF"/>
              </w:rPr>
            </w:pPr>
            <w:r w:rsidRPr="00100F0A">
              <w:t>DoEE would like to maintain a current database of hazardous waste infrastructure. How would you prefer DoEE to engage with you to achieve this?</w:t>
            </w:r>
          </w:p>
        </w:tc>
        <w:tc>
          <w:tcPr>
            <w:tcW w:w="3770" w:type="dxa"/>
          </w:tcPr>
          <w:p w14:paraId="6F6E4FBE" w14:textId="77777777" w:rsidR="008C07F6" w:rsidRPr="00100F0A" w:rsidRDefault="008C07F6" w:rsidP="008C07F6">
            <w:pPr>
              <w:cnfStyle w:val="000000000000" w:firstRow="0" w:lastRow="0" w:firstColumn="0" w:lastColumn="0" w:oddVBand="0" w:evenVBand="0" w:oddHBand="0" w:evenHBand="0" w:firstRowFirstColumn="0" w:firstRowLastColumn="0" w:lastRowFirstColumn="0" w:lastRowLastColumn="0"/>
              <w:rPr>
                <w:shd w:val="clear" w:color="auto" w:fill="FFFFFF"/>
              </w:rPr>
            </w:pPr>
          </w:p>
        </w:tc>
      </w:tr>
    </w:tbl>
    <w:p w14:paraId="3486AA88" w14:textId="144C7577" w:rsidR="002A3A54" w:rsidRPr="00100F0A" w:rsidRDefault="002A3A54" w:rsidP="006D43D3">
      <w:pPr>
        <w:pStyle w:val="Heading3"/>
      </w:pPr>
      <w:bookmarkStart w:id="329" w:name="_Toc419190267"/>
      <w:bookmarkStart w:id="330" w:name="_Toc419449184"/>
      <w:bookmarkStart w:id="331" w:name="_Toc419449185"/>
      <w:bookmarkStart w:id="332" w:name="_Ref420526107"/>
      <w:bookmarkStart w:id="333" w:name="_Toc425849165"/>
      <w:bookmarkEnd w:id="329"/>
      <w:bookmarkEnd w:id="330"/>
      <w:r w:rsidRPr="00100F0A">
        <w:t>Infrastructure assessment survey results</w:t>
      </w:r>
      <w:bookmarkEnd w:id="331"/>
      <w:bookmarkEnd w:id="332"/>
      <w:bookmarkEnd w:id="333"/>
    </w:p>
    <w:p w14:paraId="2D4902F1" w14:textId="5BCDFD67" w:rsidR="002A3A54" w:rsidRPr="00100F0A" w:rsidRDefault="002A3A54" w:rsidP="00460037">
      <w:pPr>
        <w:pStyle w:val="BodyText"/>
      </w:pPr>
      <w:r w:rsidRPr="00100F0A">
        <w:t xml:space="preserve">Individual industry responses to the survey are commercially confidential and are not included in this report, in accordance with commitments given to respondents by </w:t>
      </w:r>
      <w:r w:rsidR="00CC4550" w:rsidRPr="00100F0A">
        <w:t>DoEE</w:t>
      </w:r>
      <w:r w:rsidRPr="00100F0A">
        <w:t xml:space="preserve"> and the project team.</w:t>
      </w:r>
    </w:p>
    <w:p w14:paraId="6502A1BA" w14:textId="77777777" w:rsidR="002A3A54" w:rsidRPr="00100F0A" w:rsidRDefault="002A3A54" w:rsidP="00460037">
      <w:pPr>
        <w:pStyle w:val="BodyText"/>
      </w:pPr>
    </w:p>
    <w:p w14:paraId="526A68F1" w14:textId="32345EBB" w:rsidR="000217D6" w:rsidRPr="00100F0A" w:rsidRDefault="00A00261" w:rsidP="002A3A54">
      <w:r w:rsidRPr="00100F0A">
        <w:t xml:space="preserve">For the </w:t>
      </w:r>
      <w:r w:rsidR="009538F6" w:rsidRPr="00100F0A">
        <w:t>2018 assessment</w:t>
      </w:r>
      <w:r w:rsidR="000535DB" w:rsidRPr="00100F0A">
        <w:t>,</w:t>
      </w:r>
      <w:r w:rsidR="009538F6" w:rsidRPr="00100F0A">
        <w:t xml:space="preserve"> </w:t>
      </w:r>
      <w:r w:rsidR="002A3A54" w:rsidRPr="00100F0A">
        <w:t xml:space="preserve">we </w:t>
      </w:r>
      <w:r w:rsidR="009538F6" w:rsidRPr="00100F0A">
        <w:t>updated</w:t>
      </w:r>
      <w:r w:rsidR="0075691E" w:rsidRPr="00100F0A">
        <w:t xml:space="preserve"> or </w:t>
      </w:r>
      <w:r w:rsidR="000535DB" w:rsidRPr="00100F0A">
        <w:t>gathered</w:t>
      </w:r>
      <w:r w:rsidR="0075691E" w:rsidRPr="00100F0A">
        <w:t xml:space="preserve"> new</w:t>
      </w:r>
      <w:r w:rsidR="009538F6" w:rsidRPr="00100F0A">
        <w:t xml:space="preserve"> data for 66</w:t>
      </w:r>
      <w:r w:rsidR="002A3A54" w:rsidRPr="00100F0A">
        <w:t xml:space="preserve">% of </w:t>
      </w:r>
      <w:r w:rsidR="009538F6" w:rsidRPr="00100F0A">
        <w:t>the 232</w:t>
      </w:r>
      <w:r w:rsidR="0075691E" w:rsidRPr="00100F0A">
        <w:t xml:space="preserve"> sites</w:t>
      </w:r>
      <w:r w:rsidR="002A3A54" w:rsidRPr="00100F0A">
        <w:t xml:space="preserve">. </w:t>
      </w:r>
      <w:r w:rsidRPr="00100F0A">
        <w:t>In total</w:t>
      </w:r>
      <w:r w:rsidR="000217D6" w:rsidRPr="00100F0A">
        <w:t>,</w:t>
      </w:r>
      <w:r w:rsidR="000535DB" w:rsidRPr="00100F0A">
        <w:t xml:space="preserve"> the </w:t>
      </w:r>
      <w:r w:rsidR="000535DB" w:rsidRPr="00100F0A">
        <w:rPr>
          <w:i/>
        </w:rPr>
        <w:t>Hazwaste infrastructure database 2018</w:t>
      </w:r>
      <w:r w:rsidRPr="00100F0A">
        <w:t xml:space="preserve"> </w:t>
      </w:r>
      <w:r w:rsidR="000217D6" w:rsidRPr="00100F0A">
        <w:t xml:space="preserve">includes </w:t>
      </w:r>
      <w:r w:rsidRPr="00100F0A">
        <w:t xml:space="preserve">capacity and capability information </w:t>
      </w:r>
      <w:r w:rsidR="000217D6" w:rsidRPr="00100F0A">
        <w:t xml:space="preserve">for 87% of the sites </w:t>
      </w:r>
      <w:r w:rsidRPr="00100F0A">
        <w:t xml:space="preserve">collated from </w:t>
      </w:r>
      <w:r w:rsidR="000535DB" w:rsidRPr="00100F0A">
        <w:t xml:space="preserve">either </w:t>
      </w:r>
      <w:r w:rsidRPr="00100F0A">
        <w:t>the 2015</w:t>
      </w:r>
      <w:r w:rsidR="000535DB" w:rsidRPr="00100F0A">
        <w:t xml:space="preserve"> or 2018 </w:t>
      </w:r>
      <w:r w:rsidRPr="00100F0A">
        <w:t>assessment</w:t>
      </w:r>
      <w:r w:rsidR="000535DB" w:rsidRPr="00100F0A">
        <w:t>s</w:t>
      </w:r>
      <w:r w:rsidRPr="00100F0A">
        <w:t xml:space="preserve"> or </w:t>
      </w:r>
      <w:r w:rsidR="000535DB" w:rsidRPr="00100F0A">
        <w:t xml:space="preserve">from other public data </w:t>
      </w:r>
      <w:r w:rsidRPr="00100F0A">
        <w:t>sources</w:t>
      </w:r>
      <w:r w:rsidR="000535DB" w:rsidRPr="00100F0A">
        <w:t xml:space="preserve">, see Section </w:t>
      </w:r>
      <w:r w:rsidR="000535DB" w:rsidRPr="00100F0A">
        <w:fldChar w:fldCharType="begin"/>
      </w:r>
      <w:r w:rsidR="000535DB" w:rsidRPr="00100F0A">
        <w:instrText xml:space="preserve"> REF _Ref530475822 \r \h </w:instrText>
      </w:r>
      <w:r w:rsidR="000535DB" w:rsidRPr="00100F0A">
        <w:fldChar w:fldCharType="separate"/>
      </w:r>
      <w:r w:rsidR="00EB634D">
        <w:t>3.4.1</w:t>
      </w:r>
      <w:r w:rsidR="000535DB" w:rsidRPr="00100F0A">
        <w:fldChar w:fldCharType="end"/>
      </w:r>
      <w:r w:rsidRPr="00100F0A">
        <w:t xml:space="preserve">. </w:t>
      </w:r>
    </w:p>
    <w:p w14:paraId="1ED47AA1" w14:textId="77777777" w:rsidR="000217D6" w:rsidRPr="00100F0A" w:rsidRDefault="000217D6" w:rsidP="002A3A54"/>
    <w:p w14:paraId="31035608" w14:textId="2A5F82DD" w:rsidR="002A3A54" w:rsidRDefault="00EE49A9" w:rsidP="002A3A54">
      <w:pPr>
        <w:rPr>
          <w:color w:val="080808"/>
        </w:rPr>
      </w:pPr>
      <w:r>
        <w:t>T</w:t>
      </w:r>
      <w:r w:rsidR="00A00261" w:rsidRPr="00100F0A">
        <w:rPr>
          <w:color w:val="080808"/>
        </w:rPr>
        <w:t xml:space="preserve">he 2018 assessment provided updated or new data for </w:t>
      </w:r>
      <w:r w:rsidR="000A3F75" w:rsidRPr="00100F0A">
        <w:rPr>
          <w:color w:val="080808"/>
        </w:rPr>
        <w:t>98</w:t>
      </w:r>
      <w:r w:rsidR="002A3A54" w:rsidRPr="00100F0A">
        <w:rPr>
          <w:color w:val="080808"/>
        </w:rPr>
        <w:t>%</w:t>
      </w:r>
      <w:r w:rsidR="000A3F75" w:rsidRPr="00100F0A">
        <w:rPr>
          <w:color w:val="080808"/>
        </w:rPr>
        <w:t xml:space="preserve"> of the sites that were assessed as providing important infrastructure for a hazardous waste management in Australia</w:t>
      </w:r>
      <w:r w:rsidR="002A3A54" w:rsidRPr="00100F0A">
        <w:rPr>
          <w:color w:val="080808"/>
        </w:rPr>
        <w:t>.</w:t>
      </w:r>
      <w:r w:rsidR="000535DB" w:rsidRPr="00100F0A">
        <w:rPr>
          <w:color w:val="080808"/>
        </w:rPr>
        <w:t xml:space="preserve"> Where no response was received from a company, the infrast</w:t>
      </w:r>
      <w:r w:rsidR="000217D6" w:rsidRPr="00100F0A">
        <w:rPr>
          <w:color w:val="080808"/>
        </w:rPr>
        <w:t>r</w:t>
      </w:r>
      <w:r w:rsidR="000535DB" w:rsidRPr="00100F0A">
        <w:rPr>
          <w:color w:val="080808"/>
        </w:rPr>
        <w:t>uc</w:t>
      </w:r>
      <w:r w:rsidR="000217D6" w:rsidRPr="00100F0A">
        <w:rPr>
          <w:color w:val="080808"/>
        </w:rPr>
        <w:t>t</w:t>
      </w:r>
      <w:r w:rsidR="000535DB" w:rsidRPr="00100F0A">
        <w:rPr>
          <w:color w:val="080808"/>
        </w:rPr>
        <w:t xml:space="preserve">ure </w:t>
      </w:r>
      <w:r w:rsidR="000217D6" w:rsidRPr="00100F0A">
        <w:rPr>
          <w:color w:val="080808"/>
        </w:rPr>
        <w:t>capacity was assumed to be equal to the average capacity of other sites within the same infrastructure group.</w:t>
      </w:r>
      <w:r w:rsidR="002A3A54" w:rsidRPr="00100F0A">
        <w:rPr>
          <w:color w:val="080808"/>
        </w:rPr>
        <w:t xml:space="preserve"> </w:t>
      </w:r>
    </w:p>
    <w:p w14:paraId="2D2C30A1" w14:textId="135249E3" w:rsidR="00DD798B" w:rsidRDefault="00DD798B" w:rsidP="002A3A54">
      <w:pPr>
        <w:rPr>
          <w:color w:val="080808"/>
        </w:rPr>
      </w:pPr>
    </w:p>
    <w:p w14:paraId="116B10ED" w14:textId="0B476401" w:rsidR="002A3A54" w:rsidRPr="00100F0A" w:rsidRDefault="002A3A54" w:rsidP="00AD35BF">
      <w:pPr>
        <w:pStyle w:val="Heading2"/>
        <w:ind w:left="851" w:hanging="851"/>
      </w:pPr>
      <w:bookmarkStart w:id="334" w:name="_Toc9383893"/>
      <w:bookmarkStart w:id="335" w:name="_Toc9383894"/>
      <w:bookmarkStart w:id="336" w:name="_Toc419449186"/>
      <w:bookmarkStart w:id="337" w:name="_Toc419449188"/>
      <w:bookmarkStart w:id="338" w:name="_Toc425849167"/>
      <w:bookmarkStart w:id="339" w:name="_Toc13225542"/>
      <w:bookmarkEnd w:id="334"/>
      <w:bookmarkEnd w:id="335"/>
      <w:bookmarkEnd w:id="336"/>
      <w:r w:rsidRPr="00100F0A">
        <w:t>National capacity estimates of hazardous waste infrastructure</w:t>
      </w:r>
      <w:bookmarkEnd w:id="337"/>
      <w:bookmarkEnd w:id="338"/>
      <w:bookmarkEnd w:id="339"/>
    </w:p>
    <w:p w14:paraId="30FC49D8" w14:textId="63BAAE20" w:rsidR="002B2606" w:rsidRDefault="002A3A54" w:rsidP="006216A3">
      <w:pPr>
        <w:rPr>
          <w:color w:val="080808"/>
        </w:rPr>
      </w:pPr>
      <w:r w:rsidRPr="00100F0A">
        <w:rPr>
          <w:color w:val="080808"/>
        </w:rPr>
        <w:t xml:space="preserve">The overall national results of the hazardous waste infrastructure assessment are set out in </w:t>
      </w:r>
      <w:r w:rsidRPr="00100F0A">
        <w:rPr>
          <w:color w:val="080808"/>
        </w:rPr>
        <w:fldChar w:fldCharType="begin"/>
      </w:r>
      <w:r w:rsidRPr="00100F0A">
        <w:rPr>
          <w:color w:val="080808"/>
        </w:rPr>
        <w:instrText xml:space="preserve"> REF _Ref419493187 \h  \* MERGEFORMAT </w:instrText>
      </w:r>
      <w:r w:rsidRPr="00100F0A">
        <w:rPr>
          <w:color w:val="080808"/>
        </w:rPr>
      </w:r>
      <w:r w:rsidRPr="00100F0A">
        <w:rPr>
          <w:color w:val="080808"/>
        </w:rPr>
        <w:fldChar w:fldCharType="separate"/>
      </w:r>
      <w:r w:rsidR="00EB634D" w:rsidRPr="00100F0A">
        <w:t xml:space="preserve">Table </w:t>
      </w:r>
      <w:r w:rsidR="00EB634D">
        <w:rPr>
          <w:noProof/>
        </w:rPr>
        <w:t>46</w:t>
      </w:r>
      <w:r w:rsidRPr="00100F0A">
        <w:rPr>
          <w:color w:val="080808"/>
        </w:rPr>
        <w:fldChar w:fldCharType="end"/>
      </w:r>
      <w:r w:rsidRPr="00100F0A">
        <w:rPr>
          <w:color w:val="080808"/>
        </w:rPr>
        <w:t xml:space="preserve">. For each infrastructure group, the table states the number of </w:t>
      </w:r>
      <w:r w:rsidR="00DD798B">
        <w:rPr>
          <w:color w:val="080808"/>
        </w:rPr>
        <w:t>capacities</w:t>
      </w:r>
      <w:r w:rsidR="00B32AF0" w:rsidRPr="00100F0A">
        <w:rPr>
          <w:rStyle w:val="FootnoteReference"/>
          <w:color w:val="080808"/>
        </w:rPr>
        <w:footnoteReference w:id="32"/>
      </w:r>
      <w:r w:rsidRPr="00100F0A">
        <w:rPr>
          <w:color w:val="080808"/>
        </w:rPr>
        <w:t>, the amount of waste currently received</w:t>
      </w:r>
      <w:r w:rsidR="001B56C8" w:rsidRPr="00100F0A">
        <w:rPr>
          <w:rStyle w:val="FootnoteReference"/>
          <w:color w:val="080808"/>
        </w:rPr>
        <w:footnoteReference w:id="33"/>
      </w:r>
      <w:r w:rsidRPr="00100F0A">
        <w:rPr>
          <w:color w:val="080808"/>
        </w:rPr>
        <w:t xml:space="preserve">, the </w:t>
      </w:r>
      <w:r w:rsidR="00893C5B" w:rsidRPr="00100F0A">
        <w:rPr>
          <w:color w:val="080808"/>
        </w:rPr>
        <w:t>installed</w:t>
      </w:r>
      <w:r w:rsidRPr="00100F0A">
        <w:rPr>
          <w:color w:val="080808"/>
        </w:rPr>
        <w:t xml:space="preserve"> capacity</w:t>
      </w:r>
      <w:r w:rsidR="00893C5B" w:rsidRPr="00100F0A">
        <w:rPr>
          <w:color w:val="080808"/>
        </w:rPr>
        <w:t xml:space="preserve"> and the expected capacity change</w:t>
      </w:r>
      <w:r w:rsidR="00893C5B" w:rsidRPr="00100F0A">
        <w:rPr>
          <w:rStyle w:val="FootnoteReference"/>
          <w:color w:val="080808"/>
        </w:rPr>
        <w:footnoteReference w:id="34"/>
      </w:r>
      <w:r w:rsidRPr="00100F0A">
        <w:rPr>
          <w:color w:val="080808"/>
        </w:rPr>
        <w:t xml:space="preserve">. It includes an assessment of the quality of the capacity data based on the definitions at the foot of the table. </w:t>
      </w:r>
    </w:p>
    <w:p w14:paraId="7BCD4204" w14:textId="63F2416C" w:rsidR="00DD798B" w:rsidRDefault="00DD798B" w:rsidP="006216A3">
      <w:pPr>
        <w:rPr>
          <w:color w:val="080808"/>
        </w:rPr>
      </w:pPr>
    </w:p>
    <w:p w14:paraId="5FC4C4F1" w14:textId="6B3D6582" w:rsidR="00DD798B" w:rsidRDefault="00DD798B" w:rsidP="006216A3">
      <w:pPr>
        <w:rPr>
          <w:color w:val="080808"/>
        </w:rPr>
      </w:pPr>
    </w:p>
    <w:p w14:paraId="2D6C253D" w14:textId="3452602D" w:rsidR="00DD798B" w:rsidRDefault="00DD798B" w:rsidP="006216A3">
      <w:pPr>
        <w:rPr>
          <w:color w:val="080808"/>
        </w:rPr>
      </w:pPr>
    </w:p>
    <w:p w14:paraId="3348A81C" w14:textId="6D7E8AD8" w:rsidR="002A3A54" w:rsidRDefault="002A3A54" w:rsidP="0095119F">
      <w:pPr>
        <w:pStyle w:val="Caption"/>
      </w:pPr>
      <w:bookmarkStart w:id="340" w:name="_Ref419493187"/>
      <w:bookmarkStart w:id="341" w:name="_Toc419190513"/>
      <w:bookmarkStart w:id="342" w:name="_Toc425849336"/>
      <w:bookmarkStart w:id="343" w:name="_Toc13225665"/>
      <w:r w:rsidRPr="00100F0A">
        <w:t xml:space="preserve">Table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46</w:t>
      </w:r>
      <w:r w:rsidR="00B404A6" w:rsidRPr="00100F0A">
        <w:rPr>
          <w:noProof/>
        </w:rPr>
        <w:fldChar w:fldCharType="end"/>
      </w:r>
      <w:bookmarkEnd w:id="340"/>
      <w:r w:rsidR="00AD2F76">
        <w:rPr>
          <w:noProof/>
        </w:rPr>
        <w:t>:</w:t>
      </w:r>
      <w:r w:rsidR="00D11FEE" w:rsidRPr="00100F0A">
        <w:tab/>
      </w:r>
      <w:r w:rsidRPr="00100F0A">
        <w:t>National capacity estimate of hazardous waste infrastructure</w:t>
      </w:r>
      <w:bookmarkEnd w:id="341"/>
      <w:bookmarkEnd w:id="342"/>
      <w:bookmarkEnd w:id="343"/>
    </w:p>
    <w:p w14:paraId="2B41AA84" w14:textId="11376645" w:rsidR="006A7157" w:rsidRPr="00A20188" w:rsidRDefault="006A7157" w:rsidP="009D734D">
      <w:pPr>
        <w:pStyle w:val="BodyText"/>
      </w:pPr>
      <w:r>
        <w:rPr>
          <w:noProof/>
          <w:color w:val="4D4DB8"/>
          <w:szCs w:val="18"/>
          <w:lang w:eastAsia="en-AU"/>
        </w:rPr>
        <w:drawing>
          <wp:anchor distT="0" distB="0" distL="114300" distR="114300" simplePos="0" relativeHeight="251674112" behindDoc="0" locked="0" layoutInCell="1" allowOverlap="1" wp14:anchorId="155B1027" wp14:editId="61876CA7">
            <wp:simplePos x="0" y="0"/>
            <wp:positionH relativeFrom="column">
              <wp:posOffset>0</wp:posOffset>
            </wp:positionH>
            <wp:positionV relativeFrom="paragraph">
              <wp:posOffset>177800</wp:posOffset>
            </wp:positionV>
            <wp:extent cx="5692775" cy="4366895"/>
            <wp:effectExtent l="0" t="0" r="317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1.PN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692775" cy="4366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8505" w:type="dxa"/>
        <w:tblInd w:w="142" w:type="dxa"/>
        <w:tblLook w:val="04A0" w:firstRow="1" w:lastRow="0" w:firstColumn="1" w:lastColumn="0" w:noHBand="0" w:noVBand="1"/>
      </w:tblPr>
      <w:tblGrid>
        <w:gridCol w:w="2797"/>
        <w:gridCol w:w="791"/>
        <w:gridCol w:w="4917"/>
      </w:tblGrid>
      <w:tr w:rsidR="001A0008" w:rsidRPr="00F7413A" w14:paraId="60DF8C7F" w14:textId="77777777" w:rsidTr="004206B0">
        <w:trPr>
          <w:trHeight w:val="255"/>
        </w:trPr>
        <w:tc>
          <w:tcPr>
            <w:tcW w:w="2797" w:type="dxa"/>
            <w:tcBorders>
              <w:top w:val="nil"/>
              <w:left w:val="nil"/>
              <w:bottom w:val="single" w:sz="4" w:space="0" w:color="BFBFBF"/>
              <w:right w:val="nil"/>
            </w:tcBorders>
            <w:shd w:val="clear" w:color="auto" w:fill="auto"/>
            <w:noWrap/>
            <w:vAlign w:val="bottom"/>
            <w:hideMark/>
          </w:tcPr>
          <w:p w14:paraId="38E5F06C" w14:textId="77777777" w:rsidR="001A0008" w:rsidRPr="00F7413A" w:rsidRDefault="001A0008" w:rsidP="005F2A3D">
            <w:pPr>
              <w:rPr>
                <w:rFonts w:asciiTheme="minorHAnsi" w:eastAsia="Times New Roman" w:hAnsiTheme="minorHAnsi" w:cstheme="minorHAnsi"/>
                <w:b/>
                <w:bCs/>
                <w:sz w:val="20"/>
                <w:szCs w:val="20"/>
                <w:lang w:eastAsia="en-AU"/>
              </w:rPr>
            </w:pPr>
            <w:r w:rsidRPr="00F7413A">
              <w:rPr>
                <w:rFonts w:asciiTheme="minorHAnsi" w:eastAsia="Times New Roman" w:hAnsiTheme="minorHAnsi" w:cstheme="minorHAnsi"/>
                <w:b/>
                <w:bCs/>
                <w:sz w:val="20"/>
                <w:szCs w:val="20"/>
                <w:lang w:eastAsia="en-AU"/>
              </w:rPr>
              <w:t>Data quality definitions</w:t>
            </w:r>
          </w:p>
        </w:tc>
        <w:tc>
          <w:tcPr>
            <w:tcW w:w="791" w:type="dxa"/>
            <w:tcBorders>
              <w:top w:val="single" w:sz="4" w:space="0" w:color="BFBFBF"/>
              <w:left w:val="nil"/>
              <w:bottom w:val="single" w:sz="4" w:space="0" w:color="BFBFBF"/>
              <w:right w:val="nil"/>
            </w:tcBorders>
            <w:shd w:val="clear" w:color="auto" w:fill="auto"/>
            <w:vAlign w:val="bottom"/>
            <w:hideMark/>
          </w:tcPr>
          <w:p w14:paraId="68453F71" w14:textId="77777777" w:rsidR="001A0008" w:rsidRPr="00F7413A" w:rsidRDefault="001A0008" w:rsidP="005F2A3D">
            <w:pPr>
              <w:rPr>
                <w:rFonts w:asciiTheme="minorHAnsi" w:eastAsia="Times New Roman" w:hAnsiTheme="minorHAnsi" w:cstheme="minorHAnsi"/>
                <w:b/>
                <w:sz w:val="20"/>
                <w:szCs w:val="20"/>
                <w:lang w:eastAsia="en-AU"/>
              </w:rPr>
            </w:pPr>
            <w:r w:rsidRPr="00F7413A">
              <w:rPr>
                <w:rFonts w:asciiTheme="minorHAnsi" w:eastAsia="Times New Roman" w:hAnsiTheme="minorHAnsi" w:cstheme="minorHAnsi"/>
                <w:b/>
                <w:sz w:val="20"/>
                <w:szCs w:val="20"/>
                <w:lang w:eastAsia="en-AU"/>
              </w:rPr>
              <w:t>Good</w:t>
            </w:r>
          </w:p>
        </w:tc>
        <w:tc>
          <w:tcPr>
            <w:tcW w:w="4917" w:type="dxa"/>
            <w:tcBorders>
              <w:top w:val="single" w:sz="4" w:space="0" w:color="BFBFBF"/>
              <w:left w:val="nil"/>
              <w:bottom w:val="single" w:sz="4" w:space="0" w:color="BFBFBF"/>
              <w:right w:val="nil"/>
            </w:tcBorders>
            <w:shd w:val="clear" w:color="auto" w:fill="auto"/>
            <w:noWrap/>
            <w:vAlign w:val="bottom"/>
            <w:hideMark/>
          </w:tcPr>
          <w:p w14:paraId="439FB495" w14:textId="77777777" w:rsidR="001A0008" w:rsidRPr="00F7413A" w:rsidRDefault="001A0008" w:rsidP="005F2A3D">
            <w:pPr>
              <w:rPr>
                <w:rFonts w:asciiTheme="minorHAnsi" w:eastAsia="Times New Roman" w:hAnsiTheme="minorHAnsi" w:cstheme="minorHAnsi"/>
                <w:sz w:val="20"/>
                <w:szCs w:val="20"/>
                <w:lang w:eastAsia="en-AU"/>
              </w:rPr>
            </w:pPr>
            <w:r w:rsidRPr="00F7413A">
              <w:rPr>
                <w:rFonts w:asciiTheme="minorHAnsi" w:eastAsia="Times New Roman" w:hAnsiTheme="minorHAnsi" w:cstheme="minorHAnsi"/>
                <w:sz w:val="20"/>
                <w:szCs w:val="20"/>
                <w:lang w:eastAsia="en-AU"/>
              </w:rPr>
              <w:t xml:space="preserve">Industry response received. Processing, licensed, and installed capacity data supplied during consultation  </w:t>
            </w:r>
          </w:p>
        </w:tc>
      </w:tr>
      <w:tr w:rsidR="001A0008" w:rsidRPr="00F7413A" w14:paraId="41B7D83B" w14:textId="77777777" w:rsidTr="004206B0">
        <w:trPr>
          <w:trHeight w:val="255"/>
        </w:trPr>
        <w:tc>
          <w:tcPr>
            <w:tcW w:w="2797" w:type="dxa"/>
            <w:tcBorders>
              <w:top w:val="nil"/>
              <w:left w:val="nil"/>
              <w:bottom w:val="nil"/>
              <w:right w:val="nil"/>
            </w:tcBorders>
            <w:shd w:val="clear" w:color="auto" w:fill="auto"/>
            <w:noWrap/>
            <w:vAlign w:val="bottom"/>
            <w:hideMark/>
          </w:tcPr>
          <w:p w14:paraId="7B1DD234" w14:textId="77777777" w:rsidR="001A0008" w:rsidRPr="00F7413A" w:rsidRDefault="001A0008" w:rsidP="005F2A3D">
            <w:pPr>
              <w:rPr>
                <w:rFonts w:asciiTheme="minorHAnsi" w:eastAsia="Times New Roman" w:hAnsiTheme="minorHAnsi" w:cstheme="minorHAnsi"/>
                <w:color w:val="000000"/>
                <w:sz w:val="20"/>
                <w:szCs w:val="20"/>
                <w:lang w:eastAsia="en-AU"/>
              </w:rPr>
            </w:pPr>
            <w:r w:rsidRPr="00F7413A">
              <w:rPr>
                <w:rFonts w:asciiTheme="minorHAnsi" w:eastAsia="Times New Roman" w:hAnsiTheme="minorHAnsi" w:cstheme="minorHAnsi"/>
                <w:color w:val="000000"/>
                <w:sz w:val="20"/>
                <w:szCs w:val="20"/>
                <w:lang w:eastAsia="en-AU"/>
              </w:rPr>
              <w:t> </w:t>
            </w:r>
          </w:p>
        </w:tc>
        <w:tc>
          <w:tcPr>
            <w:tcW w:w="791" w:type="dxa"/>
            <w:tcBorders>
              <w:top w:val="nil"/>
              <w:left w:val="nil"/>
              <w:bottom w:val="single" w:sz="4" w:space="0" w:color="BFBFBF"/>
              <w:right w:val="nil"/>
            </w:tcBorders>
            <w:shd w:val="clear" w:color="auto" w:fill="auto"/>
            <w:vAlign w:val="bottom"/>
            <w:hideMark/>
          </w:tcPr>
          <w:p w14:paraId="42160E93" w14:textId="77777777" w:rsidR="001A0008" w:rsidRPr="00F7413A" w:rsidRDefault="001A0008" w:rsidP="005F2A3D">
            <w:pPr>
              <w:rPr>
                <w:rFonts w:asciiTheme="minorHAnsi" w:eastAsia="Times New Roman" w:hAnsiTheme="minorHAnsi" w:cstheme="minorHAnsi"/>
                <w:b/>
                <w:sz w:val="20"/>
                <w:szCs w:val="20"/>
                <w:lang w:eastAsia="en-AU"/>
              </w:rPr>
            </w:pPr>
            <w:r w:rsidRPr="00F7413A">
              <w:rPr>
                <w:rFonts w:asciiTheme="minorHAnsi" w:eastAsia="Times New Roman" w:hAnsiTheme="minorHAnsi" w:cstheme="minorHAnsi"/>
                <w:b/>
                <w:sz w:val="20"/>
                <w:szCs w:val="20"/>
                <w:lang w:eastAsia="en-AU"/>
              </w:rPr>
              <w:t>Ok</w:t>
            </w:r>
          </w:p>
        </w:tc>
        <w:tc>
          <w:tcPr>
            <w:tcW w:w="4917" w:type="dxa"/>
            <w:tcBorders>
              <w:top w:val="nil"/>
              <w:left w:val="nil"/>
              <w:bottom w:val="single" w:sz="4" w:space="0" w:color="BFBFBF"/>
              <w:right w:val="nil"/>
            </w:tcBorders>
            <w:shd w:val="clear" w:color="auto" w:fill="auto"/>
            <w:noWrap/>
            <w:vAlign w:val="bottom"/>
            <w:hideMark/>
          </w:tcPr>
          <w:p w14:paraId="6339F6A4" w14:textId="77777777" w:rsidR="001A0008" w:rsidRPr="00F7413A" w:rsidRDefault="001A0008" w:rsidP="005F2A3D">
            <w:pPr>
              <w:rPr>
                <w:rFonts w:asciiTheme="minorHAnsi" w:eastAsia="Times New Roman" w:hAnsiTheme="minorHAnsi" w:cstheme="minorHAnsi"/>
                <w:sz w:val="20"/>
                <w:szCs w:val="20"/>
                <w:lang w:eastAsia="en-AU"/>
              </w:rPr>
            </w:pPr>
            <w:r w:rsidRPr="00F7413A">
              <w:rPr>
                <w:rFonts w:asciiTheme="minorHAnsi" w:eastAsia="Times New Roman" w:hAnsiTheme="minorHAnsi" w:cstheme="minorHAnsi"/>
                <w:sz w:val="20"/>
                <w:szCs w:val="20"/>
                <w:lang w:eastAsia="en-AU"/>
              </w:rPr>
              <w:t xml:space="preserve">No response. Maximum licensed processing capacity data identified in licence or published company information </w:t>
            </w:r>
          </w:p>
        </w:tc>
      </w:tr>
      <w:tr w:rsidR="001A0008" w:rsidRPr="00F7413A" w14:paraId="52894A27" w14:textId="77777777" w:rsidTr="004206B0">
        <w:trPr>
          <w:trHeight w:val="255"/>
        </w:trPr>
        <w:tc>
          <w:tcPr>
            <w:tcW w:w="2797" w:type="dxa"/>
            <w:tcBorders>
              <w:top w:val="nil"/>
              <w:left w:val="nil"/>
              <w:bottom w:val="nil"/>
              <w:right w:val="nil"/>
            </w:tcBorders>
            <w:shd w:val="clear" w:color="auto" w:fill="auto"/>
            <w:noWrap/>
            <w:vAlign w:val="bottom"/>
            <w:hideMark/>
          </w:tcPr>
          <w:p w14:paraId="44EF236E" w14:textId="77777777" w:rsidR="001A0008" w:rsidRPr="00F7413A" w:rsidRDefault="001A0008" w:rsidP="005F2A3D">
            <w:pPr>
              <w:rPr>
                <w:rFonts w:asciiTheme="minorHAnsi" w:eastAsia="Times New Roman" w:hAnsiTheme="minorHAnsi" w:cstheme="minorHAnsi"/>
                <w:color w:val="000000"/>
                <w:sz w:val="20"/>
                <w:szCs w:val="20"/>
                <w:lang w:eastAsia="en-AU"/>
              </w:rPr>
            </w:pPr>
            <w:r w:rsidRPr="00F7413A">
              <w:rPr>
                <w:rFonts w:asciiTheme="minorHAnsi" w:eastAsia="Times New Roman" w:hAnsiTheme="minorHAnsi" w:cstheme="minorHAnsi"/>
                <w:color w:val="000000"/>
                <w:sz w:val="20"/>
                <w:szCs w:val="20"/>
                <w:lang w:eastAsia="en-AU"/>
              </w:rPr>
              <w:t> </w:t>
            </w:r>
          </w:p>
        </w:tc>
        <w:tc>
          <w:tcPr>
            <w:tcW w:w="791" w:type="dxa"/>
            <w:tcBorders>
              <w:top w:val="nil"/>
              <w:left w:val="nil"/>
              <w:bottom w:val="single" w:sz="4" w:space="0" w:color="BFBFBF"/>
              <w:right w:val="nil"/>
            </w:tcBorders>
            <w:shd w:val="clear" w:color="auto" w:fill="auto"/>
            <w:vAlign w:val="bottom"/>
            <w:hideMark/>
          </w:tcPr>
          <w:p w14:paraId="252EFE31" w14:textId="77777777" w:rsidR="001A0008" w:rsidRPr="00F7413A" w:rsidRDefault="001A0008" w:rsidP="005F2A3D">
            <w:pPr>
              <w:rPr>
                <w:rFonts w:asciiTheme="minorHAnsi" w:eastAsia="Times New Roman" w:hAnsiTheme="minorHAnsi" w:cstheme="minorHAnsi"/>
                <w:b/>
                <w:sz w:val="20"/>
                <w:szCs w:val="20"/>
                <w:lang w:eastAsia="en-AU"/>
              </w:rPr>
            </w:pPr>
            <w:r w:rsidRPr="00F7413A">
              <w:rPr>
                <w:rFonts w:asciiTheme="minorHAnsi" w:eastAsia="Times New Roman" w:hAnsiTheme="minorHAnsi" w:cstheme="minorHAnsi"/>
                <w:b/>
                <w:sz w:val="20"/>
                <w:szCs w:val="20"/>
                <w:lang w:eastAsia="en-AU"/>
              </w:rPr>
              <w:t>Poor</w:t>
            </w:r>
          </w:p>
        </w:tc>
        <w:tc>
          <w:tcPr>
            <w:tcW w:w="4917" w:type="dxa"/>
            <w:tcBorders>
              <w:top w:val="nil"/>
              <w:left w:val="nil"/>
              <w:bottom w:val="single" w:sz="4" w:space="0" w:color="BFBFBF"/>
              <w:right w:val="nil"/>
            </w:tcBorders>
            <w:shd w:val="clear" w:color="auto" w:fill="auto"/>
            <w:noWrap/>
            <w:vAlign w:val="bottom"/>
            <w:hideMark/>
          </w:tcPr>
          <w:p w14:paraId="16DA5F5E" w14:textId="77777777" w:rsidR="001A0008" w:rsidRPr="00F7413A" w:rsidRDefault="001A0008" w:rsidP="005F2A3D">
            <w:pPr>
              <w:rPr>
                <w:rFonts w:asciiTheme="minorHAnsi" w:eastAsia="Times New Roman" w:hAnsiTheme="minorHAnsi" w:cstheme="minorHAnsi"/>
                <w:sz w:val="20"/>
                <w:szCs w:val="20"/>
                <w:lang w:eastAsia="en-AU"/>
              </w:rPr>
            </w:pPr>
            <w:r w:rsidRPr="00F7413A">
              <w:rPr>
                <w:rFonts w:asciiTheme="minorHAnsi" w:eastAsia="Times New Roman" w:hAnsiTheme="minorHAnsi" w:cstheme="minorHAnsi"/>
                <w:sz w:val="20"/>
                <w:szCs w:val="20"/>
                <w:lang w:eastAsia="en-AU"/>
              </w:rPr>
              <w:t>No response. Licensed processing capacity assumed to be the average of the tonnage processed by inf. with the same inf. group</w:t>
            </w:r>
          </w:p>
        </w:tc>
      </w:tr>
    </w:tbl>
    <w:p w14:paraId="0B4AD8DA" w14:textId="77777777" w:rsidR="00C55BF8" w:rsidRDefault="001A0008" w:rsidP="001A0008">
      <w:pPr>
        <w:pStyle w:val="Notes"/>
        <w:ind w:left="0" w:firstLine="0"/>
        <w:rPr>
          <w:shd w:val="clear" w:color="auto" w:fill="FFFFFF" w:themeFill="background1"/>
        </w:rPr>
      </w:pPr>
      <w:r w:rsidRPr="00100F0A">
        <w:t>Notes:</w:t>
      </w:r>
      <w:r w:rsidRPr="00F7413A">
        <w:rPr>
          <w:shd w:val="clear" w:color="auto" w:fill="FFFFFF" w:themeFill="background1"/>
        </w:rPr>
        <w:t xml:space="preserve"> </w:t>
      </w:r>
    </w:p>
    <w:p w14:paraId="3C347EE4" w14:textId="4ED57926" w:rsidR="00C55BF8" w:rsidRDefault="001A0008" w:rsidP="00C55BF8">
      <w:pPr>
        <w:pStyle w:val="Notes"/>
        <w:numPr>
          <w:ilvl w:val="0"/>
          <w:numId w:val="60"/>
        </w:numPr>
      </w:pPr>
      <w:r w:rsidRPr="00F7413A">
        <w:rPr>
          <w:shd w:val="clear" w:color="auto" w:fill="D9D9D9" w:themeFill="background1" w:themeFillShade="D9"/>
        </w:rPr>
        <w:t>S</w:t>
      </w:r>
      <w:r w:rsidRPr="00AC2649">
        <w:rPr>
          <w:shd w:val="clear" w:color="auto" w:fill="D9D9D9" w:themeFill="background1" w:themeFillShade="D9"/>
        </w:rPr>
        <w:t>haded</w:t>
      </w:r>
      <w:r w:rsidRPr="00100F0A">
        <w:rPr>
          <w:shd w:val="clear" w:color="auto" w:fill="D9D9D9" w:themeFill="background1" w:themeFillShade="D9"/>
        </w:rPr>
        <w:t xml:space="preserve"> grey</w:t>
      </w:r>
      <w:r w:rsidRPr="00100F0A">
        <w:t xml:space="preserve"> infrastructure groups have coverage limitations</w:t>
      </w:r>
      <w:r>
        <w:t xml:space="preserve"> or are excluded</w:t>
      </w:r>
      <w:r w:rsidRPr="00100F0A">
        <w:t xml:space="preserve">. </w:t>
      </w:r>
    </w:p>
    <w:p w14:paraId="6E95751A" w14:textId="66428393" w:rsidR="00C55BF8" w:rsidRDefault="00B60586" w:rsidP="004206B0">
      <w:pPr>
        <w:pStyle w:val="Notes"/>
        <w:numPr>
          <w:ilvl w:val="0"/>
          <w:numId w:val="60"/>
        </w:numPr>
      </w:pPr>
      <w:r>
        <w:t xml:space="preserve">Total numbers of capacities </w:t>
      </w:r>
      <w:r w:rsidR="00C34F48">
        <w:t>are</w:t>
      </w:r>
      <w:r>
        <w:t xml:space="preserve"> 202, not 203 as stated in table 44</w:t>
      </w:r>
      <w:r w:rsidR="00ED2FB5">
        <w:t>,</w:t>
      </w:r>
      <w:r>
        <w:t xml:space="preserve"> </w:t>
      </w:r>
      <w:r w:rsidRPr="00B60586">
        <w:t xml:space="preserve">due to the exclusion of two PFAS contaminated groundwater clean-up operations. Whilst these operations are important, they provide only removal of the PFAS from the groundwater, using relatively simple activated carbon filtration technology that was not seen as </w:t>
      </w:r>
      <w:r w:rsidR="00AC4DA3">
        <w:t>‘</w:t>
      </w:r>
      <w:r w:rsidRPr="00B60586">
        <w:t>hazardous waste infrastructure</w:t>
      </w:r>
      <w:r w:rsidR="00AC4DA3">
        <w:t>’</w:t>
      </w:r>
      <w:r w:rsidRPr="00B60586">
        <w:t>. The important infrastructure, in this example, is that used to destroy the PFAS removed from the groundwater.</w:t>
      </w:r>
      <w:r w:rsidR="00C55BF8">
        <w:t xml:space="preserve"> </w:t>
      </w:r>
    </w:p>
    <w:p w14:paraId="30F655C8" w14:textId="5D16E1C0" w:rsidR="0096776A" w:rsidRPr="00100F0A" w:rsidRDefault="00C55BF8" w:rsidP="004206B0">
      <w:pPr>
        <w:pStyle w:val="Notes"/>
        <w:ind w:left="0" w:firstLine="0"/>
      </w:pPr>
      <w:r>
        <w:tab/>
      </w:r>
    </w:p>
    <w:p w14:paraId="5D607928" w14:textId="51EE82AA" w:rsidR="006216A3" w:rsidRPr="00100F0A" w:rsidRDefault="006216A3" w:rsidP="006216A3">
      <w:pPr>
        <w:rPr>
          <w:color w:val="080808"/>
        </w:rPr>
      </w:pPr>
      <w:r w:rsidRPr="00100F0A">
        <w:rPr>
          <w:color w:val="080808"/>
        </w:rPr>
        <w:t>The quality assessment details for each infrastructure group the percentages of site data that w</w:t>
      </w:r>
      <w:r w:rsidR="00EE49A9">
        <w:rPr>
          <w:color w:val="080808"/>
        </w:rPr>
        <w:t>ere</w:t>
      </w:r>
      <w:r w:rsidRPr="00100F0A">
        <w:rPr>
          <w:color w:val="080808"/>
        </w:rPr>
        <w:t xml:space="preserve"> derived from industry survey responses, EPA licence data or by the infrastructure group average. </w:t>
      </w:r>
    </w:p>
    <w:p w14:paraId="5914E8B8" w14:textId="461796AA" w:rsidR="006216A3" w:rsidRPr="00100F0A" w:rsidRDefault="006216A3" w:rsidP="006216A3">
      <w:pPr>
        <w:pStyle w:val="BodyText"/>
      </w:pPr>
      <w:r w:rsidRPr="00100F0A">
        <w:t>In the public version of this report, data for infrastructure groups that are serviced by less than three sites or companies is removed to protect commercial confidentialit</w:t>
      </w:r>
      <w:r w:rsidR="00EE49A9">
        <w:t>y</w:t>
      </w:r>
      <w:r w:rsidRPr="00100F0A">
        <w:t>.</w:t>
      </w:r>
    </w:p>
    <w:p w14:paraId="1230B7FC" w14:textId="77777777" w:rsidR="006216A3" w:rsidRPr="00100F0A" w:rsidRDefault="006216A3" w:rsidP="006216A3">
      <w:pPr>
        <w:rPr>
          <w:color w:val="080808"/>
        </w:rPr>
      </w:pPr>
    </w:p>
    <w:p w14:paraId="2B8390C0" w14:textId="3DE5F271" w:rsidR="006216A3" w:rsidRPr="00100F0A" w:rsidRDefault="006216A3" w:rsidP="006216A3">
      <w:pPr>
        <w:pStyle w:val="BodyText"/>
      </w:pPr>
      <w:r w:rsidRPr="00100F0A">
        <w:t xml:space="preserve">There are </w:t>
      </w:r>
      <w:r w:rsidR="00AC4DA3">
        <w:t xml:space="preserve">202 </w:t>
      </w:r>
      <w:r w:rsidRPr="00100F0A">
        <w:t xml:space="preserve">operational hazardous waste </w:t>
      </w:r>
      <w:r w:rsidR="00AC4DA3">
        <w:t xml:space="preserve">capacities </w:t>
      </w:r>
      <w:r w:rsidRPr="00100F0A">
        <w:t>in Australia and 1</w:t>
      </w:r>
      <w:r w:rsidR="00AC4DA3">
        <w:t>1</w:t>
      </w:r>
      <w:r w:rsidRPr="00100F0A">
        <w:t xml:space="preserve"> </w:t>
      </w:r>
      <w:r w:rsidR="00AC4DA3">
        <w:t xml:space="preserve">capacities </w:t>
      </w:r>
      <w:r w:rsidRPr="00100F0A">
        <w:t xml:space="preserve">under construction or commissioning. In 2016/17, around 2.3 </w:t>
      </w:r>
      <w:r w:rsidR="00196544">
        <w:t>Mt</w:t>
      </w:r>
      <w:r w:rsidRPr="00100F0A">
        <w:t xml:space="preserve"> of waste were managed by the 18</w:t>
      </w:r>
      <w:r w:rsidR="00AC4DA3">
        <w:t>5</w:t>
      </w:r>
      <w:r w:rsidRPr="00100F0A">
        <w:t xml:space="preserve"> operational sites, which have an installed capacity to manage 3.</w:t>
      </w:r>
      <w:r w:rsidR="00AC4DA3">
        <w:t>1</w:t>
      </w:r>
      <w:r w:rsidRPr="00100F0A">
        <w:t xml:space="preserve"> </w:t>
      </w:r>
      <w:r w:rsidR="00196544">
        <w:t>Mt</w:t>
      </w:r>
      <w:r w:rsidRPr="00100F0A">
        <w:t xml:space="preserve"> of hazardous waste. </w:t>
      </w:r>
    </w:p>
    <w:p w14:paraId="5DCF7233" w14:textId="77777777" w:rsidR="006216A3" w:rsidRPr="00100F0A" w:rsidRDefault="006216A3" w:rsidP="006216A3">
      <w:pPr>
        <w:rPr>
          <w:color w:val="080808"/>
        </w:rPr>
      </w:pPr>
    </w:p>
    <w:p w14:paraId="720EE98E" w14:textId="0B6F7020" w:rsidR="006216A3" w:rsidRPr="00100F0A" w:rsidRDefault="006216A3" w:rsidP="006216A3">
      <w:pPr>
        <w:rPr>
          <w:color w:val="080808"/>
        </w:rPr>
      </w:pPr>
      <w:r w:rsidRPr="00100F0A">
        <w:rPr>
          <w:color w:val="080808"/>
        </w:rPr>
        <w:t xml:space="preserve">Over the next few years an increase of around </w:t>
      </w:r>
      <w:r w:rsidR="00196544">
        <w:rPr>
          <w:color w:val="080808"/>
        </w:rPr>
        <w:t>1 Mt</w:t>
      </w:r>
      <w:r w:rsidRPr="00100F0A">
        <w:rPr>
          <w:color w:val="080808"/>
        </w:rPr>
        <w:t xml:space="preserve"> of capacity is expected to be added to Australia’s capacity across the infrastructure groups of:</w:t>
      </w:r>
    </w:p>
    <w:p w14:paraId="4122D077" w14:textId="5C7A1E52" w:rsidR="006216A3" w:rsidRPr="00100F0A" w:rsidRDefault="006216A3" w:rsidP="006216A3">
      <w:pPr>
        <w:pStyle w:val="Bullet1"/>
      </w:pPr>
      <w:r w:rsidRPr="00100F0A">
        <w:t xml:space="preserve">e-waste, lead, mercury, EOLT and </w:t>
      </w:r>
      <w:r w:rsidR="008637BA">
        <w:t>SPL</w:t>
      </w:r>
      <w:r w:rsidRPr="00100F0A">
        <w:t xml:space="preserve"> recycling facilities</w:t>
      </w:r>
    </w:p>
    <w:p w14:paraId="6FA44403" w14:textId="77777777" w:rsidR="006216A3" w:rsidRPr="00100F0A" w:rsidRDefault="006216A3" w:rsidP="006216A3">
      <w:pPr>
        <w:pStyle w:val="Bullet1"/>
      </w:pPr>
      <w:r w:rsidRPr="00100F0A">
        <w:t>CPT and soil treatment facilities</w:t>
      </w:r>
    </w:p>
    <w:p w14:paraId="0BD21EAE" w14:textId="53EA1B29" w:rsidR="006216A3" w:rsidRPr="00100F0A" w:rsidRDefault="00374225" w:rsidP="006216A3">
      <w:pPr>
        <w:pStyle w:val="Bullet1"/>
      </w:pPr>
      <w:r>
        <w:t>POP</w:t>
      </w:r>
      <w:r w:rsidR="006216A3" w:rsidRPr="00100F0A">
        <w:t xml:space="preserve"> and clinical waste thermal destruction facilities</w:t>
      </w:r>
    </w:p>
    <w:p w14:paraId="16EFA8CB" w14:textId="5720D8E6" w:rsidR="006216A3" w:rsidRDefault="00196544" w:rsidP="006216A3">
      <w:pPr>
        <w:pStyle w:val="Bullet1"/>
      </w:pPr>
      <w:r>
        <w:t>l</w:t>
      </w:r>
      <w:r w:rsidR="006216A3" w:rsidRPr="00100F0A">
        <w:t>ong-term isolation facilities.</w:t>
      </w:r>
    </w:p>
    <w:p w14:paraId="5C38F942" w14:textId="77777777" w:rsidR="00196544" w:rsidRPr="00100F0A" w:rsidRDefault="00196544" w:rsidP="00A307F3">
      <w:pPr>
        <w:pStyle w:val="BodyText"/>
      </w:pPr>
    </w:p>
    <w:p w14:paraId="0D18B80E" w14:textId="77777777" w:rsidR="00B32AF0" w:rsidRPr="00100F0A" w:rsidRDefault="00B32AF0" w:rsidP="00B32AF0">
      <w:pPr>
        <w:pStyle w:val="Heading3"/>
      </w:pPr>
      <w:bookmarkStart w:id="344" w:name="_Toc419449187"/>
      <w:bookmarkStart w:id="345" w:name="_Toc425849166"/>
      <w:bookmarkStart w:id="346" w:name="_Ref530475822"/>
      <w:r w:rsidRPr="00100F0A">
        <w:t>Compiling capacity estimates</w:t>
      </w:r>
      <w:bookmarkEnd w:id="344"/>
      <w:bookmarkEnd w:id="345"/>
      <w:bookmarkEnd w:id="346"/>
    </w:p>
    <w:p w14:paraId="0859AA43" w14:textId="76DD69B7" w:rsidR="00B32AF0" w:rsidRPr="00100F0A" w:rsidRDefault="00B32AF0" w:rsidP="00B32AF0">
      <w:pPr>
        <w:rPr>
          <w:color w:val="080808"/>
        </w:rPr>
      </w:pPr>
      <w:r w:rsidRPr="00100F0A">
        <w:rPr>
          <w:color w:val="080808"/>
        </w:rPr>
        <w:t>The infrastructure capacity estimates were compiled primarily by summing the data provided by survey respondents by infrastructure groups. As show</w:t>
      </w:r>
      <w:r w:rsidR="00AA6679" w:rsidRPr="00100F0A">
        <w:rPr>
          <w:color w:val="080808"/>
        </w:rPr>
        <w:t xml:space="preserve">n in </w:t>
      </w:r>
      <w:r w:rsidR="00AA6679" w:rsidRPr="00100F0A">
        <w:rPr>
          <w:color w:val="080808"/>
        </w:rPr>
        <w:fldChar w:fldCharType="begin"/>
      </w:r>
      <w:r w:rsidR="00AA6679" w:rsidRPr="00100F0A">
        <w:rPr>
          <w:color w:val="080808"/>
        </w:rPr>
        <w:instrText xml:space="preserve"> REF _Ref419493187 \h  \* MERGEFORMAT </w:instrText>
      </w:r>
      <w:r w:rsidR="00AA6679" w:rsidRPr="00100F0A">
        <w:rPr>
          <w:color w:val="080808"/>
        </w:rPr>
      </w:r>
      <w:r w:rsidR="00AA6679" w:rsidRPr="00100F0A">
        <w:rPr>
          <w:color w:val="080808"/>
        </w:rPr>
        <w:fldChar w:fldCharType="separate"/>
      </w:r>
      <w:r w:rsidR="00EB634D" w:rsidRPr="00100F0A">
        <w:t xml:space="preserve">Table </w:t>
      </w:r>
      <w:r w:rsidR="00EB634D">
        <w:rPr>
          <w:noProof/>
        </w:rPr>
        <w:t>46</w:t>
      </w:r>
      <w:r w:rsidR="00AA6679" w:rsidRPr="00100F0A">
        <w:rPr>
          <w:color w:val="080808"/>
        </w:rPr>
        <w:fldChar w:fldCharType="end"/>
      </w:r>
      <w:r w:rsidRPr="00100F0A">
        <w:rPr>
          <w:color w:val="080808"/>
        </w:rPr>
        <w:t xml:space="preserve">, no response was received in relation to </w:t>
      </w:r>
      <w:r w:rsidR="00E95BB9" w:rsidRPr="00100F0A">
        <w:rPr>
          <w:color w:val="080808"/>
        </w:rPr>
        <w:t>3</w:t>
      </w:r>
      <w:r w:rsidR="00F9617C">
        <w:rPr>
          <w:color w:val="080808"/>
        </w:rPr>
        <w:t>3</w:t>
      </w:r>
      <w:r w:rsidRPr="00100F0A">
        <w:rPr>
          <w:color w:val="080808"/>
        </w:rPr>
        <w:t>% of the sites so their capacity needed estimating. For</w:t>
      </w:r>
      <w:r w:rsidR="00E95BB9" w:rsidRPr="00100F0A">
        <w:rPr>
          <w:color w:val="080808"/>
        </w:rPr>
        <w:t xml:space="preserve"> 1</w:t>
      </w:r>
      <w:r w:rsidR="002919BE">
        <w:rPr>
          <w:color w:val="080808"/>
        </w:rPr>
        <w:t>5</w:t>
      </w:r>
      <w:r w:rsidR="00E95BB9" w:rsidRPr="00100F0A">
        <w:rPr>
          <w:color w:val="080808"/>
        </w:rPr>
        <w:t xml:space="preserve">% of these </w:t>
      </w:r>
      <w:r w:rsidRPr="00100F0A">
        <w:rPr>
          <w:color w:val="080808"/>
        </w:rPr>
        <w:t xml:space="preserve">sites, an EPA licence was publicly available containing a defined limit to the quantity of waste that could be processed annually. In those cases, that value was used as a proxy for current and </w:t>
      </w:r>
      <w:r w:rsidR="00E95BB9" w:rsidRPr="00100F0A">
        <w:rPr>
          <w:color w:val="080808"/>
        </w:rPr>
        <w:t xml:space="preserve">installed </w:t>
      </w:r>
      <w:r w:rsidRPr="00100F0A">
        <w:rPr>
          <w:color w:val="080808"/>
        </w:rPr>
        <w:t>capacity. Where this was not the case</w:t>
      </w:r>
      <w:r w:rsidR="00E95BB9" w:rsidRPr="00100F0A">
        <w:rPr>
          <w:color w:val="080808"/>
        </w:rPr>
        <w:t xml:space="preserve"> (</w:t>
      </w:r>
      <w:r w:rsidR="00F9617C">
        <w:rPr>
          <w:color w:val="080808"/>
        </w:rPr>
        <w:t>1</w:t>
      </w:r>
      <w:r w:rsidR="002919BE">
        <w:rPr>
          <w:color w:val="080808"/>
        </w:rPr>
        <w:t>8</w:t>
      </w:r>
      <w:r w:rsidR="00E95BB9" w:rsidRPr="00100F0A">
        <w:rPr>
          <w:color w:val="080808"/>
        </w:rPr>
        <w:t>% of sites)</w:t>
      </w:r>
      <w:r w:rsidRPr="00100F0A">
        <w:rPr>
          <w:color w:val="080808"/>
        </w:rPr>
        <w:t xml:space="preserve">, current and potential capacity was assumed to equal the average of the sites that provided data for that infrastructure group. </w:t>
      </w:r>
    </w:p>
    <w:p w14:paraId="03EA254D" w14:textId="1C072ED9" w:rsidR="002A3A54" w:rsidRPr="00100F0A" w:rsidRDefault="00346673" w:rsidP="00B85E4F">
      <w:pPr>
        <w:pStyle w:val="Heading3"/>
      </w:pPr>
      <w:r w:rsidRPr="00100F0A">
        <w:t xml:space="preserve"> </w:t>
      </w:r>
      <w:r w:rsidR="002A3A54" w:rsidRPr="00100F0A">
        <w:t>Comparing total capacity and total arisings</w:t>
      </w:r>
    </w:p>
    <w:p w14:paraId="48A5BAF6" w14:textId="16AE6131" w:rsidR="002A3A54" w:rsidRPr="00100F0A" w:rsidRDefault="002A3A54" w:rsidP="002A3A54">
      <w:pPr>
        <w:shd w:val="clear" w:color="auto" w:fill="FFFFFF" w:themeFill="background1"/>
        <w:rPr>
          <w:color w:val="080808"/>
        </w:rPr>
      </w:pPr>
      <w:r w:rsidRPr="00100F0A">
        <w:rPr>
          <w:color w:val="080808"/>
        </w:rPr>
        <w:t>In Section</w:t>
      </w:r>
      <w:r w:rsidR="00E95BB9" w:rsidRPr="00100F0A">
        <w:rPr>
          <w:color w:val="080808"/>
        </w:rPr>
        <w:t xml:space="preserve"> </w:t>
      </w:r>
      <w:r w:rsidR="00222814" w:rsidRPr="00100F0A">
        <w:rPr>
          <w:color w:val="080808"/>
        </w:rPr>
        <w:fldChar w:fldCharType="begin"/>
      </w:r>
      <w:r w:rsidR="00222814" w:rsidRPr="00100F0A">
        <w:rPr>
          <w:color w:val="080808"/>
        </w:rPr>
        <w:instrText xml:space="preserve"> REF _Ref530577967 \r \h </w:instrText>
      </w:r>
      <w:r w:rsidR="00222814" w:rsidRPr="00100F0A">
        <w:rPr>
          <w:color w:val="080808"/>
        </w:rPr>
      </w:r>
      <w:r w:rsidR="00222814" w:rsidRPr="00100F0A">
        <w:rPr>
          <w:color w:val="080808"/>
        </w:rPr>
        <w:fldChar w:fldCharType="separate"/>
      </w:r>
      <w:r w:rsidR="00EB634D">
        <w:rPr>
          <w:color w:val="080808"/>
        </w:rPr>
        <w:t>2.4</w:t>
      </w:r>
      <w:r w:rsidR="00222814" w:rsidRPr="00100F0A">
        <w:rPr>
          <w:color w:val="080808"/>
        </w:rPr>
        <w:fldChar w:fldCharType="end"/>
      </w:r>
      <w:r w:rsidRPr="00100F0A">
        <w:rPr>
          <w:color w:val="080808"/>
        </w:rPr>
        <w:t>, the current arisings of hazardous waste in Australia were discussed. The best estimate of current arisings (</w:t>
      </w:r>
      <w:r w:rsidR="00222814" w:rsidRPr="00100F0A">
        <w:rPr>
          <w:color w:val="080808"/>
        </w:rPr>
        <w:t>6.</w:t>
      </w:r>
      <w:r w:rsidR="002919BE">
        <w:rPr>
          <w:color w:val="080808"/>
        </w:rPr>
        <w:t>1</w:t>
      </w:r>
      <w:r w:rsidRPr="00100F0A">
        <w:rPr>
          <w:color w:val="080808"/>
        </w:rPr>
        <w:t xml:space="preserve"> Mt) is much higher than the approximately</w:t>
      </w:r>
      <w:r w:rsidR="00222814" w:rsidRPr="00100F0A">
        <w:rPr>
          <w:color w:val="080808"/>
        </w:rPr>
        <w:t xml:space="preserve"> 2.3</w:t>
      </w:r>
      <w:r w:rsidRPr="00100F0A">
        <w:rPr>
          <w:color w:val="080808"/>
        </w:rPr>
        <w:t xml:space="preserve"> Mt of waste shown above as currently received. </w:t>
      </w:r>
    </w:p>
    <w:p w14:paraId="19024DDB" w14:textId="77777777" w:rsidR="002A3A54" w:rsidRPr="00100F0A" w:rsidRDefault="002A3A54" w:rsidP="002A3A54">
      <w:pPr>
        <w:rPr>
          <w:color w:val="080808"/>
        </w:rPr>
      </w:pPr>
    </w:p>
    <w:p w14:paraId="0544CDB6" w14:textId="573235D5" w:rsidR="002A3A54" w:rsidRDefault="002A3A54" w:rsidP="002A3A54">
      <w:pPr>
        <w:shd w:val="clear" w:color="auto" w:fill="FFFFFF" w:themeFill="background1"/>
        <w:rPr>
          <w:color w:val="080808"/>
        </w:rPr>
      </w:pPr>
      <w:r w:rsidRPr="00100F0A">
        <w:rPr>
          <w:color w:val="080808"/>
        </w:rPr>
        <w:t xml:space="preserve">The difference between overall arisings and estimated capacity is mainly attributable to the limits on the scope and coverage of the infrastructure database discussed in Section </w:t>
      </w:r>
      <w:r w:rsidRPr="00100F0A">
        <w:rPr>
          <w:color w:val="080808"/>
        </w:rPr>
        <w:fldChar w:fldCharType="begin"/>
      </w:r>
      <w:r w:rsidRPr="00100F0A">
        <w:rPr>
          <w:color w:val="080808"/>
        </w:rPr>
        <w:instrText xml:space="preserve"> REF _Ref419197816 \r \h </w:instrText>
      </w:r>
      <w:r w:rsidRPr="00100F0A">
        <w:rPr>
          <w:color w:val="080808"/>
        </w:rPr>
      </w:r>
      <w:r w:rsidRPr="00100F0A">
        <w:rPr>
          <w:color w:val="080808"/>
        </w:rPr>
        <w:fldChar w:fldCharType="separate"/>
      </w:r>
      <w:r w:rsidR="00EB634D">
        <w:rPr>
          <w:color w:val="080808"/>
        </w:rPr>
        <w:t>3.2</w:t>
      </w:r>
      <w:r w:rsidRPr="00100F0A">
        <w:rPr>
          <w:color w:val="080808"/>
        </w:rPr>
        <w:fldChar w:fldCharType="end"/>
      </w:r>
      <w:r w:rsidRPr="00100F0A">
        <w:rPr>
          <w:color w:val="080808"/>
        </w:rPr>
        <w:t xml:space="preserve">. Many sites that receive hazardous waste are not included because they are not primarily hazardous waste infrastructure. In particular, many low hazard wastes such as grease trap waste, animal effluent and contaminated soil </w:t>
      </w:r>
      <w:r w:rsidR="000402A4">
        <w:rPr>
          <w:color w:val="080808"/>
        </w:rPr>
        <w:t>(</w:t>
      </w:r>
      <w:r w:rsidRPr="00100F0A">
        <w:rPr>
          <w:color w:val="080808"/>
        </w:rPr>
        <w:t>which are generated in large volumes</w:t>
      </w:r>
      <w:r w:rsidR="000402A4">
        <w:rPr>
          <w:color w:val="080808"/>
        </w:rPr>
        <w:t>)</w:t>
      </w:r>
      <w:r w:rsidRPr="00100F0A">
        <w:rPr>
          <w:color w:val="080808"/>
        </w:rPr>
        <w:t xml:space="preserve"> are sent to sites that are not included in the database. </w:t>
      </w:r>
    </w:p>
    <w:p w14:paraId="7ABED7C9" w14:textId="77777777" w:rsidR="00B8053D" w:rsidRPr="00100F0A" w:rsidRDefault="00B8053D" w:rsidP="002A3A54">
      <w:pPr>
        <w:shd w:val="clear" w:color="auto" w:fill="FFFFFF" w:themeFill="background1"/>
        <w:rPr>
          <w:color w:val="080808"/>
        </w:rPr>
      </w:pPr>
    </w:p>
    <w:p w14:paraId="3B947E35" w14:textId="104630E5" w:rsidR="002A3A54" w:rsidRPr="00100F0A" w:rsidRDefault="002A3A54" w:rsidP="00AD35BF">
      <w:pPr>
        <w:pStyle w:val="Heading2"/>
        <w:ind w:left="851" w:hanging="851"/>
      </w:pPr>
      <w:bookmarkStart w:id="347" w:name="_Toc419449189"/>
      <w:bookmarkStart w:id="348" w:name="_Toc425849168"/>
      <w:bookmarkStart w:id="349" w:name="_Toc13225543"/>
      <w:r w:rsidRPr="00100F0A">
        <w:t>Jurisdictional capacity estimates of hazardous waste infrastructure</w:t>
      </w:r>
      <w:bookmarkEnd w:id="347"/>
      <w:bookmarkEnd w:id="348"/>
      <w:bookmarkEnd w:id="349"/>
      <w:r w:rsidRPr="00100F0A">
        <w:t xml:space="preserve"> </w:t>
      </w:r>
    </w:p>
    <w:p w14:paraId="4ABA8ED8" w14:textId="6C4B9854" w:rsidR="002A3A54" w:rsidRPr="00100F0A" w:rsidRDefault="002A3A54" w:rsidP="002A3A54">
      <w:pPr>
        <w:pStyle w:val="BodyText"/>
      </w:pPr>
      <w:r w:rsidRPr="00100F0A">
        <w:fldChar w:fldCharType="begin"/>
      </w:r>
      <w:r w:rsidRPr="00100F0A">
        <w:instrText xml:space="preserve"> REF _Ref419459246 \h  \* MERGEFORMAT </w:instrText>
      </w:r>
      <w:r w:rsidRPr="00100F0A">
        <w:fldChar w:fldCharType="separate"/>
      </w:r>
      <w:r w:rsidR="00EB634D" w:rsidRPr="00EB634D">
        <w:rPr>
          <w:rFonts w:asciiTheme="minorHAnsi" w:hAnsiTheme="minorHAnsi" w:cs="Calibri"/>
          <w:noProof/>
        </w:rPr>
        <w:t>Table 47</w:t>
      </w:r>
      <w:r w:rsidRPr="00100F0A">
        <w:fldChar w:fldCharType="end"/>
      </w:r>
      <w:r w:rsidRPr="00100F0A">
        <w:t xml:space="preserve"> shows the </w:t>
      </w:r>
      <w:r w:rsidR="00DC4350" w:rsidRPr="00100F0A">
        <w:t>assessment of 2016</w:t>
      </w:r>
      <w:r w:rsidR="000402A4">
        <w:t>-</w:t>
      </w:r>
      <w:r w:rsidR="00DC4350" w:rsidRPr="00100F0A">
        <w:t>17 re</w:t>
      </w:r>
      <w:r w:rsidR="00A77323" w:rsidRPr="00100F0A">
        <w:t>c</w:t>
      </w:r>
      <w:r w:rsidR="0096776A" w:rsidRPr="00100F0A">
        <w:t>e</w:t>
      </w:r>
      <w:r w:rsidR="00A77323" w:rsidRPr="00100F0A">
        <w:t xml:space="preserve">ipts and installed </w:t>
      </w:r>
      <w:r w:rsidRPr="00100F0A">
        <w:t xml:space="preserve">capacity broken down by jurisdiction. </w:t>
      </w:r>
    </w:p>
    <w:p w14:paraId="7206DB45" w14:textId="77777777" w:rsidR="002A3A54" w:rsidRPr="00100F0A" w:rsidRDefault="002A3A54" w:rsidP="002A3A54">
      <w:pPr>
        <w:pStyle w:val="BodyText"/>
      </w:pPr>
    </w:p>
    <w:p w14:paraId="61036B0F" w14:textId="76942FA4" w:rsidR="002A3A54" w:rsidRPr="00100F0A" w:rsidRDefault="002A3A54" w:rsidP="002A3A54">
      <w:pPr>
        <w:pStyle w:val="BodyText"/>
      </w:pPr>
      <w:r w:rsidRPr="00100F0A">
        <w:t>To protect commercial confidentialit</w:t>
      </w:r>
      <w:r w:rsidR="000402A4">
        <w:t>y</w:t>
      </w:r>
      <w:r w:rsidRPr="00100F0A">
        <w:t xml:space="preserve">, in the public version of this report the infrastructure group data for tonnages of waste currently received and </w:t>
      </w:r>
      <w:r w:rsidR="00DC4350" w:rsidRPr="00100F0A">
        <w:t xml:space="preserve">installed </w:t>
      </w:r>
      <w:r w:rsidRPr="00100F0A">
        <w:t xml:space="preserve">capacity have been </w:t>
      </w:r>
      <w:r w:rsidR="008A3B51">
        <w:t>redacted (see black cells)</w:t>
      </w:r>
      <w:r w:rsidRPr="00100F0A">
        <w:t>.</w:t>
      </w:r>
      <w:r w:rsidR="000402A4">
        <w:t xml:space="preserve"> </w:t>
      </w:r>
      <w:r w:rsidRPr="00100F0A">
        <w:t>Whil</w:t>
      </w:r>
      <w:r w:rsidR="000402A4">
        <w:t>e</w:t>
      </w:r>
      <w:r w:rsidRPr="00100F0A">
        <w:t xml:space="preserve"> there may be more than three sites included in the capacity data that is removed, the number of companies that operate these sites may be less than three. To ensure commercial confidentialit</w:t>
      </w:r>
      <w:r w:rsidR="000402A4">
        <w:t xml:space="preserve">y is </w:t>
      </w:r>
      <w:r w:rsidRPr="00100F0A">
        <w:t>protected, no infrastructure group capacity data is included in the public report at a jurisdictional level.</w:t>
      </w:r>
    </w:p>
    <w:p w14:paraId="5B2F0E17" w14:textId="77777777" w:rsidR="002A3A54" w:rsidRPr="00100F0A" w:rsidRDefault="002A3A54" w:rsidP="002A3A54">
      <w:pPr>
        <w:pStyle w:val="BodyText"/>
      </w:pPr>
    </w:p>
    <w:p w14:paraId="373C7AEC" w14:textId="47176712" w:rsidR="002A3A54" w:rsidRPr="00100F0A" w:rsidRDefault="002A3A54" w:rsidP="002A3A54">
      <w:pPr>
        <w:pStyle w:val="BodyText"/>
      </w:pPr>
      <w:r w:rsidRPr="00100F0A">
        <w:t xml:space="preserve">The table includes analysis of the percentage of Australia’s hazardous waste infrastructure included in each jurisdiction (by the number of sites, current tonnage received and </w:t>
      </w:r>
      <w:r w:rsidR="0096776A" w:rsidRPr="00100F0A">
        <w:t xml:space="preserve">installed </w:t>
      </w:r>
      <w:r w:rsidRPr="00100F0A">
        <w:t>capacity).</w:t>
      </w:r>
    </w:p>
    <w:p w14:paraId="26447F29" w14:textId="77777777" w:rsidR="002A3A54" w:rsidRPr="00100F0A" w:rsidRDefault="002A3A54" w:rsidP="002A3A54">
      <w:pPr>
        <w:pStyle w:val="BodyText"/>
      </w:pPr>
    </w:p>
    <w:p w14:paraId="2CCF100D" w14:textId="77777777" w:rsidR="002A3A54" w:rsidRPr="00100F0A" w:rsidRDefault="002A3A54" w:rsidP="002A3A54">
      <w:pPr>
        <w:pStyle w:val="BodyText"/>
      </w:pPr>
      <w:r w:rsidRPr="00100F0A">
        <w:t>The table also includes colour coding of jurisdictions that have greater that 50% of Australia’s:</w:t>
      </w:r>
    </w:p>
    <w:p w14:paraId="1EA7997E" w14:textId="77777777" w:rsidR="002A3A54" w:rsidRPr="00100F0A" w:rsidRDefault="002A3A54" w:rsidP="002A3A54">
      <w:pPr>
        <w:pStyle w:val="Bullet1"/>
        <w:spacing w:before="80"/>
        <w:ind w:left="454" w:hanging="454"/>
      </w:pPr>
      <w:r w:rsidRPr="00100F0A">
        <w:t>total number of sites in an infrastructure group</w:t>
      </w:r>
    </w:p>
    <w:p w14:paraId="1EB8374A" w14:textId="77777777" w:rsidR="002A3A54" w:rsidRPr="00100F0A" w:rsidRDefault="002A3A54" w:rsidP="002A3A54">
      <w:pPr>
        <w:pStyle w:val="Bullet1"/>
        <w:spacing w:before="80"/>
        <w:ind w:left="454" w:hanging="454"/>
      </w:pPr>
      <w:r w:rsidRPr="00100F0A">
        <w:t>currently received capacity in an infrastructure group</w:t>
      </w:r>
    </w:p>
    <w:p w14:paraId="1C2DD46C" w14:textId="56CB33CB" w:rsidR="002A3A54" w:rsidRDefault="0096776A" w:rsidP="002A3A54">
      <w:pPr>
        <w:pStyle w:val="Bullet1"/>
        <w:spacing w:before="80"/>
        <w:ind w:left="454" w:hanging="454"/>
      </w:pPr>
      <w:r w:rsidRPr="00100F0A">
        <w:t>installed</w:t>
      </w:r>
      <w:r w:rsidR="002A3A54" w:rsidRPr="00100F0A">
        <w:t xml:space="preserve"> capacity in an infrastructure group.</w:t>
      </w:r>
    </w:p>
    <w:p w14:paraId="4C8EC564" w14:textId="77777777" w:rsidR="00891644" w:rsidRPr="00100F0A" w:rsidRDefault="00891644" w:rsidP="004206B0">
      <w:pPr>
        <w:pStyle w:val="Bullet1"/>
        <w:numPr>
          <w:ilvl w:val="0"/>
          <w:numId w:val="0"/>
        </w:numPr>
        <w:spacing w:before="80"/>
        <w:ind w:left="454"/>
      </w:pPr>
    </w:p>
    <w:p w14:paraId="61669221" w14:textId="77777777" w:rsidR="002A3A54" w:rsidRPr="00100F0A" w:rsidRDefault="002A3A54" w:rsidP="002A3A54">
      <w:r w:rsidRPr="00100F0A">
        <w:t>The analysis shows the following:</w:t>
      </w:r>
    </w:p>
    <w:p w14:paraId="0869D0C1" w14:textId="6F340788" w:rsidR="0028049C" w:rsidRPr="00100F0A" w:rsidRDefault="008A2EF9" w:rsidP="0028049C">
      <w:pPr>
        <w:pStyle w:val="Bullet1"/>
        <w:spacing w:before="80"/>
        <w:ind w:left="454" w:hanging="454"/>
      </w:pPr>
      <w:r w:rsidRPr="000402A4">
        <w:t xml:space="preserve">Regarding </w:t>
      </w:r>
      <w:r w:rsidRPr="00A307F3">
        <w:t>hazardous waste infrastructure sites</w:t>
      </w:r>
      <w:r w:rsidRPr="000402A4">
        <w:t xml:space="preserve"> in Australia</w:t>
      </w:r>
      <w:r w:rsidR="000402A4">
        <w:t>: NSW</w:t>
      </w:r>
      <w:r w:rsidR="002A3A54" w:rsidRPr="000402A4">
        <w:t xml:space="preserve"> and </w:t>
      </w:r>
      <w:r w:rsidR="000402A4">
        <w:t>Vic</w:t>
      </w:r>
      <w:r w:rsidR="002A3A54" w:rsidRPr="000402A4">
        <w:t xml:space="preserve"> dominate in the</w:t>
      </w:r>
      <w:r w:rsidR="002A3A54" w:rsidRPr="00100F0A">
        <w:t xml:space="preserve"> provision</w:t>
      </w:r>
      <w:r w:rsidR="000402A4">
        <w:t xml:space="preserve"> of</w:t>
      </w:r>
      <w:r w:rsidR="002A3A54" w:rsidRPr="00100F0A">
        <w:t xml:space="preserve"> infrastructure</w:t>
      </w:r>
      <w:r w:rsidR="00042563" w:rsidRPr="00100F0A">
        <w:t xml:space="preserve"> sites</w:t>
      </w:r>
      <w:r w:rsidRPr="00100F0A">
        <w:t xml:space="preserve"> </w:t>
      </w:r>
      <w:r w:rsidR="000402A4">
        <w:t>each</w:t>
      </w:r>
      <w:r w:rsidR="002A3A54" w:rsidRPr="00100F0A">
        <w:t xml:space="preserve"> </w:t>
      </w:r>
      <w:r w:rsidRPr="00100F0A">
        <w:t xml:space="preserve">with </w:t>
      </w:r>
      <w:r w:rsidR="002A3A54" w:rsidRPr="00100F0A">
        <w:t>approximately 30% of the sites.</w:t>
      </w:r>
      <w:r w:rsidR="0028049C" w:rsidRPr="00100F0A">
        <w:t xml:space="preserve"> Qld and WA follow both </w:t>
      </w:r>
      <w:r w:rsidR="009F2AF2" w:rsidRPr="00100F0A">
        <w:t xml:space="preserve">with </w:t>
      </w:r>
      <w:r w:rsidR="0028049C" w:rsidRPr="00100F0A">
        <w:t xml:space="preserve">around 15% of </w:t>
      </w:r>
      <w:r w:rsidRPr="00100F0A">
        <w:t xml:space="preserve">the </w:t>
      </w:r>
      <w:r w:rsidR="009F2AF2" w:rsidRPr="00100F0A">
        <w:t>sites</w:t>
      </w:r>
      <w:r w:rsidR="0028049C" w:rsidRPr="00100F0A">
        <w:t>.</w:t>
      </w:r>
      <w:r w:rsidR="00042563" w:rsidRPr="00100F0A">
        <w:t xml:space="preserve"> SA has 8% of the sites, followed by NT, ACT, and Tas which all have less than 5% of Australia’s hazardous waste infrastructure sites.</w:t>
      </w:r>
    </w:p>
    <w:p w14:paraId="36C9B361" w14:textId="00D7B554" w:rsidR="0028049C" w:rsidRPr="00100F0A" w:rsidRDefault="008A2EF9" w:rsidP="008C5FCE">
      <w:pPr>
        <w:pStyle w:val="Bullet1"/>
        <w:spacing w:before="80"/>
        <w:ind w:left="454" w:hanging="454"/>
      </w:pPr>
      <w:r w:rsidRPr="000402A4">
        <w:t xml:space="preserve">Regarding </w:t>
      </w:r>
      <w:r w:rsidRPr="00A307F3">
        <w:t xml:space="preserve">management of </w:t>
      </w:r>
      <w:r w:rsidR="00042563" w:rsidRPr="00A307F3">
        <w:t>20</w:t>
      </w:r>
      <w:r w:rsidRPr="00A307F3">
        <w:t>1</w:t>
      </w:r>
      <w:r w:rsidR="00042563" w:rsidRPr="00A307F3">
        <w:t>6</w:t>
      </w:r>
      <w:r w:rsidR="000402A4">
        <w:t>-</w:t>
      </w:r>
      <w:r w:rsidR="00042563" w:rsidRPr="00A307F3">
        <w:t>17</w:t>
      </w:r>
      <w:r w:rsidRPr="00A307F3">
        <w:t xml:space="preserve"> arisings</w:t>
      </w:r>
      <w:r w:rsidR="000402A4">
        <w:t xml:space="preserve">: </w:t>
      </w:r>
      <w:r w:rsidR="0028049C" w:rsidRPr="000402A4">
        <w:t>NSW manage</w:t>
      </w:r>
      <w:r w:rsidR="00042563" w:rsidRPr="000402A4">
        <w:t>d</w:t>
      </w:r>
      <w:r w:rsidR="0028049C" w:rsidRPr="000402A4">
        <w:t xml:space="preserve"> 34% of the waste arisings</w:t>
      </w:r>
      <w:r w:rsidR="00042563" w:rsidRPr="000402A4">
        <w:t>. Qld,</w:t>
      </w:r>
      <w:r w:rsidR="00042563" w:rsidRPr="00100F0A">
        <w:t xml:space="preserve"> Vic and WA follow with each managing around 20% </w:t>
      </w:r>
      <w:r w:rsidRPr="00100F0A">
        <w:t xml:space="preserve">of </w:t>
      </w:r>
      <w:r w:rsidR="00042563" w:rsidRPr="00100F0A">
        <w:t>arisings. SA managed around 7% of arisings and NT, ACT and Tas all managed less than 2% of 2016</w:t>
      </w:r>
      <w:r w:rsidR="000402A4">
        <w:t>-</w:t>
      </w:r>
      <w:r w:rsidR="00042563" w:rsidRPr="00100F0A">
        <w:t>17 arisings.</w:t>
      </w:r>
    </w:p>
    <w:p w14:paraId="65A20782" w14:textId="29E2FC30" w:rsidR="00484A48" w:rsidRPr="00100F0A" w:rsidRDefault="008A2EF9" w:rsidP="008C5FCE">
      <w:pPr>
        <w:pStyle w:val="Bullet1"/>
        <w:spacing w:before="80"/>
        <w:ind w:left="454" w:hanging="454"/>
      </w:pPr>
      <w:r w:rsidRPr="000402A4">
        <w:t xml:space="preserve">Regarding </w:t>
      </w:r>
      <w:r w:rsidRPr="00A307F3">
        <w:t>installed hazardous waste infrastructure capacity</w:t>
      </w:r>
      <w:r w:rsidR="000402A4">
        <w:t xml:space="preserve">: </w:t>
      </w:r>
      <w:r w:rsidR="004C2D38" w:rsidRPr="000402A4">
        <w:t>NSW has 32% of the waste</w:t>
      </w:r>
      <w:r w:rsidR="004C2D38" w:rsidRPr="00100F0A">
        <w:t xml:space="preserve"> arisings. Qld, Vic and WA follow</w:t>
      </w:r>
      <w:r w:rsidR="000402A4">
        <w:t xml:space="preserve">, </w:t>
      </w:r>
      <w:r w:rsidR="004C2D38" w:rsidRPr="00100F0A">
        <w:t>each having around 20% of installed capacity. SA has 6% of installed capacity and NT, ACT and Tas all have less than 1% of total installed capacity.</w:t>
      </w:r>
    </w:p>
    <w:p w14:paraId="4904BF93" w14:textId="77777777" w:rsidR="00CC4828" w:rsidRPr="00100F0A" w:rsidRDefault="00CC4828" w:rsidP="002A3A54"/>
    <w:p w14:paraId="2745F0A6" w14:textId="1D672537" w:rsidR="002A3A54" w:rsidRPr="00100F0A" w:rsidRDefault="002A3A54" w:rsidP="002A3A54">
      <w:r w:rsidRPr="00100F0A">
        <w:t>Regarding the infrastructure group capacity concentrations (locations):</w:t>
      </w:r>
    </w:p>
    <w:p w14:paraId="412DDE28" w14:textId="2CD7CEAF" w:rsidR="002A3A54" w:rsidRPr="00100F0A" w:rsidRDefault="002A3A54" w:rsidP="002A3A54">
      <w:pPr>
        <w:pStyle w:val="Bullet1"/>
        <w:spacing w:before="80"/>
        <w:ind w:left="454" w:hanging="454"/>
      </w:pPr>
      <w:r w:rsidRPr="00100F0A">
        <w:t xml:space="preserve">NSW </w:t>
      </w:r>
      <w:r w:rsidR="0047587C" w:rsidRPr="00100F0A">
        <w:t xml:space="preserve">has over </w:t>
      </w:r>
      <w:r w:rsidRPr="00100F0A">
        <w:t xml:space="preserve">50% of the </w:t>
      </w:r>
      <w:r w:rsidR="0047587C" w:rsidRPr="00100F0A">
        <w:t>lead sites. NSW manage</w:t>
      </w:r>
      <w:r w:rsidR="00B07E4D" w:rsidRPr="00100F0A">
        <w:t>d</w:t>
      </w:r>
      <w:r w:rsidR="0047587C" w:rsidRPr="00100F0A">
        <w:t xml:space="preserve"> over 50% and has more than 50% of the installed capacity for lead, e-waste, </w:t>
      </w:r>
      <w:r w:rsidRPr="00100F0A">
        <w:t xml:space="preserve">SPL and </w:t>
      </w:r>
      <w:r w:rsidR="0047587C" w:rsidRPr="00100F0A">
        <w:t>energy r</w:t>
      </w:r>
      <w:r w:rsidRPr="00100F0A">
        <w:t xml:space="preserve">ecovery </w:t>
      </w:r>
      <w:r w:rsidR="0047587C" w:rsidRPr="00100F0A">
        <w:t>infrastructure</w:t>
      </w:r>
      <w:r w:rsidRPr="00100F0A">
        <w:t>.</w:t>
      </w:r>
    </w:p>
    <w:p w14:paraId="17B073CF" w14:textId="23C097C5" w:rsidR="002A3A54" w:rsidRPr="00100F0A" w:rsidRDefault="002A3A54" w:rsidP="002A3A54">
      <w:pPr>
        <w:pStyle w:val="Bullet1"/>
        <w:spacing w:before="80"/>
        <w:ind w:left="454" w:hanging="454"/>
      </w:pPr>
      <w:r w:rsidRPr="00100F0A">
        <w:t xml:space="preserve">Qld </w:t>
      </w:r>
      <w:r w:rsidR="00B07E4D" w:rsidRPr="00100F0A">
        <w:t>managed over 50</w:t>
      </w:r>
      <w:r w:rsidRPr="00100F0A">
        <w:t xml:space="preserve">% of </w:t>
      </w:r>
      <w:r w:rsidR="00374225">
        <w:t>POP</w:t>
      </w:r>
      <w:r w:rsidRPr="00100F0A">
        <w:t xml:space="preserve"> </w:t>
      </w:r>
      <w:r w:rsidR="00B07E4D" w:rsidRPr="00100F0A">
        <w:t xml:space="preserve">and has over 50% of </w:t>
      </w:r>
      <w:r w:rsidR="00374225">
        <w:t>POP</w:t>
      </w:r>
      <w:r w:rsidR="00B07E4D" w:rsidRPr="00100F0A">
        <w:t xml:space="preserve"> installed capacity.</w:t>
      </w:r>
    </w:p>
    <w:p w14:paraId="6757866B" w14:textId="2E8B1325" w:rsidR="002A3A54" w:rsidRPr="00100F0A" w:rsidRDefault="002A3A54" w:rsidP="002A3A54">
      <w:pPr>
        <w:pStyle w:val="Bullet1"/>
        <w:spacing w:before="80"/>
        <w:ind w:left="454" w:hanging="454"/>
      </w:pPr>
      <w:r w:rsidRPr="00100F0A">
        <w:t xml:space="preserve">Vic has over 50% </w:t>
      </w:r>
      <w:r w:rsidR="00E649BE" w:rsidRPr="00100F0A">
        <w:t xml:space="preserve">of the </w:t>
      </w:r>
      <w:r w:rsidR="00A91FCC" w:rsidRPr="00100F0A">
        <w:t xml:space="preserve">sites, </w:t>
      </w:r>
      <w:r w:rsidR="00E649BE" w:rsidRPr="00100F0A">
        <w:t xml:space="preserve">waste managed and installed capacity </w:t>
      </w:r>
      <w:r w:rsidRPr="00100F0A">
        <w:t xml:space="preserve">for hazardous waste packaging, </w:t>
      </w:r>
      <w:r w:rsidR="00E649BE" w:rsidRPr="00100F0A">
        <w:t xml:space="preserve">and </w:t>
      </w:r>
      <w:r w:rsidRPr="00100F0A">
        <w:t xml:space="preserve">soil treatment </w:t>
      </w:r>
      <w:r w:rsidR="00E649BE" w:rsidRPr="00100F0A">
        <w:t>infrastructure</w:t>
      </w:r>
      <w:r w:rsidRPr="00100F0A">
        <w:t>.</w:t>
      </w:r>
      <w:r w:rsidR="00E649BE" w:rsidRPr="00100F0A">
        <w:t xml:space="preserve"> Vic also managed more than 50% of mercury and organics waste. </w:t>
      </w:r>
    </w:p>
    <w:p w14:paraId="23CC95E2" w14:textId="6F65A103" w:rsidR="002A3A54" w:rsidRPr="00100F0A" w:rsidRDefault="00E649BE" w:rsidP="002A3A54">
      <w:pPr>
        <w:pStyle w:val="Bullet1"/>
        <w:spacing w:before="80"/>
        <w:ind w:left="454" w:hanging="454"/>
      </w:pPr>
      <w:r w:rsidRPr="00100F0A">
        <w:t>WA has over 50% of the sites, waste managed and installed capacity for bioremediation facilities</w:t>
      </w:r>
      <w:r w:rsidR="002A3A54" w:rsidRPr="00100F0A">
        <w:t>.</w:t>
      </w:r>
    </w:p>
    <w:p w14:paraId="28DEE821" w14:textId="1BFD0BDC" w:rsidR="005A0275" w:rsidRPr="00100F0A" w:rsidRDefault="005A0275" w:rsidP="002A3A54">
      <w:pPr>
        <w:pStyle w:val="Bullet1"/>
        <w:spacing w:before="80"/>
        <w:ind w:left="454" w:hanging="454"/>
      </w:pPr>
      <w:r w:rsidRPr="00100F0A">
        <w:t xml:space="preserve">The 2018 assessment also identified </w:t>
      </w:r>
      <w:r w:rsidR="000402A4">
        <w:t>three</w:t>
      </w:r>
      <w:r w:rsidRPr="00100F0A">
        <w:t xml:space="preserve"> types of mobile infrastructure </w:t>
      </w:r>
      <w:r w:rsidR="00EC2617">
        <w:t xml:space="preserve">that is </w:t>
      </w:r>
      <w:r w:rsidR="00420DE6">
        <w:t xml:space="preserve">in </w:t>
      </w:r>
      <w:r w:rsidR="00B905E8">
        <w:t>p</w:t>
      </w:r>
      <w:r w:rsidR="00420DE6" w:rsidRPr="00420DE6">
        <w:t>lanning</w:t>
      </w:r>
      <w:r w:rsidR="00420DE6">
        <w:t xml:space="preserve"> stage </w:t>
      </w:r>
      <w:r w:rsidRPr="00100F0A">
        <w:t xml:space="preserve">for CPT </w:t>
      </w:r>
      <w:r w:rsidR="00420DE6">
        <w:t>(</w:t>
      </w:r>
      <w:r w:rsidR="008A3B51" w:rsidRPr="009D734D">
        <w:rPr>
          <w:shd w:val="clear" w:color="auto" w:fill="FF0000"/>
        </w:rPr>
        <w:t>CIC</w:t>
      </w:r>
      <w:r w:rsidR="00420DE6">
        <w:t xml:space="preserve"> kt capacity) </w:t>
      </w:r>
      <w:r w:rsidR="00EC2617">
        <w:t>and</w:t>
      </w:r>
      <w:r w:rsidRPr="00100F0A">
        <w:t xml:space="preserve"> </w:t>
      </w:r>
      <w:r w:rsidR="00374225">
        <w:t>POP</w:t>
      </w:r>
      <w:r w:rsidRPr="00100F0A">
        <w:t xml:space="preserve"> thermal destruction</w:t>
      </w:r>
      <w:r w:rsidR="00420DE6">
        <w:t xml:space="preserve"> (</w:t>
      </w:r>
      <w:r w:rsidR="008A3B51" w:rsidRPr="009D734D">
        <w:rPr>
          <w:shd w:val="clear" w:color="auto" w:fill="FF0000"/>
        </w:rPr>
        <w:t>CIC</w:t>
      </w:r>
      <w:r w:rsidR="00420DE6">
        <w:t xml:space="preserve"> kt capacity)</w:t>
      </w:r>
      <w:r w:rsidRPr="00100F0A">
        <w:t xml:space="preserve">. </w:t>
      </w:r>
      <w:r w:rsidR="00420DE6">
        <w:t>Note: the</w:t>
      </w:r>
      <w:r w:rsidR="00926215" w:rsidRPr="00100F0A">
        <w:t xml:space="preserve"> capacity for this </w:t>
      </w:r>
      <w:r w:rsidR="00420DE6">
        <w:t xml:space="preserve">mobile </w:t>
      </w:r>
      <w:r w:rsidR="00926215" w:rsidRPr="00100F0A">
        <w:t>infrastructure is modular</w:t>
      </w:r>
      <w:r w:rsidR="00EC2617">
        <w:t xml:space="preserve"> and scalable</w:t>
      </w:r>
      <w:r w:rsidR="00926215" w:rsidRPr="00100F0A">
        <w:t xml:space="preserve"> and defined by the site clean-up needs. </w:t>
      </w:r>
    </w:p>
    <w:p w14:paraId="7A9EBEDD" w14:textId="77777777" w:rsidR="002A3A54" w:rsidRPr="00100F0A" w:rsidRDefault="002A3A54" w:rsidP="005E702F">
      <w:pPr>
        <w:pStyle w:val="BodyText"/>
      </w:pPr>
    </w:p>
    <w:p w14:paraId="370D143B" w14:textId="77777777" w:rsidR="002A3A54" w:rsidRPr="00100F0A" w:rsidRDefault="002A3A54" w:rsidP="005E702F">
      <w:pPr>
        <w:pStyle w:val="BodyText"/>
      </w:pPr>
    </w:p>
    <w:p w14:paraId="0BCDDD4D" w14:textId="77777777" w:rsidR="002A3A54" w:rsidRPr="00100F0A" w:rsidRDefault="002A3A54" w:rsidP="005E702F">
      <w:pPr>
        <w:pStyle w:val="BodyText"/>
      </w:pPr>
    </w:p>
    <w:p w14:paraId="73AF797C" w14:textId="77777777" w:rsidR="002A3A54" w:rsidRPr="00100F0A" w:rsidRDefault="002A3A54" w:rsidP="002A3A54">
      <w:pPr>
        <w:rPr>
          <w:rFonts w:ascii="Arial Rounded MT Bold" w:hAnsi="Arial Rounded MT Bold" w:cs="Arial"/>
          <w:color w:val="0000FF"/>
          <w:sz w:val="24"/>
        </w:rPr>
        <w:sectPr w:rsidR="002A3A54" w:rsidRPr="00100F0A" w:rsidSect="003879F7">
          <w:headerReference w:type="even" r:id="rId93"/>
          <w:footerReference w:type="even" r:id="rId94"/>
          <w:headerReference w:type="first" r:id="rId95"/>
          <w:footerReference w:type="first" r:id="rId96"/>
          <w:pgSz w:w="11907" w:h="16840" w:code="9"/>
          <w:pgMar w:top="1440" w:right="1077" w:bottom="1440" w:left="1797" w:header="709" w:footer="709" w:gutter="0"/>
          <w:cols w:space="708"/>
          <w:docGrid w:linePitch="360"/>
        </w:sectPr>
      </w:pPr>
    </w:p>
    <w:p w14:paraId="2DD471D3" w14:textId="4761254D" w:rsidR="002A3A54" w:rsidRPr="00100F0A" w:rsidRDefault="002A3A54" w:rsidP="002A3A54">
      <w:pPr>
        <w:pStyle w:val="BodyText"/>
        <w:rPr>
          <w:noProof/>
          <w:sz w:val="2"/>
          <w:szCs w:val="2"/>
        </w:rPr>
      </w:pPr>
    </w:p>
    <w:p w14:paraId="4A1F7528" w14:textId="52DD6E37" w:rsidR="002A3A54" w:rsidRDefault="002A3A54" w:rsidP="0095119F">
      <w:pPr>
        <w:pStyle w:val="Caption"/>
      </w:pPr>
      <w:bookmarkStart w:id="350" w:name="_Ref419459246"/>
      <w:bookmarkStart w:id="351" w:name="_Toc419190515"/>
      <w:bookmarkStart w:id="352" w:name="_Toc425849337"/>
      <w:bookmarkStart w:id="353" w:name="_Toc13225666"/>
      <w:r w:rsidRPr="00100F0A">
        <w:t xml:space="preserve">Table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47</w:t>
      </w:r>
      <w:r w:rsidR="00B404A6" w:rsidRPr="00100F0A">
        <w:rPr>
          <w:noProof/>
        </w:rPr>
        <w:fldChar w:fldCharType="end"/>
      </w:r>
      <w:bookmarkEnd w:id="350"/>
      <w:r w:rsidRPr="00100F0A">
        <w:t>:</w:t>
      </w:r>
      <w:r w:rsidRPr="00100F0A">
        <w:tab/>
        <w:t>Jurisdictional capacity estimate of hazardous waste infrastructure</w:t>
      </w:r>
      <w:bookmarkEnd w:id="351"/>
      <w:bookmarkEnd w:id="352"/>
      <w:bookmarkEnd w:id="353"/>
    </w:p>
    <w:p w14:paraId="51DCF39E" w14:textId="2D538471" w:rsidR="008A3B51" w:rsidRPr="00A20188" w:rsidRDefault="008A3B51" w:rsidP="009D734D">
      <w:pPr>
        <w:pStyle w:val="BodyText"/>
      </w:pPr>
      <w:r w:rsidRPr="008A3B51">
        <w:rPr>
          <w:noProof/>
          <w:lang w:eastAsia="en-AU"/>
        </w:rPr>
        <w:drawing>
          <wp:inline distT="0" distB="0" distL="0" distR="0" wp14:anchorId="780CA223" wp14:editId="3E67A54D">
            <wp:extent cx="9749641" cy="4863472"/>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9761293" cy="4869284"/>
                    </a:xfrm>
                    <a:prstGeom prst="rect">
                      <a:avLst/>
                    </a:prstGeom>
                  </pic:spPr>
                </pic:pic>
              </a:graphicData>
            </a:graphic>
          </wp:inline>
        </w:drawing>
      </w:r>
    </w:p>
    <w:p w14:paraId="2E2B40EC" w14:textId="77777777" w:rsidR="008A3B51" w:rsidRDefault="008A3B51" w:rsidP="00C171B6">
      <w:pPr>
        <w:pStyle w:val="Notes"/>
        <w:ind w:left="0" w:firstLine="0"/>
      </w:pPr>
    </w:p>
    <w:p w14:paraId="377969F5" w14:textId="293D4275" w:rsidR="00C171B6" w:rsidRDefault="00C171B6" w:rsidP="00C171B6">
      <w:pPr>
        <w:pStyle w:val="Notes"/>
        <w:ind w:left="0" w:firstLine="0"/>
      </w:pPr>
      <w:r w:rsidRPr="00100F0A">
        <w:t>Notes:</w:t>
      </w:r>
      <w:r w:rsidRPr="00F7413A">
        <w:rPr>
          <w:shd w:val="clear" w:color="auto" w:fill="FFFFFF" w:themeFill="background1"/>
        </w:rPr>
        <w:t xml:space="preserve"> </w:t>
      </w:r>
      <w:r w:rsidRPr="00F7413A">
        <w:rPr>
          <w:shd w:val="clear" w:color="auto" w:fill="D9D9D9" w:themeFill="background1" w:themeFillShade="D9"/>
        </w:rPr>
        <w:t>S</w:t>
      </w:r>
      <w:r w:rsidRPr="00AC2649">
        <w:rPr>
          <w:shd w:val="clear" w:color="auto" w:fill="D9D9D9" w:themeFill="background1" w:themeFillShade="D9"/>
        </w:rPr>
        <w:t>haded</w:t>
      </w:r>
      <w:r w:rsidRPr="00100F0A">
        <w:rPr>
          <w:shd w:val="clear" w:color="auto" w:fill="D9D9D9" w:themeFill="background1" w:themeFillShade="D9"/>
        </w:rPr>
        <w:t xml:space="preserve"> grey</w:t>
      </w:r>
      <w:r w:rsidRPr="00100F0A">
        <w:t xml:space="preserve"> infrastructure groups have coverage limitations</w:t>
      </w:r>
      <w:r>
        <w:t xml:space="preserve"> or are excluded</w:t>
      </w:r>
    </w:p>
    <w:p w14:paraId="6C8E9645" w14:textId="40EE317D" w:rsidR="002A3A54" w:rsidRPr="00100F0A" w:rsidRDefault="002A3A54" w:rsidP="002B2606">
      <w:pPr>
        <w:pStyle w:val="Notes"/>
        <w:rPr>
          <w:noProof/>
        </w:rPr>
      </w:pPr>
    </w:p>
    <w:p w14:paraId="3527D8CB" w14:textId="77777777" w:rsidR="002A3A54" w:rsidRPr="00100F0A" w:rsidRDefault="002A3A54" w:rsidP="002A3A54">
      <w:pPr>
        <w:pStyle w:val="BodyText"/>
        <w:sectPr w:rsidR="002A3A54" w:rsidRPr="00100F0A" w:rsidSect="002A3A54">
          <w:pgSz w:w="16840" w:h="11907" w:orient="landscape" w:code="9"/>
          <w:pgMar w:top="1276" w:right="1531" w:bottom="1077" w:left="1134" w:header="709" w:footer="709" w:gutter="0"/>
          <w:cols w:space="708"/>
          <w:docGrid w:linePitch="360"/>
        </w:sectPr>
      </w:pPr>
    </w:p>
    <w:p w14:paraId="54B4A3CF" w14:textId="61705C5F" w:rsidR="002A3A54" w:rsidRPr="00100F0A" w:rsidRDefault="002A3A54" w:rsidP="00AD35BF">
      <w:pPr>
        <w:pStyle w:val="Heading2"/>
        <w:ind w:left="851" w:hanging="851"/>
      </w:pPr>
      <w:bookmarkStart w:id="354" w:name="_Ref419402256"/>
      <w:bookmarkStart w:id="355" w:name="_Toc419449190"/>
      <w:bookmarkStart w:id="356" w:name="_Toc425849169"/>
      <w:bookmarkStart w:id="357" w:name="_Toc13225544"/>
      <w:r w:rsidRPr="00100F0A">
        <w:t>Key issues raised by industry during consultation</w:t>
      </w:r>
      <w:bookmarkEnd w:id="354"/>
      <w:bookmarkEnd w:id="355"/>
      <w:bookmarkEnd w:id="356"/>
      <w:bookmarkEnd w:id="357"/>
      <w:r w:rsidRPr="00100F0A">
        <w:t xml:space="preserve"> </w:t>
      </w:r>
    </w:p>
    <w:p w14:paraId="30FD21A7" w14:textId="77777777" w:rsidR="002A3A54" w:rsidRPr="00100F0A" w:rsidRDefault="002A3A54" w:rsidP="002A3A54">
      <w:pPr>
        <w:pStyle w:val="BodyText"/>
      </w:pPr>
      <w:r w:rsidRPr="00100F0A">
        <w:t>This section discusses the key issues raised by industry during consultation. No quotations are provided to maintain confidentiality agreements made with industry stakeholders during survey and interview.</w:t>
      </w:r>
    </w:p>
    <w:p w14:paraId="0DE859C8" w14:textId="77777777" w:rsidR="002A3A54" w:rsidRPr="00100F0A" w:rsidRDefault="002A3A54" w:rsidP="00AD35BF">
      <w:pPr>
        <w:pStyle w:val="Heading3"/>
      </w:pPr>
      <w:r w:rsidRPr="00100F0A">
        <w:t>Falling demand for hazardous waste infrastructure</w:t>
      </w:r>
    </w:p>
    <w:p w14:paraId="25C9093A" w14:textId="1C847450" w:rsidR="002A3A54" w:rsidRPr="00100F0A" w:rsidRDefault="002A3A54" w:rsidP="002A3A54">
      <w:pPr>
        <w:pStyle w:val="BodyText"/>
      </w:pPr>
      <w:r w:rsidRPr="00100F0A">
        <w:t xml:space="preserve">As Australia’s manufacturing sector slows, hazardous waste commonly generated by manufacturing in Australia </w:t>
      </w:r>
      <w:r w:rsidR="00ED27DB">
        <w:t>is</w:t>
      </w:r>
      <w:r w:rsidRPr="00100F0A">
        <w:t xml:space="preserve"> in decline. Across the country, industry reported falling amounts of hazardous manufacturing waste sent for treatment. In some </w:t>
      </w:r>
      <w:r w:rsidR="00387CBE" w:rsidRPr="00100F0A">
        <w:t>instances,</w:t>
      </w:r>
      <w:r w:rsidRPr="00100F0A">
        <w:t xml:space="preserve"> sharp declines were reported. </w:t>
      </w:r>
      <w:r w:rsidR="008946E1" w:rsidRPr="00100F0A">
        <w:t>This issue was report</w:t>
      </w:r>
      <w:r w:rsidR="00A462A8" w:rsidRPr="00100F0A">
        <w:t>ed</w:t>
      </w:r>
      <w:r w:rsidR="008946E1" w:rsidRPr="00100F0A">
        <w:t xml:space="preserve"> in 2015 and remains current for the 2018 assessment. Our analysis</w:t>
      </w:r>
      <w:r w:rsidR="00A462A8" w:rsidRPr="00100F0A">
        <w:t xml:space="preserve">, based on </w:t>
      </w:r>
      <w:r w:rsidR="008946E1" w:rsidRPr="00100F0A">
        <w:t xml:space="preserve">waste tracking </w:t>
      </w:r>
      <w:r w:rsidR="00A462A8" w:rsidRPr="00100F0A">
        <w:t>data,</w:t>
      </w:r>
      <w:r w:rsidR="008946E1" w:rsidRPr="00100F0A">
        <w:t xml:space="preserve"> </w:t>
      </w:r>
      <w:r w:rsidR="00A462A8" w:rsidRPr="00100F0A">
        <w:t xml:space="preserve">estimated </w:t>
      </w:r>
      <w:r w:rsidR="008946E1" w:rsidRPr="00100F0A">
        <w:t xml:space="preserve">tonnages of waste sent to CPT of 700 kt in 2015 </w:t>
      </w:r>
      <w:r w:rsidR="00A462A8" w:rsidRPr="00100F0A">
        <w:t xml:space="preserve">to </w:t>
      </w:r>
      <w:r w:rsidR="008946E1" w:rsidRPr="00100F0A">
        <w:t xml:space="preserve">just 400 kt in 2018, a fall of around 43% over three years.  </w:t>
      </w:r>
    </w:p>
    <w:p w14:paraId="2C73B90F" w14:textId="77777777" w:rsidR="002A3A54" w:rsidRPr="00100F0A" w:rsidRDefault="002A3A54" w:rsidP="002A3A54">
      <w:pPr>
        <w:pStyle w:val="BodyText"/>
      </w:pPr>
    </w:p>
    <w:p w14:paraId="6E8F36C2" w14:textId="738B5689" w:rsidR="002A3A54" w:rsidRPr="00100F0A" w:rsidRDefault="002A3A54" w:rsidP="002A3A54">
      <w:pPr>
        <w:pStyle w:val="BodyText"/>
      </w:pPr>
      <w:r w:rsidRPr="00100F0A">
        <w:t xml:space="preserve">This project is focused on identifying where Australia’s hazardous waste industry may become constrained over the next 20 years. Industry flagged that undersupply of wastes could cause infrastructure shortages due to closure of key infrastructure that may no longer be viable as demand falls for processing of key </w:t>
      </w:r>
      <w:r w:rsidR="008946E1" w:rsidRPr="00100F0A">
        <w:t>high-volume</w:t>
      </w:r>
      <w:r w:rsidRPr="00100F0A">
        <w:t xml:space="preserve"> wastes.</w:t>
      </w:r>
    </w:p>
    <w:p w14:paraId="0734A72B" w14:textId="77777777" w:rsidR="002A3A54" w:rsidRPr="00100F0A" w:rsidRDefault="002A3A54" w:rsidP="002A3A54">
      <w:pPr>
        <w:pStyle w:val="BodyText"/>
      </w:pPr>
    </w:p>
    <w:p w14:paraId="09FDC550" w14:textId="25591058" w:rsidR="002A3A54" w:rsidRPr="00100F0A" w:rsidRDefault="00A462A8" w:rsidP="002A3A54">
      <w:pPr>
        <w:pStyle w:val="BodyText"/>
      </w:pPr>
      <w:r w:rsidRPr="00100F0A">
        <w:t>However, t</w:t>
      </w:r>
      <w:r w:rsidR="008946E1" w:rsidRPr="00100F0A">
        <w:t xml:space="preserve">he overall tonnages of hazardous waste are projected to increase from around 6 </w:t>
      </w:r>
      <w:r w:rsidR="00ED27DB">
        <w:t>Mt</w:t>
      </w:r>
      <w:r w:rsidR="008946E1" w:rsidRPr="00100F0A">
        <w:t xml:space="preserve"> </w:t>
      </w:r>
      <w:r w:rsidR="00B77BC8" w:rsidRPr="00100F0A">
        <w:t xml:space="preserve">currently to almost 10 </w:t>
      </w:r>
      <w:r w:rsidR="00ED27DB">
        <w:t>Mt</w:t>
      </w:r>
      <w:r w:rsidR="00B77BC8" w:rsidRPr="00100F0A">
        <w:t xml:space="preserve"> in 2038</w:t>
      </w:r>
      <w:r w:rsidR="002A3A54" w:rsidRPr="00100F0A">
        <w:t>.</w:t>
      </w:r>
      <w:r w:rsidR="00B77BC8" w:rsidRPr="00100F0A">
        <w:t xml:space="preserve"> So</w:t>
      </w:r>
      <w:r w:rsidRPr="00100F0A">
        <w:t>,</w:t>
      </w:r>
      <w:r w:rsidR="00B77BC8" w:rsidRPr="00100F0A">
        <w:t xml:space="preserve"> whilst tonnages of some wastes are declining</w:t>
      </w:r>
      <w:r w:rsidRPr="00100F0A">
        <w:t>,</w:t>
      </w:r>
      <w:r w:rsidR="00B77BC8" w:rsidRPr="00100F0A">
        <w:t xml:space="preserve"> and </w:t>
      </w:r>
      <w:r w:rsidRPr="00100F0A">
        <w:t xml:space="preserve">are </w:t>
      </w:r>
      <w:r w:rsidR="00B77BC8" w:rsidRPr="00100F0A">
        <w:t>projected to continue doing so, other hazardous waste ty</w:t>
      </w:r>
      <w:r w:rsidR="00ED27DB">
        <w:t>p</w:t>
      </w:r>
      <w:r w:rsidR="00B77BC8" w:rsidRPr="00100F0A">
        <w:t xml:space="preserve">es are projected to increase significantly. The challenge for industry and government is to plan for and implement infrastructure changes that can manage the </w:t>
      </w:r>
      <w:r w:rsidRPr="00100F0A">
        <w:t xml:space="preserve">rapidly </w:t>
      </w:r>
      <w:r w:rsidR="00B77BC8" w:rsidRPr="00100F0A">
        <w:t>changing composition of hazardous waste.</w:t>
      </w:r>
    </w:p>
    <w:p w14:paraId="48CAD53F" w14:textId="65D598FC" w:rsidR="002A3A54" w:rsidRPr="00100F0A" w:rsidRDefault="002A3A54" w:rsidP="00AD35BF">
      <w:pPr>
        <w:pStyle w:val="Heading3"/>
      </w:pPr>
      <w:r w:rsidRPr="00100F0A">
        <w:t xml:space="preserve">Stockpiles of </w:t>
      </w:r>
      <w:r w:rsidR="008637BA">
        <w:t>SPL</w:t>
      </w:r>
      <w:r w:rsidRPr="00100F0A">
        <w:t xml:space="preserve">, mercury waste and </w:t>
      </w:r>
      <w:r w:rsidR="00ED27DB">
        <w:t>EOLT</w:t>
      </w:r>
    </w:p>
    <w:p w14:paraId="2863B6E4" w14:textId="3CF51294" w:rsidR="002A3A54" w:rsidRPr="00100F0A" w:rsidRDefault="0087634F" w:rsidP="002A3A54">
      <w:pPr>
        <w:pStyle w:val="BodyText"/>
      </w:pPr>
      <w:r w:rsidRPr="00100F0A">
        <w:t xml:space="preserve">This issue was </w:t>
      </w:r>
      <w:r w:rsidR="00A5081C" w:rsidRPr="00100F0A">
        <w:t>raised in th</w:t>
      </w:r>
      <w:r w:rsidRPr="00100F0A">
        <w:t xml:space="preserve">e 2015 assessment and remains current. </w:t>
      </w:r>
      <w:r w:rsidR="00A5081C" w:rsidRPr="00100F0A">
        <w:t>REC 2016 estimated the stockpile of SPL to be around 700</w:t>
      </w:r>
      <w:r w:rsidR="00ED27DB">
        <w:t xml:space="preserve"> kt</w:t>
      </w:r>
      <w:r w:rsidR="00A5081C" w:rsidRPr="00100F0A">
        <w:t>, of which around 390</w:t>
      </w:r>
      <w:r w:rsidR="00ED27DB">
        <w:t xml:space="preserve"> kt</w:t>
      </w:r>
      <w:r w:rsidR="00A5081C" w:rsidRPr="00100F0A">
        <w:t xml:space="preserve"> are landfilled on</w:t>
      </w:r>
      <w:r w:rsidR="00ED27DB">
        <w:t>-</w:t>
      </w:r>
      <w:r w:rsidR="00A5081C" w:rsidRPr="00100F0A">
        <w:t>site at aluminium smelters around Australia</w:t>
      </w:r>
      <w:r w:rsidR="00ED27DB">
        <w:t>, with</w:t>
      </w:r>
      <w:r w:rsidR="00A5081C" w:rsidRPr="00100F0A">
        <w:t xml:space="preserve"> the remainder stored in sheds on</w:t>
      </w:r>
      <w:r w:rsidR="00ED27DB">
        <w:t>-</w:t>
      </w:r>
      <w:r w:rsidR="00A5081C" w:rsidRPr="00100F0A">
        <w:t xml:space="preserve">site. </w:t>
      </w:r>
      <w:r w:rsidR="002A3A54" w:rsidRPr="00100F0A">
        <w:t xml:space="preserve">As the aluminium industry slows in Australia there is a risk that funding to treat/recycle these stockpiles becomes unavailable and the stockpiles become a legacy waste without funding for recovery. </w:t>
      </w:r>
    </w:p>
    <w:p w14:paraId="35253A8D" w14:textId="77777777" w:rsidR="00A5081C" w:rsidRPr="00100F0A" w:rsidRDefault="00A5081C" w:rsidP="002A3A54">
      <w:pPr>
        <w:pStyle w:val="BodyText"/>
        <w:shd w:val="clear" w:color="auto" w:fill="FFFFFF" w:themeFill="background1"/>
      </w:pPr>
    </w:p>
    <w:p w14:paraId="5D1A44B0" w14:textId="7D1C683E" w:rsidR="00A5081C" w:rsidRPr="00100F0A" w:rsidRDefault="00A5081C" w:rsidP="00A5081C">
      <w:pPr>
        <w:pStyle w:val="BodyText"/>
        <w:shd w:val="clear" w:color="auto" w:fill="FFFFFF" w:themeFill="background1"/>
      </w:pPr>
      <w:r w:rsidRPr="00100F0A">
        <w:t>Industry ha</w:t>
      </w:r>
      <w:r w:rsidR="00ED27DB">
        <w:t>s</w:t>
      </w:r>
      <w:r w:rsidRPr="00100F0A">
        <w:t xml:space="preserve"> commented on on</w:t>
      </w:r>
      <w:r w:rsidR="00ED27DB">
        <w:t>-</w:t>
      </w:r>
      <w:r w:rsidRPr="00100F0A">
        <w:t xml:space="preserve">site stockpiling of mercury contaminated catalyst waste in the oil and gas industries. </w:t>
      </w:r>
      <w:r w:rsidR="005A3184">
        <w:t xml:space="preserve">MRU </w:t>
      </w:r>
      <w:r w:rsidRPr="00100F0A">
        <w:t xml:space="preserve">are loaded with catalyst to draw out mercury of oil or gas stream. Each time the catalyst is spent it </w:t>
      </w:r>
      <w:r w:rsidR="005A3184">
        <w:t xml:space="preserve">is </w:t>
      </w:r>
      <w:r w:rsidRPr="00100F0A">
        <w:t>reportedly stockpiled on</w:t>
      </w:r>
      <w:r w:rsidR="005A3184">
        <w:t>-</w:t>
      </w:r>
      <w:r w:rsidRPr="00100F0A">
        <w:t>site in drums.</w:t>
      </w:r>
      <w:r w:rsidR="005A3184">
        <w:t xml:space="preserve"> </w:t>
      </w:r>
      <w:r w:rsidRPr="00100F0A">
        <w:t xml:space="preserve">MRU catalyst mercury stockpiles could be about 2% </w:t>
      </w:r>
      <w:r w:rsidR="00B90E8F" w:rsidRPr="00100F0A">
        <w:t>up to</w:t>
      </w:r>
      <w:r w:rsidRPr="00100F0A">
        <w:t xml:space="preserve"> 10 % mercury. Recent investment in mercury recovery facilities in Australia should resolve any capacity constraints, as discussed in Section </w:t>
      </w:r>
      <w:r w:rsidRPr="00100F0A">
        <w:fldChar w:fldCharType="begin"/>
      </w:r>
      <w:r w:rsidRPr="00100F0A">
        <w:instrText xml:space="preserve"> REF _Ref530477133 \r \h </w:instrText>
      </w:r>
      <w:r w:rsidRPr="00100F0A">
        <w:fldChar w:fldCharType="separate"/>
      </w:r>
      <w:r w:rsidR="00EB634D">
        <w:t>4</w:t>
      </w:r>
      <w:r w:rsidRPr="00100F0A">
        <w:fldChar w:fldCharType="end"/>
      </w:r>
      <w:r w:rsidRPr="00100F0A">
        <w:t>.</w:t>
      </w:r>
    </w:p>
    <w:p w14:paraId="18DB28FB" w14:textId="77777777" w:rsidR="00A5081C" w:rsidRPr="00100F0A" w:rsidRDefault="00A5081C" w:rsidP="002A3A54">
      <w:pPr>
        <w:pStyle w:val="BodyText"/>
        <w:shd w:val="clear" w:color="auto" w:fill="FFFFFF" w:themeFill="background1"/>
      </w:pPr>
    </w:p>
    <w:p w14:paraId="07F898C5" w14:textId="739E6C66" w:rsidR="00142641" w:rsidRPr="00100F0A" w:rsidRDefault="00142641" w:rsidP="00142641">
      <w:pPr>
        <w:pStyle w:val="BodyText"/>
      </w:pPr>
      <w:r w:rsidRPr="00100F0A">
        <w:t xml:space="preserve">Industry and environment agencies also flagged stockpiles of tyres as a major problem. Stockpiles of </w:t>
      </w:r>
      <w:r w:rsidR="005A3184">
        <w:t>EOLT</w:t>
      </w:r>
      <w:r w:rsidRPr="00100F0A">
        <w:t xml:space="preserve"> create a significant environmental and human health issue if they catch fire, which is not uncommon. EPA Vic recently reported that:</w:t>
      </w:r>
    </w:p>
    <w:p w14:paraId="67097AA2" w14:textId="77777777" w:rsidR="00142641" w:rsidRPr="00100F0A" w:rsidRDefault="00142641" w:rsidP="00142641">
      <w:pPr>
        <w:pStyle w:val="BodyText"/>
        <w:rPr>
          <w:sz w:val="12"/>
          <w:szCs w:val="12"/>
        </w:rPr>
      </w:pPr>
    </w:p>
    <w:p w14:paraId="71B2741D" w14:textId="77777777" w:rsidR="00142641" w:rsidRPr="00100F0A" w:rsidRDefault="00142641" w:rsidP="00142641">
      <w:pPr>
        <w:pStyle w:val="BodyText"/>
        <w:tabs>
          <w:tab w:val="left" w:pos="8647"/>
        </w:tabs>
        <w:ind w:left="426" w:right="879"/>
        <w:rPr>
          <w:i/>
        </w:rPr>
      </w:pPr>
      <w:r w:rsidRPr="00100F0A">
        <w:t>“</w:t>
      </w:r>
      <w:r w:rsidRPr="00100F0A">
        <w:rPr>
          <w:i/>
        </w:rPr>
        <w:t>The number of used or waste tyres generated in Victoria each year is growing; approximately six million waste passenger car tyres were unaccounted for in Victoria in 2012-13, believed to be stockpiled or illegally dumped”</w:t>
      </w:r>
      <w:r w:rsidRPr="00100F0A">
        <w:rPr>
          <w:rStyle w:val="FootnoteReference"/>
          <w:i/>
        </w:rPr>
        <w:footnoteReference w:id="35"/>
      </w:r>
    </w:p>
    <w:p w14:paraId="53A8B187" w14:textId="50BBA313" w:rsidR="002A3A54" w:rsidRPr="00100F0A" w:rsidRDefault="002A3A54" w:rsidP="006C0A57">
      <w:pPr>
        <w:pStyle w:val="BodyText"/>
        <w:shd w:val="clear" w:color="auto" w:fill="FFFFFF" w:themeFill="background1"/>
        <w:spacing w:before="120"/>
      </w:pPr>
      <w:r w:rsidRPr="00100F0A">
        <w:t xml:space="preserve">Industry commented that government needs to do more to control waste stockpiling at the sites of waste generators or waste treaters to avoid the potential liabilities of legacy waste stockpiles. </w:t>
      </w:r>
    </w:p>
    <w:p w14:paraId="46D9160A" w14:textId="77777777" w:rsidR="002A3A54" w:rsidRPr="00100F0A" w:rsidRDefault="002A3A54" w:rsidP="00AD35BF">
      <w:pPr>
        <w:pStyle w:val="Heading3"/>
      </w:pPr>
      <w:r w:rsidRPr="00100F0A">
        <w:t xml:space="preserve">Inconsistent landfill levies driving interstate disposal of hazardous wastes </w:t>
      </w:r>
    </w:p>
    <w:p w14:paraId="62A2B2F4" w14:textId="3758A9AA" w:rsidR="002A3A54" w:rsidRPr="00100F0A" w:rsidRDefault="00132AFD" w:rsidP="006C349B">
      <w:pPr>
        <w:pStyle w:val="BodyText"/>
      </w:pPr>
      <w:r w:rsidRPr="00100F0A">
        <w:t xml:space="preserve">This issue was raised in the 2015 assessment and remains current. </w:t>
      </w:r>
      <w:r w:rsidR="002A3A54" w:rsidRPr="00100F0A">
        <w:t>There are large differences in the cost of landfill disposal of hazardous waste in Australia</w:t>
      </w:r>
      <w:r w:rsidRPr="00100F0A">
        <w:t xml:space="preserve"> which is in large part due to landfill levy differences</w:t>
      </w:r>
      <w:r w:rsidR="002A3A54" w:rsidRPr="00100F0A">
        <w:t xml:space="preserve">. In </w:t>
      </w:r>
      <w:r w:rsidR="00FC25F6">
        <w:t>Vic</w:t>
      </w:r>
      <w:r w:rsidR="002A3A54" w:rsidRPr="00100F0A">
        <w:t xml:space="preserve"> the landfill levy for Category B hazardous waste is $250/tonne and in Q</w:t>
      </w:r>
      <w:r w:rsidRPr="00100F0A">
        <w:t>ld</w:t>
      </w:r>
      <w:r w:rsidRPr="00100F0A">
        <w:rPr>
          <w:rStyle w:val="FootnoteReference"/>
        </w:rPr>
        <w:footnoteReference w:id="36"/>
      </w:r>
      <w:r w:rsidRPr="00100F0A">
        <w:t>, NT and Tas</w:t>
      </w:r>
      <w:r w:rsidR="002A3A54" w:rsidRPr="00100F0A">
        <w:t xml:space="preserve"> the landfill levy is</w:t>
      </w:r>
      <w:r w:rsidR="009017CA" w:rsidRPr="00100F0A">
        <w:t xml:space="preserve"> currently </w:t>
      </w:r>
      <w:r w:rsidR="002A3A54" w:rsidRPr="00100F0A">
        <w:t>$0/tonne. Industry commented that transport costs could be as low as $80/tonne from Vic to Qld. If transport costs are indeed this low, landfills in Qld (charging the same gate fee</w:t>
      </w:r>
      <w:r w:rsidR="002A3A54" w:rsidRPr="00100F0A">
        <w:rPr>
          <w:rStyle w:val="FootnoteReference"/>
        </w:rPr>
        <w:footnoteReference w:id="37"/>
      </w:r>
      <w:r w:rsidR="002A3A54" w:rsidRPr="00100F0A">
        <w:t xml:space="preserve"> as Vic landfills) could potentially offer tipping at $170/tonne less that tipping costs in </w:t>
      </w:r>
      <w:r w:rsidR="00FC25F6">
        <w:t>Vic</w:t>
      </w:r>
      <w:r w:rsidR="002A3A54" w:rsidRPr="00100F0A">
        <w:t>. Several industry stakeholders commented on this as a serious policy/governance issue for hazardous waste management in Australia.</w:t>
      </w:r>
      <w:r w:rsidR="009017CA" w:rsidRPr="00100F0A">
        <w:t xml:space="preserve"> The legislated changes to a landfill levy in Qld will significantly improve the current situation of waste being transported for disposal in Qld</w:t>
      </w:r>
      <w:r w:rsidR="00A66E4E">
        <w:t>, but will not remove the price incentives altogether</w:t>
      </w:r>
      <w:r w:rsidR="009017CA" w:rsidRPr="00100F0A">
        <w:t>.</w:t>
      </w:r>
    </w:p>
    <w:p w14:paraId="399089A4" w14:textId="13AEE6DE" w:rsidR="009327B1" w:rsidRPr="00100F0A" w:rsidRDefault="009327B1" w:rsidP="009327B1">
      <w:pPr>
        <w:pStyle w:val="Heading3"/>
      </w:pPr>
      <w:r w:rsidRPr="00100F0A">
        <w:t xml:space="preserve">Inconsistent landfill levies undermining investment in recovery or treatment of hazardous wastes </w:t>
      </w:r>
    </w:p>
    <w:p w14:paraId="00586505" w14:textId="3E7AF698" w:rsidR="009017CA" w:rsidRPr="00100F0A" w:rsidRDefault="009017CA" w:rsidP="006C349B">
      <w:pPr>
        <w:pStyle w:val="BodyText"/>
      </w:pPr>
      <w:r w:rsidRPr="00100F0A">
        <w:t>A related issue is the importance of landfill levies to help drive investment in hazardous waste recovery or treatment infrastructure, that often struggle to compete with the low (short term) costs of sending hazardous waste to landfills. Developments such as the ResourceCo refuse derived fuel facility in SA and NSW that provide fuel for the Adelaide Brighton and Boral cement kilns</w:t>
      </w:r>
      <w:r w:rsidR="009327B1" w:rsidRPr="00100F0A">
        <w:t xml:space="preserve"> respectively</w:t>
      </w:r>
      <w:r w:rsidRPr="00100F0A">
        <w:t xml:space="preserve"> are </w:t>
      </w:r>
      <w:r w:rsidR="009327B1" w:rsidRPr="00100F0A">
        <w:t xml:space="preserve">understood to </w:t>
      </w:r>
      <w:r w:rsidRPr="00100F0A">
        <w:t>not be viable in Qld or Tas, wh</w:t>
      </w:r>
      <w:r w:rsidR="005A3184">
        <w:t>ich</w:t>
      </w:r>
      <w:r w:rsidRPr="00100F0A">
        <w:t xml:space="preserve"> also have cement kilns, but no landfill levy in place.</w:t>
      </w:r>
    </w:p>
    <w:p w14:paraId="520DA8C3" w14:textId="21669F13" w:rsidR="004C0CB7" w:rsidRPr="00100F0A" w:rsidRDefault="004C0CB7" w:rsidP="004C0CB7">
      <w:pPr>
        <w:pStyle w:val="Heading3"/>
      </w:pPr>
      <w:r w:rsidRPr="00100F0A">
        <w:t xml:space="preserve">Inconsistent landfilling </w:t>
      </w:r>
      <w:r w:rsidR="00AE1656" w:rsidRPr="00100F0A">
        <w:t xml:space="preserve">pre-treatment </w:t>
      </w:r>
      <w:r w:rsidRPr="00100F0A">
        <w:t>requirements create unfair advantage</w:t>
      </w:r>
    </w:p>
    <w:p w14:paraId="23D5458C" w14:textId="663C33E8" w:rsidR="004C0CB7" w:rsidRPr="00100F0A" w:rsidRDefault="00AE1656" w:rsidP="004C0CB7">
      <w:pPr>
        <w:pStyle w:val="BodyText"/>
      </w:pPr>
      <w:r w:rsidRPr="00100F0A">
        <w:t xml:space="preserve">Another more technical inconsistency that industry raised relates to </w:t>
      </w:r>
      <w:r w:rsidR="005A3184">
        <w:t xml:space="preserve">jurisdictional </w:t>
      </w:r>
      <w:r w:rsidRPr="00100F0A">
        <w:t xml:space="preserve">differences in the treatment requirements for waste before </w:t>
      </w:r>
      <w:r w:rsidR="005A3184">
        <w:t>i</w:t>
      </w:r>
      <w:r w:rsidRPr="00100F0A">
        <w:t>t</w:t>
      </w:r>
      <w:r w:rsidR="005A3184">
        <w:t xml:space="preserve"> is</w:t>
      </w:r>
      <w:r w:rsidRPr="00100F0A">
        <w:t xml:space="preserve"> sent to landfill. For example, a company raised concerns that in NSW they are required to immobilise (via treatment) their waste that they send to landfill, yet a competing company in Qld can send the same waste to landfill without an immobilisation. Where this occurs, it creates unfair costs to competing industries and potentially more environmental impact and legacy costs for the </w:t>
      </w:r>
      <w:r w:rsidR="000679C2">
        <w:t>s</w:t>
      </w:r>
      <w:r w:rsidRPr="00100F0A">
        <w:t>tate without the equivalent levels of waste pre-treatment in place.</w:t>
      </w:r>
    </w:p>
    <w:p w14:paraId="16B8147C" w14:textId="77777777" w:rsidR="002A3A54" w:rsidRPr="00100F0A" w:rsidRDefault="002A3A54" w:rsidP="00AD35BF">
      <w:pPr>
        <w:pStyle w:val="Heading3"/>
      </w:pPr>
      <w:r w:rsidRPr="00100F0A">
        <w:t>Regulatory settings need to support infrastructure investment</w:t>
      </w:r>
    </w:p>
    <w:p w14:paraId="1FB63459" w14:textId="2EA032D5" w:rsidR="009327B1" w:rsidRPr="00100F0A" w:rsidRDefault="002A3A54" w:rsidP="002A3A54">
      <w:pPr>
        <w:pStyle w:val="BodyText"/>
      </w:pPr>
      <w:r w:rsidRPr="00100F0A">
        <w:t xml:space="preserve">Related to the above was the issue raised of regulation supporting investment into hazardous waste recovery or treatment infrastructure. Hazardous waste infrastructure is often capital intensive and as a result relies on a regulatory framework that supports recovery/treatment more than non-hazardous waste infrastructure. In addition, hazardous waste is less consistently generated than non-hazardous waste such as household waste so investments carry a higher risk and are less secure. </w:t>
      </w:r>
    </w:p>
    <w:p w14:paraId="7320A3DC" w14:textId="77777777" w:rsidR="008E74EE" w:rsidRPr="00100F0A" w:rsidRDefault="008E74EE" w:rsidP="002A3A54">
      <w:pPr>
        <w:pStyle w:val="BodyText"/>
      </w:pPr>
    </w:p>
    <w:p w14:paraId="2EF6845B" w14:textId="07AA960C" w:rsidR="002A3A54" w:rsidRPr="00100F0A" w:rsidRDefault="006C0A57" w:rsidP="002A3A54">
      <w:pPr>
        <w:pStyle w:val="BodyText"/>
      </w:pPr>
      <w:r>
        <w:t>In the 2015 assessment, i</w:t>
      </w:r>
      <w:r w:rsidR="002A3A54" w:rsidRPr="00100F0A">
        <w:t xml:space="preserve">ndustry </w:t>
      </w:r>
      <w:r>
        <w:t>raised</w:t>
      </w:r>
      <w:r w:rsidR="002A3A54" w:rsidRPr="00100F0A">
        <w:t xml:space="preserve"> a range of</w:t>
      </w:r>
      <w:r>
        <w:t xml:space="preserve"> concerns that it suggested were</w:t>
      </w:r>
      <w:r w:rsidR="002A3A54" w:rsidRPr="00100F0A">
        <w:t xml:space="preserve"> regulatory </w:t>
      </w:r>
      <w:r>
        <w:t>failings (</w:t>
      </w:r>
      <w:r w:rsidRPr="00100F0A">
        <w:t>listed below</w:t>
      </w:r>
      <w:r>
        <w:t xml:space="preserve">). These </w:t>
      </w:r>
      <w:r w:rsidR="009327B1" w:rsidRPr="00100F0A">
        <w:t>remain current</w:t>
      </w:r>
      <w:r>
        <w:t xml:space="preserve">. Industry argued these </w:t>
      </w:r>
      <w:r w:rsidR="002A3A54" w:rsidRPr="00100F0A">
        <w:t xml:space="preserve">can undermine investment in hazardous waste infrastructure. It is beyond the scope of this project to provide detailed analysis of these issues or to validate the accuracy of industry comments. </w:t>
      </w:r>
    </w:p>
    <w:p w14:paraId="42407073" w14:textId="349CF2CE" w:rsidR="002A3A54" w:rsidRPr="00100F0A" w:rsidRDefault="006C0A57" w:rsidP="00512118">
      <w:pPr>
        <w:pStyle w:val="Bullet1"/>
        <w:numPr>
          <w:ilvl w:val="0"/>
          <w:numId w:val="29"/>
        </w:numPr>
        <w:spacing w:before="80"/>
      </w:pPr>
      <w:r>
        <w:t>l</w:t>
      </w:r>
      <w:r w:rsidRPr="00100F0A">
        <w:t xml:space="preserve">andfilling </w:t>
      </w:r>
      <w:r w:rsidR="002A3A54" w:rsidRPr="00100F0A">
        <w:t>of hazardous organic waste for which recovery options</w:t>
      </w:r>
      <w:r w:rsidR="000679C2">
        <w:t xml:space="preserve"> exist</w:t>
      </w:r>
      <w:r w:rsidR="002A3A54" w:rsidRPr="00100F0A">
        <w:t>, including the recovery of energy</w:t>
      </w:r>
    </w:p>
    <w:p w14:paraId="3D26BA01" w14:textId="05049EB7" w:rsidR="002A3A54" w:rsidRPr="00100F0A" w:rsidRDefault="006C0A57" w:rsidP="00512118">
      <w:pPr>
        <w:pStyle w:val="Bullet1"/>
        <w:numPr>
          <w:ilvl w:val="0"/>
          <w:numId w:val="29"/>
        </w:numPr>
        <w:spacing w:before="80"/>
      </w:pPr>
      <w:r w:rsidRPr="00100F0A">
        <w:t xml:space="preserve">permitting </w:t>
      </w:r>
      <w:r w:rsidR="002A3A54" w:rsidRPr="00100F0A">
        <w:t>the export of hazardous waste for which there is recovery infrastructure in Australia</w:t>
      </w:r>
    </w:p>
    <w:p w14:paraId="11BA841E" w14:textId="0EF0A18F" w:rsidR="002A3A54" w:rsidRPr="00100F0A" w:rsidRDefault="006C0A57" w:rsidP="00512118">
      <w:pPr>
        <w:pStyle w:val="Bullet1"/>
        <w:numPr>
          <w:ilvl w:val="0"/>
          <w:numId w:val="29"/>
        </w:numPr>
        <w:spacing w:before="80"/>
      </w:pPr>
      <w:r>
        <w:t>e</w:t>
      </w:r>
      <w:r w:rsidRPr="00100F0A">
        <w:t>xport</w:t>
      </w:r>
      <w:r>
        <w:t xml:space="preserve"> of</w:t>
      </w:r>
      <w:r w:rsidR="002A3A54" w:rsidRPr="00100F0A">
        <w:t xml:space="preserve"> unprocessed waste oil without permits as ‘fuel oil’, </w:t>
      </w:r>
      <w:r>
        <w:t>contravening</w:t>
      </w:r>
      <w:r w:rsidR="002A3A54" w:rsidRPr="00100F0A">
        <w:t xml:space="preserve"> the Basel Convention and undermin</w:t>
      </w:r>
      <w:r>
        <w:t>ing</w:t>
      </w:r>
      <w:r w:rsidR="002A3A54" w:rsidRPr="00100F0A">
        <w:t xml:space="preserve"> oil recycling (which represents higher order recovery)</w:t>
      </w:r>
    </w:p>
    <w:p w14:paraId="4A45496E" w14:textId="0A1497AD" w:rsidR="004615D0" w:rsidRPr="00100F0A" w:rsidRDefault="006C0A57" w:rsidP="004615D0">
      <w:pPr>
        <w:pStyle w:val="Bullet1"/>
        <w:numPr>
          <w:ilvl w:val="0"/>
          <w:numId w:val="29"/>
        </w:numPr>
        <w:spacing w:before="80"/>
      </w:pPr>
      <w:r w:rsidRPr="00100F0A">
        <w:t xml:space="preserve">a </w:t>
      </w:r>
      <w:r w:rsidR="004615D0" w:rsidRPr="00100F0A">
        <w:t>lack of enforcement action to prevent illegal export of hazardous waste, like the example noted above</w:t>
      </w:r>
    </w:p>
    <w:p w14:paraId="44CADB92" w14:textId="7ACECD96" w:rsidR="004615D0" w:rsidRPr="00100F0A" w:rsidRDefault="006C0A57" w:rsidP="004615D0">
      <w:pPr>
        <w:pStyle w:val="Bullet1"/>
        <w:numPr>
          <w:ilvl w:val="0"/>
          <w:numId w:val="29"/>
        </w:numPr>
        <w:spacing w:before="80"/>
      </w:pPr>
      <w:r w:rsidRPr="00100F0A">
        <w:t xml:space="preserve">a </w:t>
      </w:r>
      <w:r w:rsidR="004615D0" w:rsidRPr="00100F0A">
        <w:t>lack of auditing or enforcement of hazardous waste tracking systems administered by the jurisdictions to prevent hazardous waste being sent to inappropriate waste facilities</w:t>
      </w:r>
    </w:p>
    <w:p w14:paraId="1C57F843" w14:textId="1D9C7D45" w:rsidR="002A3A54" w:rsidRPr="00100F0A" w:rsidRDefault="006C0A57" w:rsidP="00512118">
      <w:pPr>
        <w:pStyle w:val="Bullet1"/>
        <w:numPr>
          <w:ilvl w:val="0"/>
          <w:numId w:val="29"/>
        </w:numPr>
        <w:spacing w:before="80"/>
      </w:pPr>
      <w:r>
        <w:t xml:space="preserve">inconsistent </w:t>
      </w:r>
      <w:r w:rsidR="002A3A54" w:rsidRPr="00100F0A">
        <w:t>regulation of clinical waste across Australia resulting in clinical waste being sent interstate.</w:t>
      </w:r>
    </w:p>
    <w:p w14:paraId="0CDA6DC9" w14:textId="140FEE91" w:rsidR="002A3A54" w:rsidRPr="00100F0A" w:rsidRDefault="002A3A54" w:rsidP="00AD35BF">
      <w:pPr>
        <w:pStyle w:val="Heading3"/>
      </w:pPr>
      <w:r w:rsidRPr="00100F0A">
        <w:t xml:space="preserve">Additional </w:t>
      </w:r>
      <w:r w:rsidR="0018460F">
        <w:t>CSG</w:t>
      </w:r>
      <w:r w:rsidRPr="00100F0A">
        <w:t xml:space="preserve"> waste infrastructure needed</w:t>
      </w:r>
    </w:p>
    <w:p w14:paraId="1AA0F301" w14:textId="29964EDE" w:rsidR="008C4737" w:rsidRPr="00100F0A" w:rsidRDefault="004615D0" w:rsidP="008C4737">
      <w:pPr>
        <w:pStyle w:val="BodyText"/>
      </w:pPr>
      <w:r w:rsidRPr="00100F0A">
        <w:t xml:space="preserve">This issue was raised in 2015 and remains </w:t>
      </w:r>
      <w:r w:rsidR="000679C2">
        <w:t>current</w:t>
      </w:r>
      <w:r w:rsidRPr="00100F0A">
        <w:t xml:space="preserve">. </w:t>
      </w:r>
      <w:r w:rsidR="002A3A54" w:rsidRPr="00100F0A">
        <w:t xml:space="preserve">A number of industry stakeholders commented on the need to improve infrastructure to service CSG industry waste, including brine waste and hydrocarbon impacted drilling mud. Industry commented that these wastes are likely to increase as Australia’s gas export capabilities increase. One of the key challenges in treating brine waste is the large </w:t>
      </w:r>
      <w:r w:rsidR="000679C2">
        <w:t>quantities</w:t>
      </w:r>
      <w:r w:rsidR="002A3A54" w:rsidRPr="00100F0A">
        <w:t xml:space="preserve"> and remote locations of the waste, which make transport costly.</w:t>
      </w:r>
      <w:r w:rsidR="008C4737" w:rsidRPr="00100F0A">
        <w:t xml:space="preserve"> There have been reportable improvements in the levels of on</w:t>
      </w:r>
      <w:r w:rsidR="000679C2">
        <w:t>-</w:t>
      </w:r>
      <w:r w:rsidR="008C4737" w:rsidRPr="00100F0A">
        <w:t xml:space="preserve">site treatment of brine waste using </w:t>
      </w:r>
      <w:r w:rsidR="000679C2">
        <w:t>RO</w:t>
      </w:r>
      <w:r w:rsidR="008C4737" w:rsidRPr="00100F0A">
        <w:t xml:space="preserve"> technology. This would greatly reduc</w:t>
      </w:r>
      <w:r w:rsidR="000679C2">
        <w:t>e</w:t>
      </w:r>
      <w:r w:rsidR="008C4737" w:rsidRPr="00100F0A">
        <w:t xml:space="preserve"> the </w:t>
      </w:r>
      <w:r w:rsidR="000679C2">
        <w:t>amount</w:t>
      </w:r>
      <w:r w:rsidR="008C4737" w:rsidRPr="00100F0A">
        <w:t xml:space="preserve"> of brine waste requiring management, but also increase the concentrations of the waste. It is understood that this waste material is typically placed into holding lagoons on</w:t>
      </w:r>
      <w:r w:rsidR="000679C2">
        <w:t>-</w:t>
      </w:r>
      <w:r w:rsidR="008C4737" w:rsidRPr="00100F0A">
        <w:t xml:space="preserve">site. </w:t>
      </w:r>
    </w:p>
    <w:p w14:paraId="1E1FA405" w14:textId="77777777" w:rsidR="002A3A54" w:rsidRPr="00100F0A" w:rsidRDefault="002A3A54" w:rsidP="00AD35BF">
      <w:pPr>
        <w:pStyle w:val="Heading3"/>
      </w:pPr>
      <w:r w:rsidRPr="00100F0A">
        <w:t>Asbestos disposal cost and access</w:t>
      </w:r>
    </w:p>
    <w:p w14:paraId="517C25EE" w14:textId="224A03F7" w:rsidR="002A3A54" w:rsidRPr="00100F0A" w:rsidRDefault="002A3A54" w:rsidP="002A3A54">
      <w:pPr>
        <w:pStyle w:val="BodyText"/>
      </w:pPr>
      <w:r w:rsidRPr="00100F0A">
        <w:t>A comment often made by small landfill operators in regional areas (typically local government) is the need to reduce asbestos disposal costs as it drives illegal dumping or hidden tipping of asbestos. Councils also commented on the need for asbestos collection infrastructure in remote areas where there is no landfill licensed to take asbestos.</w:t>
      </w:r>
      <w:r w:rsidR="004A13B8" w:rsidRPr="00100F0A">
        <w:t xml:space="preserve"> This issue was raised in 2015 and remains </w:t>
      </w:r>
      <w:r w:rsidR="000679C2">
        <w:t>current</w:t>
      </w:r>
      <w:r w:rsidR="004A13B8" w:rsidRPr="00100F0A">
        <w:t xml:space="preserve">. </w:t>
      </w:r>
    </w:p>
    <w:p w14:paraId="22C7EDCF" w14:textId="77777777" w:rsidR="002A3A54" w:rsidRPr="00100F0A" w:rsidRDefault="002A3A54" w:rsidP="00AD35BF">
      <w:pPr>
        <w:pStyle w:val="Heading3"/>
      </w:pPr>
      <w:r w:rsidRPr="00100F0A">
        <w:t>Additional infrastructure for recovering packaging waste</w:t>
      </w:r>
    </w:p>
    <w:p w14:paraId="6AFAE993" w14:textId="0C86E7FC" w:rsidR="002A3A54" w:rsidRPr="00100F0A" w:rsidRDefault="002A3A54" w:rsidP="002A3A54">
      <w:pPr>
        <w:pStyle w:val="BodyText"/>
      </w:pPr>
      <w:r w:rsidRPr="00100F0A">
        <w:t xml:space="preserve">A number of industry stakeholders commented on the need for improved recovery options for small hazardous waste packaging and small packages of waste hazardous goods. </w:t>
      </w:r>
      <w:r w:rsidR="004A13B8" w:rsidRPr="00100F0A">
        <w:t xml:space="preserve">This issue was raised in 2015 and remains </w:t>
      </w:r>
      <w:r w:rsidR="000679C2">
        <w:t>current</w:t>
      </w:r>
      <w:r w:rsidR="004A13B8" w:rsidRPr="00100F0A">
        <w:t>.</w:t>
      </w:r>
    </w:p>
    <w:p w14:paraId="3C60D9E7" w14:textId="2E7E6C70" w:rsidR="002A3A54" w:rsidRPr="00100F0A" w:rsidRDefault="00065E71" w:rsidP="00AD35BF">
      <w:pPr>
        <w:pStyle w:val="Heading3"/>
      </w:pPr>
      <w:r w:rsidRPr="00100F0A">
        <w:t xml:space="preserve">Significant </w:t>
      </w:r>
      <w:r w:rsidR="00374225">
        <w:t>POP</w:t>
      </w:r>
      <w:r w:rsidR="002A3A54" w:rsidRPr="00100F0A">
        <w:t xml:space="preserve"> destruction </w:t>
      </w:r>
      <w:r w:rsidRPr="00100F0A">
        <w:t>infrastructure coming online</w:t>
      </w:r>
    </w:p>
    <w:p w14:paraId="6A944C88" w14:textId="5AEBBB80" w:rsidR="002A3A54" w:rsidRPr="00100F0A" w:rsidRDefault="00065E71" w:rsidP="002A3A54">
      <w:pPr>
        <w:pStyle w:val="BodyText"/>
      </w:pPr>
      <w:r w:rsidRPr="00100F0A">
        <w:t xml:space="preserve">In 2015, the </w:t>
      </w:r>
      <w:r w:rsidR="002A3A54" w:rsidRPr="00100F0A">
        <w:t xml:space="preserve">only </w:t>
      </w:r>
      <w:r w:rsidRPr="00100F0A">
        <w:t xml:space="preserve">capacity </w:t>
      </w:r>
      <w:r w:rsidR="002A3A54" w:rsidRPr="00100F0A">
        <w:t xml:space="preserve">identified </w:t>
      </w:r>
      <w:r w:rsidRPr="00100F0A">
        <w:t xml:space="preserve">for </w:t>
      </w:r>
      <w:r w:rsidR="00374225">
        <w:t>POP</w:t>
      </w:r>
      <w:r w:rsidR="002A3A54" w:rsidRPr="00100F0A">
        <w:t xml:space="preserve"> destruction </w:t>
      </w:r>
      <w:r w:rsidRPr="00100F0A">
        <w:t xml:space="preserve">was </w:t>
      </w:r>
      <w:r w:rsidR="002A3A54" w:rsidRPr="00100F0A">
        <w:t>the Toxfree operated plasma arc plant in</w:t>
      </w:r>
      <w:r w:rsidRPr="00100F0A">
        <w:t xml:space="preserve"> Narangba</w:t>
      </w:r>
      <w:r w:rsidR="000679C2">
        <w:t>,</w:t>
      </w:r>
      <w:r w:rsidRPr="00100F0A">
        <w:t xml:space="preserve"> </w:t>
      </w:r>
      <w:r w:rsidR="002A3A54" w:rsidRPr="00100F0A">
        <w:t xml:space="preserve">Qld. No other designated </w:t>
      </w:r>
      <w:r w:rsidR="00374225">
        <w:t>POP</w:t>
      </w:r>
      <w:r w:rsidR="002A3A54" w:rsidRPr="00100F0A">
        <w:t xml:space="preserve"> destruction facilities </w:t>
      </w:r>
      <w:r w:rsidRPr="00100F0A">
        <w:t>were</w:t>
      </w:r>
      <w:r w:rsidR="002A3A54" w:rsidRPr="00100F0A">
        <w:t xml:space="preserve"> </w:t>
      </w:r>
      <w:r w:rsidR="00C34F48" w:rsidRPr="00100F0A">
        <w:t>proposed</w:t>
      </w:r>
      <w:r w:rsidR="00C34F48">
        <w:t>;</w:t>
      </w:r>
      <w:r w:rsidR="002A3A54" w:rsidRPr="00100F0A">
        <w:t xml:space="preserve"> however, additional capacity </w:t>
      </w:r>
      <w:r w:rsidRPr="00100F0A">
        <w:t xml:space="preserve">was </w:t>
      </w:r>
      <w:r w:rsidR="002A3A54" w:rsidRPr="00100F0A">
        <w:t xml:space="preserve">planned within </w:t>
      </w:r>
      <w:r w:rsidRPr="00100F0A">
        <w:t xml:space="preserve">other infrastructure (soil treatment facilities, cement kilns and clinical waste thermal destruction facilities). </w:t>
      </w:r>
    </w:p>
    <w:p w14:paraId="761D4F0D" w14:textId="5D6EA733" w:rsidR="00065E71" w:rsidRPr="00100F0A" w:rsidRDefault="00065E71" w:rsidP="002A3A54">
      <w:pPr>
        <w:pStyle w:val="BodyText"/>
      </w:pPr>
    </w:p>
    <w:p w14:paraId="131BB46D" w14:textId="0B33F3D7" w:rsidR="008F016A" w:rsidRPr="00100F0A" w:rsidRDefault="00065E71" w:rsidP="002A3A54">
      <w:pPr>
        <w:pStyle w:val="BodyText"/>
      </w:pPr>
      <w:r w:rsidRPr="00100F0A">
        <w:t>Since the 2015 assessment, industry has taken significant steps to</w:t>
      </w:r>
      <w:r w:rsidR="00457D8D" w:rsidRPr="00100F0A">
        <w:t>wards</w:t>
      </w:r>
      <w:r w:rsidRPr="00100F0A">
        <w:t xml:space="preserve"> implementing this additional capacity for </w:t>
      </w:r>
      <w:r w:rsidR="00374225">
        <w:t>POP</w:t>
      </w:r>
      <w:r w:rsidRPr="00100F0A">
        <w:t xml:space="preserve"> thermal destruction.</w:t>
      </w:r>
      <w:r w:rsidR="008E74EE" w:rsidRPr="00100F0A">
        <w:t xml:space="preserve"> </w:t>
      </w:r>
      <w:r w:rsidR="00457D8D" w:rsidRPr="00100F0A">
        <w:t>Recent approvals have been granted and additional tri</w:t>
      </w:r>
      <w:r w:rsidR="000679C2">
        <w:t>a</w:t>
      </w:r>
      <w:r w:rsidR="00457D8D" w:rsidRPr="00100F0A">
        <w:t xml:space="preserve">ls are underway for PFAS waste destruction at Cement Australia’s cement kilns. Trials are underway for PFAS thermal destruction at RENEX and EnviroPacific soil treatment facilities in </w:t>
      </w:r>
      <w:r w:rsidR="00FC25F6">
        <w:t>Vic</w:t>
      </w:r>
      <w:r w:rsidR="00457D8D" w:rsidRPr="00100F0A">
        <w:t xml:space="preserve">. Daniels Laverton (Toxfree) also have </w:t>
      </w:r>
      <w:r w:rsidR="002A3A54" w:rsidRPr="00100F0A">
        <w:t>approval to treat PCB</w:t>
      </w:r>
      <w:r w:rsidR="00457D8D" w:rsidRPr="00100F0A">
        <w:t xml:space="preserve"> waste.</w:t>
      </w:r>
      <w:r w:rsidR="002A3A54" w:rsidRPr="00100F0A">
        <w:t xml:space="preserve"> </w:t>
      </w:r>
      <w:r w:rsidR="00457D8D" w:rsidRPr="00100F0A">
        <w:t xml:space="preserve">As discussed in Section </w:t>
      </w:r>
      <w:r w:rsidR="00457D8D" w:rsidRPr="00100F0A">
        <w:fldChar w:fldCharType="begin"/>
      </w:r>
      <w:r w:rsidR="00457D8D" w:rsidRPr="00100F0A">
        <w:instrText xml:space="preserve"> REF _Ref530477133 \r \h </w:instrText>
      </w:r>
      <w:r w:rsidR="00457D8D" w:rsidRPr="00100F0A">
        <w:fldChar w:fldCharType="separate"/>
      </w:r>
      <w:r w:rsidR="00EB634D">
        <w:t>4</w:t>
      </w:r>
      <w:r w:rsidR="00457D8D" w:rsidRPr="00100F0A">
        <w:fldChar w:fldCharType="end"/>
      </w:r>
      <w:r w:rsidR="00457D8D" w:rsidRPr="00100F0A">
        <w:t xml:space="preserve">,  the upper limit of the capacity for these facilities to take </w:t>
      </w:r>
      <w:r w:rsidR="00374225">
        <w:t>POP</w:t>
      </w:r>
      <w:r w:rsidR="00457D8D" w:rsidRPr="00100F0A">
        <w:t xml:space="preserve"> in the future is unknown and needs further review. </w:t>
      </w:r>
    </w:p>
    <w:p w14:paraId="06598F46" w14:textId="77777777" w:rsidR="008F016A" w:rsidRPr="00100F0A" w:rsidRDefault="008F016A" w:rsidP="002A3A54">
      <w:pPr>
        <w:pStyle w:val="BodyText"/>
      </w:pPr>
    </w:p>
    <w:p w14:paraId="3CFD5367" w14:textId="0B2997F7" w:rsidR="00096662" w:rsidRDefault="00457D8D" w:rsidP="002A3A54">
      <w:pPr>
        <w:pStyle w:val="BodyText"/>
      </w:pPr>
      <w:r w:rsidRPr="00100F0A">
        <w:t xml:space="preserve">RENEX and EnviroPacific have stated that they do not think their capacity will be limited beyond the overall capacity of the facility, however, this is yet to be proven. </w:t>
      </w:r>
    </w:p>
    <w:p w14:paraId="6827192B" w14:textId="77E80B70" w:rsidR="0091395E" w:rsidRPr="00100F0A" w:rsidRDefault="0091395E" w:rsidP="0091395E">
      <w:pPr>
        <w:pStyle w:val="Heading3"/>
      </w:pPr>
      <w:r w:rsidRPr="00100F0A">
        <w:t>PFAS contaminated waters: contaminant threshold requirements need</w:t>
      </w:r>
    </w:p>
    <w:p w14:paraId="3EFD6315" w14:textId="1C0BB7EF" w:rsidR="0091395E" w:rsidRDefault="0091395E" w:rsidP="0091395E">
      <w:pPr>
        <w:pStyle w:val="BodyText"/>
      </w:pPr>
      <w:r w:rsidRPr="00100F0A">
        <w:t xml:space="preserve">Industry have commented that they urgently need further direction from regulators regarding the process requirements and contaminant thresholds for PFAS impacted water clean-up. </w:t>
      </w:r>
      <w:r w:rsidR="00D65FD7" w:rsidRPr="00100F0A">
        <w:t>There is inconsistency between the jurisdictions and reliance on existing guidelines that do not specify PFAS limits.</w:t>
      </w:r>
      <w:r w:rsidRPr="00100F0A">
        <w:t xml:space="preserve"> </w:t>
      </w:r>
    </w:p>
    <w:p w14:paraId="26E97C6E" w14:textId="77777777" w:rsidR="000679C2" w:rsidRPr="00100F0A" w:rsidRDefault="000679C2" w:rsidP="0091395E">
      <w:pPr>
        <w:pStyle w:val="BodyText"/>
      </w:pPr>
    </w:p>
    <w:p w14:paraId="6A1FB646" w14:textId="643377EB" w:rsidR="008E74EE" w:rsidRPr="00100F0A" w:rsidRDefault="008E74EE" w:rsidP="0091395E">
      <w:pPr>
        <w:pStyle w:val="BodyText"/>
      </w:pPr>
      <w:r w:rsidRPr="00100F0A">
        <w:rPr>
          <w:b/>
        </w:rPr>
        <w:t xml:space="preserve">Recommendation: </w:t>
      </w:r>
      <w:r w:rsidR="000679C2">
        <w:t>T</w:t>
      </w:r>
      <w:r w:rsidRPr="00100F0A">
        <w:t>he process requirements and contaminant thresholds that need to be met for PFAS impacted water clean-up should be defined. DoEE may be best placed to le</w:t>
      </w:r>
      <w:r w:rsidR="000679C2">
        <w:t>a</w:t>
      </w:r>
      <w:r w:rsidRPr="00100F0A">
        <w:t>d the development</w:t>
      </w:r>
      <w:r w:rsidR="008F016A" w:rsidRPr="00100F0A">
        <w:t xml:space="preserve"> of a recommended process and threshold that the jurisdictions could choose to adopt. This work may already be underway.</w:t>
      </w:r>
    </w:p>
    <w:p w14:paraId="6A288E1C" w14:textId="4F7BC628" w:rsidR="00590A70" w:rsidRPr="00100F0A" w:rsidRDefault="00590A70" w:rsidP="0091395E">
      <w:pPr>
        <w:pStyle w:val="Heading3"/>
      </w:pPr>
      <w:r w:rsidRPr="00100F0A">
        <w:t>PFAS contaminated waters: filtration media d</w:t>
      </w:r>
      <w:r w:rsidR="0091395E" w:rsidRPr="00100F0A">
        <w:t>estruction requirement</w:t>
      </w:r>
      <w:r w:rsidR="00D65FD7" w:rsidRPr="00100F0A">
        <w:t>s</w:t>
      </w:r>
      <w:r w:rsidRPr="00100F0A">
        <w:t xml:space="preserve"> are inconsistent</w:t>
      </w:r>
    </w:p>
    <w:p w14:paraId="6346FA0D" w14:textId="7F32F955" w:rsidR="008E74EE" w:rsidRDefault="00590A70" w:rsidP="002A3A54">
      <w:pPr>
        <w:pStyle w:val="BodyText"/>
      </w:pPr>
      <w:r w:rsidRPr="00100F0A">
        <w:t>PFAS contaminated groundwater is being cleaned-up using activated carbon filtration processes to remove PFAS. Once the filtration media’s capacity to adsorb PFAS is exhausted, the contaminated material needs to be renewed. Industry commented that in Qld this material is able to be sent to landfill whereas in other jurisdictions PFAS</w:t>
      </w:r>
      <w:r w:rsidR="000679C2">
        <w:t>-</w:t>
      </w:r>
      <w:r w:rsidRPr="00100F0A">
        <w:t>contaminated material must be thermal</w:t>
      </w:r>
      <w:r w:rsidR="000679C2">
        <w:t>ly</w:t>
      </w:r>
      <w:r w:rsidRPr="00100F0A">
        <w:t xml:space="preserve"> treated to destroy PFAS.</w:t>
      </w:r>
      <w:r w:rsidR="00457D8D" w:rsidRPr="00100F0A">
        <w:t xml:space="preserve"> </w:t>
      </w:r>
      <w:r w:rsidR="008E74EE" w:rsidRPr="00100F0A">
        <w:t xml:space="preserve"> </w:t>
      </w:r>
      <w:r w:rsidRPr="00100F0A">
        <w:t>If PFAS</w:t>
      </w:r>
      <w:r w:rsidR="000679C2">
        <w:t>-</w:t>
      </w:r>
      <w:r w:rsidRPr="00100F0A">
        <w:t xml:space="preserve">contaminated </w:t>
      </w:r>
      <w:r w:rsidR="007C2C2D" w:rsidRPr="00100F0A">
        <w:t>filtration</w:t>
      </w:r>
      <w:r w:rsidRPr="00100F0A">
        <w:t xml:space="preserve"> media is being sen</w:t>
      </w:r>
      <w:r w:rsidR="000679C2">
        <w:t>t</w:t>
      </w:r>
      <w:r w:rsidRPr="00100F0A">
        <w:t xml:space="preserve"> to landfill, rather than being thermal</w:t>
      </w:r>
      <w:r w:rsidR="000679C2">
        <w:t>ly</w:t>
      </w:r>
      <w:r w:rsidRPr="00100F0A">
        <w:t xml:space="preserve"> </w:t>
      </w:r>
      <w:r w:rsidR="007C2C2D" w:rsidRPr="00100F0A">
        <w:t>destroyed,</w:t>
      </w:r>
      <w:r w:rsidRPr="00100F0A">
        <w:t xml:space="preserve"> </w:t>
      </w:r>
      <w:r w:rsidR="007C2C2D" w:rsidRPr="00100F0A">
        <w:t xml:space="preserve">it </w:t>
      </w:r>
      <w:r w:rsidRPr="00100F0A">
        <w:t xml:space="preserve">would seem to defeat </w:t>
      </w:r>
      <w:r w:rsidR="00AE216F" w:rsidRPr="00100F0A">
        <w:t xml:space="preserve">the efforts in removing PFAS from the groundwater </w:t>
      </w:r>
      <w:r w:rsidR="007C2C2D" w:rsidRPr="00100F0A">
        <w:t xml:space="preserve">in the first place </w:t>
      </w:r>
      <w:r w:rsidR="00AE216F" w:rsidRPr="00100F0A">
        <w:t>(i.e. in landfill the PFAS w</w:t>
      </w:r>
      <w:r w:rsidR="007C2C2D" w:rsidRPr="00100F0A">
        <w:t>ill</w:t>
      </w:r>
      <w:r w:rsidR="00AE216F" w:rsidRPr="00100F0A">
        <w:t xml:space="preserve"> presumabl</w:t>
      </w:r>
      <w:r w:rsidR="007C2C2D" w:rsidRPr="00100F0A">
        <w:t xml:space="preserve">y </w:t>
      </w:r>
      <w:r w:rsidR="00AE216F" w:rsidRPr="00100F0A">
        <w:t>make its way back to groundwater).</w:t>
      </w:r>
      <w:r w:rsidR="008E74EE" w:rsidRPr="00100F0A">
        <w:t xml:space="preserve"> </w:t>
      </w:r>
    </w:p>
    <w:p w14:paraId="6CF13005" w14:textId="77777777" w:rsidR="000679C2" w:rsidRPr="00100F0A" w:rsidRDefault="000679C2" w:rsidP="002A3A54">
      <w:pPr>
        <w:pStyle w:val="BodyText"/>
      </w:pPr>
    </w:p>
    <w:p w14:paraId="2ED28323" w14:textId="0F1E0CB0" w:rsidR="00457D8D" w:rsidRPr="00100F0A" w:rsidRDefault="008E74EE" w:rsidP="002A3A54">
      <w:pPr>
        <w:pStyle w:val="BodyText"/>
      </w:pPr>
      <w:r w:rsidRPr="00100F0A">
        <w:rPr>
          <w:b/>
        </w:rPr>
        <w:t xml:space="preserve">Recommendation: </w:t>
      </w:r>
      <w:r w:rsidR="000679C2" w:rsidRPr="004206B0">
        <w:t>T</w:t>
      </w:r>
      <w:r w:rsidR="00590A70" w:rsidRPr="00100F0A">
        <w:t xml:space="preserve">he management </w:t>
      </w:r>
      <w:r w:rsidR="00AE216F" w:rsidRPr="00100F0A">
        <w:t xml:space="preserve">requirements </w:t>
      </w:r>
      <w:r w:rsidR="00590A70" w:rsidRPr="00100F0A">
        <w:t>of PFAS</w:t>
      </w:r>
      <w:r w:rsidR="000679C2">
        <w:t>-</w:t>
      </w:r>
      <w:r w:rsidR="00590A70" w:rsidRPr="00100F0A">
        <w:t xml:space="preserve">contaminated filtration </w:t>
      </w:r>
      <w:r w:rsidR="00AE216F" w:rsidRPr="00100F0A">
        <w:t>should be reviewed to ensure a nationally consistent approach.</w:t>
      </w:r>
    </w:p>
    <w:p w14:paraId="1A37E6BB" w14:textId="0ED96EBE" w:rsidR="002A3A54" w:rsidRPr="00100F0A" w:rsidRDefault="00FC25F6" w:rsidP="00E566AE">
      <w:pPr>
        <w:pStyle w:val="Heading3"/>
      </w:pPr>
      <w:r>
        <w:t>WA</w:t>
      </w:r>
      <w:r w:rsidR="002A3A54" w:rsidRPr="00100F0A">
        <w:t>: distance and low tonnages of hazardous waste is a major challenge</w:t>
      </w:r>
    </w:p>
    <w:p w14:paraId="6D9B508C" w14:textId="576A9015" w:rsidR="002A3A54" w:rsidRPr="00100F0A" w:rsidRDefault="0091395E" w:rsidP="002A3A54">
      <w:pPr>
        <w:pStyle w:val="BodyText"/>
        <w:rPr>
          <w:rFonts w:eastAsia="Calibri" w:cs="Calibri"/>
          <w:szCs w:val="20"/>
        </w:rPr>
      </w:pPr>
      <w:r w:rsidRPr="00100F0A">
        <w:t xml:space="preserve">This issue was raised in 2015 and remains an issue.  </w:t>
      </w:r>
      <w:r w:rsidR="002A3A54" w:rsidRPr="00100F0A">
        <w:rPr>
          <w:rFonts w:eastAsia="Calibri" w:cs="Calibri"/>
          <w:szCs w:val="20"/>
        </w:rPr>
        <w:t>Jill Lethlean (Consilium Waste Consulting) provided the following comments regarding hazardous waste management in WA (reproduced with permission)</w:t>
      </w:r>
      <w:r w:rsidR="000679C2">
        <w:rPr>
          <w:rFonts w:eastAsia="Calibri" w:cs="Calibri"/>
          <w:szCs w:val="20"/>
        </w:rPr>
        <w:t>:</w:t>
      </w:r>
    </w:p>
    <w:p w14:paraId="7A6E0909" w14:textId="77777777" w:rsidR="002A3A54" w:rsidRPr="00100F0A" w:rsidRDefault="002A3A54" w:rsidP="002A3A54">
      <w:pPr>
        <w:pStyle w:val="BodyText"/>
        <w:rPr>
          <w:rFonts w:eastAsia="Calibri" w:cs="Calibri"/>
          <w:sz w:val="12"/>
          <w:szCs w:val="12"/>
        </w:rPr>
      </w:pPr>
    </w:p>
    <w:p w14:paraId="23E8E177" w14:textId="29BC9EF3" w:rsidR="002A3A54" w:rsidRPr="00100F0A" w:rsidRDefault="002A3A54" w:rsidP="002A3A54">
      <w:pPr>
        <w:pStyle w:val="BodyText"/>
        <w:ind w:left="567" w:right="737"/>
        <w:rPr>
          <w:rFonts w:eastAsia="Calibri" w:cs="Calibri"/>
          <w:i/>
          <w:sz w:val="12"/>
          <w:szCs w:val="12"/>
        </w:rPr>
      </w:pPr>
      <w:r w:rsidRPr="00100F0A">
        <w:rPr>
          <w:rFonts w:eastAsia="Calibri" w:cs="Calibri"/>
          <w:i/>
          <w:szCs w:val="20"/>
        </w:rPr>
        <w:t>“Distance is a major issue for waste management in WA. In particular, a considerable amount of hazardous waste and hazardous waste packaging is generated a long way from the metropolitan area. Therefore, it is expensive to transport waste to the single facilities available for hazardous waste. This provides a strong incentive to find alternative disposal routes, or to stockpile the waste onsite.</w:t>
      </w:r>
    </w:p>
    <w:p w14:paraId="381E5D4F" w14:textId="124457EB" w:rsidR="002A3A54" w:rsidRPr="00100F0A" w:rsidRDefault="002A3A54" w:rsidP="002A3A54">
      <w:pPr>
        <w:pStyle w:val="BodyText"/>
        <w:ind w:left="567" w:right="737"/>
        <w:rPr>
          <w:rFonts w:eastAsia="Calibri" w:cs="Calibri"/>
          <w:i/>
          <w:szCs w:val="20"/>
        </w:rPr>
      </w:pPr>
      <w:r w:rsidRPr="00100F0A">
        <w:rPr>
          <w:rFonts w:eastAsia="Calibri" w:cs="Calibri"/>
          <w:i/>
          <w:szCs w:val="20"/>
        </w:rPr>
        <w:t xml:space="preserve">The long distances to suitable disposal facilities appears to have led to some pragmatic solutions, where country landfills are permitted to accept medical/clinical waste and low level hazardous waste. The environmental standards at WA’s rural landfills is highly variable. Therefore, most would not be suitable for hazardous waste disposal. </w:t>
      </w:r>
    </w:p>
    <w:p w14:paraId="7ABF348B" w14:textId="77777777" w:rsidR="002A3A54" w:rsidRPr="00100F0A" w:rsidRDefault="002A3A54" w:rsidP="002A3A54">
      <w:pPr>
        <w:pStyle w:val="BodyText"/>
        <w:ind w:left="567" w:right="737"/>
        <w:rPr>
          <w:rFonts w:asciiTheme="minorHAnsi" w:hAnsiTheme="minorHAnsi"/>
          <w:i/>
        </w:rPr>
      </w:pPr>
      <w:r w:rsidRPr="00100F0A">
        <w:rPr>
          <w:rFonts w:asciiTheme="minorHAnsi" w:hAnsiTheme="minorHAnsi"/>
          <w:i/>
        </w:rPr>
        <w:t>Overall, it appears that the low volume of hazardous waste generated in WA means that it has only been financially viable to have one of each of the most crucial types of hazardous waste facilities. This leaves the State vulnerable to a stockpiling crisis if one of these facilities closes. Further, the long distances to these single facilities, meaning limited access, has resulted in less than ideal practices for the management of hazardous waste. The size of the problem is not really known, as the data available on hazardous waste generation is limited.</w:t>
      </w:r>
    </w:p>
    <w:p w14:paraId="5A827672" w14:textId="02C1EF19" w:rsidR="00255A76" w:rsidRDefault="002A3A54" w:rsidP="00255A76">
      <w:pPr>
        <w:pStyle w:val="BodyText"/>
        <w:ind w:left="567" w:right="737"/>
      </w:pPr>
      <w:r w:rsidRPr="00100F0A">
        <w:rPr>
          <w:rFonts w:eastAsia="Calibri" w:cs="Calibri"/>
          <w:i/>
          <w:szCs w:val="20"/>
        </w:rPr>
        <w:t>The largest risk appears to be a shortage in Class IV landfill capacity. There is currently one Class IV landfill cell in the State, and it is located in Perth. This is not convenient when the waste is generated a long way from the metropolitan area… In the event that the cell closes, or a new one is not constructed when the current cell is full, then WA would be without its main disposal route for hazardous waste”</w:t>
      </w:r>
      <w:r w:rsidR="00255A76">
        <w:rPr>
          <w:rFonts w:eastAsia="Calibri" w:cs="Calibri"/>
          <w:i/>
          <w:szCs w:val="20"/>
        </w:rPr>
        <w:t>.</w:t>
      </w:r>
    </w:p>
    <w:p w14:paraId="2EDB8FFF" w14:textId="272E807F" w:rsidR="00DD0902" w:rsidRDefault="00255A76" w:rsidP="00255A76">
      <w:pPr>
        <w:pStyle w:val="BodyText"/>
        <w:rPr>
          <w:rFonts w:asciiTheme="minorHAnsi" w:hAnsiTheme="minorHAnsi" w:cstheme="minorHAnsi"/>
        </w:rPr>
      </w:pPr>
      <w:r>
        <w:t xml:space="preserve">WA </w:t>
      </w:r>
      <w:r w:rsidRPr="004428CC">
        <w:t>Department of Water and Environmental Regulation</w:t>
      </w:r>
      <w:r>
        <w:t xml:space="preserve"> noted: p</w:t>
      </w:r>
      <w:r>
        <w:rPr>
          <w:rFonts w:asciiTheme="minorHAnsi" w:hAnsiTheme="minorHAnsi" w:cstheme="minorHAnsi"/>
        </w:rPr>
        <w:t>roposals have been received for new class IV and V landfills in remote WA (</w:t>
      </w:r>
      <w:r w:rsidR="00C34F48">
        <w:rPr>
          <w:rFonts w:asciiTheme="minorHAnsi" w:hAnsiTheme="minorHAnsi" w:cstheme="minorHAnsi"/>
        </w:rPr>
        <w:t>Pilb</w:t>
      </w:r>
      <w:r>
        <w:rPr>
          <w:rFonts w:asciiTheme="minorHAnsi" w:hAnsiTheme="minorHAnsi" w:cstheme="minorHAnsi"/>
        </w:rPr>
        <w:t>ara and Goldfields). These facilities, if established, will provide more options for hazardous waste management in remote WA. DWEP is also planning for future initiatives under the State’s new Waste Strategy and proposed State Waste Infrastructure Plan.</w:t>
      </w:r>
    </w:p>
    <w:p w14:paraId="2050A70D" w14:textId="77777777" w:rsidR="00DD0902" w:rsidRDefault="00DD0902" w:rsidP="00255A76">
      <w:pPr>
        <w:pStyle w:val="BodyText"/>
        <w:rPr>
          <w:rFonts w:asciiTheme="minorHAnsi" w:hAnsiTheme="minorHAnsi" w:cstheme="minorHAnsi"/>
        </w:rPr>
      </w:pPr>
    </w:p>
    <w:p w14:paraId="742E576F" w14:textId="382FE428" w:rsidR="00601CB2" w:rsidRPr="00255A76" w:rsidRDefault="00601CB2" w:rsidP="00255A76">
      <w:pPr>
        <w:pStyle w:val="BodyText"/>
        <w:rPr>
          <w:rFonts w:eastAsia="Calibri" w:cs="Calibri"/>
          <w:szCs w:val="20"/>
        </w:rPr>
      </w:pPr>
      <w:r w:rsidRPr="00255A76">
        <w:rPr>
          <w:rFonts w:eastAsia="Calibri" w:cs="Calibri"/>
          <w:szCs w:val="20"/>
        </w:rPr>
        <w:br w:type="page"/>
      </w:r>
    </w:p>
    <w:p w14:paraId="14277629" w14:textId="62ED97FA" w:rsidR="00AF7A55" w:rsidRPr="00100F0A" w:rsidRDefault="002514A0" w:rsidP="002514A0">
      <w:pPr>
        <w:pStyle w:val="Heading1"/>
      </w:pPr>
      <w:bookmarkStart w:id="358" w:name="_Ref530477133"/>
      <w:bookmarkStart w:id="359" w:name="_Toc13225545"/>
      <w:r w:rsidRPr="00100F0A">
        <w:t>Assessment of projected need vs capacity of hazardous waste infrastructure</w:t>
      </w:r>
      <w:bookmarkEnd w:id="358"/>
      <w:bookmarkEnd w:id="359"/>
    </w:p>
    <w:p w14:paraId="1889B32E" w14:textId="7507F281" w:rsidR="00B37084" w:rsidRDefault="00B37084" w:rsidP="00B37084">
      <w:pPr>
        <w:pStyle w:val="BodyText"/>
      </w:pPr>
      <w:r w:rsidRPr="00100F0A">
        <w:t xml:space="preserve">Having generated projections of the arisings of hazardous waste in Section </w:t>
      </w:r>
      <w:r w:rsidR="00130ACC" w:rsidRPr="00100F0A">
        <w:fldChar w:fldCharType="begin"/>
      </w:r>
      <w:r w:rsidR="00130ACC" w:rsidRPr="00100F0A">
        <w:instrText xml:space="preserve"> REF _Ref530644856 \r \h </w:instrText>
      </w:r>
      <w:r w:rsidR="00130ACC" w:rsidRPr="00100F0A">
        <w:fldChar w:fldCharType="separate"/>
      </w:r>
      <w:r w:rsidR="00EB634D">
        <w:t>2</w:t>
      </w:r>
      <w:r w:rsidR="00130ACC" w:rsidRPr="00100F0A">
        <w:fldChar w:fldCharType="end"/>
      </w:r>
      <w:r w:rsidR="00130ACC" w:rsidRPr="00100F0A">
        <w:t xml:space="preserve"> </w:t>
      </w:r>
      <w:r w:rsidRPr="00100F0A">
        <w:t>and estimated infrastructure capacity in Section</w:t>
      </w:r>
      <w:r w:rsidR="00130ACC" w:rsidRPr="00100F0A">
        <w:t xml:space="preserve"> </w:t>
      </w:r>
      <w:r w:rsidR="00130ACC" w:rsidRPr="00100F0A">
        <w:fldChar w:fldCharType="begin"/>
      </w:r>
      <w:r w:rsidR="00130ACC" w:rsidRPr="00100F0A">
        <w:instrText xml:space="preserve"> REF _Ref530644946 \r \h </w:instrText>
      </w:r>
      <w:r w:rsidR="00130ACC" w:rsidRPr="00100F0A">
        <w:fldChar w:fldCharType="separate"/>
      </w:r>
      <w:r w:rsidR="00EB634D">
        <w:t>3</w:t>
      </w:r>
      <w:r w:rsidR="00130ACC" w:rsidRPr="00100F0A">
        <w:fldChar w:fldCharType="end"/>
      </w:r>
      <w:r w:rsidRPr="00100F0A">
        <w:t>, this section of the report compares the two to identify wastes and jurisdictions where an expansion of capacity may be needed during the 20</w:t>
      </w:r>
      <w:r w:rsidR="0026508D">
        <w:t xml:space="preserve"> </w:t>
      </w:r>
      <w:r w:rsidRPr="00100F0A">
        <w:t xml:space="preserve">year projection period. Before presenting the assessment of projection of need vs capacity, this section outlines the method for completing the assessment and also provides analysis of the limitations of the assessment. </w:t>
      </w:r>
      <w:r w:rsidR="00130ACC" w:rsidRPr="00100F0A">
        <w:t xml:space="preserve">Section </w:t>
      </w:r>
      <w:r w:rsidRPr="00100F0A">
        <w:fldChar w:fldCharType="begin"/>
      </w:r>
      <w:r w:rsidRPr="00100F0A">
        <w:instrText xml:space="preserve"> REF _Ref419402884 \r \h </w:instrText>
      </w:r>
      <w:r w:rsidRPr="00100F0A">
        <w:fldChar w:fldCharType="separate"/>
      </w:r>
      <w:r w:rsidR="00EB634D">
        <w:t>4.2</w:t>
      </w:r>
      <w:r w:rsidRPr="00100F0A">
        <w:fldChar w:fldCharType="end"/>
      </w:r>
      <w:r w:rsidRPr="00100F0A">
        <w:t xml:space="preserve"> </w:t>
      </w:r>
      <w:r w:rsidR="00130ACC" w:rsidRPr="00100F0A">
        <w:t xml:space="preserve">discusses </w:t>
      </w:r>
      <w:r w:rsidRPr="00100F0A">
        <w:t>several factors that limit the completeness of the assessment and/or increase the levels of uncertainty.</w:t>
      </w:r>
      <w:bookmarkStart w:id="360" w:name="_Toc419449192"/>
      <w:bookmarkStart w:id="361" w:name="_Toc419449193"/>
      <w:bookmarkEnd w:id="360"/>
    </w:p>
    <w:p w14:paraId="29D73ECD" w14:textId="77777777" w:rsidR="00B8053D" w:rsidRPr="00100F0A" w:rsidRDefault="00B8053D" w:rsidP="00B37084">
      <w:pPr>
        <w:pStyle w:val="BodyText"/>
      </w:pPr>
    </w:p>
    <w:p w14:paraId="75ABB177" w14:textId="0B6EEF7B" w:rsidR="00B37084" w:rsidRPr="00100F0A" w:rsidRDefault="00B37084" w:rsidP="00AD35BF">
      <w:pPr>
        <w:pStyle w:val="Heading2"/>
      </w:pPr>
      <w:bookmarkStart w:id="362" w:name="_Ref419553398"/>
      <w:bookmarkStart w:id="363" w:name="_Toc425849171"/>
      <w:bookmarkStart w:id="364" w:name="_Toc13225546"/>
      <w:r w:rsidRPr="00100F0A">
        <w:t>Method</w:t>
      </w:r>
      <w:bookmarkEnd w:id="361"/>
      <w:bookmarkEnd w:id="362"/>
      <w:bookmarkEnd w:id="363"/>
      <w:bookmarkEnd w:id="364"/>
    </w:p>
    <w:p w14:paraId="56C4268E" w14:textId="77777777" w:rsidR="00B37084" w:rsidRPr="00100F0A" w:rsidRDefault="00B37084" w:rsidP="00B37084">
      <w:pPr>
        <w:pStyle w:val="BodyText"/>
      </w:pPr>
      <w:r w:rsidRPr="00100F0A">
        <w:t>The assessment of need against capacity involved four main steps discussed below.</w:t>
      </w:r>
    </w:p>
    <w:p w14:paraId="503708C1" w14:textId="56299861" w:rsidR="00B37084" w:rsidRPr="00100F0A" w:rsidRDefault="00B37084" w:rsidP="00AD35BF">
      <w:pPr>
        <w:pStyle w:val="Heading3"/>
      </w:pPr>
      <w:r w:rsidRPr="00100F0A">
        <w:t xml:space="preserve">Step 1: determine the assumed </w:t>
      </w:r>
      <w:r w:rsidR="00C830FE" w:rsidRPr="00100F0A">
        <w:t xml:space="preserve">management </w:t>
      </w:r>
      <w:r w:rsidRPr="00100F0A">
        <w:t xml:space="preserve">of waste groups </w:t>
      </w:r>
    </w:p>
    <w:p w14:paraId="67C33A48" w14:textId="32D99164" w:rsidR="00B37084" w:rsidRPr="00100F0A" w:rsidRDefault="00B37084" w:rsidP="00B37084">
      <w:pPr>
        <w:pStyle w:val="BodyText"/>
      </w:pPr>
      <w:r w:rsidRPr="00CE6ECA">
        <w:t xml:space="preserve">The </w:t>
      </w:r>
      <w:r w:rsidR="008C5FCE" w:rsidRPr="00CE6ECA">
        <w:t xml:space="preserve">assumed management </w:t>
      </w:r>
      <w:r w:rsidR="004F7683" w:rsidRPr="00CE6ECA">
        <w:t xml:space="preserve">methods </w:t>
      </w:r>
      <w:r w:rsidRPr="00CE6ECA">
        <w:t xml:space="preserve">of </w:t>
      </w:r>
      <w:r w:rsidR="004F7683" w:rsidRPr="00CE6ECA">
        <w:t xml:space="preserve">hazardous </w:t>
      </w:r>
      <w:r w:rsidRPr="00CE6ECA">
        <w:t xml:space="preserve">waste arisings </w:t>
      </w:r>
      <w:r w:rsidR="004F7683" w:rsidRPr="00CE6ECA">
        <w:t xml:space="preserve">now </w:t>
      </w:r>
      <w:r w:rsidR="004F7683" w:rsidRPr="00A307F3">
        <w:t>and</w:t>
      </w:r>
      <w:r w:rsidR="004F7683" w:rsidRPr="00CE6ECA">
        <w:t xml:space="preserve"> over the projection period</w:t>
      </w:r>
      <w:r w:rsidR="004F7683" w:rsidRPr="00100F0A">
        <w:t xml:space="preserve"> are discussed in Section </w:t>
      </w:r>
      <w:r w:rsidR="004F7683" w:rsidRPr="00100F0A">
        <w:fldChar w:fldCharType="begin"/>
      </w:r>
      <w:r w:rsidR="004F7683" w:rsidRPr="00100F0A">
        <w:instrText xml:space="preserve"> REF _Ref530668098 \r \h </w:instrText>
      </w:r>
      <w:r w:rsidR="00D20469" w:rsidRPr="00100F0A">
        <w:instrText xml:space="preserve"> \* MERGEFORMAT </w:instrText>
      </w:r>
      <w:r w:rsidR="004F7683" w:rsidRPr="00100F0A">
        <w:fldChar w:fldCharType="separate"/>
      </w:r>
      <w:r w:rsidR="00EB634D">
        <w:t>2.8</w:t>
      </w:r>
      <w:r w:rsidR="004F7683" w:rsidRPr="00100F0A">
        <w:fldChar w:fldCharType="end"/>
      </w:r>
      <w:r w:rsidR="004F7683" w:rsidRPr="00100F0A">
        <w:t xml:space="preserve"> a</w:t>
      </w:r>
      <w:r w:rsidR="00CE6ECA">
        <w:t>nd</w:t>
      </w:r>
      <w:r w:rsidR="004F7683" w:rsidRPr="00100F0A">
        <w:t xml:space="preserve"> </w:t>
      </w:r>
      <w:r w:rsidR="008C5FCE" w:rsidRPr="00100F0A">
        <w:t xml:space="preserve">presented in </w:t>
      </w:r>
      <w:r w:rsidR="002C01F0" w:rsidRPr="00100F0A">
        <w:fldChar w:fldCharType="begin"/>
      </w:r>
      <w:r w:rsidR="002C01F0" w:rsidRPr="00100F0A">
        <w:instrText xml:space="preserve"> REF _Ref531183522 \h </w:instrText>
      </w:r>
      <w:r w:rsidR="002C01F0" w:rsidRPr="00100F0A">
        <w:fldChar w:fldCharType="separate"/>
      </w:r>
      <w:r w:rsidR="00EB634D" w:rsidRPr="00100F0A">
        <w:t xml:space="preserve">Figure </w:t>
      </w:r>
      <w:r w:rsidR="00EB634D">
        <w:rPr>
          <w:noProof/>
        </w:rPr>
        <w:t>40</w:t>
      </w:r>
      <w:r w:rsidR="002C01F0" w:rsidRPr="00100F0A">
        <w:fldChar w:fldCharType="end"/>
      </w:r>
      <w:r w:rsidR="002C01F0" w:rsidRPr="00100F0A">
        <w:t xml:space="preserve"> </w:t>
      </w:r>
      <w:r w:rsidR="00F62FA9" w:rsidRPr="00100F0A">
        <w:t xml:space="preserve">to </w:t>
      </w:r>
      <w:r w:rsidR="008C5FCE" w:rsidRPr="00100F0A">
        <w:fldChar w:fldCharType="begin"/>
      </w:r>
      <w:r w:rsidR="008C5FCE" w:rsidRPr="00100F0A">
        <w:instrText xml:space="preserve"> REF _Ref529543095 \h </w:instrText>
      </w:r>
      <w:r w:rsidR="008C5FCE" w:rsidRPr="00100F0A">
        <w:fldChar w:fldCharType="separate"/>
      </w:r>
      <w:r w:rsidR="00EB634D" w:rsidRPr="00100F0A">
        <w:t xml:space="preserve">Figure </w:t>
      </w:r>
      <w:r w:rsidR="00EB634D">
        <w:rPr>
          <w:noProof/>
        </w:rPr>
        <w:t>44</w:t>
      </w:r>
      <w:r w:rsidR="008C5FCE" w:rsidRPr="00100F0A">
        <w:fldChar w:fldCharType="end"/>
      </w:r>
      <w:r w:rsidR="00A25FFB" w:rsidRPr="00100F0A">
        <w:t xml:space="preserve"> </w:t>
      </w:r>
      <w:r w:rsidRPr="00100F0A">
        <w:t xml:space="preserve">(above). </w:t>
      </w:r>
    </w:p>
    <w:p w14:paraId="479FDAA3" w14:textId="406BAFDB" w:rsidR="00B37084" w:rsidRPr="00100F0A" w:rsidRDefault="00B37084" w:rsidP="00AD35BF">
      <w:pPr>
        <w:pStyle w:val="Heading3"/>
      </w:pPr>
      <w:r w:rsidRPr="00100F0A">
        <w:t xml:space="preserve">Step 2: </w:t>
      </w:r>
      <w:r w:rsidR="00D04633" w:rsidRPr="00100F0A">
        <w:t xml:space="preserve">each waste group’s </w:t>
      </w:r>
      <w:r w:rsidR="00A25FFB" w:rsidRPr="00100F0A">
        <w:t>management methods</w:t>
      </w:r>
      <w:r w:rsidRPr="00100F0A">
        <w:t xml:space="preserve"> </w:t>
      </w:r>
      <w:r w:rsidR="0010399F" w:rsidRPr="00100F0A">
        <w:t xml:space="preserve">were mapped </w:t>
      </w:r>
      <w:r w:rsidRPr="00100F0A">
        <w:t>to infrastructure groups</w:t>
      </w:r>
    </w:p>
    <w:p w14:paraId="5A936A11" w14:textId="49C93941" w:rsidR="00B37084" w:rsidRPr="00100F0A" w:rsidRDefault="00B37084" w:rsidP="00B37084">
      <w:pPr>
        <w:pStyle w:val="BodyText"/>
      </w:pPr>
      <w:r w:rsidRPr="00100F0A">
        <w:t xml:space="preserve">For each waste group, the adjusted </w:t>
      </w:r>
      <w:r w:rsidR="00A25FFB" w:rsidRPr="00100F0A">
        <w:t>management methods</w:t>
      </w:r>
      <w:r w:rsidRPr="00100F0A">
        <w:t xml:space="preserve"> were mapped to an infrastructure group</w:t>
      </w:r>
      <w:r w:rsidR="0076684F" w:rsidRPr="00100F0A">
        <w:t xml:space="preserve"> (i.e</w:t>
      </w:r>
      <w:r w:rsidRPr="00100F0A">
        <w:t>.</w:t>
      </w:r>
      <w:r w:rsidR="0076684F" w:rsidRPr="00100F0A">
        <w:t xml:space="preserve"> </w:t>
      </w:r>
      <w:r w:rsidRPr="00100F0A">
        <w:t>the infrastructure group most likely to receive the particular fate was selected</w:t>
      </w:r>
      <w:r w:rsidR="0076684F" w:rsidRPr="00100F0A">
        <w:t>)</w:t>
      </w:r>
      <w:r w:rsidRPr="00100F0A">
        <w:t>. Examples</w:t>
      </w:r>
      <w:r w:rsidR="0076684F" w:rsidRPr="00100F0A">
        <w:t xml:space="preserve"> are</w:t>
      </w:r>
      <w:r w:rsidRPr="00100F0A">
        <w:t>:</w:t>
      </w:r>
    </w:p>
    <w:p w14:paraId="6458F99F" w14:textId="2E7205D0" w:rsidR="00B37084" w:rsidRPr="00100F0A" w:rsidRDefault="00B37084" w:rsidP="00B37084">
      <w:pPr>
        <w:pStyle w:val="Bullet1"/>
        <w:spacing w:before="80"/>
        <w:ind w:left="454" w:hanging="454"/>
      </w:pPr>
      <w:r w:rsidRPr="00100F0A">
        <w:t xml:space="preserve">the Plating &amp; heat treatment waste group with a </w:t>
      </w:r>
      <w:r w:rsidR="00A25FFB" w:rsidRPr="00100F0A">
        <w:t>management method</w:t>
      </w:r>
      <w:r w:rsidRPr="00100F0A">
        <w:t xml:space="preserve"> of </w:t>
      </w:r>
      <w:r w:rsidR="00CE6ECA">
        <w:t>CPT</w:t>
      </w:r>
      <w:r w:rsidRPr="00100F0A">
        <w:t xml:space="preserve"> was mapped to CPT plant </w:t>
      </w:r>
    </w:p>
    <w:p w14:paraId="446D34BC" w14:textId="6755CF82" w:rsidR="00B37084" w:rsidRPr="00100F0A" w:rsidRDefault="00B37084" w:rsidP="00B37084">
      <w:pPr>
        <w:pStyle w:val="Bullet1"/>
        <w:spacing w:before="80"/>
        <w:ind w:left="454" w:hanging="454"/>
      </w:pPr>
      <w:r w:rsidRPr="00100F0A">
        <w:t xml:space="preserve">the Plating &amp; heat treatment waste group with a </w:t>
      </w:r>
      <w:r w:rsidR="00A25FFB" w:rsidRPr="00100F0A">
        <w:t xml:space="preserve">management method </w:t>
      </w:r>
      <w:r w:rsidRPr="00100F0A">
        <w:t>of disposal was mapped to Haz</w:t>
      </w:r>
      <w:r w:rsidR="00A25FFB" w:rsidRPr="00100F0A">
        <w:t xml:space="preserve">ardous waste </w:t>
      </w:r>
      <w:r w:rsidRPr="00100F0A">
        <w:t>landfill</w:t>
      </w:r>
      <w:r w:rsidR="00A25FFB" w:rsidRPr="00100F0A">
        <w:t xml:space="preserve"> facility</w:t>
      </w:r>
    </w:p>
    <w:p w14:paraId="2C8CE052" w14:textId="3E3EC528" w:rsidR="00B37084" w:rsidRPr="00100F0A" w:rsidRDefault="00B37084" w:rsidP="00B37084">
      <w:pPr>
        <w:pStyle w:val="Bullet1"/>
        <w:spacing w:before="80"/>
        <w:ind w:left="454" w:hanging="454"/>
      </w:pPr>
      <w:r w:rsidRPr="00100F0A">
        <w:t xml:space="preserve">the Asbestos waste group with a disposal </w:t>
      </w:r>
      <w:r w:rsidR="00A25FFB" w:rsidRPr="00100F0A">
        <w:t>management method</w:t>
      </w:r>
      <w:r w:rsidRPr="00100F0A">
        <w:t xml:space="preserve"> was mapped to the </w:t>
      </w:r>
      <w:r w:rsidR="00A25FFB" w:rsidRPr="00100F0A">
        <w:t>Landfill facility (NEPM codes N, T) infrastructure group</w:t>
      </w:r>
      <w:r w:rsidRPr="00100F0A">
        <w:t>.</w:t>
      </w:r>
    </w:p>
    <w:p w14:paraId="33868354" w14:textId="77777777" w:rsidR="00B37084" w:rsidRPr="00100F0A" w:rsidRDefault="00B37084" w:rsidP="00B37084">
      <w:pPr>
        <w:pStyle w:val="BodyText"/>
      </w:pPr>
    </w:p>
    <w:p w14:paraId="4A6909AD" w14:textId="79C20F2A" w:rsidR="00B37084" w:rsidRPr="00100F0A" w:rsidRDefault="00B37084" w:rsidP="00B37084">
      <w:pPr>
        <w:pStyle w:val="BodyText"/>
      </w:pPr>
      <w:r w:rsidRPr="00100F0A">
        <w:t xml:space="preserve">The full mapping process is illustrated in </w:t>
      </w:r>
      <w:r w:rsidRPr="00100F0A">
        <w:fldChar w:fldCharType="begin"/>
      </w:r>
      <w:r w:rsidRPr="00100F0A">
        <w:instrText xml:space="preserve"> REF _Ref409279813 \h </w:instrText>
      </w:r>
      <w:r w:rsidRPr="00100F0A">
        <w:fldChar w:fldCharType="separate"/>
      </w:r>
      <w:r w:rsidR="00EB634D" w:rsidRPr="00100F0A">
        <w:t xml:space="preserve">Table </w:t>
      </w:r>
      <w:r w:rsidR="00EB634D">
        <w:rPr>
          <w:noProof/>
        </w:rPr>
        <w:t>48</w:t>
      </w:r>
      <w:r w:rsidRPr="00100F0A">
        <w:fldChar w:fldCharType="end"/>
      </w:r>
      <w:r w:rsidRPr="00100F0A">
        <w:t>.</w:t>
      </w:r>
    </w:p>
    <w:p w14:paraId="413D9239" w14:textId="130CAD6F" w:rsidR="00B37084" w:rsidRPr="00100F0A" w:rsidRDefault="00B37084" w:rsidP="00AD35BF">
      <w:pPr>
        <w:pStyle w:val="Heading3"/>
      </w:pPr>
      <w:r w:rsidRPr="00100F0A">
        <w:t xml:space="preserve">Step 3: combine waste group projections, </w:t>
      </w:r>
      <w:r w:rsidR="00F34E20" w:rsidRPr="00100F0A">
        <w:t>adjusted management method</w:t>
      </w:r>
      <w:r w:rsidRPr="00100F0A">
        <w:t>, and infrastructure group capacity</w:t>
      </w:r>
    </w:p>
    <w:p w14:paraId="65D0D7C1" w14:textId="5B29E3D7" w:rsidR="00B37084" w:rsidRPr="00100F0A" w:rsidRDefault="00B37084" w:rsidP="00B37084">
      <w:pPr>
        <w:pStyle w:val="BodyText"/>
      </w:pPr>
      <w:r w:rsidRPr="00100F0A">
        <w:t xml:space="preserve">The tonnes of each waste group going to each infrastructure group were projected for each year and scenario (high, best and low). The </w:t>
      </w:r>
      <w:r w:rsidR="00F34E20" w:rsidRPr="00100F0A">
        <w:t xml:space="preserve">management methods </w:t>
      </w:r>
      <w:r w:rsidRPr="00100F0A">
        <w:t xml:space="preserve">determined in Step 1 (above) are assumed to remain constant over the projection period of 20 years. It is likely that the </w:t>
      </w:r>
      <w:r w:rsidR="00F34E20" w:rsidRPr="00100F0A">
        <w:t xml:space="preserve">management methods </w:t>
      </w:r>
      <w:r w:rsidRPr="00100F0A">
        <w:t xml:space="preserve">will change over the projection period and by varying amounts </w:t>
      </w:r>
      <w:r w:rsidR="00F34E20" w:rsidRPr="00100F0A">
        <w:t>for different waste group</w:t>
      </w:r>
      <w:r w:rsidR="00CE6ECA">
        <w:t>s</w:t>
      </w:r>
      <w:r w:rsidR="00F34E20" w:rsidRPr="00100F0A">
        <w:t xml:space="preserve"> and </w:t>
      </w:r>
      <w:r w:rsidRPr="00100F0A">
        <w:t xml:space="preserve">in different jurisdictions. </w:t>
      </w:r>
      <w:r w:rsidR="00F34E20" w:rsidRPr="00100F0A">
        <w:t xml:space="preserve">Changes in the management method </w:t>
      </w:r>
      <w:r w:rsidRPr="00100F0A">
        <w:t xml:space="preserve">will directly affect the capacity needs of the infrastructure groups. For example, an increase in recycling would require additional recycling capacity and reduce the demands on the disposal capacity. As discussed in Section </w:t>
      </w:r>
      <w:r w:rsidRPr="00100F0A">
        <w:fldChar w:fldCharType="begin"/>
      </w:r>
      <w:r w:rsidRPr="00100F0A">
        <w:instrText xml:space="preserve"> REF _Ref419402884 \r \h </w:instrText>
      </w:r>
      <w:r w:rsidRPr="00100F0A">
        <w:fldChar w:fldCharType="separate"/>
      </w:r>
      <w:r w:rsidR="00EB634D">
        <w:t>4.2</w:t>
      </w:r>
      <w:r w:rsidRPr="00100F0A">
        <w:fldChar w:fldCharType="end"/>
      </w:r>
      <w:r w:rsidRPr="00100F0A">
        <w:t xml:space="preserve"> having limited data on the </w:t>
      </w:r>
      <w:r w:rsidR="00F34E20" w:rsidRPr="00100F0A">
        <w:t>f</w:t>
      </w:r>
      <w:r w:rsidRPr="00100F0A">
        <w:t xml:space="preserve">uture </w:t>
      </w:r>
      <w:r w:rsidR="00F34E20" w:rsidRPr="00100F0A">
        <w:t xml:space="preserve">management </w:t>
      </w:r>
      <w:r w:rsidRPr="00100F0A">
        <w:t>of waste groups limits the accuracy of the capacity assessment.</w:t>
      </w:r>
    </w:p>
    <w:p w14:paraId="39073782" w14:textId="77777777" w:rsidR="00B37084" w:rsidRPr="00100F0A" w:rsidRDefault="00B37084" w:rsidP="00AD35BF">
      <w:pPr>
        <w:pStyle w:val="Heading3"/>
      </w:pPr>
      <w:r w:rsidRPr="00100F0A">
        <w:t>Step 4: assess the period when waste group projections exceed the infrastructure group capacity</w:t>
      </w:r>
    </w:p>
    <w:p w14:paraId="626CF37B" w14:textId="64A4C640" w:rsidR="00B37084" w:rsidRPr="00100F0A" w:rsidRDefault="00B37084" w:rsidP="00F34E20">
      <w:pPr>
        <w:pStyle w:val="BodyText"/>
      </w:pPr>
      <w:r w:rsidRPr="00100F0A">
        <w:t xml:space="preserve">The projected tonnages sent to each infrastructure group were then compared with the </w:t>
      </w:r>
      <w:r w:rsidR="00F34E20" w:rsidRPr="00100F0A">
        <w:t xml:space="preserve">installed </w:t>
      </w:r>
      <w:r w:rsidRPr="00100F0A">
        <w:t xml:space="preserve">capacity of the infrastructure group to obtain an estimate of when </w:t>
      </w:r>
      <w:r w:rsidR="00F34E20" w:rsidRPr="00100F0A">
        <w:t xml:space="preserve">installed </w:t>
      </w:r>
      <w:r w:rsidRPr="00100F0A">
        <w:t>capacity would be exceeded by the allocated arisings.</w:t>
      </w:r>
    </w:p>
    <w:p w14:paraId="08C5990B" w14:textId="77777777" w:rsidR="00B37084" w:rsidRPr="00100F0A" w:rsidRDefault="00B37084" w:rsidP="00887A1F">
      <w:pPr>
        <w:pStyle w:val="ListNumber"/>
        <w:numPr>
          <w:ilvl w:val="0"/>
          <w:numId w:val="0"/>
        </w:numPr>
        <w:ind w:left="357"/>
        <w:sectPr w:rsidR="00B37084" w:rsidRPr="00100F0A" w:rsidSect="003879F7">
          <w:pgSz w:w="11907" w:h="16840" w:code="9"/>
          <w:pgMar w:top="1440" w:right="1077" w:bottom="1440" w:left="1797" w:header="709" w:footer="709" w:gutter="0"/>
          <w:cols w:space="708"/>
          <w:docGrid w:linePitch="360"/>
        </w:sectPr>
      </w:pPr>
    </w:p>
    <w:p w14:paraId="1F8CE8EE" w14:textId="77777777" w:rsidR="00B37084" w:rsidRPr="00100F0A" w:rsidRDefault="00B37084" w:rsidP="00B37084">
      <w:pPr>
        <w:pStyle w:val="BodyText"/>
        <w:rPr>
          <w:sz w:val="2"/>
          <w:szCs w:val="2"/>
        </w:rPr>
      </w:pPr>
    </w:p>
    <w:p w14:paraId="149FB1EC" w14:textId="6E2A5663" w:rsidR="00B37084" w:rsidRPr="00100F0A" w:rsidRDefault="00B37084" w:rsidP="0095119F">
      <w:pPr>
        <w:pStyle w:val="Caption"/>
      </w:pPr>
      <w:bookmarkStart w:id="365" w:name="_Ref409279813"/>
      <w:bookmarkStart w:id="366" w:name="_Toc425849339"/>
      <w:bookmarkStart w:id="367" w:name="_Toc13225667"/>
      <w:r w:rsidRPr="00100F0A">
        <w:t xml:space="preserve">Table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48</w:t>
      </w:r>
      <w:r w:rsidR="00B404A6" w:rsidRPr="00100F0A">
        <w:rPr>
          <w:noProof/>
        </w:rPr>
        <w:fldChar w:fldCharType="end"/>
      </w:r>
      <w:bookmarkEnd w:id="365"/>
      <w:r w:rsidR="00AD2F76">
        <w:rPr>
          <w:noProof/>
        </w:rPr>
        <w:t>:</w:t>
      </w:r>
      <w:r w:rsidR="00D11FEE" w:rsidRPr="00100F0A">
        <w:tab/>
      </w:r>
      <w:r w:rsidRPr="00100F0A">
        <w:t xml:space="preserve">Mapping of </w:t>
      </w:r>
      <w:r w:rsidR="00A25FFB" w:rsidRPr="00100F0A">
        <w:t xml:space="preserve">waste management method </w:t>
      </w:r>
      <w:r w:rsidRPr="00100F0A">
        <w:t>to infrastructure group</w:t>
      </w:r>
      <w:bookmarkEnd w:id="366"/>
      <w:bookmarkEnd w:id="367"/>
    </w:p>
    <w:tbl>
      <w:tblPr>
        <w:tblW w:w="14573" w:type="dxa"/>
        <w:tblLook w:val="04A0" w:firstRow="1" w:lastRow="0" w:firstColumn="1" w:lastColumn="0" w:noHBand="0" w:noVBand="1"/>
      </w:tblPr>
      <w:tblGrid>
        <w:gridCol w:w="2142"/>
        <w:gridCol w:w="2152"/>
        <w:gridCol w:w="1626"/>
        <w:gridCol w:w="1953"/>
        <w:gridCol w:w="1627"/>
        <w:gridCol w:w="1840"/>
        <w:gridCol w:w="1616"/>
        <w:gridCol w:w="1617"/>
      </w:tblGrid>
      <w:tr w:rsidR="002B2606" w:rsidRPr="00100F0A" w14:paraId="79C39A95" w14:textId="77777777" w:rsidTr="002B2606">
        <w:trPr>
          <w:trHeight w:val="1020"/>
          <w:tblHeader/>
        </w:trPr>
        <w:tc>
          <w:tcPr>
            <w:tcW w:w="2142" w:type="dxa"/>
            <w:tcBorders>
              <w:top w:val="single" w:sz="4" w:space="0" w:color="808080"/>
              <w:left w:val="nil"/>
              <w:bottom w:val="single" w:sz="4" w:space="0" w:color="808080"/>
              <w:right w:val="single" w:sz="4" w:space="0" w:color="808080"/>
            </w:tcBorders>
            <w:shd w:val="clear" w:color="000000" w:fill="C5D9F1"/>
            <w:vAlign w:val="center"/>
            <w:hideMark/>
          </w:tcPr>
          <w:p w14:paraId="7A2D2688" w14:textId="77777777" w:rsidR="002B2606" w:rsidRPr="00100F0A" w:rsidRDefault="002B2606" w:rsidP="002B2606">
            <w:pPr>
              <w:rPr>
                <w:rFonts w:eastAsia="Times New Roman" w:cs="Times New Roman"/>
                <w:b/>
                <w:bCs/>
                <w:color w:val="000000"/>
                <w:sz w:val="20"/>
                <w:szCs w:val="20"/>
                <w:lang w:eastAsia="en-AU"/>
              </w:rPr>
            </w:pPr>
            <w:r w:rsidRPr="00100F0A">
              <w:rPr>
                <w:rFonts w:eastAsia="Times New Roman" w:cs="Times New Roman"/>
                <w:b/>
                <w:bCs/>
                <w:color w:val="000000"/>
                <w:sz w:val="20"/>
                <w:szCs w:val="20"/>
                <w:lang w:eastAsia="en-AU"/>
              </w:rPr>
              <w:t>Management method</w:t>
            </w:r>
          </w:p>
        </w:tc>
        <w:tc>
          <w:tcPr>
            <w:tcW w:w="2152" w:type="dxa"/>
            <w:tcBorders>
              <w:top w:val="single" w:sz="4" w:space="0" w:color="808080"/>
              <w:left w:val="nil"/>
              <w:bottom w:val="single" w:sz="4" w:space="0" w:color="808080"/>
              <w:right w:val="nil"/>
            </w:tcBorders>
            <w:shd w:val="clear" w:color="000000" w:fill="C5D9F1"/>
            <w:vAlign w:val="center"/>
            <w:hideMark/>
          </w:tcPr>
          <w:p w14:paraId="312C2C76" w14:textId="77777777" w:rsidR="002B2606" w:rsidRPr="00100F0A" w:rsidRDefault="002B2606" w:rsidP="002B2606">
            <w:pPr>
              <w:jc w:val="center"/>
              <w:rPr>
                <w:rFonts w:eastAsia="Times New Roman" w:cs="Times New Roman"/>
                <w:b/>
                <w:bCs/>
                <w:sz w:val="20"/>
                <w:szCs w:val="20"/>
                <w:lang w:eastAsia="en-AU"/>
              </w:rPr>
            </w:pPr>
            <w:bookmarkStart w:id="368" w:name="RANGE!I3:O3"/>
            <w:r w:rsidRPr="00100F0A">
              <w:rPr>
                <w:rFonts w:eastAsia="Times New Roman" w:cs="Times New Roman"/>
                <w:b/>
                <w:bCs/>
                <w:sz w:val="20"/>
                <w:szCs w:val="20"/>
                <w:lang w:eastAsia="en-AU"/>
              </w:rPr>
              <w:t>Recycling</w:t>
            </w:r>
            <w:bookmarkEnd w:id="368"/>
          </w:p>
        </w:tc>
        <w:tc>
          <w:tcPr>
            <w:tcW w:w="1626" w:type="dxa"/>
            <w:tcBorders>
              <w:top w:val="single" w:sz="4" w:space="0" w:color="808080"/>
              <w:left w:val="single" w:sz="4" w:space="0" w:color="808080"/>
              <w:bottom w:val="single" w:sz="4" w:space="0" w:color="808080"/>
              <w:right w:val="single" w:sz="4" w:space="0" w:color="808080"/>
            </w:tcBorders>
            <w:shd w:val="clear" w:color="000000" w:fill="C5D9F1"/>
            <w:vAlign w:val="center"/>
            <w:hideMark/>
          </w:tcPr>
          <w:p w14:paraId="06B28ADB" w14:textId="77777777" w:rsidR="002B2606" w:rsidRPr="00100F0A" w:rsidRDefault="002B2606" w:rsidP="002B2606">
            <w:pPr>
              <w:jc w:val="center"/>
              <w:rPr>
                <w:rFonts w:eastAsia="Times New Roman" w:cs="Times New Roman"/>
                <w:b/>
                <w:bCs/>
                <w:sz w:val="20"/>
                <w:szCs w:val="20"/>
                <w:lang w:eastAsia="en-AU"/>
              </w:rPr>
            </w:pPr>
            <w:r w:rsidRPr="00100F0A">
              <w:rPr>
                <w:rFonts w:eastAsia="Times New Roman" w:cs="Times New Roman"/>
                <w:b/>
                <w:bCs/>
                <w:sz w:val="20"/>
                <w:szCs w:val="20"/>
                <w:lang w:eastAsia="en-AU"/>
              </w:rPr>
              <w:t>Chemical/ physical treatment</w:t>
            </w:r>
          </w:p>
        </w:tc>
        <w:tc>
          <w:tcPr>
            <w:tcW w:w="1953" w:type="dxa"/>
            <w:tcBorders>
              <w:top w:val="single" w:sz="4" w:space="0" w:color="808080"/>
              <w:left w:val="nil"/>
              <w:bottom w:val="single" w:sz="4" w:space="0" w:color="808080"/>
              <w:right w:val="single" w:sz="4" w:space="0" w:color="808080"/>
            </w:tcBorders>
            <w:shd w:val="clear" w:color="000000" w:fill="C5D9F1"/>
            <w:vAlign w:val="center"/>
            <w:hideMark/>
          </w:tcPr>
          <w:p w14:paraId="0A859AD3" w14:textId="77777777" w:rsidR="002B2606" w:rsidRPr="00100F0A" w:rsidRDefault="002B2606" w:rsidP="002B2606">
            <w:pPr>
              <w:jc w:val="center"/>
              <w:rPr>
                <w:rFonts w:eastAsia="Times New Roman" w:cs="Times New Roman"/>
                <w:b/>
                <w:bCs/>
                <w:sz w:val="20"/>
                <w:szCs w:val="20"/>
                <w:lang w:eastAsia="en-AU"/>
              </w:rPr>
            </w:pPr>
            <w:r w:rsidRPr="00100F0A">
              <w:rPr>
                <w:rFonts w:eastAsia="Times New Roman" w:cs="Times New Roman"/>
                <w:b/>
                <w:bCs/>
                <w:sz w:val="20"/>
                <w:szCs w:val="20"/>
                <w:lang w:eastAsia="en-AU"/>
              </w:rPr>
              <w:t>Biodegradation</w:t>
            </w:r>
          </w:p>
        </w:tc>
        <w:tc>
          <w:tcPr>
            <w:tcW w:w="1627" w:type="dxa"/>
            <w:tcBorders>
              <w:top w:val="single" w:sz="4" w:space="0" w:color="808080"/>
              <w:left w:val="nil"/>
              <w:bottom w:val="single" w:sz="4" w:space="0" w:color="808080"/>
              <w:right w:val="single" w:sz="4" w:space="0" w:color="808080"/>
            </w:tcBorders>
            <w:shd w:val="clear" w:color="000000" w:fill="C5D9F1"/>
            <w:vAlign w:val="center"/>
            <w:hideMark/>
          </w:tcPr>
          <w:p w14:paraId="42914B06" w14:textId="77777777" w:rsidR="002B2606" w:rsidRPr="00100F0A" w:rsidRDefault="002B2606" w:rsidP="002B2606">
            <w:pPr>
              <w:jc w:val="center"/>
              <w:rPr>
                <w:rFonts w:eastAsia="Times New Roman" w:cs="Times New Roman"/>
                <w:b/>
                <w:bCs/>
                <w:sz w:val="20"/>
                <w:szCs w:val="20"/>
                <w:lang w:eastAsia="en-AU"/>
              </w:rPr>
            </w:pPr>
            <w:r w:rsidRPr="00100F0A">
              <w:rPr>
                <w:rFonts w:eastAsia="Times New Roman" w:cs="Times New Roman"/>
                <w:b/>
                <w:bCs/>
                <w:sz w:val="20"/>
                <w:szCs w:val="20"/>
                <w:lang w:eastAsia="en-AU"/>
              </w:rPr>
              <w:t>Landfill</w:t>
            </w:r>
          </w:p>
        </w:tc>
        <w:tc>
          <w:tcPr>
            <w:tcW w:w="1840" w:type="dxa"/>
            <w:tcBorders>
              <w:top w:val="single" w:sz="4" w:space="0" w:color="808080"/>
              <w:left w:val="nil"/>
              <w:bottom w:val="single" w:sz="4" w:space="0" w:color="808080"/>
              <w:right w:val="single" w:sz="4" w:space="0" w:color="808080"/>
            </w:tcBorders>
            <w:shd w:val="clear" w:color="000000" w:fill="C5D9F1"/>
            <w:vAlign w:val="center"/>
            <w:hideMark/>
          </w:tcPr>
          <w:p w14:paraId="5AF7EBC3" w14:textId="77777777" w:rsidR="002B2606" w:rsidRPr="00100F0A" w:rsidRDefault="002B2606" w:rsidP="002B2606">
            <w:pPr>
              <w:jc w:val="center"/>
              <w:rPr>
                <w:rFonts w:eastAsia="Times New Roman" w:cs="Times New Roman"/>
                <w:b/>
                <w:bCs/>
                <w:sz w:val="20"/>
                <w:szCs w:val="20"/>
                <w:lang w:eastAsia="en-AU"/>
              </w:rPr>
            </w:pPr>
            <w:r w:rsidRPr="00100F0A">
              <w:rPr>
                <w:rFonts w:eastAsia="Times New Roman" w:cs="Times New Roman"/>
                <w:b/>
                <w:bCs/>
                <w:sz w:val="20"/>
                <w:szCs w:val="20"/>
                <w:lang w:eastAsia="en-AU"/>
              </w:rPr>
              <w:t>Thermal destruction</w:t>
            </w:r>
          </w:p>
        </w:tc>
        <w:tc>
          <w:tcPr>
            <w:tcW w:w="1616" w:type="dxa"/>
            <w:tcBorders>
              <w:top w:val="single" w:sz="4" w:space="0" w:color="808080"/>
              <w:left w:val="nil"/>
              <w:bottom w:val="single" w:sz="4" w:space="0" w:color="808080"/>
              <w:right w:val="single" w:sz="4" w:space="0" w:color="808080"/>
            </w:tcBorders>
            <w:shd w:val="clear" w:color="000000" w:fill="C5D9F1"/>
            <w:vAlign w:val="center"/>
            <w:hideMark/>
          </w:tcPr>
          <w:p w14:paraId="741C75B9" w14:textId="77777777" w:rsidR="002B2606" w:rsidRPr="00100F0A" w:rsidRDefault="002B2606" w:rsidP="002B2606">
            <w:pPr>
              <w:jc w:val="center"/>
              <w:rPr>
                <w:rFonts w:eastAsia="Times New Roman" w:cs="Times New Roman"/>
                <w:b/>
                <w:bCs/>
                <w:color w:val="000000"/>
                <w:sz w:val="20"/>
                <w:szCs w:val="20"/>
                <w:lang w:eastAsia="en-AU"/>
              </w:rPr>
            </w:pPr>
            <w:r w:rsidRPr="00100F0A">
              <w:rPr>
                <w:rFonts w:eastAsia="Times New Roman" w:cs="Times New Roman"/>
                <w:b/>
                <w:bCs/>
                <w:color w:val="000000"/>
                <w:sz w:val="20"/>
                <w:szCs w:val="20"/>
                <w:lang w:eastAsia="en-AU"/>
              </w:rPr>
              <w:t>Short-term storage or transfer</w:t>
            </w:r>
          </w:p>
        </w:tc>
        <w:tc>
          <w:tcPr>
            <w:tcW w:w="1617" w:type="dxa"/>
            <w:tcBorders>
              <w:top w:val="single" w:sz="4" w:space="0" w:color="808080"/>
              <w:left w:val="nil"/>
              <w:bottom w:val="single" w:sz="4" w:space="0" w:color="808080"/>
              <w:right w:val="single" w:sz="4" w:space="0" w:color="808080"/>
            </w:tcBorders>
            <w:shd w:val="clear" w:color="000000" w:fill="C5D9F1"/>
            <w:vAlign w:val="center"/>
            <w:hideMark/>
          </w:tcPr>
          <w:p w14:paraId="02DD2AE7" w14:textId="77777777" w:rsidR="002B2606" w:rsidRPr="00100F0A" w:rsidRDefault="002B2606" w:rsidP="002B2606">
            <w:pPr>
              <w:jc w:val="center"/>
              <w:rPr>
                <w:rFonts w:eastAsia="Times New Roman" w:cs="Times New Roman"/>
                <w:b/>
                <w:bCs/>
                <w:sz w:val="20"/>
                <w:szCs w:val="20"/>
                <w:lang w:eastAsia="en-AU"/>
              </w:rPr>
            </w:pPr>
            <w:r w:rsidRPr="00100F0A">
              <w:rPr>
                <w:rFonts w:eastAsia="Times New Roman" w:cs="Times New Roman"/>
                <w:b/>
                <w:bCs/>
                <w:sz w:val="20"/>
                <w:szCs w:val="20"/>
                <w:lang w:eastAsia="en-AU"/>
              </w:rPr>
              <w:t>Long-term storage</w:t>
            </w:r>
          </w:p>
        </w:tc>
      </w:tr>
      <w:tr w:rsidR="002B2606" w:rsidRPr="00100F0A" w14:paraId="7BC892DB" w14:textId="77777777" w:rsidTr="002B2606">
        <w:trPr>
          <w:trHeight w:val="510"/>
        </w:trPr>
        <w:tc>
          <w:tcPr>
            <w:tcW w:w="2142" w:type="dxa"/>
            <w:tcBorders>
              <w:top w:val="nil"/>
              <w:left w:val="nil"/>
              <w:bottom w:val="single" w:sz="4" w:space="0" w:color="808080"/>
              <w:right w:val="nil"/>
            </w:tcBorders>
            <w:shd w:val="clear" w:color="000000" w:fill="C5D9F1"/>
            <w:vAlign w:val="bottom"/>
            <w:hideMark/>
          </w:tcPr>
          <w:p w14:paraId="1FF7A4C2" w14:textId="77777777" w:rsidR="002B2606" w:rsidRPr="00100F0A" w:rsidRDefault="002B2606" w:rsidP="002B2606">
            <w:pPr>
              <w:rPr>
                <w:rFonts w:eastAsia="Times New Roman" w:cs="Times New Roman"/>
                <w:b/>
                <w:bCs/>
                <w:color w:val="000000"/>
                <w:sz w:val="20"/>
                <w:szCs w:val="20"/>
                <w:lang w:eastAsia="en-AU"/>
              </w:rPr>
            </w:pPr>
            <w:r w:rsidRPr="00100F0A">
              <w:rPr>
                <w:rFonts w:eastAsia="Times New Roman" w:cs="Times New Roman"/>
                <w:b/>
                <w:bCs/>
                <w:color w:val="000000"/>
                <w:sz w:val="20"/>
                <w:szCs w:val="20"/>
                <w:lang w:eastAsia="en-AU"/>
              </w:rPr>
              <w:t>Waste group</w:t>
            </w:r>
          </w:p>
        </w:tc>
        <w:tc>
          <w:tcPr>
            <w:tcW w:w="2152" w:type="dxa"/>
            <w:tcBorders>
              <w:top w:val="nil"/>
              <w:left w:val="nil"/>
              <w:bottom w:val="nil"/>
              <w:right w:val="nil"/>
            </w:tcBorders>
            <w:shd w:val="clear" w:color="000000" w:fill="C5D9F1"/>
            <w:hideMark/>
          </w:tcPr>
          <w:p w14:paraId="7A787034" w14:textId="77777777" w:rsidR="002B2606" w:rsidRPr="00100F0A" w:rsidRDefault="002B2606" w:rsidP="002B2606">
            <w:pPr>
              <w:jc w:val="center"/>
              <w:rPr>
                <w:rFonts w:eastAsia="Times New Roman" w:cs="Times New Roman"/>
                <w:b/>
                <w:bCs/>
                <w:color w:val="000000"/>
                <w:lang w:eastAsia="en-AU"/>
              </w:rPr>
            </w:pPr>
            <w:r w:rsidRPr="00100F0A">
              <w:rPr>
                <w:rFonts w:eastAsia="Times New Roman" w:cs="Times New Roman"/>
                <w:b/>
                <w:bCs/>
                <w:color w:val="000000"/>
                <w:lang w:eastAsia="en-AU"/>
              </w:rPr>
              <w:t> </w:t>
            </w:r>
          </w:p>
        </w:tc>
        <w:tc>
          <w:tcPr>
            <w:tcW w:w="1626" w:type="dxa"/>
            <w:tcBorders>
              <w:top w:val="nil"/>
              <w:left w:val="nil"/>
              <w:bottom w:val="nil"/>
              <w:right w:val="nil"/>
            </w:tcBorders>
            <w:shd w:val="clear" w:color="000000" w:fill="C5D9F1"/>
            <w:hideMark/>
          </w:tcPr>
          <w:p w14:paraId="797570E6" w14:textId="77777777" w:rsidR="002B2606" w:rsidRPr="00100F0A" w:rsidRDefault="002B2606" w:rsidP="002B2606">
            <w:pPr>
              <w:jc w:val="center"/>
              <w:rPr>
                <w:rFonts w:eastAsia="Times New Roman" w:cs="Times New Roman"/>
                <w:b/>
                <w:bCs/>
                <w:color w:val="000000"/>
                <w:lang w:eastAsia="en-AU"/>
              </w:rPr>
            </w:pPr>
            <w:r w:rsidRPr="00100F0A">
              <w:rPr>
                <w:rFonts w:eastAsia="Times New Roman" w:cs="Times New Roman"/>
                <w:b/>
                <w:bCs/>
                <w:color w:val="000000"/>
                <w:lang w:eastAsia="en-AU"/>
              </w:rPr>
              <w:t> </w:t>
            </w:r>
          </w:p>
        </w:tc>
        <w:tc>
          <w:tcPr>
            <w:tcW w:w="1953" w:type="dxa"/>
            <w:tcBorders>
              <w:top w:val="nil"/>
              <w:left w:val="nil"/>
              <w:bottom w:val="nil"/>
              <w:right w:val="nil"/>
            </w:tcBorders>
            <w:shd w:val="clear" w:color="000000" w:fill="C5D9F1"/>
            <w:hideMark/>
          </w:tcPr>
          <w:p w14:paraId="29792B0E" w14:textId="77777777" w:rsidR="002B2606" w:rsidRPr="00100F0A" w:rsidRDefault="002B2606" w:rsidP="002B2606">
            <w:pPr>
              <w:jc w:val="center"/>
              <w:rPr>
                <w:rFonts w:eastAsia="Times New Roman" w:cs="Times New Roman"/>
                <w:b/>
                <w:bCs/>
                <w:color w:val="000000"/>
                <w:lang w:eastAsia="en-AU"/>
              </w:rPr>
            </w:pPr>
            <w:r w:rsidRPr="00100F0A">
              <w:rPr>
                <w:rFonts w:eastAsia="Times New Roman" w:cs="Times New Roman"/>
                <w:b/>
                <w:bCs/>
                <w:color w:val="000000"/>
                <w:lang w:eastAsia="en-AU"/>
              </w:rPr>
              <w:t> </w:t>
            </w:r>
          </w:p>
        </w:tc>
        <w:tc>
          <w:tcPr>
            <w:tcW w:w="1627" w:type="dxa"/>
            <w:tcBorders>
              <w:top w:val="nil"/>
              <w:left w:val="nil"/>
              <w:bottom w:val="nil"/>
              <w:right w:val="nil"/>
            </w:tcBorders>
            <w:shd w:val="clear" w:color="000000" w:fill="C5D9F1"/>
            <w:hideMark/>
          </w:tcPr>
          <w:p w14:paraId="28758989" w14:textId="77777777" w:rsidR="002B2606" w:rsidRPr="00100F0A" w:rsidRDefault="002B2606" w:rsidP="002B2606">
            <w:pPr>
              <w:jc w:val="center"/>
              <w:rPr>
                <w:rFonts w:eastAsia="Times New Roman" w:cs="Times New Roman"/>
                <w:b/>
                <w:bCs/>
                <w:color w:val="000000"/>
                <w:lang w:eastAsia="en-AU"/>
              </w:rPr>
            </w:pPr>
            <w:r w:rsidRPr="00100F0A">
              <w:rPr>
                <w:rFonts w:eastAsia="Times New Roman" w:cs="Times New Roman"/>
                <w:b/>
                <w:bCs/>
                <w:color w:val="000000"/>
                <w:lang w:eastAsia="en-AU"/>
              </w:rPr>
              <w:t> </w:t>
            </w:r>
          </w:p>
        </w:tc>
        <w:tc>
          <w:tcPr>
            <w:tcW w:w="1840" w:type="dxa"/>
            <w:tcBorders>
              <w:top w:val="nil"/>
              <w:left w:val="nil"/>
              <w:bottom w:val="nil"/>
              <w:right w:val="nil"/>
            </w:tcBorders>
            <w:shd w:val="clear" w:color="000000" w:fill="C5D9F1"/>
            <w:hideMark/>
          </w:tcPr>
          <w:p w14:paraId="402A1141" w14:textId="77777777" w:rsidR="002B2606" w:rsidRPr="00100F0A" w:rsidRDefault="002B2606" w:rsidP="002B2606">
            <w:pPr>
              <w:jc w:val="center"/>
              <w:rPr>
                <w:rFonts w:eastAsia="Times New Roman" w:cs="Times New Roman"/>
                <w:b/>
                <w:bCs/>
                <w:color w:val="000000"/>
                <w:lang w:eastAsia="en-AU"/>
              </w:rPr>
            </w:pPr>
            <w:r w:rsidRPr="00100F0A">
              <w:rPr>
                <w:rFonts w:eastAsia="Times New Roman" w:cs="Times New Roman"/>
                <w:b/>
                <w:bCs/>
                <w:color w:val="000000"/>
                <w:lang w:eastAsia="en-AU"/>
              </w:rPr>
              <w:t> </w:t>
            </w:r>
          </w:p>
        </w:tc>
        <w:tc>
          <w:tcPr>
            <w:tcW w:w="1616" w:type="dxa"/>
            <w:tcBorders>
              <w:top w:val="nil"/>
              <w:left w:val="nil"/>
              <w:bottom w:val="nil"/>
              <w:right w:val="nil"/>
            </w:tcBorders>
            <w:shd w:val="clear" w:color="000000" w:fill="C5D9F1"/>
            <w:hideMark/>
          </w:tcPr>
          <w:p w14:paraId="28E4C534" w14:textId="77777777" w:rsidR="002B2606" w:rsidRPr="00100F0A" w:rsidRDefault="002B2606" w:rsidP="002B2606">
            <w:pPr>
              <w:jc w:val="center"/>
              <w:rPr>
                <w:rFonts w:eastAsia="Times New Roman" w:cs="Times New Roman"/>
                <w:b/>
                <w:bCs/>
                <w:color w:val="000000"/>
                <w:lang w:eastAsia="en-AU"/>
              </w:rPr>
            </w:pPr>
            <w:r w:rsidRPr="00100F0A">
              <w:rPr>
                <w:rFonts w:eastAsia="Times New Roman" w:cs="Times New Roman"/>
                <w:b/>
                <w:bCs/>
                <w:color w:val="000000"/>
                <w:lang w:eastAsia="en-AU"/>
              </w:rPr>
              <w:t> </w:t>
            </w:r>
          </w:p>
        </w:tc>
        <w:tc>
          <w:tcPr>
            <w:tcW w:w="1617" w:type="dxa"/>
            <w:tcBorders>
              <w:top w:val="nil"/>
              <w:left w:val="nil"/>
              <w:bottom w:val="nil"/>
              <w:right w:val="nil"/>
            </w:tcBorders>
            <w:shd w:val="clear" w:color="000000" w:fill="C5D9F1"/>
            <w:hideMark/>
          </w:tcPr>
          <w:p w14:paraId="6B6E2684" w14:textId="77777777" w:rsidR="002B2606" w:rsidRPr="00100F0A" w:rsidRDefault="002B2606" w:rsidP="002B2606">
            <w:pPr>
              <w:jc w:val="center"/>
              <w:rPr>
                <w:rFonts w:eastAsia="Times New Roman" w:cs="Times New Roman"/>
                <w:b/>
                <w:bCs/>
                <w:color w:val="000000"/>
                <w:lang w:eastAsia="en-AU"/>
              </w:rPr>
            </w:pPr>
            <w:r w:rsidRPr="00100F0A">
              <w:rPr>
                <w:rFonts w:eastAsia="Times New Roman" w:cs="Times New Roman"/>
                <w:b/>
                <w:bCs/>
                <w:color w:val="000000"/>
                <w:lang w:eastAsia="en-AU"/>
              </w:rPr>
              <w:t> </w:t>
            </w:r>
          </w:p>
        </w:tc>
      </w:tr>
      <w:tr w:rsidR="002B2606" w:rsidRPr="00100F0A" w14:paraId="06260277" w14:textId="77777777" w:rsidTr="002B2606">
        <w:trPr>
          <w:trHeight w:val="540"/>
        </w:trPr>
        <w:tc>
          <w:tcPr>
            <w:tcW w:w="2142" w:type="dxa"/>
            <w:tcBorders>
              <w:top w:val="nil"/>
              <w:left w:val="nil"/>
              <w:bottom w:val="single" w:sz="4" w:space="0" w:color="808080"/>
              <w:right w:val="nil"/>
            </w:tcBorders>
            <w:shd w:val="clear" w:color="000000" w:fill="C5D9F1"/>
            <w:hideMark/>
          </w:tcPr>
          <w:p w14:paraId="78EEA709" w14:textId="77777777" w:rsidR="002B2606" w:rsidRPr="00100F0A" w:rsidRDefault="002B2606" w:rsidP="002B2606">
            <w:pPr>
              <w:rPr>
                <w:rFonts w:eastAsia="Times New Roman" w:cs="Times New Roman"/>
                <w:color w:val="000000"/>
                <w:sz w:val="20"/>
                <w:szCs w:val="20"/>
                <w:lang w:eastAsia="en-AU"/>
              </w:rPr>
            </w:pPr>
            <w:r w:rsidRPr="00100F0A">
              <w:rPr>
                <w:rFonts w:eastAsia="Times New Roman" w:cs="Times New Roman"/>
                <w:color w:val="000000"/>
                <w:sz w:val="20"/>
                <w:szCs w:val="20"/>
                <w:lang w:eastAsia="en-AU"/>
              </w:rPr>
              <w:t>Plating &amp; heat treatment</w:t>
            </w:r>
          </w:p>
        </w:tc>
        <w:tc>
          <w:tcPr>
            <w:tcW w:w="2152" w:type="dxa"/>
            <w:tcBorders>
              <w:top w:val="single" w:sz="4" w:space="0" w:color="BFBFBF"/>
              <w:left w:val="single" w:sz="4" w:space="0" w:color="BFBFBF"/>
              <w:bottom w:val="single" w:sz="4" w:space="0" w:color="BFBFBF"/>
              <w:right w:val="single" w:sz="4" w:space="0" w:color="BFBFBF"/>
            </w:tcBorders>
            <w:shd w:val="clear" w:color="000000" w:fill="DCE6F1"/>
            <w:hideMark/>
          </w:tcPr>
          <w:p w14:paraId="768AEB38" w14:textId="77777777" w:rsidR="002B2606" w:rsidRPr="00100F0A" w:rsidRDefault="002B2606" w:rsidP="002B2606">
            <w:pPr>
              <w:jc w:val="center"/>
              <w:rPr>
                <w:rFonts w:eastAsia="Times New Roman" w:cs="Times New Roman"/>
                <w:color w:val="00B050"/>
                <w:sz w:val="20"/>
                <w:szCs w:val="20"/>
                <w:lang w:eastAsia="en-AU"/>
              </w:rPr>
            </w:pPr>
            <w:bookmarkStart w:id="369" w:name="RANGE!I5:O37"/>
            <w:r w:rsidRPr="00100F0A">
              <w:rPr>
                <w:rFonts w:eastAsia="Times New Roman" w:cs="Times New Roman"/>
                <w:color w:val="00B050"/>
                <w:sz w:val="20"/>
                <w:szCs w:val="20"/>
                <w:lang w:eastAsia="en-AU"/>
              </w:rPr>
              <w:t> </w:t>
            </w:r>
            <w:bookmarkEnd w:id="369"/>
          </w:p>
        </w:tc>
        <w:tc>
          <w:tcPr>
            <w:tcW w:w="1626" w:type="dxa"/>
            <w:tcBorders>
              <w:top w:val="single" w:sz="4" w:space="0" w:color="BFBFBF"/>
              <w:left w:val="nil"/>
              <w:bottom w:val="single" w:sz="4" w:space="0" w:color="BFBFBF"/>
              <w:right w:val="single" w:sz="4" w:space="0" w:color="BFBFBF"/>
            </w:tcBorders>
            <w:shd w:val="clear" w:color="auto" w:fill="auto"/>
            <w:hideMark/>
          </w:tcPr>
          <w:p w14:paraId="4A6EB35C"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CPT plant</w:t>
            </w:r>
          </w:p>
        </w:tc>
        <w:tc>
          <w:tcPr>
            <w:tcW w:w="1953" w:type="dxa"/>
            <w:tcBorders>
              <w:top w:val="single" w:sz="4" w:space="0" w:color="BFBFBF"/>
              <w:left w:val="single" w:sz="4" w:space="0" w:color="BFBFBF"/>
              <w:bottom w:val="single" w:sz="4" w:space="0" w:color="BFBFBF"/>
              <w:right w:val="single" w:sz="4" w:space="0" w:color="BFBFBF"/>
            </w:tcBorders>
            <w:shd w:val="clear" w:color="000000" w:fill="DCE6F1"/>
            <w:hideMark/>
          </w:tcPr>
          <w:p w14:paraId="13E3BF8B"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7" w:type="dxa"/>
            <w:tcBorders>
              <w:top w:val="single" w:sz="4" w:space="0" w:color="BFBFBF"/>
              <w:left w:val="nil"/>
              <w:bottom w:val="single" w:sz="4" w:space="0" w:color="BFBFBF"/>
              <w:right w:val="single" w:sz="4" w:space="0" w:color="BFBFBF"/>
            </w:tcBorders>
            <w:shd w:val="clear" w:color="auto" w:fill="auto"/>
            <w:hideMark/>
          </w:tcPr>
          <w:p w14:paraId="2337F949"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xml:space="preserve">Hazardous waste landfill facility </w:t>
            </w:r>
          </w:p>
        </w:tc>
        <w:tc>
          <w:tcPr>
            <w:tcW w:w="1840" w:type="dxa"/>
            <w:tcBorders>
              <w:top w:val="single" w:sz="4" w:space="0" w:color="BFBFBF"/>
              <w:left w:val="single" w:sz="4" w:space="0" w:color="BFBFBF"/>
              <w:bottom w:val="single" w:sz="4" w:space="0" w:color="BFBFBF"/>
              <w:right w:val="single" w:sz="4" w:space="0" w:color="BFBFBF"/>
            </w:tcBorders>
            <w:shd w:val="clear" w:color="000000" w:fill="DCE6F1"/>
            <w:hideMark/>
          </w:tcPr>
          <w:p w14:paraId="35632B6E"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6" w:type="dxa"/>
            <w:tcBorders>
              <w:top w:val="single" w:sz="4" w:space="0" w:color="BFBFBF"/>
              <w:left w:val="nil"/>
              <w:bottom w:val="single" w:sz="4" w:space="0" w:color="BFBFBF"/>
              <w:right w:val="single" w:sz="4" w:space="0" w:color="BFBFBF"/>
            </w:tcBorders>
            <w:shd w:val="clear" w:color="auto" w:fill="auto"/>
            <w:hideMark/>
          </w:tcPr>
          <w:p w14:paraId="3885E07F"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Transfer facility</w:t>
            </w:r>
          </w:p>
        </w:tc>
        <w:tc>
          <w:tcPr>
            <w:tcW w:w="1617" w:type="dxa"/>
            <w:tcBorders>
              <w:top w:val="single" w:sz="4" w:space="0" w:color="BFBFBF"/>
              <w:left w:val="single" w:sz="4" w:space="0" w:color="BFBFBF"/>
              <w:bottom w:val="single" w:sz="4" w:space="0" w:color="BFBFBF"/>
              <w:right w:val="single" w:sz="4" w:space="0" w:color="BFBFBF"/>
            </w:tcBorders>
            <w:shd w:val="clear" w:color="000000" w:fill="DCE6F1"/>
            <w:hideMark/>
          </w:tcPr>
          <w:p w14:paraId="03023132"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r>
      <w:tr w:rsidR="002B2606" w:rsidRPr="00100F0A" w14:paraId="67E0BA80" w14:textId="77777777" w:rsidTr="002B2606">
        <w:trPr>
          <w:trHeight w:val="540"/>
        </w:trPr>
        <w:tc>
          <w:tcPr>
            <w:tcW w:w="2142" w:type="dxa"/>
            <w:tcBorders>
              <w:top w:val="nil"/>
              <w:left w:val="nil"/>
              <w:bottom w:val="single" w:sz="4" w:space="0" w:color="808080"/>
              <w:right w:val="nil"/>
            </w:tcBorders>
            <w:shd w:val="clear" w:color="000000" w:fill="C5D9F1"/>
            <w:hideMark/>
          </w:tcPr>
          <w:p w14:paraId="5F0BBF0E" w14:textId="77777777" w:rsidR="002B2606" w:rsidRPr="00100F0A" w:rsidRDefault="002B2606" w:rsidP="002B2606">
            <w:pPr>
              <w:rPr>
                <w:rFonts w:eastAsia="Times New Roman" w:cs="Times New Roman"/>
                <w:color w:val="000000"/>
                <w:sz w:val="20"/>
                <w:szCs w:val="20"/>
                <w:lang w:eastAsia="en-AU"/>
              </w:rPr>
            </w:pPr>
            <w:r w:rsidRPr="00100F0A">
              <w:rPr>
                <w:rFonts w:eastAsia="Times New Roman" w:cs="Times New Roman"/>
                <w:color w:val="000000"/>
                <w:sz w:val="20"/>
                <w:szCs w:val="20"/>
                <w:lang w:eastAsia="en-AU"/>
              </w:rPr>
              <w:t>Acids</w:t>
            </w:r>
          </w:p>
        </w:tc>
        <w:tc>
          <w:tcPr>
            <w:tcW w:w="2152" w:type="dxa"/>
            <w:tcBorders>
              <w:top w:val="single" w:sz="4" w:space="0" w:color="BFBFBF"/>
              <w:left w:val="single" w:sz="4" w:space="0" w:color="BFBFBF"/>
              <w:bottom w:val="single" w:sz="4" w:space="0" w:color="BFBFBF"/>
              <w:right w:val="single" w:sz="4" w:space="0" w:color="BFBFBF"/>
            </w:tcBorders>
            <w:shd w:val="clear" w:color="000000" w:fill="DCE6F1"/>
            <w:hideMark/>
          </w:tcPr>
          <w:p w14:paraId="60AD6B81"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6" w:type="dxa"/>
            <w:tcBorders>
              <w:top w:val="nil"/>
              <w:left w:val="nil"/>
              <w:bottom w:val="single" w:sz="4" w:space="0" w:color="BFBFBF"/>
              <w:right w:val="single" w:sz="4" w:space="0" w:color="BFBFBF"/>
            </w:tcBorders>
            <w:shd w:val="clear" w:color="auto" w:fill="auto"/>
            <w:hideMark/>
          </w:tcPr>
          <w:p w14:paraId="78021185"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CPT plant</w:t>
            </w:r>
          </w:p>
        </w:tc>
        <w:tc>
          <w:tcPr>
            <w:tcW w:w="1953" w:type="dxa"/>
            <w:tcBorders>
              <w:top w:val="single" w:sz="4" w:space="0" w:color="BFBFBF"/>
              <w:left w:val="single" w:sz="4" w:space="0" w:color="BFBFBF"/>
              <w:bottom w:val="single" w:sz="4" w:space="0" w:color="BFBFBF"/>
              <w:right w:val="single" w:sz="4" w:space="0" w:color="BFBFBF"/>
            </w:tcBorders>
            <w:shd w:val="clear" w:color="000000" w:fill="DCE6F1"/>
            <w:hideMark/>
          </w:tcPr>
          <w:p w14:paraId="02671D79"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7" w:type="dxa"/>
            <w:tcBorders>
              <w:top w:val="nil"/>
              <w:left w:val="nil"/>
              <w:bottom w:val="single" w:sz="4" w:space="0" w:color="BFBFBF"/>
              <w:right w:val="single" w:sz="4" w:space="0" w:color="BFBFBF"/>
            </w:tcBorders>
            <w:shd w:val="clear" w:color="auto" w:fill="auto"/>
            <w:hideMark/>
          </w:tcPr>
          <w:p w14:paraId="48E24BB3"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xml:space="preserve">Hazardous waste landfill facility </w:t>
            </w:r>
          </w:p>
        </w:tc>
        <w:tc>
          <w:tcPr>
            <w:tcW w:w="1840" w:type="dxa"/>
            <w:tcBorders>
              <w:top w:val="single" w:sz="4" w:space="0" w:color="BFBFBF"/>
              <w:left w:val="single" w:sz="4" w:space="0" w:color="BFBFBF"/>
              <w:bottom w:val="single" w:sz="4" w:space="0" w:color="BFBFBF"/>
              <w:right w:val="single" w:sz="4" w:space="0" w:color="BFBFBF"/>
            </w:tcBorders>
            <w:shd w:val="clear" w:color="000000" w:fill="DCE6F1"/>
            <w:hideMark/>
          </w:tcPr>
          <w:p w14:paraId="2C7EFA55"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6" w:type="dxa"/>
            <w:tcBorders>
              <w:top w:val="nil"/>
              <w:left w:val="nil"/>
              <w:bottom w:val="single" w:sz="4" w:space="0" w:color="BFBFBF"/>
              <w:right w:val="single" w:sz="4" w:space="0" w:color="BFBFBF"/>
            </w:tcBorders>
            <w:shd w:val="clear" w:color="auto" w:fill="auto"/>
            <w:hideMark/>
          </w:tcPr>
          <w:p w14:paraId="1E56535E"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Transfer facility</w:t>
            </w:r>
          </w:p>
        </w:tc>
        <w:tc>
          <w:tcPr>
            <w:tcW w:w="1617" w:type="dxa"/>
            <w:tcBorders>
              <w:top w:val="single" w:sz="4" w:space="0" w:color="BFBFBF"/>
              <w:left w:val="single" w:sz="4" w:space="0" w:color="BFBFBF"/>
              <w:bottom w:val="single" w:sz="4" w:space="0" w:color="BFBFBF"/>
              <w:right w:val="single" w:sz="4" w:space="0" w:color="BFBFBF"/>
            </w:tcBorders>
            <w:shd w:val="clear" w:color="000000" w:fill="DCE6F1"/>
            <w:hideMark/>
          </w:tcPr>
          <w:p w14:paraId="70C8F15F"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r>
      <w:tr w:rsidR="002B2606" w:rsidRPr="00100F0A" w14:paraId="5253E7CD" w14:textId="77777777" w:rsidTr="002B2606">
        <w:trPr>
          <w:trHeight w:val="525"/>
        </w:trPr>
        <w:tc>
          <w:tcPr>
            <w:tcW w:w="2142" w:type="dxa"/>
            <w:tcBorders>
              <w:top w:val="nil"/>
              <w:left w:val="nil"/>
              <w:bottom w:val="single" w:sz="4" w:space="0" w:color="808080"/>
              <w:right w:val="nil"/>
            </w:tcBorders>
            <w:shd w:val="clear" w:color="000000" w:fill="C5D9F1"/>
            <w:hideMark/>
          </w:tcPr>
          <w:p w14:paraId="7AF210C0" w14:textId="77777777" w:rsidR="002B2606" w:rsidRPr="00100F0A" w:rsidRDefault="002B2606" w:rsidP="002B2606">
            <w:pPr>
              <w:rPr>
                <w:rFonts w:eastAsia="Times New Roman" w:cs="Times New Roman"/>
                <w:color w:val="000000"/>
                <w:sz w:val="20"/>
                <w:szCs w:val="20"/>
                <w:lang w:eastAsia="en-AU"/>
              </w:rPr>
            </w:pPr>
            <w:r w:rsidRPr="00100F0A">
              <w:rPr>
                <w:rFonts w:eastAsia="Times New Roman" w:cs="Times New Roman"/>
                <w:color w:val="000000"/>
                <w:sz w:val="20"/>
                <w:szCs w:val="20"/>
                <w:lang w:eastAsia="en-AU"/>
              </w:rPr>
              <w:t>Alkalis</w:t>
            </w:r>
          </w:p>
        </w:tc>
        <w:tc>
          <w:tcPr>
            <w:tcW w:w="2152"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33798B04"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6" w:type="dxa"/>
            <w:tcBorders>
              <w:top w:val="nil"/>
              <w:left w:val="nil"/>
              <w:bottom w:val="single" w:sz="4" w:space="0" w:color="BFBFBF"/>
              <w:right w:val="single" w:sz="4" w:space="0" w:color="BFBFBF"/>
            </w:tcBorders>
            <w:shd w:val="clear" w:color="auto" w:fill="auto"/>
            <w:vAlign w:val="center"/>
            <w:hideMark/>
          </w:tcPr>
          <w:p w14:paraId="58D6D645"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CPT plant</w:t>
            </w:r>
          </w:p>
        </w:tc>
        <w:tc>
          <w:tcPr>
            <w:tcW w:w="1953" w:type="dxa"/>
            <w:tcBorders>
              <w:top w:val="nil"/>
              <w:left w:val="nil"/>
              <w:bottom w:val="single" w:sz="4" w:space="0" w:color="BFBFBF"/>
              <w:right w:val="single" w:sz="4" w:space="0" w:color="BFBFBF"/>
            </w:tcBorders>
            <w:shd w:val="clear" w:color="auto" w:fill="auto"/>
            <w:vAlign w:val="center"/>
            <w:hideMark/>
          </w:tcPr>
          <w:p w14:paraId="44E6E949"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Bioremediation facility</w:t>
            </w:r>
          </w:p>
        </w:tc>
        <w:tc>
          <w:tcPr>
            <w:tcW w:w="1627" w:type="dxa"/>
            <w:tcBorders>
              <w:top w:val="nil"/>
              <w:left w:val="nil"/>
              <w:bottom w:val="single" w:sz="4" w:space="0" w:color="BFBFBF"/>
              <w:right w:val="single" w:sz="4" w:space="0" w:color="BFBFBF"/>
            </w:tcBorders>
            <w:shd w:val="clear" w:color="auto" w:fill="auto"/>
            <w:vAlign w:val="center"/>
            <w:hideMark/>
          </w:tcPr>
          <w:p w14:paraId="699075A6"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xml:space="preserve">Hazardous waste landfill facility </w:t>
            </w:r>
          </w:p>
        </w:tc>
        <w:tc>
          <w:tcPr>
            <w:tcW w:w="1840"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65FE633A"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6" w:type="dxa"/>
            <w:tcBorders>
              <w:top w:val="nil"/>
              <w:left w:val="nil"/>
              <w:bottom w:val="single" w:sz="4" w:space="0" w:color="BFBFBF"/>
              <w:right w:val="single" w:sz="4" w:space="0" w:color="BFBFBF"/>
            </w:tcBorders>
            <w:shd w:val="clear" w:color="auto" w:fill="auto"/>
            <w:hideMark/>
          </w:tcPr>
          <w:p w14:paraId="6B31A6EC"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Transfer facility</w:t>
            </w:r>
          </w:p>
        </w:tc>
        <w:tc>
          <w:tcPr>
            <w:tcW w:w="161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6ADD996D"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r>
      <w:tr w:rsidR="002B2606" w:rsidRPr="00100F0A" w14:paraId="579C6DFE" w14:textId="77777777" w:rsidTr="002B2606">
        <w:trPr>
          <w:trHeight w:val="510"/>
        </w:trPr>
        <w:tc>
          <w:tcPr>
            <w:tcW w:w="2142" w:type="dxa"/>
            <w:tcBorders>
              <w:top w:val="nil"/>
              <w:left w:val="nil"/>
              <w:bottom w:val="single" w:sz="4" w:space="0" w:color="808080"/>
              <w:right w:val="nil"/>
            </w:tcBorders>
            <w:shd w:val="clear" w:color="000000" w:fill="C5D9F1"/>
            <w:hideMark/>
          </w:tcPr>
          <w:p w14:paraId="63069513" w14:textId="47DCC6A9" w:rsidR="002B2606" w:rsidRPr="00100F0A" w:rsidRDefault="002B2606" w:rsidP="002B2606">
            <w:pPr>
              <w:rPr>
                <w:rFonts w:eastAsia="Times New Roman" w:cs="Times New Roman"/>
                <w:color w:val="000000"/>
                <w:sz w:val="20"/>
                <w:szCs w:val="20"/>
                <w:lang w:eastAsia="en-AU"/>
              </w:rPr>
            </w:pPr>
            <w:r w:rsidRPr="00100F0A">
              <w:rPr>
                <w:rFonts w:eastAsia="Times New Roman" w:cs="Times New Roman"/>
                <w:color w:val="000000"/>
                <w:sz w:val="20"/>
                <w:szCs w:val="20"/>
                <w:lang w:eastAsia="en-AU"/>
              </w:rPr>
              <w:t>Inorganic fluorine (</w:t>
            </w:r>
            <w:r w:rsidR="008637BA">
              <w:rPr>
                <w:rFonts w:eastAsia="Times New Roman" w:cs="Times New Roman"/>
                <w:color w:val="000000"/>
                <w:sz w:val="20"/>
                <w:szCs w:val="20"/>
                <w:lang w:eastAsia="en-AU"/>
              </w:rPr>
              <w:t>SPL</w:t>
            </w:r>
            <w:r w:rsidRPr="00100F0A">
              <w:rPr>
                <w:rFonts w:eastAsia="Times New Roman" w:cs="Times New Roman"/>
                <w:color w:val="000000"/>
                <w:sz w:val="20"/>
                <w:szCs w:val="20"/>
                <w:lang w:eastAsia="en-AU"/>
              </w:rPr>
              <w:t>)</w:t>
            </w:r>
          </w:p>
        </w:tc>
        <w:tc>
          <w:tcPr>
            <w:tcW w:w="2152" w:type="dxa"/>
            <w:tcBorders>
              <w:top w:val="nil"/>
              <w:left w:val="single" w:sz="4" w:space="0" w:color="BFBFBF"/>
              <w:bottom w:val="single" w:sz="4" w:space="0" w:color="BFBFBF"/>
              <w:right w:val="single" w:sz="4" w:space="0" w:color="BFBFBF"/>
            </w:tcBorders>
            <w:shd w:val="clear" w:color="auto" w:fill="auto"/>
            <w:vAlign w:val="center"/>
            <w:hideMark/>
          </w:tcPr>
          <w:p w14:paraId="0E91DB8A" w14:textId="7BBE20C6" w:rsidR="002B2606" w:rsidRPr="00100F0A" w:rsidRDefault="008637BA" w:rsidP="002B2606">
            <w:pPr>
              <w:jc w:val="center"/>
              <w:rPr>
                <w:rFonts w:eastAsia="Times New Roman" w:cs="Times New Roman"/>
                <w:color w:val="00B050"/>
                <w:sz w:val="20"/>
                <w:szCs w:val="20"/>
                <w:lang w:eastAsia="en-AU"/>
              </w:rPr>
            </w:pPr>
            <w:r>
              <w:rPr>
                <w:rFonts w:eastAsia="Times New Roman" w:cs="Times New Roman"/>
                <w:color w:val="00B050"/>
                <w:sz w:val="20"/>
                <w:szCs w:val="20"/>
                <w:lang w:eastAsia="en-AU"/>
              </w:rPr>
              <w:t>SPL</w:t>
            </w:r>
            <w:r w:rsidR="002B2606" w:rsidRPr="00100F0A">
              <w:rPr>
                <w:rFonts w:eastAsia="Times New Roman" w:cs="Times New Roman"/>
                <w:color w:val="00B050"/>
                <w:sz w:val="20"/>
                <w:szCs w:val="20"/>
                <w:lang w:eastAsia="en-AU"/>
              </w:rPr>
              <w:t xml:space="preserve"> facility</w:t>
            </w:r>
          </w:p>
        </w:tc>
        <w:tc>
          <w:tcPr>
            <w:tcW w:w="1626"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0C9FE440"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953"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6D0417AE"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510D6366"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840"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09AB1D32"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6" w:type="dxa"/>
            <w:tcBorders>
              <w:top w:val="nil"/>
              <w:left w:val="nil"/>
              <w:bottom w:val="single" w:sz="4" w:space="0" w:color="BFBFBF"/>
              <w:right w:val="single" w:sz="4" w:space="0" w:color="BFBFBF"/>
            </w:tcBorders>
            <w:shd w:val="clear" w:color="auto" w:fill="auto"/>
            <w:vAlign w:val="center"/>
            <w:hideMark/>
          </w:tcPr>
          <w:p w14:paraId="048BB22D"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Transfer facility</w:t>
            </w:r>
          </w:p>
        </w:tc>
        <w:tc>
          <w:tcPr>
            <w:tcW w:w="161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7E3F25DC"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r>
      <w:tr w:rsidR="002B2606" w:rsidRPr="00100F0A" w14:paraId="093E39BC" w14:textId="77777777" w:rsidTr="002B2606">
        <w:trPr>
          <w:trHeight w:val="585"/>
        </w:trPr>
        <w:tc>
          <w:tcPr>
            <w:tcW w:w="2142" w:type="dxa"/>
            <w:tcBorders>
              <w:top w:val="nil"/>
              <w:left w:val="nil"/>
              <w:bottom w:val="single" w:sz="4" w:space="0" w:color="808080"/>
              <w:right w:val="nil"/>
            </w:tcBorders>
            <w:shd w:val="clear" w:color="000000" w:fill="C5D9F1"/>
            <w:hideMark/>
          </w:tcPr>
          <w:p w14:paraId="280099E5" w14:textId="77777777" w:rsidR="002B2606" w:rsidRPr="00100F0A" w:rsidRDefault="002B2606" w:rsidP="002B2606">
            <w:pPr>
              <w:rPr>
                <w:rFonts w:eastAsia="Times New Roman" w:cs="Times New Roman"/>
                <w:color w:val="000000"/>
                <w:sz w:val="20"/>
                <w:szCs w:val="20"/>
                <w:lang w:eastAsia="en-AU"/>
              </w:rPr>
            </w:pPr>
            <w:r w:rsidRPr="00100F0A">
              <w:rPr>
                <w:rFonts w:eastAsia="Times New Roman" w:cs="Times New Roman"/>
                <w:color w:val="000000"/>
                <w:sz w:val="20"/>
                <w:szCs w:val="20"/>
                <w:lang w:eastAsia="en-AU"/>
              </w:rPr>
              <w:t>Mercury and compounds</w:t>
            </w:r>
          </w:p>
        </w:tc>
        <w:tc>
          <w:tcPr>
            <w:tcW w:w="2152" w:type="dxa"/>
            <w:tcBorders>
              <w:top w:val="nil"/>
              <w:left w:val="single" w:sz="4" w:space="0" w:color="BFBFBF"/>
              <w:bottom w:val="single" w:sz="4" w:space="0" w:color="BFBFBF"/>
              <w:right w:val="single" w:sz="4" w:space="0" w:color="BFBFBF"/>
            </w:tcBorders>
            <w:shd w:val="clear" w:color="auto" w:fill="auto"/>
            <w:vAlign w:val="center"/>
            <w:hideMark/>
          </w:tcPr>
          <w:p w14:paraId="3A1CA668"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Mercury facility</w:t>
            </w:r>
          </w:p>
        </w:tc>
        <w:tc>
          <w:tcPr>
            <w:tcW w:w="1626" w:type="dxa"/>
            <w:tcBorders>
              <w:top w:val="nil"/>
              <w:left w:val="nil"/>
              <w:bottom w:val="single" w:sz="4" w:space="0" w:color="BFBFBF"/>
              <w:right w:val="single" w:sz="4" w:space="0" w:color="BFBFBF"/>
            </w:tcBorders>
            <w:shd w:val="clear" w:color="auto" w:fill="auto"/>
            <w:vAlign w:val="center"/>
            <w:hideMark/>
          </w:tcPr>
          <w:p w14:paraId="7828B0CE"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CPT plant</w:t>
            </w:r>
          </w:p>
        </w:tc>
        <w:tc>
          <w:tcPr>
            <w:tcW w:w="1953"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4C13C48C"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7" w:type="dxa"/>
            <w:tcBorders>
              <w:top w:val="nil"/>
              <w:left w:val="nil"/>
              <w:bottom w:val="single" w:sz="4" w:space="0" w:color="BFBFBF"/>
              <w:right w:val="single" w:sz="4" w:space="0" w:color="BFBFBF"/>
            </w:tcBorders>
            <w:shd w:val="clear" w:color="auto" w:fill="auto"/>
            <w:vAlign w:val="center"/>
            <w:hideMark/>
          </w:tcPr>
          <w:p w14:paraId="2D68167D"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xml:space="preserve">Hazardous waste landfill facility </w:t>
            </w:r>
          </w:p>
        </w:tc>
        <w:tc>
          <w:tcPr>
            <w:tcW w:w="1840"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0D3374E8"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6" w:type="dxa"/>
            <w:tcBorders>
              <w:top w:val="nil"/>
              <w:left w:val="nil"/>
              <w:bottom w:val="single" w:sz="4" w:space="0" w:color="BFBFBF"/>
              <w:right w:val="single" w:sz="4" w:space="0" w:color="BFBFBF"/>
            </w:tcBorders>
            <w:shd w:val="clear" w:color="auto" w:fill="auto"/>
            <w:hideMark/>
          </w:tcPr>
          <w:p w14:paraId="0A18A44D"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Transfer facility</w:t>
            </w:r>
          </w:p>
        </w:tc>
        <w:tc>
          <w:tcPr>
            <w:tcW w:w="161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6E63E467"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r>
      <w:tr w:rsidR="002B2606" w:rsidRPr="00100F0A" w14:paraId="04C7B317" w14:textId="77777777" w:rsidTr="002B2606">
        <w:trPr>
          <w:trHeight w:val="540"/>
        </w:trPr>
        <w:tc>
          <w:tcPr>
            <w:tcW w:w="2142" w:type="dxa"/>
            <w:tcBorders>
              <w:top w:val="nil"/>
              <w:left w:val="nil"/>
              <w:bottom w:val="single" w:sz="4" w:space="0" w:color="808080"/>
              <w:right w:val="nil"/>
            </w:tcBorders>
            <w:shd w:val="clear" w:color="000000" w:fill="C5D9F1"/>
            <w:hideMark/>
          </w:tcPr>
          <w:p w14:paraId="41F94E04" w14:textId="77777777" w:rsidR="002B2606" w:rsidRPr="00100F0A" w:rsidRDefault="002B2606" w:rsidP="002B2606">
            <w:pPr>
              <w:rPr>
                <w:rFonts w:eastAsia="Times New Roman" w:cs="Times New Roman"/>
                <w:color w:val="000000"/>
                <w:sz w:val="20"/>
                <w:szCs w:val="20"/>
                <w:lang w:eastAsia="en-AU"/>
              </w:rPr>
            </w:pPr>
            <w:r w:rsidRPr="00100F0A">
              <w:rPr>
                <w:rFonts w:eastAsia="Times New Roman" w:cs="Times New Roman"/>
                <w:color w:val="000000"/>
                <w:sz w:val="20"/>
                <w:szCs w:val="20"/>
                <w:lang w:eastAsia="en-AU"/>
              </w:rPr>
              <w:t>Lead and compounds</w:t>
            </w:r>
          </w:p>
        </w:tc>
        <w:tc>
          <w:tcPr>
            <w:tcW w:w="2152" w:type="dxa"/>
            <w:tcBorders>
              <w:top w:val="nil"/>
              <w:left w:val="single" w:sz="4" w:space="0" w:color="BFBFBF"/>
              <w:bottom w:val="single" w:sz="4" w:space="0" w:color="BFBFBF"/>
              <w:right w:val="single" w:sz="4" w:space="0" w:color="BFBFBF"/>
            </w:tcBorders>
            <w:shd w:val="clear" w:color="auto" w:fill="auto"/>
            <w:vAlign w:val="center"/>
            <w:hideMark/>
          </w:tcPr>
          <w:p w14:paraId="1432D4D6"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Lead facility</w:t>
            </w:r>
          </w:p>
        </w:tc>
        <w:tc>
          <w:tcPr>
            <w:tcW w:w="1626" w:type="dxa"/>
            <w:tcBorders>
              <w:top w:val="nil"/>
              <w:left w:val="nil"/>
              <w:bottom w:val="single" w:sz="4" w:space="0" w:color="BFBFBF"/>
              <w:right w:val="single" w:sz="4" w:space="0" w:color="BFBFBF"/>
            </w:tcBorders>
            <w:shd w:val="clear" w:color="auto" w:fill="auto"/>
            <w:vAlign w:val="center"/>
            <w:hideMark/>
          </w:tcPr>
          <w:p w14:paraId="7D1BC000"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CPT plant</w:t>
            </w:r>
          </w:p>
        </w:tc>
        <w:tc>
          <w:tcPr>
            <w:tcW w:w="1953"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2CA1AAED"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7" w:type="dxa"/>
            <w:tcBorders>
              <w:top w:val="nil"/>
              <w:left w:val="nil"/>
              <w:bottom w:val="single" w:sz="4" w:space="0" w:color="BFBFBF"/>
              <w:right w:val="single" w:sz="4" w:space="0" w:color="BFBFBF"/>
            </w:tcBorders>
            <w:shd w:val="clear" w:color="auto" w:fill="auto"/>
            <w:vAlign w:val="center"/>
            <w:hideMark/>
          </w:tcPr>
          <w:p w14:paraId="5127015D"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xml:space="preserve">Hazardous waste landfill facility </w:t>
            </w:r>
          </w:p>
        </w:tc>
        <w:tc>
          <w:tcPr>
            <w:tcW w:w="1840"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606C409F"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6" w:type="dxa"/>
            <w:tcBorders>
              <w:top w:val="nil"/>
              <w:left w:val="nil"/>
              <w:bottom w:val="single" w:sz="4" w:space="0" w:color="BFBFBF"/>
              <w:right w:val="single" w:sz="4" w:space="0" w:color="BFBFBF"/>
            </w:tcBorders>
            <w:shd w:val="clear" w:color="auto" w:fill="auto"/>
            <w:hideMark/>
          </w:tcPr>
          <w:p w14:paraId="33F80CEC"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Transfer facility</w:t>
            </w:r>
          </w:p>
        </w:tc>
        <w:tc>
          <w:tcPr>
            <w:tcW w:w="161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4E14888F"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r>
      <w:tr w:rsidR="002B2606" w:rsidRPr="00100F0A" w14:paraId="2C3A1BF5" w14:textId="77777777" w:rsidTr="002B2606">
        <w:trPr>
          <w:trHeight w:val="555"/>
        </w:trPr>
        <w:tc>
          <w:tcPr>
            <w:tcW w:w="2142" w:type="dxa"/>
            <w:tcBorders>
              <w:top w:val="nil"/>
              <w:left w:val="nil"/>
              <w:bottom w:val="single" w:sz="4" w:space="0" w:color="808080"/>
              <w:right w:val="nil"/>
            </w:tcBorders>
            <w:shd w:val="clear" w:color="000000" w:fill="C5D9F1"/>
            <w:hideMark/>
          </w:tcPr>
          <w:p w14:paraId="1135E7AB" w14:textId="77777777" w:rsidR="002B2606" w:rsidRPr="00100F0A" w:rsidRDefault="002B2606" w:rsidP="002B2606">
            <w:pPr>
              <w:rPr>
                <w:rFonts w:eastAsia="Times New Roman" w:cs="Times New Roman"/>
                <w:color w:val="000000"/>
                <w:sz w:val="20"/>
                <w:szCs w:val="20"/>
                <w:lang w:eastAsia="en-AU"/>
              </w:rPr>
            </w:pPr>
            <w:r w:rsidRPr="00100F0A">
              <w:rPr>
                <w:rFonts w:eastAsia="Times New Roman" w:cs="Times New Roman"/>
                <w:color w:val="000000"/>
                <w:sz w:val="20"/>
                <w:szCs w:val="20"/>
                <w:lang w:eastAsia="en-AU"/>
              </w:rPr>
              <w:t>Zinc compounds</w:t>
            </w:r>
          </w:p>
        </w:tc>
        <w:tc>
          <w:tcPr>
            <w:tcW w:w="2152" w:type="dxa"/>
            <w:tcBorders>
              <w:top w:val="nil"/>
              <w:left w:val="single" w:sz="4" w:space="0" w:color="BFBFBF"/>
              <w:bottom w:val="single" w:sz="4" w:space="0" w:color="BFBFBF"/>
              <w:right w:val="single" w:sz="4" w:space="0" w:color="BFBFBF"/>
            </w:tcBorders>
            <w:shd w:val="clear" w:color="auto" w:fill="auto"/>
            <w:vAlign w:val="center"/>
            <w:hideMark/>
          </w:tcPr>
          <w:p w14:paraId="5C05438A"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Zinc facility</w:t>
            </w:r>
          </w:p>
        </w:tc>
        <w:tc>
          <w:tcPr>
            <w:tcW w:w="1626" w:type="dxa"/>
            <w:tcBorders>
              <w:top w:val="nil"/>
              <w:left w:val="nil"/>
              <w:bottom w:val="single" w:sz="4" w:space="0" w:color="BFBFBF"/>
              <w:right w:val="single" w:sz="4" w:space="0" w:color="BFBFBF"/>
            </w:tcBorders>
            <w:shd w:val="clear" w:color="auto" w:fill="auto"/>
            <w:vAlign w:val="center"/>
            <w:hideMark/>
          </w:tcPr>
          <w:p w14:paraId="50FCFCB8"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CPT plant</w:t>
            </w:r>
          </w:p>
        </w:tc>
        <w:tc>
          <w:tcPr>
            <w:tcW w:w="1953"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1477F4CA"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7" w:type="dxa"/>
            <w:tcBorders>
              <w:top w:val="nil"/>
              <w:left w:val="nil"/>
              <w:bottom w:val="single" w:sz="4" w:space="0" w:color="BFBFBF"/>
              <w:right w:val="single" w:sz="4" w:space="0" w:color="BFBFBF"/>
            </w:tcBorders>
            <w:shd w:val="clear" w:color="auto" w:fill="auto"/>
            <w:vAlign w:val="center"/>
            <w:hideMark/>
          </w:tcPr>
          <w:p w14:paraId="58F6A9F8"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xml:space="preserve">Hazardous waste landfill facility </w:t>
            </w:r>
          </w:p>
        </w:tc>
        <w:tc>
          <w:tcPr>
            <w:tcW w:w="1840"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09E37EF7"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6" w:type="dxa"/>
            <w:tcBorders>
              <w:top w:val="nil"/>
              <w:left w:val="nil"/>
              <w:bottom w:val="single" w:sz="4" w:space="0" w:color="BFBFBF"/>
              <w:right w:val="single" w:sz="4" w:space="0" w:color="BFBFBF"/>
            </w:tcBorders>
            <w:shd w:val="clear" w:color="auto" w:fill="auto"/>
            <w:hideMark/>
          </w:tcPr>
          <w:p w14:paraId="778A8479"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Transfer facility</w:t>
            </w:r>
          </w:p>
        </w:tc>
        <w:tc>
          <w:tcPr>
            <w:tcW w:w="161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1808FF62"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r>
      <w:tr w:rsidR="002B2606" w:rsidRPr="00100F0A" w14:paraId="32A64AD6" w14:textId="77777777" w:rsidTr="002B2606">
        <w:trPr>
          <w:trHeight w:val="600"/>
        </w:trPr>
        <w:tc>
          <w:tcPr>
            <w:tcW w:w="2142" w:type="dxa"/>
            <w:tcBorders>
              <w:top w:val="nil"/>
              <w:left w:val="nil"/>
              <w:bottom w:val="single" w:sz="4" w:space="0" w:color="808080"/>
              <w:right w:val="nil"/>
            </w:tcBorders>
            <w:shd w:val="clear" w:color="000000" w:fill="C5D9F1"/>
            <w:hideMark/>
          </w:tcPr>
          <w:p w14:paraId="1B1CDEA7" w14:textId="77777777" w:rsidR="002B2606" w:rsidRPr="00100F0A" w:rsidRDefault="002B2606" w:rsidP="002B2606">
            <w:pPr>
              <w:rPr>
                <w:rFonts w:eastAsia="Times New Roman" w:cs="Times New Roman"/>
                <w:color w:val="000000"/>
                <w:sz w:val="20"/>
                <w:szCs w:val="20"/>
                <w:lang w:eastAsia="en-AU"/>
              </w:rPr>
            </w:pPr>
            <w:r w:rsidRPr="00100F0A">
              <w:rPr>
                <w:rFonts w:eastAsia="Times New Roman" w:cs="Times New Roman"/>
                <w:color w:val="000000"/>
                <w:sz w:val="20"/>
                <w:szCs w:val="20"/>
                <w:lang w:eastAsia="en-AU"/>
              </w:rPr>
              <w:t>Non-toxic salts</w:t>
            </w:r>
          </w:p>
        </w:tc>
        <w:tc>
          <w:tcPr>
            <w:tcW w:w="2152" w:type="dxa"/>
            <w:tcBorders>
              <w:top w:val="nil"/>
              <w:left w:val="single" w:sz="4" w:space="0" w:color="BFBFBF"/>
              <w:bottom w:val="single" w:sz="4" w:space="0" w:color="BFBFBF"/>
              <w:right w:val="single" w:sz="4" w:space="0" w:color="BFBFBF"/>
            </w:tcBorders>
            <w:shd w:val="clear" w:color="000000" w:fill="FFFFFF"/>
            <w:vAlign w:val="center"/>
            <w:hideMark/>
          </w:tcPr>
          <w:p w14:paraId="3D967533"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CPT plant</w:t>
            </w:r>
          </w:p>
        </w:tc>
        <w:tc>
          <w:tcPr>
            <w:tcW w:w="1626" w:type="dxa"/>
            <w:tcBorders>
              <w:top w:val="nil"/>
              <w:left w:val="nil"/>
              <w:bottom w:val="single" w:sz="4" w:space="0" w:color="BFBFBF"/>
              <w:right w:val="single" w:sz="4" w:space="0" w:color="BFBFBF"/>
            </w:tcBorders>
            <w:shd w:val="clear" w:color="auto" w:fill="auto"/>
            <w:vAlign w:val="center"/>
            <w:hideMark/>
          </w:tcPr>
          <w:p w14:paraId="501AF8C6"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CPT plant</w:t>
            </w:r>
          </w:p>
        </w:tc>
        <w:tc>
          <w:tcPr>
            <w:tcW w:w="1953" w:type="dxa"/>
            <w:tcBorders>
              <w:top w:val="nil"/>
              <w:left w:val="nil"/>
              <w:bottom w:val="single" w:sz="4" w:space="0" w:color="BFBFBF"/>
              <w:right w:val="single" w:sz="4" w:space="0" w:color="BFBFBF"/>
            </w:tcBorders>
            <w:shd w:val="clear" w:color="auto" w:fill="auto"/>
            <w:vAlign w:val="center"/>
            <w:hideMark/>
          </w:tcPr>
          <w:p w14:paraId="35C69634"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Bioremediation facility</w:t>
            </w:r>
          </w:p>
        </w:tc>
        <w:tc>
          <w:tcPr>
            <w:tcW w:w="1627" w:type="dxa"/>
            <w:tcBorders>
              <w:top w:val="nil"/>
              <w:left w:val="nil"/>
              <w:bottom w:val="single" w:sz="4" w:space="0" w:color="BFBFBF"/>
              <w:right w:val="single" w:sz="4" w:space="0" w:color="BFBFBF"/>
            </w:tcBorders>
            <w:shd w:val="clear" w:color="auto" w:fill="auto"/>
            <w:vAlign w:val="center"/>
            <w:hideMark/>
          </w:tcPr>
          <w:p w14:paraId="1E7D0D4D"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xml:space="preserve">Hazardous waste landfill facility </w:t>
            </w:r>
          </w:p>
        </w:tc>
        <w:tc>
          <w:tcPr>
            <w:tcW w:w="1840"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3E741698"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6" w:type="dxa"/>
            <w:tcBorders>
              <w:top w:val="nil"/>
              <w:left w:val="nil"/>
              <w:bottom w:val="single" w:sz="4" w:space="0" w:color="BFBFBF"/>
              <w:right w:val="single" w:sz="4" w:space="0" w:color="BFBFBF"/>
            </w:tcBorders>
            <w:shd w:val="clear" w:color="auto" w:fill="auto"/>
            <w:hideMark/>
          </w:tcPr>
          <w:p w14:paraId="069393F9"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Transfer facility</w:t>
            </w:r>
          </w:p>
        </w:tc>
        <w:tc>
          <w:tcPr>
            <w:tcW w:w="1617" w:type="dxa"/>
            <w:tcBorders>
              <w:top w:val="nil"/>
              <w:left w:val="nil"/>
              <w:bottom w:val="single" w:sz="4" w:space="0" w:color="BFBFBF"/>
              <w:right w:val="single" w:sz="4" w:space="0" w:color="BFBFBF"/>
            </w:tcBorders>
            <w:shd w:val="clear" w:color="auto" w:fill="auto"/>
            <w:vAlign w:val="center"/>
            <w:hideMark/>
          </w:tcPr>
          <w:p w14:paraId="66A06742"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Long-term on-site storage</w:t>
            </w:r>
          </w:p>
        </w:tc>
      </w:tr>
      <w:tr w:rsidR="002B2606" w:rsidRPr="00100F0A" w14:paraId="4C168741" w14:textId="77777777" w:rsidTr="002B2606">
        <w:trPr>
          <w:trHeight w:val="600"/>
        </w:trPr>
        <w:tc>
          <w:tcPr>
            <w:tcW w:w="2142" w:type="dxa"/>
            <w:tcBorders>
              <w:top w:val="nil"/>
              <w:left w:val="nil"/>
              <w:bottom w:val="single" w:sz="4" w:space="0" w:color="808080"/>
              <w:right w:val="nil"/>
            </w:tcBorders>
            <w:shd w:val="clear" w:color="000000" w:fill="C5D9F1"/>
            <w:hideMark/>
          </w:tcPr>
          <w:p w14:paraId="603BB055" w14:textId="77777777" w:rsidR="002B2606" w:rsidRPr="00100F0A" w:rsidRDefault="002B2606" w:rsidP="002B2606">
            <w:pPr>
              <w:rPr>
                <w:rFonts w:eastAsia="Times New Roman" w:cs="Times New Roman"/>
                <w:color w:val="000000"/>
                <w:sz w:val="20"/>
                <w:szCs w:val="20"/>
                <w:lang w:eastAsia="en-AU"/>
              </w:rPr>
            </w:pPr>
            <w:r w:rsidRPr="00100F0A">
              <w:rPr>
                <w:rFonts w:eastAsia="Times New Roman" w:cs="Times New Roman"/>
                <w:color w:val="000000"/>
                <w:sz w:val="20"/>
                <w:szCs w:val="20"/>
                <w:lang w:eastAsia="en-AU"/>
              </w:rPr>
              <w:t>Other inorganic chemicals</w:t>
            </w:r>
          </w:p>
        </w:tc>
        <w:tc>
          <w:tcPr>
            <w:tcW w:w="2152" w:type="dxa"/>
            <w:tcBorders>
              <w:top w:val="nil"/>
              <w:left w:val="single" w:sz="4" w:space="0" w:color="BFBFBF"/>
              <w:bottom w:val="single" w:sz="4" w:space="0" w:color="BFBFBF"/>
              <w:right w:val="single" w:sz="4" w:space="0" w:color="BFBFBF"/>
            </w:tcBorders>
            <w:shd w:val="clear" w:color="auto" w:fill="auto"/>
            <w:vAlign w:val="center"/>
            <w:hideMark/>
          </w:tcPr>
          <w:p w14:paraId="6CE88BBC"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E-waste facility</w:t>
            </w:r>
          </w:p>
        </w:tc>
        <w:tc>
          <w:tcPr>
            <w:tcW w:w="1626" w:type="dxa"/>
            <w:tcBorders>
              <w:top w:val="nil"/>
              <w:left w:val="nil"/>
              <w:bottom w:val="single" w:sz="4" w:space="0" w:color="BFBFBF"/>
              <w:right w:val="single" w:sz="4" w:space="0" w:color="BFBFBF"/>
            </w:tcBorders>
            <w:shd w:val="clear" w:color="auto" w:fill="auto"/>
            <w:vAlign w:val="center"/>
            <w:hideMark/>
          </w:tcPr>
          <w:p w14:paraId="3045A9DA"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CPT plant</w:t>
            </w:r>
          </w:p>
        </w:tc>
        <w:tc>
          <w:tcPr>
            <w:tcW w:w="1953" w:type="dxa"/>
            <w:tcBorders>
              <w:top w:val="nil"/>
              <w:left w:val="nil"/>
              <w:bottom w:val="single" w:sz="4" w:space="0" w:color="BFBFBF"/>
              <w:right w:val="single" w:sz="4" w:space="0" w:color="BFBFBF"/>
            </w:tcBorders>
            <w:shd w:val="clear" w:color="auto" w:fill="auto"/>
            <w:vAlign w:val="center"/>
            <w:hideMark/>
          </w:tcPr>
          <w:p w14:paraId="7B91E217"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Bioremediation facility</w:t>
            </w:r>
          </w:p>
        </w:tc>
        <w:tc>
          <w:tcPr>
            <w:tcW w:w="1627" w:type="dxa"/>
            <w:tcBorders>
              <w:top w:val="nil"/>
              <w:left w:val="nil"/>
              <w:bottom w:val="single" w:sz="4" w:space="0" w:color="BFBFBF"/>
              <w:right w:val="single" w:sz="4" w:space="0" w:color="BFBFBF"/>
            </w:tcBorders>
            <w:shd w:val="clear" w:color="auto" w:fill="auto"/>
            <w:vAlign w:val="center"/>
            <w:hideMark/>
          </w:tcPr>
          <w:p w14:paraId="269B7AA7"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xml:space="preserve">Hazardous waste landfill facility </w:t>
            </w:r>
          </w:p>
        </w:tc>
        <w:tc>
          <w:tcPr>
            <w:tcW w:w="1840"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35BD1A88"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6" w:type="dxa"/>
            <w:tcBorders>
              <w:top w:val="nil"/>
              <w:left w:val="nil"/>
              <w:bottom w:val="single" w:sz="4" w:space="0" w:color="BFBFBF"/>
              <w:right w:val="single" w:sz="4" w:space="0" w:color="BFBFBF"/>
            </w:tcBorders>
            <w:shd w:val="clear" w:color="auto" w:fill="auto"/>
            <w:hideMark/>
          </w:tcPr>
          <w:p w14:paraId="32AFA049"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Transfer facility</w:t>
            </w:r>
          </w:p>
        </w:tc>
        <w:tc>
          <w:tcPr>
            <w:tcW w:w="161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16A4D1EF"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r>
      <w:tr w:rsidR="002B2606" w:rsidRPr="00100F0A" w14:paraId="7C27231B" w14:textId="77777777" w:rsidTr="002B2606">
        <w:trPr>
          <w:trHeight w:val="540"/>
        </w:trPr>
        <w:tc>
          <w:tcPr>
            <w:tcW w:w="2142" w:type="dxa"/>
            <w:tcBorders>
              <w:top w:val="nil"/>
              <w:left w:val="nil"/>
              <w:bottom w:val="single" w:sz="4" w:space="0" w:color="808080"/>
              <w:right w:val="nil"/>
            </w:tcBorders>
            <w:shd w:val="clear" w:color="000000" w:fill="C5D9F1"/>
            <w:hideMark/>
          </w:tcPr>
          <w:p w14:paraId="65238D4B" w14:textId="77777777" w:rsidR="002B2606" w:rsidRPr="00100F0A" w:rsidRDefault="002B2606" w:rsidP="002B2606">
            <w:pPr>
              <w:rPr>
                <w:rFonts w:eastAsia="Times New Roman" w:cs="Times New Roman"/>
                <w:color w:val="000000"/>
                <w:sz w:val="20"/>
                <w:szCs w:val="20"/>
                <w:lang w:eastAsia="en-AU"/>
              </w:rPr>
            </w:pPr>
            <w:r w:rsidRPr="00100F0A">
              <w:rPr>
                <w:rFonts w:eastAsia="Times New Roman" w:cs="Times New Roman"/>
                <w:color w:val="000000"/>
                <w:sz w:val="20"/>
                <w:szCs w:val="20"/>
                <w:lang w:eastAsia="en-AU"/>
              </w:rPr>
              <w:t>Reactive chemicals</w:t>
            </w:r>
          </w:p>
        </w:tc>
        <w:tc>
          <w:tcPr>
            <w:tcW w:w="2152"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1FF06584"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6" w:type="dxa"/>
            <w:tcBorders>
              <w:top w:val="nil"/>
              <w:left w:val="nil"/>
              <w:bottom w:val="single" w:sz="4" w:space="0" w:color="BFBFBF"/>
              <w:right w:val="single" w:sz="4" w:space="0" w:color="BFBFBF"/>
            </w:tcBorders>
            <w:shd w:val="clear" w:color="auto" w:fill="auto"/>
            <w:vAlign w:val="center"/>
            <w:hideMark/>
          </w:tcPr>
          <w:p w14:paraId="647348AD"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CPT plant</w:t>
            </w:r>
          </w:p>
        </w:tc>
        <w:tc>
          <w:tcPr>
            <w:tcW w:w="1953"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35B7F8E1"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7" w:type="dxa"/>
            <w:tcBorders>
              <w:top w:val="nil"/>
              <w:left w:val="nil"/>
              <w:bottom w:val="single" w:sz="4" w:space="0" w:color="BFBFBF"/>
              <w:right w:val="single" w:sz="4" w:space="0" w:color="BFBFBF"/>
            </w:tcBorders>
            <w:shd w:val="clear" w:color="auto" w:fill="auto"/>
            <w:vAlign w:val="center"/>
            <w:hideMark/>
          </w:tcPr>
          <w:p w14:paraId="6DD39605"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xml:space="preserve">Hazardous waste landfill facility </w:t>
            </w:r>
          </w:p>
        </w:tc>
        <w:tc>
          <w:tcPr>
            <w:tcW w:w="1840"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692F2630"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6" w:type="dxa"/>
            <w:tcBorders>
              <w:top w:val="nil"/>
              <w:left w:val="nil"/>
              <w:bottom w:val="single" w:sz="4" w:space="0" w:color="BFBFBF"/>
              <w:right w:val="single" w:sz="4" w:space="0" w:color="BFBFBF"/>
            </w:tcBorders>
            <w:shd w:val="clear" w:color="auto" w:fill="auto"/>
            <w:hideMark/>
          </w:tcPr>
          <w:p w14:paraId="50D900B0"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Transfer facility</w:t>
            </w:r>
          </w:p>
        </w:tc>
        <w:tc>
          <w:tcPr>
            <w:tcW w:w="161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2FFC4671"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r>
      <w:tr w:rsidR="002B2606" w:rsidRPr="00100F0A" w14:paraId="1E29D6EA" w14:textId="77777777" w:rsidTr="002B2606">
        <w:trPr>
          <w:trHeight w:val="510"/>
        </w:trPr>
        <w:tc>
          <w:tcPr>
            <w:tcW w:w="2142" w:type="dxa"/>
            <w:tcBorders>
              <w:top w:val="nil"/>
              <w:left w:val="nil"/>
              <w:bottom w:val="single" w:sz="4" w:space="0" w:color="808080"/>
              <w:right w:val="nil"/>
            </w:tcBorders>
            <w:shd w:val="clear" w:color="000000" w:fill="C5D9F1"/>
            <w:hideMark/>
          </w:tcPr>
          <w:p w14:paraId="73A3C6E7" w14:textId="77777777" w:rsidR="002B2606" w:rsidRPr="00100F0A" w:rsidRDefault="002B2606" w:rsidP="002B2606">
            <w:pPr>
              <w:rPr>
                <w:rFonts w:eastAsia="Times New Roman" w:cs="Times New Roman"/>
                <w:color w:val="000000"/>
                <w:sz w:val="20"/>
                <w:szCs w:val="20"/>
                <w:lang w:eastAsia="en-AU"/>
              </w:rPr>
            </w:pPr>
            <w:r w:rsidRPr="00100F0A">
              <w:rPr>
                <w:rFonts w:eastAsia="Times New Roman" w:cs="Times New Roman"/>
                <w:color w:val="000000"/>
                <w:sz w:val="20"/>
                <w:szCs w:val="20"/>
                <w:lang w:eastAsia="en-AU"/>
              </w:rPr>
              <w:t>Paints, resins, inks, organic sludges</w:t>
            </w:r>
          </w:p>
        </w:tc>
        <w:tc>
          <w:tcPr>
            <w:tcW w:w="2152" w:type="dxa"/>
            <w:tcBorders>
              <w:top w:val="nil"/>
              <w:left w:val="single" w:sz="4" w:space="0" w:color="BFBFBF"/>
              <w:bottom w:val="single" w:sz="4" w:space="0" w:color="BFBFBF"/>
              <w:right w:val="single" w:sz="4" w:space="0" w:color="BFBFBF"/>
            </w:tcBorders>
            <w:shd w:val="clear" w:color="auto" w:fill="auto"/>
            <w:vAlign w:val="center"/>
            <w:hideMark/>
          </w:tcPr>
          <w:p w14:paraId="6D127843"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Solvents/paints/organic chemicals facility</w:t>
            </w:r>
          </w:p>
        </w:tc>
        <w:tc>
          <w:tcPr>
            <w:tcW w:w="1626" w:type="dxa"/>
            <w:tcBorders>
              <w:top w:val="nil"/>
              <w:left w:val="nil"/>
              <w:bottom w:val="single" w:sz="4" w:space="0" w:color="BFBFBF"/>
              <w:right w:val="single" w:sz="4" w:space="0" w:color="BFBFBF"/>
            </w:tcBorders>
            <w:shd w:val="clear" w:color="auto" w:fill="auto"/>
            <w:vAlign w:val="center"/>
            <w:hideMark/>
          </w:tcPr>
          <w:p w14:paraId="789C955A"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CPT plant</w:t>
            </w:r>
          </w:p>
        </w:tc>
        <w:tc>
          <w:tcPr>
            <w:tcW w:w="1953" w:type="dxa"/>
            <w:tcBorders>
              <w:top w:val="nil"/>
              <w:left w:val="nil"/>
              <w:bottom w:val="single" w:sz="4" w:space="0" w:color="BFBFBF"/>
              <w:right w:val="single" w:sz="4" w:space="0" w:color="BFBFBF"/>
            </w:tcBorders>
            <w:shd w:val="clear" w:color="auto" w:fill="auto"/>
            <w:vAlign w:val="center"/>
            <w:hideMark/>
          </w:tcPr>
          <w:p w14:paraId="2A1A9702"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Bioremediation facility</w:t>
            </w:r>
          </w:p>
        </w:tc>
        <w:tc>
          <w:tcPr>
            <w:tcW w:w="1627" w:type="dxa"/>
            <w:tcBorders>
              <w:top w:val="nil"/>
              <w:left w:val="nil"/>
              <w:bottom w:val="single" w:sz="4" w:space="0" w:color="BFBFBF"/>
              <w:right w:val="single" w:sz="4" w:space="0" w:color="BFBFBF"/>
            </w:tcBorders>
            <w:shd w:val="clear" w:color="auto" w:fill="auto"/>
            <w:vAlign w:val="center"/>
            <w:hideMark/>
          </w:tcPr>
          <w:p w14:paraId="591FDE33"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xml:space="preserve">Hazardous waste landfill facility </w:t>
            </w:r>
          </w:p>
        </w:tc>
        <w:tc>
          <w:tcPr>
            <w:tcW w:w="1840"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369C2664"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6" w:type="dxa"/>
            <w:tcBorders>
              <w:top w:val="nil"/>
              <w:left w:val="nil"/>
              <w:bottom w:val="single" w:sz="4" w:space="0" w:color="BFBFBF"/>
              <w:right w:val="single" w:sz="4" w:space="0" w:color="BFBFBF"/>
            </w:tcBorders>
            <w:shd w:val="clear" w:color="auto" w:fill="auto"/>
            <w:hideMark/>
          </w:tcPr>
          <w:p w14:paraId="1F799855"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Transfer facility</w:t>
            </w:r>
          </w:p>
        </w:tc>
        <w:tc>
          <w:tcPr>
            <w:tcW w:w="161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16D5ABBB"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r>
      <w:tr w:rsidR="002B2606" w:rsidRPr="00100F0A" w14:paraId="718DC4C7" w14:textId="77777777" w:rsidTr="002B2606">
        <w:trPr>
          <w:trHeight w:val="810"/>
        </w:trPr>
        <w:tc>
          <w:tcPr>
            <w:tcW w:w="2142" w:type="dxa"/>
            <w:tcBorders>
              <w:top w:val="nil"/>
              <w:left w:val="nil"/>
              <w:bottom w:val="single" w:sz="4" w:space="0" w:color="808080"/>
              <w:right w:val="nil"/>
            </w:tcBorders>
            <w:shd w:val="clear" w:color="000000" w:fill="C5D9F1"/>
            <w:hideMark/>
          </w:tcPr>
          <w:p w14:paraId="4F4BB680" w14:textId="77777777" w:rsidR="002B2606" w:rsidRPr="00100F0A" w:rsidRDefault="002B2606" w:rsidP="002B2606">
            <w:pPr>
              <w:rPr>
                <w:rFonts w:eastAsia="Times New Roman" w:cs="Times New Roman"/>
                <w:color w:val="000000"/>
                <w:sz w:val="20"/>
                <w:szCs w:val="20"/>
                <w:lang w:eastAsia="en-AU"/>
              </w:rPr>
            </w:pPr>
            <w:r w:rsidRPr="00100F0A">
              <w:rPr>
                <w:rFonts w:eastAsia="Times New Roman" w:cs="Times New Roman"/>
                <w:color w:val="000000"/>
                <w:sz w:val="20"/>
                <w:szCs w:val="20"/>
                <w:lang w:eastAsia="en-AU"/>
              </w:rPr>
              <w:t>Organic solvents</w:t>
            </w:r>
          </w:p>
        </w:tc>
        <w:tc>
          <w:tcPr>
            <w:tcW w:w="2152" w:type="dxa"/>
            <w:tcBorders>
              <w:top w:val="nil"/>
              <w:left w:val="single" w:sz="4" w:space="0" w:color="BFBFBF"/>
              <w:bottom w:val="single" w:sz="4" w:space="0" w:color="BFBFBF"/>
              <w:right w:val="single" w:sz="4" w:space="0" w:color="BFBFBF"/>
            </w:tcBorders>
            <w:shd w:val="clear" w:color="auto" w:fill="auto"/>
            <w:vAlign w:val="center"/>
            <w:hideMark/>
          </w:tcPr>
          <w:p w14:paraId="26A53999"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Solvents/paints/organic chemicals facility</w:t>
            </w:r>
          </w:p>
        </w:tc>
        <w:tc>
          <w:tcPr>
            <w:tcW w:w="1626" w:type="dxa"/>
            <w:tcBorders>
              <w:top w:val="nil"/>
              <w:left w:val="nil"/>
              <w:bottom w:val="single" w:sz="4" w:space="0" w:color="BFBFBF"/>
              <w:right w:val="single" w:sz="4" w:space="0" w:color="BFBFBF"/>
            </w:tcBorders>
            <w:shd w:val="clear" w:color="auto" w:fill="auto"/>
            <w:vAlign w:val="center"/>
            <w:hideMark/>
          </w:tcPr>
          <w:p w14:paraId="2B9F680B"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CPT plant</w:t>
            </w:r>
          </w:p>
        </w:tc>
        <w:tc>
          <w:tcPr>
            <w:tcW w:w="1953" w:type="dxa"/>
            <w:tcBorders>
              <w:top w:val="nil"/>
              <w:left w:val="nil"/>
              <w:bottom w:val="single" w:sz="4" w:space="0" w:color="BFBFBF"/>
              <w:right w:val="single" w:sz="4" w:space="0" w:color="BFBFBF"/>
            </w:tcBorders>
            <w:shd w:val="clear" w:color="auto" w:fill="auto"/>
            <w:vAlign w:val="center"/>
            <w:hideMark/>
          </w:tcPr>
          <w:p w14:paraId="1D673016"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Bioremediation facility</w:t>
            </w:r>
          </w:p>
        </w:tc>
        <w:tc>
          <w:tcPr>
            <w:tcW w:w="162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1AAC776A"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840" w:type="dxa"/>
            <w:tcBorders>
              <w:top w:val="nil"/>
              <w:left w:val="nil"/>
              <w:bottom w:val="single" w:sz="4" w:space="0" w:color="BFBFBF"/>
              <w:right w:val="single" w:sz="4" w:space="0" w:color="BFBFBF"/>
            </w:tcBorders>
            <w:shd w:val="clear" w:color="auto" w:fill="auto"/>
            <w:vAlign w:val="center"/>
            <w:hideMark/>
          </w:tcPr>
          <w:p w14:paraId="656DD28E" w14:textId="47FC54E6" w:rsidR="002B2606" w:rsidRPr="00100F0A" w:rsidRDefault="003C51AB" w:rsidP="002B2606">
            <w:pPr>
              <w:jc w:val="center"/>
              <w:rPr>
                <w:rFonts w:eastAsia="Times New Roman" w:cs="Times New Roman"/>
                <w:color w:val="00B050"/>
                <w:sz w:val="20"/>
                <w:szCs w:val="20"/>
                <w:lang w:eastAsia="en-AU"/>
              </w:rPr>
            </w:pPr>
            <w:r>
              <w:rPr>
                <w:rFonts w:eastAsia="Times New Roman" w:cs="Times New Roman"/>
                <w:color w:val="00B050"/>
                <w:sz w:val="20"/>
                <w:szCs w:val="20"/>
                <w:lang w:eastAsia="en-AU"/>
              </w:rPr>
              <w:t>POP</w:t>
            </w:r>
            <w:r w:rsidR="002B2606" w:rsidRPr="00100F0A">
              <w:rPr>
                <w:rFonts w:eastAsia="Times New Roman" w:cs="Times New Roman"/>
                <w:color w:val="00B050"/>
                <w:sz w:val="20"/>
                <w:szCs w:val="20"/>
                <w:lang w:eastAsia="en-AU"/>
              </w:rPr>
              <w:t xml:space="preserve"> thermal destruction facility </w:t>
            </w:r>
          </w:p>
        </w:tc>
        <w:tc>
          <w:tcPr>
            <w:tcW w:w="1616" w:type="dxa"/>
            <w:tcBorders>
              <w:top w:val="nil"/>
              <w:left w:val="nil"/>
              <w:bottom w:val="single" w:sz="4" w:space="0" w:color="BFBFBF"/>
              <w:right w:val="single" w:sz="4" w:space="0" w:color="BFBFBF"/>
            </w:tcBorders>
            <w:shd w:val="clear" w:color="auto" w:fill="auto"/>
            <w:hideMark/>
          </w:tcPr>
          <w:p w14:paraId="41338281"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Transfer facility</w:t>
            </w:r>
          </w:p>
        </w:tc>
        <w:tc>
          <w:tcPr>
            <w:tcW w:w="161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70225E6F"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r>
      <w:tr w:rsidR="002B2606" w:rsidRPr="00100F0A" w14:paraId="0D469751" w14:textId="77777777" w:rsidTr="002B2606">
        <w:trPr>
          <w:trHeight w:val="780"/>
        </w:trPr>
        <w:tc>
          <w:tcPr>
            <w:tcW w:w="2142" w:type="dxa"/>
            <w:tcBorders>
              <w:top w:val="nil"/>
              <w:left w:val="nil"/>
              <w:bottom w:val="single" w:sz="4" w:space="0" w:color="808080"/>
              <w:right w:val="nil"/>
            </w:tcBorders>
            <w:shd w:val="clear" w:color="000000" w:fill="C5D9F1"/>
            <w:hideMark/>
          </w:tcPr>
          <w:p w14:paraId="612DDB48" w14:textId="77777777" w:rsidR="002B2606" w:rsidRPr="00100F0A" w:rsidRDefault="002B2606" w:rsidP="002B2606">
            <w:pPr>
              <w:rPr>
                <w:rFonts w:eastAsia="Times New Roman" w:cs="Times New Roman"/>
                <w:color w:val="000000"/>
                <w:sz w:val="20"/>
                <w:szCs w:val="20"/>
                <w:lang w:eastAsia="en-AU"/>
              </w:rPr>
            </w:pPr>
            <w:r w:rsidRPr="00100F0A">
              <w:rPr>
                <w:rFonts w:eastAsia="Times New Roman" w:cs="Times New Roman"/>
                <w:color w:val="000000"/>
                <w:sz w:val="20"/>
                <w:szCs w:val="20"/>
                <w:lang w:eastAsia="en-AU"/>
              </w:rPr>
              <w:t>Pesticides</w:t>
            </w:r>
          </w:p>
        </w:tc>
        <w:tc>
          <w:tcPr>
            <w:tcW w:w="2152" w:type="dxa"/>
            <w:tcBorders>
              <w:top w:val="nil"/>
              <w:left w:val="single" w:sz="4" w:space="0" w:color="BFBFBF"/>
              <w:bottom w:val="single" w:sz="4" w:space="0" w:color="BFBFBF"/>
              <w:right w:val="single" w:sz="4" w:space="0" w:color="BFBFBF"/>
            </w:tcBorders>
            <w:shd w:val="clear" w:color="auto" w:fill="auto"/>
            <w:vAlign w:val="center"/>
            <w:hideMark/>
          </w:tcPr>
          <w:p w14:paraId="37423DDC"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xml:space="preserve">Energy recovery </w:t>
            </w:r>
          </w:p>
        </w:tc>
        <w:tc>
          <w:tcPr>
            <w:tcW w:w="1626" w:type="dxa"/>
            <w:tcBorders>
              <w:top w:val="nil"/>
              <w:left w:val="nil"/>
              <w:bottom w:val="single" w:sz="4" w:space="0" w:color="BFBFBF"/>
              <w:right w:val="single" w:sz="4" w:space="0" w:color="BFBFBF"/>
            </w:tcBorders>
            <w:shd w:val="clear" w:color="auto" w:fill="auto"/>
            <w:vAlign w:val="center"/>
            <w:hideMark/>
          </w:tcPr>
          <w:p w14:paraId="034BFF8F"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CPT plant</w:t>
            </w:r>
          </w:p>
        </w:tc>
        <w:tc>
          <w:tcPr>
            <w:tcW w:w="1953"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1597D43D"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7" w:type="dxa"/>
            <w:tcBorders>
              <w:top w:val="nil"/>
              <w:left w:val="nil"/>
              <w:bottom w:val="single" w:sz="4" w:space="0" w:color="BFBFBF"/>
              <w:right w:val="single" w:sz="4" w:space="0" w:color="BFBFBF"/>
            </w:tcBorders>
            <w:shd w:val="clear" w:color="auto" w:fill="auto"/>
            <w:vAlign w:val="center"/>
            <w:hideMark/>
          </w:tcPr>
          <w:p w14:paraId="7CB5DFFB"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xml:space="preserve">Hazardous waste landfill facility </w:t>
            </w:r>
          </w:p>
        </w:tc>
        <w:tc>
          <w:tcPr>
            <w:tcW w:w="1840"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685E9D63"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6" w:type="dxa"/>
            <w:tcBorders>
              <w:top w:val="nil"/>
              <w:left w:val="nil"/>
              <w:bottom w:val="single" w:sz="4" w:space="0" w:color="BFBFBF"/>
              <w:right w:val="single" w:sz="4" w:space="0" w:color="BFBFBF"/>
            </w:tcBorders>
            <w:shd w:val="clear" w:color="auto" w:fill="auto"/>
            <w:hideMark/>
          </w:tcPr>
          <w:p w14:paraId="10C8CCE3"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Transfer facility</w:t>
            </w:r>
          </w:p>
        </w:tc>
        <w:tc>
          <w:tcPr>
            <w:tcW w:w="161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0268E5DA"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r>
      <w:tr w:rsidR="002B2606" w:rsidRPr="00100F0A" w14:paraId="51C0095F" w14:textId="77777777" w:rsidTr="002B2606">
        <w:trPr>
          <w:trHeight w:val="810"/>
        </w:trPr>
        <w:tc>
          <w:tcPr>
            <w:tcW w:w="2142" w:type="dxa"/>
            <w:tcBorders>
              <w:top w:val="nil"/>
              <w:left w:val="nil"/>
              <w:bottom w:val="single" w:sz="4" w:space="0" w:color="808080"/>
              <w:right w:val="nil"/>
            </w:tcBorders>
            <w:shd w:val="clear" w:color="000000" w:fill="C5D9F1"/>
            <w:hideMark/>
          </w:tcPr>
          <w:p w14:paraId="57AF9EC3" w14:textId="77777777" w:rsidR="002B2606" w:rsidRPr="00100F0A" w:rsidRDefault="002B2606" w:rsidP="002B2606">
            <w:pPr>
              <w:rPr>
                <w:rFonts w:eastAsia="Times New Roman" w:cs="Times New Roman"/>
                <w:color w:val="000000"/>
                <w:sz w:val="20"/>
                <w:szCs w:val="20"/>
                <w:lang w:eastAsia="en-AU"/>
              </w:rPr>
            </w:pPr>
            <w:r w:rsidRPr="00100F0A">
              <w:rPr>
                <w:rFonts w:eastAsia="Times New Roman" w:cs="Times New Roman"/>
                <w:color w:val="000000"/>
                <w:sz w:val="20"/>
                <w:szCs w:val="20"/>
                <w:lang w:eastAsia="en-AU"/>
              </w:rPr>
              <w:t>Oils</w:t>
            </w:r>
          </w:p>
        </w:tc>
        <w:tc>
          <w:tcPr>
            <w:tcW w:w="2152" w:type="dxa"/>
            <w:tcBorders>
              <w:top w:val="nil"/>
              <w:left w:val="single" w:sz="4" w:space="0" w:color="BFBFBF"/>
              <w:bottom w:val="single" w:sz="4" w:space="0" w:color="BFBFBF"/>
              <w:right w:val="single" w:sz="4" w:space="0" w:color="BFBFBF"/>
            </w:tcBorders>
            <w:shd w:val="clear" w:color="auto" w:fill="auto"/>
            <w:vAlign w:val="center"/>
            <w:hideMark/>
          </w:tcPr>
          <w:p w14:paraId="076A7AEE"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Oil re-refining facility</w:t>
            </w:r>
          </w:p>
        </w:tc>
        <w:tc>
          <w:tcPr>
            <w:tcW w:w="1626" w:type="dxa"/>
            <w:tcBorders>
              <w:top w:val="nil"/>
              <w:left w:val="nil"/>
              <w:bottom w:val="single" w:sz="4" w:space="0" w:color="BFBFBF"/>
              <w:right w:val="single" w:sz="4" w:space="0" w:color="BFBFBF"/>
            </w:tcBorders>
            <w:shd w:val="clear" w:color="auto" w:fill="auto"/>
            <w:vAlign w:val="center"/>
            <w:hideMark/>
          </w:tcPr>
          <w:p w14:paraId="1AFAB901"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CPT plant</w:t>
            </w:r>
          </w:p>
        </w:tc>
        <w:tc>
          <w:tcPr>
            <w:tcW w:w="1953" w:type="dxa"/>
            <w:tcBorders>
              <w:top w:val="nil"/>
              <w:left w:val="nil"/>
              <w:bottom w:val="single" w:sz="4" w:space="0" w:color="BFBFBF"/>
              <w:right w:val="single" w:sz="4" w:space="0" w:color="BFBFBF"/>
            </w:tcBorders>
            <w:shd w:val="clear" w:color="auto" w:fill="auto"/>
            <w:vAlign w:val="center"/>
            <w:hideMark/>
          </w:tcPr>
          <w:p w14:paraId="1F982C37"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Bioremediation facility</w:t>
            </w:r>
          </w:p>
        </w:tc>
        <w:tc>
          <w:tcPr>
            <w:tcW w:w="1627" w:type="dxa"/>
            <w:tcBorders>
              <w:top w:val="nil"/>
              <w:left w:val="nil"/>
              <w:bottom w:val="single" w:sz="4" w:space="0" w:color="BFBFBF"/>
              <w:right w:val="single" w:sz="4" w:space="0" w:color="BFBFBF"/>
            </w:tcBorders>
            <w:shd w:val="clear" w:color="auto" w:fill="auto"/>
            <w:vAlign w:val="center"/>
            <w:hideMark/>
          </w:tcPr>
          <w:p w14:paraId="2BE4ED15"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xml:space="preserve">Hazardous waste landfill facility </w:t>
            </w:r>
          </w:p>
        </w:tc>
        <w:tc>
          <w:tcPr>
            <w:tcW w:w="1840"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086813D3"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6" w:type="dxa"/>
            <w:tcBorders>
              <w:top w:val="nil"/>
              <w:left w:val="nil"/>
              <w:bottom w:val="single" w:sz="4" w:space="0" w:color="BFBFBF"/>
              <w:right w:val="single" w:sz="4" w:space="0" w:color="BFBFBF"/>
            </w:tcBorders>
            <w:shd w:val="clear" w:color="auto" w:fill="auto"/>
            <w:hideMark/>
          </w:tcPr>
          <w:p w14:paraId="1BCD4D49"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Transfer facility</w:t>
            </w:r>
          </w:p>
        </w:tc>
        <w:tc>
          <w:tcPr>
            <w:tcW w:w="161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2E1AB5DF"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r>
      <w:tr w:rsidR="002B2606" w:rsidRPr="00100F0A" w14:paraId="3274ADC8" w14:textId="77777777" w:rsidTr="002B2606">
        <w:trPr>
          <w:trHeight w:val="810"/>
        </w:trPr>
        <w:tc>
          <w:tcPr>
            <w:tcW w:w="2142" w:type="dxa"/>
            <w:tcBorders>
              <w:top w:val="nil"/>
              <w:left w:val="nil"/>
              <w:bottom w:val="nil"/>
              <w:right w:val="nil"/>
            </w:tcBorders>
            <w:shd w:val="clear" w:color="000000" w:fill="C5D9F1"/>
            <w:hideMark/>
          </w:tcPr>
          <w:p w14:paraId="287E87E7" w14:textId="77777777" w:rsidR="002B2606" w:rsidRPr="00100F0A" w:rsidRDefault="002B2606" w:rsidP="002B2606">
            <w:pPr>
              <w:rPr>
                <w:rFonts w:eastAsia="Times New Roman" w:cs="Times New Roman"/>
                <w:color w:val="000000"/>
                <w:sz w:val="20"/>
                <w:szCs w:val="20"/>
                <w:lang w:eastAsia="en-AU"/>
              </w:rPr>
            </w:pPr>
            <w:r w:rsidRPr="00100F0A">
              <w:rPr>
                <w:rFonts w:eastAsia="Times New Roman" w:cs="Times New Roman"/>
                <w:color w:val="000000"/>
                <w:sz w:val="20"/>
                <w:szCs w:val="20"/>
                <w:lang w:eastAsia="en-AU"/>
              </w:rPr>
              <w:t>Waste oil/water mixtures</w:t>
            </w:r>
          </w:p>
        </w:tc>
        <w:tc>
          <w:tcPr>
            <w:tcW w:w="2152" w:type="dxa"/>
            <w:tcBorders>
              <w:top w:val="nil"/>
              <w:left w:val="single" w:sz="4" w:space="0" w:color="BFBFBF"/>
              <w:bottom w:val="single" w:sz="4" w:space="0" w:color="BFBFBF"/>
              <w:right w:val="single" w:sz="4" w:space="0" w:color="BFBFBF"/>
            </w:tcBorders>
            <w:shd w:val="clear" w:color="auto" w:fill="auto"/>
            <w:vAlign w:val="center"/>
            <w:hideMark/>
          </w:tcPr>
          <w:p w14:paraId="19306264"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Oil re-refining facility</w:t>
            </w:r>
          </w:p>
        </w:tc>
        <w:tc>
          <w:tcPr>
            <w:tcW w:w="1626" w:type="dxa"/>
            <w:tcBorders>
              <w:top w:val="nil"/>
              <w:left w:val="nil"/>
              <w:bottom w:val="single" w:sz="4" w:space="0" w:color="BFBFBF"/>
              <w:right w:val="single" w:sz="4" w:space="0" w:color="BFBFBF"/>
            </w:tcBorders>
            <w:shd w:val="clear" w:color="auto" w:fill="auto"/>
            <w:vAlign w:val="center"/>
            <w:hideMark/>
          </w:tcPr>
          <w:p w14:paraId="703B5604" w14:textId="7CADD2C6"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xml:space="preserve">OWT facility  </w:t>
            </w:r>
          </w:p>
        </w:tc>
        <w:tc>
          <w:tcPr>
            <w:tcW w:w="1953" w:type="dxa"/>
            <w:tcBorders>
              <w:top w:val="nil"/>
              <w:left w:val="nil"/>
              <w:bottom w:val="single" w:sz="4" w:space="0" w:color="BFBFBF"/>
              <w:right w:val="single" w:sz="4" w:space="0" w:color="BFBFBF"/>
            </w:tcBorders>
            <w:shd w:val="clear" w:color="auto" w:fill="auto"/>
            <w:vAlign w:val="center"/>
            <w:hideMark/>
          </w:tcPr>
          <w:p w14:paraId="2F5FC06E"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Bioremediation facility</w:t>
            </w:r>
          </w:p>
        </w:tc>
        <w:tc>
          <w:tcPr>
            <w:tcW w:w="162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076601DF"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840"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6F628D8B"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6" w:type="dxa"/>
            <w:tcBorders>
              <w:top w:val="nil"/>
              <w:left w:val="nil"/>
              <w:bottom w:val="single" w:sz="4" w:space="0" w:color="BFBFBF"/>
              <w:right w:val="single" w:sz="4" w:space="0" w:color="BFBFBF"/>
            </w:tcBorders>
            <w:shd w:val="clear" w:color="auto" w:fill="auto"/>
            <w:vAlign w:val="center"/>
            <w:hideMark/>
          </w:tcPr>
          <w:p w14:paraId="32DCFCEA"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Transfer facility</w:t>
            </w:r>
          </w:p>
        </w:tc>
        <w:tc>
          <w:tcPr>
            <w:tcW w:w="161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62DF7ABE"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r>
      <w:tr w:rsidR="002B2606" w:rsidRPr="00100F0A" w14:paraId="5E0F1049" w14:textId="77777777" w:rsidTr="002B2606">
        <w:trPr>
          <w:trHeight w:val="555"/>
        </w:trPr>
        <w:tc>
          <w:tcPr>
            <w:tcW w:w="2142" w:type="dxa"/>
            <w:tcBorders>
              <w:top w:val="single" w:sz="4" w:space="0" w:color="808080"/>
              <w:left w:val="nil"/>
              <w:bottom w:val="single" w:sz="4" w:space="0" w:color="808080"/>
              <w:right w:val="nil"/>
            </w:tcBorders>
            <w:shd w:val="clear" w:color="000000" w:fill="C5D9F1"/>
            <w:hideMark/>
          </w:tcPr>
          <w:p w14:paraId="25BF6062" w14:textId="337BEFFD" w:rsidR="002B2606" w:rsidRPr="00100F0A" w:rsidRDefault="002B2606" w:rsidP="002B2606">
            <w:pPr>
              <w:rPr>
                <w:rFonts w:eastAsia="Times New Roman" w:cs="Times New Roman"/>
                <w:color w:val="000000"/>
                <w:sz w:val="20"/>
                <w:szCs w:val="20"/>
                <w:lang w:eastAsia="en-AU"/>
              </w:rPr>
            </w:pPr>
            <w:r w:rsidRPr="00100F0A">
              <w:rPr>
                <w:rFonts w:eastAsia="Times New Roman" w:cs="Times New Roman"/>
                <w:color w:val="000000"/>
                <w:sz w:val="20"/>
                <w:szCs w:val="20"/>
                <w:lang w:eastAsia="en-AU"/>
              </w:rPr>
              <w:t>Grease trap waste</w:t>
            </w:r>
          </w:p>
        </w:tc>
        <w:tc>
          <w:tcPr>
            <w:tcW w:w="2152"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39E1640C"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6" w:type="dxa"/>
            <w:tcBorders>
              <w:top w:val="nil"/>
              <w:left w:val="nil"/>
              <w:bottom w:val="single" w:sz="4" w:space="0" w:color="BFBFBF"/>
              <w:right w:val="single" w:sz="4" w:space="0" w:color="BFBFBF"/>
            </w:tcBorders>
            <w:shd w:val="clear" w:color="auto" w:fill="auto"/>
            <w:vAlign w:val="center"/>
            <w:hideMark/>
          </w:tcPr>
          <w:p w14:paraId="16C7EF09"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CPT plant</w:t>
            </w:r>
          </w:p>
        </w:tc>
        <w:tc>
          <w:tcPr>
            <w:tcW w:w="1953" w:type="dxa"/>
            <w:tcBorders>
              <w:top w:val="nil"/>
              <w:left w:val="nil"/>
              <w:bottom w:val="single" w:sz="4" w:space="0" w:color="BFBFBF"/>
              <w:right w:val="single" w:sz="4" w:space="0" w:color="BFBFBF"/>
            </w:tcBorders>
            <w:shd w:val="clear" w:color="auto" w:fill="auto"/>
            <w:vAlign w:val="center"/>
            <w:hideMark/>
          </w:tcPr>
          <w:p w14:paraId="0F29FB79"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Organics processing facility</w:t>
            </w:r>
          </w:p>
        </w:tc>
        <w:tc>
          <w:tcPr>
            <w:tcW w:w="1627" w:type="dxa"/>
            <w:tcBorders>
              <w:top w:val="nil"/>
              <w:left w:val="nil"/>
              <w:bottom w:val="single" w:sz="4" w:space="0" w:color="BFBFBF"/>
              <w:right w:val="single" w:sz="4" w:space="0" w:color="BFBFBF"/>
            </w:tcBorders>
            <w:shd w:val="clear" w:color="auto" w:fill="auto"/>
            <w:vAlign w:val="center"/>
            <w:hideMark/>
          </w:tcPr>
          <w:p w14:paraId="58A10435"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xml:space="preserve">Hazardous waste landfill facility </w:t>
            </w:r>
          </w:p>
        </w:tc>
        <w:tc>
          <w:tcPr>
            <w:tcW w:w="1840"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342B4863"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6" w:type="dxa"/>
            <w:tcBorders>
              <w:top w:val="nil"/>
              <w:left w:val="nil"/>
              <w:bottom w:val="single" w:sz="4" w:space="0" w:color="BFBFBF"/>
              <w:right w:val="single" w:sz="4" w:space="0" w:color="BFBFBF"/>
            </w:tcBorders>
            <w:shd w:val="clear" w:color="auto" w:fill="auto"/>
            <w:hideMark/>
          </w:tcPr>
          <w:p w14:paraId="7B84BD5A"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Transfer facility</w:t>
            </w:r>
          </w:p>
        </w:tc>
        <w:tc>
          <w:tcPr>
            <w:tcW w:w="161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2E611929"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r>
      <w:tr w:rsidR="002B2606" w:rsidRPr="00100F0A" w14:paraId="6AD64815" w14:textId="77777777" w:rsidTr="002B2606">
        <w:trPr>
          <w:trHeight w:val="600"/>
        </w:trPr>
        <w:tc>
          <w:tcPr>
            <w:tcW w:w="2142" w:type="dxa"/>
            <w:tcBorders>
              <w:top w:val="nil"/>
              <w:left w:val="nil"/>
              <w:bottom w:val="single" w:sz="4" w:space="0" w:color="808080"/>
              <w:right w:val="nil"/>
            </w:tcBorders>
            <w:shd w:val="clear" w:color="000000" w:fill="C5D9F1"/>
            <w:hideMark/>
          </w:tcPr>
          <w:p w14:paraId="65D9D083" w14:textId="05BE5388" w:rsidR="002B2606" w:rsidRPr="00100F0A" w:rsidRDefault="002B2606" w:rsidP="002B2606">
            <w:pPr>
              <w:rPr>
                <w:rFonts w:eastAsia="Times New Roman" w:cs="Times New Roman"/>
                <w:color w:val="000000"/>
                <w:sz w:val="20"/>
                <w:szCs w:val="20"/>
                <w:lang w:eastAsia="en-AU"/>
              </w:rPr>
            </w:pPr>
            <w:r w:rsidRPr="00100F0A">
              <w:rPr>
                <w:rFonts w:eastAsia="Times New Roman" w:cs="Times New Roman"/>
                <w:color w:val="000000"/>
                <w:sz w:val="20"/>
                <w:szCs w:val="20"/>
                <w:lang w:eastAsia="en-AU"/>
              </w:rPr>
              <w:t>Other putrescible/</w:t>
            </w:r>
            <w:r w:rsidR="00786EFF">
              <w:rPr>
                <w:rFonts w:eastAsia="Times New Roman" w:cs="Times New Roman"/>
                <w:color w:val="000000"/>
                <w:sz w:val="20"/>
                <w:szCs w:val="20"/>
                <w:lang w:eastAsia="en-AU"/>
              </w:rPr>
              <w:t xml:space="preserve"> </w:t>
            </w:r>
            <w:r w:rsidRPr="00100F0A">
              <w:rPr>
                <w:rFonts w:eastAsia="Times New Roman" w:cs="Times New Roman"/>
                <w:color w:val="000000"/>
                <w:sz w:val="20"/>
                <w:szCs w:val="20"/>
                <w:lang w:eastAsia="en-AU"/>
              </w:rPr>
              <w:t>organic waste</w:t>
            </w:r>
          </w:p>
        </w:tc>
        <w:tc>
          <w:tcPr>
            <w:tcW w:w="2152"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702114F2"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6"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402D7336"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953" w:type="dxa"/>
            <w:tcBorders>
              <w:top w:val="nil"/>
              <w:left w:val="nil"/>
              <w:bottom w:val="single" w:sz="4" w:space="0" w:color="BFBFBF"/>
              <w:right w:val="single" w:sz="4" w:space="0" w:color="BFBFBF"/>
            </w:tcBorders>
            <w:shd w:val="clear" w:color="auto" w:fill="auto"/>
            <w:vAlign w:val="center"/>
            <w:hideMark/>
          </w:tcPr>
          <w:p w14:paraId="2AA9BCA7"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Organics processing facility</w:t>
            </w:r>
          </w:p>
        </w:tc>
        <w:tc>
          <w:tcPr>
            <w:tcW w:w="1627" w:type="dxa"/>
            <w:tcBorders>
              <w:top w:val="nil"/>
              <w:left w:val="nil"/>
              <w:bottom w:val="single" w:sz="4" w:space="0" w:color="BFBFBF"/>
              <w:right w:val="single" w:sz="4" w:space="0" w:color="BFBFBF"/>
            </w:tcBorders>
            <w:shd w:val="clear" w:color="auto" w:fill="auto"/>
            <w:vAlign w:val="center"/>
            <w:hideMark/>
          </w:tcPr>
          <w:p w14:paraId="4CB72AEF"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xml:space="preserve">Hazardous waste landfill facility </w:t>
            </w:r>
          </w:p>
        </w:tc>
        <w:tc>
          <w:tcPr>
            <w:tcW w:w="1840"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29F6EB9E"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6" w:type="dxa"/>
            <w:tcBorders>
              <w:top w:val="nil"/>
              <w:left w:val="nil"/>
              <w:bottom w:val="single" w:sz="4" w:space="0" w:color="BFBFBF"/>
              <w:right w:val="single" w:sz="4" w:space="0" w:color="BFBFBF"/>
            </w:tcBorders>
            <w:shd w:val="clear" w:color="auto" w:fill="auto"/>
            <w:hideMark/>
          </w:tcPr>
          <w:p w14:paraId="00B9C93F"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Transfer facility</w:t>
            </w:r>
          </w:p>
        </w:tc>
        <w:tc>
          <w:tcPr>
            <w:tcW w:w="161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726A15E1"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r>
      <w:tr w:rsidR="002B2606" w:rsidRPr="00100F0A" w14:paraId="2833E21D" w14:textId="77777777" w:rsidTr="002B2606">
        <w:trPr>
          <w:trHeight w:val="765"/>
        </w:trPr>
        <w:tc>
          <w:tcPr>
            <w:tcW w:w="2142" w:type="dxa"/>
            <w:tcBorders>
              <w:top w:val="nil"/>
              <w:left w:val="nil"/>
              <w:bottom w:val="single" w:sz="4" w:space="0" w:color="808080"/>
              <w:right w:val="nil"/>
            </w:tcBorders>
            <w:shd w:val="clear" w:color="000000" w:fill="C5D9F1"/>
            <w:hideMark/>
          </w:tcPr>
          <w:p w14:paraId="1E70E9DC" w14:textId="71974266" w:rsidR="002B2606" w:rsidRPr="00100F0A" w:rsidRDefault="002B2606" w:rsidP="002B2606">
            <w:pPr>
              <w:rPr>
                <w:rFonts w:eastAsia="Times New Roman" w:cs="Times New Roman"/>
                <w:color w:val="000000"/>
                <w:sz w:val="20"/>
                <w:szCs w:val="20"/>
                <w:lang w:eastAsia="en-AU"/>
              </w:rPr>
            </w:pPr>
            <w:r w:rsidRPr="00100F0A">
              <w:rPr>
                <w:rFonts w:eastAsia="Times New Roman" w:cs="Times New Roman"/>
                <w:color w:val="000000"/>
                <w:sz w:val="20"/>
                <w:szCs w:val="20"/>
                <w:lang w:eastAsia="en-AU"/>
              </w:rPr>
              <w:t>PCB waste</w:t>
            </w:r>
          </w:p>
        </w:tc>
        <w:tc>
          <w:tcPr>
            <w:tcW w:w="2152"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6CC855B7"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6"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5C8D418B"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953"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32185946"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6B259BDB"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840" w:type="dxa"/>
            <w:tcBorders>
              <w:top w:val="nil"/>
              <w:left w:val="nil"/>
              <w:bottom w:val="single" w:sz="4" w:space="0" w:color="BFBFBF"/>
              <w:right w:val="single" w:sz="4" w:space="0" w:color="BFBFBF"/>
            </w:tcBorders>
            <w:shd w:val="clear" w:color="auto" w:fill="auto"/>
            <w:vAlign w:val="center"/>
            <w:hideMark/>
          </w:tcPr>
          <w:p w14:paraId="1CD92110" w14:textId="52DB3385" w:rsidR="002B2606" w:rsidRPr="00100F0A" w:rsidRDefault="003C51AB" w:rsidP="002B2606">
            <w:pPr>
              <w:jc w:val="center"/>
              <w:rPr>
                <w:rFonts w:eastAsia="Times New Roman" w:cs="Times New Roman"/>
                <w:color w:val="00B050"/>
                <w:sz w:val="20"/>
                <w:szCs w:val="20"/>
                <w:lang w:eastAsia="en-AU"/>
              </w:rPr>
            </w:pPr>
            <w:r>
              <w:rPr>
                <w:rFonts w:eastAsia="Times New Roman" w:cs="Times New Roman"/>
                <w:color w:val="00B050"/>
                <w:sz w:val="20"/>
                <w:szCs w:val="20"/>
                <w:lang w:eastAsia="en-AU"/>
              </w:rPr>
              <w:t>POP</w:t>
            </w:r>
            <w:r w:rsidR="002B2606" w:rsidRPr="00100F0A">
              <w:rPr>
                <w:rFonts w:eastAsia="Times New Roman" w:cs="Times New Roman"/>
                <w:color w:val="00B050"/>
                <w:sz w:val="20"/>
                <w:szCs w:val="20"/>
                <w:lang w:eastAsia="en-AU"/>
              </w:rPr>
              <w:t xml:space="preserve"> thermal destruction facility </w:t>
            </w:r>
          </w:p>
        </w:tc>
        <w:tc>
          <w:tcPr>
            <w:tcW w:w="1616" w:type="dxa"/>
            <w:tcBorders>
              <w:top w:val="nil"/>
              <w:left w:val="nil"/>
              <w:bottom w:val="single" w:sz="4" w:space="0" w:color="BFBFBF"/>
              <w:right w:val="single" w:sz="4" w:space="0" w:color="BFBFBF"/>
            </w:tcBorders>
            <w:shd w:val="clear" w:color="auto" w:fill="auto"/>
            <w:vAlign w:val="center"/>
            <w:hideMark/>
          </w:tcPr>
          <w:p w14:paraId="50D62A12"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Transfer facility</w:t>
            </w:r>
          </w:p>
        </w:tc>
        <w:tc>
          <w:tcPr>
            <w:tcW w:w="161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4318C46A"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r>
      <w:tr w:rsidR="002B2606" w:rsidRPr="00100F0A" w14:paraId="698E8A2A" w14:textId="77777777" w:rsidTr="002B2606">
        <w:trPr>
          <w:trHeight w:val="765"/>
        </w:trPr>
        <w:tc>
          <w:tcPr>
            <w:tcW w:w="2142" w:type="dxa"/>
            <w:tcBorders>
              <w:top w:val="nil"/>
              <w:left w:val="nil"/>
              <w:bottom w:val="single" w:sz="4" w:space="0" w:color="808080"/>
              <w:right w:val="nil"/>
            </w:tcBorders>
            <w:shd w:val="clear" w:color="000000" w:fill="C5D9F1"/>
            <w:hideMark/>
          </w:tcPr>
          <w:p w14:paraId="76326086" w14:textId="77777777" w:rsidR="002B2606" w:rsidRPr="00100F0A" w:rsidRDefault="002B2606" w:rsidP="002B2606">
            <w:pPr>
              <w:rPr>
                <w:rFonts w:eastAsia="Times New Roman" w:cs="Times New Roman"/>
                <w:color w:val="000000"/>
                <w:sz w:val="20"/>
                <w:szCs w:val="20"/>
                <w:lang w:eastAsia="en-AU"/>
              </w:rPr>
            </w:pPr>
            <w:r w:rsidRPr="00100F0A">
              <w:rPr>
                <w:rFonts w:eastAsia="Times New Roman" w:cs="Times New Roman"/>
                <w:color w:val="000000"/>
                <w:sz w:val="20"/>
                <w:szCs w:val="20"/>
                <w:lang w:eastAsia="en-AU"/>
              </w:rPr>
              <w:t>POP-BDEs and HBCD</w:t>
            </w:r>
          </w:p>
        </w:tc>
        <w:tc>
          <w:tcPr>
            <w:tcW w:w="2152"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05ADEED1"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6"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7CAF7E65"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953"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7390EAEA"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19910786"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840" w:type="dxa"/>
            <w:tcBorders>
              <w:top w:val="nil"/>
              <w:left w:val="nil"/>
              <w:bottom w:val="single" w:sz="4" w:space="0" w:color="BFBFBF"/>
              <w:right w:val="single" w:sz="4" w:space="0" w:color="BFBFBF"/>
            </w:tcBorders>
            <w:shd w:val="clear" w:color="auto" w:fill="auto"/>
            <w:vAlign w:val="center"/>
            <w:hideMark/>
          </w:tcPr>
          <w:p w14:paraId="6BDA6489" w14:textId="3E5467E2" w:rsidR="002B2606" w:rsidRPr="00100F0A" w:rsidRDefault="003C51AB" w:rsidP="002B2606">
            <w:pPr>
              <w:jc w:val="center"/>
              <w:rPr>
                <w:rFonts w:eastAsia="Times New Roman" w:cs="Times New Roman"/>
                <w:color w:val="00B050"/>
                <w:sz w:val="20"/>
                <w:szCs w:val="20"/>
                <w:lang w:eastAsia="en-AU"/>
              </w:rPr>
            </w:pPr>
            <w:r>
              <w:rPr>
                <w:rFonts w:eastAsia="Times New Roman" w:cs="Times New Roman"/>
                <w:color w:val="00B050"/>
                <w:sz w:val="20"/>
                <w:szCs w:val="20"/>
                <w:lang w:eastAsia="en-AU"/>
              </w:rPr>
              <w:t>POP</w:t>
            </w:r>
            <w:r w:rsidR="002B2606" w:rsidRPr="00100F0A">
              <w:rPr>
                <w:rFonts w:eastAsia="Times New Roman" w:cs="Times New Roman"/>
                <w:color w:val="00B050"/>
                <w:sz w:val="20"/>
                <w:szCs w:val="20"/>
                <w:lang w:eastAsia="en-AU"/>
              </w:rPr>
              <w:t xml:space="preserve"> thermal destruction facility </w:t>
            </w:r>
          </w:p>
        </w:tc>
        <w:tc>
          <w:tcPr>
            <w:tcW w:w="1616"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344FD933"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7" w:type="dxa"/>
            <w:tcBorders>
              <w:top w:val="nil"/>
              <w:left w:val="nil"/>
              <w:bottom w:val="single" w:sz="4" w:space="0" w:color="BFBFBF"/>
              <w:right w:val="single" w:sz="4" w:space="0" w:color="BFBFBF"/>
            </w:tcBorders>
            <w:shd w:val="clear" w:color="auto" w:fill="auto"/>
            <w:vAlign w:val="center"/>
            <w:hideMark/>
          </w:tcPr>
          <w:p w14:paraId="764C5610"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Long-term isolation facility</w:t>
            </w:r>
          </w:p>
        </w:tc>
      </w:tr>
      <w:tr w:rsidR="002B2606" w:rsidRPr="00100F0A" w14:paraId="2E024C26" w14:textId="77777777" w:rsidTr="002B2606">
        <w:trPr>
          <w:trHeight w:val="780"/>
        </w:trPr>
        <w:tc>
          <w:tcPr>
            <w:tcW w:w="2142" w:type="dxa"/>
            <w:tcBorders>
              <w:top w:val="nil"/>
              <w:left w:val="nil"/>
              <w:bottom w:val="single" w:sz="4" w:space="0" w:color="808080"/>
              <w:right w:val="nil"/>
            </w:tcBorders>
            <w:shd w:val="clear" w:color="000000" w:fill="C5D9F1"/>
            <w:hideMark/>
          </w:tcPr>
          <w:p w14:paraId="5C07537A" w14:textId="77777777" w:rsidR="002B2606" w:rsidRPr="00100F0A" w:rsidRDefault="002B2606" w:rsidP="002B2606">
            <w:pPr>
              <w:rPr>
                <w:rFonts w:eastAsia="Times New Roman" w:cs="Times New Roman"/>
                <w:color w:val="000000"/>
                <w:sz w:val="20"/>
                <w:szCs w:val="20"/>
                <w:lang w:eastAsia="en-AU"/>
              </w:rPr>
            </w:pPr>
            <w:r w:rsidRPr="00100F0A">
              <w:rPr>
                <w:rFonts w:eastAsia="Times New Roman" w:cs="Times New Roman"/>
                <w:color w:val="000000"/>
                <w:sz w:val="20"/>
                <w:szCs w:val="20"/>
                <w:lang w:eastAsia="en-AU"/>
              </w:rPr>
              <w:t>HCB</w:t>
            </w:r>
          </w:p>
        </w:tc>
        <w:tc>
          <w:tcPr>
            <w:tcW w:w="2152"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201A4D82"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6"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2C1C3411"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953"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510640B9"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77EDDD29"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840"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7B4A5392"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6"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6D74F49C"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3AD8E627"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r>
      <w:tr w:rsidR="002B2606" w:rsidRPr="00100F0A" w14:paraId="6E532F21" w14:textId="77777777" w:rsidTr="002B2606">
        <w:trPr>
          <w:trHeight w:val="825"/>
        </w:trPr>
        <w:tc>
          <w:tcPr>
            <w:tcW w:w="2142" w:type="dxa"/>
            <w:tcBorders>
              <w:top w:val="nil"/>
              <w:left w:val="nil"/>
              <w:bottom w:val="single" w:sz="4" w:space="0" w:color="808080"/>
              <w:right w:val="nil"/>
            </w:tcBorders>
            <w:shd w:val="clear" w:color="000000" w:fill="C5D9F1"/>
            <w:hideMark/>
          </w:tcPr>
          <w:p w14:paraId="32E74ABC" w14:textId="47221887" w:rsidR="002B2606" w:rsidRPr="00100F0A" w:rsidRDefault="002B2606" w:rsidP="002B2606">
            <w:pPr>
              <w:rPr>
                <w:rFonts w:eastAsia="Times New Roman" w:cs="Times New Roman"/>
                <w:color w:val="000000"/>
                <w:sz w:val="20"/>
                <w:szCs w:val="20"/>
                <w:lang w:eastAsia="en-AU"/>
              </w:rPr>
            </w:pPr>
            <w:r w:rsidRPr="00100F0A">
              <w:rPr>
                <w:rFonts w:eastAsia="Times New Roman" w:cs="Times New Roman"/>
                <w:color w:val="000000"/>
                <w:sz w:val="20"/>
                <w:szCs w:val="20"/>
                <w:lang w:eastAsia="en-AU"/>
              </w:rPr>
              <w:t>PFOS</w:t>
            </w:r>
            <w:r w:rsidR="00786EFF">
              <w:rPr>
                <w:rFonts w:eastAsia="Times New Roman" w:cs="Times New Roman"/>
                <w:color w:val="000000"/>
                <w:sz w:val="20"/>
                <w:szCs w:val="20"/>
                <w:lang w:eastAsia="en-AU"/>
              </w:rPr>
              <w:t>-</w:t>
            </w:r>
            <w:r w:rsidRPr="00100F0A">
              <w:rPr>
                <w:rFonts w:eastAsia="Times New Roman" w:cs="Times New Roman"/>
                <w:color w:val="000000"/>
                <w:sz w:val="20"/>
                <w:szCs w:val="20"/>
                <w:lang w:eastAsia="en-AU"/>
              </w:rPr>
              <w:t>contaminated biosolids</w:t>
            </w:r>
          </w:p>
        </w:tc>
        <w:tc>
          <w:tcPr>
            <w:tcW w:w="2152"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6E2ACC7C"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6"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7AF3A81B"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953"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708505C6"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7" w:type="dxa"/>
            <w:tcBorders>
              <w:top w:val="nil"/>
              <w:left w:val="nil"/>
              <w:bottom w:val="single" w:sz="4" w:space="0" w:color="BFBFBF"/>
              <w:right w:val="single" w:sz="4" w:space="0" w:color="BFBFBF"/>
            </w:tcBorders>
            <w:shd w:val="clear" w:color="auto" w:fill="auto"/>
            <w:vAlign w:val="center"/>
            <w:hideMark/>
          </w:tcPr>
          <w:p w14:paraId="3A3B6169"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xml:space="preserve">Hazardous waste landfill facility </w:t>
            </w:r>
          </w:p>
        </w:tc>
        <w:tc>
          <w:tcPr>
            <w:tcW w:w="1840" w:type="dxa"/>
            <w:tcBorders>
              <w:top w:val="nil"/>
              <w:left w:val="nil"/>
              <w:bottom w:val="single" w:sz="4" w:space="0" w:color="BFBFBF"/>
              <w:right w:val="single" w:sz="4" w:space="0" w:color="BFBFBF"/>
            </w:tcBorders>
            <w:shd w:val="clear" w:color="auto" w:fill="auto"/>
            <w:vAlign w:val="center"/>
            <w:hideMark/>
          </w:tcPr>
          <w:p w14:paraId="1314C2F4" w14:textId="0213BB34" w:rsidR="002B2606" w:rsidRPr="00100F0A" w:rsidRDefault="003C51AB" w:rsidP="002B2606">
            <w:pPr>
              <w:jc w:val="center"/>
              <w:rPr>
                <w:rFonts w:eastAsia="Times New Roman" w:cs="Times New Roman"/>
                <w:color w:val="00B050"/>
                <w:sz w:val="20"/>
                <w:szCs w:val="20"/>
                <w:lang w:eastAsia="en-AU"/>
              </w:rPr>
            </w:pPr>
            <w:r>
              <w:rPr>
                <w:rFonts w:eastAsia="Times New Roman" w:cs="Times New Roman"/>
                <w:color w:val="00B050"/>
                <w:sz w:val="20"/>
                <w:szCs w:val="20"/>
                <w:lang w:eastAsia="en-AU"/>
              </w:rPr>
              <w:t>POP</w:t>
            </w:r>
            <w:r w:rsidR="002B2606" w:rsidRPr="00100F0A">
              <w:rPr>
                <w:rFonts w:eastAsia="Times New Roman" w:cs="Times New Roman"/>
                <w:color w:val="00B050"/>
                <w:sz w:val="20"/>
                <w:szCs w:val="20"/>
                <w:lang w:eastAsia="en-AU"/>
              </w:rPr>
              <w:t xml:space="preserve"> thermal destruction facility </w:t>
            </w:r>
          </w:p>
        </w:tc>
        <w:tc>
          <w:tcPr>
            <w:tcW w:w="1616"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1E87BAE6"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5819BC21"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r>
      <w:tr w:rsidR="002B2606" w:rsidRPr="00100F0A" w14:paraId="2E5A967B" w14:textId="77777777" w:rsidTr="002B2606">
        <w:trPr>
          <w:trHeight w:val="810"/>
        </w:trPr>
        <w:tc>
          <w:tcPr>
            <w:tcW w:w="2142" w:type="dxa"/>
            <w:tcBorders>
              <w:top w:val="nil"/>
              <w:left w:val="nil"/>
              <w:bottom w:val="single" w:sz="4" w:space="0" w:color="808080"/>
              <w:right w:val="nil"/>
            </w:tcBorders>
            <w:shd w:val="clear" w:color="000000" w:fill="C5D9F1"/>
            <w:hideMark/>
          </w:tcPr>
          <w:p w14:paraId="30606A66" w14:textId="4A016A4B" w:rsidR="002B2606" w:rsidRPr="00100F0A" w:rsidRDefault="002B2606" w:rsidP="002B2606">
            <w:pPr>
              <w:rPr>
                <w:rFonts w:eastAsia="Times New Roman" w:cs="Times New Roman"/>
                <w:color w:val="000000"/>
                <w:sz w:val="20"/>
                <w:szCs w:val="20"/>
                <w:lang w:eastAsia="en-AU"/>
              </w:rPr>
            </w:pPr>
            <w:r w:rsidRPr="00100F0A">
              <w:rPr>
                <w:rFonts w:eastAsia="Times New Roman" w:cs="Times New Roman"/>
                <w:color w:val="000000"/>
                <w:sz w:val="20"/>
                <w:szCs w:val="20"/>
                <w:lang w:eastAsia="en-AU"/>
              </w:rPr>
              <w:t>PFAS</w:t>
            </w:r>
            <w:r w:rsidR="00786EFF">
              <w:rPr>
                <w:rFonts w:eastAsia="Times New Roman" w:cs="Times New Roman"/>
                <w:color w:val="000000"/>
                <w:sz w:val="20"/>
                <w:szCs w:val="20"/>
                <w:lang w:eastAsia="en-AU"/>
              </w:rPr>
              <w:t>-</w:t>
            </w:r>
            <w:r w:rsidRPr="00100F0A">
              <w:rPr>
                <w:rFonts w:eastAsia="Times New Roman" w:cs="Times New Roman"/>
                <w:color w:val="000000"/>
                <w:sz w:val="20"/>
                <w:szCs w:val="20"/>
                <w:lang w:eastAsia="en-AU"/>
              </w:rPr>
              <w:t>contaminated soils</w:t>
            </w:r>
          </w:p>
        </w:tc>
        <w:tc>
          <w:tcPr>
            <w:tcW w:w="2152"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7DDEA1AB"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6"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60ED1C6C"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953"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03684C74"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7" w:type="dxa"/>
            <w:tcBorders>
              <w:top w:val="nil"/>
              <w:left w:val="nil"/>
              <w:bottom w:val="single" w:sz="4" w:space="0" w:color="BFBFBF"/>
              <w:right w:val="single" w:sz="4" w:space="0" w:color="BFBFBF"/>
            </w:tcBorders>
            <w:shd w:val="clear" w:color="auto" w:fill="auto"/>
            <w:vAlign w:val="center"/>
            <w:hideMark/>
          </w:tcPr>
          <w:p w14:paraId="5349C339"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xml:space="preserve">Hazardous waste landfill facility </w:t>
            </w:r>
          </w:p>
        </w:tc>
        <w:tc>
          <w:tcPr>
            <w:tcW w:w="1840" w:type="dxa"/>
            <w:tcBorders>
              <w:top w:val="nil"/>
              <w:left w:val="nil"/>
              <w:bottom w:val="single" w:sz="4" w:space="0" w:color="BFBFBF"/>
              <w:right w:val="single" w:sz="4" w:space="0" w:color="BFBFBF"/>
            </w:tcBorders>
            <w:shd w:val="clear" w:color="auto" w:fill="auto"/>
            <w:vAlign w:val="center"/>
            <w:hideMark/>
          </w:tcPr>
          <w:p w14:paraId="4FD34DAE" w14:textId="3357A620" w:rsidR="002B2606" w:rsidRPr="00100F0A" w:rsidRDefault="003C51AB" w:rsidP="002B2606">
            <w:pPr>
              <w:jc w:val="center"/>
              <w:rPr>
                <w:rFonts w:eastAsia="Times New Roman" w:cs="Times New Roman"/>
                <w:color w:val="00B050"/>
                <w:sz w:val="20"/>
                <w:szCs w:val="20"/>
                <w:lang w:eastAsia="en-AU"/>
              </w:rPr>
            </w:pPr>
            <w:r>
              <w:rPr>
                <w:rFonts w:eastAsia="Times New Roman" w:cs="Times New Roman"/>
                <w:color w:val="00B050"/>
                <w:sz w:val="20"/>
                <w:szCs w:val="20"/>
                <w:lang w:eastAsia="en-AU"/>
              </w:rPr>
              <w:t>POP</w:t>
            </w:r>
            <w:r w:rsidR="002B2606" w:rsidRPr="00100F0A">
              <w:rPr>
                <w:rFonts w:eastAsia="Times New Roman" w:cs="Times New Roman"/>
                <w:color w:val="00B050"/>
                <w:sz w:val="20"/>
                <w:szCs w:val="20"/>
                <w:lang w:eastAsia="en-AU"/>
              </w:rPr>
              <w:t xml:space="preserve"> thermal destruction facility </w:t>
            </w:r>
          </w:p>
        </w:tc>
        <w:tc>
          <w:tcPr>
            <w:tcW w:w="1616"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7857DC3B"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7" w:type="dxa"/>
            <w:tcBorders>
              <w:top w:val="nil"/>
              <w:left w:val="nil"/>
              <w:bottom w:val="single" w:sz="4" w:space="0" w:color="BFBFBF"/>
              <w:right w:val="single" w:sz="4" w:space="0" w:color="BFBFBF"/>
            </w:tcBorders>
            <w:shd w:val="clear" w:color="auto" w:fill="auto"/>
            <w:vAlign w:val="center"/>
            <w:hideMark/>
          </w:tcPr>
          <w:p w14:paraId="5DA8C356"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Long-term isolation facility</w:t>
            </w:r>
          </w:p>
        </w:tc>
      </w:tr>
      <w:tr w:rsidR="002B2606" w:rsidRPr="00100F0A" w14:paraId="78A3598D" w14:textId="77777777" w:rsidTr="002B2606">
        <w:trPr>
          <w:trHeight w:val="765"/>
        </w:trPr>
        <w:tc>
          <w:tcPr>
            <w:tcW w:w="2142" w:type="dxa"/>
            <w:tcBorders>
              <w:top w:val="nil"/>
              <w:left w:val="nil"/>
              <w:bottom w:val="single" w:sz="4" w:space="0" w:color="808080"/>
              <w:right w:val="nil"/>
            </w:tcBorders>
            <w:shd w:val="clear" w:color="000000" w:fill="C5D9F1"/>
            <w:hideMark/>
          </w:tcPr>
          <w:p w14:paraId="47BE8EDD" w14:textId="77777777" w:rsidR="002B2606" w:rsidRPr="00100F0A" w:rsidRDefault="002B2606" w:rsidP="002B2606">
            <w:pPr>
              <w:rPr>
                <w:rFonts w:eastAsia="Times New Roman" w:cs="Times New Roman"/>
                <w:color w:val="000000"/>
                <w:sz w:val="20"/>
                <w:szCs w:val="20"/>
                <w:lang w:eastAsia="en-AU"/>
              </w:rPr>
            </w:pPr>
            <w:r w:rsidRPr="00100F0A">
              <w:rPr>
                <w:rFonts w:eastAsia="Times New Roman" w:cs="Times New Roman"/>
                <w:color w:val="000000"/>
                <w:sz w:val="20"/>
                <w:szCs w:val="20"/>
                <w:lang w:eastAsia="en-AU"/>
              </w:rPr>
              <w:t>AFFF concentrates</w:t>
            </w:r>
          </w:p>
        </w:tc>
        <w:tc>
          <w:tcPr>
            <w:tcW w:w="2152"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747B8E7F"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6"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431692A6"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953"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5404D587"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5880731C"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840" w:type="dxa"/>
            <w:tcBorders>
              <w:top w:val="nil"/>
              <w:left w:val="nil"/>
              <w:bottom w:val="single" w:sz="4" w:space="0" w:color="BFBFBF"/>
              <w:right w:val="single" w:sz="4" w:space="0" w:color="BFBFBF"/>
            </w:tcBorders>
            <w:shd w:val="clear" w:color="auto" w:fill="auto"/>
            <w:vAlign w:val="center"/>
            <w:hideMark/>
          </w:tcPr>
          <w:p w14:paraId="52CCD58F" w14:textId="448CF32A" w:rsidR="002B2606" w:rsidRPr="00100F0A" w:rsidRDefault="003C51AB" w:rsidP="002B2606">
            <w:pPr>
              <w:jc w:val="center"/>
              <w:rPr>
                <w:rFonts w:eastAsia="Times New Roman" w:cs="Times New Roman"/>
                <w:color w:val="00B050"/>
                <w:sz w:val="20"/>
                <w:szCs w:val="20"/>
                <w:lang w:eastAsia="en-AU"/>
              </w:rPr>
            </w:pPr>
            <w:r>
              <w:rPr>
                <w:rFonts w:eastAsia="Times New Roman" w:cs="Times New Roman"/>
                <w:color w:val="00B050"/>
                <w:sz w:val="20"/>
                <w:szCs w:val="20"/>
                <w:lang w:eastAsia="en-AU"/>
              </w:rPr>
              <w:t>POP</w:t>
            </w:r>
            <w:r w:rsidR="002B2606" w:rsidRPr="00100F0A">
              <w:rPr>
                <w:rFonts w:eastAsia="Times New Roman" w:cs="Times New Roman"/>
                <w:color w:val="00B050"/>
                <w:sz w:val="20"/>
                <w:szCs w:val="20"/>
                <w:lang w:eastAsia="en-AU"/>
              </w:rPr>
              <w:t xml:space="preserve"> thermal destruction facility </w:t>
            </w:r>
          </w:p>
        </w:tc>
        <w:tc>
          <w:tcPr>
            <w:tcW w:w="1616"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1729A75E"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7" w:type="dxa"/>
            <w:tcBorders>
              <w:top w:val="nil"/>
              <w:left w:val="nil"/>
              <w:bottom w:val="single" w:sz="4" w:space="0" w:color="BFBFBF"/>
              <w:right w:val="single" w:sz="4" w:space="0" w:color="BFBFBF"/>
            </w:tcBorders>
            <w:shd w:val="clear" w:color="auto" w:fill="auto"/>
            <w:vAlign w:val="center"/>
            <w:hideMark/>
          </w:tcPr>
          <w:p w14:paraId="34068183"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Long-term isolation facility</w:t>
            </w:r>
          </w:p>
        </w:tc>
      </w:tr>
      <w:tr w:rsidR="002B2606" w:rsidRPr="00100F0A" w14:paraId="6DFB52FD" w14:textId="77777777" w:rsidTr="002B2606">
        <w:trPr>
          <w:trHeight w:val="510"/>
        </w:trPr>
        <w:tc>
          <w:tcPr>
            <w:tcW w:w="2142" w:type="dxa"/>
            <w:tcBorders>
              <w:top w:val="nil"/>
              <w:left w:val="nil"/>
              <w:bottom w:val="single" w:sz="4" w:space="0" w:color="808080"/>
              <w:right w:val="nil"/>
            </w:tcBorders>
            <w:shd w:val="clear" w:color="000000" w:fill="C5D9F1"/>
            <w:hideMark/>
          </w:tcPr>
          <w:p w14:paraId="3C9065AD" w14:textId="77777777" w:rsidR="002B2606" w:rsidRPr="00100F0A" w:rsidRDefault="002B2606" w:rsidP="002B2606">
            <w:pPr>
              <w:rPr>
                <w:rFonts w:eastAsia="Times New Roman" w:cs="Times New Roman"/>
                <w:color w:val="000000"/>
                <w:sz w:val="20"/>
                <w:szCs w:val="20"/>
                <w:lang w:eastAsia="en-AU"/>
              </w:rPr>
            </w:pPr>
            <w:r w:rsidRPr="00100F0A">
              <w:rPr>
                <w:rFonts w:eastAsia="Times New Roman" w:cs="Times New Roman"/>
                <w:color w:val="000000"/>
                <w:sz w:val="20"/>
                <w:szCs w:val="20"/>
                <w:lang w:eastAsia="en-AU"/>
              </w:rPr>
              <w:t>Other organic chemicals</w:t>
            </w:r>
          </w:p>
        </w:tc>
        <w:tc>
          <w:tcPr>
            <w:tcW w:w="2152" w:type="dxa"/>
            <w:tcBorders>
              <w:top w:val="nil"/>
              <w:left w:val="single" w:sz="4" w:space="0" w:color="BFBFBF"/>
              <w:bottom w:val="single" w:sz="4" w:space="0" w:color="BFBFBF"/>
              <w:right w:val="single" w:sz="4" w:space="0" w:color="BFBFBF"/>
            </w:tcBorders>
            <w:shd w:val="clear" w:color="auto" w:fill="auto"/>
            <w:vAlign w:val="center"/>
            <w:hideMark/>
          </w:tcPr>
          <w:p w14:paraId="0A9978AA"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xml:space="preserve">Energy recovery </w:t>
            </w:r>
          </w:p>
        </w:tc>
        <w:tc>
          <w:tcPr>
            <w:tcW w:w="1626" w:type="dxa"/>
            <w:tcBorders>
              <w:top w:val="nil"/>
              <w:left w:val="nil"/>
              <w:bottom w:val="single" w:sz="4" w:space="0" w:color="BFBFBF"/>
              <w:right w:val="single" w:sz="4" w:space="0" w:color="BFBFBF"/>
            </w:tcBorders>
            <w:shd w:val="clear" w:color="auto" w:fill="auto"/>
            <w:vAlign w:val="center"/>
            <w:hideMark/>
          </w:tcPr>
          <w:p w14:paraId="3CB6CAEE"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CPT plant</w:t>
            </w:r>
          </w:p>
        </w:tc>
        <w:tc>
          <w:tcPr>
            <w:tcW w:w="1953" w:type="dxa"/>
            <w:tcBorders>
              <w:top w:val="nil"/>
              <w:left w:val="nil"/>
              <w:bottom w:val="single" w:sz="4" w:space="0" w:color="BFBFBF"/>
              <w:right w:val="single" w:sz="4" w:space="0" w:color="BFBFBF"/>
            </w:tcBorders>
            <w:shd w:val="clear" w:color="auto" w:fill="auto"/>
            <w:vAlign w:val="center"/>
            <w:hideMark/>
          </w:tcPr>
          <w:p w14:paraId="4B93D6A4"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Bioremediation facility</w:t>
            </w:r>
          </w:p>
        </w:tc>
        <w:tc>
          <w:tcPr>
            <w:tcW w:w="1627" w:type="dxa"/>
            <w:tcBorders>
              <w:top w:val="nil"/>
              <w:left w:val="nil"/>
              <w:bottom w:val="single" w:sz="4" w:space="0" w:color="BFBFBF"/>
              <w:right w:val="single" w:sz="4" w:space="0" w:color="BFBFBF"/>
            </w:tcBorders>
            <w:shd w:val="clear" w:color="auto" w:fill="auto"/>
            <w:vAlign w:val="center"/>
            <w:hideMark/>
          </w:tcPr>
          <w:p w14:paraId="019E24AE"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xml:space="preserve">Hazardous waste landfill facility </w:t>
            </w:r>
          </w:p>
        </w:tc>
        <w:tc>
          <w:tcPr>
            <w:tcW w:w="1840"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2AF1C52F"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6" w:type="dxa"/>
            <w:tcBorders>
              <w:top w:val="nil"/>
              <w:left w:val="nil"/>
              <w:bottom w:val="single" w:sz="4" w:space="0" w:color="BFBFBF"/>
              <w:right w:val="single" w:sz="4" w:space="0" w:color="BFBFBF"/>
            </w:tcBorders>
            <w:shd w:val="clear" w:color="auto" w:fill="auto"/>
            <w:hideMark/>
          </w:tcPr>
          <w:p w14:paraId="182668BB"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Transfer facility</w:t>
            </w:r>
          </w:p>
        </w:tc>
        <w:tc>
          <w:tcPr>
            <w:tcW w:w="161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148C85F2"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r>
      <w:tr w:rsidR="002B2606" w:rsidRPr="00100F0A" w14:paraId="0967F7E8" w14:textId="77777777" w:rsidTr="002B2606">
        <w:trPr>
          <w:trHeight w:val="510"/>
        </w:trPr>
        <w:tc>
          <w:tcPr>
            <w:tcW w:w="2142" w:type="dxa"/>
            <w:tcBorders>
              <w:top w:val="nil"/>
              <w:left w:val="nil"/>
              <w:bottom w:val="single" w:sz="4" w:space="0" w:color="808080"/>
              <w:right w:val="nil"/>
            </w:tcBorders>
            <w:shd w:val="clear" w:color="000000" w:fill="C5D9F1"/>
            <w:hideMark/>
          </w:tcPr>
          <w:p w14:paraId="1F19BEF5" w14:textId="6E596E6B" w:rsidR="002B2606" w:rsidRPr="00100F0A" w:rsidRDefault="002B2606" w:rsidP="002B2606">
            <w:pPr>
              <w:rPr>
                <w:rFonts w:eastAsia="Times New Roman" w:cs="Times New Roman"/>
                <w:color w:val="000000"/>
                <w:sz w:val="20"/>
                <w:szCs w:val="20"/>
                <w:lang w:eastAsia="en-AU"/>
              </w:rPr>
            </w:pPr>
            <w:r w:rsidRPr="00100F0A">
              <w:rPr>
                <w:rFonts w:eastAsia="Times New Roman" w:cs="Times New Roman"/>
                <w:color w:val="000000"/>
                <w:sz w:val="20"/>
                <w:szCs w:val="20"/>
                <w:lang w:eastAsia="en-AU"/>
              </w:rPr>
              <w:t>Contaminated soil</w:t>
            </w:r>
          </w:p>
        </w:tc>
        <w:tc>
          <w:tcPr>
            <w:tcW w:w="2152"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39BF8A2E"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6" w:type="dxa"/>
            <w:tcBorders>
              <w:top w:val="nil"/>
              <w:left w:val="nil"/>
              <w:bottom w:val="single" w:sz="4" w:space="0" w:color="BFBFBF"/>
              <w:right w:val="single" w:sz="4" w:space="0" w:color="BFBFBF"/>
            </w:tcBorders>
            <w:shd w:val="clear" w:color="auto" w:fill="auto"/>
            <w:vAlign w:val="center"/>
            <w:hideMark/>
          </w:tcPr>
          <w:p w14:paraId="0424E400"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Soils treatment facility</w:t>
            </w:r>
          </w:p>
        </w:tc>
        <w:tc>
          <w:tcPr>
            <w:tcW w:w="1953"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164B8CF3"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7" w:type="dxa"/>
            <w:tcBorders>
              <w:top w:val="nil"/>
              <w:left w:val="nil"/>
              <w:bottom w:val="single" w:sz="4" w:space="0" w:color="BFBFBF"/>
              <w:right w:val="single" w:sz="4" w:space="0" w:color="BFBFBF"/>
            </w:tcBorders>
            <w:shd w:val="clear" w:color="000000" w:fill="FFFFFF"/>
            <w:vAlign w:val="center"/>
            <w:hideMark/>
          </w:tcPr>
          <w:p w14:paraId="6B6AFB8D"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Landfill facility (NEPM codes N, T)</w:t>
            </w:r>
          </w:p>
        </w:tc>
        <w:tc>
          <w:tcPr>
            <w:tcW w:w="1840"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02412FAF"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6" w:type="dxa"/>
            <w:tcBorders>
              <w:top w:val="nil"/>
              <w:left w:val="nil"/>
              <w:bottom w:val="single" w:sz="4" w:space="0" w:color="BFBFBF"/>
              <w:right w:val="single" w:sz="4" w:space="0" w:color="BFBFBF"/>
            </w:tcBorders>
            <w:shd w:val="clear" w:color="auto" w:fill="auto"/>
            <w:hideMark/>
          </w:tcPr>
          <w:p w14:paraId="19CF0FF0"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Transfer facility</w:t>
            </w:r>
          </w:p>
        </w:tc>
        <w:tc>
          <w:tcPr>
            <w:tcW w:w="161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37A328FB"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r>
      <w:tr w:rsidR="002B2606" w:rsidRPr="00100F0A" w14:paraId="2A13A8B7" w14:textId="77777777" w:rsidTr="002B2606">
        <w:trPr>
          <w:trHeight w:val="510"/>
        </w:trPr>
        <w:tc>
          <w:tcPr>
            <w:tcW w:w="2142" w:type="dxa"/>
            <w:tcBorders>
              <w:top w:val="nil"/>
              <w:left w:val="nil"/>
              <w:bottom w:val="single" w:sz="4" w:space="0" w:color="808080"/>
              <w:right w:val="nil"/>
            </w:tcBorders>
            <w:shd w:val="clear" w:color="000000" w:fill="C5D9F1"/>
            <w:hideMark/>
          </w:tcPr>
          <w:p w14:paraId="771BEAF8" w14:textId="77777777" w:rsidR="002B2606" w:rsidRPr="00100F0A" w:rsidRDefault="002B2606" w:rsidP="002B2606">
            <w:pPr>
              <w:rPr>
                <w:rFonts w:eastAsia="Times New Roman" w:cs="Times New Roman"/>
                <w:color w:val="000000"/>
                <w:sz w:val="20"/>
                <w:szCs w:val="20"/>
                <w:lang w:eastAsia="en-AU"/>
              </w:rPr>
            </w:pPr>
            <w:r w:rsidRPr="00100F0A">
              <w:rPr>
                <w:rFonts w:eastAsia="Times New Roman" w:cs="Times New Roman"/>
                <w:color w:val="000000"/>
                <w:sz w:val="20"/>
                <w:szCs w:val="20"/>
                <w:lang w:eastAsia="en-AU"/>
              </w:rPr>
              <w:t>Other contaminated biosolids</w:t>
            </w:r>
          </w:p>
        </w:tc>
        <w:tc>
          <w:tcPr>
            <w:tcW w:w="2152"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0512239C"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6"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23ECC05C"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953"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4C9C5519"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7" w:type="dxa"/>
            <w:tcBorders>
              <w:top w:val="nil"/>
              <w:left w:val="nil"/>
              <w:bottom w:val="single" w:sz="4" w:space="0" w:color="BFBFBF"/>
              <w:right w:val="single" w:sz="4" w:space="0" w:color="BFBFBF"/>
            </w:tcBorders>
            <w:shd w:val="clear" w:color="auto" w:fill="auto"/>
            <w:vAlign w:val="center"/>
            <w:hideMark/>
          </w:tcPr>
          <w:p w14:paraId="24798B75"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xml:space="preserve">Hazardous waste landfill facility </w:t>
            </w:r>
          </w:p>
        </w:tc>
        <w:tc>
          <w:tcPr>
            <w:tcW w:w="1840"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65E7C624"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6"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07A94D97"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05124CA9"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r>
      <w:tr w:rsidR="002B2606" w:rsidRPr="00100F0A" w14:paraId="5157E3C8" w14:textId="77777777" w:rsidTr="002B2606">
        <w:trPr>
          <w:trHeight w:val="510"/>
        </w:trPr>
        <w:tc>
          <w:tcPr>
            <w:tcW w:w="2142" w:type="dxa"/>
            <w:tcBorders>
              <w:top w:val="nil"/>
              <w:left w:val="nil"/>
              <w:bottom w:val="single" w:sz="4" w:space="0" w:color="808080"/>
              <w:right w:val="nil"/>
            </w:tcBorders>
            <w:shd w:val="clear" w:color="000000" w:fill="C5D9F1"/>
            <w:hideMark/>
          </w:tcPr>
          <w:p w14:paraId="5753546F" w14:textId="77777777" w:rsidR="002B2606" w:rsidRPr="00100F0A" w:rsidRDefault="002B2606" w:rsidP="002B2606">
            <w:pPr>
              <w:rPr>
                <w:rFonts w:eastAsia="Times New Roman" w:cs="Times New Roman"/>
                <w:color w:val="000000"/>
                <w:sz w:val="20"/>
                <w:szCs w:val="20"/>
                <w:lang w:eastAsia="en-AU"/>
              </w:rPr>
            </w:pPr>
            <w:r w:rsidRPr="00100F0A">
              <w:rPr>
                <w:rFonts w:eastAsia="Times New Roman" w:cs="Times New Roman"/>
                <w:color w:val="000000"/>
                <w:sz w:val="20"/>
                <w:szCs w:val="20"/>
                <w:lang w:eastAsia="en-AU"/>
              </w:rPr>
              <w:t>Other industrial treatment residues</w:t>
            </w:r>
          </w:p>
        </w:tc>
        <w:tc>
          <w:tcPr>
            <w:tcW w:w="2152"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32DB11C6"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6" w:type="dxa"/>
            <w:tcBorders>
              <w:top w:val="nil"/>
              <w:left w:val="nil"/>
              <w:bottom w:val="single" w:sz="4" w:space="0" w:color="BFBFBF"/>
              <w:right w:val="single" w:sz="4" w:space="0" w:color="BFBFBF"/>
            </w:tcBorders>
            <w:shd w:val="clear" w:color="auto" w:fill="auto"/>
            <w:vAlign w:val="center"/>
            <w:hideMark/>
          </w:tcPr>
          <w:p w14:paraId="19459E8A"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CPT plant</w:t>
            </w:r>
          </w:p>
        </w:tc>
        <w:tc>
          <w:tcPr>
            <w:tcW w:w="1953" w:type="dxa"/>
            <w:tcBorders>
              <w:top w:val="nil"/>
              <w:left w:val="nil"/>
              <w:bottom w:val="single" w:sz="4" w:space="0" w:color="BFBFBF"/>
              <w:right w:val="single" w:sz="4" w:space="0" w:color="BFBFBF"/>
            </w:tcBorders>
            <w:shd w:val="clear" w:color="auto" w:fill="auto"/>
            <w:vAlign w:val="center"/>
            <w:hideMark/>
          </w:tcPr>
          <w:p w14:paraId="1EDFE429"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Bioremediation facility</w:t>
            </w:r>
          </w:p>
        </w:tc>
        <w:tc>
          <w:tcPr>
            <w:tcW w:w="1627" w:type="dxa"/>
            <w:tcBorders>
              <w:top w:val="nil"/>
              <w:left w:val="nil"/>
              <w:bottom w:val="single" w:sz="4" w:space="0" w:color="BFBFBF"/>
              <w:right w:val="single" w:sz="4" w:space="0" w:color="BFBFBF"/>
            </w:tcBorders>
            <w:shd w:val="clear" w:color="auto" w:fill="auto"/>
            <w:vAlign w:val="center"/>
            <w:hideMark/>
          </w:tcPr>
          <w:p w14:paraId="0E40AC13"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xml:space="preserve">Hazardous waste landfill facility </w:t>
            </w:r>
          </w:p>
        </w:tc>
        <w:tc>
          <w:tcPr>
            <w:tcW w:w="1840"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62160AB3"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6" w:type="dxa"/>
            <w:tcBorders>
              <w:top w:val="nil"/>
              <w:left w:val="nil"/>
              <w:bottom w:val="single" w:sz="4" w:space="0" w:color="BFBFBF"/>
              <w:right w:val="single" w:sz="4" w:space="0" w:color="BFBFBF"/>
            </w:tcBorders>
            <w:shd w:val="clear" w:color="auto" w:fill="auto"/>
            <w:hideMark/>
          </w:tcPr>
          <w:p w14:paraId="02A55EE8"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Transfer facility</w:t>
            </w:r>
          </w:p>
        </w:tc>
        <w:tc>
          <w:tcPr>
            <w:tcW w:w="161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1D3690A6"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r>
      <w:tr w:rsidR="002B2606" w:rsidRPr="00100F0A" w14:paraId="04E57409" w14:textId="77777777" w:rsidTr="002B2606">
        <w:trPr>
          <w:trHeight w:val="510"/>
        </w:trPr>
        <w:tc>
          <w:tcPr>
            <w:tcW w:w="2142" w:type="dxa"/>
            <w:tcBorders>
              <w:top w:val="nil"/>
              <w:left w:val="nil"/>
              <w:bottom w:val="single" w:sz="4" w:space="0" w:color="808080"/>
              <w:right w:val="nil"/>
            </w:tcBorders>
            <w:shd w:val="clear" w:color="000000" w:fill="C5D9F1"/>
            <w:hideMark/>
          </w:tcPr>
          <w:p w14:paraId="74AB8533" w14:textId="77777777" w:rsidR="002B2606" w:rsidRPr="00100F0A" w:rsidRDefault="002B2606" w:rsidP="002B2606">
            <w:pPr>
              <w:rPr>
                <w:rFonts w:eastAsia="Times New Roman" w:cs="Times New Roman"/>
                <w:color w:val="000000"/>
                <w:sz w:val="20"/>
                <w:szCs w:val="20"/>
                <w:lang w:eastAsia="en-AU"/>
              </w:rPr>
            </w:pPr>
            <w:r w:rsidRPr="00100F0A">
              <w:rPr>
                <w:rFonts w:eastAsia="Times New Roman" w:cs="Times New Roman"/>
                <w:color w:val="000000"/>
                <w:sz w:val="20"/>
                <w:szCs w:val="20"/>
                <w:lang w:eastAsia="en-AU"/>
              </w:rPr>
              <w:t>Asbestos containing material</w:t>
            </w:r>
          </w:p>
        </w:tc>
        <w:tc>
          <w:tcPr>
            <w:tcW w:w="2152"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7321EAF0"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6"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773EEB4D"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953"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43D5DB63"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7" w:type="dxa"/>
            <w:tcBorders>
              <w:top w:val="nil"/>
              <w:left w:val="nil"/>
              <w:bottom w:val="single" w:sz="4" w:space="0" w:color="BFBFBF"/>
              <w:right w:val="single" w:sz="4" w:space="0" w:color="BFBFBF"/>
            </w:tcBorders>
            <w:shd w:val="clear" w:color="auto" w:fill="auto"/>
            <w:vAlign w:val="center"/>
            <w:hideMark/>
          </w:tcPr>
          <w:p w14:paraId="7E4E4CE3"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Landfill facility (NEPM codes N, T)</w:t>
            </w:r>
          </w:p>
        </w:tc>
        <w:tc>
          <w:tcPr>
            <w:tcW w:w="1840"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1CE89E32"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6" w:type="dxa"/>
            <w:tcBorders>
              <w:top w:val="nil"/>
              <w:left w:val="nil"/>
              <w:bottom w:val="single" w:sz="4" w:space="0" w:color="BFBFBF"/>
              <w:right w:val="single" w:sz="4" w:space="0" w:color="BFBFBF"/>
            </w:tcBorders>
            <w:shd w:val="clear" w:color="auto" w:fill="auto"/>
            <w:hideMark/>
          </w:tcPr>
          <w:p w14:paraId="2309B636"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Transfer facility</w:t>
            </w:r>
          </w:p>
        </w:tc>
        <w:tc>
          <w:tcPr>
            <w:tcW w:w="161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46A00B7C"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r>
      <w:tr w:rsidR="002B2606" w:rsidRPr="00100F0A" w14:paraId="0268F514" w14:textId="77777777" w:rsidTr="002B2606">
        <w:trPr>
          <w:trHeight w:val="510"/>
        </w:trPr>
        <w:tc>
          <w:tcPr>
            <w:tcW w:w="2142" w:type="dxa"/>
            <w:tcBorders>
              <w:top w:val="nil"/>
              <w:left w:val="nil"/>
              <w:bottom w:val="single" w:sz="4" w:space="0" w:color="808080"/>
              <w:right w:val="nil"/>
            </w:tcBorders>
            <w:shd w:val="clear" w:color="000000" w:fill="C5D9F1"/>
            <w:hideMark/>
          </w:tcPr>
          <w:p w14:paraId="4E035623" w14:textId="77777777" w:rsidR="002B2606" w:rsidRPr="00100F0A" w:rsidRDefault="002B2606" w:rsidP="002B2606">
            <w:pPr>
              <w:rPr>
                <w:rFonts w:eastAsia="Times New Roman" w:cs="Times New Roman"/>
                <w:color w:val="000000"/>
                <w:sz w:val="20"/>
                <w:szCs w:val="20"/>
                <w:lang w:eastAsia="en-AU"/>
              </w:rPr>
            </w:pPr>
            <w:r w:rsidRPr="00100F0A">
              <w:rPr>
                <w:rFonts w:eastAsia="Times New Roman" w:cs="Times New Roman"/>
                <w:color w:val="000000"/>
                <w:sz w:val="20"/>
                <w:szCs w:val="20"/>
                <w:lang w:eastAsia="en-AU"/>
              </w:rPr>
              <w:t>Other soil/sludges</w:t>
            </w:r>
          </w:p>
        </w:tc>
        <w:tc>
          <w:tcPr>
            <w:tcW w:w="2152" w:type="dxa"/>
            <w:tcBorders>
              <w:top w:val="nil"/>
              <w:left w:val="single" w:sz="4" w:space="0" w:color="BFBFBF"/>
              <w:bottom w:val="single" w:sz="4" w:space="0" w:color="BFBFBF"/>
              <w:right w:val="single" w:sz="4" w:space="0" w:color="BFBFBF"/>
            </w:tcBorders>
            <w:shd w:val="clear" w:color="auto" w:fill="auto"/>
            <w:vAlign w:val="center"/>
            <w:hideMark/>
          </w:tcPr>
          <w:p w14:paraId="710C69BC"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Hazardous waste packaging facility</w:t>
            </w:r>
          </w:p>
        </w:tc>
        <w:tc>
          <w:tcPr>
            <w:tcW w:w="1626" w:type="dxa"/>
            <w:tcBorders>
              <w:top w:val="nil"/>
              <w:left w:val="nil"/>
              <w:bottom w:val="single" w:sz="4" w:space="0" w:color="BFBFBF"/>
              <w:right w:val="single" w:sz="4" w:space="0" w:color="BFBFBF"/>
            </w:tcBorders>
            <w:shd w:val="clear" w:color="auto" w:fill="auto"/>
            <w:vAlign w:val="center"/>
            <w:hideMark/>
          </w:tcPr>
          <w:p w14:paraId="04413628"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CPT plant</w:t>
            </w:r>
          </w:p>
        </w:tc>
        <w:tc>
          <w:tcPr>
            <w:tcW w:w="1953" w:type="dxa"/>
            <w:tcBorders>
              <w:top w:val="nil"/>
              <w:left w:val="nil"/>
              <w:bottom w:val="single" w:sz="4" w:space="0" w:color="BFBFBF"/>
              <w:right w:val="single" w:sz="4" w:space="0" w:color="BFBFBF"/>
            </w:tcBorders>
            <w:shd w:val="clear" w:color="auto" w:fill="auto"/>
            <w:vAlign w:val="center"/>
            <w:hideMark/>
          </w:tcPr>
          <w:p w14:paraId="54C73C86"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Bioremediation facility</w:t>
            </w:r>
          </w:p>
        </w:tc>
        <w:tc>
          <w:tcPr>
            <w:tcW w:w="1627" w:type="dxa"/>
            <w:tcBorders>
              <w:top w:val="nil"/>
              <w:left w:val="nil"/>
              <w:bottom w:val="single" w:sz="4" w:space="0" w:color="BFBFBF"/>
              <w:right w:val="single" w:sz="4" w:space="0" w:color="BFBFBF"/>
            </w:tcBorders>
            <w:shd w:val="clear" w:color="auto" w:fill="auto"/>
            <w:vAlign w:val="center"/>
            <w:hideMark/>
          </w:tcPr>
          <w:p w14:paraId="7A69D005"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xml:space="preserve">Hazardous waste landfill facility </w:t>
            </w:r>
          </w:p>
        </w:tc>
        <w:tc>
          <w:tcPr>
            <w:tcW w:w="1840"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485E4CDF"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6" w:type="dxa"/>
            <w:tcBorders>
              <w:top w:val="nil"/>
              <w:left w:val="nil"/>
              <w:bottom w:val="single" w:sz="4" w:space="0" w:color="BFBFBF"/>
              <w:right w:val="single" w:sz="4" w:space="0" w:color="BFBFBF"/>
            </w:tcBorders>
            <w:shd w:val="clear" w:color="auto" w:fill="auto"/>
            <w:hideMark/>
          </w:tcPr>
          <w:p w14:paraId="64B7E6FE"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Transfer facility</w:t>
            </w:r>
          </w:p>
        </w:tc>
        <w:tc>
          <w:tcPr>
            <w:tcW w:w="161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7E259242"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r>
      <w:tr w:rsidR="002B2606" w:rsidRPr="00100F0A" w14:paraId="783C2C49" w14:textId="77777777" w:rsidTr="002B2606">
        <w:trPr>
          <w:trHeight w:val="765"/>
        </w:trPr>
        <w:tc>
          <w:tcPr>
            <w:tcW w:w="2142" w:type="dxa"/>
            <w:tcBorders>
              <w:top w:val="nil"/>
              <w:left w:val="nil"/>
              <w:bottom w:val="single" w:sz="4" w:space="0" w:color="808080"/>
              <w:right w:val="nil"/>
            </w:tcBorders>
            <w:shd w:val="clear" w:color="000000" w:fill="C5D9F1"/>
            <w:hideMark/>
          </w:tcPr>
          <w:p w14:paraId="6DB272CD" w14:textId="77777777" w:rsidR="002B2606" w:rsidRPr="00100F0A" w:rsidRDefault="002B2606" w:rsidP="002B2606">
            <w:pPr>
              <w:rPr>
                <w:rFonts w:eastAsia="Times New Roman" w:cs="Times New Roman"/>
                <w:color w:val="000000"/>
                <w:sz w:val="20"/>
                <w:szCs w:val="20"/>
                <w:lang w:eastAsia="en-AU"/>
              </w:rPr>
            </w:pPr>
            <w:r w:rsidRPr="00100F0A">
              <w:rPr>
                <w:rFonts w:eastAsia="Times New Roman" w:cs="Times New Roman"/>
                <w:color w:val="000000"/>
                <w:sz w:val="20"/>
                <w:szCs w:val="20"/>
                <w:lang w:eastAsia="en-AU"/>
              </w:rPr>
              <w:t>Clinical &amp; pharmaceutical</w:t>
            </w:r>
          </w:p>
        </w:tc>
        <w:tc>
          <w:tcPr>
            <w:tcW w:w="2152"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71EB260B"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6" w:type="dxa"/>
            <w:tcBorders>
              <w:top w:val="nil"/>
              <w:left w:val="nil"/>
              <w:bottom w:val="single" w:sz="4" w:space="0" w:color="BFBFBF"/>
              <w:right w:val="single" w:sz="4" w:space="0" w:color="BFBFBF"/>
            </w:tcBorders>
            <w:shd w:val="clear" w:color="auto" w:fill="auto"/>
            <w:vAlign w:val="center"/>
            <w:hideMark/>
          </w:tcPr>
          <w:p w14:paraId="651F72B3"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xml:space="preserve">Clinical waste treatment facility </w:t>
            </w:r>
          </w:p>
        </w:tc>
        <w:tc>
          <w:tcPr>
            <w:tcW w:w="1953"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02801CDD"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7" w:type="dxa"/>
            <w:tcBorders>
              <w:top w:val="nil"/>
              <w:left w:val="nil"/>
              <w:bottom w:val="single" w:sz="4" w:space="0" w:color="BFBFBF"/>
              <w:right w:val="single" w:sz="4" w:space="0" w:color="BFBFBF"/>
            </w:tcBorders>
            <w:shd w:val="clear" w:color="auto" w:fill="auto"/>
            <w:vAlign w:val="center"/>
            <w:hideMark/>
          </w:tcPr>
          <w:p w14:paraId="07E009FA"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xml:space="preserve">Hazardous waste landfill facility </w:t>
            </w:r>
          </w:p>
        </w:tc>
        <w:tc>
          <w:tcPr>
            <w:tcW w:w="1840" w:type="dxa"/>
            <w:tcBorders>
              <w:top w:val="nil"/>
              <w:left w:val="nil"/>
              <w:bottom w:val="single" w:sz="4" w:space="0" w:color="BFBFBF"/>
              <w:right w:val="single" w:sz="4" w:space="0" w:color="BFBFBF"/>
            </w:tcBorders>
            <w:shd w:val="clear" w:color="auto" w:fill="auto"/>
            <w:vAlign w:val="center"/>
            <w:hideMark/>
          </w:tcPr>
          <w:p w14:paraId="38EB7E6F"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Clinical waste facility thermal destruction</w:t>
            </w:r>
          </w:p>
        </w:tc>
        <w:tc>
          <w:tcPr>
            <w:tcW w:w="1616" w:type="dxa"/>
            <w:tcBorders>
              <w:top w:val="nil"/>
              <w:left w:val="nil"/>
              <w:bottom w:val="single" w:sz="4" w:space="0" w:color="BFBFBF"/>
              <w:right w:val="single" w:sz="4" w:space="0" w:color="BFBFBF"/>
            </w:tcBorders>
            <w:shd w:val="clear" w:color="auto" w:fill="auto"/>
            <w:hideMark/>
          </w:tcPr>
          <w:p w14:paraId="3D5E4527"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Transfer facility</w:t>
            </w:r>
          </w:p>
        </w:tc>
        <w:tc>
          <w:tcPr>
            <w:tcW w:w="161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648FB5BE"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r>
      <w:tr w:rsidR="002B2606" w:rsidRPr="00100F0A" w14:paraId="65BD8F7B" w14:textId="77777777" w:rsidTr="002B2606">
        <w:trPr>
          <w:trHeight w:val="510"/>
        </w:trPr>
        <w:tc>
          <w:tcPr>
            <w:tcW w:w="2142" w:type="dxa"/>
            <w:tcBorders>
              <w:top w:val="nil"/>
              <w:left w:val="nil"/>
              <w:bottom w:val="single" w:sz="4" w:space="0" w:color="808080"/>
              <w:right w:val="nil"/>
            </w:tcBorders>
            <w:shd w:val="clear" w:color="000000" w:fill="C5D9F1"/>
            <w:hideMark/>
          </w:tcPr>
          <w:p w14:paraId="283826C0" w14:textId="77EDE8BE" w:rsidR="002B2606" w:rsidRPr="00100F0A" w:rsidRDefault="00786EFF" w:rsidP="002B2606">
            <w:pPr>
              <w:rPr>
                <w:rFonts w:eastAsia="Times New Roman" w:cs="Times New Roman"/>
                <w:color w:val="000000"/>
                <w:sz w:val="20"/>
                <w:szCs w:val="20"/>
                <w:lang w:eastAsia="en-AU"/>
              </w:rPr>
            </w:pPr>
            <w:r>
              <w:rPr>
                <w:rFonts w:eastAsia="Times New Roman" w:cs="Times New Roman"/>
                <w:color w:val="000000"/>
                <w:sz w:val="20"/>
                <w:szCs w:val="20"/>
                <w:lang w:eastAsia="en-AU"/>
              </w:rPr>
              <w:t>EOLT</w:t>
            </w:r>
          </w:p>
        </w:tc>
        <w:tc>
          <w:tcPr>
            <w:tcW w:w="2152" w:type="dxa"/>
            <w:tcBorders>
              <w:top w:val="nil"/>
              <w:left w:val="single" w:sz="4" w:space="0" w:color="BFBFBF"/>
              <w:bottom w:val="single" w:sz="4" w:space="0" w:color="BFBFBF"/>
              <w:right w:val="single" w:sz="4" w:space="0" w:color="BFBFBF"/>
            </w:tcBorders>
            <w:shd w:val="clear" w:color="auto" w:fill="auto"/>
            <w:vAlign w:val="center"/>
            <w:hideMark/>
          </w:tcPr>
          <w:p w14:paraId="0D336906" w14:textId="7D06B42F" w:rsidR="002B2606" w:rsidRPr="00100F0A" w:rsidRDefault="00786EFF" w:rsidP="002B2606">
            <w:pPr>
              <w:jc w:val="center"/>
              <w:rPr>
                <w:rFonts w:eastAsia="Times New Roman" w:cs="Times New Roman"/>
                <w:color w:val="00B050"/>
                <w:sz w:val="20"/>
                <w:szCs w:val="20"/>
                <w:lang w:eastAsia="en-AU"/>
              </w:rPr>
            </w:pPr>
            <w:r>
              <w:rPr>
                <w:rFonts w:eastAsia="Times New Roman" w:cs="Times New Roman"/>
                <w:color w:val="00B050"/>
                <w:sz w:val="20"/>
                <w:szCs w:val="20"/>
                <w:lang w:eastAsia="en-AU"/>
              </w:rPr>
              <w:t>EOLT</w:t>
            </w:r>
            <w:r w:rsidR="002B2606" w:rsidRPr="00100F0A">
              <w:rPr>
                <w:rFonts w:eastAsia="Times New Roman" w:cs="Times New Roman"/>
                <w:color w:val="00B050"/>
                <w:sz w:val="20"/>
                <w:szCs w:val="20"/>
                <w:lang w:eastAsia="en-AU"/>
              </w:rPr>
              <w:t xml:space="preserve"> facility</w:t>
            </w:r>
          </w:p>
        </w:tc>
        <w:tc>
          <w:tcPr>
            <w:tcW w:w="1626"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0850B36B"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953"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1AFFD81B"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7" w:type="dxa"/>
            <w:tcBorders>
              <w:top w:val="nil"/>
              <w:left w:val="nil"/>
              <w:bottom w:val="single" w:sz="4" w:space="0" w:color="BFBFBF"/>
              <w:right w:val="single" w:sz="4" w:space="0" w:color="BFBFBF"/>
            </w:tcBorders>
            <w:shd w:val="clear" w:color="auto" w:fill="auto"/>
            <w:vAlign w:val="center"/>
            <w:hideMark/>
          </w:tcPr>
          <w:p w14:paraId="64123B2E"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Landfill facility (NEPM codes N, T)</w:t>
            </w:r>
          </w:p>
        </w:tc>
        <w:tc>
          <w:tcPr>
            <w:tcW w:w="1840"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2A753678"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6" w:type="dxa"/>
            <w:tcBorders>
              <w:top w:val="nil"/>
              <w:left w:val="nil"/>
              <w:bottom w:val="single" w:sz="4" w:space="0" w:color="BFBFBF"/>
              <w:right w:val="single" w:sz="4" w:space="0" w:color="BFBFBF"/>
            </w:tcBorders>
            <w:shd w:val="clear" w:color="auto" w:fill="auto"/>
            <w:vAlign w:val="center"/>
            <w:hideMark/>
          </w:tcPr>
          <w:p w14:paraId="6DB75C81"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Transfer facility</w:t>
            </w:r>
          </w:p>
        </w:tc>
        <w:tc>
          <w:tcPr>
            <w:tcW w:w="161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2E64A292"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r>
      <w:tr w:rsidR="002B2606" w:rsidRPr="00100F0A" w14:paraId="41DDE5AE" w14:textId="77777777" w:rsidTr="002B2606">
        <w:trPr>
          <w:trHeight w:val="510"/>
        </w:trPr>
        <w:tc>
          <w:tcPr>
            <w:tcW w:w="2142" w:type="dxa"/>
            <w:tcBorders>
              <w:top w:val="nil"/>
              <w:left w:val="nil"/>
              <w:bottom w:val="single" w:sz="4" w:space="0" w:color="808080"/>
              <w:right w:val="nil"/>
            </w:tcBorders>
            <w:shd w:val="clear" w:color="000000" w:fill="C5D9F1"/>
            <w:hideMark/>
          </w:tcPr>
          <w:p w14:paraId="23A9C669" w14:textId="77777777" w:rsidR="002B2606" w:rsidRPr="00100F0A" w:rsidRDefault="002B2606" w:rsidP="002B2606">
            <w:pPr>
              <w:rPr>
                <w:rFonts w:eastAsia="Times New Roman" w:cs="Times New Roman"/>
                <w:color w:val="000000"/>
                <w:sz w:val="20"/>
                <w:szCs w:val="20"/>
                <w:lang w:eastAsia="en-AU"/>
              </w:rPr>
            </w:pPr>
            <w:r w:rsidRPr="00100F0A">
              <w:rPr>
                <w:rFonts w:eastAsia="Times New Roman" w:cs="Times New Roman"/>
                <w:color w:val="000000"/>
                <w:sz w:val="20"/>
                <w:szCs w:val="20"/>
                <w:lang w:eastAsia="en-AU"/>
              </w:rPr>
              <w:t>Other miscellaneous</w:t>
            </w:r>
          </w:p>
        </w:tc>
        <w:tc>
          <w:tcPr>
            <w:tcW w:w="2152" w:type="dxa"/>
            <w:tcBorders>
              <w:top w:val="nil"/>
              <w:left w:val="single" w:sz="4" w:space="0" w:color="BFBFBF"/>
              <w:bottom w:val="single" w:sz="4" w:space="0" w:color="BFBFBF"/>
              <w:right w:val="single" w:sz="4" w:space="0" w:color="BFBFBF"/>
            </w:tcBorders>
            <w:shd w:val="clear" w:color="auto" w:fill="auto"/>
            <w:vAlign w:val="center"/>
            <w:hideMark/>
          </w:tcPr>
          <w:p w14:paraId="432D5D65"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xml:space="preserve">Energy recovery </w:t>
            </w:r>
          </w:p>
        </w:tc>
        <w:tc>
          <w:tcPr>
            <w:tcW w:w="1626" w:type="dxa"/>
            <w:tcBorders>
              <w:top w:val="nil"/>
              <w:left w:val="nil"/>
              <w:bottom w:val="single" w:sz="4" w:space="0" w:color="BFBFBF"/>
              <w:right w:val="single" w:sz="4" w:space="0" w:color="BFBFBF"/>
            </w:tcBorders>
            <w:shd w:val="clear" w:color="auto" w:fill="auto"/>
            <w:vAlign w:val="center"/>
            <w:hideMark/>
          </w:tcPr>
          <w:p w14:paraId="3E64CED2"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CPT plant</w:t>
            </w:r>
          </w:p>
        </w:tc>
        <w:tc>
          <w:tcPr>
            <w:tcW w:w="1953" w:type="dxa"/>
            <w:tcBorders>
              <w:top w:val="nil"/>
              <w:left w:val="nil"/>
              <w:bottom w:val="single" w:sz="4" w:space="0" w:color="BFBFBF"/>
              <w:right w:val="single" w:sz="4" w:space="0" w:color="BFBFBF"/>
            </w:tcBorders>
            <w:shd w:val="clear" w:color="auto" w:fill="auto"/>
            <w:vAlign w:val="center"/>
            <w:hideMark/>
          </w:tcPr>
          <w:p w14:paraId="3C5F340B"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Bioremediation facility</w:t>
            </w:r>
          </w:p>
        </w:tc>
        <w:tc>
          <w:tcPr>
            <w:tcW w:w="1627" w:type="dxa"/>
            <w:tcBorders>
              <w:top w:val="nil"/>
              <w:left w:val="nil"/>
              <w:bottom w:val="single" w:sz="4" w:space="0" w:color="BFBFBF"/>
              <w:right w:val="single" w:sz="4" w:space="0" w:color="BFBFBF"/>
            </w:tcBorders>
            <w:shd w:val="clear" w:color="auto" w:fill="auto"/>
            <w:vAlign w:val="center"/>
            <w:hideMark/>
          </w:tcPr>
          <w:p w14:paraId="2B5C5719"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xml:space="preserve">Hazardous waste landfill facility </w:t>
            </w:r>
          </w:p>
        </w:tc>
        <w:tc>
          <w:tcPr>
            <w:tcW w:w="1840"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10863067"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6" w:type="dxa"/>
            <w:tcBorders>
              <w:top w:val="nil"/>
              <w:left w:val="nil"/>
              <w:bottom w:val="single" w:sz="4" w:space="0" w:color="BFBFBF"/>
              <w:right w:val="single" w:sz="4" w:space="0" w:color="BFBFBF"/>
            </w:tcBorders>
            <w:shd w:val="clear" w:color="auto" w:fill="auto"/>
            <w:hideMark/>
          </w:tcPr>
          <w:p w14:paraId="06FB9C7D"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Transfer facility</w:t>
            </w:r>
          </w:p>
        </w:tc>
        <w:tc>
          <w:tcPr>
            <w:tcW w:w="161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7DAF1C4E"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r>
      <w:tr w:rsidR="002B2606" w:rsidRPr="00100F0A" w14:paraId="633DF4A9" w14:textId="77777777" w:rsidTr="002B2606">
        <w:trPr>
          <w:trHeight w:val="510"/>
        </w:trPr>
        <w:tc>
          <w:tcPr>
            <w:tcW w:w="2142" w:type="dxa"/>
            <w:tcBorders>
              <w:top w:val="nil"/>
              <w:left w:val="nil"/>
              <w:bottom w:val="single" w:sz="4" w:space="0" w:color="808080"/>
              <w:right w:val="nil"/>
            </w:tcBorders>
            <w:shd w:val="clear" w:color="000000" w:fill="C5D9F1"/>
            <w:hideMark/>
          </w:tcPr>
          <w:p w14:paraId="235FEDC2" w14:textId="77777777" w:rsidR="002B2606" w:rsidRPr="00100F0A" w:rsidRDefault="002B2606" w:rsidP="002B2606">
            <w:pPr>
              <w:rPr>
                <w:rFonts w:eastAsia="Times New Roman" w:cs="Times New Roman"/>
                <w:color w:val="000000"/>
                <w:sz w:val="20"/>
                <w:szCs w:val="20"/>
                <w:lang w:eastAsia="en-AU"/>
              </w:rPr>
            </w:pPr>
            <w:r w:rsidRPr="00100F0A">
              <w:rPr>
                <w:rFonts w:eastAsia="Times New Roman" w:cs="Times New Roman"/>
                <w:color w:val="000000"/>
                <w:sz w:val="20"/>
                <w:szCs w:val="20"/>
                <w:lang w:eastAsia="en-AU"/>
              </w:rPr>
              <w:t>Lithium ion batteries</w:t>
            </w:r>
          </w:p>
        </w:tc>
        <w:tc>
          <w:tcPr>
            <w:tcW w:w="2152" w:type="dxa"/>
            <w:tcBorders>
              <w:top w:val="nil"/>
              <w:left w:val="single" w:sz="4" w:space="0" w:color="BFBFBF"/>
              <w:bottom w:val="single" w:sz="4" w:space="0" w:color="BFBFBF"/>
              <w:right w:val="single" w:sz="4" w:space="0" w:color="BFBFBF"/>
            </w:tcBorders>
            <w:shd w:val="clear" w:color="auto" w:fill="auto"/>
            <w:vAlign w:val="center"/>
            <w:hideMark/>
          </w:tcPr>
          <w:p w14:paraId="3230FCED"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E-waste facility</w:t>
            </w:r>
          </w:p>
        </w:tc>
        <w:tc>
          <w:tcPr>
            <w:tcW w:w="1626"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1C63D496" w14:textId="77777777" w:rsidR="002B2606" w:rsidRPr="00100F0A" w:rsidRDefault="002B2606" w:rsidP="002B2606">
            <w:pP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953"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3CDF32B8" w14:textId="77777777" w:rsidR="002B2606" w:rsidRPr="00100F0A" w:rsidRDefault="002B2606" w:rsidP="002B2606">
            <w:pP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27" w:type="dxa"/>
            <w:tcBorders>
              <w:top w:val="nil"/>
              <w:left w:val="nil"/>
              <w:bottom w:val="single" w:sz="4" w:space="0" w:color="BFBFBF"/>
              <w:right w:val="single" w:sz="4" w:space="0" w:color="BFBFBF"/>
            </w:tcBorders>
            <w:shd w:val="clear" w:color="auto" w:fill="auto"/>
            <w:vAlign w:val="center"/>
            <w:hideMark/>
          </w:tcPr>
          <w:p w14:paraId="59A98779" w14:textId="77777777" w:rsidR="002B2606" w:rsidRPr="00100F0A" w:rsidRDefault="002B2606" w:rsidP="002B2606">
            <w:pPr>
              <w:jc w:val="center"/>
              <w:rPr>
                <w:rFonts w:eastAsia="Times New Roman" w:cs="Times New Roman"/>
                <w:color w:val="00B050"/>
                <w:sz w:val="20"/>
                <w:szCs w:val="20"/>
                <w:lang w:eastAsia="en-AU"/>
              </w:rPr>
            </w:pPr>
            <w:r w:rsidRPr="00100F0A">
              <w:rPr>
                <w:rFonts w:eastAsia="Times New Roman" w:cs="Times New Roman"/>
                <w:color w:val="00B050"/>
                <w:sz w:val="20"/>
                <w:szCs w:val="20"/>
                <w:lang w:eastAsia="en-AU"/>
              </w:rPr>
              <w:t>Landfill facility (NEPM codes N, T)</w:t>
            </w:r>
          </w:p>
        </w:tc>
        <w:tc>
          <w:tcPr>
            <w:tcW w:w="1840"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57BF0380" w14:textId="77777777" w:rsidR="002B2606" w:rsidRPr="00100F0A" w:rsidRDefault="002B2606" w:rsidP="002B2606">
            <w:pP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6"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55F61778" w14:textId="77777777" w:rsidR="002B2606" w:rsidRPr="00100F0A" w:rsidRDefault="002B2606" w:rsidP="002B2606">
            <w:pP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c>
          <w:tcPr>
            <w:tcW w:w="1617" w:type="dxa"/>
            <w:tcBorders>
              <w:top w:val="single" w:sz="4" w:space="0" w:color="BFBFBF"/>
              <w:left w:val="single" w:sz="4" w:space="0" w:color="BFBFBF"/>
              <w:bottom w:val="single" w:sz="4" w:space="0" w:color="BFBFBF"/>
              <w:right w:val="single" w:sz="4" w:space="0" w:color="BFBFBF"/>
            </w:tcBorders>
            <w:shd w:val="clear" w:color="000000" w:fill="DCE6F1"/>
            <w:vAlign w:val="center"/>
            <w:hideMark/>
          </w:tcPr>
          <w:p w14:paraId="5CEF4BDB" w14:textId="77777777" w:rsidR="002B2606" w:rsidRPr="00100F0A" w:rsidRDefault="002B2606" w:rsidP="002B2606">
            <w:pPr>
              <w:rPr>
                <w:rFonts w:eastAsia="Times New Roman" w:cs="Times New Roman"/>
                <w:color w:val="00B050"/>
                <w:sz w:val="20"/>
                <w:szCs w:val="20"/>
                <w:lang w:eastAsia="en-AU"/>
              </w:rPr>
            </w:pPr>
            <w:r w:rsidRPr="00100F0A">
              <w:rPr>
                <w:rFonts w:eastAsia="Times New Roman" w:cs="Times New Roman"/>
                <w:color w:val="00B050"/>
                <w:sz w:val="20"/>
                <w:szCs w:val="20"/>
                <w:lang w:eastAsia="en-AU"/>
              </w:rPr>
              <w:t> </w:t>
            </w:r>
          </w:p>
        </w:tc>
      </w:tr>
    </w:tbl>
    <w:p w14:paraId="3FC0957D" w14:textId="77777777" w:rsidR="00B37084" w:rsidRPr="00100F0A" w:rsidRDefault="00B37084" w:rsidP="00B37084">
      <w:pPr>
        <w:rPr>
          <w:color w:val="080808"/>
        </w:rPr>
      </w:pPr>
    </w:p>
    <w:p w14:paraId="5A33B307" w14:textId="77777777" w:rsidR="00B37084" w:rsidRPr="00100F0A" w:rsidRDefault="00B37084" w:rsidP="00B37084">
      <w:pPr>
        <w:pStyle w:val="BodyText"/>
        <w:sectPr w:rsidR="00B37084" w:rsidRPr="00100F0A" w:rsidSect="003879F7">
          <w:headerReference w:type="even" r:id="rId98"/>
          <w:footerReference w:type="even" r:id="rId99"/>
          <w:headerReference w:type="first" r:id="rId100"/>
          <w:footerReference w:type="first" r:id="rId101"/>
          <w:pgSz w:w="16840" w:h="11907" w:orient="landscape" w:code="9"/>
          <w:pgMar w:top="1247" w:right="1134" w:bottom="1077" w:left="1134" w:header="709" w:footer="567" w:gutter="0"/>
          <w:cols w:space="708"/>
          <w:docGrid w:linePitch="360"/>
        </w:sectPr>
      </w:pPr>
    </w:p>
    <w:p w14:paraId="0C67EC7C" w14:textId="5B6ACD02" w:rsidR="00B37084" w:rsidRPr="00100F0A" w:rsidRDefault="00B37084" w:rsidP="00AD35BF">
      <w:pPr>
        <w:pStyle w:val="Heading2"/>
        <w:ind w:left="851" w:hanging="851"/>
      </w:pPr>
      <w:bookmarkStart w:id="370" w:name="_Ref420062067"/>
      <w:bookmarkStart w:id="371" w:name="_Toc425849172"/>
      <w:bookmarkStart w:id="372" w:name="_Toc13225547"/>
      <w:bookmarkStart w:id="373" w:name="_Ref419402884"/>
      <w:bookmarkStart w:id="374" w:name="_Toc419449195"/>
      <w:r w:rsidRPr="00100F0A">
        <w:t>Limitations and uncertainty</w:t>
      </w:r>
      <w:bookmarkEnd w:id="370"/>
      <w:bookmarkEnd w:id="371"/>
      <w:bookmarkEnd w:id="372"/>
      <w:r w:rsidRPr="00100F0A">
        <w:t xml:space="preserve"> </w:t>
      </w:r>
      <w:bookmarkEnd w:id="373"/>
      <w:bookmarkEnd w:id="374"/>
    </w:p>
    <w:p w14:paraId="09E81BD4" w14:textId="053B7653" w:rsidR="00B37084" w:rsidRPr="00100F0A" w:rsidRDefault="00B37084" w:rsidP="00B37084">
      <w:pPr>
        <w:pStyle w:val="BodyText"/>
      </w:pPr>
      <w:r w:rsidRPr="00100F0A">
        <w:t>The assessment of projected hazardous waste infrastructure need vs capacity is affected by:</w:t>
      </w:r>
    </w:p>
    <w:p w14:paraId="28805222" w14:textId="5536FC62" w:rsidR="00B37084" w:rsidRPr="00100F0A" w:rsidRDefault="00B37084" w:rsidP="00512118">
      <w:pPr>
        <w:pStyle w:val="ListNumber3"/>
        <w:numPr>
          <w:ilvl w:val="0"/>
          <w:numId w:val="31"/>
        </w:numPr>
        <w:spacing w:before="80"/>
        <w:ind w:left="425" w:hanging="425"/>
        <w:contextualSpacing w:val="0"/>
      </w:pPr>
      <w:r w:rsidRPr="00100F0A">
        <w:t>the levels of uncertainty of the projected arisings of hazardous waste</w:t>
      </w:r>
    </w:p>
    <w:p w14:paraId="5DDBAC14" w14:textId="6057BEC6" w:rsidR="00B37084" w:rsidRPr="00100F0A" w:rsidRDefault="00B37084" w:rsidP="00512118">
      <w:pPr>
        <w:pStyle w:val="ListNumber3"/>
        <w:numPr>
          <w:ilvl w:val="0"/>
          <w:numId w:val="31"/>
        </w:numPr>
        <w:spacing w:before="80"/>
        <w:ind w:left="425" w:hanging="425"/>
        <w:contextualSpacing w:val="0"/>
      </w:pPr>
      <w:r w:rsidRPr="00100F0A">
        <w:t xml:space="preserve">the levels of uncertainty of the assumed </w:t>
      </w:r>
      <w:r w:rsidR="002559A6" w:rsidRPr="00100F0A">
        <w:t xml:space="preserve">management methods and </w:t>
      </w:r>
      <w:r w:rsidRPr="00100F0A">
        <w:t xml:space="preserve">allocation to infrastructure (i.e. how much of each waste group’s arisings will be managed by what infrastructure)  </w:t>
      </w:r>
    </w:p>
    <w:p w14:paraId="4F657147" w14:textId="071876B6" w:rsidR="00B37084" w:rsidRPr="00100F0A" w:rsidRDefault="00B37084" w:rsidP="00512118">
      <w:pPr>
        <w:pStyle w:val="ListNumber3"/>
        <w:numPr>
          <w:ilvl w:val="0"/>
          <w:numId w:val="31"/>
        </w:numPr>
        <w:spacing w:before="80"/>
        <w:ind w:left="425" w:hanging="425"/>
        <w:contextualSpacing w:val="0"/>
      </w:pPr>
      <w:r w:rsidRPr="00100F0A">
        <w:t xml:space="preserve">the limitations </w:t>
      </w:r>
      <w:r w:rsidR="002559A6" w:rsidRPr="00100F0A">
        <w:t xml:space="preserve">in coverage </w:t>
      </w:r>
      <w:r w:rsidRPr="00100F0A">
        <w:t xml:space="preserve">and levels of uncertainty of the assessment of the current hazardous waste infrastructure capacity. </w:t>
      </w:r>
    </w:p>
    <w:p w14:paraId="187BC696" w14:textId="77777777" w:rsidR="002559A6" w:rsidRPr="00100F0A" w:rsidRDefault="002559A6" w:rsidP="00B37084">
      <w:pPr>
        <w:pStyle w:val="BodyText"/>
      </w:pPr>
    </w:p>
    <w:p w14:paraId="79C9D4F6" w14:textId="0B3F5A67" w:rsidR="00B37084" w:rsidRPr="00100F0A" w:rsidRDefault="00B37084" w:rsidP="00B37084">
      <w:pPr>
        <w:pStyle w:val="BodyText"/>
      </w:pPr>
      <w:r w:rsidRPr="00100F0A">
        <w:t xml:space="preserve">These three dimensions of uncertainty are discussed below. </w:t>
      </w:r>
    </w:p>
    <w:p w14:paraId="2C691090" w14:textId="77777777" w:rsidR="00B37084" w:rsidRPr="00100F0A" w:rsidRDefault="00B37084" w:rsidP="00AD35BF">
      <w:pPr>
        <w:pStyle w:val="Heading3"/>
      </w:pPr>
      <w:r w:rsidRPr="00100F0A">
        <w:t xml:space="preserve">Uncertainty in projections of hazardous waste arisings </w:t>
      </w:r>
    </w:p>
    <w:p w14:paraId="55AD2FFD" w14:textId="0B22BFF9" w:rsidR="00B37084" w:rsidRPr="00100F0A" w:rsidRDefault="00B37084" w:rsidP="00B37084">
      <w:pPr>
        <w:pStyle w:val="BodyText"/>
      </w:pPr>
      <w:r w:rsidRPr="00100F0A">
        <w:t>The levels of uncertainty of the projected arisings of hazardous waste are discussed in Section</w:t>
      </w:r>
      <w:r w:rsidR="00083807" w:rsidRPr="00100F0A">
        <w:t xml:space="preserve"> </w:t>
      </w:r>
      <w:r w:rsidR="00083807" w:rsidRPr="00100F0A">
        <w:fldChar w:fldCharType="begin"/>
      </w:r>
      <w:r w:rsidR="00083807" w:rsidRPr="00100F0A">
        <w:instrText xml:space="preserve"> REF _Ref530137916 \r \h </w:instrText>
      </w:r>
      <w:r w:rsidR="00083807" w:rsidRPr="00100F0A">
        <w:fldChar w:fldCharType="separate"/>
      </w:r>
      <w:r w:rsidR="00EB634D">
        <w:t>2.5</w:t>
      </w:r>
      <w:r w:rsidR="00083807" w:rsidRPr="00100F0A">
        <w:fldChar w:fldCharType="end"/>
      </w:r>
      <w:r w:rsidRPr="00100F0A">
        <w:t>. The use of high, best and low scenarios reflects the levels of uncertainty and provides for a significant range in the projections.</w:t>
      </w:r>
    </w:p>
    <w:p w14:paraId="7016E848" w14:textId="77777777" w:rsidR="00B37084" w:rsidRPr="00100F0A" w:rsidRDefault="00B37084" w:rsidP="00B37084">
      <w:pPr>
        <w:pStyle w:val="BodyText"/>
        <w:tabs>
          <w:tab w:val="left" w:pos="2696"/>
        </w:tabs>
      </w:pPr>
      <w:r w:rsidRPr="00100F0A">
        <w:tab/>
      </w:r>
    </w:p>
    <w:p w14:paraId="39D9F729" w14:textId="58E11D08" w:rsidR="00B37084" w:rsidRPr="00100F0A" w:rsidRDefault="00B37084" w:rsidP="00B37084">
      <w:pPr>
        <w:pStyle w:val="BodyText"/>
      </w:pPr>
      <w:r w:rsidRPr="00100F0A">
        <w:t xml:space="preserve">The projected arisings (and </w:t>
      </w:r>
      <w:r w:rsidR="00083807" w:rsidRPr="00100F0A">
        <w:t>management methods</w:t>
      </w:r>
      <w:r w:rsidRPr="00100F0A">
        <w:t>) of new hazardous waste</w:t>
      </w:r>
      <w:r w:rsidR="00083807" w:rsidRPr="00100F0A">
        <w:t>,</w:t>
      </w:r>
      <w:r w:rsidRPr="00100F0A">
        <w:t xml:space="preserve"> such as PF</w:t>
      </w:r>
      <w:r w:rsidR="00083807" w:rsidRPr="00100F0A">
        <w:t>AS</w:t>
      </w:r>
      <w:r w:rsidRPr="00100F0A">
        <w:t xml:space="preserve"> waste</w:t>
      </w:r>
      <w:r w:rsidR="00083807" w:rsidRPr="00100F0A">
        <w:t>,</w:t>
      </w:r>
      <w:r w:rsidRPr="00100F0A">
        <w:t xml:space="preserve"> are particularly uncertain as there </w:t>
      </w:r>
      <w:r w:rsidR="00B90E8F" w:rsidRPr="00100F0A">
        <w:t>are</w:t>
      </w:r>
      <w:r w:rsidRPr="00100F0A">
        <w:t xml:space="preserve"> little or no historical arisings data to inform the baseline or trend of the projection. The range between high, best and low scenarios is greater for th</w:t>
      </w:r>
      <w:r w:rsidR="00786EFF">
        <w:t>i</w:t>
      </w:r>
      <w:r w:rsidRPr="00100F0A">
        <w:t>s waste, reflecting the increased uncertainty.</w:t>
      </w:r>
    </w:p>
    <w:p w14:paraId="79EBB409" w14:textId="77777777" w:rsidR="00B37084" w:rsidRPr="00100F0A" w:rsidRDefault="00B37084" w:rsidP="00B37084">
      <w:pPr>
        <w:pStyle w:val="BodyText"/>
      </w:pPr>
    </w:p>
    <w:p w14:paraId="6266BCCC" w14:textId="515796A1" w:rsidR="00B37084" w:rsidRPr="00100F0A" w:rsidRDefault="00B37084" w:rsidP="00B37084">
      <w:pPr>
        <w:pStyle w:val="BodyText"/>
      </w:pPr>
      <w:r w:rsidRPr="00100F0A">
        <w:t>The availability and quality of the supporting jurisdictional tracking system data used to determine the baseline (starting point) for the projection are variable, see analysis in</w:t>
      </w:r>
      <w:r w:rsidR="00786EFF">
        <w:t xml:space="preserve"> Section</w:t>
      </w:r>
      <w:r w:rsidR="00083807" w:rsidRPr="00100F0A">
        <w:t xml:space="preserve"> </w:t>
      </w:r>
      <w:r w:rsidR="00083807" w:rsidRPr="00100F0A">
        <w:fldChar w:fldCharType="begin"/>
      </w:r>
      <w:r w:rsidR="00083807" w:rsidRPr="00100F0A">
        <w:instrText xml:space="preserve"> REF _Ref530577967 \r \h </w:instrText>
      </w:r>
      <w:r w:rsidR="00083807" w:rsidRPr="00100F0A">
        <w:fldChar w:fldCharType="separate"/>
      </w:r>
      <w:r w:rsidR="00EB634D">
        <w:t>2.4</w:t>
      </w:r>
      <w:r w:rsidR="00083807" w:rsidRPr="00100F0A">
        <w:fldChar w:fldCharType="end"/>
      </w:r>
      <w:r w:rsidRPr="00100F0A">
        <w:t>.</w:t>
      </w:r>
    </w:p>
    <w:p w14:paraId="4C34AC9A" w14:textId="3A16F239" w:rsidR="00B37084" w:rsidRPr="00100F0A" w:rsidRDefault="00B37084" w:rsidP="00AD35BF">
      <w:pPr>
        <w:pStyle w:val="Heading3"/>
      </w:pPr>
      <w:r w:rsidRPr="00100F0A">
        <w:t xml:space="preserve">Uncertainty in the assumed </w:t>
      </w:r>
      <w:r w:rsidR="0078396C" w:rsidRPr="00100F0A">
        <w:t>management methods</w:t>
      </w:r>
      <w:r w:rsidRPr="00100F0A">
        <w:t xml:space="preserve"> and mapping to infrastructure</w:t>
      </w:r>
    </w:p>
    <w:p w14:paraId="1BCE78EC" w14:textId="009ABC73" w:rsidR="00B37084" w:rsidRPr="00100F0A" w:rsidRDefault="00B37084" w:rsidP="00B37084">
      <w:pPr>
        <w:spacing w:after="120"/>
        <w:outlineLvl w:val="2"/>
      </w:pPr>
      <w:r w:rsidRPr="00100F0A">
        <w:t xml:space="preserve">Steps 1 and 2 of the assessment </w:t>
      </w:r>
      <w:r w:rsidR="00B90E8F" w:rsidRPr="00100F0A">
        <w:t>methods</w:t>
      </w:r>
      <w:r w:rsidRPr="00100F0A">
        <w:t xml:space="preserve">, discussed above, outline the method of determining the </w:t>
      </w:r>
      <w:r w:rsidR="0078396C" w:rsidRPr="00100F0A">
        <w:t>management methods</w:t>
      </w:r>
      <w:r w:rsidRPr="00100F0A">
        <w:t xml:space="preserve"> </w:t>
      </w:r>
      <w:r w:rsidR="0078396C" w:rsidRPr="00100F0A">
        <w:t>for</w:t>
      </w:r>
      <w:r w:rsidRPr="00100F0A">
        <w:t xml:space="preserve"> waste arisings and mapping the proportions to the infrastructure groups.</w:t>
      </w:r>
    </w:p>
    <w:p w14:paraId="4144A261" w14:textId="25B2B55A" w:rsidR="00306790" w:rsidRPr="00100F0A" w:rsidRDefault="00B37084" w:rsidP="00B37084">
      <w:pPr>
        <w:pStyle w:val="BodyText"/>
      </w:pPr>
      <w:r w:rsidRPr="00100F0A">
        <w:t xml:space="preserve">The assessment of the adequacy of infrastructure relies on </w:t>
      </w:r>
      <w:r w:rsidR="00306790" w:rsidRPr="00100F0A">
        <w:t xml:space="preserve">the assumed management methods which are derived </w:t>
      </w:r>
      <w:r w:rsidRPr="00100F0A">
        <w:t xml:space="preserve">from </w:t>
      </w:r>
      <w:r w:rsidR="00306790" w:rsidRPr="00100F0A">
        <w:t xml:space="preserve">the waste tracking data from </w:t>
      </w:r>
      <w:r w:rsidRPr="00100F0A">
        <w:t xml:space="preserve">NSW, Qld, </w:t>
      </w:r>
      <w:r w:rsidR="00786EFF">
        <w:t>SA, V</w:t>
      </w:r>
      <w:r w:rsidRPr="00100F0A">
        <w:t>ic</w:t>
      </w:r>
      <w:r w:rsidR="00306790" w:rsidRPr="00100F0A">
        <w:t xml:space="preserve"> and WA</w:t>
      </w:r>
      <w:r w:rsidRPr="00100F0A">
        <w:t xml:space="preserve">. </w:t>
      </w:r>
    </w:p>
    <w:p w14:paraId="7A3C9996" w14:textId="77777777" w:rsidR="00306790" w:rsidRPr="00100F0A" w:rsidRDefault="00306790" w:rsidP="00B37084">
      <w:pPr>
        <w:pStyle w:val="BodyText"/>
      </w:pPr>
    </w:p>
    <w:p w14:paraId="5B01BB91" w14:textId="34C0F5A9" w:rsidR="00B37084" w:rsidRPr="00100F0A" w:rsidRDefault="00306790" w:rsidP="005E702F">
      <w:pPr>
        <w:pStyle w:val="BodyText"/>
      </w:pPr>
      <w:bookmarkStart w:id="375" w:name="_Hlk9013146"/>
      <w:r w:rsidRPr="00100F0A">
        <w:t xml:space="preserve">The assessment </w:t>
      </w:r>
      <w:r w:rsidR="00B37084" w:rsidRPr="00100F0A">
        <w:t xml:space="preserve">assumes the </w:t>
      </w:r>
      <w:r w:rsidRPr="00100F0A">
        <w:t xml:space="preserve">management methods </w:t>
      </w:r>
      <w:r w:rsidR="00CD4A88" w:rsidRPr="00100F0A">
        <w:t xml:space="preserve">for each waste group </w:t>
      </w:r>
      <w:r w:rsidRPr="00100F0A">
        <w:t>(see</w:t>
      </w:r>
      <w:r w:rsidR="00D20469" w:rsidRPr="00100F0A">
        <w:t xml:space="preserve"> </w:t>
      </w:r>
      <w:r w:rsidR="005E702F" w:rsidRPr="00100F0A">
        <w:fldChar w:fldCharType="begin"/>
      </w:r>
      <w:r w:rsidR="005E702F" w:rsidRPr="00100F0A">
        <w:instrText xml:space="preserve"> REF _Ref531183522 \h </w:instrText>
      </w:r>
      <w:r w:rsidR="005E702F" w:rsidRPr="00100F0A">
        <w:fldChar w:fldCharType="separate"/>
      </w:r>
      <w:r w:rsidR="00EB634D" w:rsidRPr="00100F0A">
        <w:t xml:space="preserve">Figure </w:t>
      </w:r>
      <w:r w:rsidR="00EB634D">
        <w:rPr>
          <w:noProof/>
        </w:rPr>
        <w:t>40</w:t>
      </w:r>
      <w:r w:rsidR="005E702F" w:rsidRPr="00100F0A">
        <w:fldChar w:fldCharType="end"/>
      </w:r>
      <w:r w:rsidR="005E702F" w:rsidRPr="00100F0A">
        <w:t xml:space="preserve"> </w:t>
      </w:r>
      <w:r w:rsidRPr="00100F0A">
        <w:t xml:space="preserve">to </w:t>
      </w:r>
      <w:r w:rsidRPr="00100F0A">
        <w:fldChar w:fldCharType="begin"/>
      </w:r>
      <w:r w:rsidRPr="00100F0A">
        <w:instrText xml:space="preserve"> REF _Ref529543095 \h </w:instrText>
      </w:r>
      <w:r w:rsidRPr="00100F0A">
        <w:fldChar w:fldCharType="separate"/>
      </w:r>
      <w:r w:rsidR="00EB634D" w:rsidRPr="00100F0A">
        <w:t xml:space="preserve">Figure </w:t>
      </w:r>
      <w:r w:rsidR="00EB634D">
        <w:rPr>
          <w:noProof/>
        </w:rPr>
        <w:t>44</w:t>
      </w:r>
      <w:r w:rsidRPr="00100F0A">
        <w:fldChar w:fldCharType="end"/>
      </w:r>
      <w:r w:rsidRPr="00100F0A">
        <w:t>) and the mapping to t</w:t>
      </w:r>
      <w:r w:rsidR="00B37084" w:rsidRPr="00100F0A">
        <w:t>he receiving infrastructure groups</w:t>
      </w:r>
      <w:r w:rsidRPr="00100F0A">
        <w:t xml:space="preserve"> (see </w:t>
      </w:r>
      <w:r w:rsidRPr="00100F0A">
        <w:fldChar w:fldCharType="begin"/>
      </w:r>
      <w:r w:rsidRPr="00100F0A">
        <w:instrText xml:space="preserve"> REF _Ref409279813 \h </w:instrText>
      </w:r>
      <w:r w:rsidRPr="00100F0A">
        <w:fldChar w:fldCharType="separate"/>
      </w:r>
      <w:r w:rsidR="00EB634D" w:rsidRPr="00100F0A">
        <w:t xml:space="preserve">Table </w:t>
      </w:r>
      <w:r w:rsidR="00EB634D">
        <w:rPr>
          <w:noProof/>
        </w:rPr>
        <w:t>48</w:t>
      </w:r>
      <w:r w:rsidRPr="00100F0A">
        <w:fldChar w:fldCharType="end"/>
      </w:r>
      <w:r w:rsidRPr="00100F0A">
        <w:t>)</w:t>
      </w:r>
      <w:r w:rsidR="00B37084" w:rsidRPr="00100F0A">
        <w:t xml:space="preserve"> remain constant over time. In reality, changing market conditions, innovation and policy efforts are likely to change these proportions and potentially the infrastructure that manage</w:t>
      </w:r>
      <w:r w:rsidR="00786EFF">
        <w:t>s</w:t>
      </w:r>
      <w:r w:rsidR="00B37084" w:rsidRPr="00100F0A">
        <w:t xml:space="preserve"> the waste. </w:t>
      </w:r>
    </w:p>
    <w:bookmarkEnd w:id="375"/>
    <w:p w14:paraId="6C858E9A" w14:textId="77777777" w:rsidR="00B37084" w:rsidRPr="00100F0A" w:rsidRDefault="00B37084" w:rsidP="005E702F">
      <w:pPr>
        <w:pStyle w:val="BodyText"/>
      </w:pPr>
    </w:p>
    <w:p w14:paraId="3CCD179F" w14:textId="70450594" w:rsidR="00CD4A88" w:rsidRPr="00100F0A" w:rsidRDefault="00B37084" w:rsidP="00B37084">
      <w:pPr>
        <w:pStyle w:val="BodyText"/>
      </w:pPr>
      <w:r w:rsidRPr="00100F0A">
        <w:t xml:space="preserve">This </w:t>
      </w:r>
      <w:r w:rsidR="00CD4A88" w:rsidRPr="00100F0A">
        <w:t>assessment</w:t>
      </w:r>
      <w:r w:rsidRPr="00100F0A">
        <w:t xml:space="preserve"> has attempted to reduce uncertainty related to changes in the </w:t>
      </w:r>
      <w:r w:rsidR="00CD4A88" w:rsidRPr="00100F0A">
        <w:t>management methods</w:t>
      </w:r>
      <w:r w:rsidRPr="00100F0A">
        <w:t xml:space="preserve"> </w:t>
      </w:r>
      <w:r w:rsidR="00786EFF">
        <w:t xml:space="preserve">of </w:t>
      </w:r>
      <w:r w:rsidR="00CD4A88" w:rsidRPr="00100F0A">
        <w:t xml:space="preserve">each </w:t>
      </w:r>
      <w:r w:rsidRPr="00100F0A">
        <w:t xml:space="preserve">waste group by consulting with </w:t>
      </w:r>
      <w:r w:rsidR="00CC4550" w:rsidRPr="00100F0A">
        <w:t>DoEE</w:t>
      </w:r>
      <w:r w:rsidRPr="00100F0A">
        <w:t xml:space="preserve"> and jurisdictional EPA (or equivalent) staff regarding likely changes in the management requirements of hazardous waste</w:t>
      </w:r>
      <w:r w:rsidR="00CD4A88" w:rsidRPr="00100F0A">
        <w:t xml:space="preserve">. </w:t>
      </w:r>
    </w:p>
    <w:p w14:paraId="41780AEE" w14:textId="77777777" w:rsidR="00B37084" w:rsidRPr="00100F0A" w:rsidRDefault="00B37084" w:rsidP="00AD35BF">
      <w:pPr>
        <w:pStyle w:val="Heading3"/>
      </w:pPr>
      <w:r w:rsidRPr="00100F0A">
        <w:t>Limitations and uncertainty of the infrastructure capacity estimates</w:t>
      </w:r>
    </w:p>
    <w:p w14:paraId="35481FDB" w14:textId="7EC94DF0" w:rsidR="00B37084" w:rsidRPr="00100F0A" w:rsidRDefault="00B37084" w:rsidP="00B37084">
      <w:pPr>
        <w:pStyle w:val="BodyText"/>
      </w:pPr>
      <w:r w:rsidRPr="00100F0A">
        <w:t xml:space="preserve">The following factors </w:t>
      </w:r>
      <w:r w:rsidR="00CD4A88" w:rsidRPr="00100F0A">
        <w:t>increase un</w:t>
      </w:r>
      <w:r w:rsidRPr="00100F0A">
        <w:t xml:space="preserve">certainty in the infrastructure capacity estimates: </w:t>
      </w:r>
    </w:p>
    <w:p w14:paraId="788CE5BB" w14:textId="4E87BF85" w:rsidR="00B37084" w:rsidRPr="00100F0A" w:rsidRDefault="00B37084" w:rsidP="00855BBD">
      <w:pPr>
        <w:numPr>
          <w:ilvl w:val="0"/>
          <w:numId w:val="30"/>
        </w:numPr>
        <w:spacing w:before="80"/>
      </w:pPr>
      <w:r w:rsidRPr="00786EFF">
        <w:rPr>
          <w:b/>
        </w:rPr>
        <w:t>Capacity database coverage</w:t>
      </w:r>
      <w:r w:rsidR="00786EFF" w:rsidRPr="00A307F3">
        <w:rPr>
          <w:b/>
        </w:rPr>
        <w:t>:</w:t>
      </w:r>
      <w:r w:rsidRPr="00A307F3">
        <w:rPr>
          <w:b/>
        </w:rPr>
        <w:t xml:space="preserve"> </w:t>
      </w:r>
      <w:r w:rsidR="00CD4A88" w:rsidRPr="00786EFF">
        <w:t xml:space="preserve">Some </w:t>
      </w:r>
      <w:r w:rsidRPr="00786EFF">
        <w:t>waste group</w:t>
      </w:r>
      <w:r w:rsidR="00CD4A88" w:rsidRPr="00786EFF">
        <w:t xml:space="preserve">s include hazardous waste that </w:t>
      </w:r>
      <w:r w:rsidR="00786EFF">
        <w:t>is</w:t>
      </w:r>
      <w:r w:rsidR="00CD4A88" w:rsidRPr="00786EFF">
        <w:t xml:space="preserve"> </w:t>
      </w:r>
      <w:r w:rsidRPr="00786EFF">
        <w:t xml:space="preserve">managed by facilities </w:t>
      </w:r>
      <w:r w:rsidRPr="00A307F3">
        <w:t>excluded</w:t>
      </w:r>
      <w:r w:rsidRPr="00786EFF">
        <w:t xml:space="preserve"> from the</w:t>
      </w:r>
      <w:r w:rsidRPr="00100F0A">
        <w:t xml:space="preserve"> infrastructure database. As detailed in Section</w:t>
      </w:r>
      <w:r w:rsidR="00CD4A88" w:rsidRPr="00100F0A">
        <w:t xml:space="preserve"> </w:t>
      </w:r>
      <w:r w:rsidR="000F1ECC" w:rsidRPr="00100F0A">
        <w:fldChar w:fldCharType="begin"/>
      </w:r>
      <w:r w:rsidR="000F1ECC" w:rsidRPr="00100F0A">
        <w:instrText xml:space="preserve"> REF _Ref419197816 \r \h </w:instrText>
      </w:r>
      <w:r w:rsidR="000F1ECC" w:rsidRPr="00100F0A">
        <w:fldChar w:fldCharType="separate"/>
      </w:r>
      <w:r w:rsidR="00EB634D">
        <w:t>3.2</w:t>
      </w:r>
      <w:r w:rsidR="000F1ECC" w:rsidRPr="00100F0A">
        <w:fldChar w:fldCharType="end"/>
      </w:r>
      <w:r w:rsidRPr="00100F0A">
        <w:t xml:space="preserve">, many landfills that accept low level contaminated soil, asbestos and </w:t>
      </w:r>
      <w:r w:rsidR="00786EFF">
        <w:t>EOLT</w:t>
      </w:r>
      <w:r w:rsidRPr="00100F0A">
        <w:t xml:space="preserve">, for example, are not included in the scope of the infrastructure database. </w:t>
      </w:r>
    </w:p>
    <w:p w14:paraId="5EA8DA12" w14:textId="77EC77AE" w:rsidR="00B454AD" w:rsidRPr="00100F0A" w:rsidRDefault="000F1ECC" w:rsidP="00B454AD">
      <w:pPr>
        <w:spacing w:before="80"/>
        <w:ind w:left="360"/>
      </w:pPr>
      <w:r w:rsidRPr="00786EFF">
        <w:t xml:space="preserve">Some </w:t>
      </w:r>
      <w:r w:rsidR="00B37084" w:rsidRPr="00786EFF">
        <w:t>waste group</w:t>
      </w:r>
      <w:r w:rsidRPr="00786EFF">
        <w:t xml:space="preserve">s include waste that </w:t>
      </w:r>
      <w:r w:rsidR="00786EFF">
        <w:t>is</w:t>
      </w:r>
      <w:r w:rsidR="00B37084" w:rsidRPr="00786EFF">
        <w:t xml:space="preserve"> managed by infrastructure groups </w:t>
      </w:r>
      <w:r w:rsidR="00B37084" w:rsidRPr="00A307F3">
        <w:t>with limited coverage</w:t>
      </w:r>
      <w:r w:rsidR="00B37084" w:rsidRPr="00786EFF">
        <w:t xml:space="preserve"> in the infrastructure capacity database.</w:t>
      </w:r>
      <w:r w:rsidRPr="00786EFF">
        <w:t xml:space="preserve"> For example, t</w:t>
      </w:r>
      <w:r w:rsidR="00B37084" w:rsidRPr="00786EFF">
        <w:t>he database has limited</w:t>
      </w:r>
      <w:r w:rsidR="00B37084" w:rsidRPr="00100F0A">
        <w:t xml:space="preserve"> coverage </w:t>
      </w:r>
      <w:r w:rsidRPr="00100F0A">
        <w:t xml:space="preserve">of </w:t>
      </w:r>
      <w:r w:rsidR="00B37084" w:rsidRPr="00100F0A">
        <w:t>hazardous waste organics recycling facilities</w:t>
      </w:r>
      <w:r w:rsidRPr="00100F0A">
        <w:t xml:space="preserve"> and bioremediation facilities because composting facilities are excluded from the scope of database</w:t>
      </w:r>
      <w:r w:rsidR="00B37084" w:rsidRPr="00100F0A">
        <w:t xml:space="preserve">. </w:t>
      </w:r>
    </w:p>
    <w:p w14:paraId="581BDFD1" w14:textId="5845529E" w:rsidR="00B454AD" w:rsidRPr="00100F0A" w:rsidRDefault="00B454AD" w:rsidP="00B454AD">
      <w:pPr>
        <w:spacing w:before="80"/>
        <w:ind w:left="360"/>
      </w:pPr>
      <w:r w:rsidRPr="00100F0A">
        <w:t xml:space="preserve">Incomplete coverage of an infrastructure group </w:t>
      </w:r>
      <w:r w:rsidR="00B37084" w:rsidRPr="00100F0A">
        <w:t xml:space="preserve">results in an under-estimation of the capacity of these infrastructure groups and an inaccurate estimate of the period when the capacity of these groups will be exceeded. </w:t>
      </w:r>
      <w:r w:rsidR="00B37084" w:rsidRPr="00100F0A">
        <w:fldChar w:fldCharType="begin"/>
      </w:r>
      <w:r w:rsidR="00B37084" w:rsidRPr="00100F0A">
        <w:instrText xml:space="preserve"> REF _Ref419490747 \h  \* MERGEFORMAT </w:instrText>
      </w:r>
      <w:r w:rsidR="00B37084" w:rsidRPr="00100F0A">
        <w:fldChar w:fldCharType="separate"/>
      </w:r>
      <w:r w:rsidR="00EB634D" w:rsidRPr="00EB634D">
        <w:rPr>
          <w:rFonts w:asciiTheme="minorHAnsi" w:hAnsiTheme="minorHAnsi" w:cs="Calibri"/>
          <w:noProof/>
        </w:rPr>
        <w:t>Figure 45</w:t>
      </w:r>
      <w:r w:rsidR="00B37084" w:rsidRPr="00100F0A">
        <w:fldChar w:fldCharType="end"/>
      </w:r>
      <w:r w:rsidR="00B37084" w:rsidRPr="00100F0A">
        <w:t xml:space="preserve"> illustrates which infrastructure groups are </w:t>
      </w:r>
      <w:r w:rsidRPr="00100F0A">
        <w:t>excluded from the</w:t>
      </w:r>
      <w:r w:rsidR="00B37084" w:rsidRPr="00100F0A">
        <w:t xml:space="preserve"> capacity assessment or have limited coverage. </w:t>
      </w:r>
    </w:p>
    <w:p w14:paraId="70493C13" w14:textId="062B081C" w:rsidR="00B37084" w:rsidRPr="00100F0A" w:rsidRDefault="00B37084" w:rsidP="00512118">
      <w:pPr>
        <w:numPr>
          <w:ilvl w:val="0"/>
          <w:numId w:val="30"/>
        </w:numPr>
        <w:spacing w:before="80"/>
      </w:pPr>
      <w:r w:rsidRPr="00100F0A">
        <w:rPr>
          <w:b/>
        </w:rPr>
        <w:t>Capacity data quality</w:t>
      </w:r>
      <w:r w:rsidR="00786EFF">
        <w:rPr>
          <w:b/>
        </w:rPr>
        <w:t>:</w:t>
      </w:r>
      <w:r w:rsidRPr="00100F0A">
        <w:rPr>
          <w:b/>
        </w:rPr>
        <w:t xml:space="preserve"> </w:t>
      </w:r>
      <w:r w:rsidRPr="00100F0A">
        <w:t xml:space="preserve">The infrastructure capacity data collated in this report is of varying accuracy. </w:t>
      </w:r>
      <w:r w:rsidRPr="00100F0A">
        <w:fldChar w:fldCharType="begin"/>
      </w:r>
      <w:r w:rsidRPr="00100F0A">
        <w:instrText xml:space="preserve"> REF _Ref419493187 \h  \* MERGEFORMAT </w:instrText>
      </w:r>
      <w:r w:rsidRPr="00100F0A">
        <w:fldChar w:fldCharType="separate"/>
      </w:r>
      <w:r w:rsidR="00EB634D" w:rsidRPr="00EB634D">
        <w:rPr>
          <w:rFonts w:asciiTheme="minorHAnsi" w:hAnsiTheme="minorHAnsi" w:cs="Calibri"/>
          <w:noProof/>
        </w:rPr>
        <w:t>Table 46</w:t>
      </w:r>
      <w:r w:rsidRPr="00100F0A">
        <w:fldChar w:fldCharType="end"/>
      </w:r>
      <w:r w:rsidRPr="00100F0A">
        <w:t xml:space="preserve"> details the proportions of what is assumed to be </w:t>
      </w:r>
      <w:r w:rsidR="00F17434" w:rsidRPr="00100F0A">
        <w:t xml:space="preserve">good, </w:t>
      </w:r>
      <w:r w:rsidR="00BE58C4">
        <w:t>adequate</w:t>
      </w:r>
      <w:r w:rsidR="00F17434" w:rsidRPr="00100F0A">
        <w:t xml:space="preserve"> or </w:t>
      </w:r>
      <w:r w:rsidR="00346E4E" w:rsidRPr="00100F0A">
        <w:t>poor-quality</w:t>
      </w:r>
      <w:r w:rsidRPr="00100F0A">
        <w:t xml:space="preserve"> data for each infrastructure group.</w:t>
      </w:r>
    </w:p>
    <w:p w14:paraId="5C27D6F3" w14:textId="09E6693A" w:rsidR="00B37084" w:rsidRPr="00100F0A" w:rsidRDefault="00B37084" w:rsidP="00512118">
      <w:pPr>
        <w:numPr>
          <w:ilvl w:val="0"/>
          <w:numId w:val="30"/>
        </w:numPr>
        <w:spacing w:before="80"/>
      </w:pPr>
      <w:r w:rsidRPr="00100F0A">
        <w:rPr>
          <w:b/>
        </w:rPr>
        <w:t>Infrastructure group capacity overlap</w:t>
      </w:r>
      <w:r w:rsidR="00786EFF">
        <w:rPr>
          <w:b/>
        </w:rPr>
        <w:t>:</w:t>
      </w:r>
      <w:r w:rsidRPr="00100F0A">
        <w:rPr>
          <w:b/>
        </w:rPr>
        <w:t xml:space="preserve"> </w:t>
      </w:r>
      <w:r w:rsidRPr="00100F0A">
        <w:t xml:space="preserve">As discussed in Section </w:t>
      </w:r>
      <w:r w:rsidRPr="00100F0A">
        <w:fldChar w:fldCharType="begin"/>
      </w:r>
      <w:r w:rsidRPr="00100F0A">
        <w:instrText xml:space="preserve"> REF _Ref419197816 \r \h </w:instrText>
      </w:r>
      <w:r w:rsidRPr="00100F0A">
        <w:fldChar w:fldCharType="separate"/>
      </w:r>
      <w:r w:rsidR="00EB634D">
        <w:t>3.2</w:t>
      </w:r>
      <w:r w:rsidRPr="00100F0A">
        <w:fldChar w:fldCharType="end"/>
      </w:r>
      <w:r w:rsidRPr="00100F0A">
        <w:t xml:space="preserve">, </w:t>
      </w:r>
      <w:r w:rsidR="007E5EB5" w:rsidRPr="00100F0A">
        <w:rPr>
          <w:color w:val="080808"/>
        </w:rPr>
        <w:t>infrastructure was grouped based on the waste received and the waste management method</w:t>
      </w:r>
      <w:r w:rsidR="007E5EB5" w:rsidRPr="00100F0A">
        <w:rPr>
          <w:color w:val="080808"/>
          <w:vertAlign w:val="superscript"/>
        </w:rPr>
        <w:footnoteReference w:id="38"/>
      </w:r>
      <w:r w:rsidR="007E5EB5" w:rsidRPr="00100F0A">
        <w:rPr>
          <w:color w:val="080808"/>
        </w:rPr>
        <w:t xml:space="preserve"> of the infrastructure. </w:t>
      </w:r>
      <w:r w:rsidRPr="00100F0A">
        <w:rPr>
          <w:color w:val="080808"/>
        </w:rPr>
        <w:t xml:space="preserve">There is some overlap in the </w:t>
      </w:r>
      <w:r w:rsidR="007E5EB5" w:rsidRPr="00100F0A">
        <w:rPr>
          <w:color w:val="080808"/>
        </w:rPr>
        <w:t xml:space="preserve">management </w:t>
      </w:r>
      <w:r w:rsidRPr="00100F0A">
        <w:rPr>
          <w:color w:val="080808"/>
        </w:rPr>
        <w:t xml:space="preserve">provided by the infrastructure included </w:t>
      </w:r>
      <w:r w:rsidR="00BE58C4">
        <w:rPr>
          <w:color w:val="080808"/>
        </w:rPr>
        <w:t xml:space="preserve">in </w:t>
      </w:r>
      <w:r w:rsidRPr="00100F0A">
        <w:rPr>
          <w:color w:val="080808"/>
        </w:rPr>
        <w:t xml:space="preserve">the groups. Some groups may provide capacity for more than the </w:t>
      </w:r>
      <w:r w:rsidR="007E5EB5" w:rsidRPr="00100F0A">
        <w:rPr>
          <w:color w:val="080808"/>
        </w:rPr>
        <w:t>management method/s</w:t>
      </w:r>
      <w:r w:rsidRPr="00100F0A">
        <w:rPr>
          <w:color w:val="080808"/>
        </w:rPr>
        <w:t xml:space="preserve"> identified</w:t>
      </w:r>
      <w:r w:rsidR="007E5EB5" w:rsidRPr="00100F0A">
        <w:rPr>
          <w:color w:val="080808"/>
        </w:rPr>
        <w:t>. F</w:t>
      </w:r>
      <w:r w:rsidRPr="00100F0A">
        <w:rPr>
          <w:color w:val="080808"/>
        </w:rPr>
        <w:t xml:space="preserve">or example, oil re-refining facilities often have a transfer and storage capacity. In these cases, the capacity of the </w:t>
      </w:r>
      <w:r w:rsidR="007E5EB5" w:rsidRPr="00100F0A">
        <w:rPr>
          <w:color w:val="080808"/>
        </w:rPr>
        <w:t>management method may be overestimated</w:t>
      </w:r>
      <w:r w:rsidRPr="00100F0A">
        <w:rPr>
          <w:color w:val="080808"/>
        </w:rPr>
        <w:t>. It follows that where the capacity of an infrastructure group is included within other groups (e.g. transfer station and temp</w:t>
      </w:r>
      <w:r w:rsidR="00BE58C4">
        <w:rPr>
          <w:color w:val="080808"/>
        </w:rPr>
        <w:t>orary</w:t>
      </w:r>
      <w:r w:rsidRPr="00100F0A">
        <w:rPr>
          <w:color w:val="080808"/>
        </w:rPr>
        <w:t xml:space="preserve"> storage capacity is provided by many other groups) the capacity of the group is under</w:t>
      </w:r>
      <w:r w:rsidR="00BE58C4">
        <w:rPr>
          <w:color w:val="080808"/>
        </w:rPr>
        <w:t>-</w:t>
      </w:r>
      <w:r w:rsidRPr="00100F0A">
        <w:rPr>
          <w:color w:val="080808"/>
        </w:rPr>
        <w:t xml:space="preserve">estimated.  </w:t>
      </w:r>
    </w:p>
    <w:p w14:paraId="7F6E0004" w14:textId="5FD8615E" w:rsidR="00B37084" w:rsidRPr="00100F0A" w:rsidRDefault="00B37084" w:rsidP="00512118">
      <w:pPr>
        <w:numPr>
          <w:ilvl w:val="0"/>
          <w:numId w:val="30"/>
        </w:numPr>
        <w:spacing w:before="80"/>
      </w:pPr>
      <w:r w:rsidRPr="00100F0A">
        <w:rPr>
          <w:b/>
        </w:rPr>
        <w:t>Diffuse infrastructure groups</w:t>
      </w:r>
      <w:r w:rsidR="00786EFF">
        <w:rPr>
          <w:b/>
        </w:rPr>
        <w:t>:</w:t>
      </w:r>
      <w:r w:rsidRPr="00100F0A">
        <w:rPr>
          <w:b/>
        </w:rPr>
        <w:t xml:space="preserve"> </w:t>
      </w:r>
      <w:r w:rsidRPr="00100F0A">
        <w:t xml:space="preserve">The infrastructure database may be incomplete for some infrastructure groups that are within the scope of the database due to overlooked sites. Whilst this project has added some additional sites to the database, for diffuse infrastructure groups such as waste organics or solvent recycling facilities, it is likely that some small operations have not been identified </w:t>
      </w:r>
      <w:r w:rsidR="00BE58C4">
        <w:t>and</w:t>
      </w:r>
      <w:r w:rsidRPr="00100F0A">
        <w:t xml:space="preserve"> their capacity is missing.</w:t>
      </w:r>
    </w:p>
    <w:p w14:paraId="3A038E31" w14:textId="77777777" w:rsidR="00B37084" w:rsidRPr="00100F0A" w:rsidRDefault="00B37084" w:rsidP="00B37084">
      <w:pPr>
        <w:pStyle w:val="BodyText"/>
        <w:rPr>
          <w:b/>
        </w:rPr>
      </w:pPr>
    </w:p>
    <w:p w14:paraId="416C5D46" w14:textId="1EFCA627" w:rsidR="00346E4E" w:rsidRPr="00100F0A" w:rsidRDefault="00B37084" w:rsidP="00B37084">
      <w:pPr>
        <w:pStyle w:val="BodyText"/>
      </w:pPr>
      <w:r w:rsidRPr="00100F0A">
        <w:t>For each infrastructure group the limitations and uncertainties of the capacity estimates discussed above are assessed in</w:t>
      </w:r>
      <w:r w:rsidR="00BE58C4">
        <w:t xml:space="preserve"> </w:t>
      </w:r>
      <w:r w:rsidR="00BE58C4">
        <w:fldChar w:fldCharType="begin"/>
      </w:r>
      <w:r w:rsidR="00BE58C4">
        <w:instrText xml:space="preserve"> REF _Ref419737701 \h </w:instrText>
      </w:r>
      <w:r w:rsidR="00BE58C4">
        <w:fldChar w:fldCharType="separate"/>
      </w:r>
      <w:r w:rsidR="00EB634D" w:rsidRPr="00100F0A">
        <w:t xml:space="preserve">Table </w:t>
      </w:r>
      <w:r w:rsidR="00EB634D">
        <w:rPr>
          <w:noProof/>
        </w:rPr>
        <w:t>49</w:t>
      </w:r>
      <w:r w:rsidR="00BE58C4">
        <w:fldChar w:fldCharType="end"/>
      </w:r>
      <w:r w:rsidRPr="00100F0A">
        <w:t xml:space="preserve">. An overall assessment of uncertainty for capacity estimates is provided for each group (from low through to very high). </w:t>
      </w:r>
    </w:p>
    <w:p w14:paraId="2DBACBE6" w14:textId="77777777" w:rsidR="00346E4E" w:rsidRPr="00100F0A" w:rsidRDefault="00346E4E" w:rsidP="00B37084">
      <w:pPr>
        <w:pStyle w:val="BodyText"/>
      </w:pPr>
    </w:p>
    <w:p w14:paraId="3572C7A4" w14:textId="754330FA" w:rsidR="00B37084" w:rsidRPr="00100F0A" w:rsidRDefault="00B37084" w:rsidP="00B37084">
      <w:pPr>
        <w:pStyle w:val="BodyText"/>
      </w:pPr>
      <w:r w:rsidRPr="00100F0A">
        <w:t>Th</w:t>
      </w:r>
      <w:r w:rsidR="00346E4E" w:rsidRPr="00100F0A">
        <w:t>e</w:t>
      </w:r>
      <w:r w:rsidRPr="00100F0A">
        <w:t xml:space="preserve"> assessment of capacity uncertainty is an important consideration when assessing the period when the waste group projections are </w:t>
      </w:r>
      <w:r w:rsidR="00346E4E" w:rsidRPr="00100F0A">
        <w:t xml:space="preserve">projected </w:t>
      </w:r>
      <w:r w:rsidRPr="00100F0A">
        <w:t>to exceed the infrastructure group capacity</w:t>
      </w:r>
      <w:r w:rsidR="00346E4E" w:rsidRPr="00100F0A">
        <w:t>.</w:t>
      </w:r>
    </w:p>
    <w:p w14:paraId="0F61B041" w14:textId="77777777" w:rsidR="00B37084" w:rsidRPr="00100F0A" w:rsidRDefault="00B37084" w:rsidP="00B37084">
      <w:pPr>
        <w:pStyle w:val="BodyText"/>
      </w:pPr>
    </w:p>
    <w:p w14:paraId="31B360A4" w14:textId="77777777" w:rsidR="00B37084" w:rsidRPr="00100F0A" w:rsidRDefault="00B37084" w:rsidP="00B37084">
      <w:pPr>
        <w:pStyle w:val="BodyText"/>
      </w:pPr>
    </w:p>
    <w:p w14:paraId="498F41CE" w14:textId="77777777" w:rsidR="00B37084" w:rsidRPr="00100F0A" w:rsidRDefault="00B37084" w:rsidP="00B37084">
      <w:pPr>
        <w:pStyle w:val="BodyText"/>
      </w:pPr>
    </w:p>
    <w:p w14:paraId="17DC4797" w14:textId="77777777" w:rsidR="00B37084" w:rsidRPr="00100F0A" w:rsidRDefault="00B37084" w:rsidP="00B37084">
      <w:pPr>
        <w:pStyle w:val="BodyText"/>
        <w:sectPr w:rsidR="00B37084" w:rsidRPr="00100F0A" w:rsidSect="003879F7">
          <w:pgSz w:w="11907" w:h="16840" w:code="9"/>
          <w:pgMar w:top="1440" w:right="1077" w:bottom="1440" w:left="1797" w:header="709" w:footer="709" w:gutter="0"/>
          <w:cols w:space="708"/>
          <w:docGrid w:linePitch="360"/>
        </w:sectPr>
      </w:pPr>
    </w:p>
    <w:p w14:paraId="78B337D4" w14:textId="3CFBD840" w:rsidR="00B37084" w:rsidRPr="00100F0A" w:rsidRDefault="00B37084" w:rsidP="0095119F">
      <w:pPr>
        <w:pStyle w:val="Caption"/>
      </w:pPr>
      <w:bookmarkStart w:id="376" w:name="_Ref419490747"/>
      <w:bookmarkStart w:id="377" w:name="_Toc425849257"/>
      <w:bookmarkStart w:id="378" w:name="_Toc13225618"/>
      <w:r w:rsidRPr="00100F0A">
        <w:t xml:space="preserve">Figure </w:t>
      </w:r>
      <w:r w:rsidR="002F2488">
        <w:rPr>
          <w:noProof/>
        </w:rPr>
        <w:fldChar w:fldCharType="begin"/>
      </w:r>
      <w:r w:rsidR="002F2488">
        <w:rPr>
          <w:noProof/>
        </w:rPr>
        <w:instrText xml:space="preserve"> SEQ Figure \* ARABIC </w:instrText>
      </w:r>
      <w:r w:rsidR="002F2488">
        <w:rPr>
          <w:noProof/>
        </w:rPr>
        <w:fldChar w:fldCharType="separate"/>
      </w:r>
      <w:r w:rsidR="00EB634D">
        <w:rPr>
          <w:noProof/>
        </w:rPr>
        <w:t>45</w:t>
      </w:r>
      <w:r w:rsidR="002F2488">
        <w:rPr>
          <w:noProof/>
        </w:rPr>
        <w:fldChar w:fldCharType="end"/>
      </w:r>
      <w:bookmarkEnd w:id="376"/>
      <w:r w:rsidR="00CF21A9">
        <w:t>:</w:t>
      </w:r>
      <w:r w:rsidR="00D11FEE" w:rsidRPr="00100F0A">
        <w:tab/>
      </w:r>
      <w:r w:rsidRPr="00100F0A">
        <w:t>Hazardous waste groups arisings, coverage in capacity database and extent of assessment</w:t>
      </w:r>
      <w:bookmarkStart w:id="379" w:name="_Toc419449196"/>
      <w:bookmarkEnd w:id="377"/>
      <w:bookmarkEnd w:id="378"/>
    </w:p>
    <w:p w14:paraId="05D15BFD" w14:textId="657B4070" w:rsidR="00F623CB" w:rsidRPr="00100F0A" w:rsidRDefault="002919BE" w:rsidP="004206B0">
      <w:pPr>
        <w:pStyle w:val="BodyText"/>
        <w:jc w:val="center"/>
      </w:pPr>
      <w:r>
        <w:rPr>
          <w:noProof/>
          <w:lang w:eastAsia="en-AU"/>
        </w:rPr>
        <w:drawing>
          <wp:inline distT="0" distB="0" distL="0" distR="0" wp14:anchorId="5B528C88" wp14:editId="08E615FA">
            <wp:extent cx="5735320" cy="5625465"/>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HWIN coverage v3.emf"/>
                    <pic:cNvPicPr/>
                  </pic:nvPicPr>
                  <pic:blipFill>
                    <a:blip r:embed="rId25">
                      <a:extLst>
                        <a:ext uri="{28A0092B-C50C-407E-A947-70E740481C1C}">
                          <a14:useLocalDpi xmlns:a14="http://schemas.microsoft.com/office/drawing/2010/main" val="0"/>
                        </a:ext>
                      </a:extLst>
                    </a:blip>
                    <a:stretch>
                      <a:fillRect/>
                    </a:stretch>
                  </pic:blipFill>
                  <pic:spPr>
                    <a:xfrm>
                      <a:off x="0" y="0"/>
                      <a:ext cx="5735320" cy="5625465"/>
                    </a:xfrm>
                    <a:prstGeom prst="rect">
                      <a:avLst/>
                    </a:prstGeom>
                  </pic:spPr>
                </pic:pic>
              </a:graphicData>
            </a:graphic>
          </wp:inline>
        </w:drawing>
      </w:r>
    </w:p>
    <w:p w14:paraId="28767284" w14:textId="77777777" w:rsidR="00F623CB" w:rsidRPr="00100F0A" w:rsidRDefault="00F623CB" w:rsidP="00F623CB">
      <w:pPr>
        <w:pStyle w:val="BodyText"/>
      </w:pPr>
    </w:p>
    <w:p w14:paraId="0E71C744" w14:textId="6B99547D" w:rsidR="00B37084" w:rsidRPr="00100F0A" w:rsidRDefault="00B37084" w:rsidP="00B37084">
      <w:pPr>
        <w:keepNext/>
        <w:ind w:left="992" w:right="-142" w:firstLine="1"/>
      </w:pPr>
    </w:p>
    <w:p w14:paraId="3DF629EF" w14:textId="77777777" w:rsidR="00B37084" w:rsidRPr="00100F0A" w:rsidRDefault="00B37084" w:rsidP="00B37084">
      <w:pPr>
        <w:keepNext/>
        <w:ind w:left="992" w:right="-142" w:firstLine="1"/>
      </w:pPr>
    </w:p>
    <w:p w14:paraId="27B39270" w14:textId="77777777" w:rsidR="00B37084" w:rsidRPr="00100F0A" w:rsidRDefault="00B37084" w:rsidP="00B37084">
      <w:pPr>
        <w:keepNext/>
        <w:ind w:left="992" w:right="-142" w:firstLine="1"/>
      </w:pPr>
    </w:p>
    <w:p w14:paraId="2F0599A5" w14:textId="77777777" w:rsidR="00B37084" w:rsidRPr="00100F0A" w:rsidRDefault="00B37084" w:rsidP="00B37084">
      <w:pPr>
        <w:keepNext/>
        <w:ind w:left="992" w:right="-142" w:firstLine="1"/>
      </w:pPr>
    </w:p>
    <w:p w14:paraId="04E4294F" w14:textId="77777777" w:rsidR="00B37084" w:rsidRPr="00100F0A" w:rsidRDefault="00B37084" w:rsidP="00B37084">
      <w:pPr>
        <w:keepNext/>
        <w:ind w:left="992" w:right="-142" w:firstLine="1"/>
        <w:sectPr w:rsidR="00B37084" w:rsidRPr="00100F0A" w:rsidSect="003879F7">
          <w:pgSz w:w="11907" w:h="16840" w:code="9"/>
          <w:pgMar w:top="1560" w:right="1135" w:bottom="1134" w:left="1304" w:header="709" w:footer="709" w:gutter="0"/>
          <w:cols w:space="708"/>
          <w:docGrid w:linePitch="360"/>
        </w:sectPr>
      </w:pPr>
    </w:p>
    <w:p w14:paraId="1F561673" w14:textId="1A707645" w:rsidR="00B37084" w:rsidRPr="00100F0A" w:rsidRDefault="00B37084" w:rsidP="0095119F">
      <w:pPr>
        <w:pStyle w:val="Caption"/>
      </w:pPr>
      <w:bookmarkStart w:id="380" w:name="_Ref421043373"/>
      <w:bookmarkStart w:id="381" w:name="_Toc425849340"/>
      <w:bookmarkStart w:id="382" w:name="_Ref419737701"/>
      <w:bookmarkStart w:id="383" w:name="_Toc13225668"/>
      <w:r w:rsidRPr="00100F0A">
        <w:t>Table</w:t>
      </w:r>
      <w:bookmarkStart w:id="384" w:name="_Ref421043440"/>
      <w:bookmarkStart w:id="385" w:name="_Toc425849341"/>
      <w:bookmarkEnd w:id="380"/>
      <w:bookmarkEnd w:id="381"/>
      <w:r w:rsidR="002559A6" w:rsidRPr="00100F0A">
        <w:t xml:space="preserv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49</w:t>
      </w:r>
      <w:r w:rsidR="00B404A6" w:rsidRPr="00100F0A">
        <w:rPr>
          <w:noProof/>
        </w:rPr>
        <w:fldChar w:fldCharType="end"/>
      </w:r>
      <w:bookmarkEnd w:id="382"/>
      <w:bookmarkEnd w:id="384"/>
      <w:r w:rsidR="00CF21A9">
        <w:rPr>
          <w:noProof/>
        </w:rPr>
        <w:t>:</w:t>
      </w:r>
      <w:r w:rsidR="00D11FEE" w:rsidRPr="00100F0A">
        <w:tab/>
      </w:r>
      <w:r w:rsidRPr="00100F0A">
        <w:t>Infrastructure capacity estimates assessment of uncertainty</w:t>
      </w:r>
      <w:bookmarkEnd w:id="383"/>
      <w:bookmarkEnd w:id="385"/>
      <w:r w:rsidRPr="00100F0A">
        <w:t xml:space="preserve"> </w:t>
      </w:r>
    </w:p>
    <w:bookmarkEnd w:id="379"/>
    <w:p w14:paraId="6C5A1D25" w14:textId="77777777" w:rsidR="00B37084" w:rsidRPr="00100F0A" w:rsidRDefault="00B37084" w:rsidP="00B37084">
      <w:pPr>
        <w:pStyle w:val="BodyText"/>
      </w:pPr>
    </w:p>
    <w:tbl>
      <w:tblPr>
        <w:tblW w:w="4853" w:type="pct"/>
        <w:tblLook w:val="04A0" w:firstRow="1" w:lastRow="0" w:firstColumn="1" w:lastColumn="0" w:noHBand="0" w:noVBand="1"/>
      </w:tblPr>
      <w:tblGrid>
        <w:gridCol w:w="4791"/>
        <w:gridCol w:w="1737"/>
        <w:gridCol w:w="2123"/>
        <w:gridCol w:w="2267"/>
        <w:gridCol w:w="1554"/>
        <w:gridCol w:w="1837"/>
      </w:tblGrid>
      <w:tr w:rsidR="001347A6" w:rsidRPr="00100F0A" w14:paraId="210D32E6" w14:textId="77777777" w:rsidTr="001347A6">
        <w:trPr>
          <w:trHeight w:val="501"/>
        </w:trPr>
        <w:tc>
          <w:tcPr>
            <w:tcW w:w="1674" w:type="pct"/>
            <w:tcBorders>
              <w:top w:val="nil"/>
              <w:left w:val="nil"/>
              <w:bottom w:val="nil"/>
              <w:right w:val="nil"/>
            </w:tcBorders>
            <w:shd w:val="clear" w:color="auto" w:fill="auto"/>
            <w:vAlign w:val="bottom"/>
            <w:hideMark/>
          </w:tcPr>
          <w:p w14:paraId="3D94E59F" w14:textId="77777777" w:rsidR="001347A6" w:rsidRPr="00100F0A" w:rsidRDefault="001347A6" w:rsidP="001347A6">
            <w:pPr>
              <w:jc w:val="right"/>
              <w:rPr>
                <w:rFonts w:eastAsia="Times New Roman" w:cs="Calibri"/>
                <w:b/>
                <w:bCs/>
                <w:color w:val="000000"/>
                <w:sz w:val="20"/>
                <w:szCs w:val="20"/>
                <w:lang w:eastAsia="en-AU"/>
              </w:rPr>
            </w:pPr>
            <w:r w:rsidRPr="00100F0A">
              <w:rPr>
                <w:rFonts w:eastAsia="Times New Roman" w:cs="Calibri"/>
                <w:b/>
                <w:bCs/>
                <w:color w:val="000000"/>
                <w:sz w:val="20"/>
                <w:szCs w:val="20"/>
                <w:lang w:eastAsia="en-AU"/>
              </w:rPr>
              <w:t>Hazardous waste infrastructure</w:t>
            </w:r>
          </w:p>
        </w:tc>
        <w:tc>
          <w:tcPr>
            <w:tcW w:w="607" w:type="pct"/>
            <w:tcBorders>
              <w:top w:val="nil"/>
              <w:left w:val="nil"/>
              <w:bottom w:val="nil"/>
              <w:right w:val="nil"/>
            </w:tcBorders>
            <w:shd w:val="clear" w:color="auto" w:fill="auto"/>
            <w:vAlign w:val="center"/>
            <w:hideMark/>
          </w:tcPr>
          <w:p w14:paraId="1439E25A" w14:textId="77777777" w:rsidR="001347A6" w:rsidRPr="00100F0A" w:rsidRDefault="001347A6" w:rsidP="001347A6">
            <w:pPr>
              <w:rPr>
                <w:rFonts w:eastAsia="Times New Roman" w:cs="Calibri"/>
                <w:b/>
                <w:bCs/>
                <w:sz w:val="20"/>
                <w:szCs w:val="20"/>
                <w:lang w:eastAsia="en-AU"/>
              </w:rPr>
            </w:pPr>
            <w:r w:rsidRPr="00100F0A">
              <w:rPr>
                <w:rFonts w:eastAsia="Times New Roman" w:cs="Times New Roman"/>
                <w:b/>
                <w:bCs/>
                <w:sz w:val="20"/>
                <w:szCs w:val="20"/>
                <w:lang w:eastAsia="en-AU"/>
              </w:rPr>
              <w:t>1. Coverage in capacity database</w:t>
            </w:r>
          </w:p>
        </w:tc>
        <w:tc>
          <w:tcPr>
            <w:tcW w:w="742" w:type="pct"/>
            <w:tcBorders>
              <w:top w:val="nil"/>
              <w:left w:val="nil"/>
              <w:bottom w:val="nil"/>
              <w:right w:val="nil"/>
            </w:tcBorders>
            <w:shd w:val="clear" w:color="auto" w:fill="auto"/>
            <w:vAlign w:val="center"/>
            <w:hideMark/>
          </w:tcPr>
          <w:p w14:paraId="0BAD4528" w14:textId="77777777" w:rsidR="001347A6" w:rsidRPr="00100F0A" w:rsidRDefault="001347A6" w:rsidP="001347A6">
            <w:pPr>
              <w:rPr>
                <w:rFonts w:eastAsia="Times New Roman" w:cs="Calibri"/>
                <w:b/>
                <w:bCs/>
                <w:sz w:val="20"/>
                <w:szCs w:val="20"/>
                <w:lang w:eastAsia="en-AU"/>
              </w:rPr>
            </w:pPr>
            <w:r w:rsidRPr="00100F0A">
              <w:rPr>
                <w:rFonts w:eastAsia="Times New Roman" w:cs="Times New Roman"/>
                <w:b/>
                <w:bCs/>
                <w:sz w:val="20"/>
                <w:szCs w:val="20"/>
                <w:lang w:eastAsia="en-AU"/>
              </w:rPr>
              <w:t>2. Ind. response for capacity data</w:t>
            </w:r>
          </w:p>
        </w:tc>
        <w:tc>
          <w:tcPr>
            <w:tcW w:w="792" w:type="pct"/>
            <w:tcBorders>
              <w:top w:val="nil"/>
              <w:left w:val="nil"/>
              <w:bottom w:val="nil"/>
              <w:right w:val="nil"/>
            </w:tcBorders>
            <w:shd w:val="clear" w:color="auto" w:fill="auto"/>
            <w:vAlign w:val="center"/>
            <w:hideMark/>
          </w:tcPr>
          <w:p w14:paraId="1142B453" w14:textId="77777777" w:rsidR="001347A6" w:rsidRPr="00100F0A" w:rsidRDefault="001347A6" w:rsidP="001347A6">
            <w:pPr>
              <w:rPr>
                <w:rFonts w:eastAsia="Times New Roman" w:cs="Calibri"/>
                <w:b/>
                <w:bCs/>
                <w:sz w:val="20"/>
                <w:szCs w:val="20"/>
                <w:lang w:eastAsia="en-AU"/>
              </w:rPr>
            </w:pPr>
            <w:r w:rsidRPr="00100F0A">
              <w:rPr>
                <w:rFonts w:eastAsia="Times New Roman" w:cs="Times New Roman"/>
                <w:b/>
                <w:bCs/>
                <w:sz w:val="20"/>
                <w:szCs w:val="20"/>
                <w:lang w:eastAsia="en-AU"/>
              </w:rPr>
              <w:t xml:space="preserve">3. Infrastructure grouping overlap? (Y/N) </w:t>
            </w:r>
          </w:p>
        </w:tc>
        <w:tc>
          <w:tcPr>
            <w:tcW w:w="543" w:type="pct"/>
            <w:tcBorders>
              <w:top w:val="nil"/>
              <w:left w:val="nil"/>
              <w:bottom w:val="nil"/>
              <w:right w:val="nil"/>
            </w:tcBorders>
            <w:shd w:val="clear" w:color="auto" w:fill="auto"/>
            <w:vAlign w:val="center"/>
            <w:hideMark/>
          </w:tcPr>
          <w:p w14:paraId="470C8EBF" w14:textId="77777777" w:rsidR="001347A6" w:rsidRPr="00100F0A" w:rsidRDefault="001347A6" w:rsidP="001347A6">
            <w:pPr>
              <w:rPr>
                <w:rFonts w:eastAsia="Times New Roman" w:cs="Calibri"/>
                <w:b/>
                <w:bCs/>
                <w:sz w:val="20"/>
                <w:szCs w:val="20"/>
                <w:lang w:eastAsia="en-AU"/>
              </w:rPr>
            </w:pPr>
            <w:r w:rsidRPr="00100F0A">
              <w:rPr>
                <w:rFonts w:eastAsia="Times New Roman" w:cs="Times New Roman"/>
                <w:b/>
                <w:bCs/>
                <w:sz w:val="20"/>
                <w:szCs w:val="20"/>
                <w:lang w:eastAsia="en-AU"/>
              </w:rPr>
              <w:t xml:space="preserve">4. Very diffuse inf. group? </w:t>
            </w:r>
          </w:p>
        </w:tc>
        <w:tc>
          <w:tcPr>
            <w:tcW w:w="642" w:type="pct"/>
            <w:tcBorders>
              <w:top w:val="nil"/>
              <w:left w:val="nil"/>
              <w:bottom w:val="nil"/>
              <w:right w:val="nil"/>
            </w:tcBorders>
            <w:shd w:val="clear" w:color="auto" w:fill="auto"/>
            <w:vAlign w:val="center"/>
            <w:hideMark/>
          </w:tcPr>
          <w:p w14:paraId="47CD10E0" w14:textId="77777777" w:rsidR="001347A6" w:rsidRPr="00100F0A" w:rsidRDefault="001347A6" w:rsidP="001347A6">
            <w:pPr>
              <w:rPr>
                <w:rFonts w:eastAsia="Times New Roman" w:cs="Calibri"/>
                <w:b/>
                <w:bCs/>
                <w:sz w:val="20"/>
                <w:szCs w:val="20"/>
                <w:lang w:eastAsia="en-AU"/>
              </w:rPr>
            </w:pPr>
            <w:r w:rsidRPr="00100F0A">
              <w:rPr>
                <w:rFonts w:eastAsia="Times New Roman" w:cs="Times New Roman"/>
                <w:b/>
                <w:bCs/>
                <w:sz w:val="20"/>
                <w:szCs w:val="20"/>
                <w:lang w:eastAsia="en-AU"/>
              </w:rPr>
              <w:t>Uncertainty of capacity estimate</w:t>
            </w:r>
          </w:p>
        </w:tc>
      </w:tr>
      <w:tr w:rsidR="001347A6" w:rsidRPr="00100F0A" w14:paraId="074C57A9" w14:textId="77777777" w:rsidTr="001347A6">
        <w:trPr>
          <w:trHeight w:val="255"/>
        </w:trPr>
        <w:tc>
          <w:tcPr>
            <w:tcW w:w="1674" w:type="pct"/>
            <w:tcBorders>
              <w:top w:val="nil"/>
              <w:left w:val="nil"/>
              <w:bottom w:val="nil"/>
              <w:right w:val="nil"/>
            </w:tcBorders>
            <w:shd w:val="clear" w:color="000000" w:fill="C5D9F1"/>
            <w:noWrap/>
            <w:vAlign w:val="bottom"/>
            <w:hideMark/>
          </w:tcPr>
          <w:p w14:paraId="12666D03" w14:textId="77777777" w:rsidR="001347A6" w:rsidRPr="00100F0A" w:rsidRDefault="001347A6" w:rsidP="001347A6">
            <w:pPr>
              <w:jc w:val="right"/>
              <w:rPr>
                <w:rFonts w:eastAsia="Times New Roman" w:cs="Calibri"/>
                <w:b/>
                <w:bCs/>
                <w:color w:val="000000"/>
                <w:sz w:val="20"/>
                <w:szCs w:val="20"/>
                <w:lang w:eastAsia="en-AU"/>
              </w:rPr>
            </w:pPr>
            <w:r w:rsidRPr="00100F0A">
              <w:rPr>
                <w:rFonts w:eastAsia="Times New Roman" w:cs="Calibri"/>
                <w:b/>
                <w:bCs/>
                <w:color w:val="000000"/>
                <w:sz w:val="20"/>
                <w:szCs w:val="20"/>
                <w:lang w:eastAsia="en-AU"/>
              </w:rPr>
              <w:t>Recycling and energy recovery</w:t>
            </w:r>
          </w:p>
        </w:tc>
        <w:tc>
          <w:tcPr>
            <w:tcW w:w="607" w:type="pct"/>
            <w:tcBorders>
              <w:top w:val="nil"/>
              <w:left w:val="nil"/>
              <w:bottom w:val="nil"/>
              <w:right w:val="nil"/>
            </w:tcBorders>
            <w:shd w:val="clear" w:color="000000" w:fill="C5D9F1"/>
            <w:noWrap/>
            <w:vAlign w:val="bottom"/>
            <w:hideMark/>
          </w:tcPr>
          <w:p w14:paraId="7E70BC31" w14:textId="77777777" w:rsidR="001347A6" w:rsidRPr="00100F0A" w:rsidRDefault="001347A6" w:rsidP="001347A6">
            <w:pPr>
              <w:jc w:val="right"/>
              <w:rPr>
                <w:rFonts w:eastAsia="Times New Roman" w:cs="Calibri"/>
                <w:b/>
                <w:bCs/>
                <w:sz w:val="20"/>
                <w:szCs w:val="20"/>
                <w:lang w:eastAsia="en-AU"/>
              </w:rPr>
            </w:pPr>
            <w:r w:rsidRPr="00100F0A">
              <w:rPr>
                <w:rFonts w:eastAsia="Times New Roman" w:cs="Calibri"/>
                <w:b/>
                <w:bCs/>
                <w:sz w:val="20"/>
                <w:szCs w:val="20"/>
                <w:lang w:eastAsia="en-AU"/>
              </w:rPr>
              <w:t> </w:t>
            </w:r>
          </w:p>
        </w:tc>
        <w:tc>
          <w:tcPr>
            <w:tcW w:w="742" w:type="pct"/>
            <w:tcBorders>
              <w:top w:val="nil"/>
              <w:left w:val="nil"/>
              <w:bottom w:val="nil"/>
              <w:right w:val="nil"/>
            </w:tcBorders>
            <w:shd w:val="clear" w:color="000000" w:fill="C5D9F1"/>
            <w:noWrap/>
            <w:vAlign w:val="bottom"/>
            <w:hideMark/>
          </w:tcPr>
          <w:p w14:paraId="45F0952B" w14:textId="77777777" w:rsidR="001347A6" w:rsidRPr="00100F0A" w:rsidRDefault="001347A6" w:rsidP="001347A6">
            <w:pPr>
              <w:jc w:val="right"/>
              <w:rPr>
                <w:rFonts w:eastAsia="Times New Roman" w:cs="Calibri"/>
                <w:b/>
                <w:bCs/>
                <w:sz w:val="20"/>
                <w:szCs w:val="20"/>
                <w:lang w:eastAsia="en-AU"/>
              </w:rPr>
            </w:pPr>
            <w:r w:rsidRPr="00100F0A">
              <w:rPr>
                <w:rFonts w:eastAsia="Times New Roman" w:cs="Calibri"/>
                <w:b/>
                <w:bCs/>
                <w:sz w:val="20"/>
                <w:szCs w:val="20"/>
                <w:lang w:eastAsia="en-AU"/>
              </w:rPr>
              <w:t> </w:t>
            </w:r>
          </w:p>
        </w:tc>
        <w:tc>
          <w:tcPr>
            <w:tcW w:w="792" w:type="pct"/>
            <w:tcBorders>
              <w:top w:val="nil"/>
              <w:left w:val="nil"/>
              <w:bottom w:val="nil"/>
              <w:right w:val="nil"/>
            </w:tcBorders>
            <w:shd w:val="clear" w:color="000000" w:fill="C5D9F1"/>
            <w:noWrap/>
            <w:vAlign w:val="bottom"/>
            <w:hideMark/>
          </w:tcPr>
          <w:p w14:paraId="399765B8" w14:textId="77777777" w:rsidR="001347A6" w:rsidRPr="00100F0A" w:rsidRDefault="001347A6" w:rsidP="001347A6">
            <w:pPr>
              <w:jc w:val="right"/>
              <w:rPr>
                <w:rFonts w:eastAsia="Times New Roman" w:cs="Calibri"/>
                <w:b/>
                <w:bCs/>
                <w:sz w:val="20"/>
                <w:szCs w:val="20"/>
                <w:lang w:eastAsia="en-AU"/>
              </w:rPr>
            </w:pPr>
            <w:r w:rsidRPr="00100F0A">
              <w:rPr>
                <w:rFonts w:eastAsia="Times New Roman" w:cs="Calibri"/>
                <w:b/>
                <w:bCs/>
                <w:sz w:val="20"/>
                <w:szCs w:val="20"/>
                <w:lang w:eastAsia="en-AU"/>
              </w:rPr>
              <w:t> </w:t>
            </w:r>
          </w:p>
        </w:tc>
        <w:tc>
          <w:tcPr>
            <w:tcW w:w="543" w:type="pct"/>
            <w:tcBorders>
              <w:top w:val="nil"/>
              <w:left w:val="nil"/>
              <w:bottom w:val="nil"/>
              <w:right w:val="nil"/>
            </w:tcBorders>
            <w:shd w:val="clear" w:color="000000" w:fill="C5D9F1"/>
            <w:noWrap/>
            <w:vAlign w:val="bottom"/>
            <w:hideMark/>
          </w:tcPr>
          <w:p w14:paraId="0026082F" w14:textId="77777777" w:rsidR="001347A6" w:rsidRPr="00100F0A" w:rsidRDefault="001347A6" w:rsidP="001347A6">
            <w:pPr>
              <w:jc w:val="right"/>
              <w:rPr>
                <w:rFonts w:eastAsia="Times New Roman" w:cs="Calibri"/>
                <w:b/>
                <w:bCs/>
                <w:sz w:val="20"/>
                <w:szCs w:val="20"/>
                <w:lang w:eastAsia="en-AU"/>
              </w:rPr>
            </w:pPr>
            <w:r w:rsidRPr="00100F0A">
              <w:rPr>
                <w:rFonts w:eastAsia="Times New Roman" w:cs="Calibri"/>
                <w:b/>
                <w:bCs/>
                <w:sz w:val="20"/>
                <w:szCs w:val="20"/>
                <w:lang w:eastAsia="en-AU"/>
              </w:rPr>
              <w:t> </w:t>
            </w:r>
          </w:p>
        </w:tc>
        <w:tc>
          <w:tcPr>
            <w:tcW w:w="642" w:type="pct"/>
            <w:tcBorders>
              <w:top w:val="nil"/>
              <w:left w:val="nil"/>
              <w:bottom w:val="nil"/>
              <w:right w:val="nil"/>
            </w:tcBorders>
            <w:shd w:val="clear" w:color="000000" w:fill="C5D9F1"/>
            <w:noWrap/>
            <w:vAlign w:val="bottom"/>
            <w:hideMark/>
          </w:tcPr>
          <w:p w14:paraId="4E14995D" w14:textId="77777777" w:rsidR="001347A6" w:rsidRPr="00100F0A" w:rsidRDefault="001347A6" w:rsidP="001347A6">
            <w:pPr>
              <w:jc w:val="right"/>
              <w:rPr>
                <w:rFonts w:eastAsia="Times New Roman" w:cs="Calibri"/>
                <w:b/>
                <w:bCs/>
                <w:sz w:val="20"/>
                <w:szCs w:val="20"/>
                <w:lang w:eastAsia="en-AU"/>
              </w:rPr>
            </w:pPr>
            <w:r w:rsidRPr="00100F0A">
              <w:rPr>
                <w:rFonts w:eastAsia="Times New Roman" w:cs="Calibri"/>
                <w:b/>
                <w:bCs/>
                <w:sz w:val="20"/>
                <w:szCs w:val="20"/>
                <w:lang w:eastAsia="en-AU"/>
              </w:rPr>
              <w:t> </w:t>
            </w:r>
          </w:p>
        </w:tc>
      </w:tr>
      <w:tr w:rsidR="001347A6" w:rsidRPr="00100F0A" w14:paraId="7F459C56" w14:textId="77777777" w:rsidTr="001347A6">
        <w:trPr>
          <w:trHeight w:val="255"/>
        </w:trPr>
        <w:tc>
          <w:tcPr>
            <w:tcW w:w="1674" w:type="pct"/>
            <w:tcBorders>
              <w:top w:val="nil"/>
              <w:left w:val="nil"/>
              <w:bottom w:val="nil"/>
              <w:right w:val="nil"/>
            </w:tcBorders>
            <w:shd w:val="clear" w:color="auto" w:fill="auto"/>
            <w:noWrap/>
            <w:vAlign w:val="center"/>
            <w:hideMark/>
          </w:tcPr>
          <w:p w14:paraId="16CBAC37" w14:textId="77777777" w:rsidR="001347A6" w:rsidRPr="00100F0A" w:rsidRDefault="001347A6" w:rsidP="001347A6">
            <w:pPr>
              <w:jc w:val="right"/>
              <w:rPr>
                <w:rFonts w:eastAsia="Times New Roman" w:cs="Calibri"/>
                <w:color w:val="000000"/>
                <w:sz w:val="20"/>
                <w:szCs w:val="20"/>
                <w:lang w:eastAsia="en-AU"/>
              </w:rPr>
            </w:pPr>
            <w:r w:rsidRPr="00100F0A">
              <w:rPr>
                <w:rFonts w:eastAsia="Times New Roman" w:cs="Calibri"/>
                <w:color w:val="000000"/>
                <w:sz w:val="20"/>
                <w:szCs w:val="20"/>
                <w:lang w:eastAsia="en-AU"/>
              </w:rPr>
              <w:t>Hazardous waste packaging facility</w:t>
            </w:r>
          </w:p>
        </w:tc>
        <w:tc>
          <w:tcPr>
            <w:tcW w:w="607" w:type="pct"/>
            <w:tcBorders>
              <w:top w:val="nil"/>
              <w:left w:val="nil"/>
              <w:bottom w:val="nil"/>
              <w:right w:val="nil"/>
            </w:tcBorders>
            <w:shd w:val="clear" w:color="auto" w:fill="auto"/>
            <w:noWrap/>
            <w:vAlign w:val="bottom"/>
            <w:hideMark/>
          </w:tcPr>
          <w:p w14:paraId="1E9A67D7"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Full</w:t>
            </w:r>
          </w:p>
        </w:tc>
        <w:tc>
          <w:tcPr>
            <w:tcW w:w="742" w:type="pct"/>
            <w:tcBorders>
              <w:top w:val="nil"/>
              <w:left w:val="nil"/>
              <w:bottom w:val="nil"/>
              <w:right w:val="nil"/>
            </w:tcBorders>
            <w:shd w:val="clear" w:color="auto" w:fill="auto"/>
            <w:noWrap/>
            <w:vAlign w:val="bottom"/>
            <w:hideMark/>
          </w:tcPr>
          <w:p w14:paraId="248E5CE1"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21%</w:t>
            </w:r>
          </w:p>
        </w:tc>
        <w:tc>
          <w:tcPr>
            <w:tcW w:w="792" w:type="pct"/>
            <w:tcBorders>
              <w:top w:val="nil"/>
              <w:left w:val="nil"/>
              <w:bottom w:val="nil"/>
              <w:right w:val="nil"/>
            </w:tcBorders>
            <w:shd w:val="clear" w:color="auto" w:fill="auto"/>
            <w:noWrap/>
            <w:vAlign w:val="bottom"/>
            <w:hideMark/>
          </w:tcPr>
          <w:p w14:paraId="048DD8F1"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w:t>
            </w:r>
          </w:p>
        </w:tc>
        <w:tc>
          <w:tcPr>
            <w:tcW w:w="543" w:type="pct"/>
            <w:tcBorders>
              <w:top w:val="nil"/>
              <w:left w:val="nil"/>
              <w:bottom w:val="nil"/>
              <w:right w:val="nil"/>
            </w:tcBorders>
            <w:shd w:val="clear" w:color="auto" w:fill="auto"/>
            <w:noWrap/>
            <w:vAlign w:val="bottom"/>
            <w:hideMark/>
          </w:tcPr>
          <w:p w14:paraId="50C847AD"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Y</w:t>
            </w:r>
          </w:p>
        </w:tc>
        <w:tc>
          <w:tcPr>
            <w:tcW w:w="642" w:type="pct"/>
            <w:tcBorders>
              <w:top w:val="nil"/>
              <w:left w:val="nil"/>
              <w:bottom w:val="nil"/>
              <w:right w:val="nil"/>
            </w:tcBorders>
            <w:shd w:val="clear" w:color="auto" w:fill="auto"/>
            <w:noWrap/>
            <w:vAlign w:val="bottom"/>
            <w:hideMark/>
          </w:tcPr>
          <w:p w14:paraId="2E72A58B"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High</w:t>
            </w:r>
          </w:p>
        </w:tc>
      </w:tr>
      <w:tr w:rsidR="001347A6" w:rsidRPr="00100F0A" w14:paraId="14C3EAC2" w14:textId="77777777" w:rsidTr="001347A6">
        <w:trPr>
          <w:trHeight w:val="255"/>
        </w:trPr>
        <w:tc>
          <w:tcPr>
            <w:tcW w:w="1674" w:type="pct"/>
            <w:tcBorders>
              <w:top w:val="nil"/>
              <w:left w:val="nil"/>
              <w:bottom w:val="nil"/>
              <w:right w:val="nil"/>
            </w:tcBorders>
            <w:shd w:val="clear" w:color="auto" w:fill="auto"/>
            <w:noWrap/>
            <w:vAlign w:val="center"/>
            <w:hideMark/>
          </w:tcPr>
          <w:p w14:paraId="2C8B7D17" w14:textId="77777777" w:rsidR="001347A6" w:rsidRPr="00100F0A" w:rsidRDefault="001347A6" w:rsidP="001347A6">
            <w:pPr>
              <w:jc w:val="right"/>
              <w:rPr>
                <w:rFonts w:eastAsia="Times New Roman" w:cs="Calibri"/>
                <w:color w:val="000000"/>
                <w:sz w:val="20"/>
                <w:szCs w:val="20"/>
                <w:lang w:eastAsia="en-AU"/>
              </w:rPr>
            </w:pPr>
            <w:r w:rsidRPr="00100F0A">
              <w:rPr>
                <w:rFonts w:eastAsia="Times New Roman" w:cs="Calibri"/>
                <w:color w:val="000000"/>
                <w:sz w:val="20"/>
                <w:szCs w:val="20"/>
                <w:lang w:eastAsia="en-AU"/>
              </w:rPr>
              <w:t>E-waste facility</w:t>
            </w:r>
          </w:p>
        </w:tc>
        <w:tc>
          <w:tcPr>
            <w:tcW w:w="607" w:type="pct"/>
            <w:tcBorders>
              <w:top w:val="nil"/>
              <w:left w:val="nil"/>
              <w:bottom w:val="nil"/>
              <w:right w:val="nil"/>
            </w:tcBorders>
            <w:shd w:val="clear" w:color="auto" w:fill="auto"/>
            <w:noWrap/>
            <w:vAlign w:val="bottom"/>
            <w:hideMark/>
          </w:tcPr>
          <w:p w14:paraId="7E4A99EB"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Full</w:t>
            </w:r>
          </w:p>
        </w:tc>
        <w:tc>
          <w:tcPr>
            <w:tcW w:w="742" w:type="pct"/>
            <w:tcBorders>
              <w:top w:val="nil"/>
              <w:left w:val="nil"/>
              <w:bottom w:val="nil"/>
              <w:right w:val="nil"/>
            </w:tcBorders>
            <w:shd w:val="clear" w:color="auto" w:fill="auto"/>
            <w:noWrap/>
            <w:vAlign w:val="bottom"/>
            <w:hideMark/>
          </w:tcPr>
          <w:p w14:paraId="0EFFBFEA"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92%</w:t>
            </w:r>
          </w:p>
        </w:tc>
        <w:tc>
          <w:tcPr>
            <w:tcW w:w="792" w:type="pct"/>
            <w:tcBorders>
              <w:top w:val="nil"/>
              <w:left w:val="nil"/>
              <w:bottom w:val="nil"/>
              <w:right w:val="nil"/>
            </w:tcBorders>
            <w:shd w:val="clear" w:color="auto" w:fill="auto"/>
            <w:noWrap/>
            <w:vAlign w:val="bottom"/>
            <w:hideMark/>
          </w:tcPr>
          <w:p w14:paraId="04722B16"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Y</w:t>
            </w:r>
          </w:p>
        </w:tc>
        <w:tc>
          <w:tcPr>
            <w:tcW w:w="543" w:type="pct"/>
            <w:tcBorders>
              <w:top w:val="nil"/>
              <w:left w:val="nil"/>
              <w:bottom w:val="nil"/>
              <w:right w:val="nil"/>
            </w:tcBorders>
            <w:shd w:val="clear" w:color="auto" w:fill="auto"/>
            <w:noWrap/>
            <w:vAlign w:val="bottom"/>
            <w:hideMark/>
          </w:tcPr>
          <w:p w14:paraId="2AEB8B83"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w:t>
            </w:r>
          </w:p>
        </w:tc>
        <w:tc>
          <w:tcPr>
            <w:tcW w:w="642" w:type="pct"/>
            <w:tcBorders>
              <w:top w:val="nil"/>
              <w:left w:val="nil"/>
              <w:bottom w:val="nil"/>
              <w:right w:val="nil"/>
            </w:tcBorders>
            <w:shd w:val="clear" w:color="auto" w:fill="auto"/>
            <w:noWrap/>
            <w:vAlign w:val="bottom"/>
            <w:hideMark/>
          </w:tcPr>
          <w:p w14:paraId="2953F3FD"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Moderate</w:t>
            </w:r>
          </w:p>
        </w:tc>
      </w:tr>
      <w:tr w:rsidR="001347A6" w:rsidRPr="00100F0A" w14:paraId="7A30E0FD" w14:textId="77777777" w:rsidTr="001347A6">
        <w:trPr>
          <w:trHeight w:val="255"/>
        </w:trPr>
        <w:tc>
          <w:tcPr>
            <w:tcW w:w="1674" w:type="pct"/>
            <w:tcBorders>
              <w:top w:val="nil"/>
              <w:left w:val="nil"/>
              <w:bottom w:val="nil"/>
              <w:right w:val="nil"/>
            </w:tcBorders>
            <w:shd w:val="clear" w:color="auto" w:fill="auto"/>
            <w:noWrap/>
            <w:vAlign w:val="center"/>
            <w:hideMark/>
          </w:tcPr>
          <w:p w14:paraId="3B11D0A5" w14:textId="77777777" w:rsidR="001347A6" w:rsidRPr="00100F0A" w:rsidRDefault="001347A6" w:rsidP="001347A6">
            <w:pPr>
              <w:jc w:val="right"/>
              <w:rPr>
                <w:rFonts w:eastAsia="Times New Roman" w:cs="Calibri"/>
                <w:color w:val="000000"/>
                <w:sz w:val="20"/>
                <w:szCs w:val="20"/>
                <w:lang w:eastAsia="en-AU"/>
              </w:rPr>
            </w:pPr>
            <w:r w:rsidRPr="00100F0A">
              <w:rPr>
                <w:rFonts w:eastAsia="Times New Roman" w:cs="Calibri"/>
                <w:color w:val="000000"/>
                <w:sz w:val="20"/>
                <w:szCs w:val="20"/>
                <w:lang w:eastAsia="en-AU"/>
              </w:rPr>
              <w:t>Oil re-refining facility</w:t>
            </w:r>
          </w:p>
        </w:tc>
        <w:tc>
          <w:tcPr>
            <w:tcW w:w="607" w:type="pct"/>
            <w:tcBorders>
              <w:top w:val="nil"/>
              <w:left w:val="nil"/>
              <w:bottom w:val="nil"/>
              <w:right w:val="nil"/>
            </w:tcBorders>
            <w:shd w:val="clear" w:color="auto" w:fill="auto"/>
            <w:noWrap/>
            <w:vAlign w:val="bottom"/>
            <w:hideMark/>
          </w:tcPr>
          <w:p w14:paraId="357E1E50"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Full</w:t>
            </w:r>
          </w:p>
        </w:tc>
        <w:tc>
          <w:tcPr>
            <w:tcW w:w="742" w:type="pct"/>
            <w:tcBorders>
              <w:top w:val="nil"/>
              <w:left w:val="nil"/>
              <w:bottom w:val="nil"/>
              <w:right w:val="nil"/>
            </w:tcBorders>
            <w:shd w:val="clear" w:color="auto" w:fill="auto"/>
            <w:noWrap/>
            <w:vAlign w:val="bottom"/>
            <w:hideMark/>
          </w:tcPr>
          <w:p w14:paraId="425DAAC5"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60%</w:t>
            </w:r>
          </w:p>
        </w:tc>
        <w:tc>
          <w:tcPr>
            <w:tcW w:w="792" w:type="pct"/>
            <w:tcBorders>
              <w:top w:val="nil"/>
              <w:left w:val="nil"/>
              <w:bottom w:val="nil"/>
              <w:right w:val="nil"/>
            </w:tcBorders>
            <w:shd w:val="clear" w:color="auto" w:fill="auto"/>
            <w:noWrap/>
            <w:vAlign w:val="bottom"/>
            <w:hideMark/>
          </w:tcPr>
          <w:p w14:paraId="1E6D1AE4"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w:t>
            </w:r>
          </w:p>
        </w:tc>
        <w:tc>
          <w:tcPr>
            <w:tcW w:w="543" w:type="pct"/>
            <w:tcBorders>
              <w:top w:val="nil"/>
              <w:left w:val="nil"/>
              <w:bottom w:val="nil"/>
              <w:right w:val="nil"/>
            </w:tcBorders>
            <w:shd w:val="clear" w:color="auto" w:fill="auto"/>
            <w:noWrap/>
            <w:vAlign w:val="bottom"/>
            <w:hideMark/>
          </w:tcPr>
          <w:p w14:paraId="5AAD4FB4"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w:t>
            </w:r>
          </w:p>
        </w:tc>
        <w:tc>
          <w:tcPr>
            <w:tcW w:w="642" w:type="pct"/>
            <w:tcBorders>
              <w:top w:val="nil"/>
              <w:left w:val="nil"/>
              <w:bottom w:val="nil"/>
              <w:right w:val="nil"/>
            </w:tcBorders>
            <w:shd w:val="clear" w:color="auto" w:fill="auto"/>
            <w:noWrap/>
            <w:vAlign w:val="bottom"/>
            <w:hideMark/>
          </w:tcPr>
          <w:p w14:paraId="45D7930B"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Low</w:t>
            </w:r>
          </w:p>
        </w:tc>
      </w:tr>
      <w:tr w:rsidR="001347A6" w:rsidRPr="00100F0A" w14:paraId="496876F5" w14:textId="77777777" w:rsidTr="001347A6">
        <w:trPr>
          <w:trHeight w:val="255"/>
        </w:trPr>
        <w:tc>
          <w:tcPr>
            <w:tcW w:w="1674" w:type="pct"/>
            <w:tcBorders>
              <w:top w:val="nil"/>
              <w:left w:val="nil"/>
              <w:bottom w:val="nil"/>
              <w:right w:val="nil"/>
            </w:tcBorders>
            <w:shd w:val="clear" w:color="auto" w:fill="auto"/>
            <w:noWrap/>
            <w:vAlign w:val="center"/>
            <w:hideMark/>
          </w:tcPr>
          <w:p w14:paraId="40343B80" w14:textId="77777777" w:rsidR="001347A6" w:rsidRPr="00100F0A" w:rsidRDefault="001347A6" w:rsidP="001347A6">
            <w:pPr>
              <w:jc w:val="right"/>
              <w:rPr>
                <w:rFonts w:eastAsia="Times New Roman" w:cs="Calibri"/>
                <w:color w:val="000000"/>
                <w:sz w:val="20"/>
                <w:szCs w:val="20"/>
                <w:lang w:eastAsia="en-AU"/>
              </w:rPr>
            </w:pPr>
            <w:r w:rsidRPr="00100F0A">
              <w:rPr>
                <w:rFonts w:eastAsia="Times New Roman" w:cs="Calibri"/>
                <w:color w:val="000000"/>
                <w:sz w:val="20"/>
                <w:szCs w:val="20"/>
                <w:lang w:eastAsia="en-AU"/>
              </w:rPr>
              <w:t>Lead facility</w:t>
            </w:r>
          </w:p>
        </w:tc>
        <w:tc>
          <w:tcPr>
            <w:tcW w:w="607" w:type="pct"/>
            <w:tcBorders>
              <w:top w:val="nil"/>
              <w:left w:val="nil"/>
              <w:bottom w:val="nil"/>
              <w:right w:val="nil"/>
            </w:tcBorders>
            <w:shd w:val="clear" w:color="auto" w:fill="auto"/>
            <w:noWrap/>
            <w:vAlign w:val="bottom"/>
            <w:hideMark/>
          </w:tcPr>
          <w:p w14:paraId="2EDB856D"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Full</w:t>
            </w:r>
          </w:p>
        </w:tc>
        <w:tc>
          <w:tcPr>
            <w:tcW w:w="742" w:type="pct"/>
            <w:tcBorders>
              <w:top w:val="nil"/>
              <w:left w:val="nil"/>
              <w:bottom w:val="nil"/>
              <w:right w:val="nil"/>
            </w:tcBorders>
            <w:shd w:val="clear" w:color="auto" w:fill="auto"/>
            <w:noWrap/>
            <w:vAlign w:val="bottom"/>
            <w:hideMark/>
          </w:tcPr>
          <w:p w14:paraId="369A7DF7"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67%</w:t>
            </w:r>
          </w:p>
        </w:tc>
        <w:tc>
          <w:tcPr>
            <w:tcW w:w="792" w:type="pct"/>
            <w:tcBorders>
              <w:top w:val="nil"/>
              <w:left w:val="nil"/>
              <w:bottom w:val="nil"/>
              <w:right w:val="nil"/>
            </w:tcBorders>
            <w:shd w:val="clear" w:color="auto" w:fill="auto"/>
            <w:noWrap/>
            <w:vAlign w:val="bottom"/>
            <w:hideMark/>
          </w:tcPr>
          <w:p w14:paraId="5FDF3EA0"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w:t>
            </w:r>
          </w:p>
        </w:tc>
        <w:tc>
          <w:tcPr>
            <w:tcW w:w="543" w:type="pct"/>
            <w:tcBorders>
              <w:top w:val="nil"/>
              <w:left w:val="nil"/>
              <w:bottom w:val="nil"/>
              <w:right w:val="nil"/>
            </w:tcBorders>
            <w:shd w:val="clear" w:color="auto" w:fill="auto"/>
            <w:noWrap/>
            <w:vAlign w:val="bottom"/>
            <w:hideMark/>
          </w:tcPr>
          <w:p w14:paraId="12726E6C"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w:t>
            </w:r>
          </w:p>
        </w:tc>
        <w:tc>
          <w:tcPr>
            <w:tcW w:w="642" w:type="pct"/>
            <w:tcBorders>
              <w:top w:val="nil"/>
              <w:left w:val="nil"/>
              <w:bottom w:val="nil"/>
              <w:right w:val="nil"/>
            </w:tcBorders>
            <w:shd w:val="clear" w:color="auto" w:fill="auto"/>
            <w:noWrap/>
            <w:vAlign w:val="bottom"/>
            <w:hideMark/>
          </w:tcPr>
          <w:p w14:paraId="4B02E719"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Low</w:t>
            </w:r>
          </w:p>
        </w:tc>
      </w:tr>
      <w:tr w:rsidR="001347A6" w:rsidRPr="00100F0A" w14:paraId="052DCBDB" w14:textId="77777777" w:rsidTr="001347A6">
        <w:trPr>
          <w:trHeight w:val="255"/>
        </w:trPr>
        <w:tc>
          <w:tcPr>
            <w:tcW w:w="1674" w:type="pct"/>
            <w:tcBorders>
              <w:top w:val="nil"/>
              <w:left w:val="nil"/>
              <w:bottom w:val="nil"/>
              <w:right w:val="nil"/>
            </w:tcBorders>
            <w:shd w:val="clear" w:color="auto" w:fill="auto"/>
            <w:noWrap/>
            <w:vAlign w:val="center"/>
            <w:hideMark/>
          </w:tcPr>
          <w:p w14:paraId="47A87CC8" w14:textId="77777777" w:rsidR="001347A6" w:rsidRPr="00100F0A" w:rsidRDefault="001347A6" w:rsidP="001347A6">
            <w:pPr>
              <w:jc w:val="right"/>
              <w:rPr>
                <w:rFonts w:eastAsia="Times New Roman" w:cs="Calibri"/>
                <w:color w:val="000000"/>
                <w:sz w:val="20"/>
                <w:szCs w:val="20"/>
                <w:lang w:eastAsia="en-AU"/>
              </w:rPr>
            </w:pPr>
            <w:r w:rsidRPr="00100F0A">
              <w:rPr>
                <w:rFonts w:eastAsia="Times New Roman" w:cs="Calibri"/>
                <w:color w:val="000000"/>
                <w:sz w:val="20"/>
                <w:szCs w:val="20"/>
                <w:lang w:eastAsia="en-AU"/>
              </w:rPr>
              <w:t>Mercury facility</w:t>
            </w:r>
          </w:p>
        </w:tc>
        <w:tc>
          <w:tcPr>
            <w:tcW w:w="607" w:type="pct"/>
            <w:tcBorders>
              <w:top w:val="nil"/>
              <w:left w:val="nil"/>
              <w:bottom w:val="nil"/>
              <w:right w:val="nil"/>
            </w:tcBorders>
            <w:shd w:val="clear" w:color="auto" w:fill="auto"/>
            <w:noWrap/>
            <w:vAlign w:val="bottom"/>
            <w:hideMark/>
          </w:tcPr>
          <w:p w14:paraId="25C7CE17"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Full</w:t>
            </w:r>
          </w:p>
        </w:tc>
        <w:tc>
          <w:tcPr>
            <w:tcW w:w="742" w:type="pct"/>
            <w:tcBorders>
              <w:top w:val="nil"/>
              <w:left w:val="nil"/>
              <w:bottom w:val="nil"/>
              <w:right w:val="nil"/>
            </w:tcBorders>
            <w:shd w:val="clear" w:color="auto" w:fill="auto"/>
            <w:noWrap/>
            <w:vAlign w:val="bottom"/>
            <w:hideMark/>
          </w:tcPr>
          <w:p w14:paraId="7D39FC21"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100%</w:t>
            </w:r>
          </w:p>
        </w:tc>
        <w:tc>
          <w:tcPr>
            <w:tcW w:w="792" w:type="pct"/>
            <w:tcBorders>
              <w:top w:val="nil"/>
              <w:left w:val="nil"/>
              <w:bottom w:val="nil"/>
              <w:right w:val="nil"/>
            </w:tcBorders>
            <w:shd w:val="clear" w:color="auto" w:fill="auto"/>
            <w:noWrap/>
            <w:vAlign w:val="bottom"/>
            <w:hideMark/>
          </w:tcPr>
          <w:p w14:paraId="348A6B89"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w:t>
            </w:r>
          </w:p>
        </w:tc>
        <w:tc>
          <w:tcPr>
            <w:tcW w:w="543" w:type="pct"/>
            <w:tcBorders>
              <w:top w:val="nil"/>
              <w:left w:val="nil"/>
              <w:bottom w:val="nil"/>
              <w:right w:val="nil"/>
            </w:tcBorders>
            <w:shd w:val="clear" w:color="auto" w:fill="auto"/>
            <w:noWrap/>
            <w:vAlign w:val="bottom"/>
            <w:hideMark/>
          </w:tcPr>
          <w:p w14:paraId="3D4C2FD3"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w:t>
            </w:r>
          </w:p>
        </w:tc>
        <w:tc>
          <w:tcPr>
            <w:tcW w:w="642" w:type="pct"/>
            <w:tcBorders>
              <w:top w:val="nil"/>
              <w:left w:val="nil"/>
              <w:bottom w:val="nil"/>
              <w:right w:val="nil"/>
            </w:tcBorders>
            <w:shd w:val="clear" w:color="auto" w:fill="auto"/>
            <w:noWrap/>
            <w:vAlign w:val="bottom"/>
            <w:hideMark/>
          </w:tcPr>
          <w:p w14:paraId="2ED38F50"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Low</w:t>
            </w:r>
          </w:p>
        </w:tc>
      </w:tr>
      <w:tr w:rsidR="001347A6" w:rsidRPr="00100F0A" w14:paraId="7A17965A" w14:textId="77777777" w:rsidTr="001347A6">
        <w:trPr>
          <w:trHeight w:val="255"/>
        </w:trPr>
        <w:tc>
          <w:tcPr>
            <w:tcW w:w="1674" w:type="pct"/>
            <w:tcBorders>
              <w:top w:val="nil"/>
              <w:left w:val="nil"/>
              <w:bottom w:val="nil"/>
              <w:right w:val="nil"/>
            </w:tcBorders>
            <w:shd w:val="clear" w:color="auto" w:fill="auto"/>
            <w:noWrap/>
            <w:vAlign w:val="center"/>
            <w:hideMark/>
          </w:tcPr>
          <w:p w14:paraId="48F2313A" w14:textId="77777777" w:rsidR="001347A6" w:rsidRPr="00100F0A" w:rsidRDefault="001347A6" w:rsidP="001347A6">
            <w:pPr>
              <w:jc w:val="right"/>
              <w:rPr>
                <w:rFonts w:eastAsia="Times New Roman" w:cs="Calibri"/>
                <w:color w:val="000000"/>
                <w:sz w:val="20"/>
                <w:szCs w:val="20"/>
                <w:lang w:eastAsia="en-AU"/>
              </w:rPr>
            </w:pPr>
            <w:r w:rsidRPr="00100F0A">
              <w:rPr>
                <w:rFonts w:eastAsia="Times New Roman" w:cs="Calibri"/>
                <w:color w:val="000000"/>
                <w:sz w:val="20"/>
                <w:szCs w:val="20"/>
                <w:lang w:eastAsia="en-AU"/>
              </w:rPr>
              <w:t>Solvents/paints/organic chemicals facility</w:t>
            </w:r>
          </w:p>
        </w:tc>
        <w:tc>
          <w:tcPr>
            <w:tcW w:w="607" w:type="pct"/>
            <w:tcBorders>
              <w:top w:val="nil"/>
              <w:left w:val="nil"/>
              <w:bottom w:val="nil"/>
              <w:right w:val="nil"/>
            </w:tcBorders>
            <w:shd w:val="clear" w:color="auto" w:fill="auto"/>
            <w:noWrap/>
            <w:vAlign w:val="bottom"/>
            <w:hideMark/>
          </w:tcPr>
          <w:p w14:paraId="0E575F68"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Full</w:t>
            </w:r>
          </w:p>
        </w:tc>
        <w:tc>
          <w:tcPr>
            <w:tcW w:w="742" w:type="pct"/>
            <w:tcBorders>
              <w:top w:val="nil"/>
              <w:left w:val="nil"/>
              <w:bottom w:val="nil"/>
              <w:right w:val="nil"/>
            </w:tcBorders>
            <w:shd w:val="clear" w:color="auto" w:fill="auto"/>
            <w:noWrap/>
            <w:vAlign w:val="bottom"/>
            <w:hideMark/>
          </w:tcPr>
          <w:p w14:paraId="48F3CA62"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75%</w:t>
            </w:r>
          </w:p>
        </w:tc>
        <w:tc>
          <w:tcPr>
            <w:tcW w:w="792" w:type="pct"/>
            <w:tcBorders>
              <w:top w:val="nil"/>
              <w:left w:val="nil"/>
              <w:bottom w:val="nil"/>
              <w:right w:val="nil"/>
            </w:tcBorders>
            <w:shd w:val="clear" w:color="auto" w:fill="auto"/>
            <w:noWrap/>
            <w:vAlign w:val="bottom"/>
            <w:hideMark/>
          </w:tcPr>
          <w:p w14:paraId="4BA7F4E2"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Y</w:t>
            </w:r>
          </w:p>
        </w:tc>
        <w:tc>
          <w:tcPr>
            <w:tcW w:w="543" w:type="pct"/>
            <w:tcBorders>
              <w:top w:val="nil"/>
              <w:left w:val="nil"/>
              <w:bottom w:val="nil"/>
              <w:right w:val="nil"/>
            </w:tcBorders>
            <w:shd w:val="clear" w:color="auto" w:fill="auto"/>
            <w:noWrap/>
            <w:vAlign w:val="bottom"/>
            <w:hideMark/>
          </w:tcPr>
          <w:p w14:paraId="056A4F6E"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Y</w:t>
            </w:r>
          </w:p>
        </w:tc>
        <w:tc>
          <w:tcPr>
            <w:tcW w:w="642" w:type="pct"/>
            <w:tcBorders>
              <w:top w:val="nil"/>
              <w:left w:val="nil"/>
              <w:bottom w:val="nil"/>
              <w:right w:val="nil"/>
            </w:tcBorders>
            <w:shd w:val="clear" w:color="auto" w:fill="auto"/>
            <w:noWrap/>
            <w:vAlign w:val="bottom"/>
            <w:hideMark/>
          </w:tcPr>
          <w:p w14:paraId="5A75F3D2"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Moderate</w:t>
            </w:r>
          </w:p>
        </w:tc>
      </w:tr>
      <w:tr w:rsidR="001347A6" w:rsidRPr="00100F0A" w14:paraId="7564083B" w14:textId="77777777" w:rsidTr="001347A6">
        <w:trPr>
          <w:trHeight w:val="255"/>
        </w:trPr>
        <w:tc>
          <w:tcPr>
            <w:tcW w:w="1674" w:type="pct"/>
            <w:tcBorders>
              <w:top w:val="nil"/>
              <w:left w:val="nil"/>
              <w:bottom w:val="nil"/>
              <w:right w:val="nil"/>
            </w:tcBorders>
            <w:shd w:val="clear" w:color="auto" w:fill="auto"/>
            <w:noWrap/>
            <w:vAlign w:val="center"/>
            <w:hideMark/>
          </w:tcPr>
          <w:p w14:paraId="75EFFD71" w14:textId="77777777" w:rsidR="001347A6" w:rsidRPr="00100F0A" w:rsidRDefault="001347A6" w:rsidP="001347A6">
            <w:pPr>
              <w:jc w:val="right"/>
              <w:rPr>
                <w:rFonts w:eastAsia="Times New Roman" w:cs="Calibri"/>
                <w:color w:val="000000"/>
                <w:sz w:val="20"/>
                <w:szCs w:val="20"/>
                <w:lang w:eastAsia="en-AU"/>
              </w:rPr>
            </w:pPr>
            <w:r w:rsidRPr="00100F0A">
              <w:rPr>
                <w:rFonts w:eastAsia="Times New Roman" w:cs="Calibri"/>
                <w:color w:val="000000"/>
                <w:sz w:val="20"/>
                <w:szCs w:val="20"/>
                <w:lang w:eastAsia="en-AU"/>
              </w:rPr>
              <w:t>Organics processing facility</w:t>
            </w:r>
          </w:p>
        </w:tc>
        <w:tc>
          <w:tcPr>
            <w:tcW w:w="607" w:type="pct"/>
            <w:tcBorders>
              <w:top w:val="nil"/>
              <w:left w:val="nil"/>
              <w:bottom w:val="nil"/>
              <w:right w:val="nil"/>
            </w:tcBorders>
            <w:shd w:val="clear" w:color="auto" w:fill="auto"/>
            <w:noWrap/>
            <w:vAlign w:val="bottom"/>
            <w:hideMark/>
          </w:tcPr>
          <w:p w14:paraId="12DAD6E8"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Limited</w:t>
            </w:r>
          </w:p>
        </w:tc>
        <w:tc>
          <w:tcPr>
            <w:tcW w:w="742" w:type="pct"/>
            <w:tcBorders>
              <w:top w:val="nil"/>
              <w:left w:val="nil"/>
              <w:bottom w:val="nil"/>
              <w:right w:val="nil"/>
            </w:tcBorders>
            <w:shd w:val="clear" w:color="auto" w:fill="auto"/>
            <w:noWrap/>
            <w:vAlign w:val="bottom"/>
            <w:hideMark/>
          </w:tcPr>
          <w:p w14:paraId="707349AF"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50%</w:t>
            </w:r>
          </w:p>
        </w:tc>
        <w:tc>
          <w:tcPr>
            <w:tcW w:w="792" w:type="pct"/>
            <w:tcBorders>
              <w:top w:val="nil"/>
              <w:left w:val="nil"/>
              <w:bottom w:val="nil"/>
              <w:right w:val="nil"/>
            </w:tcBorders>
            <w:shd w:val="clear" w:color="auto" w:fill="auto"/>
            <w:noWrap/>
            <w:vAlign w:val="bottom"/>
            <w:hideMark/>
          </w:tcPr>
          <w:p w14:paraId="11DEC2C0"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Y</w:t>
            </w:r>
          </w:p>
        </w:tc>
        <w:tc>
          <w:tcPr>
            <w:tcW w:w="543" w:type="pct"/>
            <w:tcBorders>
              <w:top w:val="nil"/>
              <w:left w:val="nil"/>
              <w:bottom w:val="nil"/>
              <w:right w:val="nil"/>
            </w:tcBorders>
            <w:shd w:val="clear" w:color="auto" w:fill="auto"/>
            <w:noWrap/>
            <w:vAlign w:val="bottom"/>
            <w:hideMark/>
          </w:tcPr>
          <w:p w14:paraId="29E2031D"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Y</w:t>
            </w:r>
          </w:p>
        </w:tc>
        <w:tc>
          <w:tcPr>
            <w:tcW w:w="642" w:type="pct"/>
            <w:tcBorders>
              <w:top w:val="nil"/>
              <w:left w:val="nil"/>
              <w:bottom w:val="nil"/>
              <w:right w:val="nil"/>
            </w:tcBorders>
            <w:shd w:val="clear" w:color="auto" w:fill="auto"/>
            <w:noWrap/>
            <w:vAlign w:val="bottom"/>
            <w:hideMark/>
          </w:tcPr>
          <w:p w14:paraId="5E9E2E53"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Very high</w:t>
            </w:r>
          </w:p>
        </w:tc>
      </w:tr>
      <w:tr w:rsidR="001347A6" w:rsidRPr="00100F0A" w14:paraId="44DFDCC8" w14:textId="77777777" w:rsidTr="001347A6">
        <w:trPr>
          <w:trHeight w:val="255"/>
        </w:trPr>
        <w:tc>
          <w:tcPr>
            <w:tcW w:w="1674" w:type="pct"/>
            <w:tcBorders>
              <w:top w:val="nil"/>
              <w:left w:val="nil"/>
              <w:bottom w:val="nil"/>
              <w:right w:val="nil"/>
            </w:tcBorders>
            <w:shd w:val="clear" w:color="auto" w:fill="auto"/>
            <w:noWrap/>
            <w:vAlign w:val="center"/>
            <w:hideMark/>
          </w:tcPr>
          <w:p w14:paraId="199CB6B9" w14:textId="0B6074DA" w:rsidR="001347A6" w:rsidRPr="00100F0A" w:rsidRDefault="00BE58C4" w:rsidP="001347A6">
            <w:pPr>
              <w:jc w:val="right"/>
              <w:rPr>
                <w:rFonts w:eastAsia="Times New Roman" w:cs="Calibri"/>
                <w:color w:val="000000"/>
                <w:sz w:val="20"/>
                <w:szCs w:val="20"/>
                <w:lang w:eastAsia="en-AU"/>
              </w:rPr>
            </w:pPr>
            <w:r>
              <w:rPr>
                <w:rFonts w:eastAsia="Times New Roman" w:cs="Calibri"/>
                <w:color w:val="000000"/>
                <w:sz w:val="20"/>
                <w:szCs w:val="20"/>
                <w:lang w:eastAsia="en-AU"/>
              </w:rPr>
              <w:t>EOLT</w:t>
            </w:r>
            <w:r w:rsidR="001347A6" w:rsidRPr="00100F0A">
              <w:rPr>
                <w:rFonts w:eastAsia="Times New Roman" w:cs="Calibri"/>
                <w:color w:val="000000"/>
                <w:sz w:val="20"/>
                <w:szCs w:val="20"/>
                <w:lang w:eastAsia="en-AU"/>
              </w:rPr>
              <w:t xml:space="preserve"> facility</w:t>
            </w:r>
          </w:p>
        </w:tc>
        <w:tc>
          <w:tcPr>
            <w:tcW w:w="607" w:type="pct"/>
            <w:tcBorders>
              <w:top w:val="nil"/>
              <w:left w:val="nil"/>
              <w:bottom w:val="nil"/>
              <w:right w:val="nil"/>
            </w:tcBorders>
            <w:shd w:val="clear" w:color="auto" w:fill="auto"/>
            <w:noWrap/>
            <w:vAlign w:val="bottom"/>
            <w:hideMark/>
          </w:tcPr>
          <w:p w14:paraId="2C1A9147"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Full</w:t>
            </w:r>
          </w:p>
        </w:tc>
        <w:tc>
          <w:tcPr>
            <w:tcW w:w="742" w:type="pct"/>
            <w:tcBorders>
              <w:top w:val="nil"/>
              <w:left w:val="nil"/>
              <w:bottom w:val="nil"/>
              <w:right w:val="nil"/>
            </w:tcBorders>
            <w:shd w:val="clear" w:color="auto" w:fill="auto"/>
            <w:noWrap/>
            <w:vAlign w:val="bottom"/>
            <w:hideMark/>
          </w:tcPr>
          <w:p w14:paraId="124421DE"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93%</w:t>
            </w:r>
          </w:p>
        </w:tc>
        <w:tc>
          <w:tcPr>
            <w:tcW w:w="792" w:type="pct"/>
            <w:tcBorders>
              <w:top w:val="nil"/>
              <w:left w:val="nil"/>
              <w:bottom w:val="nil"/>
              <w:right w:val="nil"/>
            </w:tcBorders>
            <w:shd w:val="clear" w:color="auto" w:fill="auto"/>
            <w:noWrap/>
            <w:vAlign w:val="bottom"/>
            <w:hideMark/>
          </w:tcPr>
          <w:p w14:paraId="5AD409A7"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w:t>
            </w:r>
          </w:p>
        </w:tc>
        <w:tc>
          <w:tcPr>
            <w:tcW w:w="543" w:type="pct"/>
            <w:tcBorders>
              <w:top w:val="nil"/>
              <w:left w:val="nil"/>
              <w:bottom w:val="nil"/>
              <w:right w:val="nil"/>
            </w:tcBorders>
            <w:shd w:val="clear" w:color="auto" w:fill="auto"/>
            <w:noWrap/>
            <w:vAlign w:val="bottom"/>
            <w:hideMark/>
          </w:tcPr>
          <w:p w14:paraId="13833ADD"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w:t>
            </w:r>
          </w:p>
        </w:tc>
        <w:tc>
          <w:tcPr>
            <w:tcW w:w="642" w:type="pct"/>
            <w:tcBorders>
              <w:top w:val="nil"/>
              <w:left w:val="nil"/>
              <w:bottom w:val="nil"/>
              <w:right w:val="nil"/>
            </w:tcBorders>
            <w:shd w:val="clear" w:color="auto" w:fill="auto"/>
            <w:noWrap/>
            <w:vAlign w:val="bottom"/>
            <w:hideMark/>
          </w:tcPr>
          <w:p w14:paraId="2C75F90B"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Low</w:t>
            </w:r>
          </w:p>
        </w:tc>
      </w:tr>
      <w:tr w:rsidR="001347A6" w:rsidRPr="00100F0A" w14:paraId="2F3578A5" w14:textId="77777777" w:rsidTr="001347A6">
        <w:trPr>
          <w:trHeight w:val="255"/>
        </w:trPr>
        <w:tc>
          <w:tcPr>
            <w:tcW w:w="1674" w:type="pct"/>
            <w:tcBorders>
              <w:top w:val="nil"/>
              <w:left w:val="nil"/>
              <w:bottom w:val="nil"/>
              <w:right w:val="nil"/>
            </w:tcBorders>
            <w:shd w:val="clear" w:color="auto" w:fill="auto"/>
            <w:noWrap/>
            <w:vAlign w:val="center"/>
            <w:hideMark/>
          </w:tcPr>
          <w:p w14:paraId="5B25D0ED" w14:textId="0E6F9269" w:rsidR="001347A6" w:rsidRPr="00100F0A" w:rsidRDefault="008637BA" w:rsidP="001347A6">
            <w:pPr>
              <w:jc w:val="right"/>
              <w:rPr>
                <w:rFonts w:eastAsia="Times New Roman" w:cs="Calibri"/>
                <w:color w:val="000000"/>
                <w:sz w:val="20"/>
                <w:szCs w:val="20"/>
                <w:lang w:eastAsia="en-AU"/>
              </w:rPr>
            </w:pPr>
            <w:r>
              <w:rPr>
                <w:rFonts w:eastAsia="Times New Roman" w:cs="Calibri"/>
                <w:color w:val="000000"/>
                <w:sz w:val="20"/>
                <w:szCs w:val="20"/>
                <w:lang w:eastAsia="en-AU"/>
              </w:rPr>
              <w:t>SPL</w:t>
            </w:r>
            <w:r w:rsidR="001347A6" w:rsidRPr="00100F0A">
              <w:rPr>
                <w:rFonts w:eastAsia="Times New Roman" w:cs="Calibri"/>
                <w:color w:val="000000"/>
                <w:sz w:val="20"/>
                <w:szCs w:val="20"/>
                <w:lang w:eastAsia="en-AU"/>
              </w:rPr>
              <w:t xml:space="preserve"> facility</w:t>
            </w:r>
          </w:p>
        </w:tc>
        <w:tc>
          <w:tcPr>
            <w:tcW w:w="607" w:type="pct"/>
            <w:tcBorders>
              <w:top w:val="nil"/>
              <w:left w:val="nil"/>
              <w:bottom w:val="nil"/>
              <w:right w:val="nil"/>
            </w:tcBorders>
            <w:shd w:val="clear" w:color="auto" w:fill="auto"/>
            <w:noWrap/>
            <w:vAlign w:val="bottom"/>
            <w:hideMark/>
          </w:tcPr>
          <w:p w14:paraId="54CCFFFE"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Full</w:t>
            </w:r>
          </w:p>
        </w:tc>
        <w:tc>
          <w:tcPr>
            <w:tcW w:w="742" w:type="pct"/>
            <w:tcBorders>
              <w:top w:val="nil"/>
              <w:left w:val="nil"/>
              <w:bottom w:val="nil"/>
              <w:right w:val="nil"/>
            </w:tcBorders>
            <w:shd w:val="clear" w:color="auto" w:fill="auto"/>
            <w:noWrap/>
            <w:vAlign w:val="bottom"/>
            <w:hideMark/>
          </w:tcPr>
          <w:p w14:paraId="5785A2B1"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100%</w:t>
            </w:r>
          </w:p>
        </w:tc>
        <w:tc>
          <w:tcPr>
            <w:tcW w:w="792" w:type="pct"/>
            <w:tcBorders>
              <w:top w:val="nil"/>
              <w:left w:val="nil"/>
              <w:bottom w:val="nil"/>
              <w:right w:val="nil"/>
            </w:tcBorders>
            <w:shd w:val="clear" w:color="auto" w:fill="auto"/>
            <w:noWrap/>
            <w:vAlign w:val="bottom"/>
            <w:hideMark/>
          </w:tcPr>
          <w:p w14:paraId="3CBF3DF6"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w:t>
            </w:r>
          </w:p>
        </w:tc>
        <w:tc>
          <w:tcPr>
            <w:tcW w:w="543" w:type="pct"/>
            <w:tcBorders>
              <w:top w:val="nil"/>
              <w:left w:val="nil"/>
              <w:bottom w:val="nil"/>
              <w:right w:val="nil"/>
            </w:tcBorders>
            <w:shd w:val="clear" w:color="auto" w:fill="auto"/>
            <w:noWrap/>
            <w:vAlign w:val="bottom"/>
            <w:hideMark/>
          </w:tcPr>
          <w:p w14:paraId="0FB8E228"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w:t>
            </w:r>
          </w:p>
        </w:tc>
        <w:tc>
          <w:tcPr>
            <w:tcW w:w="642" w:type="pct"/>
            <w:tcBorders>
              <w:top w:val="nil"/>
              <w:left w:val="nil"/>
              <w:bottom w:val="nil"/>
              <w:right w:val="nil"/>
            </w:tcBorders>
            <w:shd w:val="clear" w:color="auto" w:fill="auto"/>
            <w:noWrap/>
            <w:vAlign w:val="bottom"/>
            <w:hideMark/>
          </w:tcPr>
          <w:p w14:paraId="42C8DF90"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Low</w:t>
            </w:r>
          </w:p>
        </w:tc>
      </w:tr>
      <w:tr w:rsidR="001347A6" w:rsidRPr="00100F0A" w14:paraId="5BDD0AEA" w14:textId="77777777" w:rsidTr="001347A6">
        <w:trPr>
          <w:trHeight w:val="255"/>
        </w:trPr>
        <w:tc>
          <w:tcPr>
            <w:tcW w:w="1674" w:type="pct"/>
            <w:tcBorders>
              <w:top w:val="nil"/>
              <w:left w:val="nil"/>
              <w:bottom w:val="nil"/>
              <w:right w:val="nil"/>
            </w:tcBorders>
            <w:shd w:val="clear" w:color="auto" w:fill="auto"/>
            <w:noWrap/>
            <w:vAlign w:val="center"/>
            <w:hideMark/>
          </w:tcPr>
          <w:p w14:paraId="316229E9" w14:textId="77777777" w:rsidR="001347A6" w:rsidRPr="00100F0A" w:rsidRDefault="001347A6" w:rsidP="001347A6">
            <w:pPr>
              <w:jc w:val="right"/>
              <w:rPr>
                <w:rFonts w:eastAsia="Times New Roman" w:cs="Calibri"/>
                <w:color w:val="000000"/>
                <w:sz w:val="20"/>
                <w:szCs w:val="20"/>
                <w:lang w:eastAsia="en-AU"/>
              </w:rPr>
            </w:pPr>
            <w:r w:rsidRPr="00100F0A">
              <w:rPr>
                <w:rFonts w:eastAsia="Times New Roman" w:cs="Calibri"/>
                <w:color w:val="000000"/>
                <w:sz w:val="20"/>
                <w:szCs w:val="20"/>
                <w:lang w:eastAsia="en-AU"/>
              </w:rPr>
              <w:t xml:space="preserve">Energy recovery </w:t>
            </w:r>
          </w:p>
        </w:tc>
        <w:tc>
          <w:tcPr>
            <w:tcW w:w="607" w:type="pct"/>
            <w:tcBorders>
              <w:top w:val="nil"/>
              <w:left w:val="nil"/>
              <w:bottom w:val="nil"/>
              <w:right w:val="nil"/>
            </w:tcBorders>
            <w:shd w:val="clear" w:color="auto" w:fill="auto"/>
            <w:noWrap/>
            <w:vAlign w:val="bottom"/>
            <w:hideMark/>
          </w:tcPr>
          <w:p w14:paraId="1DEE8C90"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Full</w:t>
            </w:r>
          </w:p>
        </w:tc>
        <w:tc>
          <w:tcPr>
            <w:tcW w:w="742" w:type="pct"/>
            <w:tcBorders>
              <w:top w:val="nil"/>
              <w:left w:val="nil"/>
              <w:bottom w:val="nil"/>
              <w:right w:val="nil"/>
            </w:tcBorders>
            <w:shd w:val="clear" w:color="auto" w:fill="auto"/>
            <w:noWrap/>
            <w:vAlign w:val="bottom"/>
            <w:hideMark/>
          </w:tcPr>
          <w:p w14:paraId="63933DA3"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60%</w:t>
            </w:r>
          </w:p>
        </w:tc>
        <w:tc>
          <w:tcPr>
            <w:tcW w:w="792" w:type="pct"/>
            <w:tcBorders>
              <w:top w:val="nil"/>
              <w:left w:val="nil"/>
              <w:bottom w:val="nil"/>
              <w:right w:val="nil"/>
            </w:tcBorders>
            <w:shd w:val="clear" w:color="auto" w:fill="auto"/>
            <w:noWrap/>
            <w:vAlign w:val="bottom"/>
            <w:hideMark/>
          </w:tcPr>
          <w:p w14:paraId="22B08170"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Y</w:t>
            </w:r>
          </w:p>
        </w:tc>
        <w:tc>
          <w:tcPr>
            <w:tcW w:w="543" w:type="pct"/>
            <w:tcBorders>
              <w:top w:val="nil"/>
              <w:left w:val="nil"/>
              <w:bottom w:val="nil"/>
              <w:right w:val="nil"/>
            </w:tcBorders>
            <w:shd w:val="clear" w:color="auto" w:fill="auto"/>
            <w:noWrap/>
            <w:vAlign w:val="bottom"/>
            <w:hideMark/>
          </w:tcPr>
          <w:p w14:paraId="68627CC1"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w:t>
            </w:r>
          </w:p>
        </w:tc>
        <w:tc>
          <w:tcPr>
            <w:tcW w:w="642" w:type="pct"/>
            <w:tcBorders>
              <w:top w:val="nil"/>
              <w:left w:val="nil"/>
              <w:bottom w:val="nil"/>
              <w:right w:val="nil"/>
            </w:tcBorders>
            <w:shd w:val="clear" w:color="auto" w:fill="auto"/>
            <w:noWrap/>
            <w:vAlign w:val="bottom"/>
            <w:hideMark/>
          </w:tcPr>
          <w:p w14:paraId="2558D480"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Moderate</w:t>
            </w:r>
          </w:p>
        </w:tc>
      </w:tr>
      <w:tr w:rsidR="001347A6" w:rsidRPr="00100F0A" w14:paraId="223A13E0" w14:textId="77777777" w:rsidTr="001347A6">
        <w:trPr>
          <w:trHeight w:val="255"/>
        </w:trPr>
        <w:tc>
          <w:tcPr>
            <w:tcW w:w="1674" w:type="pct"/>
            <w:tcBorders>
              <w:top w:val="nil"/>
              <w:left w:val="nil"/>
              <w:bottom w:val="nil"/>
              <w:right w:val="nil"/>
            </w:tcBorders>
            <w:shd w:val="clear" w:color="000000" w:fill="C5D9F1"/>
            <w:noWrap/>
            <w:vAlign w:val="bottom"/>
            <w:hideMark/>
          </w:tcPr>
          <w:p w14:paraId="49F899BC" w14:textId="77777777" w:rsidR="001347A6" w:rsidRPr="00100F0A" w:rsidRDefault="001347A6" w:rsidP="001347A6">
            <w:pPr>
              <w:jc w:val="right"/>
              <w:rPr>
                <w:rFonts w:eastAsia="Times New Roman" w:cs="Calibri"/>
                <w:b/>
                <w:bCs/>
                <w:color w:val="000000"/>
                <w:sz w:val="20"/>
                <w:szCs w:val="20"/>
                <w:lang w:eastAsia="en-AU"/>
              </w:rPr>
            </w:pPr>
            <w:r w:rsidRPr="00100F0A">
              <w:rPr>
                <w:rFonts w:eastAsia="Times New Roman" w:cs="Calibri"/>
                <w:b/>
                <w:bCs/>
                <w:color w:val="000000"/>
                <w:sz w:val="20"/>
                <w:szCs w:val="20"/>
                <w:lang w:eastAsia="en-AU"/>
              </w:rPr>
              <w:t xml:space="preserve">Treatment </w:t>
            </w:r>
          </w:p>
        </w:tc>
        <w:tc>
          <w:tcPr>
            <w:tcW w:w="607" w:type="pct"/>
            <w:tcBorders>
              <w:top w:val="nil"/>
              <w:left w:val="nil"/>
              <w:bottom w:val="nil"/>
              <w:right w:val="nil"/>
            </w:tcBorders>
            <w:shd w:val="clear" w:color="000000" w:fill="C5D9F1"/>
            <w:noWrap/>
            <w:vAlign w:val="bottom"/>
            <w:hideMark/>
          </w:tcPr>
          <w:p w14:paraId="612E9C42"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 </w:t>
            </w:r>
          </w:p>
        </w:tc>
        <w:tc>
          <w:tcPr>
            <w:tcW w:w="742" w:type="pct"/>
            <w:tcBorders>
              <w:top w:val="nil"/>
              <w:left w:val="nil"/>
              <w:bottom w:val="nil"/>
              <w:right w:val="nil"/>
            </w:tcBorders>
            <w:shd w:val="clear" w:color="000000" w:fill="C5D9F1"/>
            <w:noWrap/>
            <w:vAlign w:val="bottom"/>
            <w:hideMark/>
          </w:tcPr>
          <w:p w14:paraId="542D7D72"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 </w:t>
            </w:r>
          </w:p>
        </w:tc>
        <w:tc>
          <w:tcPr>
            <w:tcW w:w="792" w:type="pct"/>
            <w:tcBorders>
              <w:top w:val="nil"/>
              <w:left w:val="nil"/>
              <w:bottom w:val="nil"/>
              <w:right w:val="nil"/>
            </w:tcBorders>
            <w:shd w:val="clear" w:color="000000" w:fill="C5D9F1"/>
            <w:noWrap/>
            <w:vAlign w:val="bottom"/>
            <w:hideMark/>
          </w:tcPr>
          <w:p w14:paraId="703266B6"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 </w:t>
            </w:r>
          </w:p>
        </w:tc>
        <w:tc>
          <w:tcPr>
            <w:tcW w:w="543" w:type="pct"/>
            <w:tcBorders>
              <w:top w:val="nil"/>
              <w:left w:val="nil"/>
              <w:bottom w:val="nil"/>
              <w:right w:val="nil"/>
            </w:tcBorders>
            <w:shd w:val="clear" w:color="000000" w:fill="C5D9F1"/>
            <w:noWrap/>
            <w:vAlign w:val="bottom"/>
            <w:hideMark/>
          </w:tcPr>
          <w:p w14:paraId="589B4E53"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 </w:t>
            </w:r>
          </w:p>
        </w:tc>
        <w:tc>
          <w:tcPr>
            <w:tcW w:w="642" w:type="pct"/>
            <w:tcBorders>
              <w:top w:val="nil"/>
              <w:left w:val="nil"/>
              <w:bottom w:val="nil"/>
              <w:right w:val="nil"/>
            </w:tcBorders>
            <w:shd w:val="clear" w:color="000000" w:fill="C5D9F1"/>
            <w:noWrap/>
            <w:vAlign w:val="bottom"/>
            <w:hideMark/>
          </w:tcPr>
          <w:p w14:paraId="5918A9E1"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 </w:t>
            </w:r>
          </w:p>
        </w:tc>
      </w:tr>
      <w:tr w:rsidR="001347A6" w:rsidRPr="00100F0A" w14:paraId="0B471220" w14:textId="77777777" w:rsidTr="001347A6">
        <w:trPr>
          <w:trHeight w:val="255"/>
        </w:trPr>
        <w:tc>
          <w:tcPr>
            <w:tcW w:w="1674" w:type="pct"/>
            <w:tcBorders>
              <w:top w:val="nil"/>
              <w:left w:val="nil"/>
              <w:bottom w:val="nil"/>
              <w:right w:val="nil"/>
            </w:tcBorders>
            <w:shd w:val="clear" w:color="auto" w:fill="auto"/>
            <w:noWrap/>
            <w:vAlign w:val="center"/>
            <w:hideMark/>
          </w:tcPr>
          <w:p w14:paraId="29194ADF" w14:textId="77777777" w:rsidR="001347A6" w:rsidRPr="00100F0A" w:rsidRDefault="001347A6" w:rsidP="001347A6">
            <w:pPr>
              <w:jc w:val="right"/>
              <w:rPr>
                <w:rFonts w:eastAsia="Times New Roman" w:cs="Calibri"/>
                <w:color w:val="000000"/>
                <w:sz w:val="20"/>
                <w:szCs w:val="20"/>
                <w:lang w:eastAsia="en-AU"/>
              </w:rPr>
            </w:pPr>
            <w:r w:rsidRPr="00100F0A">
              <w:rPr>
                <w:rFonts w:eastAsia="Times New Roman" w:cs="Calibri"/>
                <w:color w:val="000000"/>
                <w:sz w:val="20"/>
                <w:szCs w:val="20"/>
                <w:lang w:eastAsia="en-AU"/>
              </w:rPr>
              <w:t>CPT plant</w:t>
            </w:r>
          </w:p>
        </w:tc>
        <w:tc>
          <w:tcPr>
            <w:tcW w:w="607" w:type="pct"/>
            <w:tcBorders>
              <w:top w:val="nil"/>
              <w:left w:val="nil"/>
              <w:bottom w:val="nil"/>
              <w:right w:val="nil"/>
            </w:tcBorders>
            <w:shd w:val="clear" w:color="auto" w:fill="auto"/>
            <w:noWrap/>
            <w:vAlign w:val="bottom"/>
            <w:hideMark/>
          </w:tcPr>
          <w:p w14:paraId="4A5A2653"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Full</w:t>
            </w:r>
          </w:p>
        </w:tc>
        <w:tc>
          <w:tcPr>
            <w:tcW w:w="742" w:type="pct"/>
            <w:tcBorders>
              <w:top w:val="nil"/>
              <w:left w:val="nil"/>
              <w:bottom w:val="nil"/>
              <w:right w:val="nil"/>
            </w:tcBorders>
            <w:shd w:val="clear" w:color="auto" w:fill="auto"/>
            <w:noWrap/>
            <w:vAlign w:val="bottom"/>
            <w:hideMark/>
          </w:tcPr>
          <w:p w14:paraId="7F7D2BC5"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78%</w:t>
            </w:r>
          </w:p>
        </w:tc>
        <w:tc>
          <w:tcPr>
            <w:tcW w:w="792" w:type="pct"/>
            <w:tcBorders>
              <w:top w:val="nil"/>
              <w:left w:val="nil"/>
              <w:bottom w:val="nil"/>
              <w:right w:val="nil"/>
            </w:tcBorders>
            <w:shd w:val="clear" w:color="auto" w:fill="auto"/>
            <w:noWrap/>
            <w:vAlign w:val="bottom"/>
            <w:hideMark/>
          </w:tcPr>
          <w:p w14:paraId="00051ACF"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Y</w:t>
            </w:r>
          </w:p>
        </w:tc>
        <w:tc>
          <w:tcPr>
            <w:tcW w:w="543" w:type="pct"/>
            <w:tcBorders>
              <w:top w:val="nil"/>
              <w:left w:val="nil"/>
              <w:bottom w:val="nil"/>
              <w:right w:val="nil"/>
            </w:tcBorders>
            <w:shd w:val="clear" w:color="auto" w:fill="auto"/>
            <w:noWrap/>
            <w:vAlign w:val="bottom"/>
            <w:hideMark/>
          </w:tcPr>
          <w:p w14:paraId="5EE21C96"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w:t>
            </w:r>
          </w:p>
        </w:tc>
        <w:tc>
          <w:tcPr>
            <w:tcW w:w="642" w:type="pct"/>
            <w:tcBorders>
              <w:top w:val="nil"/>
              <w:left w:val="nil"/>
              <w:bottom w:val="nil"/>
              <w:right w:val="nil"/>
            </w:tcBorders>
            <w:shd w:val="clear" w:color="auto" w:fill="auto"/>
            <w:noWrap/>
            <w:vAlign w:val="bottom"/>
            <w:hideMark/>
          </w:tcPr>
          <w:p w14:paraId="236F98D6"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Moderate</w:t>
            </w:r>
          </w:p>
        </w:tc>
      </w:tr>
      <w:tr w:rsidR="001347A6" w:rsidRPr="00100F0A" w14:paraId="6D898453" w14:textId="77777777" w:rsidTr="001347A6">
        <w:trPr>
          <w:trHeight w:val="255"/>
        </w:trPr>
        <w:tc>
          <w:tcPr>
            <w:tcW w:w="1674" w:type="pct"/>
            <w:tcBorders>
              <w:top w:val="nil"/>
              <w:left w:val="nil"/>
              <w:bottom w:val="nil"/>
              <w:right w:val="nil"/>
            </w:tcBorders>
            <w:shd w:val="clear" w:color="auto" w:fill="auto"/>
            <w:noWrap/>
            <w:vAlign w:val="center"/>
            <w:hideMark/>
          </w:tcPr>
          <w:p w14:paraId="408F1AEF" w14:textId="77777777" w:rsidR="001347A6" w:rsidRPr="00100F0A" w:rsidRDefault="001347A6" w:rsidP="001347A6">
            <w:pPr>
              <w:jc w:val="right"/>
              <w:rPr>
                <w:rFonts w:eastAsia="Times New Roman" w:cs="Calibri"/>
                <w:color w:val="000000"/>
                <w:sz w:val="20"/>
                <w:szCs w:val="20"/>
                <w:lang w:eastAsia="en-AU"/>
              </w:rPr>
            </w:pPr>
            <w:r w:rsidRPr="00100F0A">
              <w:rPr>
                <w:rFonts w:eastAsia="Times New Roman" w:cs="Calibri"/>
                <w:color w:val="000000"/>
                <w:sz w:val="20"/>
                <w:szCs w:val="20"/>
                <w:lang w:eastAsia="en-AU"/>
              </w:rPr>
              <w:t xml:space="preserve">Clinical waste treatment facility </w:t>
            </w:r>
          </w:p>
        </w:tc>
        <w:tc>
          <w:tcPr>
            <w:tcW w:w="607" w:type="pct"/>
            <w:tcBorders>
              <w:top w:val="nil"/>
              <w:left w:val="nil"/>
              <w:bottom w:val="nil"/>
              <w:right w:val="nil"/>
            </w:tcBorders>
            <w:shd w:val="clear" w:color="auto" w:fill="auto"/>
            <w:noWrap/>
            <w:vAlign w:val="bottom"/>
            <w:hideMark/>
          </w:tcPr>
          <w:p w14:paraId="4D091D56"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Full</w:t>
            </w:r>
          </w:p>
        </w:tc>
        <w:tc>
          <w:tcPr>
            <w:tcW w:w="742" w:type="pct"/>
            <w:tcBorders>
              <w:top w:val="nil"/>
              <w:left w:val="nil"/>
              <w:bottom w:val="nil"/>
              <w:right w:val="nil"/>
            </w:tcBorders>
            <w:shd w:val="clear" w:color="auto" w:fill="auto"/>
            <w:noWrap/>
            <w:vAlign w:val="bottom"/>
            <w:hideMark/>
          </w:tcPr>
          <w:p w14:paraId="71B75643"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38%</w:t>
            </w:r>
          </w:p>
        </w:tc>
        <w:tc>
          <w:tcPr>
            <w:tcW w:w="792" w:type="pct"/>
            <w:tcBorders>
              <w:top w:val="nil"/>
              <w:left w:val="nil"/>
              <w:bottom w:val="nil"/>
              <w:right w:val="nil"/>
            </w:tcBorders>
            <w:shd w:val="clear" w:color="auto" w:fill="auto"/>
            <w:noWrap/>
            <w:vAlign w:val="bottom"/>
            <w:hideMark/>
          </w:tcPr>
          <w:p w14:paraId="2175495E"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w:t>
            </w:r>
          </w:p>
        </w:tc>
        <w:tc>
          <w:tcPr>
            <w:tcW w:w="543" w:type="pct"/>
            <w:tcBorders>
              <w:top w:val="nil"/>
              <w:left w:val="nil"/>
              <w:bottom w:val="nil"/>
              <w:right w:val="nil"/>
            </w:tcBorders>
            <w:shd w:val="clear" w:color="auto" w:fill="auto"/>
            <w:noWrap/>
            <w:vAlign w:val="bottom"/>
            <w:hideMark/>
          </w:tcPr>
          <w:p w14:paraId="2B8C6CE6"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w:t>
            </w:r>
          </w:p>
        </w:tc>
        <w:tc>
          <w:tcPr>
            <w:tcW w:w="642" w:type="pct"/>
            <w:tcBorders>
              <w:top w:val="nil"/>
              <w:left w:val="nil"/>
              <w:bottom w:val="nil"/>
              <w:right w:val="nil"/>
            </w:tcBorders>
            <w:shd w:val="clear" w:color="auto" w:fill="auto"/>
            <w:noWrap/>
            <w:vAlign w:val="bottom"/>
            <w:hideMark/>
          </w:tcPr>
          <w:p w14:paraId="453A6D8D"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High</w:t>
            </w:r>
          </w:p>
        </w:tc>
      </w:tr>
      <w:tr w:rsidR="001347A6" w:rsidRPr="00100F0A" w14:paraId="500E7FDE" w14:textId="77777777" w:rsidTr="001347A6">
        <w:trPr>
          <w:trHeight w:val="255"/>
        </w:trPr>
        <w:tc>
          <w:tcPr>
            <w:tcW w:w="1674" w:type="pct"/>
            <w:tcBorders>
              <w:top w:val="nil"/>
              <w:left w:val="nil"/>
              <w:bottom w:val="nil"/>
              <w:right w:val="nil"/>
            </w:tcBorders>
            <w:shd w:val="clear" w:color="auto" w:fill="auto"/>
            <w:noWrap/>
            <w:vAlign w:val="center"/>
            <w:hideMark/>
          </w:tcPr>
          <w:p w14:paraId="4FA656A4" w14:textId="77777777" w:rsidR="001347A6" w:rsidRPr="00100F0A" w:rsidRDefault="001347A6" w:rsidP="001347A6">
            <w:pPr>
              <w:jc w:val="right"/>
              <w:rPr>
                <w:rFonts w:eastAsia="Times New Roman" w:cs="Calibri"/>
                <w:color w:val="000000"/>
                <w:sz w:val="20"/>
                <w:szCs w:val="20"/>
                <w:lang w:eastAsia="en-AU"/>
              </w:rPr>
            </w:pPr>
            <w:r w:rsidRPr="00100F0A">
              <w:rPr>
                <w:rFonts w:eastAsia="Times New Roman" w:cs="Calibri"/>
                <w:color w:val="000000"/>
                <w:sz w:val="20"/>
                <w:szCs w:val="20"/>
                <w:lang w:eastAsia="en-AU"/>
              </w:rPr>
              <w:t>Bioremediation facility</w:t>
            </w:r>
          </w:p>
        </w:tc>
        <w:tc>
          <w:tcPr>
            <w:tcW w:w="607" w:type="pct"/>
            <w:tcBorders>
              <w:top w:val="nil"/>
              <w:left w:val="nil"/>
              <w:bottom w:val="nil"/>
              <w:right w:val="nil"/>
            </w:tcBorders>
            <w:shd w:val="clear" w:color="auto" w:fill="auto"/>
            <w:noWrap/>
            <w:vAlign w:val="bottom"/>
            <w:hideMark/>
          </w:tcPr>
          <w:p w14:paraId="3B56C066"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Limited</w:t>
            </w:r>
          </w:p>
        </w:tc>
        <w:tc>
          <w:tcPr>
            <w:tcW w:w="742" w:type="pct"/>
            <w:tcBorders>
              <w:top w:val="nil"/>
              <w:left w:val="nil"/>
              <w:bottom w:val="nil"/>
              <w:right w:val="nil"/>
            </w:tcBorders>
            <w:shd w:val="clear" w:color="auto" w:fill="auto"/>
            <w:noWrap/>
            <w:vAlign w:val="bottom"/>
            <w:hideMark/>
          </w:tcPr>
          <w:p w14:paraId="0A1FD556"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0%</w:t>
            </w:r>
          </w:p>
        </w:tc>
        <w:tc>
          <w:tcPr>
            <w:tcW w:w="792" w:type="pct"/>
            <w:tcBorders>
              <w:top w:val="nil"/>
              <w:left w:val="nil"/>
              <w:bottom w:val="nil"/>
              <w:right w:val="nil"/>
            </w:tcBorders>
            <w:shd w:val="clear" w:color="auto" w:fill="auto"/>
            <w:noWrap/>
            <w:vAlign w:val="bottom"/>
            <w:hideMark/>
          </w:tcPr>
          <w:p w14:paraId="0247F446"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Y</w:t>
            </w:r>
          </w:p>
        </w:tc>
        <w:tc>
          <w:tcPr>
            <w:tcW w:w="543" w:type="pct"/>
            <w:tcBorders>
              <w:top w:val="nil"/>
              <w:left w:val="nil"/>
              <w:bottom w:val="nil"/>
              <w:right w:val="nil"/>
            </w:tcBorders>
            <w:shd w:val="clear" w:color="auto" w:fill="auto"/>
            <w:noWrap/>
            <w:vAlign w:val="bottom"/>
            <w:hideMark/>
          </w:tcPr>
          <w:p w14:paraId="1D72E578"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Y</w:t>
            </w:r>
          </w:p>
        </w:tc>
        <w:tc>
          <w:tcPr>
            <w:tcW w:w="642" w:type="pct"/>
            <w:tcBorders>
              <w:top w:val="nil"/>
              <w:left w:val="nil"/>
              <w:bottom w:val="nil"/>
              <w:right w:val="nil"/>
            </w:tcBorders>
            <w:shd w:val="clear" w:color="auto" w:fill="auto"/>
            <w:noWrap/>
            <w:vAlign w:val="bottom"/>
            <w:hideMark/>
          </w:tcPr>
          <w:p w14:paraId="5BD9DD5F"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Very high</w:t>
            </w:r>
          </w:p>
        </w:tc>
      </w:tr>
      <w:tr w:rsidR="001347A6" w:rsidRPr="00100F0A" w14:paraId="321DEE7E" w14:textId="77777777" w:rsidTr="001347A6">
        <w:trPr>
          <w:trHeight w:val="255"/>
        </w:trPr>
        <w:tc>
          <w:tcPr>
            <w:tcW w:w="1674" w:type="pct"/>
            <w:tcBorders>
              <w:top w:val="nil"/>
              <w:left w:val="nil"/>
              <w:bottom w:val="nil"/>
              <w:right w:val="nil"/>
            </w:tcBorders>
            <w:shd w:val="clear" w:color="auto" w:fill="auto"/>
            <w:noWrap/>
            <w:vAlign w:val="center"/>
            <w:hideMark/>
          </w:tcPr>
          <w:p w14:paraId="574C593D" w14:textId="4EF1FEF6" w:rsidR="001347A6" w:rsidRPr="00100F0A" w:rsidRDefault="001347A6" w:rsidP="001347A6">
            <w:pPr>
              <w:jc w:val="right"/>
              <w:rPr>
                <w:rFonts w:eastAsia="Times New Roman" w:cs="Calibri"/>
                <w:color w:val="000000"/>
                <w:sz w:val="20"/>
                <w:szCs w:val="20"/>
                <w:lang w:eastAsia="en-AU"/>
              </w:rPr>
            </w:pPr>
            <w:r w:rsidRPr="00100F0A">
              <w:rPr>
                <w:rFonts w:eastAsia="Times New Roman" w:cs="Calibri"/>
                <w:color w:val="000000"/>
                <w:sz w:val="20"/>
                <w:szCs w:val="20"/>
                <w:lang w:eastAsia="en-AU"/>
              </w:rPr>
              <w:t xml:space="preserve">OWT facility  </w:t>
            </w:r>
          </w:p>
        </w:tc>
        <w:tc>
          <w:tcPr>
            <w:tcW w:w="607" w:type="pct"/>
            <w:tcBorders>
              <w:top w:val="nil"/>
              <w:left w:val="nil"/>
              <w:bottom w:val="nil"/>
              <w:right w:val="nil"/>
            </w:tcBorders>
            <w:shd w:val="clear" w:color="auto" w:fill="auto"/>
            <w:noWrap/>
            <w:vAlign w:val="bottom"/>
            <w:hideMark/>
          </w:tcPr>
          <w:p w14:paraId="27086116"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Full</w:t>
            </w:r>
          </w:p>
        </w:tc>
        <w:tc>
          <w:tcPr>
            <w:tcW w:w="742" w:type="pct"/>
            <w:tcBorders>
              <w:top w:val="nil"/>
              <w:left w:val="nil"/>
              <w:bottom w:val="nil"/>
              <w:right w:val="nil"/>
            </w:tcBorders>
            <w:shd w:val="clear" w:color="auto" w:fill="auto"/>
            <w:noWrap/>
            <w:vAlign w:val="bottom"/>
            <w:hideMark/>
          </w:tcPr>
          <w:p w14:paraId="0781605D"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37%</w:t>
            </w:r>
          </w:p>
        </w:tc>
        <w:tc>
          <w:tcPr>
            <w:tcW w:w="792" w:type="pct"/>
            <w:tcBorders>
              <w:top w:val="nil"/>
              <w:left w:val="nil"/>
              <w:bottom w:val="nil"/>
              <w:right w:val="nil"/>
            </w:tcBorders>
            <w:shd w:val="clear" w:color="auto" w:fill="auto"/>
            <w:noWrap/>
            <w:vAlign w:val="bottom"/>
            <w:hideMark/>
          </w:tcPr>
          <w:p w14:paraId="095A7B52"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Y</w:t>
            </w:r>
          </w:p>
        </w:tc>
        <w:tc>
          <w:tcPr>
            <w:tcW w:w="543" w:type="pct"/>
            <w:tcBorders>
              <w:top w:val="nil"/>
              <w:left w:val="nil"/>
              <w:bottom w:val="nil"/>
              <w:right w:val="nil"/>
            </w:tcBorders>
            <w:shd w:val="clear" w:color="auto" w:fill="auto"/>
            <w:noWrap/>
            <w:vAlign w:val="bottom"/>
            <w:hideMark/>
          </w:tcPr>
          <w:p w14:paraId="6F39C0B8"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Y</w:t>
            </w:r>
          </w:p>
        </w:tc>
        <w:tc>
          <w:tcPr>
            <w:tcW w:w="642" w:type="pct"/>
            <w:tcBorders>
              <w:top w:val="nil"/>
              <w:left w:val="nil"/>
              <w:bottom w:val="nil"/>
              <w:right w:val="nil"/>
            </w:tcBorders>
            <w:shd w:val="clear" w:color="auto" w:fill="auto"/>
            <w:noWrap/>
            <w:vAlign w:val="bottom"/>
            <w:hideMark/>
          </w:tcPr>
          <w:p w14:paraId="15A33B12"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High</w:t>
            </w:r>
          </w:p>
        </w:tc>
      </w:tr>
      <w:tr w:rsidR="001347A6" w:rsidRPr="00100F0A" w14:paraId="01F08C98" w14:textId="77777777" w:rsidTr="001347A6">
        <w:trPr>
          <w:trHeight w:val="255"/>
        </w:trPr>
        <w:tc>
          <w:tcPr>
            <w:tcW w:w="1674" w:type="pct"/>
            <w:tcBorders>
              <w:top w:val="nil"/>
              <w:left w:val="nil"/>
              <w:bottom w:val="nil"/>
              <w:right w:val="nil"/>
            </w:tcBorders>
            <w:shd w:val="clear" w:color="auto" w:fill="auto"/>
            <w:noWrap/>
            <w:vAlign w:val="center"/>
            <w:hideMark/>
          </w:tcPr>
          <w:p w14:paraId="41532028" w14:textId="77777777" w:rsidR="001347A6" w:rsidRPr="00100F0A" w:rsidRDefault="001347A6" w:rsidP="001347A6">
            <w:pPr>
              <w:jc w:val="right"/>
              <w:rPr>
                <w:rFonts w:eastAsia="Times New Roman" w:cs="Calibri"/>
                <w:color w:val="000000"/>
                <w:sz w:val="20"/>
                <w:szCs w:val="20"/>
                <w:lang w:eastAsia="en-AU"/>
              </w:rPr>
            </w:pPr>
            <w:r w:rsidRPr="00100F0A">
              <w:rPr>
                <w:rFonts w:eastAsia="Times New Roman" w:cs="Calibri"/>
                <w:color w:val="000000"/>
                <w:sz w:val="20"/>
                <w:szCs w:val="20"/>
                <w:lang w:eastAsia="en-AU"/>
              </w:rPr>
              <w:t>Soils treatment facility</w:t>
            </w:r>
          </w:p>
        </w:tc>
        <w:tc>
          <w:tcPr>
            <w:tcW w:w="607" w:type="pct"/>
            <w:tcBorders>
              <w:top w:val="nil"/>
              <w:left w:val="nil"/>
              <w:bottom w:val="nil"/>
              <w:right w:val="nil"/>
            </w:tcBorders>
            <w:shd w:val="clear" w:color="auto" w:fill="auto"/>
            <w:noWrap/>
            <w:vAlign w:val="bottom"/>
            <w:hideMark/>
          </w:tcPr>
          <w:p w14:paraId="2D0563D7"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Full</w:t>
            </w:r>
          </w:p>
        </w:tc>
        <w:tc>
          <w:tcPr>
            <w:tcW w:w="742" w:type="pct"/>
            <w:tcBorders>
              <w:top w:val="nil"/>
              <w:left w:val="nil"/>
              <w:bottom w:val="nil"/>
              <w:right w:val="nil"/>
            </w:tcBorders>
            <w:shd w:val="clear" w:color="auto" w:fill="auto"/>
            <w:noWrap/>
            <w:vAlign w:val="bottom"/>
            <w:hideMark/>
          </w:tcPr>
          <w:p w14:paraId="42D4099E"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100%</w:t>
            </w:r>
          </w:p>
        </w:tc>
        <w:tc>
          <w:tcPr>
            <w:tcW w:w="792" w:type="pct"/>
            <w:tcBorders>
              <w:top w:val="nil"/>
              <w:left w:val="nil"/>
              <w:bottom w:val="nil"/>
              <w:right w:val="nil"/>
            </w:tcBorders>
            <w:shd w:val="clear" w:color="auto" w:fill="auto"/>
            <w:noWrap/>
            <w:vAlign w:val="bottom"/>
            <w:hideMark/>
          </w:tcPr>
          <w:p w14:paraId="5B81DC6C"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w:t>
            </w:r>
          </w:p>
        </w:tc>
        <w:tc>
          <w:tcPr>
            <w:tcW w:w="543" w:type="pct"/>
            <w:tcBorders>
              <w:top w:val="nil"/>
              <w:left w:val="nil"/>
              <w:bottom w:val="nil"/>
              <w:right w:val="nil"/>
            </w:tcBorders>
            <w:shd w:val="clear" w:color="auto" w:fill="auto"/>
            <w:noWrap/>
            <w:vAlign w:val="bottom"/>
            <w:hideMark/>
          </w:tcPr>
          <w:p w14:paraId="1FF1F5E6"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w:t>
            </w:r>
          </w:p>
        </w:tc>
        <w:tc>
          <w:tcPr>
            <w:tcW w:w="642" w:type="pct"/>
            <w:tcBorders>
              <w:top w:val="nil"/>
              <w:left w:val="nil"/>
              <w:bottom w:val="nil"/>
              <w:right w:val="nil"/>
            </w:tcBorders>
            <w:shd w:val="clear" w:color="auto" w:fill="auto"/>
            <w:noWrap/>
            <w:vAlign w:val="bottom"/>
            <w:hideMark/>
          </w:tcPr>
          <w:p w14:paraId="20734A27"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Low</w:t>
            </w:r>
          </w:p>
        </w:tc>
      </w:tr>
      <w:tr w:rsidR="001347A6" w:rsidRPr="00100F0A" w14:paraId="2D1A9D78" w14:textId="77777777" w:rsidTr="001347A6">
        <w:trPr>
          <w:trHeight w:val="255"/>
        </w:trPr>
        <w:tc>
          <w:tcPr>
            <w:tcW w:w="1674" w:type="pct"/>
            <w:tcBorders>
              <w:top w:val="nil"/>
              <w:left w:val="nil"/>
              <w:bottom w:val="nil"/>
              <w:right w:val="nil"/>
            </w:tcBorders>
            <w:shd w:val="clear" w:color="000000" w:fill="C5D9F1"/>
            <w:noWrap/>
            <w:vAlign w:val="bottom"/>
            <w:hideMark/>
          </w:tcPr>
          <w:p w14:paraId="044E4F35" w14:textId="77777777" w:rsidR="001347A6" w:rsidRPr="00100F0A" w:rsidRDefault="001347A6" w:rsidP="001347A6">
            <w:pPr>
              <w:jc w:val="right"/>
              <w:rPr>
                <w:rFonts w:eastAsia="Times New Roman" w:cs="Calibri"/>
                <w:b/>
                <w:bCs/>
                <w:color w:val="000000"/>
                <w:sz w:val="20"/>
                <w:szCs w:val="20"/>
                <w:lang w:eastAsia="en-AU"/>
              </w:rPr>
            </w:pPr>
            <w:r w:rsidRPr="00100F0A">
              <w:rPr>
                <w:rFonts w:eastAsia="Times New Roman" w:cs="Calibri"/>
                <w:b/>
                <w:bCs/>
                <w:color w:val="000000"/>
                <w:sz w:val="20"/>
                <w:szCs w:val="20"/>
                <w:lang w:eastAsia="en-AU"/>
              </w:rPr>
              <w:t>Disposal</w:t>
            </w:r>
          </w:p>
        </w:tc>
        <w:tc>
          <w:tcPr>
            <w:tcW w:w="607" w:type="pct"/>
            <w:tcBorders>
              <w:top w:val="nil"/>
              <w:left w:val="nil"/>
              <w:bottom w:val="nil"/>
              <w:right w:val="nil"/>
            </w:tcBorders>
            <w:shd w:val="clear" w:color="000000" w:fill="C5D9F1"/>
            <w:noWrap/>
            <w:vAlign w:val="bottom"/>
            <w:hideMark/>
          </w:tcPr>
          <w:p w14:paraId="4B414945"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 </w:t>
            </w:r>
          </w:p>
        </w:tc>
        <w:tc>
          <w:tcPr>
            <w:tcW w:w="742" w:type="pct"/>
            <w:tcBorders>
              <w:top w:val="nil"/>
              <w:left w:val="nil"/>
              <w:bottom w:val="nil"/>
              <w:right w:val="nil"/>
            </w:tcBorders>
            <w:shd w:val="clear" w:color="000000" w:fill="C5D9F1"/>
            <w:noWrap/>
            <w:vAlign w:val="bottom"/>
            <w:hideMark/>
          </w:tcPr>
          <w:p w14:paraId="22A4C290"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 </w:t>
            </w:r>
          </w:p>
        </w:tc>
        <w:tc>
          <w:tcPr>
            <w:tcW w:w="792" w:type="pct"/>
            <w:tcBorders>
              <w:top w:val="nil"/>
              <w:left w:val="nil"/>
              <w:bottom w:val="nil"/>
              <w:right w:val="nil"/>
            </w:tcBorders>
            <w:shd w:val="clear" w:color="000000" w:fill="C5D9F1"/>
            <w:noWrap/>
            <w:vAlign w:val="bottom"/>
            <w:hideMark/>
          </w:tcPr>
          <w:p w14:paraId="25C8C516"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 </w:t>
            </w:r>
          </w:p>
        </w:tc>
        <w:tc>
          <w:tcPr>
            <w:tcW w:w="543" w:type="pct"/>
            <w:tcBorders>
              <w:top w:val="nil"/>
              <w:left w:val="nil"/>
              <w:bottom w:val="nil"/>
              <w:right w:val="nil"/>
            </w:tcBorders>
            <w:shd w:val="clear" w:color="000000" w:fill="C5D9F1"/>
            <w:noWrap/>
            <w:vAlign w:val="bottom"/>
            <w:hideMark/>
          </w:tcPr>
          <w:p w14:paraId="223DAE5E"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 </w:t>
            </w:r>
          </w:p>
        </w:tc>
        <w:tc>
          <w:tcPr>
            <w:tcW w:w="642" w:type="pct"/>
            <w:tcBorders>
              <w:top w:val="nil"/>
              <w:left w:val="nil"/>
              <w:bottom w:val="nil"/>
              <w:right w:val="nil"/>
            </w:tcBorders>
            <w:shd w:val="clear" w:color="000000" w:fill="C5D9F1"/>
            <w:noWrap/>
            <w:vAlign w:val="bottom"/>
            <w:hideMark/>
          </w:tcPr>
          <w:p w14:paraId="335709AA"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 </w:t>
            </w:r>
          </w:p>
        </w:tc>
      </w:tr>
      <w:tr w:rsidR="001347A6" w:rsidRPr="00100F0A" w14:paraId="2BF27FB3" w14:textId="77777777" w:rsidTr="001347A6">
        <w:trPr>
          <w:trHeight w:val="255"/>
        </w:trPr>
        <w:tc>
          <w:tcPr>
            <w:tcW w:w="1674" w:type="pct"/>
            <w:tcBorders>
              <w:top w:val="nil"/>
              <w:left w:val="nil"/>
              <w:bottom w:val="nil"/>
              <w:right w:val="nil"/>
            </w:tcBorders>
            <w:shd w:val="clear" w:color="auto" w:fill="auto"/>
            <w:noWrap/>
            <w:vAlign w:val="center"/>
            <w:hideMark/>
          </w:tcPr>
          <w:p w14:paraId="7117CED8" w14:textId="77777777" w:rsidR="001347A6" w:rsidRPr="00100F0A" w:rsidRDefault="001347A6" w:rsidP="001347A6">
            <w:pPr>
              <w:jc w:val="right"/>
              <w:rPr>
                <w:rFonts w:eastAsia="Times New Roman" w:cs="Calibri"/>
                <w:color w:val="000000"/>
                <w:sz w:val="20"/>
                <w:szCs w:val="20"/>
                <w:lang w:eastAsia="en-AU"/>
              </w:rPr>
            </w:pPr>
            <w:r w:rsidRPr="00100F0A">
              <w:rPr>
                <w:rFonts w:eastAsia="Times New Roman" w:cs="Calibri"/>
                <w:color w:val="000000"/>
                <w:sz w:val="20"/>
                <w:szCs w:val="20"/>
                <w:lang w:eastAsia="en-AU"/>
              </w:rPr>
              <w:t xml:space="preserve">Hazardous waste landfill facility </w:t>
            </w:r>
          </w:p>
        </w:tc>
        <w:tc>
          <w:tcPr>
            <w:tcW w:w="607" w:type="pct"/>
            <w:tcBorders>
              <w:top w:val="nil"/>
              <w:left w:val="nil"/>
              <w:bottom w:val="nil"/>
              <w:right w:val="nil"/>
            </w:tcBorders>
            <w:shd w:val="clear" w:color="auto" w:fill="auto"/>
            <w:noWrap/>
            <w:vAlign w:val="bottom"/>
            <w:hideMark/>
          </w:tcPr>
          <w:p w14:paraId="396734E6"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Full</w:t>
            </w:r>
          </w:p>
        </w:tc>
        <w:tc>
          <w:tcPr>
            <w:tcW w:w="742" w:type="pct"/>
            <w:tcBorders>
              <w:top w:val="nil"/>
              <w:left w:val="nil"/>
              <w:bottom w:val="nil"/>
              <w:right w:val="nil"/>
            </w:tcBorders>
            <w:shd w:val="clear" w:color="auto" w:fill="auto"/>
            <w:noWrap/>
            <w:vAlign w:val="bottom"/>
            <w:hideMark/>
          </w:tcPr>
          <w:p w14:paraId="47651BEB"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50%</w:t>
            </w:r>
          </w:p>
        </w:tc>
        <w:tc>
          <w:tcPr>
            <w:tcW w:w="792" w:type="pct"/>
            <w:tcBorders>
              <w:top w:val="nil"/>
              <w:left w:val="nil"/>
              <w:bottom w:val="nil"/>
              <w:right w:val="nil"/>
            </w:tcBorders>
            <w:shd w:val="clear" w:color="auto" w:fill="auto"/>
            <w:noWrap/>
            <w:vAlign w:val="bottom"/>
            <w:hideMark/>
          </w:tcPr>
          <w:p w14:paraId="0CECE156"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Y</w:t>
            </w:r>
          </w:p>
        </w:tc>
        <w:tc>
          <w:tcPr>
            <w:tcW w:w="543" w:type="pct"/>
            <w:tcBorders>
              <w:top w:val="nil"/>
              <w:left w:val="nil"/>
              <w:bottom w:val="nil"/>
              <w:right w:val="nil"/>
            </w:tcBorders>
            <w:shd w:val="clear" w:color="auto" w:fill="auto"/>
            <w:noWrap/>
            <w:vAlign w:val="bottom"/>
            <w:hideMark/>
          </w:tcPr>
          <w:p w14:paraId="768D6759"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w:t>
            </w:r>
          </w:p>
        </w:tc>
        <w:tc>
          <w:tcPr>
            <w:tcW w:w="642" w:type="pct"/>
            <w:tcBorders>
              <w:top w:val="nil"/>
              <w:left w:val="nil"/>
              <w:bottom w:val="nil"/>
              <w:right w:val="nil"/>
            </w:tcBorders>
            <w:shd w:val="clear" w:color="auto" w:fill="auto"/>
            <w:noWrap/>
            <w:vAlign w:val="bottom"/>
            <w:hideMark/>
          </w:tcPr>
          <w:p w14:paraId="29C2A9A2"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Very high</w:t>
            </w:r>
          </w:p>
        </w:tc>
      </w:tr>
      <w:tr w:rsidR="001347A6" w:rsidRPr="00100F0A" w14:paraId="08B0BA15" w14:textId="77777777" w:rsidTr="001347A6">
        <w:trPr>
          <w:trHeight w:val="255"/>
        </w:trPr>
        <w:tc>
          <w:tcPr>
            <w:tcW w:w="1674" w:type="pct"/>
            <w:tcBorders>
              <w:top w:val="nil"/>
              <w:left w:val="nil"/>
              <w:bottom w:val="nil"/>
              <w:right w:val="nil"/>
            </w:tcBorders>
            <w:shd w:val="clear" w:color="auto" w:fill="auto"/>
            <w:noWrap/>
            <w:vAlign w:val="center"/>
            <w:hideMark/>
          </w:tcPr>
          <w:p w14:paraId="1119B352" w14:textId="77777777" w:rsidR="001347A6" w:rsidRPr="00100F0A" w:rsidRDefault="001347A6" w:rsidP="001347A6">
            <w:pPr>
              <w:jc w:val="right"/>
              <w:rPr>
                <w:rFonts w:eastAsia="Times New Roman" w:cs="Calibri"/>
                <w:color w:val="000000"/>
                <w:sz w:val="20"/>
                <w:szCs w:val="20"/>
                <w:lang w:eastAsia="en-AU"/>
              </w:rPr>
            </w:pPr>
            <w:r w:rsidRPr="00100F0A">
              <w:rPr>
                <w:rFonts w:eastAsia="Times New Roman" w:cs="Calibri"/>
                <w:color w:val="000000"/>
                <w:sz w:val="20"/>
                <w:szCs w:val="20"/>
                <w:lang w:eastAsia="en-AU"/>
              </w:rPr>
              <w:t>Landfill facility (NEPM codes N, T)</w:t>
            </w:r>
          </w:p>
        </w:tc>
        <w:tc>
          <w:tcPr>
            <w:tcW w:w="607" w:type="pct"/>
            <w:tcBorders>
              <w:top w:val="nil"/>
              <w:left w:val="nil"/>
              <w:bottom w:val="nil"/>
              <w:right w:val="nil"/>
            </w:tcBorders>
            <w:shd w:val="clear" w:color="auto" w:fill="auto"/>
            <w:noWrap/>
            <w:vAlign w:val="bottom"/>
            <w:hideMark/>
          </w:tcPr>
          <w:p w14:paraId="22011A98"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None</w:t>
            </w:r>
          </w:p>
        </w:tc>
        <w:tc>
          <w:tcPr>
            <w:tcW w:w="742" w:type="pct"/>
            <w:tcBorders>
              <w:top w:val="nil"/>
              <w:left w:val="nil"/>
              <w:bottom w:val="nil"/>
              <w:right w:val="nil"/>
            </w:tcBorders>
            <w:shd w:val="clear" w:color="auto" w:fill="auto"/>
            <w:noWrap/>
            <w:vAlign w:val="bottom"/>
            <w:hideMark/>
          </w:tcPr>
          <w:p w14:paraId="1F660FD7" w14:textId="77777777" w:rsidR="001347A6" w:rsidRPr="00100F0A" w:rsidRDefault="001347A6" w:rsidP="001347A6">
            <w:pPr>
              <w:jc w:val="center"/>
              <w:rPr>
                <w:rFonts w:eastAsia="Times New Roman" w:cs="Calibri"/>
                <w:color w:val="000000"/>
                <w:sz w:val="20"/>
                <w:szCs w:val="20"/>
                <w:lang w:eastAsia="en-AU"/>
              </w:rPr>
            </w:pPr>
          </w:p>
        </w:tc>
        <w:tc>
          <w:tcPr>
            <w:tcW w:w="792" w:type="pct"/>
            <w:tcBorders>
              <w:top w:val="nil"/>
              <w:left w:val="nil"/>
              <w:bottom w:val="nil"/>
              <w:right w:val="nil"/>
            </w:tcBorders>
            <w:shd w:val="clear" w:color="auto" w:fill="auto"/>
            <w:noWrap/>
            <w:vAlign w:val="bottom"/>
            <w:hideMark/>
          </w:tcPr>
          <w:p w14:paraId="297A5DAF"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Na</w:t>
            </w:r>
          </w:p>
        </w:tc>
        <w:tc>
          <w:tcPr>
            <w:tcW w:w="543" w:type="pct"/>
            <w:tcBorders>
              <w:top w:val="nil"/>
              <w:left w:val="nil"/>
              <w:bottom w:val="nil"/>
              <w:right w:val="nil"/>
            </w:tcBorders>
            <w:shd w:val="clear" w:color="auto" w:fill="auto"/>
            <w:noWrap/>
            <w:vAlign w:val="bottom"/>
            <w:hideMark/>
          </w:tcPr>
          <w:p w14:paraId="5668CD5A"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Na</w:t>
            </w:r>
          </w:p>
        </w:tc>
        <w:tc>
          <w:tcPr>
            <w:tcW w:w="642" w:type="pct"/>
            <w:tcBorders>
              <w:top w:val="nil"/>
              <w:left w:val="nil"/>
              <w:bottom w:val="nil"/>
              <w:right w:val="nil"/>
            </w:tcBorders>
            <w:shd w:val="clear" w:color="auto" w:fill="auto"/>
            <w:noWrap/>
            <w:vAlign w:val="bottom"/>
            <w:hideMark/>
          </w:tcPr>
          <w:p w14:paraId="0D9ADA2D"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Na</w:t>
            </w:r>
          </w:p>
        </w:tc>
      </w:tr>
      <w:tr w:rsidR="001347A6" w:rsidRPr="00100F0A" w14:paraId="69ED079D" w14:textId="77777777" w:rsidTr="001347A6">
        <w:trPr>
          <w:trHeight w:val="255"/>
        </w:trPr>
        <w:tc>
          <w:tcPr>
            <w:tcW w:w="1674" w:type="pct"/>
            <w:tcBorders>
              <w:top w:val="nil"/>
              <w:left w:val="nil"/>
              <w:bottom w:val="nil"/>
              <w:right w:val="nil"/>
            </w:tcBorders>
            <w:shd w:val="clear" w:color="auto" w:fill="auto"/>
            <w:noWrap/>
            <w:vAlign w:val="center"/>
            <w:hideMark/>
          </w:tcPr>
          <w:p w14:paraId="7EDF60E9" w14:textId="34CEF38B" w:rsidR="001347A6" w:rsidRPr="00100F0A" w:rsidRDefault="00BE58C4" w:rsidP="001347A6">
            <w:pPr>
              <w:jc w:val="right"/>
              <w:rPr>
                <w:rFonts w:eastAsia="Times New Roman" w:cs="Calibri"/>
                <w:color w:val="000000"/>
                <w:sz w:val="20"/>
                <w:szCs w:val="20"/>
                <w:lang w:eastAsia="en-AU"/>
              </w:rPr>
            </w:pPr>
            <w:r>
              <w:rPr>
                <w:rFonts w:eastAsia="Times New Roman" w:cs="Calibri"/>
                <w:color w:val="000000"/>
                <w:sz w:val="20"/>
                <w:szCs w:val="20"/>
                <w:lang w:eastAsia="en-AU"/>
              </w:rPr>
              <w:t>POP</w:t>
            </w:r>
            <w:r w:rsidR="001347A6" w:rsidRPr="00100F0A">
              <w:rPr>
                <w:rFonts w:eastAsia="Times New Roman" w:cs="Calibri"/>
                <w:color w:val="000000"/>
                <w:sz w:val="20"/>
                <w:szCs w:val="20"/>
                <w:lang w:eastAsia="en-AU"/>
              </w:rPr>
              <w:t xml:space="preserve"> thermal destruction facility </w:t>
            </w:r>
          </w:p>
        </w:tc>
        <w:tc>
          <w:tcPr>
            <w:tcW w:w="607" w:type="pct"/>
            <w:tcBorders>
              <w:top w:val="nil"/>
              <w:left w:val="nil"/>
              <w:bottom w:val="nil"/>
              <w:right w:val="nil"/>
            </w:tcBorders>
            <w:shd w:val="clear" w:color="auto" w:fill="auto"/>
            <w:noWrap/>
            <w:vAlign w:val="bottom"/>
            <w:hideMark/>
          </w:tcPr>
          <w:p w14:paraId="5A95CE11"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Full</w:t>
            </w:r>
          </w:p>
        </w:tc>
        <w:tc>
          <w:tcPr>
            <w:tcW w:w="742" w:type="pct"/>
            <w:tcBorders>
              <w:top w:val="nil"/>
              <w:left w:val="nil"/>
              <w:bottom w:val="nil"/>
              <w:right w:val="nil"/>
            </w:tcBorders>
            <w:shd w:val="clear" w:color="auto" w:fill="auto"/>
            <w:noWrap/>
            <w:vAlign w:val="bottom"/>
            <w:hideMark/>
          </w:tcPr>
          <w:p w14:paraId="400F5318"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86%</w:t>
            </w:r>
          </w:p>
        </w:tc>
        <w:tc>
          <w:tcPr>
            <w:tcW w:w="792" w:type="pct"/>
            <w:tcBorders>
              <w:top w:val="nil"/>
              <w:left w:val="nil"/>
              <w:bottom w:val="nil"/>
              <w:right w:val="nil"/>
            </w:tcBorders>
            <w:shd w:val="clear" w:color="auto" w:fill="auto"/>
            <w:noWrap/>
            <w:vAlign w:val="bottom"/>
            <w:hideMark/>
          </w:tcPr>
          <w:p w14:paraId="26F38F4B"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w:t>
            </w:r>
          </w:p>
        </w:tc>
        <w:tc>
          <w:tcPr>
            <w:tcW w:w="543" w:type="pct"/>
            <w:tcBorders>
              <w:top w:val="nil"/>
              <w:left w:val="nil"/>
              <w:bottom w:val="nil"/>
              <w:right w:val="nil"/>
            </w:tcBorders>
            <w:shd w:val="clear" w:color="auto" w:fill="auto"/>
            <w:noWrap/>
            <w:vAlign w:val="bottom"/>
            <w:hideMark/>
          </w:tcPr>
          <w:p w14:paraId="68CD0656"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w:t>
            </w:r>
          </w:p>
        </w:tc>
        <w:tc>
          <w:tcPr>
            <w:tcW w:w="642" w:type="pct"/>
            <w:tcBorders>
              <w:top w:val="nil"/>
              <w:left w:val="nil"/>
              <w:bottom w:val="nil"/>
              <w:right w:val="nil"/>
            </w:tcBorders>
            <w:shd w:val="clear" w:color="auto" w:fill="auto"/>
            <w:noWrap/>
            <w:vAlign w:val="bottom"/>
            <w:hideMark/>
          </w:tcPr>
          <w:p w14:paraId="1C790622"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Moderate</w:t>
            </w:r>
          </w:p>
        </w:tc>
      </w:tr>
      <w:tr w:rsidR="001347A6" w:rsidRPr="00100F0A" w14:paraId="7CBD61A5" w14:textId="77777777" w:rsidTr="001347A6">
        <w:trPr>
          <w:trHeight w:val="255"/>
        </w:trPr>
        <w:tc>
          <w:tcPr>
            <w:tcW w:w="1674" w:type="pct"/>
            <w:tcBorders>
              <w:top w:val="nil"/>
              <w:left w:val="nil"/>
              <w:bottom w:val="nil"/>
              <w:right w:val="nil"/>
            </w:tcBorders>
            <w:shd w:val="clear" w:color="auto" w:fill="auto"/>
            <w:noWrap/>
            <w:vAlign w:val="center"/>
            <w:hideMark/>
          </w:tcPr>
          <w:p w14:paraId="4549F3E4" w14:textId="77777777" w:rsidR="001347A6" w:rsidRPr="00100F0A" w:rsidRDefault="001347A6" w:rsidP="001347A6">
            <w:pPr>
              <w:jc w:val="right"/>
              <w:rPr>
                <w:rFonts w:eastAsia="Times New Roman" w:cs="Calibri"/>
                <w:color w:val="000000"/>
                <w:sz w:val="20"/>
                <w:szCs w:val="20"/>
                <w:lang w:eastAsia="en-AU"/>
              </w:rPr>
            </w:pPr>
            <w:r w:rsidRPr="00100F0A">
              <w:rPr>
                <w:rFonts w:eastAsia="Times New Roman" w:cs="Calibri"/>
                <w:color w:val="000000"/>
                <w:sz w:val="20"/>
                <w:szCs w:val="20"/>
                <w:lang w:eastAsia="en-AU"/>
              </w:rPr>
              <w:t>Clinical waste facility thermal destruction</w:t>
            </w:r>
          </w:p>
        </w:tc>
        <w:tc>
          <w:tcPr>
            <w:tcW w:w="607" w:type="pct"/>
            <w:tcBorders>
              <w:top w:val="nil"/>
              <w:left w:val="nil"/>
              <w:bottom w:val="nil"/>
              <w:right w:val="nil"/>
            </w:tcBorders>
            <w:shd w:val="clear" w:color="auto" w:fill="auto"/>
            <w:noWrap/>
            <w:vAlign w:val="bottom"/>
            <w:hideMark/>
          </w:tcPr>
          <w:p w14:paraId="411E5436"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Full</w:t>
            </w:r>
          </w:p>
        </w:tc>
        <w:tc>
          <w:tcPr>
            <w:tcW w:w="742" w:type="pct"/>
            <w:tcBorders>
              <w:top w:val="nil"/>
              <w:left w:val="nil"/>
              <w:bottom w:val="nil"/>
              <w:right w:val="nil"/>
            </w:tcBorders>
            <w:shd w:val="clear" w:color="auto" w:fill="auto"/>
            <w:noWrap/>
            <w:vAlign w:val="bottom"/>
            <w:hideMark/>
          </w:tcPr>
          <w:p w14:paraId="4391620D"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100%</w:t>
            </w:r>
          </w:p>
        </w:tc>
        <w:tc>
          <w:tcPr>
            <w:tcW w:w="792" w:type="pct"/>
            <w:tcBorders>
              <w:top w:val="nil"/>
              <w:left w:val="nil"/>
              <w:bottom w:val="nil"/>
              <w:right w:val="nil"/>
            </w:tcBorders>
            <w:shd w:val="clear" w:color="auto" w:fill="auto"/>
            <w:noWrap/>
            <w:vAlign w:val="bottom"/>
            <w:hideMark/>
          </w:tcPr>
          <w:p w14:paraId="3B6B5CAC"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w:t>
            </w:r>
          </w:p>
        </w:tc>
        <w:tc>
          <w:tcPr>
            <w:tcW w:w="543" w:type="pct"/>
            <w:tcBorders>
              <w:top w:val="nil"/>
              <w:left w:val="nil"/>
              <w:bottom w:val="nil"/>
              <w:right w:val="nil"/>
            </w:tcBorders>
            <w:shd w:val="clear" w:color="auto" w:fill="auto"/>
            <w:noWrap/>
            <w:vAlign w:val="bottom"/>
            <w:hideMark/>
          </w:tcPr>
          <w:p w14:paraId="20CF050F"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w:t>
            </w:r>
          </w:p>
        </w:tc>
        <w:tc>
          <w:tcPr>
            <w:tcW w:w="642" w:type="pct"/>
            <w:tcBorders>
              <w:top w:val="nil"/>
              <w:left w:val="nil"/>
              <w:bottom w:val="nil"/>
              <w:right w:val="nil"/>
            </w:tcBorders>
            <w:shd w:val="clear" w:color="auto" w:fill="auto"/>
            <w:noWrap/>
            <w:vAlign w:val="bottom"/>
            <w:hideMark/>
          </w:tcPr>
          <w:p w14:paraId="4101CA5E"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Low</w:t>
            </w:r>
          </w:p>
        </w:tc>
      </w:tr>
      <w:tr w:rsidR="001347A6" w:rsidRPr="00100F0A" w14:paraId="15776A13" w14:textId="77777777" w:rsidTr="001347A6">
        <w:trPr>
          <w:trHeight w:val="255"/>
        </w:trPr>
        <w:tc>
          <w:tcPr>
            <w:tcW w:w="1674" w:type="pct"/>
            <w:tcBorders>
              <w:top w:val="nil"/>
              <w:left w:val="nil"/>
              <w:bottom w:val="nil"/>
              <w:right w:val="nil"/>
            </w:tcBorders>
            <w:shd w:val="clear" w:color="000000" w:fill="C5D9F1"/>
            <w:noWrap/>
            <w:vAlign w:val="bottom"/>
            <w:hideMark/>
          </w:tcPr>
          <w:p w14:paraId="0857ED8E" w14:textId="77777777" w:rsidR="001347A6" w:rsidRPr="00100F0A" w:rsidRDefault="001347A6" w:rsidP="001347A6">
            <w:pPr>
              <w:jc w:val="right"/>
              <w:rPr>
                <w:rFonts w:eastAsia="Times New Roman" w:cs="Calibri"/>
                <w:b/>
                <w:bCs/>
                <w:color w:val="000000"/>
                <w:sz w:val="20"/>
                <w:szCs w:val="20"/>
                <w:lang w:eastAsia="en-AU"/>
              </w:rPr>
            </w:pPr>
            <w:r w:rsidRPr="00100F0A">
              <w:rPr>
                <w:rFonts w:eastAsia="Times New Roman" w:cs="Calibri"/>
                <w:b/>
                <w:bCs/>
                <w:color w:val="000000"/>
                <w:sz w:val="20"/>
                <w:szCs w:val="20"/>
                <w:lang w:eastAsia="en-AU"/>
              </w:rPr>
              <w:t>Short-term storage or transfer</w:t>
            </w:r>
          </w:p>
        </w:tc>
        <w:tc>
          <w:tcPr>
            <w:tcW w:w="607" w:type="pct"/>
            <w:tcBorders>
              <w:top w:val="nil"/>
              <w:left w:val="nil"/>
              <w:bottom w:val="nil"/>
              <w:right w:val="nil"/>
            </w:tcBorders>
            <w:shd w:val="clear" w:color="000000" w:fill="C5D9F1"/>
            <w:noWrap/>
            <w:vAlign w:val="bottom"/>
            <w:hideMark/>
          </w:tcPr>
          <w:p w14:paraId="304128BE"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 </w:t>
            </w:r>
          </w:p>
        </w:tc>
        <w:tc>
          <w:tcPr>
            <w:tcW w:w="742" w:type="pct"/>
            <w:tcBorders>
              <w:top w:val="nil"/>
              <w:left w:val="nil"/>
              <w:bottom w:val="nil"/>
              <w:right w:val="nil"/>
            </w:tcBorders>
            <w:shd w:val="clear" w:color="000000" w:fill="C5D9F1"/>
            <w:noWrap/>
            <w:vAlign w:val="bottom"/>
            <w:hideMark/>
          </w:tcPr>
          <w:p w14:paraId="4EC4D7CA"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 </w:t>
            </w:r>
          </w:p>
        </w:tc>
        <w:tc>
          <w:tcPr>
            <w:tcW w:w="792" w:type="pct"/>
            <w:tcBorders>
              <w:top w:val="nil"/>
              <w:left w:val="nil"/>
              <w:bottom w:val="nil"/>
              <w:right w:val="nil"/>
            </w:tcBorders>
            <w:shd w:val="clear" w:color="000000" w:fill="C5D9F1"/>
            <w:noWrap/>
            <w:vAlign w:val="bottom"/>
            <w:hideMark/>
          </w:tcPr>
          <w:p w14:paraId="70974742"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 </w:t>
            </w:r>
          </w:p>
        </w:tc>
        <w:tc>
          <w:tcPr>
            <w:tcW w:w="543" w:type="pct"/>
            <w:tcBorders>
              <w:top w:val="nil"/>
              <w:left w:val="nil"/>
              <w:bottom w:val="nil"/>
              <w:right w:val="nil"/>
            </w:tcBorders>
            <w:shd w:val="clear" w:color="000000" w:fill="C5D9F1"/>
            <w:noWrap/>
            <w:vAlign w:val="bottom"/>
            <w:hideMark/>
          </w:tcPr>
          <w:p w14:paraId="769597E0"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 </w:t>
            </w:r>
          </w:p>
        </w:tc>
        <w:tc>
          <w:tcPr>
            <w:tcW w:w="642" w:type="pct"/>
            <w:tcBorders>
              <w:top w:val="nil"/>
              <w:left w:val="nil"/>
              <w:bottom w:val="nil"/>
              <w:right w:val="nil"/>
            </w:tcBorders>
            <w:shd w:val="clear" w:color="000000" w:fill="C5D9F1"/>
            <w:noWrap/>
            <w:vAlign w:val="bottom"/>
            <w:hideMark/>
          </w:tcPr>
          <w:p w14:paraId="63F0519A"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 </w:t>
            </w:r>
          </w:p>
        </w:tc>
      </w:tr>
      <w:tr w:rsidR="001347A6" w:rsidRPr="00100F0A" w14:paraId="57BC7335" w14:textId="77777777" w:rsidTr="001347A6">
        <w:trPr>
          <w:trHeight w:val="255"/>
        </w:trPr>
        <w:tc>
          <w:tcPr>
            <w:tcW w:w="1674" w:type="pct"/>
            <w:tcBorders>
              <w:top w:val="nil"/>
              <w:left w:val="nil"/>
              <w:bottom w:val="nil"/>
              <w:right w:val="nil"/>
            </w:tcBorders>
            <w:shd w:val="clear" w:color="auto" w:fill="auto"/>
            <w:noWrap/>
            <w:vAlign w:val="center"/>
            <w:hideMark/>
          </w:tcPr>
          <w:p w14:paraId="212D0850" w14:textId="77777777" w:rsidR="001347A6" w:rsidRPr="00100F0A" w:rsidRDefault="001347A6" w:rsidP="001347A6">
            <w:pPr>
              <w:jc w:val="right"/>
              <w:rPr>
                <w:rFonts w:eastAsia="Times New Roman" w:cs="Calibri"/>
                <w:color w:val="000000"/>
                <w:sz w:val="20"/>
                <w:szCs w:val="20"/>
                <w:lang w:eastAsia="en-AU"/>
              </w:rPr>
            </w:pPr>
            <w:r w:rsidRPr="00100F0A">
              <w:rPr>
                <w:rFonts w:eastAsia="Times New Roman" w:cs="Calibri"/>
                <w:color w:val="000000"/>
                <w:sz w:val="20"/>
                <w:szCs w:val="20"/>
                <w:lang w:eastAsia="en-AU"/>
              </w:rPr>
              <w:t>Transfer facility</w:t>
            </w:r>
          </w:p>
        </w:tc>
        <w:tc>
          <w:tcPr>
            <w:tcW w:w="607" w:type="pct"/>
            <w:tcBorders>
              <w:top w:val="nil"/>
              <w:left w:val="nil"/>
              <w:bottom w:val="nil"/>
              <w:right w:val="nil"/>
            </w:tcBorders>
            <w:shd w:val="clear" w:color="auto" w:fill="auto"/>
            <w:noWrap/>
            <w:vAlign w:val="bottom"/>
            <w:hideMark/>
          </w:tcPr>
          <w:p w14:paraId="57A49B62"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Limited</w:t>
            </w:r>
          </w:p>
        </w:tc>
        <w:tc>
          <w:tcPr>
            <w:tcW w:w="742" w:type="pct"/>
            <w:tcBorders>
              <w:top w:val="nil"/>
              <w:left w:val="nil"/>
              <w:bottom w:val="nil"/>
              <w:right w:val="nil"/>
            </w:tcBorders>
            <w:shd w:val="clear" w:color="auto" w:fill="auto"/>
            <w:noWrap/>
            <w:vAlign w:val="bottom"/>
            <w:hideMark/>
          </w:tcPr>
          <w:p w14:paraId="60E9F2E3"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79%</w:t>
            </w:r>
          </w:p>
        </w:tc>
        <w:tc>
          <w:tcPr>
            <w:tcW w:w="792" w:type="pct"/>
            <w:tcBorders>
              <w:top w:val="nil"/>
              <w:left w:val="nil"/>
              <w:bottom w:val="nil"/>
              <w:right w:val="nil"/>
            </w:tcBorders>
            <w:shd w:val="clear" w:color="auto" w:fill="auto"/>
            <w:noWrap/>
            <w:vAlign w:val="bottom"/>
            <w:hideMark/>
          </w:tcPr>
          <w:p w14:paraId="0A17EB13"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Y</w:t>
            </w:r>
          </w:p>
        </w:tc>
        <w:tc>
          <w:tcPr>
            <w:tcW w:w="543" w:type="pct"/>
            <w:tcBorders>
              <w:top w:val="nil"/>
              <w:left w:val="nil"/>
              <w:bottom w:val="nil"/>
              <w:right w:val="nil"/>
            </w:tcBorders>
            <w:shd w:val="clear" w:color="auto" w:fill="auto"/>
            <w:noWrap/>
            <w:vAlign w:val="bottom"/>
            <w:hideMark/>
          </w:tcPr>
          <w:p w14:paraId="52A1EE00"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Y</w:t>
            </w:r>
          </w:p>
        </w:tc>
        <w:tc>
          <w:tcPr>
            <w:tcW w:w="642" w:type="pct"/>
            <w:tcBorders>
              <w:top w:val="nil"/>
              <w:left w:val="nil"/>
              <w:bottom w:val="nil"/>
              <w:right w:val="nil"/>
            </w:tcBorders>
            <w:shd w:val="clear" w:color="auto" w:fill="auto"/>
            <w:noWrap/>
            <w:vAlign w:val="bottom"/>
            <w:hideMark/>
          </w:tcPr>
          <w:p w14:paraId="29345563"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Very high</w:t>
            </w:r>
          </w:p>
        </w:tc>
      </w:tr>
      <w:tr w:rsidR="001347A6" w:rsidRPr="00100F0A" w14:paraId="5E297E6A" w14:textId="77777777" w:rsidTr="001347A6">
        <w:trPr>
          <w:trHeight w:val="255"/>
        </w:trPr>
        <w:tc>
          <w:tcPr>
            <w:tcW w:w="1674" w:type="pct"/>
            <w:tcBorders>
              <w:top w:val="nil"/>
              <w:left w:val="nil"/>
              <w:bottom w:val="nil"/>
              <w:right w:val="nil"/>
            </w:tcBorders>
            <w:shd w:val="clear" w:color="000000" w:fill="C5D9F1"/>
            <w:noWrap/>
            <w:vAlign w:val="bottom"/>
            <w:hideMark/>
          </w:tcPr>
          <w:p w14:paraId="739C9397" w14:textId="77777777" w:rsidR="001347A6" w:rsidRPr="00100F0A" w:rsidRDefault="001347A6" w:rsidP="001347A6">
            <w:pPr>
              <w:jc w:val="right"/>
              <w:rPr>
                <w:rFonts w:eastAsia="Times New Roman" w:cs="Calibri"/>
                <w:b/>
                <w:bCs/>
                <w:color w:val="000000"/>
                <w:sz w:val="20"/>
                <w:szCs w:val="20"/>
                <w:lang w:eastAsia="en-AU"/>
              </w:rPr>
            </w:pPr>
            <w:r w:rsidRPr="00100F0A">
              <w:rPr>
                <w:rFonts w:eastAsia="Times New Roman" w:cs="Calibri"/>
                <w:b/>
                <w:bCs/>
                <w:color w:val="000000"/>
                <w:sz w:val="20"/>
                <w:szCs w:val="20"/>
                <w:lang w:eastAsia="en-AU"/>
              </w:rPr>
              <w:t>Long-term storage</w:t>
            </w:r>
          </w:p>
        </w:tc>
        <w:tc>
          <w:tcPr>
            <w:tcW w:w="607" w:type="pct"/>
            <w:tcBorders>
              <w:top w:val="nil"/>
              <w:left w:val="nil"/>
              <w:bottom w:val="nil"/>
              <w:right w:val="nil"/>
            </w:tcBorders>
            <w:shd w:val="clear" w:color="000000" w:fill="C5D9F1"/>
            <w:noWrap/>
            <w:vAlign w:val="bottom"/>
            <w:hideMark/>
          </w:tcPr>
          <w:p w14:paraId="58D6F1CE"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 </w:t>
            </w:r>
          </w:p>
        </w:tc>
        <w:tc>
          <w:tcPr>
            <w:tcW w:w="742" w:type="pct"/>
            <w:tcBorders>
              <w:top w:val="nil"/>
              <w:left w:val="nil"/>
              <w:bottom w:val="nil"/>
              <w:right w:val="nil"/>
            </w:tcBorders>
            <w:shd w:val="clear" w:color="000000" w:fill="C5D9F1"/>
            <w:noWrap/>
            <w:vAlign w:val="bottom"/>
            <w:hideMark/>
          </w:tcPr>
          <w:p w14:paraId="49073FAE"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 </w:t>
            </w:r>
          </w:p>
        </w:tc>
        <w:tc>
          <w:tcPr>
            <w:tcW w:w="792" w:type="pct"/>
            <w:tcBorders>
              <w:top w:val="nil"/>
              <w:left w:val="nil"/>
              <w:bottom w:val="nil"/>
              <w:right w:val="nil"/>
            </w:tcBorders>
            <w:shd w:val="clear" w:color="000000" w:fill="C5D9F1"/>
            <w:noWrap/>
            <w:vAlign w:val="bottom"/>
            <w:hideMark/>
          </w:tcPr>
          <w:p w14:paraId="3622D9DE"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 </w:t>
            </w:r>
          </w:p>
        </w:tc>
        <w:tc>
          <w:tcPr>
            <w:tcW w:w="543" w:type="pct"/>
            <w:tcBorders>
              <w:top w:val="nil"/>
              <w:left w:val="nil"/>
              <w:bottom w:val="nil"/>
              <w:right w:val="nil"/>
            </w:tcBorders>
            <w:shd w:val="clear" w:color="000000" w:fill="C5D9F1"/>
            <w:noWrap/>
            <w:vAlign w:val="bottom"/>
            <w:hideMark/>
          </w:tcPr>
          <w:p w14:paraId="720CE373"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 </w:t>
            </w:r>
          </w:p>
        </w:tc>
        <w:tc>
          <w:tcPr>
            <w:tcW w:w="642" w:type="pct"/>
            <w:tcBorders>
              <w:top w:val="nil"/>
              <w:left w:val="nil"/>
              <w:bottom w:val="nil"/>
              <w:right w:val="nil"/>
            </w:tcBorders>
            <w:shd w:val="clear" w:color="000000" w:fill="C5D9F1"/>
            <w:noWrap/>
            <w:vAlign w:val="bottom"/>
            <w:hideMark/>
          </w:tcPr>
          <w:p w14:paraId="737EAFC1"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 </w:t>
            </w:r>
          </w:p>
        </w:tc>
      </w:tr>
      <w:tr w:rsidR="001347A6" w:rsidRPr="00100F0A" w14:paraId="06BBF1DF" w14:textId="77777777" w:rsidTr="001347A6">
        <w:trPr>
          <w:trHeight w:val="255"/>
        </w:trPr>
        <w:tc>
          <w:tcPr>
            <w:tcW w:w="1674" w:type="pct"/>
            <w:tcBorders>
              <w:top w:val="nil"/>
              <w:left w:val="nil"/>
              <w:bottom w:val="nil"/>
              <w:right w:val="nil"/>
            </w:tcBorders>
            <w:shd w:val="clear" w:color="auto" w:fill="auto"/>
            <w:noWrap/>
            <w:vAlign w:val="center"/>
            <w:hideMark/>
          </w:tcPr>
          <w:p w14:paraId="78E399B9" w14:textId="77777777" w:rsidR="001347A6" w:rsidRPr="00100F0A" w:rsidRDefault="001347A6" w:rsidP="001347A6">
            <w:pPr>
              <w:jc w:val="right"/>
              <w:rPr>
                <w:rFonts w:eastAsia="Times New Roman" w:cs="Calibri"/>
                <w:color w:val="000000"/>
                <w:sz w:val="20"/>
                <w:szCs w:val="20"/>
                <w:lang w:eastAsia="en-AU"/>
              </w:rPr>
            </w:pPr>
            <w:r w:rsidRPr="00100F0A">
              <w:rPr>
                <w:rFonts w:eastAsia="Times New Roman" w:cs="Calibri"/>
                <w:color w:val="000000"/>
                <w:sz w:val="20"/>
                <w:szCs w:val="20"/>
                <w:lang w:eastAsia="en-AU"/>
              </w:rPr>
              <w:t>Long-term on-site storage</w:t>
            </w:r>
          </w:p>
        </w:tc>
        <w:tc>
          <w:tcPr>
            <w:tcW w:w="607" w:type="pct"/>
            <w:tcBorders>
              <w:top w:val="nil"/>
              <w:left w:val="nil"/>
              <w:bottom w:val="nil"/>
              <w:right w:val="nil"/>
            </w:tcBorders>
            <w:shd w:val="clear" w:color="auto" w:fill="auto"/>
            <w:noWrap/>
            <w:vAlign w:val="bottom"/>
            <w:hideMark/>
          </w:tcPr>
          <w:p w14:paraId="4E8D39A7"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None</w:t>
            </w:r>
          </w:p>
        </w:tc>
        <w:tc>
          <w:tcPr>
            <w:tcW w:w="742" w:type="pct"/>
            <w:tcBorders>
              <w:top w:val="nil"/>
              <w:left w:val="nil"/>
              <w:bottom w:val="nil"/>
              <w:right w:val="nil"/>
            </w:tcBorders>
            <w:shd w:val="clear" w:color="auto" w:fill="auto"/>
            <w:noWrap/>
            <w:vAlign w:val="bottom"/>
            <w:hideMark/>
          </w:tcPr>
          <w:p w14:paraId="1AE9A7CB" w14:textId="77777777" w:rsidR="001347A6" w:rsidRPr="00100F0A" w:rsidRDefault="001347A6" w:rsidP="001347A6">
            <w:pPr>
              <w:jc w:val="center"/>
              <w:rPr>
                <w:rFonts w:eastAsia="Times New Roman" w:cs="Calibri"/>
                <w:color w:val="000000"/>
                <w:sz w:val="20"/>
                <w:szCs w:val="20"/>
                <w:lang w:eastAsia="en-AU"/>
              </w:rPr>
            </w:pPr>
          </w:p>
        </w:tc>
        <w:tc>
          <w:tcPr>
            <w:tcW w:w="792" w:type="pct"/>
            <w:tcBorders>
              <w:top w:val="nil"/>
              <w:left w:val="nil"/>
              <w:bottom w:val="nil"/>
              <w:right w:val="nil"/>
            </w:tcBorders>
            <w:shd w:val="clear" w:color="auto" w:fill="auto"/>
            <w:noWrap/>
            <w:vAlign w:val="bottom"/>
            <w:hideMark/>
          </w:tcPr>
          <w:p w14:paraId="10D6CE59"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Na</w:t>
            </w:r>
          </w:p>
        </w:tc>
        <w:tc>
          <w:tcPr>
            <w:tcW w:w="543" w:type="pct"/>
            <w:tcBorders>
              <w:top w:val="nil"/>
              <w:left w:val="nil"/>
              <w:bottom w:val="nil"/>
              <w:right w:val="nil"/>
            </w:tcBorders>
            <w:shd w:val="clear" w:color="auto" w:fill="auto"/>
            <w:noWrap/>
            <w:vAlign w:val="bottom"/>
            <w:hideMark/>
          </w:tcPr>
          <w:p w14:paraId="1BB6D745"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Na</w:t>
            </w:r>
          </w:p>
        </w:tc>
        <w:tc>
          <w:tcPr>
            <w:tcW w:w="642" w:type="pct"/>
            <w:tcBorders>
              <w:top w:val="nil"/>
              <w:left w:val="nil"/>
              <w:bottom w:val="nil"/>
              <w:right w:val="nil"/>
            </w:tcBorders>
            <w:shd w:val="clear" w:color="auto" w:fill="auto"/>
            <w:noWrap/>
            <w:vAlign w:val="bottom"/>
            <w:hideMark/>
          </w:tcPr>
          <w:p w14:paraId="506D289D"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Na</w:t>
            </w:r>
          </w:p>
        </w:tc>
      </w:tr>
      <w:tr w:rsidR="001347A6" w:rsidRPr="00100F0A" w14:paraId="6A314DEC" w14:textId="77777777" w:rsidTr="001347A6">
        <w:trPr>
          <w:trHeight w:val="255"/>
        </w:trPr>
        <w:tc>
          <w:tcPr>
            <w:tcW w:w="1674" w:type="pct"/>
            <w:tcBorders>
              <w:top w:val="nil"/>
              <w:left w:val="nil"/>
              <w:bottom w:val="nil"/>
              <w:right w:val="nil"/>
            </w:tcBorders>
            <w:shd w:val="clear" w:color="auto" w:fill="auto"/>
            <w:noWrap/>
            <w:vAlign w:val="center"/>
            <w:hideMark/>
          </w:tcPr>
          <w:p w14:paraId="733A9B86" w14:textId="77777777" w:rsidR="001347A6" w:rsidRPr="00100F0A" w:rsidRDefault="001347A6" w:rsidP="001347A6">
            <w:pPr>
              <w:jc w:val="right"/>
              <w:rPr>
                <w:rFonts w:eastAsia="Times New Roman" w:cs="Calibri"/>
                <w:color w:val="000000"/>
                <w:sz w:val="20"/>
                <w:szCs w:val="20"/>
                <w:lang w:eastAsia="en-AU"/>
              </w:rPr>
            </w:pPr>
            <w:r w:rsidRPr="00100F0A">
              <w:rPr>
                <w:rFonts w:eastAsia="Times New Roman" w:cs="Calibri"/>
                <w:color w:val="000000"/>
                <w:sz w:val="20"/>
                <w:szCs w:val="20"/>
                <w:lang w:eastAsia="en-AU"/>
              </w:rPr>
              <w:t>Long-term isolation facility</w:t>
            </w:r>
          </w:p>
        </w:tc>
        <w:tc>
          <w:tcPr>
            <w:tcW w:w="607" w:type="pct"/>
            <w:tcBorders>
              <w:top w:val="nil"/>
              <w:left w:val="nil"/>
              <w:bottom w:val="nil"/>
              <w:right w:val="nil"/>
            </w:tcBorders>
            <w:shd w:val="clear" w:color="auto" w:fill="auto"/>
            <w:noWrap/>
            <w:vAlign w:val="bottom"/>
            <w:hideMark/>
          </w:tcPr>
          <w:p w14:paraId="2A6D67A1"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Full</w:t>
            </w:r>
          </w:p>
        </w:tc>
        <w:tc>
          <w:tcPr>
            <w:tcW w:w="742" w:type="pct"/>
            <w:tcBorders>
              <w:top w:val="nil"/>
              <w:left w:val="nil"/>
              <w:bottom w:val="nil"/>
              <w:right w:val="nil"/>
            </w:tcBorders>
            <w:shd w:val="clear" w:color="auto" w:fill="auto"/>
            <w:noWrap/>
            <w:vAlign w:val="bottom"/>
            <w:hideMark/>
          </w:tcPr>
          <w:p w14:paraId="422D6062"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100%</w:t>
            </w:r>
          </w:p>
        </w:tc>
        <w:tc>
          <w:tcPr>
            <w:tcW w:w="792" w:type="pct"/>
            <w:tcBorders>
              <w:top w:val="nil"/>
              <w:left w:val="nil"/>
              <w:bottom w:val="nil"/>
              <w:right w:val="nil"/>
            </w:tcBorders>
            <w:shd w:val="clear" w:color="auto" w:fill="auto"/>
            <w:noWrap/>
            <w:vAlign w:val="bottom"/>
            <w:hideMark/>
          </w:tcPr>
          <w:p w14:paraId="61D761B9"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w:t>
            </w:r>
          </w:p>
        </w:tc>
        <w:tc>
          <w:tcPr>
            <w:tcW w:w="543" w:type="pct"/>
            <w:tcBorders>
              <w:top w:val="nil"/>
              <w:left w:val="nil"/>
              <w:bottom w:val="nil"/>
              <w:right w:val="nil"/>
            </w:tcBorders>
            <w:shd w:val="clear" w:color="auto" w:fill="auto"/>
            <w:noWrap/>
            <w:vAlign w:val="bottom"/>
            <w:hideMark/>
          </w:tcPr>
          <w:p w14:paraId="1ECCD30C"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w:t>
            </w:r>
          </w:p>
        </w:tc>
        <w:tc>
          <w:tcPr>
            <w:tcW w:w="642" w:type="pct"/>
            <w:tcBorders>
              <w:top w:val="nil"/>
              <w:left w:val="nil"/>
              <w:bottom w:val="nil"/>
              <w:right w:val="nil"/>
            </w:tcBorders>
            <w:shd w:val="clear" w:color="auto" w:fill="auto"/>
            <w:noWrap/>
            <w:vAlign w:val="bottom"/>
            <w:hideMark/>
          </w:tcPr>
          <w:p w14:paraId="32C928DC" w14:textId="77777777" w:rsidR="001347A6" w:rsidRPr="00100F0A" w:rsidRDefault="001347A6" w:rsidP="001347A6">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Low</w:t>
            </w:r>
          </w:p>
        </w:tc>
      </w:tr>
    </w:tbl>
    <w:p w14:paraId="581D0830" w14:textId="77777777" w:rsidR="00B37084" w:rsidRPr="00100F0A" w:rsidRDefault="00B37084" w:rsidP="00B37084">
      <w:pPr>
        <w:pStyle w:val="BodyText"/>
      </w:pPr>
      <w:r w:rsidRPr="00100F0A">
        <w:br w:type="page"/>
      </w:r>
    </w:p>
    <w:p w14:paraId="6CCFED21" w14:textId="205BD456" w:rsidR="00B37084" w:rsidRPr="00100F0A" w:rsidRDefault="00B37084" w:rsidP="00AD35BF">
      <w:pPr>
        <w:pStyle w:val="Heading2"/>
        <w:ind w:left="851" w:hanging="851"/>
      </w:pPr>
      <w:bookmarkStart w:id="386" w:name="_Ref419908003"/>
      <w:bookmarkStart w:id="387" w:name="_Toc425849173"/>
      <w:bookmarkStart w:id="388" w:name="_Toc13225548"/>
      <w:r w:rsidRPr="00100F0A">
        <w:t>National assessment</w:t>
      </w:r>
      <w:r w:rsidR="00D349A2" w:rsidRPr="00100F0A">
        <w:t xml:space="preserve"> of need vs capacity </w:t>
      </w:r>
      <w:r w:rsidRPr="00100F0A">
        <w:t>by infrastructure group</w:t>
      </w:r>
      <w:bookmarkEnd w:id="386"/>
      <w:bookmarkEnd w:id="387"/>
      <w:bookmarkEnd w:id="388"/>
    </w:p>
    <w:p w14:paraId="7FC90711" w14:textId="25B08679" w:rsidR="00B37084" w:rsidRPr="00100F0A" w:rsidRDefault="00B37084" w:rsidP="00B37084">
      <w:pPr>
        <w:pStyle w:val="BodyText"/>
      </w:pPr>
      <w:r w:rsidRPr="00100F0A">
        <w:t xml:space="preserve">A national assessment of </w:t>
      </w:r>
      <w:r w:rsidR="00D349A2" w:rsidRPr="00100F0A">
        <w:t xml:space="preserve">the </w:t>
      </w:r>
      <w:r w:rsidRPr="00100F0A">
        <w:t xml:space="preserve">capacity of each infrastructure groups against </w:t>
      </w:r>
      <w:r w:rsidR="00D349A2" w:rsidRPr="00100F0A">
        <w:t xml:space="preserve">hazardous waste </w:t>
      </w:r>
      <w:r w:rsidRPr="00100F0A">
        <w:t xml:space="preserve">arisings </w:t>
      </w:r>
      <w:r w:rsidR="00D349A2" w:rsidRPr="00100F0A">
        <w:t xml:space="preserve">in 2016-17 and in future is </w:t>
      </w:r>
      <w:r w:rsidRPr="00100F0A">
        <w:t xml:space="preserve">given in </w:t>
      </w:r>
      <w:r w:rsidRPr="00100F0A">
        <w:fldChar w:fldCharType="begin"/>
      </w:r>
      <w:r w:rsidRPr="00100F0A">
        <w:instrText xml:space="preserve"> REF _Ref409383397 \h </w:instrText>
      </w:r>
      <w:r w:rsidRPr="00100F0A">
        <w:fldChar w:fldCharType="separate"/>
      </w:r>
      <w:r w:rsidR="00EB634D" w:rsidRPr="00100F0A">
        <w:t xml:space="preserve">Table </w:t>
      </w:r>
      <w:r w:rsidR="00EB634D">
        <w:rPr>
          <w:noProof/>
        </w:rPr>
        <w:t>50</w:t>
      </w:r>
      <w:r w:rsidRPr="00100F0A">
        <w:fldChar w:fldCharType="end"/>
      </w:r>
      <w:r w:rsidRPr="00100F0A">
        <w:t>. The table includes the following for each infrastructure group:</w:t>
      </w:r>
    </w:p>
    <w:p w14:paraId="3E2DE2CD" w14:textId="59E00C70" w:rsidR="00D349A2" w:rsidRPr="00100F0A" w:rsidRDefault="00E01BBA" w:rsidP="00B37084">
      <w:pPr>
        <w:pStyle w:val="Bullet1"/>
        <w:spacing w:before="0"/>
        <w:ind w:left="454" w:hanging="454"/>
      </w:pPr>
      <w:r>
        <w:t>t</w:t>
      </w:r>
      <w:r w:rsidR="00D349A2" w:rsidRPr="00100F0A">
        <w:t xml:space="preserve">he estimated arisings in 2016-17 that were managed by the infrastructure group, derived from jurisdictions waste tracking system data </w:t>
      </w:r>
    </w:p>
    <w:p w14:paraId="5E210F96" w14:textId="0349FAEF" w:rsidR="00B37084" w:rsidRPr="00100F0A" w:rsidRDefault="00E01BBA" w:rsidP="00B37084">
      <w:pPr>
        <w:pStyle w:val="Bullet1"/>
        <w:spacing w:before="0"/>
        <w:ind w:left="454" w:hanging="454"/>
      </w:pPr>
      <w:r>
        <w:t>t</w:t>
      </w:r>
      <w:r w:rsidR="00B37084" w:rsidRPr="00100F0A">
        <w:t xml:space="preserve">he </w:t>
      </w:r>
      <w:r w:rsidR="00D349A2" w:rsidRPr="00100F0A">
        <w:t xml:space="preserve">installed </w:t>
      </w:r>
      <w:r w:rsidR="00B37084" w:rsidRPr="00100F0A">
        <w:t xml:space="preserve">capacity of the infrastructure included in the group </w:t>
      </w:r>
    </w:p>
    <w:p w14:paraId="27D508D4" w14:textId="482C58EC" w:rsidR="00BC4E53" w:rsidRPr="00100F0A" w:rsidRDefault="00E01BBA" w:rsidP="00BC4E53">
      <w:pPr>
        <w:pStyle w:val="Bullet1"/>
        <w:spacing w:before="0"/>
        <w:ind w:left="454" w:hanging="454"/>
      </w:pPr>
      <w:r>
        <w:t>t</w:t>
      </w:r>
      <w:r w:rsidR="00D349A2" w:rsidRPr="00100F0A">
        <w:t>he expected future change in installed infrastructure capacity from new infrastructure that is currently under construction or commissioning or alternatively from planned closures of infrastructure</w:t>
      </w:r>
      <w:r w:rsidR="00BC4E53" w:rsidRPr="00100F0A">
        <w:t xml:space="preserve"> </w:t>
      </w:r>
    </w:p>
    <w:p w14:paraId="3F3D153F" w14:textId="685C351E" w:rsidR="00BC4E53" w:rsidRPr="00100F0A" w:rsidRDefault="00E01BBA" w:rsidP="00BC4E53">
      <w:pPr>
        <w:pStyle w:val="Bullet1"/>
        <w:spacing w:before="0"/>
        <w:ind w:left="454" w:hanging="454"/>
      </w:pPr>
      <w:r>
        <w:t>t</w:t>
      </w:r>
      <w:r w:rsidR="00BC4E53" w:rsidRPr="00100F0A">
        <w:t>he assessment of the level of uncertainty of the capacity estimate for the group (from low to very high)</w:t>
      </w:r>
    </w:p>
    <w:p w14:paraId="35D96047" w14:textId="31CE2CE9" w:rsidR="00B37084" w:rsidRPr="00100F0A" w:rsidRDefault="00E01BBA" w:rsidP="00B37084">
      <w:pPr>
        <w:pStyle w:val="Bullet1"/>
        <w:spacing w:before="0"/>
        <w:ind w:left="454" w:hanging="454"/>
      </w:pPr>
      <w:r>
        <w:t>t</w:t>
      </w:r>
      <w:r w:rsidR="00B37084" w:rsidRPr="00100F0A">
        <w:t xml:space="preserve">he year in which estimated arisings exceed </w:t>
      </w:r>
      <w:r w:rsidR="00BC4E53" w:rsidRPr="00100F0A">
        <w:t>currently installed c</w:t>
      </w:r>
      <w:r w:rsidR="00B37084" w:rsidRPr="00100F0A">
        <w:t>apacity</w:t>
      </w:r>
      <w:r>
        <w:t>; t</w:t>
      </w:r>
      <w:r w:rsidR="00B37084" w:rsidRPr="00100F0A">
        <w:t>his value is given for all three scenarios (best, high and low estimates)</w:t>
      </w:r>
    </w:p>
    <w:p w14:paraId="50553DB7" w14:textId="4D9DBA44" w:rsidR="00B37084" w:rsidRPr="00100F0A" w:rsidRDefault="00E01BBA" w:rsidP="00273744">
      <w:pPr>
        <w:pStyle w:val="Bullet1"/>
        <w:spacing w:before="0"/>
        <w:ind w:left="454" w:hanging="454"/>
      </w:pPr>
      <w:r>
        <w:t>a</w:t>
      </w:r>
      <w:r w:rsidR="00B37084" w:rsidRPr="00100F0A">
        <w:t xml:space="preserve"> discussion of the assessment and any specific recommendations.</w:t>
      </w:r>
      <w:r w:rsidR="00D349A2" w:rsidRPr="00100F0A">
        <w:t xml:space="preserve"> </w:t>
      </w:r>
    </w:p>
    <w:p w14:paraId="712D7EE7" w14:textId="62842B28" w:rsidR="00B37084" w:rsidRPr="00100F0A" w:rsidRDefault="00B37084" w:rsidP="0095119F">
      <w:pPr>
        <w:pStyle w:val="Caption"/>
      </w:pPr>
      <w:bookmarkStart w:id="389" w:name="_Ref409383397"/>
      <w:bookmarkStart w:id="390" w:name="_Toc425849342"/>
      <w:bookmarkStart w:id="391" w:name="_Toc13225669"/>
      <w:r w:rsidRPr="00100F0A">
        <w:t xml:space="preserve">Table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50</w:t>
      </w:r>
      <w:r w:rsidR="00B404A6" w:rsidRPr="00100F0A">
        <w:rPr>
          <w:noProof/>
        </w:rPr>
        <w:fldChar w:fldCharType="end"/>
      </w:r>
      <w:bookmarkEnd w:id="389"/>
      <w:r w:rsidR="00CF21A9">
        <w:rPr>
          <w:noProof/>
        </w:rPr>
        <w:t>:</w:t>
      </w:r>
      <w:r w:rsidR="00D11FEE" w:rsidRPr="00100F0A">
        <w:tab/>
      </w:r>
      <w:r w:rsidRPr="00100F0A">
        <w:t>National assessment of projected arisings vs infrastructure capacity</w:t>
      </w:r>
      <w:bookmarkEnd w:id="390"/>
      <w:bookmarkEnd w:id="391"/>
      <w:r w:rsidRPr="00100F0A">
        <w:t xml:space="preserve"> </w:t>
      </w:r>
    </w:p>
    <w:p w14:paraId="1E1047F6" w14:textId="71A56475" w:rsidR="002E06A4" w:rsidRPr="00100F0A" w:rsidRDefault="002E06A4" w:rsidP="002E06A4">
      <w:pPr>
        <w:pStyle w:val="BodyText"/>
      </w:pPr>
    </w:p>
    <w:tbl>
      <w:tblPr>
        <w:tblW w:w="14975" w:type="dxa"/>
        <w:tblLook w:val="04A0" w:firstRow="1" w:lastRow="0" w:firstColumn="1" w:lastColumn="0" w:noHBand="0" w:noVBand="1"/>
      </w:tblPr>
      <w:tblGrid>
        <w:gridCol w:w="1959"/>
        <w:gridCol w:w="783"/>
        <w:gridCol w:w="860"/>
        <w:gridCol w:w="899"/>
        <w:gridCol w:w="1306"/>
        <w:gridCol w:w="908"/>
        <w:gridCol w:w="31"/>
        <w:gridCol w:w="819"/>
        <w:gridCol w:w="28"/>
        <w:gridCol w:w="30"/>
        <w:gridCol w:w="850"/>
        <w:gridCol w:w="58"/>
        <w:gridCol w:w="6445"/>
      </w:tblGrid>
      <w:tr w:rsidR="00961B22" w:rsidRPr="00100F0A" w14:paraId="34C7F369" w14:textId="77777777" w:rsidTr="009D734D">
        <w:trPr>
          <w:trHeight w:val="701"/>
          <w:tblHeader/>
        </w:trPr>
        <w:tc>
          <w:tcPr>
            <w:tcW w:w="1959" w:type="dxa"/>
            <w:tcBorders>
              <w:top w:val="single" w:sz="4" w:space="0" w:color="BFBFBF"/>
              <w:left w:val="single" w:sz="4" w:space="0" w:color="BFBFBF"/>
              <w:bottom w:val="single" w:sz="4" w:space="0" w:color="BFBFBF"/>
              <w:right w:val="nil"/>
            </w:tcBorders>
            <w:shd w:val="clear" w:color="000000" w:fill="C5D9F1"/>
            <w:vAlign w:val="center"/>
            <w:hideMark/>
          </w:tcPr>
          <w:p w14:paraId="7E0D72E1" w14:textId="77777777" w:rsidR="00961B22" w:rsidRPr="00100F0A" w:rsidRDefault="00961B22" w:rsidP="00257EB5">
            <w:pPr>
              <w:widowControl w:val="0"/>
              <w:rPr>
                <w:rFonts w:asciiTheme="minorHAnsi" w:eastAsia="Times New Roman" w:hAnsiTheme="minorHAnsi" w:cstheme="minorHAnsi"/>
                <w:b/>
                <w:bCs/>
                <w:color w:val="000000"/>
                <w:sz w:val="18"/>
                <w:szCs w:val="18"/>
                <w:lang w:eastAsia="en-AU"/>
              </w:rPr>
            </w:pPr>
            <w:r w:rsidRPr="00100F0A">
              <w:rPr>
                <w:rFonts w:asciiTheme="minorHAnsi" w:eastAsia="Times New Roman" w:hAnsiTheme="minorHAnsi" w:cstheme="minorHAnsi"/>
                <w:b/>
                <w:bCs/>
                <w:color w:val="000000"/>
                <w:sz w:val="18"/>
                <w:szCs w:val="18"/>
                <w:lang w:eastAsia="en-AU"/>
              </w:rPr>
              <w:t>Infrastructure group</w:t>
            </w:r>
          </w:p>
        </w:tc>
        <w:tc>
          <w:tcPr>
            <w:tcW w:w="783" w:type="dxa"/>
            <w:tcBorders>
              <w:top w:val="single" w:sz="4" w:space="0" w:color="BFBFBF"/>
              <w:left w:val="single" w:sz="4" w:space="0" w:color="BFBFBF"/>
              <w:bottom w:val="single" w:sz="4" w:space="0" w:color="BFBFBF"/>
              <w:right w:val="nil"/>
            </w:tcBorders>
            <w:shd w:val="clear" w:color="000000" w:fill="C5D9F1"/>
            <w:hideMark/>
          </w:tcPr>
          <w:p w14:paraId="2C6EE36E" w14:textId="77777777" w:rsidR="00961B22" w:rsidRDefault="00961B22" w:rsidP="0097520F">
            <w:pPr>
              <w:widowControl w:val="0"/>
              <w:jc w:val="right"/>
              <w:rPr>
                <w:rFonts w:asciiTheme="minorHAnsi" w:eastAsia="Times New Roman" w:hAnsiTheme="minorHAnsi" w:cstheme="minorHAnsi"/>
                <w:b/>
                <w:bCs/>
                <w:color w:val="000000"/>
                <w:sz w:val="18"/>
                <w:szCs w:val="18"/>
                <w:lang w:eastAsia="en-AU"/>
              </w:rPr>
            </w:pPr>
            <w:r w:rsidRPr="00100F0A">
              <w:rPr>
                <w:rFonts w:asciiTheme="minorHAnsi" w:eastAsia="Times New Roman" w:hAnsiTheme="minorHAnsi" w:cstheme="minorHAnsi"/>
                <w:b/>
                <w:bCs/>
                <w:color w:val="000000"/>
                <w:sz w:val="18"/>
                <w:szCs w:val="18"/>
                <w:lang w:eastAsia="en-AU"/>
              </w:rPr>
              <w:t>16-17 arisings</w:t>
            </w:r>
          </w:p>
          <w:p w14:paraId="64FD25AF" w14:textId="3517B712" w:rsidR="001B3DD4" w:rsidRPr="00100F0A" w:rsidRDefault="001B3DD4" w:rsidP="0097520F">
            <w:pPr>
              <w:widowControl w:val="0"/>
              <w:jc w:val="right"/>
              <w:rPr>
                <w:rFonts w:asciiTheme="minorHAnsi" w:eastAsia="Times New Roman" w:hAnsiTheme="minorHAnsi" w:cstheme="minorHAnsi"/>
                <w:b/>
                <w:bCs/>
                <w:color w:val="000000"/>
                <w:sz w:val="18"/>
                <w:szCs w:val="18"/>
                <w:lang w:eastAsia="en-AU"/>
              </w:rPr>
            </w:pPr>
            <w:r w:rsidRPr="00100F0A">
              <w:rPr>
                <w:rFonts w:asciiTheme="minorHAnsi" w:eastAsia="Times New Roman" w:hAnsiTheme="minorHAnsi" w:cstheme="minorHAnsi"/>
                <w:b/>
                <w:bCs/>
                <w:color w:val="000000"/>
                <w:sz w:val="18"/>
                <w:szCs w:val="18"/>
                <w:lang w:eastAsia="en-AU"/>
              </w:rPr>
              <w:t>(</w:t>
            </w:r>
            <w:r>
              <w:rPr>
                <w:rFonts w:asciiTheme="minorHAnsi" w:eastAsia="Times New Roman" w:hAnsiTheme="minorHAnsi" w:cstheme="minorHAnsi"/>
                <w:b/>
                <w:bCs/>
                <w:color w:val="000000"/>
                <w:sz w:val="18"/>
                <w:szCs w:val="18"/>
                <w:lang w:eastAsia="en-AU"/>
              </w:rPr>
              <w:t>kt/yr</w:t>
            </w:r>
            <w:r w:rsidRPr="00100F0A">
              <w:rPr>
                <w:rFonts w:asciiTheme="minorHAnsi" w:eastAsia="Times New Roman" w:hAnsiTheme="minorHAnsi" w:cstheme="minorHAnsi"/>
                <w:b/>
                <w:bCs/>
                <w:color w:val="000000"/>
                <w:sz w:val="18"/>
                <w:szCs w:val="18"/>
                <w:lang w:eastAsia="en-AU"/>
              </w:rPr>
              <w:t>)</w:t>
            </w:r>
          </w:p>
        </w:tc>
        <w:tc>
          <w:tcPr>
            <w:tcW w:w="860" w:type="dxa"/>
            <w:tcBorders>
              <w:top w:val="single" w:sz="4" w:space="0" w:color="BFBFBF"/>
              <w:left w:val="nil"/>
              <w:bottom w:val="single" w:sz="4" w:space="0" w:color="BFBFBF"/>
              <w:right w:val="nil"/>
            </w:tcBorders>
            <w:shd w:val="clear" w:color="000000" w:fill="C5D9F1"/>
            <w:hideMark/>
          </w:tcPr>
          <w:p w14:paraId="79E6BE89" w14:textId="77777777" w:rsidR="00961B22" w:rsidRDefault="00961B22" w:rsidP="0097520F">
            <w:pPr>
              <w:widowControl w:val="0"/>
              <w:jc w:val="right"/>
              <w:rPr>
                <w:rFonts w:asciiTheme="minorHAnsi" w:eastAsia="Times New Roman" w:hAnsiTheme="minorHAnsi" w:cstheme="minorHAnsi"/>
                <w:b/>
                <w:bCs/>
                <w:color w:val="000000"/>
                <w:sz w:val="18"/>
                <w:szCs w:val="18"/>
                <w:lang w:eastAsia="en-AU"/>
              </w:rPr>
            </w:pPr>
            <w:r w:rsidRPr="00100F0A">
              <w:rPr>
                <w:rFonts w:asciiTheme="minorHAnsi" w:eastAsia="Times New Roman" w:hAnsiTheme="minorHAnsi" w:cstheme="minorHAnsi"/>
                <w:b/>
                <w:bCs/>
                <w:color w:val="000000"/>
                <w:sz w:val="18"/>
                <w:szCs w:val="18"/>
                <w:lang w:eastAsia="en-AU"/>
              </w:rPr>
              <w:t>Installed capacity</w:t>
            </w:r>
          </w:p>
          <w:p w14:paraId="5E9BA5D4" w14:textId="242888CE" w:rsidR="001B3DD4" w:rsidRPr="00100F0A" w:rsidRDefault="001B3DD4" w:rsidP="0097520F">
            <w:pPr>
              <w:widowControl w:val="0"/>
              <w:jc w:val="right"/>
              <w:rPr>
                <w:rFonts w:asciiTheme="minorHAnsi" w:eastAsia="Times New Roman" w:hAnsiTheme="minorHAnsi" w:cstheme="minorHAnsi"/>
                <w:b/>
                <w:bCs/>
                <w:color w:val="000000"/>
                <w:sz w:val="18"/>
                <w:szCs w:val="18"/>
                <w:lang w:eastAsia="en-AU"/>
              </w:rPr>
            </w:pPr>
            <w:r w:rsidRPr="00100F0A">
              <w:rPr>
                <w:rFonts w:asciiTheme="minorHAnsi" w:eastAsia="Times New Roman" w:hAnsiTheme="minorHAnsi" w:cstheme="minorHAnsi"/>
                <w:b/>
                <w:bCs/>
                <w:color w:val="000000"/>
                <w:sz w:val="18"/>
                <w:szCs w:val="18"/>
                <w:lang w:eastAsia="en-AU"/>
              </w:rPr>
              <w:t>(</w:t>
            </w:r>
            <w:r>
              <w:rPr>
                <w:rFonts w:asciiTheme="minorHAnsi" w:eastAsia="Times New Roman" w:hAnsiTheme="minorHAnsi" w:cstheme="minorHAnsi"/>
                <w:b/>
                <w:bCs/>
                <w:color w:val="000000"/>
                <w:sz w:val="18"/>
                <w:szCs w:val="18"/>
                <w:lang w:eastAsia="en-AU"/>
              </w:rPr>
              <w:t>kt/yr</w:t>
            </w:r>
            <w:r w:rsidRPr="00100F0A">
              <w:rPr>
                <w:rFonts w:asciiTheme="minorHAnsi" w:eastAsia="Times New Roman" w:hAnsiTheme="minorHAnsi" w:cstheme="minorHAnsi"/>
                <w:b/>
                <w:bCs/>
                <w:color w:val="000000"/>
                <w:sz w:val="18"/>
                <w:szCs w:val="18"/>
                <w:lang w:eastAsia="en-AU"/>
              </w:rPr>
              <w:t>)</w:t>
            </w:r>
          </w:p>
        </w:tc>
        <w:tc>
          <w:tcPr>
            <w:tcW w:w="899" w:type="dxa"/>
            <w:tcBorders>
              <w:top w:val="single" w:sz="4" w:space="0" w:color="BFBFBF"/>
              <w:left w:val="nil"/>
              <w:bottom w:val="single" w:sz="4" w:space="0" w:color="BFBFBF"/>
              <w:right w:val="nil"/>
            </w:tcBorders>
            <w:shd w:val="clear" w:color="000000" w:fill="C5D9F1"/>
            <w:hideMark/>
          </w:tcPr>
          <w:p w14:paraId="3B4F0FAA" w14:textId="77777777" w:rsidR="00961B22" w:rsidRDefault="00961B22" w:rsidP="0097520F">
            <w:pPr>
              <w:widowControl w:val="0"/>
              <w:jc w:val="center"/>
              <w:rPr>
                <w:rFonts w:asciiTheme="minorHAnsi" w:eastAsia="Times New Roman" w:hAnsiTheme="minorHAnsi" w:cstheme="minorHAnsi"/>
                <w:b/>
                <w:bCs/>
                <w:color w:val="000000"/>
                <w:sz w:val="18"/>
                <w:szCs w:val="18"/>
                <w:lang w:eastAsia="en-AU"/>
              </w:rPr>
            </w:pPr>
            <w:r w:rsidRPr="00100F0A">
              <w:rPr>
                <w:rFonts w:asciiTheme="minorHAnsi" w:eastAsia="Times New Roman" w:hAnsiTheme="minorHAnsi" w:cstheme="minorHAnsi"/>
                <w:b/>
                <w:bCs/>
                <w:color w:val="000000"/>
                <w:sz w:val="18"/>
                <w:szCs w:val="18"/>
                <w:lang w:eastAsia="en-AU"/>
              </w:rPr>
              <w:t>Expected capacity   change</w:t>
            </w:r>
          </w:p>
          <w:p w14:paraId="1435AE81" w14:textId="6318BF41" w:rsidR="001B3DD4" w:rsidRPr="00100F0A" w:rsidRDefault="001B3DD4" w:rsidP="0097520F">
            <w:pPr>
              <w:widowControl w:val="0"/>
              <w:jc w:val="center"/>
              <w:rPr>
                <w:rFonts w:asciiTheme="minorHAnsi" w:eastAsia="Times New Roman" w:hAnsiTheme="minorHAnsi" w:cstheme="minorHAnsi"/>
                <w:b/>
                <w:bCs/>
                <w:color w:val="000000"/>
                <w:sz w:val="18"/>
                <w:szCs w:val="18"/>
                <w:lang w:eastAsia="en-AU"/>
              </w:rPr>
            </w:pPr>
            <w:r w:rsidRPr="00100F0A">
              <w:rPr>
                <w:rFonts w:asciiTheme="minorHAnsi" w:eastAsia="Times New Roman" w:hAnsiTheme="minorHAnsi" w:cstheme="minorHAnsi"/>
                <w:b/>
                <w:bCs/>
                <w:color w:val="000000"/>
                <w:sz w:val="18"/>
                <w:szCs w:val="18"/>
                <w:lang w:eastAsia="en-AU"/>
              </w:rPr>
              <w:t>(</w:t>
            </w:r>
            <w:r>
              <w:rPr>
                <w:rFonts w:asciiTheme="minorHAnsi" w:eastAsia="Times New Roman" w:hAnsiTheme="minorHAnsi" w:cstheme="minorHAnsi"/>
                <w:b/>
                <w:bCs/>
                <w:color w:val="000000"/>
                <w:sz w:val="18"/>
                <w:szCs w:val="18"/>
                <w:lang w:eastAsia="en-AU"/>
              </w:rPr>
              <w:t>kt/yr</w:t>
            </w:r>
            <w:r w:rsidRPr="00100F0A">
              <w:rPr>
                <w:rFonts w:asciiTheme="minorHAnsi" w:eastAsia="Times New Roman" w:hAnsiTheme="minorHAnsi" w:cstheme="minorHAnsi"/>
                <w:b/>
                <w:bCs/>
                <w:color w:val="000000"/>
                <w:sz w:val="18"/>
                <w:szCs w:val="18"/>
                <w:lang w:eastAsia="en-AU"/>
              </w:rPr>
              <w:t>)</w:t>
            </w:r>
          </w:p>
        </w:tc>
        <w:tc>
          <w:tcPr>
            <w:tcW w:w="1306" w:type="dxa"/>
            <w:tcBorders>
              <w:top w:val="single" w:sz="4" w:space="0" w:color="BFBFBF"/>
              <w:left w:val="nil"/>
              <w:bottom w:val="single" w:sz="4" w:space="0" w:color="BFBFBF"/>
              <w:right w:val="single" w:sz="4" w:space="0" w:color="BFBFBF"/>
            </w:tcBorders>
            <w:shd w:val="clear" w:color="000000" w:fill="C5D9F1"/>
            <w:hideMark/>
          </w:tcPr>
          <w:p w14:paraId="6D838E72" w14:textId="77777777" w:rsidR="00961B22" w:rsidRDefault="00961B22" w:rsidP="0097520F">
            <w:pPr>
              <w:widowControl w:val="0"/>
              <w:jc w:val="center"/>
              <w:rPr>
                <w:rFonts w:asciiTheme="minorHAnsi" w:eastAsia="Times New Roman" w:hAnsiTheme="minorHAnsi" w:cstheme="minorHAnsi"/>
                <w:b/>
                <w:bCs/>
                <w:color w:val="000000"/>
                <w:sz w:val="18"/>
                <w:szCs w:val="18"/>
                <w:lang w:eastAsia="en-AU"/>
              </w:rPr>
            </w:pPr>
            <w:r w:rsidRPr="00100F0A">
              <w:rPr>
                <w:rFonts w:asciiTheme="minorHAnsi" w:eastAsia="Times New Roman" w:hAnsiTheme="minorHAnsi" w:cstheme="minorHAnsi"/>
                <w:b/>
                <w:bCs/>
                <w:color w:val="000000"/>
                <w:sz w:val="18"/>
                <w:szCs w:val="18"/>
                <w:lang w:eastAsia="en-AU"/>
              </w:rPr>
              <w:t xml:space="preserve">Uncertainty of assessment </w:t>
            </w:r>
          </w:p>
          <w:p w14:paraId="6A744155" w14:textId="6AFC8FD1" w:rsidR="001B3DD4" w:rsidRPr="00100F0A" w:rsidRDefault="001B3DD4" w:rsidP="0097520F">
            <w:pPr>
              <w:widowControl w:val="0"/>
              <w:jc w:val="center"/>
              <w:rPr>
                <w:rFonts w:asciiTheme="minorHAnsi" w:eastAsia="Times New Roman" w:hAnsiTheme="minorHAnsi" w:cstheme="minorHAnsi"/>
                <w:b/>
                <w:bCs/>
                <w:color w:val="000000"/>
                <w:sz w:val="18"/>
                <w:szCs w:val="18"/>
                <w:lang w:eastAsia="en-AU"/>
              </w:rPr>
            </w:pPr>
            <w:r w:rsidRPr="00100F0A">
              <w:rPr>
                <w:rFonts w:asciiTheme="minorHAnsi" w:eastAsia="Times New Roman" w:hAnsiTheme="minorHAnsi" w:cstheme="minorHAnsi"/>
                <w:b/>
                <w:bCs/>
                <w:color w:val="000000"/>
                <w:sz w:val="18"/>
                <w:szCs w:val="18"/>
                <w:lang w:eastAsia="en-AU"/>
              </w:rPr>
              <w:t>low - very high</w:t>
            </w:r>
          </w:p>
        </w:tc>
        <w:tc>
          <w:tcPr>
            <w:tcW w:w="2724" w:type="dxa"/>
            <w:gridSpan w:val="7"/>
            <w:tcBorders>
              <w:top w:val="single" w:sz="4" w:space="0" w:color="BFBFBF"/>
              <w:left w:val="nil"/>
              <w:bottom w:val="single" w:sz="4" w:space="0" w:color="BFBFBF"/>
              <w:right w:val="single" w:sz="4" w:space="0" w:color="BFBFBF"/>
            </w:tcBorders>
            <w:shd w:val="clear" w:color="000000" w:fill="C5D9F1"/>
            <w:hideMark/>
          </w:tcPr>
          <w:p w14:paraId="31C17C92" w14:textId="77777777" w:rsidR="00961B22" w:rsidRDefault="00961B22" w:rsidP="0097520F">
            <w:pPr>
              <w:widowControl w:val="0"/>
              <w:jc w:val="center"/>
              <w:rPr>
                <w:rFonts w:asciiTheme="minorHAnsi" w:eastAsia="Times New Roman" w:hAnsiTheme="minorHAnsi" w:cstheme="minorHAnsi"/>
                <w:b/>
                <w:bCs/>
                <w:color w:val="000000"/>
                <w:sz w:val="18"/>
                <w:szCs w:val="18"/>
                <w:lang w:eastAsia="en-AU"/>
              </w:rPr>
            </w:pPr>
            <w:r w:rsidRPr="00100F0A">
              <w:rPr>
                <w:rFonts w:asciiTheme="minorHAnsi" w:eastAsia="Times New Roman" w:hAnsiTheme="minorHAnsi" w:cstheme="minorHAnsi"/>
                <w:b/>
                <w:bCs/>
                <w:color w:val="000000"/>
                <w:sz w:val="18"/>
                <w:szCs w:val="18"/>
                <w:lang w:eastAsia="en-AU"/>
              </w:rPr>
              <w:t xml:space="preserve">Est. year arisings &gt; installed capacity  </w:t>
            </w:r>
          </w:p>
          <w:p w14:paraId="08FB5C1C" w14:textId="71489B28" w:rsidR="001B3DD4" w:rsidRPr="00100F0A" w:rsidRDefault="001B3DD4" w:rsidP="00FD3200">
            <w:pPr>
              <w:widowControl w:val="0"/>
              <w:rPr>
                <w:rFonts w:asciiTheme="minorHAnsi" w:eastAsia="Times New Roman" w:hAnsiTheme="minorHAnsi" w:cstheme="minorHAnsi"/>
                <w:b/>
                <w:bCs/>
                <w:color w:val="000000"/>
                <w:sz w:val="18"/>
                <w:szCs w:val="18"/>
                <w:lang w:eastAsia="en-AU"/>
              </w:rPr>
            </w:pPr>
            <w:r>
              <w:rPr>
                <w:rFonts w:asciiTheme="minorHAnsi" w:eastAsia="Times New Roman" w:hAnsiTheme="minorHAnsi" w:cstheme="minorHAnsi"/>
                <w:b/>
                <w:bCs/>
                <w:color w:val="000000"/>
                <w:sz w:val="18"/>
                <w:szCs w:val="18"/>
                <w:lang w:eastAsia="en-AU"/>
              </w:rPr>
              <w:t xml:space="preserve"> Best          High         Low</w:t>
            </w:r>
          </w:p>
        </w:tc>
        <w:tc>
          <w:tcPr>
            <w:tcW w:w="6444" w:type="dxa"/>
            <w:tcBorders>
              <w:top w:val="single" w:sz="4" w:space="0" w:color="BFBFBF"/>
              <w:left w:val="nil"/>
              <w:bottom w:val="single" w:sz="4" w:space="0" w:color="BFBFBF"/>
              <w:right w:val="single" w:sz="4" w:space="0" w:color="BFBFBF"/>
            </w:tcBorders>
            <w:shd w:val="clear" w:color="000000" w:fill="C5D9F1"/>
            <w:hideMark/>
          </w:tcPr>
          <w:p w14:paraId="2E0945CF" w14:textId="77777777" w:rsidR="00961B22" w:rsidRPr="00100F0A" w:rsidRDefault="00961B22" w:rsidP="0097520F">
            <w:pPr>
              <w:widowControl w:val="0"/>
              <w:jc w:val="center"/>
              <w:rPr>
                <w:rFonts w:asciiTheme="minorHAnsi" w:eastAsia="Times New Roman" w:hAnsiTheme="minorHAnsi" w:cstheme="minorHAnsi"/>
                <w:b/>
                <w:bCs/>
                <w:color w:val="000000"/>
                <w:sz w:val="18"/>
                <w:szCs w:val="18"/>
                <w:lang w:eastAsia="en-AU"/>
              </w:rPr>
            </w:pPr>
            <w:r w:rsidRPr="00100F0A">
              <w:rPr>
                <w:rFonts w:asciiTheme="minorHAnsi" w:eastAsia="Times New Roman" w:hAnsiTheme="minorHAnsi" w:cstheme="minorHAnsi"/>
                <w:b/>
                <w:bCs/>
                <w:color w:val="000000"/>
                <w:sz w:val="18"/>
                <w:szCs w:val="18"/>
                <w:lang w:eastAsia="en-AU"/>
              </w:rPr>
              <w:t>Assessment discussion and recommendations</w:t>
            </w:r>
          </w:p>
        </w:tc>
      </w:tr>
      <w:tr w:rsidR="0097520F" w:rsidRPr="00100F0A" w14:paraId="19E76CCD" w14:textId="77777777" w:rsidTr="009D734D">
        <w:trPr>
          <w:trHeight w:val="255"/>
        </w:trPr>
        <w:tc>
          <w:tcPr>
            <w:tcW w:w="14975" w:type="dxa"/>
            <w:gridSpan w:val="13"/>
            <w:tcBorders>
              <w:top w:val="single" w:sz="4" w:space="0" w:color="BFBFBF"/>
              <w:left w:val="single" w:sz="4" w:space="0" w:color="BFBFBF"/>
              <w:bottom w:val="single" w:sz="4" w:space="0" w:color="BFBFBF"/>
              <w:right w:val="single" w:sz="4" w:space="0" w:color="BFBFBF"/>
            </w:tcBorders>
            <w:shd w:val="clear" w:color="000000" w:fill="C5D9F1"/>
            <w:noWrap/>
            <w:vAlign w:val="bottom"/>
            <w:hideMark/>
          </w:tcPr>
          <w:p w14:paraId="39DE22BD" w14:textId="14F2EB8F" w:rsidR="0097520F" w:rsidRPr="00100F0A" w:rsidRDefault="0097520F" w:rsidP="00257EB5">
            <w:pPr>
              <w:widowControl w:val="0"/>
              <w:rPr>
                <w:rFonts w:asciiTheme="minorHAnsi" w:eastAsia="Times New Roman" w:hAnsiTheme="minorHAnsi" w:cstheme="minorHAnsi"/>
                <w:b/>
                <w:bCs/>
                <w:color w:val="000000"/>
                <w:sz w:val="18"/>
                <w:szCs w:val="18"/>
                <w:lang w:eastAsia="en-AU"/>
              </w:rPr>
            </w:pPr>
            <w:r w:rsidRPr="00100F0A">
              <w:rPr>
                <w:rFonts w:asciiTheme="minorHAnsi" w:eastAsia="Times New Roman" w:hAnsiTheme="minorHAnsi" w:cstheme="minorHAnsi"/>
                <w:b/>
                <w:bCs/>
                <w:color w:val="000000"/>
                <w:sz w:val="18"/>
                <w:szCs w:val="18"/>
                <w:lang w:eastAsia="en-AU"/>
              </w:rPr>
              <w:t>Recycling and energy recovery</w:t>
            </w:r>
          </w:p>
        </w:tc>
      </w:tr>
      <w:tr w:rsidR="00961B22" w:rsidRPr="00100F0A" w14:paraId="1778B43C" w14:textId="77777777" w:rsidTr="004B656C">
        <w:trPr>
          <w:trHeight w:val="2040"/>
        </w:trPr>
        <w:tc>
          <w:tcPr>
            <w:tcW w:w="195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E45BA87" w14:textId="77777777" w:rsidR="00961B22" w:rsidRPr="00100F0A" w:rsidRDefault="00961B22" w:rsidP="00696683">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Hazardous waste packaging facility</w:t>
            </w:r>
          </w:p>
        </w:tc>
        <w:tc>
          <w:tcPr>
            <w:tcW w:w="78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411C6E1"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15</w:t>
            </w:r>
          </w:p>
        </w:tc>
        <w:tc>
          <w:tcPr>
            <w:tcW w:w="8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07668E"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19</w:t>
            </w:r>
          </w:p>
        </w:tc>
        <w:tc>
          <w:tcPr>
            <w:tcW w:w="8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BF60DA3"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0</w:t>
            </w:r>
          </w:p>
        </w:tc>
        <w:tc>
          <w:tcPr>
            <w:tcW w:w="130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975D498"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High</w:t>
            </w:r>
          </w:p>
        </w:tc>
        <w:tc>
          <w:tcPr>
            <w:tcW w:w="939"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4869B5C4"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&gt;2037</w:t>
            </w:r>
          </w:p>
        </w:tc>
        <w:tc>
          <w:tcPr>
            <w:tcW w:w="847"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1A6F0549"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2033</w:t>
            </w:r>
          </w:p>
        </w:tc>
        <w:tc>
          <w:tcPr>
            <w:tcW w:w="938" w:type="dxa"/>
            <w:gridSpan w:val="3"/>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302A7645"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&gt;2037</w:t>
            </w:r>
          </w:p>
        </w:tc>
        <w:tc>
          <w:tcPr>
            <w:tcW w:w="6444" w:type="dxa"/>
            <w:tcBorders>
              <w:top w:val="single" w:sz="4" w:space="0" w:color="BFBFBF"/>
              <w:left w:val="single" w:sz="4" w:space="0" w:color="BFBFBF"/>
              <w:bottom w:val="single" w:sz="4" w:space="0" w:color="BFBFBF"/>
              <w:right w:val="single" w:sz="4" w:space="0" w:color="BFBFBF"/>
            </w:tcBorders>
            <w:shd w:val="clear" w:color="000000" w:fill="FFFFFF"/>
            <w:vAlign w:val="center"/>
            <w:hideMark/>
          </w:tcPr>
          <w:p w14:paraId="68080A1C" w14:textId="77777777" w:rsidR="00961B22" w:rsidRPr="00100F0A" w:rsidRDefault="00961B22" w:rsidP="0097520F">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 xml:space="preserve">Analysis indicates that under the best and low scenarios over the next 20 years the installed capacity of Australia's current hazardous waste packaging recycling infrastructure will be able to recycle waste arisings. Under the high scenario, the current installed capacity would be exceeded in 2033. There may be some regional limitations (see jurisdictional analysis below). </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 xml:space="preserve">The infrastructure need vs capacity assessment for this group has high uncertainty due to a low response rate during consultation and this infrastructure group being highly diffuse increasing the probability of capacity not being included in the capacity database. </w:t>
            </w:r>
          </w:p>
        </w:tc>
      </w:tr>
      <w:tr w:rsidR="00961B22" w:rsidRPr="00100F0A" w14:paraId="036F8C9E" w14:textId="77777777" w:rsidTr="004B656C">
        <w:trPr>
          <w:trHeight w:val="4105"/>
        </w:trPr>
        <w:tc>
          <w:tcPr>
            <w:tcW w:w="195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CA71008" w14:textId="77777777" w:rsidR="00961B22" w:rsidRPr="00100F0A" w:rsidRDefault="00961B22" w:rsidP="00696683">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E-waste facility</w:t>
            </w:r>
          </w:p>
        </w:tc>
        <w:tc>
          <w:tcPr>
            <w:tcW w:w="78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01EB929"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4</w:t>
            </w:r>
          </w:p>
        </w:tc>
        <w:tc>
          <w:tcPr>
            <w:tcW w:w="8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5B1FA7D"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106</w:t>
            </w:r>
          </w:p>
        </w:tc>
        <w:tc>
          <w:tcPr>
            <w:tcW w:w="8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7E367C7"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12</w:t>
            </w:r>
          </w:p>
        </w:tc>
        <w:tc>
          <w:tcPr>
            <w:tcW w:w="130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A110167"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High</w:t>
            </w:r>
          </w:p>
        </w:tc>
        <w:tc>
          <w:tcPr>
            <w:tcW w:w="939"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396FAA87"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2037</w:t>
            </w:r>
          </w:p>
        </w:tc>
        <w:tc>
          <w:tcPr>
            <w:tcW w:w="847"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0BEDDC48"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2035</w:t>
            </w:r>
          </w:p>
        </w:tc>
        <w:tc>
          <w:tcPr>
            <w:tcW w:w="938" w:type="dxa"/>
            <w:gridSpan w:val="3"/>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3F286476"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&gt;2037</w:t>
            </w:r>
          </w:p>
        </w:tc>
        <w:tc>
          <w:tcPr>
            <w:tcW w:w="6444" w:type="dxa"/>
            <w:tcBorders>
              <w:top w:val="single" w:sz="4" w:space="0" w:color="BFBFBF"/>
              <w:left w:val="single" w:sz="4" w:space="0" w:color="BFBFBF"/>
              <w:bottom w:val="single" w:sz="4" w:space="0" w:color="BFBFBF"/>
              <w:right w:val="single" w:sz="4" w:space="0" w:color="BFBFBF"/>
            </w:tcBorders>
            <w:shd w:val="clear" w:color="000000" w:fill="FFFFFF"/>
            <w:vAlign w:val="center"/>
            <w:hideMark/>
          </w:tcPr>
          <w:p w14:paraId="0BA2E673" w14:textId="5D9CF9C0" w:rsidR="00961B22" w:rsidRPr="00100F0A" w:rsidRDefault="00961B22" w:rsidP="0097520F">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Analysis indicates that under the best and low scenarios over the next 20 years the current installed capacity of Australia's e-waste (major physical/chemical and manual disassembly processing) infrastructure will be able to recycle waste arisings. Under the high scenario</w:t>
            </w:r>
            <w:r w:rsidR="00E01BBA">
              <w:rPr>
                <w:rFonts w:asciiTheme="minorHAnsi" w:eastAsia="Times New Roman" w:hAnsiTheme="minorHAnsi" w:cstheme="minorHAnsi"/>
                <w:color w:val="000000"/>
                <w:sz w:val="18"/>
                <w:szCs w:val="18"/>
                <w:lang w:eastAsia="en-AU"/>
              </w:rPr>
              <w:t>,</w:t>
            </w:r>
            <w:r w:rsidRPr="00100F0A">
              <w:rPr>
                <w:rFonts w:asciiTheme="minorHAnsi" w:eastAsia="Times New Roman" w:hAnsiTheme="minorHAnsi" w:cstheme="minorHAnsi"/>
                <w:color w:val="000000"/>
                <w:sz w:val="18"/>
                <w:szCs w:val="18"/>
                <w:lang w:eastAsia="en-AU"/>
              </w:rPr>
              <w:t xml:space="preserve"> capacity could become constrained by 2035 if e-waste arisings grow very strongly, however, expected increases in capacity of 12 kt/yr should provide sufficient national capacity to cater for higher growth. There are some regional limitations (see jurisdictional analysis). </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The needs vs capacity assessment for this group has high uncertainty due to the waste arisings reported in tracking system data (4</w:t>
            </w:r>
            <w:r w:rsidR="00E01BBA">
              <w:rPr>
                <w:rFonts w:asciiTheme="minorHAnsi" w:eastAsia="Times New Roman" w:hAnsiTheme="minorHAnsi" w:cstheme="minorHAnsi"/>
                <w:color w:val="000000"/>
                <w:sz w:val="18"/>
                <w:szCs w:val="18"/>
                <w:lang w:eastAsia="en-AU"/>
              </w:rPr>
              <w:t xml:space="preserve"> </w:t>
            </w:r>
            <w:r w:rsidRPr="00100F0A">
              <w:rPr>
                <w:rFonts w:asciiTheme="minorHAnsi" w:eastAsia="Times New Roman" w:hAnsiTheme="minorHAnsi" w:cstheme="minorHAnsi"/>
                <w:color w:val="000000"/>
                <w:sz w:val="18"/>
                <w:szCs w:val="18"/>
                <w:lang w:eastAsia="en-AU"/>
              </w:rPr>
              <w:t>kt in 2016-17) being much lower than the reported tonnages received (58 kt in 2016-17). This large difference is likely due to the fact that most e-waste is not transported and tracked as a hazardous waste. Considering the reporting receipts of 58 kt in 2016-17 and the current installed capacity of 106 kt/y</w:t>
            </w:r>
            <w:r w:rsidR="00E01BBA">
              <w:rPr>
                <w:rFonts w:asciiTheme="minorHAnsi" w:eastAsia="Times New Roman" w:hAnsiTheme="minorHAnsi" w:cstheme="minorHAnsi"/>
                <w:color w:val="000000"/>
                <w:sz w:val="18"/>
                <w:szCs w:val="18"/>
                <w:lang w:eastAsia="en-AU"/>
              </w:rPr>
              <w:t>r</w:t>
            </w:r>
            <w:r w:rsidRPr="00100F0A">
              <w:rPr>
                <w:rFonts w:asciiTheme="minorHAnsi" w:eastAsia="Times New Roman" w:hAnsiTheme="minorHAnsi" w:cstheme="minorHAnsi"/>
                <w:color w:val="000000"/>
                <w:sz w:val="18"/>
                <w:szCs w:val="18"/>
                <w:lang w:eastAsia="en-AU"/>
              </w:rPr>
              <w:t>, it is still likely that there is sufficient capacity over the projection period.</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For e-waste it is important to consider that the assessment assumes no change in the management methods of e-waste. Changes to product stewardship agreements or landfill bans on e-waste could significantly change current e-waste management and increase recycling capacity required.</w:t>
            </w:r>
          </w:p>
        </w:tc>
      </w:tr>
      <w:tr w:rsidR="00961B22" w:rsidRPr="00100F0A" w14:paraId="59997B20" w14:textId="77777777" w:rsidTr="009D734D">
        <w:trPr>
          <w:trHeight w:val="380"/>
        </w:trPr>
        <w:tc>
          <w:tcPr>
            <w:tcW w:w="195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9723DC5" w14:textId="77777777" w:rsidR="00961B22" w:rsidRPr="00100F0A" w:rsidRDefault="00961B22" w:rsidP="00696683">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Oil re-refining facility</w:t>
            </w:r>
          </w:p>
        </w:tc>
        <w:tc>
          <w:tcPr>
            <w:tcW w:w="78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EB8AD7E"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325</w:t>
            </w:r>
          </w:p>
        </w:tc>
        <w:tc>
          <w:tcPr>
            <w:tcW w:w="8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DE4AF6F"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526</w:t>
            </w:r>
          </w:p>
        </w:tc>
        <w:tc>
          <w:tcPr>
            <w:tcW w:w="8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92B2E68"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0</w:t>
            </w:r>
          </w:p>
        </w:tc>
        <w:tc>
          <w:tcPr>
            <w:tcW w:w="130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8A03A01"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Moderate</w:t>
            </w:r>
          </w:p>
        </w:tc>
        <w:tc>
          <w:tcPr>
            <w:tcW w:w="939"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05DDF356"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&gt;2037</w:t>
            </w:r>
          </w:p>
        </w:tc>
        <w:tc>
          <w:tcPr>
            <w:tcW w:w="847"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2ECCDBD9"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2034</w:t>
            </w:r>
          </w:p>
        </w:tc>
        <w:tc>
          <w:tcPr>
            <w:tcW w:w="938" w:type="dxa"/>
            <w:gridSpan w:val="3"/>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041AD0C1"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&gt;2037</w:t>
            </w:r>
          </w:p>
        </w:tc>
        <w:tc>
          <w:tcPr>
            <w:tcW w:w="6444" w:type="dxa"/>
            <w:tcBorders>
              <w:top w:val="single" w:sz="4" w:space="0" w:color="BFBFBF"/>
              <w:left w:val="single" w:sz="4" w:space="0" w:color="BFBFBF"/>
              <w:bottom w:val="single" w:sz="4" w:space="0" w:color="BFBFBF"/>
              <w:right w:val="single" w:sz="4" w:space="0" w:color="BFBFBF"/>
            </w:tcBorders>
            <w:shd w:val="clear" w:color="000000" w:fill="FFFFFF"/>
            <w:vAlign w:val="center"/>
            <w:hideMark/>
          </w:tcPr>
          <w:p w14:paraId="13C72314" w14:textId="230BF5E6" w:rsidR="00961B22" w:rsidRPr="00100F0A" w:rsidRDefault="00961B22" w:rsidP="0097520F">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 xml:space="preserve">Analysis indicates that under the low and best scenarios over the next 20 years the installed capacity of Australia's current oils re-refining infrastructure will be able to recycle waste arisings. Under the high scenario, the current installed capacity would be exceeded in 2034. There may be some regional limitations (see jurisdictional analysis below). </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The infrastructure need vs capacity assessment for this group has moderate uncertainty due to a moderate response rate during consultation and the potential under</w:t>
            </w:r>
            <w:r w:rsidR="003122F0">
              <w:rPr>
                <w:rFonts w:asciiTheme="minorHAnsi" w:eastAsia="Times New Roman" w:hAnsiTheme="minorHAnsi" w:cstheme="minorHAnsi"/>
                <w:color w:val="000000"/>
                <w:sz w:val="18"/>
                <w:szCs w:val="18"/>
                <w:lang w:eastAsia="en-AU"/>
              </w:rPr>
              <w:t>-</w:t>
            </w:r>
            <w:r w:rsidRPr="00100F0A">
              <w:rPr>
                <w:rFonts w:asciiTheme="minorHAnsi" w:eastAsia="Times New Roman" w:hAnsiTheme="minorHAnsi" w:cstheme="minorHAnsi"/>
                <w:color w:val="000000"/>
                <w:sz w:val="18"/>
                <w:szCs w:val="18"/>
                <w:lang w:eastAsia="en-AU"/>
              </w:rPr>
              <w:t>reporting of waste oil in NSW and Vic data resulting in an under</w:t>
            </w:r>
            <w:r w:rsidR="003122F0">
              <w:rPr>
                <w:rFonts w:asciiTheme="minorHAnsi" w:eastAsia="Times New Roman" w:hAnsiTheme="minorHAnsi" w:cstheme="minorHAnsi"/>
                <w:color w:val="000000"/>
                <w:sz w:val="18"/>
                <w:szCs w:val="18"/>
                <w:lang w:eastAsia="en-AU"/>
              </w:rPr>
              <w:t>-</w:t>
            </w:r>
            <w:r w:rsidRPr="00100F0A">
              <w:rPr>
                <w:rFonts w:asciiTheme="minorHAnsi" w:eastAsia="Times New Roman" w:hAnsiTheme="minorHAnsi" w:cstheme="minorHAnsi"/>
                <w:color w:val="000000"/>
                <w:sz w:val="18"/>
                <w:szCs w:val="18"/>
                <w:lang w:eastAsia="en-AU"/>
              </w:rPr>
              <w:t xml:space="preserve">estimate of 2016-17 arisings. </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 xml:space="preserve">The 2018 assessment for this infrastructure group is a significant improvement on the 2015 assessment due to separating the projections of the NEPM J waste codes of J100 and J160 from J120 </w:t>
            </w:r>
            <w:r w:rsidR="003122F0">
              <w:rPr>
                <w:rFonts w:asciiTheme="minorHAnsi" w:eastAsia="Times New Roman" w:hAnsiTheme="minorHAnsi" w:cstheme="minorHAnsi"/>
                <w:color w:val="000000"/>
                <w:sz w:val="18"/>
                <w:szCs w:val="18"/>
                <w:lang w:eastAsia="en-AU"/>
              </w:rPr>
              <w:t>w</w:t>
            </w:r>
            <w:r w:rsidRPr="00100F0A">
              <w:rPr>
                <w:rFonts w:asciiTheme="minorHAnsi" w:eastAsia="Times New Roman" w:hAnsiTheme="minorHAnsi" w:cstheme="minorHAnsi"/>
                <w:color w:val="000000"/>
                <w:sz w:val="18"/>
                <w:szCs w:val="18"/>
                <w:lang w:eastAsia="en-AU"/>
              </w:rPr>
              <w:t>aste oil/water, hydrocarbons/water mixtures or emulsions. The J120 waste arising</w:t>
            </w:r>
            <w:r w:rsidR="003122F0">
              <w:rPr>
                <w:rFonts w:asciiTheme="minorHAnsi" w:eastAsia="Times New Roman" w:hAnsiTheme="minorHAnsi" w:cstheme="minorHAnsi"/>
                <w:color w:val="000000"/>
                <w:sz w:val="18"/>
                <w:szCs w:val="18"/>
                <w:lang w:eastAsia="en-AU"/>
              </w:rPr>
              <w:t>s</w:t>
            </w:r>
            <w:r w:rsidRPr="00100F0A">
              <w:rPr>
                <w:rFonts w:asciiTheme="minorHAnsi" w:eastAsia="Times New Roman" w:hAnsiTheme="minorHAnsi" w:cstheme="minorHAnsi"/>
                <w:color w:val="000000"/>
                <w:sz w:val="18"/>
                <w:szCs w:val="18"/>
                <w:lang w:eastAsia="en-AU"/>
              </w:rPr>
              <w:t xml:space="preserve"> are now mapped to the new infrastructure group of OWT facilities (see below). This has increased the accuracy of the assessment and resulted in a change of expected exceedance of installed capacity in 2023</w:t>
            </w:r>
            <w:r w:rsidR="003122F0">
              <w:rPr>
                <w:rFonts w:asciiTheme="minorHAnsi" w:eastAsia="Times New Roman" w:hAnsiTheme="minorHAnsi" w:cstheme="minorHAnsi"/>
                <w:color w:val="000000"/>
                <w:sz w:val="18"/>
                <w:szCs w:val="18"/>
                <w:lang w:eastAsia="en-AU"/>
              </w:rPr>
              <w:t xml:space="preserve"> (</w:t>
            </w:r>
            <w:r w:rsidRPr="00100F0A">
              <w:rPr>
                <w:rFonts w:asciiTheme="minorHAnsi" w:eastAsia="Times New Roman" w:hAnsiTheme="minorHAnsi" w:cstheme="minorHAnsi"/>
                <w:color w:val="000000"/>
                <w:sz w:val="18"/>
                <w:szCs w:val="18"/>
                <w:lang w:eastAsia="en-AU"/>
              </w:rPr>
              <w:t>in the 2015 assessment</w:t>
            </w:r>
            <w:r w:rsidR="003122F0">
              <w:rPr>
                <w:rFonts w:asciiTheme="minorHAnsi" w:eastAsia="Times New Roman" w:hAnsiTheme="minorHAnsi" w:cstheme="minorHAnsi"/>
                <w:color w:val="000000"/>
                <w:sz w:val="18"/>
                <w:szCs w:val="18"/>
                <w:lang w:eastAsia="en-AU"/>
              </w:rPr>
              <w:t>)</w:t>
            </w:r>
            <w:r w:rsidRPr="00100F0A">
              <w:rPr>
                <w:rFonts w:asciiTheme="minorHAnsi" w:eastAsia="Times New Roman" w:hAnsiTheme="minorHAnsi" w:cstheme="minorHAnsi"/>
                <w:color w:val="000000"/>
                <w:sz w:val="18"/>
                <w:szCs w:val="18"/>
                <w:lang w:eastAsia="en-AU"/>
              </w:rPr>
              <w:t xml:space="preserve"> to &gt;2037 in this assessment. </w:t>
            </w:r>
          </w:p>
        </w:tc>
      </w:tr>
      <w:tr w:rsidR="00961B22" w:rsidRPr="00100F0A" w14:paraId="6BD25D2C" w14:textId="77777777" w:rsidTr="009D734D">
        <w:trPr>
          <w:trHeight w:val="85"/>
        </w:trPr>
        <w:tc>
          <w:tcPr>
            <w:tcW w:w="195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01551B0" w14:textId="77777777" w:rsidR="00961B22" w:rsidRPr="00100F0A" w:rsidRDefault="00961B22" w:rsidP="00696683">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Lead facility</w:t>
            </w:r>
          </w:p>
        </w:tc>
        <w:tc>
          <w:tcPr>
            <w:tcW w:w="78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CEBCFAF"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119</w:t>
            </w:r>
          </w:p>
        </w:tc>
        <w:tc>
          <w:tcPr>
            <w:tcW w:w="8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D8B6B6D"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124</w:t>
            </w:r>
          </w:p>
        </w:tc>
        <w:tc>
          <w:tcPr>
            <w:tcW w:w="8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8A5225E"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71</w:t>
            </w:r>
          </w:p>
        </w:tc>
        <w:tc>
          <w:tcPr>
            <w:tcW w:w="130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2244E09"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Moderate</w:t>
            </w:r>
          </w:p>
        </w:tc>
        <w:tc>
          <w:tcPr>
            <w:tcW w:w="939"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65D27999"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2023</w:t>
            </w:r>
          </w:p>
        </w:tc>
        <w:tc>
          <w:tcPr>
            <w:tcW w:w="847"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568FC39D"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2018</w:t>
            </w:r>
          </w:p>
        </w:tc>
        <w:tc>
          <w:tcPr>
            <w:tcW w:w="938" w:type="dxa"/>
            <w:gridSpan w:val="3"/>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6450407D"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&gt;2037</w:t>
            </w:r>
          </w:p>
        </w:tc>
        <w:tc>
          <w:tcPr>
            <w:tcW w:w="6444" w:type="dxa"/>
            <w:tcBorders>
              <w:top w:val="single" w:sz="4" w:space="0" w:color="BFBFBF"/>
              <w:left w:val="single" w:sz="4" w:space="0" w:color="BFBFBF"/>
              <w:bottom w:val="single" w:sz="4" w:space="0" w:color="BFBFBF"/>
              <w:right w:val="single" w:sz="4" w:space="0" w:color="BFBFBF"/>
            </w:tcBorders>
            <w:shd w:val="clear" w:color="000000" w:fill="FFFFFF"/>
            <w:vAlign w:val="center"/>
            <w:hideMark/>
          </w:tcPr>
          <w:p w14:paraId="434136DF" w14:textId="43156EE4" w:rsidR="00470152" w:rsidRDefault="00961B22" w:rsidP="0097520F">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 xml:space="preserve">Assuming arisings increase at the </w:t>
            </w:r>
            <w:r w:rsidR="00C34F48">
              <w:rPr>
                <w:rFonts w:asciiTheme="minorHAnsi" w:eastAsia="Times New Roman" w:hAnsiTheme="minorHAnsi" w:cstheme="minorHAnsi"/>
                <w:color w:val="000000"/>
                <w:sz w:val="18"/>
                <w:szCs w:val="18"/>
                <w:lang w:eastAsia="en-AU"/>
              </w:rPr>
              <w:t>20-year average</w:t>
            </w:r>
            <w:r w:rsidRPr="00100F0A">
              <w:rPr>
                <w:rFonts w:asciiTheme="minorHAnsi" w:eastAsia="Times New Roman" w:hAnsiTheme="minorHAnsi" w:cstheme="minorHAnsi"/>
                <w:color w:val="000000"/>
                <w:sz w:val="18"/>
                <w:szCs w:val="18"/>
                <w:lang w:eastAsia="en-AU"/>
              </w:rPr>
              <w:t xml:space="preserve"> population growth rate (1.4%) for all jurisdictions, except Tas (where lead waste is projected to follow trends in global zinc prices), the installed lead recycling infrastructure capacity could be met by 2023. </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Under a low scenario, of flat trend for 10 y</w:t>
            </w:r>
            <w:r w:rsidR="003122F0">
              <w:rPr>
                <w:rFonts w:asciiTheme="minorHAnsi" w:eastAsia="Times New Roman" w:hAnsiTheme="minorHAnsi" w:cstheme="minorHAnsi"/>
                <w:color w:val="000000"/>
                <w:sz w:val="18"/>
                <w:szCs w:val="18"/>
                <w:lang w:eastAsia="en-AU"/>
              </w:rPr>
              <w:t>ea</w:t>
            </w:r>
            <w:r w:rsidRPr="00100F0A">
              <w:rPr>
                <w:rFonts w:asciiTheme="minorHAnsi" w:eastAsia="Times New Roman" w:hAnsiTheme="minorHAnsi" w:cstheme="minorHAnsi"/>
                <w:color w:val="000000"/>
                <w:sz w:val="18"/>
                <w:szCs w:val="18"/>
                <w:lang w:eastAsia="en-AU"/>
              </w:rPr>
              <w:t>rs and decline for the next 10 y</w:t>
            </w:r>
            <w:r w:rsidR="003122F0">
              <w:rPr>
                <w:rFonts w:asciiTheme="minorHAnsi" w:eastAsia="Times New Roman" w:hAnsiTheme="minorHAnsi" w:cstheme="minorHAnsi"/>
                <w:color w:val="000000"/>
                <w:sz w:val="18"/>
                <w:szCs w:val="18"/>
                <w:lang w:eastAsia="en-AU"/>
              </w:rPr>
              <w:t>ea</w:t>
            </w:r>
            <w:r w:rsidRPr="00100F0A">
              <w:rPr>
                <w:rFonts w:asciiTheme="minorHAnsi" w:eastAsia="Times New Roman" w:hAnsiTheme="minorHAnsi" w:cstheme="minorHAnsi"/>
                <w:color w:val="000000"/>
                <w:sz w:val="18"/>
                <w:szCs w:val="18"/>
                <w:lang w:eastAsia="en-AU"/>
              </w:rPr>
              <w:t>rs due to replacement of battery technology, installed capacity is not expected to be exceeded over the next 20 years.</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 xml:space="preserve">Based on the high estimate projection of arisings increasing at the </w:t>
            </w:r>
            <w:r w:rsidR="00C34F48">
              <w:rPr>
                <w:rFonts w:asciiTheme="minorHAnsi" w:eastAsia="Times New Roman" w:hAnsiTheme="minorHAnsi" w:cstheme="minorHAnsi"/>
                <w:color w:val="000000"/>
                <w:sz w:val="18"/>
                <w:szCs w:val="18"/>
                <w:lang w:eastAsia="en-AU"/>
              </w:rPr>
              <w:t>20-year average</w:t>
            </w:r>
            <w:r w:rsidRPr="00100F0A">
              <w:rPr>
                <w:rFonts w:asciiTheme="minorHAnsi" w:eastAsia="Times New Roman" w:hAnsiTheme="minorHAnsi" w:cstheme="minorHAnsi"/>
                <w:color w:val="000000"/>
                <w:sz w:val="18"/>
                <w:szCs w:val="18"/>
                <w:lang w:eastAsia="en-AU"/>
              </w:rPr>
              <w:t xml:space="preserve"> rate of economic growth (2.8%) for all jurisdictions, except Tas, capacity would be exceeded in 2018. The high scenario also includes a 20 kt</w:t>
            </w:r>
            <w:r w:rsidR="00D941CC">
              <w:rPr>
                <w:rFonts w:asciiTheme="minorHAnsi" w:eastAsia="Times New Roman" w:hAnsiTheme="minorHAnsi" w:cstheme="minorHAnsi"/>
                <w:color w:val="000000"/>
                <w:sz w:val="18"/>
                <w:szCs w:val="18"/>
                <w:lang w:eastAsia="en-AU"/>
              </w:rPr>
              <w:t>/yr</w:t>
            </w:r>
            <w:r w:rsidRPr="00100F0A">
              <w:rPr>
                <w:rFonts w:asciiTheme="minorHAnsi" w:eastAsia="Times New Roman" w:hAnsiTheme="minorHAnsi" w:cstheme="minorHAnsi"/>
                <w:color w:val="000000"/>
                <w:sz w:val="18"/>
                <w:szCs w:val="18"/>
                <w:lang w:eastAsia="en-AU"/>
              </w:rPr>
              <w:t xml:space="preserve"> release of jarosite waste from a stockpile at Nyrstar Hobart</w:t>
            </w:r>
            <w:r w:rsidR="003122F0">
              <w:rPr>
                <w:rFonts w:asciiTheme="minorHAnsi" w:eastAsia="Times New Roman" w:hAnsiTheme="minorHAnsi" w:cstheme="minorHAnsi"/>
                <w:color w:val="000000"/>
                <w:sz w:val="18"/>
                <w:szCs w:val="18"/>
                <w:lang w:eastAsia="en-AU"/>
              </w:rPr>
              <w:t>’s zinc smelter</w:t>
            </w:r>
            <w:r w:rsidRPr="00100F0A">
              <w:rPr>
                <w:rFonts w:asciiTheme="minorHAnsi" w:eastAsia="Times New Roman" w:hAnsiTheme="minorHAnsi" w:cstheme="minorHAnsi"/>
                <w:color w:val="000000"/>
                <w:sz w:val="18"/>
                <w:szCs w:val="18"/>
                <w:lang w:eastAsia="en-AU"/>
              </w:rPr>
              <w:t xml:space="preserve"> to Nyrstar Port Pirie (which is understood to have unconstrained capacity to process wastes from the Hobart </w:t>
            </w:r>
            <w:r w:rsidR="003122F0">
              <w:rPr>
                <w:rFonts w:asciiTheme="minorHAnsi" w:eastAsia="Times New Roman" w:hAnsiTheme="minorHAnsi" w:cstheme="minorHAnsi"/>
                <w:color w:val="000000"/>
                <w:sz w:val="18"/>
                <w:szCs w:val="18"/>
                <w:lang w:eastAsia="en-AU"/>
              </w:rPr>
              <w:t>z</w:t>
            </w:r>
            <w:r w:rsidRPr="00100F0A">
              <w:rPr>
                <w:rFonts w:asciiTheme="minorHAnsi" w:eastAsia="Times New Roman" w:hAnsiTheme="minorHAnsi" w:cstheme="minorHAnsi"/>
                <w:color w:val="000000"/>
                <w:sz w:val="18"/>
                <w:szCs w:val="18"/>
                <w:lang w:eastAsia="en-AU"/>
              </w:rPr>
              <w:t>inc smelting operations). The Nyrstar Port Pirie site is included in the e-waste infrastructure group due to the site</w:t>
            </w:r>
            <w:r w:rsidR="003122F0">
              <w:rPr>
                <w:rFonts w:asciiTheme="minorHAnsi" w:eastAsia="Times New Roman" w:hAnsiTheme="minorHAnsi" w:cstheme="minorHAnsi"/>
                <w:color w:val="000000"/>
                <w:sz w:val="18"/>
                <w:szCs w:val="18"/>
                <w:lang w:eastAsia="en-AU"/>
              </w:rPr>
              <w:t>’</w:t>
            </w:r>
            <w:r w:rsidRPr="00100F0A">
              <w:rPr>
                <w:rFonts w:asciiTheme="minorHAnsi" w:eastAsia="Times New Roman" w:hAnsiTheme="minorHAnsi" w:cstheme="minorHAnsi"/>
                <w:color w:val="000000"/>
                <w:sz w:val="18"/>
                <w:szCs w:val="18"/>
                <w:lang w:eastAsia="en-AU"/>
              </w:rPr>
              <w:t>s defined capacity to process e-wastes such as CRT and the site</w:t>
            </w:r>
            <w:r w:rsidR="003122F0">
              <w:rPr>
                <w:rFonts w:asciiTheme="minorHAnsi" w:eastAsia="Times New Roman" w:hAnsiTheme="minorHAnsi" w:cstheme="minorHAnsi"/>
                <w:color w:val="000000"/>
                <w:sz w:val="18"/>
                <w:szCs w:val="18"/>
                <w:lang w:eastAsia="en-AU"/>
              </w:rPr>
              <w:t>’</w:t>
            </w:r>
            <w:r w:rsidRPr="00100F0A">
              <w:rPr>
                <w:rFonts w:asciiTheme="minorHAnsi" w:eastAsia="Times New Roman" w:hAnsiTheme="minorHAnsi" w:cstheme="minorHAnsi"/>
                <w:color w:val="000000"/>
                <w:sz w:val="18"/>
                <w:szCs w:val="18"/>
                <w:lang w:eastAsia="en-AU"/>
              </w:rPr>
              <w:t xml:space="preserve">s unconstrained capacity to take lead waste from </w:t>
            </w:r>
            <w:r w:rsidR="003122F0">
              <w:rPr>
                <w:rFonts w:asciiTheme="minorHAnsi" w:eastAsia="Times New Roman" w:hAnsiTheme="minorHAnsi" w:cstheme="minorHAnsi"/>
                <w:color w:val="000000"/>
                <w:sz w:val="18"/>
                <w:szCs w:val="18"/>
                <w:lang w:eastAsia="en-AU"/>
              </w:rPr>
              <w:t>Nyrstar</w:t>
            </w:r>
            <w:r w:rsidRPr="00100F0A">
              <w:rPr>
                <w:rFonts w:asciiTheme="minorHAnsi" w:eastAsia="Times New Roman" w:hAnsiTheme="minorHAnsi" w:cstheme="minorHAnsi"/>
                <w:color w:val="000000"/>
                <w:sz w:val="18"/>
                <w:szCs w:val="18"/>
                <w:lang w:eastAsia="en-AU"/>
              </w:rPr>
              <w:t xml:space="preserve"> Hobart. Nyrstar Port Pirie lead recycling capacity is not included in the 124 kt/yr current installed capacity. There is also an additional 71 kt/yr of lead acid battery smelting capacity under construction that would add significant additional capacity along the </w:t>
            </w:r>
            <w:r w:rsidR="003122F0">
              <w:rPr>
                <w:rFonts w:asciiTheme="minorHAnsi" w:eastAsia="Times New Roman" w:hAnsiTheme="minorHAnsi" w:cstheme="minorHAnsi"/>
                <w:color w:val="000000"/>
                <w:sz w:val="18"/>
                <w:szCs w:val="18"/>
                <w:lang w:eastAsia="en-AU"/>
              </w:rPr>
              <w:t>e</w:t>
            </w:r>
            <w:r w:rsidRPr="00100F0A">
              <w:rPr>
                <w:rFonts w:asciiTheme="minorHAnsi" w:eastAsia="Times New Roman" w:hAnsiTheme="minorHAnsi" w:cstheme="minorHAnsi"/>
                <w:color w:val="000000"/>
                <w:sz w:val="18"/>
                <w:szCs w:val="18"/>
                <w:lang w:eastAsia="en-AU"/>
              </w:rPr>
              <w:t>ast coast. Considering the Nyrstar Port Pirie capacity to manage all of the lead</w:t>
            </w:r>
            <w:r w:rsidR="003122F0">
              <w:rPr>
                <w:rFonts w:asciiTheme="minorHAnsi" w:eastAsia="Times New Roman" w:hAnsiTheme="minorHAnsi" w:cstheme="minorHAnsi"/>
                <w:color w:val="000000"/>
                <w:sz w:val="18"/>
                <w:szCs w:val="18"/>
                <w:lang w:eastAsia="en-AU"/>
              </w:rPr>
              <w:t>-</w:t>
            </w:r>
            <w:r w:rsidRPr="00100F0A">
              <w:rPr>
                <w:rFonts w:asciiTheme="minorHAnsi" w:eastAsia="Times New Roman" w:hAnsiTheme="minorHAnsi" w:cstheme="minorHAnsi"/>
                <w:color w:val="000000"/>
                <w:sz w:val="18"/>
                <w:szCs w:val="18"/>
                <w:lang w:eastAsia="en-AU"/>
              </w:rPr>
              <w:t xml:space="preserve">rich waste from Nyrstar </w:t>
            </w:r>
            <w:r w:rsidR="003122F0">
              <w:rPr>
                <w:rFonts w:asciiTheme="minorHAnsi" w:eastAsia="Times New Roman" w:hAnsiTheme="minorHAnsi" w:cstheme="minorHAnsi"/>
                <w:color w:val="000000"/>
                <w:sz w:val="18"/>
                <w:szCs w:val="18"/>
                <w:lang w:eastAsia="en-AU"/>
              </w:rPr>
              <w:t>Hobart</w:t>
            </w:r>
            <w:r w:rsidRPr="00100F0A">
              <w:rPr>
                <w:rFonts w:asciiTheme="minorHAnsi" w:eastAsia="Times New Roman" w:hAnsiTheme="minorHAnsi" w:cstheme="minorHAnsi"/>
                <w:color w:val="000000"/>
                <w:sz w:val="18"/>
                <w:szCs w:val="18"/>
                <w:lang w:eastAsia="en-AU"/>
              </w:rPr>
              <w:t xml:space="preserve"> and the significant additional lead acid battery processing capacity coming on</w:t>
            </w:r>
            <w:r w:rsidR="003122F0">
              <w:rPr>
                <w:rFonts w:asciiTheme="minorHAnsi" w:eastAsia="Times New Roman" w:hAnsiTheme="minorHAnsi" w:cstheme="minorHAnsi"/>
                <w:color w:val="000000"/>
                <w:sz w:val="18"/>
                <w:szCs w:val="18"/>
                <w:lang w:eastAsia="en-AU"/>
              </w:rPr>
              <w:t>-</w:t>
            </w:r>
            <w:r w:rsidRPr="00100F0A">
              <w:rPr>
                <w:rFonts w:asciiTheme="minorHAnsi" w:eastAsia="Times New Roman" w:hAnsiTheme="minorHAnsi" w:cstheme="minorHAnsi"/>
                <w:color w:val="000000"/>
                <w:sz w:val="18"/>
                <w:szCs w:val="18"/>
                <w:lang w:eastAsia="en-AU"/>
              </w:rPr>
              <w:t>line, there is likely to be sufficient lead recycling capacity under all scenarios. There may be some regional limitations (see jurisdictional analysis).</w:t>
            </w:r>
          </w:p>
          <w:p w14:paraId="75C6EF2C" w14:textId="767A0C92" w:rsidR="00961B22" w:rsidRPr="00100F0A" w:rsidRDefault="00961B22" w:rsidP="0097520F">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br/>
              <w:t>The lead recycling assessment has moderate level of uncertainty due to a lack of industry response for the 2018 assessment and due to there not being a clearly defined upper limit on Nyrstar Port Pirie's ability to manage all of the lead waste from Nyrstar operations in addition to lead waste from other sectors.</w:t>
            </w:r>
          </w:p>
        </w:tc>
      </w:tr>
      <w:tr w:rsidR="00C64D09" w:rsidRPr="00100F0A" w14:paraId="6827A49C" w14:textId="77777777" w:rsidTr="009D734D">
        <w:trPr>
          <w:trHeight w:val="805"/>
        </w:trPr>
        <w:tc>
          <w:tcPr>
            <w:tcW w:w="195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04D5A4C" w14:textId="77777777" w:rsidR="00C64D09" w:rsidRPr="00100F0A" w:rsidRDefault="00C64D09" w:rsidP="00696683">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Mercury facility</w:t>
            </w:r>
          </w:p>
        </w:tc>
        <w:tc>
          <w:tcPr>
            <w:tcW w:w="78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28DCC15" w14:textId="77777777" w:rsidR="00C64D09" w:rsidRPr="00100F0A" w:rsidRDefault="00C64D09"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0.2</w:t>
            </w:r>
          </w:p>
        </w:tc>
        <w:tc>
          <w:tcPr>
            <w:tcW w:w="860" w:type="dxa"/>
            <w:tcBorders>
              <w:top w:val="single" w:sz="4" w:space="0" w:color="BFBFBF"/>
              <w:left w:val="single" w:sz="4" w:space="0" w:color="BFBFBF"/>
              <w:bottom w:val="single" w:sz="4" w:space="0" w:color="BFBFBF"/>
              <w:right w:val="single" w:sz="4" w:space="0" w:color="BFBFBF"/>
            </w:tcBorders>
            <w:shd w:val="clear" w:color="auto" w:fill="FFFFFF" w:themeFill="background1"/>
            <w:noWrap/>
            <w:vAlign w:val="center"/>
            <w:hideMark/>
          </w:tcPr>
          <w:p w14:paraId="04DB1D7F" w14:textId="284BE743" w:rsidR="00C64D09" w:rsidRPr="009D734D" w:rsidRDefault="00C64D09" w:rsidP="009D734D">
            <w:pPr>
              <w:widowControl w:val="0"/>
              <w:jc w:val="center"/>
              <w:rPr>
                <w:rFonts w:asciiTheme="minorHAnsi" w:eastAsia="Times New Roman" w:hAnsiTheme="minorHAnsi" w:cstheme="minorHAnsi"/>
                <w:color w:val="000000"/>
                <w:sz w:val="18"/>
                <w:szCs w:val="18"/>
                <w:highlight w:val="red"/>
                <w:lang w:eastAsia="en-AU"/>
              </w:rPr>
            </w:pPr>
            <w:r w:rsidRPr="009D734D">
              <w:rPr>
                <w:rFonts w:asciiTheme="minorHAnsi" w:eastAsia="Times New Roman" w:hAnsiTheme="minorHAnsi" w:cstheme="minorHAnsi"/>
                <w:color w:val="000000"/>
                <w:sz w:val="18"/>
                <w:szCs w:val="18"/>
                <w:highlight w:val="red"/>
                <w:lang w:eastAsia="en-AU"/>
              </w:rPr>
              <w:t>CIC</w:t>
            </w:r>
          </w:p>
        </w:tc>
        <w:tc>
          <w:tcPr>
            <w:tcW w:w="899" w:type="dxa"/>
            <w:tcBorders>
              <w:top w:val="single" w:sz="4" w:space="0" w:color="BFBFBF"/>
              <w:left w:val="single" w:sz="4" w:space="0" w:color="BFBFBF"/>
              <w:bottom w:val="single" w:sz="4" w:space="0" w:color="BFBFBF"/>
              <w:right w:val="single" w:sz="4" w:space="0" w:color="BFBFBF"/>
            </w:tcBorders>
            <w:shd w:val="clear" w:color="auto" w:fill="FFFFFF" w:themeFill="background1"/>
            <w:noWrap/>
            <w:vAlign w:val="center"/>
            <w:hideMark/>
          </w:tcPr>
          <w:p w14:paraId="65074728" w14:textId="02F3C54B" w:rsidR="00C64D09" w:rsidRPr="009D734D" w:rsidRDefault="00C64D09" w:rsidP="009D734D">
            <w:pPr>
              <w:widowControl w:val="0"/>
              <w:jc w:val="center"/>
              <w:rPr>
                <w:rFonts w:asciiTheme="minorHAnsi" w:eastAsia="Times New Roman" w:hAnsiTheme="minorHAnsi" w:cstheme="minorHAnsi"/>
                <w:color w:val="000000"/>
                <w:sz w:val="18"/>
                <w:szCs w:val="18"/>
                <w:highlight w:val="red"/>
                <w:lang w:eastAsia="en-AU"/>
              </w:rPr>
            </w:pPr>
            <w:r w:rsidRPr="009D734D">
              <w:rPr>
                <w:rFonts w:asciiTheme="minorHAnsi" w:eastAsia="Times New Roman" w:hAnsiTheme="minorHAnsi" w:cstheme="minorHAnsi"/>
                <w:color w:val="000000"/>
                <w:sz w:val="18"/>
                <w:szCs w:val="18"/>
                <w:highlight w:val="red"/>
                <w:lang w:eastAsia="en-AU"/>
              </w:rPr>
              <w:t>CIC</w:t>
            </w:r>
          </w:p>
        </w:tc>
        <w:tc>
          <w:tcPr>
            <w:tcW w:w="1306" w:type="dxa"/>
            <w:tcBorders>
              <w:top w:val="single" w:sz="4" w:space="0" w:color="BFBFBF"/>
              <w:left w:val="single" w:sz="4" w:space="0" w:color="BFBFBF"/>
              <w:bottom w:val="single" w:sz="4" w:space="0" w:color="BFBFBF"/>
              <w:right w:val="single" w:sz="4" w:space="0" w:color="BFBFBF"/>
            </w:tcBorders>
            <w:shd w:val="clear" w:color="auto" w:fill="FFFFFF" w:themeFill="background1"/>
            <w:noWrap/>
            <w:vAlign w:val="center"/>
            <w:hideMark/>
          </w:tcPr>
          <w:p w14:paraId="6341C84F" w14:textId="77777777" w:rsidR="00C64D09" w:rsidRPr="009D734D" w:rsidRDefault="00C64D09" w:rsidP="0097520F">
            <w:pPr>
              <w:widowControl w:val="0"/>
              <w:jc w:val="center"/>
              <w:rPr>
                <w:rFonts w:asciiTheme="minorHAnsi" w:eastAsia="Times New Roman" w:hAnsiTheme="minorHAnsi" w:cstheme="minorHAnsi"/>
                <w:color w:val="000000"/>
                <w:sz w:val="18"/>
                <w:szCs w:val="18"/>
                <w:highlight w:val="red"/>
                <w:lang w:eastAsia="en-AU"/>
              </w:rPr>
            </w:pPr>
            <w:r w:rsidRPr="00A20188">
              <w:rPr>
                <w:rFonts w:asciiTheme="minorHAnsi" w:eastAsia="Times New Roman" w:hAnsiTheme="minorHAnsi" w:cstheme="minorHAnsi"/>
                <w:color w:val="000000"/>
                <w:sz w:val="18"/>
                <w:szCs w:val="18"/>
                <w:lang w:eastAsia="en-AU"/>
              </w:rPr>
              <w:t>Low</w:t>
            </w:r>
          </w:p>
        </w:tc>
        <w:tc>
          <w:tcPr>
            <w:tcW w:w="908" w:type="dxa"/>
            <w:tcBorders>
              <w:top w:val="single" w:sz="4" w:space="0" w:color="BFBFBF"/>
              <w:left w:val="single" w:sz="4" w:space="0" w:color="BFBFBF"/>
              <w:bottom w:val="single" w:sz="4" w:space="0" w:color="BFBFBF"/>
              <w:right w:val="single" w:sz="4" w:space="0" w:color="BFBFBF"/>
            </w:tcBorders>
            <w:shd w:val="clear" w:color="auto" w:fill="FFFFFF" w:themeFill="background1"/>
            <w:noWrap/>
            <w:vAlign w:val="center"/>
          </w:tcPr>
          <w:p w14:paraId="756DB43E" w14:textId="61D097C1" w:rsidR="00C64D09" w:rsidRPr="00F06095" w:rsidDel="00C64D09" w:rsidRDefault="00C64D09" w:rsidP="0097520F">
            <w:pPr>
              <w:widowControl w:val="0"/>
              <w:jc w:val="center"/>
              <w:rPr>
                <w:rFonts w:asciiTheme="minorHAnsi" w:eastAsia="Times New Roman" w:hAnsiTheme="minorHAnsi" w:cstheme="minorHAnsi"/>
                <w:color w:val="000000"/>
                <w:sz w:val="18"/>
                <w:szCs w:val="18"/>
                <w:lang w:eastAsia="en-AU"/>
              </w:rPr>
            </w:pPr>
            <w:r w:rsidRPr="00F06095">
              <w:rPr>
                <w:rFonts w:asciiTheme="minorHAnsi" w:eastAsia="Times New Roman" w:hAnsiTheme="minorHAnsi" w:cstheme="minorHAnsi"/>
                <w:color w:val="000000"/>
                <w:sz w:val="18"/>
                <w:szCs w:val="18"/>
                <w:lang w:eastAsia="en-AU"/>
              </w:rPr>
              <w:t>&gt;2037</w:t>
            </w:r>
          </w:p>
        </w:tc>
        <w:tc>
          <w:tcPr>
            <w:tcW w:w="908" w:type="dxa"/>
            <w:gridSpan w:val="4"/>
            <w:tcBorders>
              <w:top w:val="single" w:sz="4" w:space="0" w:color="BFBFBF"/>
              <w:left w:val="single" w:sz="4" w:space="0" w:color="BFBFBF"/>
              <w:bottom w:val="single" w:sz="4" w:space="0" w:color="BFBFBF"/>
              <w:right w:val="single" w:sz="4" w:space="0" w:color="BFBFBF"/>
            </w:tcBorders>
            <w:shd w:val="clear" w:color="auto" w:fill="FFFFFF" w:themeFill="background1"/>
            <w:vAlign w:val="center"/>
          </w:tcPr>
          <w:p w14:paraId="76E18CC6" w14:textId="1A5AA560" w:rsidR="00C64D09" w:rsidRPr="00F06095" w:rsidDel="00C64D09" w:rsidRDefault="00C64D09" w:rsidP="0097520F">
            <w:pPr>
              <w:widowControl w:val="0"/>
              <w:jc w:val="center"/>
              <w:rPr>
                <w:rFonts w:asciiTheme="minorHAnsi" w:eastAsia="Times New Roman" w:hAnsiTheme="minorHAnsi" w:cstheme="minorHAnsi"/>
                <w:color w:val="000000"/>
                <w:sz w:val="18"/>
                <w:szCs w:val="18"/>
                <w:lang w:eastAsia="en-AU"/>
              </w:rPr>
            </w:pPr>
            <w:r w:rsidRPr="00F06095">
              <w:rPr>
                <w:rFonts w:asciiTheme="minorHAnsi" w:eastAsia="Times New Roman" w:hAnsiTheme="minorHAnsi" w:cstheme="minorHAnsi"/>
                <w:color w:val="000000"/>
                <w:sz w:val="18"/>
                <w:szCs w:val="18"/>
                <w:lang w:eastAsia="en-AU"/>
              </w:rPr>
              <w:t>&gt;2037</w:t>
            </w:r>
          </w:p>
        </w:tc>
        <w:tc>
          <w:tcPr>
            <w:tcW w:w="908" w:type="dxa"/>
            <w:gridSpan w:val="2"/>
            <w:tcBorders>
              <w:top w:val="single" w:sz="4" w:space="0" w:color="BFBFBF"/>
              <w:left w:val="single" w:sz="4" w:space="0" w:color="BFBFBF"/>
              <w:bottom w:val="single" w:sz="4" w:space="0" w:color="BFBFBF"/>
              <w:right w:val="single" w:sz="4" w:space="0" w:color="BFBFBF"/>
            </w:tcBorders>
            <w:shd w:val="clear" w:color="auto" w:fill="FFFFFF" w:themeFill="background1"/>
            <w:vAlign w:val="center"/>
          </w:tcPr>
          <w:p w14:paraId="035B1893" w14:textId="22871AAF" w:rsidR="00C64D09" w:rsidRPr="00F06095" w:rsidRDefault="00C64D09" w:rsidP="0097520F">
            <w:pPr>
              <w:widowControl w:val="0"/>
              <w:jc w:val="center"/>
              <w:rPr>
                <w:rFonts w:asciiTheme="minorHAnsi" w:eastAsia="Times New Roman" w:hAnsiTheme="minorHAnsi" w:cstheme="minorHAnsi"/>
                <w:color w:val="000000"/>
                <w:sz w:val="18"/>
                <w:szCs w:val="18"/>
                <w:lang w:eastAsia="en-AU"/>
              </w:rPr>
            </w:pPr>
            <w:r w:rsidRPr="00F06095">
              <w:rPr>
                <w:rFonts w:asciiTheme="minorHAnsi" w:eastAsia="Times New Roman" w:hAnsiTheme="minorHAnsi" w:cstheme="minorHAnsi"/>
                <w:color w:val="000000"/>
                <w:sz w:val="18"/>
                <w:szCs w:val="18"/>
                <w:lang w:eastAsia="en-AU"/>
              </w:rPr>
              <w:t>&gt;2037</w:t>
            </w:r>
          </w:p>
        </w:tc>
        <w:tc>
          <w:tcPr>
            <w:tcW w:w="6444" w:type="dxa"/>
            <w:tcBorders>
              <w:top w:val="single" w:sz="4" w:space="0" w:color="BFBFBF"/>
              <w:left w:val="single" w:sz="4" w:space="0" w:color="BFBFBF"/>
              <w:bottom w:val="single" w:sz="4" w:space="0" w:color="BFBFBF"/>
              <w:right w:val="single" w:sz="4" w:space="0" w:color="BFBFBF"/>
            </w:tcBorders>
            <w:shd w:val="clear" w:color="000000" w:fill="FFFFFF"/>
            <w:vAlign w:val="center"/>
            <w:hideMark/>
          </w:tcPr>
          <w:p w14:paraId="7EF9B069" w14:textId="06FF60D9" w:rsidR="00C64D09" w:rsidRDefault="00C64D09" w:rsidP="0097520F">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 xml:space="preserve">Analysis indicates that over the next 20 years the currently installed capacity of Australia's current mercury waste recycling infrastructure will be able to recycle waste arisings. There may be some regional limitations (see jurisdictional analysis). Industry reported around 10 times more receipts than was reported in the waste transport tracking systems, reflecting that some of the mercury waste (such as unprocessed light fittings) do not require tracking. </w:t>
            </w:r>
          </w:p>
          <w:p w14:paraId="1084CEA2" w14:textId="77777777" w:rsidR="00C64D09" w:rsidRDefault="00C64D09" w:rsidP="0097520F">
            <w:pPr>
              <w:widowControl w:val="0"/>
              <w:rPr>
                <w:rFonts w:asciiTheme="minorHAnsi" w:eastAsia="Times New Roman" w:hAnsiTheme="minorHAnsi" w:cstheme="minorHAnsi"/>
                <w:color w:val="000000"/>
                <w:sz w:val="18"/>
                <w:szCs w:val="18"/>
                <w:lang w:eastAsia="en-AU"/>
              </w:rPr>
            </w:pPr>
          </w:p>
          <w:p w14:paraId="43C6CB8F" w14:textId="77777777" w:rsidR="00C64D09" w:rsidRDefault="00C64D09" w:rsidP="00C64D09">
            <w:pPr>
              <w:widowControl w:val="0"/>
              <w:rPr>
                <w:rFonts w:asciiTheme="minorHAnsi" w:eastAsia="Times New Roman" w:hAnsiTheme="minorHAnsi" w:cstheme="minorHAnsi"/>
                <w:color w:val="000000"/>
                <w:sz w:val="18"/>
                <w:szCs w:val="18"/>
                <w:lang w:eastAsia="en-AU"/>
              </w:rPr>
            </w:pPr>
            <w:r w:rsidRPr="004909AC">
              <w:rPr>
                <w:rFonts w:eastAsia="Times New Roman"/>
                <w:sz w:val="20"/>
                <w:szCs w:val="20"/>
                <w:shd w:val="clear" w:color="auto" w:fill="FF0000"/>
              </w:rPr>
              <w:t>Text withheld to maintain commercial confidentiality</w:t>
            </w:r>
          </w:p>
          <w:p w14:paraId="58CA68E9" w14:textId="4BF1A647" w:rsidR="00C64D09" w:rsidRPr="00100F0A" w:rsidRDefault="00C64D09" w:rsidP="0097520F">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br/>
              <w:t xml:space="preserve">The mercury recycling assessment has a low level of uncertainty, with excellent industry input and a clearly defined infrastructure group targeting mercury recycling as the core business. </w:t>
            </w:r>
          </w:p>
        </w:tc>
      </w:tr>
      <w:tr w:rsidR="00961B22" w:rsidRPr="00100F0A" w14:paraId="7B6B91AC" w14:textId="77777777" w:rsidTr="004B656C">
        <w:trPr>
          <w:trHeight w:val="2805"/>
        </w:trPr>
        <w:tc>
          <w:tcPr>
            <w:tcW w:w="195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3E2D913" w14:textId="77777777" w:rsidR="00961B22" w:rsidRPr="00100F0A" w:rsidRDefault="00961B22" w:rsidP="00696683">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Solvents/paints/organic chemicals facility</w:t>
            </w:r>
          </w:p>
        </w:tc>
        <w:tc>
          <w:tcPr>
            <w:tcW w:w="78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0AE9707"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26</w:t>
            </w:r>
          </w:p>
        </w:tc>
        <w:tc>
          <w:tcPr>
            <w:tcW w:w="8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4E4BB51"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14</w:t>
            </w:r>
          </w:p>
        </w:tc>
        <w:tc>
          <w:tcPr>
            <w:tcW w:w="8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F2C8BF"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0</w:t>
            </w:r>
          </w:p>
        </w:tc>
        <w:tc>
          <w:tcPr>
            <w:tcW w:w="130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E0C3BAD"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Very high</w:t>
            </w:r>
          </w:p>
        </w:tc>
        <w:tc>
          <w:tcPr>
            <w:tcW w:w="939"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165A3218"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2018</w:t>
            </w:r>
          </w:p>
        </w:tc>
        <w:tc>
          <w:tcPr>
            <w:tcW w:w="847"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1D4078D2"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2018</w:t>
            </w:r>
          </w:p>
        </w:tc>
        <w:tc>
          <w:tcPr>
            <w:tcW w:w="938" w:type="dxa"/>
            <w:gridSpan w:val="3"/>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4D67C94F"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2018</w:t>
            </w:r>
          </w:p>
        </w:tc>
        <w:tc>
          <w:tcPr>
            <w:tcW w:w="6444" w:type="dxa"/>
            <w:tcBorders>
              <w:top w:val="single" w:sz="4" w:space="0" w:color="BFBFBF"/>
              <w:left w:val="single" w:sz="4" w:space="0" w:color="BFBFBF"/>
              <w:bottom w:val="single" w:sz="4" w:space="0" w:color="BFBFBF"/>
              <w:right w:val="single" w:sz="4" w:space="0" w:color="BFBFBF"/>
            </w:tcBorders>
            <w:shd w:val="clear" w:color="000000" w:fill="FFFFFF"/>
            <w:vAlign w:val="center"/>
            <w:hideMark/>
          </w:tcPr>
          <w:p w14:paraId="21A2BE4F" w14:textId="53D12F93" w:rsidR="00961B22" w:rsidRPr="00100F0A" w:rsidRDefault="00961B22" w:rsidP="0097520F">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Projections indicate that the current capacity of solvents/paints recycling is being exceeded. This is unlikely to be accurate due to the high level of uncertainty in the capacity assessment for this group. A number of factors need to be considered:</w:t>
            </w:r>
            <w:r w:rsidRPr="00100F0A">
              <w:rPr>
                <w:rFonts w:asciiTheme="minorHAnsi" w:eastAsia="Times New Roman" w:hAnsiTheme="minorHAnsi" w:cstheme="minorHAnsi"/>
                <w:color w:val="000000"/>
                <w:sz w:val="18"/>
                <w:szCs w:val="18"/>
                <w:lang w:eastAsia="en-AU"/>
              </w:rPr>
              <w:br/>
              <w:t xml:space="preserve">1. </w:t>
            </w:r>
            <w:r w:rsidR="003122F0">
              <w:rPr>
                <w:rFonts w:asciiTheme="minorHAnsi" w:eastAsia="Times New Roman" w:hAnsiTheme="minorHAnsi" w:cstheme="minorHAnsi"/>
                <w:color w:val="000000"/>
                <w:sz w:val="18"/>
                <w:szCs w:val="18"/>
                <w:lang w:eastAsia="en-AU"/>
              </w:rPr>
              <w:t>i</w:t>
            </w:r>
            <w:r w:rsidRPr="00100F0A">
              <w:rPr>
                <w:rFonts w:asciiTheme="minorHAnsi" w:eastAsia="Times New Roman" w:hAnsiTheme="minorHAnsi" w:cstheme="minorHAnsi"/>
                <w:color w:val="000000"/>
                <w:sz w:val="18"/>
                <w:szCs w:val="18"/>
                <w:lang w:eastAsia="en-AU"/>
              </w:rPr>
              <w:t xml:space="preserve">t is likely that some materials sent to energy recovery are recorded as recycled (resulting in </w:t>
            </w:r>
            <w:r w:rsidR="003122F0">
              <w:rPr>
                <w:rFonts w:asciiTheme="minorHAnsi" w:eastAsia="Times New Roman" w:hAnsiTheme="minorHAnsi" w:cstheme="minorHAnsi"/>
                <w:color w:val="000000"/>
                <w:sz w:val="18"/>
                <w:szCs w:val="18"/>
                <w:lang w:eastAsia="en-AU"/>
              </w:rPr>
              <w:t xml:space="preserve">an </w:t>
            </w:r>
            <w:r w:rsidRPr="00100F0A">
              <w:rPr>
                <w:rFonts w:asciiTheme="minorHAnsi" w:eastAsia="Times New Roman" w:hAnsiTheme="minorHAnsi" w:cstheme="minorHAnsi"/>
                <w:color w:val="000000"/>
                <w:sz w:val="18"/>
                <w:szCs w:val="18"/>
                <w:lang w:eastAsia="en-AU"/>
              </w:rPr>
              <w:t>over</w:t>
            </w:r>
            <w:r w:rsidR="003122F0">
              <w:rPr>
                <w:rFonts w:asciiTheme="minorHAnsi" w:eastAsia="Times New Roman" w:hAnsiTheme="minorHAnsi" w:cstheme="minorHAnsi"/>
                <w:color w:val="000000"/>
                <w:sz w:val="18"/>
                <w:szCs w:val="18"/>
                <w:lang w:eastAsia="en-AU"/>
              </w:rPr>
              <w:t>-</w:t>
            </w:r>
            <w:r w:rsidRPr="00100F0A">
              <w:rPr>
                <w:rFonts w:asciiTheme="minorHAnsi" w:eastAsia="Times New Roman" w:hAnsiTheme="minorHAnsi" w:cstheme="minorHAnsi"/>
                <w:color w:val="000000"/>
                <w:sz w:val="18"/>
                <w:szCs w:val="18"/>
                <w:lang w:eastAsia="en-AU"/>
              </w:rPr>
              <w:t>estimate of arisings to recycling and under</w:t>
            </w:r>
            <w:r w:rsidR="003122F0">
              <w:rPr>
                <w:rFonts w:asciiTheme="minorHAnsi" w:eastAsia="Times New Roman" w:hAnsiTheme="minorHAnsi" w:cstheme="minorHAnsi"/>
                <w:color w:val="000000"/>
                <w:sz w:val="18"/>
                <w:szCs w:val="18"/>
                <w:lang w:eastAsia="en-AU"/>
              </w:rPr>
              <w:t>-</w:t>
            </w:r>
            <w:r w:rsidRPr="00100F0A">
              <w:rPr>
                <w:rFonts w:asciiTheme="minorHAnsi" w:eastAsia="Times New Roman" w:hAnsiTheme="minorHAnsi" w:cstheme="minorHAnsi"/>
                <w:color w:val="000000"/>
                <w:sz w:val="18"/>
                <w:szCs w:val="18"/>
                <w:lang w:eastAsia="en-AU"/>
              </w:rPr>
              <w:t>estimate to energy recovery)</w:t>
            </w:r>
            <w:r w:rsidRPr="00100F0A">
              <w:rPr>
                <w:rFonts w:asciiTheme="minorHAnsi" w:eastAsia="Times New Roman" w:hAnsiTheme="minorHAnsi" w:cstheme="minorHAnsi"/>
                <w:color w:val="000000"/>
                <w:sz w:val="18"/>
                <w:szCs w:val="18"/>
                <w:lang w:eastAsia="en-AU"/>
              </w:rPr>
              <w:br/>
              <w:t xml:space="preserve">2. </w:t>
            </w:r>
            <w:r w:rsidR="003122F0">
              <w:rPr>
                <w:rFonts w:asciiTheme="minorHAnsi" w:eastAsia="Times New Roman" w:hAnsiTheme="minorHAnsi" w:cstheme="minorHAnsi"/>
                <w:color w:val="000000"/>
                <w:sz w:val="18"/>
                <w:szCs w:val="18"/>
                <w:lang w:eastAsia="en-AU"/>
              </w:rPr>
              <w:t>s</w:t>
            </w:r>
            <w:r w:rsidRPr="00100F0A">
              <w:rPr>
                <w:rFonts w:asciiTheme="minorHAnsi" w:eastAsia="Times New Roman" w:hAnsiTheme="minorHAnsi" w:cstheme="minorHAnsi"/>
                <w:color w:val="000000"/>
                <w:sz w:val="18"/>
                <w:szCs w:val="18"/>
                <w:lang w:eastAsia="en-AU"/>
              </w:rPr>
              <w:t>ome solvent/paint recycling capacity is likely to be within the CPT infrastructure group</w:t>
            </w:r>
            <w:r w:rsidRPr="00100F0A">
              <w:rPr>
                <w:rFonts w:asciiTheme="minorHAnsi" w:eastAsia="Times New Roman" w:hAnsiTheme="minorHAnsi" w:cstheme="minorHAnsi"/>
                <w:color w:val="000000"/>
                <w:sz w:val="18"/>
                <w:szCs w:val="18"/>
                <w:lang w:eastAsia="en-AU"/>
              </w:rPr>
              <w:br/>
              <w:t xml:space="preserve">3. </w:t>
            </w:r>
            <w:r w:rsidR="003122F0">
              <w:rPr>
                <w:rFonts w:asciiTheme="minorHAnsi" w:eastAsia="Times New Roman" w:hAnsiTheme="minorHAnsi" w:cstheme="minorHAnsi"/>
                <w:color w:val="000000"/>
                <w:sz w:val="18"/>
                <w:szCs w:val="18"/>
                <w:lang w:eastAsia="en-AU"/>
              </w:rPr>
              <w:t>s</w:t>
            </w:r>
            <w:r w:rsidRPr="00100F0A">
              <w:rPr>
                <w:rFonts w:asciiTheme="minorHAnsi" w:eastAsia="Times New Roman" w:hAnsiTheme="minorHAnsi" w:cstheme="minorHAnsi"/>
                <w:color w:val="000000"/>
                <w:sz w:val="18"/>
                <w:szCs w:val="18"/>
                <w:lang w:eastAsia="en-AU"/>
              </w:rPr>
              <w:t xml:space="preserve">ome smaller operators that recycle solvents/paint may not have not been captured in the infrastructure database. </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 xml:space="preserve">Based on industry consultation and this assessment, a national shortage of this infrastructure over the next 20 years is considered unlikely. There may be some regional limitations (see jurisdictional analysis). </w:t>
            </w:r>
          </w:p>
        </w:tc>
      </w:tr>
      <w:tr w:rsidR="00961B22" w:rsidRPr="00100F0A" w14:paraId="647726EB" w14:textId="77777777" w:rsidTr="00347CB4">
        <w:tc>
          <w:tcPr>
            <w:tcW w:w="195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8C05D6E" w14:textId="77777777" w:rsidR="00961B22" w:rsidRPr="00100F0A" w:rsidRDefault="00961B22" w:rsidP="00696683">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Organics processing facility</w:t>
            </w:r>
          </w:p>
        </w:tc>
        <w:tc>
          <w:tcPr>
            <w:tcW w:w="78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6CD3F2B"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600</w:t>
            </w:r>
          </w:p>
        </w:tc>
        <w:tc>
          <w:tcPr>
            <w:tcW w:w="8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AFD3846"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106</w:t>
            </w:r>
          </w:p>
        </w:tc>
        <w:tc>
          <w:tcPr>
            <w:tcW w:w="8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F64C599"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0</w:t>
            </w:r>
          </w:p>
        </w:tc>
        <w:tc>
          <w:tcPr>
            <w:tcW w:w="130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7FD5546"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Very high</w:t>
            </w:r>
          </w:p>
        </w:tc>
        <w:tc>
          <w:tcPr>
            <w:tcW w:w="939"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0CBD3E57"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2018</w:t>
            </w:r>
          </w:p>
        </w:tc>
        <w:tc>
          <w:tcPr>
            <w:tcW w:w="847"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530D5643"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2018</w:t>
            </w:r>
          </w:p>
        </w:tc>
        <w:tc>
          <w:tcPr>
            <w:tcW w:w="938" w:type="dxa"/>
            <w:gridSpan w:val="3"/>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41B32D32"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2018</w:t>
            </w:r>
          </w:p>
        </w:tc>
        <w:tc>
          <w:tcPr>
            <w:tcW w:w="6444" w:type="dxa"/>
            <w:tcBorders>
              <w:top w:val="single" w:sz="4" w:space="0" w:color="BFBFBF"/>
              <w:left w:val="single" w:sz="4" w:space="0" w:color="BFBFBF"/>
              <w:bottom w:val="single" w:sz="4" w:space="0" w:color="BFBFBF"/>
              <w:right w:val="single" w:sz="4" w:space="0" w:color="BFBFBF"/>
            </w:tcBorders>
            <w:shd w:val="clear" w:color="000000" w:fill="FFFFFF"/>
            <w:vAlign w:val="center"/>
            <w:hideMark/>
          </w:tcPr>
          <w:p w14:paraId="11D99D60" w14:textId="3D3C6AC6" w:rsidR="00961B22" w:rsidRPr="00100F0A" w:rsidRDefault="00961B22" w:rsidP="0097520F">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 xml:space="preserve">Projections indicate that under all scenarios the current capacity of organics recycling infrastructure (for NEPM K code organics) is being exceeded. This is inaccurate and is linked to the very high uncertainty of the assessment of needs vs capacity. The majority of the 600 kt arisings in 2016-17 of NEPM K code wastes are sent to composting sites that are not included in the infrastructure capacity assessment. To complete a quantitative analysis of projected arisings of NEPM K code organics against infrastructure capacity, extensive data would be required on non-hazardous waste infrastructure that accepts only a relatively small amount of </w:t>
            </w:r>
            <w:r w:rsidR="00B90E8F" w:rsidRPr="00100F0A">
              <w:rPr>
                <w:rFonts w:asciiTheme="minorHAnsi" w:eastAsia="Times New Roman" w:hAnsiTheme="minorHAnsi" w:cstheme="minorHAnsi"/>
                <w:color w:val="000000"/>
                <w:sz w:val="18"/>
                <w:szCs w:val="18"/>
                <w:lang w:eastAsia="en-AU"/>
              </w:rPr>
              <w:t>low-level</w:t>
            </w:r>
            <w:r w:rsidRPr="00100F0A">
              <w:rPr>
                <w:rFonts w:asciiTheme="minorHAnsi" w:eastAsia="Times New Roman" w:hAnsiTheme="minorHAnsi" w:cstheme="minorHAnsi"/>
                <w:color w:val="000000"/>
                <w:sz w:val="18"/>
                <w:szCs w:val="18"/>
                <w:lang w:eastAsia="en-AU"/>
              </w:rPr>
              <w:t xml:space="preserve"> hazardous waste as part of much larger non-hazardous waste volume. In addition, some smaller operators that specialise in hazardous organic waste may not be within the infrastructure database due to the diffuse nature of this infrastructure group. </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 xml:space="preserve">Based on industry consultation and our assessment of organics recycling infrastructure (for NEPM code N) we do not believe that there is likely to be a national shortage of this infrastructure group over the next 20 years. This assessment is supported by the industry consultation results presented in Table </w:t>
            </w:r>
            <w:r w:rsidR="007C70BA" w:rsidRPr="00100F0A">
              <w:rPr>
                <w:rFonts w:asciiTheme="minorHAnsi" w:eastAsia="Times New Roman" w:hAnsiTheme="minorHAnsi" w:cstheme="minorHAnsi"/>
                <w:color w:val="000000"/>
                <w:sz w:val="18"/>
                <w:szCs w:val="18"/>
                <w:lang w:eastAsia="en-AU"/>
              </w:rPr>
              <w:t>45</w:t>
            </w:r>
            <w:r w:rsidRPr="00100F0A">
              <w:rPr>
                <w:rFonts w:asciiTheme="minorHAnsi" w:eastAsia="Times New Roman" w:hAnsiTheme="minorHAnsi" w:cstheme="minorHAnsi"/>
                <w:color w:val="000000"/>
                <w:sz w:val="18"/>
                <w:szCs w:val="18"/>
                <w:lang w:eastAsia="en-AU"/>
              </w:rPr>
              <w:t xml:space="preserve"> with </w:t>
            </w:r>
            <w:r w:rsidR="003122F0">
              <w:rPr>
                <w:rFonts w:asciiTheme="minorHAnsi" w:eastAsia="Times New Roman" w:hAnsiTheme="minorHAnsi" w:cstheme="minorHAnsi"/>
                <w:color w:val="000000"/>
                <w:sz w:val="18"/>
                <w:szCs w:val="18"/>
                <w:lang w:eastAsia="en-AU"/>
              </w:rPr>
              <w:t xml:space="preserve">an </w:t>
            </w:r>
            <w:r w:rsidRPr="00100F0A">
              <w:rPr>
                <w:rFonts w:asciiTheme="minorHAnsi" w:eastAsia="Times New Roman" w:hAnsiTheme="minorHAnsi" w:cstheme="minorHAnsi"/>
                <w:color w:val="000000"/>
                <w:sz w:val="18"/>
                <w:szCs w:val="18"/>
                <w:lang w:eastAsia="en-AU"/>
              </w:rPr>
              <w:t xml:space="preserve">estimate that the sites within the scope of this infrastructure group received 99 kt of waste in 2016-17 and have an installed capacity to manage </w:t>
            </w:r>
            <w:r w:rsidR="00592746" w:rsidRPr="00100F0A">
              <w:rPr>
                <w:rFonts w:asciiTheme="minorHAnsi" w:eastAsia="Times New Roman" w:hAnsiTheme="minorHAnsi" w:cstheme="minorHAnsi"/>
                <w:color w:val="000000"/>
                <w:sz w:val="18"/>
                <w:szCs w:val="18"/>
                <w:lang w:eastAsia="en-AU"/>
              </w:rPr>
              <w:t>106</w:t>
            </w:r>
            <w:r w:rsidR="00592746">
              <w:rPr>
                <w:rFonts w:asciiTheme="minorHAnsi" w:eastAsia="Times New Roman" w:hAnsiTheme="minorHAnsi" w:cstheme="minorHAnsi"/>
                <w:color w:val="000000"/>
                <w:sz w:val="18"/>
                <w:szCs w:val="18"/>
                <w:lang w:eastAsia="en-AU"/>
              </w:rPr>
              <w:t> </w:t>
            </w:r>
            <w:r w:rsidRPr="00100F0A">
              <w:rPr>
                <w:rFonts w:asciiTheme="minorHAnsi" w:eastAsia="Times New Roman" w:hAnsiTheme="minorHAnsi" w:cstheme="minorHAnsi"/>
                <w:color w:val="000000"/>
                <w:sz w:val="18"/>
                <w:szCs w:val="18"/>
                <w:lang w:eastAsia="en-AU"/>
              </w:rPr>
              <w:t xml:space="preserve">kt/yr. There may be some regional limitations (see jurisdictional analysis). </w:t>
            </w:r>
          </w:p>
        </w:tc>
      </w:tr>
      <w:tr w:rsidR="00961B22" w:rsidRPr="00100F0A" w14:paraId="0EF3B260" w14:textId="77777777" w:rsidTr="004B656C">
        <w:trPr>
          <w:trHeight w:val="5100"/>
        </w:trPr>
        <w:tc>
          <w:tcPr>
            <w:tcW w:w="195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A1CE44E" w14:textId="51D904FF" w:rsidR="00961B22" w:rsidRPr="00100F0A" w:rsidRDefault="003122F0" w:rsidP="00696683">
            <w:pPr>
              <w:widowControl w:val="0"/>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EOLT</w:t>
            </w:r>
            <w:r w:rsidR="00961B22" w:rsidRPr="00100F0A">
              <w:rPr>
                <w:rFonts w:asciiTheme="minorHAnsi" w:eastAsia="Times New Roman" w:hAnsiTheme="minorHAnsi" w:cstheme="minorHAnsi"/>
                <w:color w:val="000000"/>
                <w:sz w:val="18"/>
                <w:szCs w:val="18"/>
                <w:lang w:eastAsia="en-AU"/>
              </w:rPr>
              <w:t xml:space="preserve"> facility</w:t>
            </w:r>
          </w:p>
        </w:tc>
        <w:tc>
          <w:tcPr>
            <w:tcW w:w="78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16F637E"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44</w:t>
            </w:r>
          </w:p>
        </w:tc>
        <w:tc>
          <w:tcPr>
            <w:tcW w:w="8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948CCD7"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100</w:t>
            </w:r>
          </w:p>
        </w:tc>
        <w:tc>
          <w:tcPr>
            <w:tcW w:w="8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E71572"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9</w:t>
            </w:r>
          </w:p>
        </w:tc>
        <w:tc>
          <w:tcPr>
            <w:tcW w:w="130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42E78E1"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High</w:t>
            </w:r>
          </w:p>
        </w:tc>
        <w:tc>
          <w:tcPr>
            <w:tcW w:w="939"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55E007A2"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&gt;2037</w:t>
            </w:r>
          </w:p>
        </w:tc>
        <w:tc>
          <w:tcPr>
            <w:tcW w:w="847"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0E91BF07"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&gt;2037</w:t>
            </w:r>
          </w:p>
        </w:tc>
        <w:tc>
          <w:tcPr>
            <w:tcW w:w="938" w:type="dxa"/>
            <w:gridSpan w:val="3"/>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085A159C"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&gt;2037</w:t>
            </w:r>
          </w:p>
        </w:tc>
        <w:tc>
          <w:tcPr>
            <w:tcW w:w="6444" w:type="dxa"/>
            <w:tcBorders>
              <w:top w:val="single" w:sz="4" w:space="0" w:color="BFBFBF"/>
              <w:left w:val="single" w:sz="4" w:space="0" w:color="BFBFBF"/>
              <w:bottom w:val="single" w:sz="4" w:space="0" w:color="BFBFBF"/>
              <w:right w:val="single" w:sz="4" w:space="0" w:color="BFBFBF"/>
            </w:tcBorders>
            <w:shd w:val="clear" w:color="000000" w:fill="FFFFFF"/>
            <w:vAlign w:val="center"/>
            <w:hideMark/>
          </w:tcPr>
          <w:p w14:paraId="02FBBFA4" w14:textId="6C4FA316" w:rsidR="00961B22" w:rsidRPr="00100F0A" w:rsidRDefault="00961B22" w:rsidP="0097520F">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 xml:space="preserve">This is a new infrastructure group for the 2018 assessment. The assessment of need vs capacity indicates that over the next 20 years the currently installed capacity of </w:t>
            </w:r>
            <w:r w:rsidR="00B90E8F" w:rsidRPr="00100F0A">
              <w:rPr>
                <w:rFonts w:asciiTheme="minorHAnsi" w:eastAsia="Times New Roman" w:hAnsiTheme="minorHAnsi" w:cstheme="minorHAnsi"/>
                <w:color w:val="000000"/>
                <w:sz w:val="18"/>
                <w:szCs w:val="18"/>
                <w:lang w:eastAsia="en-AU"/>
              </w:rPr>
              <w:t>Australia’s EOLT</w:t>
            </w:r>
            <w:r w:rsidRPr="00100F0A">
              <w:rPr>
                <w:rFonts w:asciiTheme="minorHAnsi" w:eastAsia="Times New Roman" w:hAnsiTheme="minorHAnsi" w:cstheme="minorHAnsi"/>
                <w:color w:val="000000"/>
                <w:sz w:val="18"/>
                <w:szCs w:val="18"/>
                <w:lang w:eastAsia="en-AU"/>
              </w:rPr>
              <w:t xml:space="preserve"> recycling infrastructure (100 kt/yr) will be able to recycle waste arisings (44 kt/yr in 2016-17). However, the EOLT recycling industry reported around 90 kt of EOLT received which is more than double the 44 kt waste arisings recycled in 2016-17 (estimated by REC 201</w:t>
            </w:r>
            <w:r w:rsidR="00B90E8F" w:rsidRPr="00100F0A">
              <w:rPr>
                <w:rFonts w:asciiTheme="minorHAnsi" w:eastAsia="Times New Roman" w:hAnsiTheme="minorHAnsi" w:cstheme="minorHAnsi"/>
                <w:color w:val="000000"/>
                <w:sz w:val="18"/>
                <w:szCs w:val="18"/>
                <w:lang w:eastAsia="en-AU"/>
              </w:rPr>
              <w:t>7</w:t>
            </w:r>
            <w:r w:rsidRPr="00100F0A">
              <w:rPr>
                <w:rFonts w:asciiTheme="minorHAnsi" w:eastAsia="Times New Roman" w:hAnsiTheme="minorHAnsi" w:cstheme="minorHAnsi"/>
                <w:color w:val="000000"/>
                <w:sz w:val="18"/>
                <w:szCs w:val="18"/>
                <w:lang w:eastAsia="en-AU"/>
              </w:rPr>
              <w:t xml:space="preserve">). The difference is related to EOLT recyclers receiving </w:t>
            </w:r>
            <w:r w:rsidR="0018460F">
              <w:rPr>
                <w:rFonts w:asciiTheme="minorHAnsi" w:eastAsia="Times New Roman" w:hAnsiTheme="minorHAnsi" w:cstheme="minorHAnsi"/>
                <w:color w:val="000000"/>
                <w:sz w:val="18"/>
                <w:szCs w:val="18"/>
                <w:lang w:eastAsia="en-AU"/>
              </w:rPr>
              <w:t>EOLT</w:t>
            </w:r>
            <w:r w:rsidRPr="00100F0A">
              <w:rPr>
                <w:rFonts w:asciiTheme="minorHAnsi" w:eastAsia="Times New Roman" w:hAnsiTheme="minorHAnsi" w:cstheme="minorHAnsi"/>
                <w:color w:val="000000"/>
                <w:sz w:val="18"/>
                <w:szCs w:val="18"/>
                <w:lang w:eastAsia="en-AU"/>
              </w:rPr>
              <w:t xml:space="preserve"> and exporting them with minimal processing to international energy recovery or reuse markets (the 44 kt relates to full onshore processing). </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As outlined in REC 201</w:t>
            </w:r>
            <w:r w:rsidR="00B90E8F" w:rsidRPr="00100F0A">
              <w:rPr>
                <w:rFonts w:asciiTheme="minorHAnsi" w:eastAsia="Times New Roman" w:hAnsiTheme="minorHAnsi" w:cstheme="minorHAnsi"/>
                <w:color w:val="000000"/>
                <w:sz w:val="18"/>
                <w:szCs w:val="18"/>
                <w:lang w:eastAsia="en-AU"/>
              </w:rPr>
              <w:t>7</w:t>
            </w:r>
            <w:r w:rsidRPr="00100F0A">
              <w:rPr>
                <w:rFonts w:asciiTheme="minorHAnsi" w:eastAsia="Times New Roman" w:hAnsiTheme="minorHAnsi" w:cstheme="minorHAnsi"/>
                <w:color w:val="000000"/>
                <w:sz w:val="18"/>
                <w:szCs w:val="18"/>
                <w:lang w:eastAsia="en-AU"/>
              </w:rPr>
              <w:t xml:space="preserve">, whilst there is good capacity in Australia to collect and partly process tyres for export, there is a lack of </w:t>
            </w:r>
            <w:r w:rsidR="00B90E8F" w:rsidRPr="00100F0A">
              <w:rPr>
                <w:rFonts w:asciiTheme="minorHAnsi" w:eastAsia="Times New Roman" w:hAnsiTheme="minorHAnsi" w:cstheme="minorHAnsi"/>
                <w:color w:val="000000"/>
                <w:sz w:val="18"/>
                <w:szCs w:val="18"/>
                <w:lang w:eastAsia="en-AU"/>
              </w:rPr>
              <w:t>well-developed</w:t>
            </w:r>
            <w:r w:rsidRPr="00100F0A">
              <w:rPr>
                <w:rFonts w:asciiTheme="minorHAnsi" w:eastAsia="Times New Roman" w:hAnsiTheme="minorHAnsi" w:cstheme="minorHAnsi"/>
                <w:color w:val="000000"/>
                <w:sz w:val="18"/>
                <w:szCs w:val="18"/>
                <w:lang w:eastAsia="en-AU"/>
              </w:rPr>
              <w:t xml:space="preserve"> on-shore markets for tyre</w:t>
            </w:r>
            <w:r w:rsidR="003122F0">
              <w:rPr>
                <w:rFonts w:asciiTheme="minorHAnsi" w:eastAsia="Times New Roman" w:hAnsiTheme="minorHAnsi" w:cstheme="minorHAnsi"/>
                <w:color w:val="000000"/>
                <w:sz w:val="18"/>
                <w:szCs w:val="18"/>
                <w:lang w:eastAsia="en-AU"/>
              </w:rPr>
              <w:t>-</w:t>
            </w:r>
            <w:r w:rsidRPr="00100F0A">
              <w:rPr>
                <w:rFonts w:asciiTheme="minorHAnsi" w:eastAsia="Times New Roman" w:hAnsiTheme="minorHAnsi" w:cstheme="minorHAnsi"/>
                <w:color w:val="000000"/>
                <w:sz w:val="18"/>
                <w:szCs w:val="18"/>
                <w:lang w:eastAsia="en-AU"/>
              </w:rPr>
              <w:t>derived products. REC 201</w:t>
            </w:r>
            <w:r w:rsidR="00B90E8F" w:rsidRPr="00100F0A">
              <w:rPr>
                <w:rFonts w:asciiTheme="minorHAnsi" w:eastAsia="Times New Roman" w:hAnsiTheme="minorHAnsi" w:cstheme="minorHAnsi"/>
                <w:color w:val="000000"/>
                <w:sz w:val="18"/>
                <w:szCs w:val="18"/>
                <w:lang w:eastAsia="en-AU"/>
              </w:rPr>
              <w:t>7</w:t>
            </w:r>
            <w:r w:rsidRPr="00100F0A">
              <w:rPr>
                <w:rFonts w:asciiTheme="minorHAnsi" w:eastAsia="Times New Roman" w:hAnsiTheme="minorHAnsi" w:cstheme="minorHAnsi"/>
                <w:color w:val="000000"/>
                <w:sz w:val="18"/>
                <w:szCs w:val="18"/>
                <w:lang w:eastAsia="en-AU"/>
              </w:rPr>
              <w:t xml:space="preserve"> estimates that over 60% of EOLT in Australia are sent to landfill, stockpiled or go to unknown fates. </w:t>
            </w:r>
            <w:r w:rsidR="000621AF">
              <w:rPr>
                <w:rFonts w:asciiTheme="minorHAnsi" w:eastAsia="Times New Roman" w:hAnsiTheme="minorHAnsi" w:cstheme="minorHAnsi"/>
                <w:color w:val="000000"/>
                <w:sz w:val="18"/>
                <w:szCs w:val="18"/>
                <w:lang w:eastAsia="en-AU"/>
              </w:rPr>
              <w:t>T</w:t>
            </w:r>
            <w:r w:rsidRPr="00100F0A">
              <w:rPr>
                <w:rFonts w:asciiTheme="minorHAnsi" w:eastAsia="Times New Roman" w:hAnsiTheme="minorHAnsi" w:cstheme="minorHAnsi"/>
                <w:color w:val="000000"/>
                <w:sz w:val="18"/>
                <w:szCs w:val="18"/>
                <w:lang w:eastAsia="en-AU"/>
              </w:rPr>
              <w:t xml:space="preserve">o increase the recovery of these lost </w:t>
            </w:r>
            <w:r w:rsidR="0018460F">
              <w:rPr>
                <w:rFonts w:asciiTheme="minorHAnsi" w:eastAsia="Times New Roman" w:hAnsiTheme="minorHAnsi" w:cstheme="minorHAnsi"/>
                <w:color w:val="000000"/>
                <w:sz w:val="18"/>
                <w:szCs w:val="18"/>
                <w:lang w:eastAsia="en-AU"/>
              </w:rPr>
              <w:t>EOLT</w:t>
            </w:r>
            <w:r w:rsidRPr="00100F0A">
              <w:rPr>
                <w:rFonts w:asciiTheme="minorHAnsi" w:eastAsia="Times New Roman" w:hAnsiTheme="minorHAnsi" w:cstheme="minorHAnsi"/>
                <w:color w:val="000000"/>
                <w:sz w:val="18"/>
                <w:szCs w:val="18"/>
                <w:lang w:eastAsia="en-AU"/>
              </w:rPr>
              <w:t xml:space="preserve"> there will need to be strong developments in processing technology in Australia. However, these investments cannot occur without </w:t>
            </w:r>
            <w:r w:rsidR="00B90E8F" w:rsidRPr="00100F0A">
              <w:rPr>
                <w:rFonts w:asciiTheme="minorHAnsi" w:eastAsia="Times New Roman" w:hAnsiTheme="minorHAnsi" w:cstheme="minorHAnsi"/>
                <w:color w:val="000000"/>
                <w:sz w:val="18"/>
                <w:szCs w:val="18"/>
                <w:lang w:eastAsia="en-AU"/>
              </w:rPr>
              <w:t>well-established</w:t>
            </w:r>
            <w:r w:rsidRPr="00100F0A">
              <w:rPr>
                <w:rFonts w:asciiTheme="minorHAnsi" w:eastAsia="Times New Roman" w:hAnsiTheme="minorHAnsi" w:cstheme="minorHAnsi"/>
                <w:color w:val="000000"/>
                <w:sz w:val="18"/>
                <w:szCs w:val="18"/>
                <w:lang w:eastAsia="en-AU"/>
              </w:rPr>
              <w:t xml:space="preserve"> offtake markets for the tyre</w:t>
            </w:r>
            <w:r w:rsidR="000621AF">
              <w:rPr>
                <w:rFonts w:asciiTheme="minorHAnsi" w:eastAsia="Times New Roman" w:hAnsiTheme="minorHAnsi" w:cstheme="minorHAnsi"/>
                <w:color w:val="000000"/>
                <w:sz w:val="18"/>
                <w:szCs w:val="18"/>
                <w:lang w:eastAsia="en-AU"/>
              </w:rPr>
              <w:t>-</w:t>
            </w:r>
            <w:r w:rsidRPr="00100F0A">
              <w:rPr>
                <w:rFonts w:asciiTheme="minorHAnsi" w:eastAsia="Times New Roman" w:hAnsiTheme="minorHAnsi" w:cstheme="minorHAnsi"/>
                <w:color w:val="000000"/>
                <w:sz w:val="18"/>
                <w:szCs w:val="18"/>
                <w:lang w:eastAsia="en-AU"/>
              </w:rPr>
              <w:t>derived products. Whilst the lack of EOLT recycling and high rates of landfill, stockpiling</w:t>
            </w:r>
            <w:r w:rsidR="000621AF">
              <w:rPr>
                <w:rFonts w:asciiTheme="minorHAnsi" w:eastAsia="Times New Roman" w:hAnsiTheme="minorHAnsi" w:cstheme="minorHAnsi"/>
                <w:color w:val="000000"/>
                <w:sz w:val="18"/>
                <w:szCs w:val="18"/>
                <w:lang w:eastAsia="en-AU"/>
              </w:rPr>
              <w:t xml:space="preserve"> and</w:t>
            </w:r>
            <w:r w:rsidRPr="00100F0A">
              <w:rPr>
                <w:rFonts w:asciiTheme="minorHAnsi" w:eastAsia="Times New Roman" w:hAnsiTheme="minorHAnsi" w:cstheme="minorHAnsi"/>
                <w:color w:val="000000"/>
                <w:sz w:val="18"/>
                <w:szCs w:val="18"/>
                <w:lang w:eastAsia="en-AU"/>
              </w:rPr>
              <w:t xml:space="preserve"> unknown management points to a lack of recycling infrastructure, the investment in this infrastructure will not happen without the development of offtake markets and strong policy and enforcement to ensure tyres are not sent to landfill, stockpiled, dumped or exported to low value management options. </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The level</w:t>
            </w:r>
            <w:r w:rsidR="000621AF">
              <w:rPr>
                <w:rFonts w:asciiTheme="minorHAnsi" w:eastAsia="Times New Roman" w:hAnsiTheme="minorHAnsi" w:cstheme="minorHAnsi"/>
                <w:color w:val="000000"/>
                <w:sz w:val="18"/>
                <w:szCs w:val="18"/>
                <w:lang w:eastAsia="en-AU"/>
              </w:rPr>
              <w:t xml:space="preserve"> of</w:t>
            </w:r>
            <w:r w:rsidRPr="00100F0A">
              <w:rPr>
                <w:rFonts w:asciiTheme="minorHAnsi" w:eastAsia="Times New Roman" w:hAnsiTheme="minorHAnsi" w:cstheme="minorHAnsi"/>
                <w:color w:val="000000"/>
                <w:sz w:val="18"/>
                <w:szCs w:val="18"/>
                <w:lang w:eastAsia="en-AU"/>
              </w:rPr>
              <w:t xml:space="preserve"> uncertainty for the EOLT assessment of needs vs capacity is high due to lack of site processing information to differentiate between full on</w:t>
            </w:r>
            <w:r w:rsidR="000621AF">
              <w:rPr>
                <w:rFonts w:asciiTheme="minorHAnsi" w:eastAsia="Times New Roman" w:hAnsiTheme="minorHAnsi" w:cstheme="minorHAnsi"/>
                <w:color w:val="000000"/>
                <w:sz w:val="18"/>
                <w:szCs w:val="18"/>
                <w:lang w:eastAsia="en-AU"/>
              </w:rPr>
              <w:t>-</w:t>
            </w:r>
            <w:r w:rsidRPr="00100F0A">
              <w:rPr>
                <w:rFonts w:asciiTheme="minorHAnsi" w:eastAsia="Times New Roman" w:hAnsiTheme="minorHAnsi" w:cstheme="minorHAnsi"/>
                <w:color w:val="000000"/>
                <w:sz w:val="18"/>
                <w:szCs w:val="18"/>
                <w:lang w:eastAsia="en-AU"/>
              </w:rPr>
              <w:t xml:space="preserve">site recycling vs minor processing and export capacity. It is also unclear how readily EOLT recyclers could scale up operations so more </w:t>
            </w:r>
            <w:r w:rsidR="0018460F">
              <w:rPr>
                <w:rFonts w:asciiTheme="minorHAnsi" w:eastAsia="Times New Roman" w:hAnsiTheme="minorHAnsi" w:cstheme="minorHAnsi"/>
                <w:color w:val="000000"/>
                <w:sz w:val="18"/>
                <w:szCs w:val="18"/>
                <w:lang w:eastAsia="en-AU"/>
              </w:rPr>
              <w:t>EOLT</w:t>
            </w:r>
            <w:r w:rsidRPr="00100F0A">
              <w:rPr>
                <w:rFonts w:asciiTheme="minorHAnsi" w:eastAsia="Times New Roman" w:hAnsiTheme="minorHAnsi" w:cstheme="minorHAnsi"/>
                <w:color w:val="000000"/>
                <w:sz w:val="18"/>
                <w:szCs w:val="18"/>
                <w:lang w:eastAsia="en-AU"/>
              </w:rPr>
              <w:t xml:space="preserve"> were recovered for processing.</w:t>
            </w:r>
          </w:p>
        </w:tc>
      </w:tr>
      <w:tr w:rsidR="00C64D09" w:rsidRPr="00100F0A" w14:paraId="7026E072" w14:textId="77777777" w:rsidTr="00E53115">
        <w:trPr>
          <w:trHeight w:val="5865"/>
        </w:trPr>
        <w:tc>
          <w:tcPr>
            <w:tcW w:w="195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60EBE68" w14:textId="46307901" w:rsidR="00C64D09" w:rsidRPr="00100F0A" w:rsidRDefault="00C64D09" w:rsidP="00C64D09">
            <w:pPr>
              <w:widowControl w:val="0"/>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SPL</w:t>
            </w:r>
            <w:r w:rsidRPr="00100F0A">
              <w:rPr>
                <w:rFonts w:asciiTheme="minorHAnsi" w:eastAsia="Times New Roman" w:hAnsiTheme="minorHAnsi" w:cstheme="minorHAnsi"/>
                <w:color w:val="000000"/>
                <w:sz w:val="18"/>
                <w:szCs w:val="18"/>
                <w:lang w:eastAsia="en-AU"/>
              </w:rPr>
              <w:t xml:space="preserve"> facility</w:t>
            </w:r>
          </w:p>
        </w:tc>
        <w:tc>
          <w:tcPr>
            <w:tcW w:w="78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EAB68BB" w14:textId="77777777" w:rsidR="00C64D09" w:rsidRPr="00100F0A" w:rsidRDefault="00C64D09" w:rsidP="00C64D09">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46</w:t>
            </w:r>
          </w:p>
        </w:tc>
        <w:tc>
          <w:tcPr>
            <w:tcW w:w="8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0DDBCAE" w14:textId="0E330761" w:rsidR="00C64D09" w:rsidRPr="009D734D" w:rsidRDefault="00C64D09" w:rsidP="009D734D">
            <w:pPr>
              <w:widowControl w:val="0"/>
              <w:jc w:val="center"/>
              <w:rPr>
                <w:rFonts w:asciiTheme="minorHAnsi" w:eastAsia="Times New Roman" w:hAnsiTheme="minorHAnsi" w:cstheme="minorHAnsi"/>
                <w:color w:val="000000"/>
                <w:sz w:val="18"/>
                <w:szCs w:val="18"/>
                <w:highlight w:val="red"/>
                <w:lang w:eastAsia="en-AU"/>
              </w:rPr>
            </w:pPr>
            <w:r w:rsidRPr="009D734D">
              <w:rPr>
                <w:rFonts w:asciiTheme="minorHAnsi" w:eastAsia="Times New Roman" w:hAnsiTheme="minorHAnsi" w:cstheme="minorHAnsi"/>
                <w:color w:val="000000"/>
                <w:sz w:val="18"/>
                <w:szCs w:val="18"/>
                <w:highlight w:val="red"/>
                <w:lang w:eastAsia="en-AU"/>
              </w:rPr>
              <w:t>CIC</w:t>
            </w:r>
          </w:p>
        </w:tc>
        <w:tc>
          <w:tcPr>
            <w:tcW w:w="8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59C24AC" w14:textId="56AEBD99" w:rsidR="00C64D09" w:rsidRPr="009D734D" w:rsidRDefault="00C64D09" w:rsidP="009D734D">
            <w:pPr>
              <w:widowControl w:val="0"/>
              <w:jc w:val="center"/>
              <w:rPr>
                <w:rFonts w:asciiTheme="minorHAnsi" w:eastAsia="Times New Roman" w:hAnsiTheme="minorHAnsi" w:cstheme="minorHAnsi"/>
                <w:color w:val="000000"/>
                <w:sz w:val="18"/>
                <w:szCs w:val="18"/>
                <w:highlight w:val="red"/>
                <w:lang w:eastAsia="en-AU"/>
              </w:rPr>
            </w:pPr>
            <w:r w:rsidRPr="009D734D">
              <w:rPr>
                <w:rFonts w:asciiTheme="minorHAnsi" w:eastAsia="Times New Roman" w:hAnsiTheme="minorHAnsi" w:cstheme="minorHAnsi"/>
                <w:color w:val="000000"/>
                <w:sz w:val="18"/>
                <w:szCs w:val="18"/>
                <w:highlight w:val="red"/>
                <w:lang w:eastAsia="en-AU"/>
              </w:rPr>
              <w:t>CIC</w:t>
            </w:r>
          </w:p>
        </w:tc>
        <w:tc>
          <w:tcPr>
            <w:tcW w:w="130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2379C93" w14:textId="08AC7A9D" w:rsidR="00C64D09" w:rsidRPr="00E53115" w:rsidRDefault="00C64D09" w:rsidP="00C64D09">
            <w:pPr>
              <w:widowControl w:val="0"/>
              <w:jc w:val="center"/>
              <w:rPr>
                <w:rFonts w:asciiTheme="minorHAnsi" w:eastAsia="Times New Roman" w:hAnsiTheme="minorHAnsi" w:cstheme="minorHAnsi"/>
                <w:color w:val="000000"/>
                <w:sz w:val="18"/>
                <w:szCs w:val="18"/>
                <w:lang w:eastAsia="en-AU"/>
              </w:rPr>
            </w:pPr>
            <w:r w:rsidRPr="00A20188">
              <w:rPr>
                <w:rFonts w:asciiTheme="minorHAnsi" w:eastAsia="Times New Roman" w:hAnsiTheme="minorHAnsi" w:cstheme="minorHAnsi"/>
                <w:color w:val="000000"/>
                <w:sz w:val="18"/>
                <w:szCs w:val="18"/>
                <w:lang w:eastAsia="en-AU"/>
              </w:rPr>
              <w:t>Low</w:t>
            </w:r>
          </w:p>
        </w:tc>
        <w:tc>
          <w:tcPr>
            <w:tcW w:w="908"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4A7E6ED2" w14:textId="0637342F" w:rsidR="00C64D09" w:rsidRPr="00E53115" w:rsidRDefault="00C64D09" w:rsidP="00A20188">
            <w:pPr>
              <w:widowControl w:val="0"/>
              <w:jc w:val="center"/>
              <w:rPr>
                <w:rFonts w:asciiTheme="minorHAnsi" w:eastAsia="Times New Roman" w:hAnsiTheme="minorHAnsi" w:cstheme="minorHAnsi"/>
                <w:color w:val="000000"/>
                <w:sz w:val="18"/>
                <w:szCs w:val="18"/>
                <w:lang w:eastAsia="en-AU"/>
              </w:rPr>
            </w:pPr>
            <w:r w:rsidRPr="00E53115">
              <w:rPr>
                <w:rFonts w:asciiTheme="minorHAnsi" w:eastAsia="Times New Roman" w:hAnsiTheme="minorHAnsi" w:cstheme="minorHAnsi"/>
                <w:color w:val="000000"/>
                <w:sz w:val="18"/>
                <w:szCs w:val="18"/>
                <w:lang w:eastAsia="en-AU"/>
              </w:rPr>
              <w:t>&gt;2037</w:t>
            </w:r>
          </w:p>
        </w:tc>
        <w:tc>
          <w:tcPr>
            <w:tcW w:w="819" w:type="dxa"/>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6F6E49B3" w14:textId="0ED9A94C" w:rsidR="00C64D09" w:rsidRPr="00E53115" w:rsidRDefault="00C64D09" w:rsidP="00F06095">
            <w:pPr>
              <w:widowControl w:val="0"/>
              <w:jc w:val="center"/>
              <w:rPr>
                <w:rFonts w:asciiTheme="minorHAnsi" w:eastAsia="Times New Roman" w:hAnsiTheme="minorHAnsi" w:cstheme="minorHAnsi"/>
                <w:color w:val="000000"/>
                <w:sz w:val="18"/>
                <w:szCs w:val="18"/>
                <w:lang w:eastAsia="en-AU"/>
              </w:rPr>
            </w:pPr>
            <w:r w:rsidRPr="00E53115">
              <w:rPr>
                <w:rFonts w:asciiTheme="minorHAnsi" w:eastAsia="Times New Roman" w:hAnsiTheme="minorHAnsi" w:cstheme="minorHAnsi"/>
                <w:color w:val="000000"/>
                <w:sz w:val="18"/>
                <w:szCs w:val="18"/>
                <w:lang w:eastAsia="en-AU"/>
              </w:rPr>
              <w:t>2020</w:t>
            </w:r>
          </w:p>
        </w:tc>
        <w:tc>
          <w:tcPr>
            <w:tcW w:w="908" w:type="dxa"/>
            <w:gridSpan w:val="3"/>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750E48F1" w14:textId="4F408141" w:rsidR="00C64D09" w:rsidRPr="00E53115" w:rsidRDefault="00C64D09" w:rsidP="00F06095">
            <w:pPr>
              <w:widowControl w:val="0"/>
              <w:jc w:val="center"/>
              <w:rPr>
                <w:rFonts w:asciiTheme="minorHAnsi" w:eastAsia="Times New Roman" w:hAnsiTheme="minorHAnsi" w:cstheme="minorHAnsi"/>
                <w:color w:val="000000"/>
                <w:sz w:val="18"/>
                <w:szCs w:val="18"/>
                <w:lang w:eastAsia="en-AU"/>
              </w:rPr>
            </w:pPr>
            <w:r w:rsidRPr="00E53115">
              <w:rPr>
                <w:rFonts w:asciiTheme="minorHAnsi" w:eastAsia="Times New Roman" w:hAnsiTheme="minorHAnsi" w:cstheme="minorHAnsi"/>
                <w:color w:val="000000"/>
                <w:sz w:val="18"/>
                <w:szCs w:val="18"/>
                <w:lang w:eastAsia="en-AU"/>
              </w:rPr>
              <w:t>&gt;2037</w:t>
            </w:r>
          </w:p>
        </w:tc>
        <w:tc>
          <w:tcPr>
            <w:tcW w:w="6503" w:type="dxa"/>
            <w:gridSpan w:val="2"/>
            <w:tcBorders>
              <w:top w:val="single" w:sz="4" w:space="0" w:color="BFBFBF"/>
              <w:left w:val="single" w:sz="4" w:space="0" w:color="BFBFBF"/>
              <w:bottom w:val="single" w:sz="4" w:space="0" w:color="BFBFBF"/>
              <w:right w:val="single" w:sz="4" w:space="0" w:color="BFBFBF"/>
            </w:tcBorders>
            <w:shd w:val="clear" w:color="000000" w:fill="FFFFFF"/>
            <w:vAlign w:val="center"/>
            <w:hideMark/>
          </w:tcPr>
          <w:p w14:paraId="40113B90" w14:textId="768D436C" w:rsidR="00C64D09" w:rsidRPr="00100F0A" w:rsidRDefault="00C64D09" w:rsidP="00C64D09">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 xml:space="preserve">An estimated 46 kt of SPL arose in 2016-17 which suggests that the aluminium industry is processing all of the current SPL being generated and some of a significant stockpile of SPL. REC 2016 estimates Australia's annual SPL generation at around 30 kt/yr (based on </w:t>
            </w:r>
            <w:r>
              <w:rPr>
                <w:rFonts w:asciiTheme="minorHAnsi" w:eastAsia="Times New Roman" w:hAnsiTheme="minorHAnsi" w:cstheme="minorHAnsi"/>
                <w:color w:val="000000"/>
                <w:sz w:val="18"/>
                <w:szCs w:val="18"/>
                <w:lang w:eastAsia="en-AU"/>
              </w:rPr>
              <w:t>a</w:t>
            </w:r>
            <w:r w:rsidRPr="00100F0A">
              <w:rPr>
                <w:rFonts w:asciiTheme="minorHAnsi" w:eastAsia="Times New Roman" w:hAnsiTheme="minorHAnsi" w:cstheme="minorHAnsi"/>
                <w:color w:val="000000"/>
                <w:sz w:val="18"/>
                <w:szCs w:val="18"/>
                <w:lang w:eastAsia="en-AU"/>
              </w:rPr>
              <w:t xml:space="preserve">luminium production rates). REC 2016 also provides a detailed analysis of the SPL stockpiles in Australia. </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REC 2016 estimate</w:t>
            </w:r>
            <w:r>
              <w:rPr>
                <w:rFonts w:asciiTheme="minorHAnsi" w:eastAsia="Times New Roman" w:hAnsiTheme="minorHAnsi" w:cstheme="minorHAnsi"/>
                <w:color w:val="000000"/>
                <w:sz w:val="18"/>
                <w:szCs w:val="18"/>
                <w:lang w:eastAsia="en-AU"/>
              </w:rPr>
              <w:t>s</w:t>
            </w:r>
            <w:r w:rsidRPr="00100F0A">
              <w:rPr>
                <w:rFonts w:asciiTheme="minorHAnsi" w:eastAsia="Times New Roman" w:hAnsiTheme="minorHAnsi" w:cstheme="minorHAnsi"/>
                <w:color w:val="000000"/>
                <w:sz w:val="18"/>
                <w:szCs w:val="18"/>
                <w:lang w:eastAsia="en-AU"/>
              </w:rPr>
              <w:t xml:space="preserve"> the stockpile of SPL to be around 700</w:t>
            </w:r>
            <w:r>
              <w:rPr>
                <w:rFonts w:asciiTheme="minorHAnsi" w:eastAsia="Times New Roman" w:hAnsiTheme="minorHAnsi" w:cstheme="minorHAnsi"/>
                <w:color w:val="000000"/>
                <w:sz w:val="18"/>
                <w:szCs w:val="18"/>
                <w:lang w:eastAsia="en-AU"/>
              </w:rPr>
              <w:t xml:space="preserve"> kt</w:t>
            </w:r>
            <w:r w:rsidRPr="00100F0A">
              <w:rPr>
                <w:rFonts w:asciiTheme="minorHAnsi" w:eastAsia="Times New Roman" w:hAnsiTheme="minorHAnsi" w:cstheme="minorHAnsi"/>
                <w:color w:val="000000"/>
                <w:sz w:val="18"/>
                <w:szCs w:val="18"/>
                <w:lang w:eastAsia="en-AU"/>
              </w:rPr>
              <w:t>, of which around 390</w:t>
            </w:r>
            <w:r>
              <w:rPr>
                <w:rFonts w:asciiTheme="minorHAnsi" w:eastAsia="Times New Roman" w:hAnsiTheme="minorHAnsi" w:cstheme="minorHAnsi"/>
                <w:color w:val="000000"/>
                <w:sz w:val="18"/>
                <w:szCs w:val="18"/>
                <w:lang w:eastAsia="en-AU"/>
              </w:rPr>
              <w:t xml:space="preserve"> kt</w:t>
            </w:r>
            <w:r w:rsidRPr="00100F0A">
              <w:rPr>
                <w:rFonts w:asciiTheme="minorHAnsi" w:eastAsia="Times New Roman" w:hAnsiTheme="minorHAnsi" w:cstheme="minorHAnsi"/>
                <w:color w:val="000000"/>
                <w:sz w:val="18"/>
                <w:szCs w:val="18"/>
                <w:lang w:eastAsia="en-AU"/>
              </w:rPr>
              <w:t xml:space="preserve"> are landfilled on</w:t>
            </w:r>
            <w:r>
              <w:rPr>
                <w:rFonts w:asciiTheme="minorHAnsi" w:eastAsia="Times New Roman" w:hAnsiTheme="minorHAnsi" w:cstheme="minorHAnsi"/>
                <w:color w:val="000000"/>
                <w:sz w:val="18"/>
                <w:szCs w:val="18"/>
                <w:lang w:eastAsia="en-AU"/>
              </w:rPr>
              <w:t>-</w:t>
            </w:r>
            <w:r w:rsidRPr="00100F0A">
              <w:rPr>
                <w:rFonts w:asciiTheme="minorHAnsi" w:eastAsia="Times New Roman" w:hAnsiTheme="minorHAnsi" w:cstheme="minorHAnsi"/>
                <w:color w:val="000000"/>
                <w:sz w:val="18"/>
                <w:szCs w:val="18"/>
                <w:lang w:eastAsia="en-AU"/>
              </w:rPr>
              <w:t>site at aluminium smelters</w:t>
            </w:r>
            <w:r>
              <w:rPr>
                <w:rFonts w:asciiTheme="minorHAnsi" w:eastAsia="Times New Roman" w:hAnsiTheme="minorHAnsi" w:cstheme="minorHAnsi"/>
                <w:color w:val="000000"/>
                <w:sz w:val="18"/>
                <w:szCs w:val="18"/>
                <w:lang w:eastAsia="en-AU"/>
              </w:rPr>
              <w:t xml:space="preserve"> around Aust</w:t>
            </w:r>
            <w:r w:rsidRPr="00100F0A">
              <w:rPr>
                <w:rFonts w:asciiTheme="minorHAnsi" w:eastAsia="Times New Roman" w:hAnsiTheme="minorHAnsi" w:cstheme="minorHAnsi"/>
                <w:color w:val="000000"/>
                <w:sz w:val="18"/>
                <w:szCs w:val="18"/>
                <w:lang w:eastAsia="en-AU"/>
              </w:rPr>
              <w:t>ralia.</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For this assessment:</w:t>
            </w:r>
            <w:r w:rsidRPr="00100F0A">
              <w:rPr>
                <w:rFonts w:asciiTheme="minorHAnsi" w:eastAsia="Times New Roman" w:hAnsiTheme="minorHAnsi" w:cstheme="minorHAnsi"/>
                <w:color w:val="000000"/>
                <w:sz w:val="18"/>
                <w:szCs w:val="18"/>
                <w:lang w:eastAsia="en-AU"/>
              </w:rPr>
              <w:br/>
              <w:t>- the best scenario assumes a 30% reduction in storage over 10 y</w:t>
            </w:r>
            <w:r>
              <w:rPr>
                <w:rFonts w:asciiTheme="minorHAnsi" w:eastAsia="Times New Roman" w:hAnsiTheme="minorHAnsi" w:cstheme="minorHAnsi"/>
                <w:color w:val="000000"/>
                <w:sz w:val="18"/>
                <w:szCs w:val="18"/>
                <w:lang w:eastAsia="en-AU"/>
              </w:rPr>
              <w:t>ea</w:t>
            </w:r>
            <w:r w:rsidRPr="00100F0A">
              <w:rPr>
                <w:rFonts w:asciiTheme="minorHAnsi" w:eastAsia="Times New Roman" w:hAnsiTheme="minorHAnsi" w:cstheme="minorHAnsi"/>
                <w:color w:val="000000"/>
                <w:sz w:val="18"/>
                <w:szCs w:val="18"/>
                <w:lang w:eastAsia="en-AU"/>
              </w:rPr>
              <w:t>rs from policy intervention (linear bleed) start in 2 y</w:t>
            </w:r>
            <w:r>
              <w:rPr>
                <w:rFonts w:asciiTheme="minorHAnsi" w:eastAsia="Times New Roman" w:hAnsiTheme="minorHAnsi" w:cstheme="minorHAnsi"/>
                <w:color w:val="000000"/>
                <w:sz w:val="18"/>
                <w:szCs w:val="18"/>
                <w:lang w:eastAsia="en-AU"/>
              </w:rPr>
              <w:t>ea</w:t>
            </w:r>
            <w:r w:rsidRPr="00100F0A">
              <w:rPr>
                <w:rFonts w:asciiTheme="minorHAnsi" w:eastAsia="Times New Roman" w:hAnsiTheme="minorHAnsi" w:cstheme="minorHAnsi"/>
                <w:color w:val="000000"/>
                <w:sz w:val="18"/>
                <w:szCs w:val="18"/>
                <w:lang w:eastAsia="en-AU"/>
              </w:rPr>
              <w:t xml:space="preserve">rs </w:t>
            </w:r>
            <w:r w:rsidRPr="00100F0A">
              <w:rPr>
                <w:rFonts w:asciiTheme="minorHAnsi" w:eastAsia="Times New Roman" w:hAnsiTheme="minorHAnsi" w:cstheme="minorHAnsi"/>
                <w:color w:val="000000"/>
                <w:sz w:val="18"/>
                <w:szCs w:val="18"/>
                <w:lang w:eastAsia="en-AU"/>
              </w:rPr>
              <w:br/>
              <w:t>- the high scenario assumes a 100% reduction in storage over 10 y</w:t>
            </w:r>
            <w:r>
              <w:rPr>
                <w:rFonts w:asciiTheme="minorHAnsi" w:eastAsia="Times New Roman" w:hAnsiTheme="minorHAnsi" w:cstheme="minorHAnsi"/>
                <w:color w:val="000000"/>
                <w:sz w:val="18"/>
                <w:szCs w:val="18"/>
                <w:lang w:eastAsia="en-AU"/>
              </w:rPr>
              <w:t>ears</w:t>
            </w:r>
            <w:r w:rsidRPr="00100F0A">
              <w:rPr>
                <w:rFonts w:asciiTheme="minorHAnsi" w:eastAsia="Times New Roman" w:hAnsiTheme="minorHAnsi" w:cstheme="minorHAnsi"/>
                <w:color w:val="000000"/>
                <w:sz w:val="18"/>
                <w:szCs w:val="18"/>
                <w:lang w:eastAsia="en-AU"/>
              </w:rPr>
              <w:t xml:space="preserve"> from policy intervention (linear bleed) start in 2 y</w:t>
            </w:r>
            <w:r>
              <w:rPr>
                <w:rFonts w:asciiTheme="minorHAnsi" w:eastAsia="Times New Roman" w:hAnsiTheme="minorHAnsi" w:cstheme="minorHAnsi"/>
                <w:color w:val="000000"/>
                <w:sz w:val="18"/>
                <w:szCs w:val="18"/>
                <w:lang w:eastAsia="en-AU"/>
              </w:rPr>
              <w:t>ea</w:t>
            </w:r>
            <w:r w:rsidRPr="00100F0A">
              <w:rPr>
                <w:rFonts w:asciiTheme="minorHAnsi" w:eastAsia="Times New Roman" w:hAnsiTheme="minorHAnsi" w:cstheme="minorHAnsi"/>
                <w:color w:val="000000"/>
                <w:sz w:val="18"/>
                <w:szCs w:val="18"/>
                <w:lang w:eastAsia="en-AU"/>
              </w:rPr>
              <w:t xml:space="preserve">rs </w:t>
            </w:r>
            <w:r w:rsidRPr="00100F0A">
              <w:rPr>
                <w:rFonts w:asciiTheme="minorHAnsi" w:eastAsia="Times New Roman" w:hAnsiTheme="minorHAnsi" w:cstheme="minorHAnsi"/>
                <w:color w:val="000000"/>
                <w:sz w:val="18"/>
                <w:szCs w:val="18"/>
                <w:lang w:eastAsia="en-AU"/>
              </w:rPr>
              <w:br/>
              <w:t xml:space="preserve">- the low scenario assumes no release from stockpiles of the projection period. </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Under the best and low scenarios, the current installed capacity is not estimated to be exceeded. Under the high scenario capacity would be exceeded, as not quite all of the stockpile would be processed in 10 years. This is consistent with the REC 2016 findings that there is capacity to treat the SPL stockpiles in Australia over around a 10</w:t>
            </w:r>
            <w:r>
              <w:rPr>
                <w:rFonts w:asciiTheme="minorHAnsi" w:eastAsia="Times New Roman" w:hAnsiTheme="minorHAnsi" w:cstheme="minorHAnsi"/>
                <w:color w:val="000000"/>
                <w:sz w:val="18"/>
                <w:szCs w:val="18"/>
                <w:lang w:eastAsia="en-AU"/>
              </w:rPr>
              <w:t>-year</w:t>
            </w:r>
            <w:r w:rsidRPr="00100F0A">
              <w:rPr>
                <w:rFonts w:asciiTheme="minorHAnsi" w:eastAsia="Times New Roman" w:hAnsiTheme="minorHAnsi" w:cstheme="minorHAnsi"/>
                <w:color w:val="000000"/>
                <w:sz w:val="18"/>
                <w:szCs w:val="18"/>
                <w:lang w:eastAsia="en-AU"/>
              </w:rPr>
              <w:t xml:space="preserve"> period, whilst treating current arisings. REC 2016 also notes that the treatment of SPL that has been landfilled has not yet been demonstrated and may require additional or different infrastructure installation. </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The uncertainty of the SPL assessment is low, due mainly to the recent and detailed study (REC 2016) of SPL processing capacity, generation and stockpiles in Australia providing the necessary data.</w:t>
            </w:r>
          </w:p>
        </w:tc>
      </w:tr>
      <w:tr w:rsidR="004B656C" w:rsidRPr="00100F0A" w14:paraId="61816CE7" w14:textId="77777777" w:rsidTr="00E53115">
        <w:trPr>
          <w:trHeight w:val="4995"/>
        </w:trPr>
        <w:tc>
          <w:tcPr>
            <w:tcW w:w="195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E7D6D27" w14:textId="77777777" w:rsidR="004B656C" w:rsidRPr="00100F0A" w:rsidRDefault="004B656C" w:rsidP="004B656C">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 xml:space="preserve">Energy recovery </w:t>
            </w:r>
          </w:p>
        </w:tc>
        <w:tc>
          <w:tcPr>
            <w:tcW w:w="78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CD12ED5" w14:textId="77777777" w:rsidR="004B656C" w:rsidRPr="00100F0A" w:rsidRDefault="004B656C" w:rsidP="004B656C">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w:t>
            </w:r>
          </w:p>
        </w:tc>
        <w:tc>
          <w:tcPr>
            <w:tcW w:w="8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FFE8E07" w14:textId="5BE89F51" w:rsidR="004B656C" w:rsidRPr="009D734D" w:rsidRDefault="004B656C" w:rsidP="009D734D">
            <w:pPr>
              <w:widowControl w:val="0"/>
              <w:jc w:val="center"/>
              <w:rPr>
                <w:rFonts w:asciiTheme="minorHAnsi" w:eastAsia="Times New Roman" w:hAnsiTheme="minorHAnsi" w:cstheme="minorHAnsi"/>
                <w:color w:val="000000"/>
                <w:sz w:val="18"/>
                <w:szCs w:val="18"/>
                <w:highlight w:val="red"/>
                <w:lang w:eastAsia="en-AU"/>
              </w:rPr>
            </w:pPr>
            <w:r w:rsidRPr="009D734D">
              <w:rPr>
                <w:rFonts w:asciiTheme="minorHAnsi" w:eastAsia="Times New Roman" w:hAnsiTheme="minorHAnsi" w:cstheme="minorHAnsi"/>
                <w:color w:val="000000"/>
                <w:sz w:val="18"/>
                <w:szCs w:val="18"/>
                <w:highlight w:val="red"/>
                <w:lang w:eastAsia="en-AU"/>
              </w:rPr>
              <w:t>CIC</w:t>
            </w:r>
          </w:p>
        </w:tc>
        <w:tc>
          <w:tcPr>
            <w:tcW w:w="8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39B648E" w14:textId="0634CECE" w:rsidR="004B656C" w:rsidRPr="009D734D" w:rsidRDefault="004B656C" w:rsidP="009D734D">
            <w:pPr>
              <w:widowControl w:val="0"/>
              <w:jc w:val="center"/>
              <w:rPr>
                <w:rFonts w:asciiTheme="minorHAnsi" w:eastAsia="Times New Roman" w:hAnsiTheme="minorHAnsi" w:cstheme="minorHAnsi"/>
                <w:color w:val="000000"/>
                <w:sz w:val="18"/>
                <w:szCs w:val="18"/>
                <w:highlight w:val="red"/>
                <w:lang w:eastAsia="en-AU"/>
              </w:rPr>
            </w:pPr>
            <w:r w:rsidRPr="009D734D">
              <w:rPr>
                <w:rFonts w:asciiTheme="minorHAnsi" w:eastAsia="Times New Roman" w:hAnsiTheme="minorHAnsi" w:cstheme="minorHAnsi"/>
                <w:color w:val="000000"/>
                <w:sz w:val="18"/>
                <w:szCs w:val="18"/>
                <w:highlight w:val="red"/>
                <w:lang w:eastAsia="en-AU"/>
              </w:rPr>
              <w:t>CIC</w:t>
            </w:r>
          </w:p>
        </w:tc>
        <w:tc>
          <w:tcPr>
            <w:tcW w:w="130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B6D7666" w14:textId="7F49F50D" w:rsidR="004B656C" w:rsidRPr="00100F0A" w:rsidRDefault="004B656C" w:rsidP="004B656C">
            <w:pPr>
              <w:widowControl w:val="0"/>
              <w:jc w:val="center"/>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Very high</w:t>
            </w:r>
          </w:p>
        </w:tc>
        <w:tc>
          <w:tcPr>
            <w:tcW w:w="939"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61640696" w14:textId="24607488" w:rsidR="004B656C" w:rsidRPr="00E53115" w:rsidRDefault="004B656C" w:rsidP="004B656C">
            <w:pPr>
              <w:widowControl w:val="0"/>
              <w:jc w:val="center"/>
              <w:rPr>
                <w:rFonts w:asciiTheme="minorHAnsi" w:eastAsia="Times New Roman" w:hAnsiTheme="minorHAnsi" w:cstheme="minorHAnsi"/>
                <w:color w:val="000000"/>
                <w:sz w:val="18"/>
                <w:szCs w:val="18"/>
                <w:lang w:eastAsia="en-AU"/>
              </w:rPr>
            </w:pPr>
            <w:r w:rsidRPr="00E53115">
              <w:rPr>
                <w:rFonts w:asciiTheme="minorHAnsi" w:eastAsia="Times New Roman" w:hAnsiTheme="minorHAnsi" w:cstheme="minorHAnsi"/>
                <w:color w:val="000000"/>
                <w:sz w:val="18"/>
                <w:szCs w:val="18"/>
                <w:lang w:eastAsia="en-AU"/>
              </w:rPr>
              <w:t>&gt;2037</w:t>
            </w:r>
          </w:p>
        </w:tc>
        <w:tc>
          <w:tcPr>
            <w:tcW w:w="847"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555D991C" w14:textId="5E9ACFDF" w:rsidR="004B656C" w:rsidRPr="00E53115" w:rsidRDefault="004B656C" w:rsidP="004B656C">
            <w:pPr>
              <w:widowControl w:val="0"/>
              <w:jc w:val="center"/>
              <w:rPr>
                <w:rFonts w:asciiTheme="minorHAnsi" w:eastAsia="Times New Roman" w:hAnsiTheme="minorHAnsi" w:cstheme="minorHAnsi"/>
                <w:color w:val="000000"/>
                <w:sz w:val="18"/>
                <w:szCs w:val="18"/>
                <w:lang w:eastAsia="en-AU"/>
              </w:rPr>
            </w:pPr>
            <w:r w:rsidRPr="00E53115">
              <w:rPr>
                <w:rFonts w:asciiTheme="minorHAnsi" w:eastAsia="Times New Roman" w:hAnsiTheme="minorHAnsi" w:cstheme="minorHAnsi"/>
                <w:color w:val="000000"/>
                <w:sz w:val="18"/>
                <w:szCs w:val="18"/>
                <w:lang w:eastAsia="en-AU"/>
              </w:rPr>
              <w:t>&gt;2037</w:t>
            </w:r>
          </w:p>
        </w:tc>
        <w:tc>
          <w:tcPr>
            <w:tcW w:w="938" w:type="dxa"/>
            <w:gridSpan w:val="3"/>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02C7A13D" w14:textId="48DA7AA1" w:rsidR="004B656C" w:rsidRPr="00E53115" w:rsidRDefault="004B656C" w:rsidP="004B656C">
            <w:pPr>
              <w:widowControl w:val="0"/>
              <w:jc w:val="center"/>
              <w:rPr>
                <w:rFonts w:asciiTheme="minorHAnsi" w:eastAsia="Times New Roman" w:hAnsiTheme="minorHAnsi" w:cstheme="minorHAnsi"/>
                <w:color w:val="000000"/>
                <w:sz w:val="18"/>
                <w:szCs w:val="18"/>
                <w:lang w:eastAsia="en-AU"/>
              </w:rPr>
            </w:pPr>
            <w:r w:rsidRPr="00E53115">
              <w:rPr>
                <w:rFonts w:asciiTheme="minorHAnsi" w:eastAsia="Times New Roman" w:hAnsiTheme="minorHAnsi" w:cstheme="minorHAnsi"/>
                <w:color w:val="000000"/>
                <w:sz w:val="18"/>
                <w:szCs w:val="18"/>
                <w:lang w:eastAsia="en-AU"/>
              </w:rPr>
              <w:t>&gt;2037</w:t>
            </w:r>
          </w:p>
        </w:tc>
        <w:tc>
          <w:tcPr>
            <w:tcW w:w="6444" w:type="dxa"/>
            <w:tcBorders>
              <w:top w:val="single" w:sz="4" w:space="0" w:color="BFBFBF"/>
              <w:left w:val="single" w:sz="4" w:space="0" w:color="BFBFBF"/>
              <w:bottom w:val="single" w:sz="4" w:space="0" w:color="BFBFBF"/>
              <w:right w:val="single" w:sz="4" w:space="0" w:color="BFBFBF"/>
            </w:tcBorders>
            <w:shd w:val="clear" w:color="000000" w:fill="FFFFFF"/>
            <w:vAlign w:val="center"/>
            <w:hideMark/>
          </w:tcPr>
          <w:p w14:paraId="3DB8D7E7" w14:textId="7B23D7F2" w:rsidR="004B656C" w:rsidRDefault="004B656C" w:rsidP="004B656C">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This infrastructure group's capacity has increased significantly since the 2015 assessment, due to the inclusion of cement kilns within the project scope and the allocation of these energy recovery tonnages to this group. The estimated arisings for this infrastructure group (2</w:t>
            </w:r>
            <w:r>
              <w:rPr>
                <w:rFonts w:asciiTheme="minorHAnsi" w:eastAsia="Times New Roman" w:hAnsiTheme="minorHAnsi" w:cstheme="minorHAnsi"/>
                <w:color w:val="000000"/>
                <w:sz w:val="18"/>
                <w:szCs w:val="18"/>
                <w:lang w:eastAsia="en-AU"/>
              </w:rPr>
              <w:t xml:space="preserve"> </w:t>
            </w:r>
            <w:r w:rsidRPr="00100F0A">
              <w:rPr>
                <w:rFonts w:asciiTheme="minorHAnsi" w:eastAsia="Times New Roman" w:hAnsiTheme="minorHAnsi" w:cstheme="minorHAnsi"/>
                <w:color w:val="000000"/>
                <w:sz w:val="18"/>
                <w:szCs w:val="18"/>
                <w:lang w:eastAsia="en-AU"/>
              </w:rPr>
              <w:t xml:space="preserve">kt) are incorrect. Industry reported </w:t>
            </w:r>
            <w:r w:rsidRPr="009D734D">
              <w:rPr>
                <w:rFonts w:asciiTheme="minorHAnsi" w:eastAsia="Times New Roman" w:hAnsiTheme="minorHAnsi" w:cstheme="minorHAnsi"/>
                <w:color w:val="000000"/>
                <w:sz w:val="18"/>
                <w:szCs w:val="18"/>
                <w:shd w:val="clear" w:color="auto" w:fill="FF0000"/>
                <w:lang w:eastAsia="en-AU"/>
              </w:rPr>
              <w:t>CIC</w:t>
            </w:r>
            <w:r>
              <w:rPr>
                <w:rFonts w:asciiTheme="minorHAnsi" w:eastAsia="Times New Roman" w:hAnsiTheme="minorHAnsi" w:cstheme="minorHAnsi"/>
                <w:color w:val="000000"/>
                <w:sz w:val="18"/>
                <w:szCs w:val="18"/>
                <w:lang w:eastAsia="en-AU"/>
              </w:rPr>
              <w:t xml:space="preserve"> </w:t>
            </w:r>
            <w:r w:rsidRPr="00100F0A">
              <w:rPr>
                <w:rFonts w:asciiTheme="minorHAnsi" w:eastAsia="Times New Roman" w:hAnsiTheme="minorHAnsi" w:cstheme="minorHAnsi"/>
                <w:color w:val="000000"/>
                <w:sz w:val="18"/>
                <w:szCs w:val="18"/>
                <w:lang w:eastAsia="en-AU"/>
              </w:rPr>
              <w:t>of waste currently received. The reason</w:t>
            </w:r>
            <w:r>
              <w:rPr>
                <w:rFonts w:asciiTheme="minorHAnsi" w:eastAsia="Times New Roman" w:hAnsiTheme="minorHAnsi" w:cstheme="minorHAnsi"/>
                <w:color w:val="000000"/>
                <w:sz w:val="18"/>
                <w:szCs w:val="18"/>
                <w:lang w:eastAsia="en-AU"/>
              </w:rPr>
              <w:t>s</w:t>
            </w:r>
            <w:r w:rsidRPr="00100F0A">
              <w:rPr>
                <w:rFonts w:asciiTheme="minorHAnsi" w:eastAsia="Times New Roman" w:hAnsiTheme="minorHAnsi" w:cstheme="minorHAnsi"/>
                <w:color w:val="000000"/>
                <w:sz w:val="18"/>
                <w:szCs w:val="18"/>
                <w:lang w:eastAsia="en-AU"/>
              </w:rPr>
              <w:t xml:space="preserve"> for this are:</w:t>
            </w:r>
            <w:r w:rsidRPr="00100F0A">
              <w:rPr>
                <w:rFonts w:asciiTheme="minorHAnsi" w:eastAsia="Times New Roman" w:hAnsiTheme="minorHAnsi" w:cstheme="minorHAnsi"/>
                <w:color w:val="000000"/>
                <w:sz w:val="18"/>
                <w:szCs w:val="18"/>
                <w:lang w:eastAsia="en-AU"/>
              </w:rPr>
              <w:br/>
              <w:t xml:space="preserve">- Some of the 26 kt of solvents/paints </w:t>
            </w:r>
            <w:r w:rsidRPr="00A307F3">
              <w:rPr>
                <w:rFonts w:asciiTheme="minorHAnsi" w:eastAsia="Times New Roman" w:hAnsiTheme="minorHAnsi" w:cstheme="minorHAnsi"/>
                <w:bCs/>
                <w:color w:val="000000"/>
                <w:sz w:val="18"/>
                <w:szCs w:val="18"/>
                <w:lang w:eastAsia="en-AU"/>
              </w:rPr>
              <w:t>recycling</w:t>
            </w:r>
            <w:r w:rsidRPr="00F142B1">
              <w:rPr>
                <w:rFonts w:asciiTheme="minorHAnsi" w:eastAsia="Times New Roman" w:hAnsiTheme="minorHAnsi" w:cstheme="minorHAnsi"/>
                <w:color w:val="000000"/>
                <w:sz w:val="18"/>
                <w:szCs w:val="18"/>
                <w:lang w:eastAsia="en-AU"/>
              </w:rPr>
              <w:t xml:space="preserve"> </w:t>
            </w:r>
            <w:r w:rsidRPr="00100F0A">
              <w:rPr>
                <w:rFonts w:asciiTheme="minorHAnsi" w:eastAsia="Times New Roman" w:hAnsiTheme="minorHAnsi" w:cstheme="minorHAnsi"/>
                <w:color w:val="000000"/>
                <w:sz w:val="18"/>
                <w:szCs w:val="18"/>
                <w:lang w:eastAsia="en-AU"/>
              </w:rPr>
              <w:t xml:space="preserve">may actually be sent to energy recovery infrastructure. Currently, the jurisdictional waste tracking systems do not support the separate reporting of tonnages sent to recycling vs energy recovery, which limits the ability to assess energy recovery infrastructure need. </w:t>
            </w:r>
            <w:r w:rsidRPr="00100F0A">
              <w:rPr>
                <w:rFonts w:asciiTheme="minorHAnsi" w:eastAsia="Times New Roman" w:hAnsiTheme="minorHAnsi" w:cstheme="minorHAnsi"/>
                <w:color w:val="000000"/>
                <w:sz w:val="18"/>
                <w:szCs w:val="18"/>
                <w:lang w:eastAsia="en-AU"/>
              </w:rPr>
              <w:br/>
              <w:t xml:space="preserve">- Some of the waste that </w:t>
            </w:r>
            <w:r>
              <w:rPr>
                <w:rFonts w:asciiTheme="minorHAnsi" w:eastAsia="Times New Roman" w:hAnsiTheme="minorHAnsi" w:cstheme="minorHAnsi"/>
                <w:color w:val="000000"/>
                <w:sz w:val="18"/>
                <w:szCs w:val="18"/>
                <w:lang w:eastAsia="en-AU"/>
              </w:rPr>
              <w:t>is</w:t>
            </w:r>
            <w:r w:rsidRPr="00100F0A">
              <w:rPr>
                <w:rFonts w:asciiTheme="minorHAnsi" w:eastAsia="Times New Roman" w:hAnsiTheme="minorHAnsi" w:cstheme="minorHAnsi"/>
                <w:color w:val="000000"/>
                <w:sz w:val="18"/>
                <w:szCs w:val="18"/>
                <w:lang w:eastAsia="en-AU"/>
              </w:rPr>
              <w:t xml:space="preserve"> sent for energy recovery do</w:t>
            </w:r>
            <w:r>
              <w:rPr>
                <w:rFonts w:asciiTheme="minorHAnsi" w:eastAsia="Times New Roman" w:hAnsiTheme="minorHAnsi" w:cstheme="minorHAnsi"/>
                <w:color w:val="000000"/>
                <w:sz w:val="18"/>
                <w:szCs w:val="18"/>
                <w:lang w:eastAsia="en-AU"/>
              </w:rPr>
              <w:t>es</w:t>
            </w:r>
            <w:r w:rsidRPr="00100F0A">
              <w:rPr>
                <w:rFonts w:asciiTheme="minorHAnsi" w:eastAsia="Times New Roman" w:hAnsiTheme="minorHAnsi" w:cstheme="minorHAnsi"/>
                <w:color w:val="000000"/>
                <w:sz w:val="18"/>
                <w:szCs w:val="18"/>
                <w:lang w:eastAsia="en-AU"/>
              </w:rPr>
              <w:t xml:space="preserve"> not require tracking in some jurisdictions, for example waste oil in NSW and EOLT in NSW, SA and Vic.</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It is also possible that tonnages of waste suitable for energy recovery are being moved without the use of transport certificates, which would again lower the recorded tonnages within tracking system data.</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Currently Australia's energy recovery from hazardous waste relies upon cement kilns as the offtake market. Whilst current installed capacity exceeds the 83 kt estimated as received, this does not allow for significant increases without either amendment to cement kiln licences (if technical</w:t>
            </w:r>
            <w:r>
              <w:rPr>
                <w:rFonts w:asciiTheme="minorHAnsi" w:eastAsia="Times New Roman" w:hAnsiTheme="minorHAnsi" w:cstheme="minorHAnsi"/>
                <w:color w:val="000000"/>
                <w:sz w:val="18"/>
                <w:szCs w:val="18"/>
                <w:lang w:eastAsia="en-AU"/>
              </w:rPr>
              <w:t>ly</w:t>
            </w:r>
            <w:r w:rsidRPr="00100F0A">
              <w:rPr>
                <w:rFonts w:asciiTheme="minorHAnsi" w:eastAsia="Times New Roman" w:hAnsiTheme="minorHAnsi" w:cstheme="minorHAnsi"/>
                <w:color w:val="000000"/>
                <w:sz w:val="18"/>
                <w:szCs w:val="18"/>
                <w:lang w:eastAsia="en-AU"/>
              </w:rPr>
              <w:t xml:space="preserve"> feasible) or the development of additional energy recovery infrastructure apart from cement kilns. </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 xml:space="preserve">The uncertainty of the energy recovery assessment is very high, due mainly to inaccurate data for energy recovery arisings, which are far too low. </w:t>
            </w:r>
          </w:p>
          <w:p w14:paraId="15CC72E4" w14:textId="00C33988" w:rsidR="00470152" w:rsidRDefault="00470152" w:rsidP="004B656C">
            <w:pPr>
              <w:widowControl w:val="0"/>
              <w:rPr>
                <w:rFonts w:asciiTheme="minorHAnsi" w:eastAsia="Times New Roman" w:hAnsiTheme="minorHAnsi" w:cstheme="minorHAnsi"/>
                <w:color w:val="000000"/>
                <w:sz w:val="18"/>
                <w:szCs w:val="18"/>
                <w:lang w:eastAsia="en-AU"/>
              </w:rPr>
            </w:pPr>
          </w:p>
          <w:p w14:paraId="5C82D798" w14:textId="2295BD1C" w:rsidR="00470152" w:rsidRDefault="00470152" w:rsidP="004B656C">
            <w:pPr>
              <w:widowControl w:val="0"/>
              <w:rPr>
                <w:rFonts w:asciiTheme="minorHAnsi" w:eastAsia="Times New Roman" w:hAnsiTheme="minorHAnsi" w:cstheme="minorHAnsi"/>
                <w:color w:val="000000"/>
                <w:sz w:val="18"/>
                <w:szCs w:val="18"/>
                <w:lang w:eastAsia="en-AU"/>
              </w:rPr>
            </w:pPr>
          </w:p>
          <w:p w14:paraId="6584A6C6" w14:textId="2CFEDE56" w:rsidR="00470152" w:rsidRDefault="00470152" w:rsidP="004B656C">
            <w:pPr>
              <w:widowControl w:val="0"/>
              <w:rPr>
                <w:rFonts w:asciiTheme="minorHAnsi" w:eastAsia="Times New Roman" w:hAnsiTheme="minorHAnsi" w:cstheme="minorHAnsi"/>
                <w:color w:val="000000"/>
                <w:sz w:val="18"/>
                <w:szCs w:val="18"/>
                <w:lang w:eastAsia="en-AU"/>
              </w:rPr>
            </w:pPr>
          </w:p>
          <w:p w14:paraId="48A44C01" w14:textId="62049622" w:rsidR="00470152" w:rsidRDefault="00470152" w:rsidP="004B656C">
            <w:pPr>
              <w:widowControl w:val="0"/>
              <w:rPr>
                <w:rFonts w:asciiTheme="minorHAnsi" w:eastAsia="Times New Roman" w:hAnsiTheme="minorHAnsi" w:cstheme="minorHAnsi"/>
                <w:color w:val="000000"/>
                <w:sz w:val="18"/>
                <w:szCs w:val="18"/>
                <w:lang w:eastAsia="en-AU"/>
              </w:rPr>
            </w:pPr>
          </w:p>
          <w:p w14:paraId="65007309" w14:textId="5D4A148F" w:rsidR="00470152" w:rsidRDefault="00470152" w:rsidP="004B656C">
            <w:pPr>
              <w:widowControl w:val="0"/>
              <w:rPr>
                <w:rFonts w:asciiTheme="minorHAnsi" w:eastAsia="Times New Roman" w:hAnsiTheme="minorHAnsi" w:cstheme="minorHAnsi"/>
                <w:color w:val="000000"/>
                <w:sz w:val="18"/>
                <w:szCs w:val="18"/>
                <w:lang w:eastAsia="en-AU"/>
              </w:rPr>
            </w:pPr>
          </w:p>
          <w:p w14:paraId="7E038830" w14:textId="688C9C43" w:rsidR="00470152" w:rsidRDefault="00470152" w:rsidP="004B656C">
            <w:pPr>
              <w:widowControl w:val="0"/>
              <w:rPr>
                <w:rFonts w:asciiTheme="minorHAnsi" w:eastAsia="Times New Roman" w:hAnsiTheme="minorHAnsi" w:cstheme="minorHAnsi"/>
                <w:color w:val="000000"/>
                <w:sz w:val="18"/>
                <w:szCs w:val="18"/>
                <w:lang w:eastAsia="en-AU"/>
              </w:rPr>
            </w:pPr>
          </w:p>
          <w:p w14:paraId="755395DF" w14:textId="22A97C8E" w:rsidR="00470152" w:rsidRDefault="00470152" w:rsidP="004B656C">
            <w:pPr>
              <w:widowControl w:val="0"/>
              <w:rPr>
                <w:rFonts w:asciiTheme="minorHAnsi" w:eastAsia="Times New Roman" w:hAnsiTheme="minorHAnsi" w:cstheme="minorHAnsi"/>
                <w:color w:val="000000"/>
                <w:sz w:val="18"/>
                <w:szCs w:val="18"/>
                <w:lang w:eastAsia="en-AU"/>
              </w:rPr>
            </w:pPr>
          </w:p>
          <w:p w14:paraId="5B1C26D4" w14:textId="620A8BA6" w:rsidR="00470152" w:rsidRDefault="00470152" w:rsidP="004B656C">
            <w:pPr>
              <w:widowControl w:val="0"/>
              <w:rPr>
                <w:rFonts w:asciiTheme="minorHAnsi" w:eastAsia="Times New Roman" w:hAnsiTheme="minorHAnsi" w:cstheme="minorHAnsi"/>
                <w:color w:val="000000"/>
                <w:sz w:val="18"/>
                <w:szCs w:val="18"/>
                <w:lang w:eastAsia="en-AU"/>
              </w:rPr>
            </w:pPr>
          </w:p>
          <w:p w14:paraId="499C4A14" w14:textId="0BD2B4E4" w:rsidR="00470152" w:rsidRDefault="00470152" w:rsidP="004B656C">
            <w:pPr>
              <w:widowControl w:val="0"/>
              <w:rPr>
                <w:rFonts w:asciiTheme="minorHAnsi" w:eastAsia="Times New Roman" w:hAnsiTheme="minorHAnsi" w:cstheme="minorHAnsi"/>
                <w:color w:val="000000"/>
                <w:sz w:val="18"/>
                <w:szCs w:val="18"/>
                <w:lang w:eastAsia="en-AU"/>
              </w:rPr>
            </w:pPr>
          </w:p>
          <w:p w14:paraId="2D723737" w14:textId="11BD0F27" w:rsidR="00470152" w:rsidRDefault="00470152" w:rsidP="004B656C">
            <w:pPr>
              <w:widowControl w:val="0"/>
              <w:rPr>
                <w:rFonts w:asciiTheme="minorHAnsi" w:eastAsia="Times New Roman" w:hAnsiTheme="minorHAnsi" w:cstheme="minorHAnsi"/>
                <w:color w:val="000000"/>
                <w:sz w:val="18"/>
                <w:szCs w:val="18"/>
                <w:lang w:eastAsia="en-AU"/>
              </w:rPr>
            </w:pPr>
          </w:p>
          <w:p w14:paraId="1CFAFA4D" w14:textId="6361191D" w:rsidR="00470152" w:rsidRDefault="00470152" w:rsidP="004B656C">
            <w:pPr>
              <w:widowControl w:val="0"/>
              <w:rPr>
                <w:rFonts w:asciiTheme="minorHAnsi" w:eastAsia="Times New Roman" w:hAnsiTheme="minorHAnsi" w:cstheme="minorHAnsi"/>
                <w:color w:val="000000"/>
                <w:sz w:val="18"/>
                <w:szCs w:val="18"/>
                <w:lang w:eastAsia="en-AU"/>
              </w:rPr>
            </w:pPr>
          </w:p>
          <w:p w14:paraId="1F0D4FC5" w14:textId="77777777" w:rsidR="00470152" w:rsidRPr="00100F0A" w:rsidRDefault="00470152" w:rsidP="004B656C">
            <w:pPr>
              <w:widowControl w:val="0"/>
              <w:rPr>
                <w:rFonts w:asciiTheme="minorHAnsi" w:eastAsia="Times New Roman" w:hAnsiTheme="minorHAnsi" w:cstheme="minorHAnsi"/>
                <w:color w:val="000000"/>
                <w:sz w:val="18"/>
                <w:szCs w:val="18"/>
                <w:lang w:eastAsia="en-AU"/>
              </w:rPr>
            </w:pPr>
          </w:p>
          <w:p w14:paraId="3F816160" w14:textId="5FF77EEB" w:rsidR="004B656C" w:rsidRPr="00100F0A" w:rsidRDefault="004B656C" w:rsidP="004B656C">
            <w:pPr>
              <w:widowControl w:val="0"/>
              <w:rPr>
                <w:rFonts w:asciiTheme="minorHAnsi" w:eastAsia="Times New Roman" w:hAnsiTheme="minorHAnsi" w:cstheme="minorHAnsi"/>
                <w:color w:val="000000"/>
                <w:sz w:val="18"/>
                <w:szCs w:val="18"/>
                <w:lang w:eastAsia="en-AU"/>
              </w:rPr>
            </w:pPr>
          </w:p>
        </w:tc>
      </w:tr>
      <w:tr w:rsidR="0097520F" w:rsidRPr="00100F0A" w14:paraId="2B84FE00" w14:textId="77777777" w:rsidTr="004B656C">
        <w:trPr>
          <w:trHeight w:val="255"/>
        </w:trPr>
        <w:tc>
          <w:tcPr>
            <w:tcW w:w="14975" w:type="dxa"/>
            <w:gridSpan w:val="13"/>
            <w:tcBorders>
              <w:top w:val="single" w:sz="4" w:space="0" w:color="BFBFBF"/>
              <w:left w:val="single" w:sz="4" w:space="0" w:color="BFBFBF"/>
              <w:bottom w:val="single" w:sz="4" w:space="0" w:color="BFBFBF"/>
              <w:right w:val="single" w:sz="4" w:space="0" w:color="BFBFBF"/>
            </w:tcBorders>
            <w:shd w:val="clear" w:color="000000" w:fill="C5D9F1"/>
            <w:noWrap/>
            <w:vAlign w:val="center"/>
            <w:hideMark/>
          </w:tcPr>
          <w:p w14:paraId="1F94D390" w14:textId="42F7D915" w:rsidR="0097520F" w:rsidRPr="00100F0A" w:rsidRDefault="0097520F" w:rsidP="00696683">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b/>
                <w:bCs/>
                <w:color w:val="000000"/>
                <w:sz w:val="18"/>
                <w:szCs w:val="18"/>
                <w:lang w:eastAsia="en-AU"/>
              </w:rPr>
              <w:t xml:space="preserve">Treatment </w:t>
            </w:r>
            <w:r w:rsidRPr="00100F0A">
              <w:rPr>
                <w:rFonts w:asciiTheme="minorHAnsi" w:eastAsia="Times New Roman" w:hAnsiTheme="minorHAnsi" w:cstheme="minorHAnsi"/>
                <w:color w:val="000000"/>
                <w:sz w:val="18"/>
                <w:szCs w:val="18"/>
                <w:lang w:eastAsia="en-AU"/>
              </w:rPr>
              <w:t> </w:t>
            </w:r>
          </w:p>
        </w:tc>
      </w:tr>
      <w:tr w:rsidR="00961B22" w:rsidRPr="00100F0A" w14:paraId="394713C0" w14:textId="77777777" w:rsidTr="009D734D">
        <w:trPr>
          <w:trHeight w:val="3640"/>
        </w:trPr>
        <w:tc>
          <w:tcPr>
            <w:tcW w:w="195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81112CE" w14:textId="77777777" w:rsidR="00961B22" w:rsidRPr="00100F0A" w:rsidRDefault="00961B22" w:rsidP="00696683">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CPT plant</w:t>
            </w:r>
          </w:p>
        </w:tc>
        <w:tc>
          <w:tcPr>
            <w:tcW w:w="78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20B2348"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395</w:t>
            </w:r>
          </w:p>
        </w:tc>
        <w:tc>
          <w:tcPr>
            <w:tcW w:w="8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0554EB4"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1,129</w:t>
            </w:r>
          </w:p>
        </w:tc>
        <w:tc>
          <w:tcPr>
            <w:tcW w:w="8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3B94F85"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4</w:t>
            </w:r>
          </w:p>
        </w:tc>
        <w:tc>
          <w:tcPr>
            <w:tcW w:w="130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72C6C2B"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Moderate</w:t>
            </w:r>
          </w:p>
        </w:tc>
        <w:tc>
          <w:tcPr>
            <w:tcW w:w="939"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0E3E9912"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&gt;2037</w:t>
            </w:r>
          </w:p>
        </w:tc>
        <w:tc>
          <w:tcPr>
            <w:tcW w:w="847"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12830D27"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&gt;2037</w:t>
            </w:r>
          </w:p>
        </w:tc>
        <w:tc>
          <w:tcPr>
            <w:tcW w:w="938" w:type="dxa"/>
            <w:gridSpan w:val="3"/>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489C3AD4"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&gt;2037</w:t>
            </w:r>
          </w:p>
        </w:tc>
        <w:tc>
          <w:tcPr>
            <w:tcW w:w="6444" w:type="dxa"/>
            <w:tcBorders>
              <w:top w:val="single" w:sz="4" w:space="0" w:color="BFBFBF"/>
              <w:left w:val="single" w:sz="4" w:space="0" w:color="BFBFBF"/>
              <w:bottom w:val="single" w:sz="4" w:space="0" w:color="BFBFBF"/>
              <w:right w:val="single" w:sz="4" w:space="0" w:color="BFBFBF"/>
            </w:tcBorders>
            <w:shd w:val="clear" w:color="000000" w:fill="FFFFFF"/>
            <w:vAlign w:val="center"/>
            <w:hideMark/>
          </w:tcPr>
          <w:p w14:paraId="2C89B08E" w14:textId="15347CAA" w:rsidR="00961B22" w:rsidRPr="00100F0A" w:rsidRDefault="00961B22" w:rsidP="0097520F">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Based on the best, high and low projections of arisings, CPT infrastructure is estimated to be able to meet national demand over the next 20 years. For all three scenarios, the projections are based on varying degrees of decline in some waste groups, such as B Acids and E Reactive chemicals, and growth in other waste groups, such as D300 Non-toxic salts and C Alkalis that are projected to increase driven by oil and gas (CSG) industry developments</w:t>
            </w:r>
            <w:r w:rsidR="00023D39">
              <w:rPr>
                <w:rFonts w:asciiTheme="minorHAnsi" w:eastAsia="Times New Roman" w:hAnsiTheme="minorHAnsi" w:cstheme="minorHAnsi"/>
                <w:color w:val="000000"/>
                <w:sz w:val="18"/>
                <w:szCs w:val="18"/>
                <w:lang w:eastAsia="en-AU"/>
              </w:rPr>
              <w:t>, however, much of this waste would be more likely sent to long-term isolation (discussed below)</w:t>
            </w:r>
            <w:r w:rsidRPr="00100F0A">
              <w:rPr>
                <w:rFonts w:asciiTheme="minorHAnsi" w:eastAsia="Times New Roman" w:hAnsiTheme="minorHAnsi" w:cstheme="minorHAnsi"/>
                <w:color w:val="000000"/>
                <w:sz w:val="18"/>
                <w:szCs w:val="18"/>
                <w:lang w:eastAsia="en-AU"/>
              </w:rPr>
              <w:t xml:space="preserve">. </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Estimated arising</w:t>
            </w:r>
            <w:r w:rsidR="002D250F">
              <w:rPr>
                <w:rFonts w:asciiTheme="minorHAnsi" w:eastAsia="Times New Roman" w:hAnsiTheme="minorHAnsi" w:cstheme="minorHAnsi"/>
                <w:color w:val="000000"/>
                <w:sz w:val="18"/>
                <w:szCs w:val="18"/>
                <w:lang w:eastAsia="en-AU"/>
              </w:rPr>
              <w:t>s</w:t>
            </w:r>
            <w:r w:rsidRPr="00100F0A">
              <w:rPr>
                <w:rFonts w:asciiTheme="minorHAnsi" w:eastAsia="Times New Roman" w:hAnsiTheme="minorHAnsi" w:cstheme="minorHAnsi"/>
                <w:color w:val="000000"/>
                <w:sz w:val="18"/>
                <w:szCs w:val="18"/>
                <w:lang w:eastAsia="en-AU"/>
              </w:rPr>
              <w:t xml:space="preserve"> to CPT have decreased significantly since the 2015 assessment from around 700 kt to around 400 kt. The estimated waste received reported by industry also fell from around 1</w:t>
            </w:r>
            <w:r w:rsidR="002D250F">
              <w:rPr>
                <w:rFonts w:asciiTheme="minorHAnsi" w:eastAsia="Times New Roman" w:hAnsiTheme="minorHAnsi" w:cstheme="minorHAnsi"/>
                <w:color w:val="000000"/>
                <w:sz w:val="18"/>
                <w:szCs w:val="18"/>
                <w:lang w:eastAsia="en-AU"/>
              </w:rPr>
              <w:t>,</w:t>
            </w:r>
            <w:r w:rsidRPr="00100F0A">
              <w:rPr>
                <w:rFonts w:asciiTheme="minorHAnsi" w:eastAsia="Times New Roman" w:hAnsiTheme="minorHAnsi" w:cstheme="minorHAnsi"/>
                <w:color w:val="000000"/>
                <w:sz w:val="18"/>
                <w:szCs w:val="18"/>
                <w:lang w:eastAsia="en-AU"/>
              </w:rPr>
              <w:t>150 kt in 2015 to 8</w:t>
            </w:r>
            <w:r w:rsidR="00F5518A">
              <w:rPr>
                <w:rFonts w:asciiTheme="minorHAnsi" w:eastAsia="Times New Roman" w:hAnsiTheme="minorHAnsi" w:cstheme="minorHAnsi"/>
                <w:color w:val="000000"/>
                <w:sz w:val="18"/>
                <w:szCs w:val="18"/>
                <w:lang w:eastAsia="en-AU"/>
              </w:rPr>
              <w:t>6</w:t>
            </w:r>
            <w:r w:rsidRPr="00100F0A">
              <w:rPr>
                <w:rFonts w:asciiTheme="minorHAnsi" w:eastAsia="Times New Roman" w:hAnsiTheme="minorHAnsi" w:cstheme="minorHAnsi"/>
                <w:color w:val="000000"/>
                <w:sz w:val="18"/>
                <w:szCs w:val="18"/>
                <w:lang w:eastAsia="en-AU"/>
              </w:rPr>
              <w:t xml:space="preserve">0 kt. This is partly due to the closure of around 10 CPT facilities and also reflects the declining tonnages from some industrial waste generators. This was reported as a serious concern for the waste industry in the 2015 assessment.  </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The infrastructure need vs capacity assessment for CPT has moderate uncertainty due mainly to the overlapping capacity with other infrastructure groups, such as solvents/paints recycling and transfer station or temporary storage, resulting in a likely over</w:t>
            </w:r>
            <w:r w:rsidR="002D250F">
              <w:rPr>
                <w:rFonts w:asciiTheme="minorHAnsi" w:eastAsia="Times New Roman" w:hAnsiTheme="minorHAnsi" w:cstheme="minorHAnsi"/>
                <w:color w:val="000000"/>
                <w:sz w:val="18"/>
                <w:szCs w:val="18"/>
                <w:lang w:eastAsia="en-AU"/>
              </w:rPr>
              <w:t>-</w:t>
            </w:r>
            <w:r w:rsidRPr="00100F0A">
              <w:rPr>
                <w:rFonts w:asciiTheme="minorHAnsi" w:eastAsia="Times New Roman" w:hAnsiTheme="minorHAnsi" w:cstheme="minorHAnsi"/>
                <w:color w:val="000000"/>
                <w:sz w:val="18"/>
                <w:szCs w:val="18"/>
                <w:lang w:eastAsia="en-AU"/>
              </w:rPr>
              <w:t xml:space="preserve">estimate of capacity. Offsetting this is uncertainty about the amount of CSG industry waste that will actually leave the development site and be sent to CPT facilities. </w:t>
            </w:r>
          </w:p>
        </w:tc>
      </w:tr>
      <w:tr w:rsidR="00961B22" w:rsidRPr="00100F0A" w14:paraId="5343AEBC" w14:textId="77777777" w:rsidTr="004B656C">
        <w:trPr>
          <w:trHeight w:val="2295"/>
        </w:trPr>
        <w:tc>
          <w:tcPr>
            <w:tcW w:w="195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6CD7042" w14:textId="77777777" w:rsidR="00961B22" w:rsidRPr="00100F0A" w:rsidRDefault="00961B22" w:rsidP="00696683">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 xml:space="preserve">Clinical waste treatment facility </w:t>
            </w:r>
          </w:p>
        </w:tc>
        <w:tc>
          <w:tcPr>
            <w:tcW w:w="78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2588711"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23</w:t>
            </w:r>
          </w:p>
        </w:tc>
        <w:tc>
          <w:tcPr>
            <w:tcW w:w="8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9427103"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25</w:t>
            </w:r>
          </w:p>
        </w:tc>
        <w:tc>
          <w:tcPr>
            <w:tcW w:w="8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4F6781F"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0</w:t>
            </w:r>
          </w:p>
        </w:tc>
        <w:tc>
          <w:tcPr>
            <w:tcW w:w="130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E6B3D03"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High</w:t>
            </w:r>
          </w:p>
        </w:tc>
        <w:tc>
          <w:tcPr>
            <w:tcW w:w="939"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531090AD" w14:textId="199F43E0"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202</w:t>
            </w:r>
            <w:r w:rsidR="00AE49A9">
              <w:rPr>
                <w:rFonts w:asciiTheme="minorHAnsi" w:eastAsia="Times New Roman" w:hAnsiTheme="minorHAnsi" w:cstheme="minorHAnsi"/>
                <w:color w:val="000000"/>
                <w:sz w:val="18"/>
                <w:szCs w:val="18"/>
                <w:lang w:eastAsia="en-AU"/>
              </w:rPr>
              <w:t>6</w:t>
            </w:r>
          </w:p>
        </w:tc>
        <w:tc>
          <w:tcPr>
            <w:tcW w:w="847"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3D8B2EF7" w14:textId="0DFBB21C"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202</w:t>
            </w:r>
            <w:r w:rsidR="00AE49A9">
              <w:rPr>
                <w:rFonts w:asciiTheme="minorHAnsi" w:eastAsia="Times New Roman" w:hAnsiTheme="minorHAnsi" w:cstheme="minorHAnsi"/>
                <w:color w:val="000000"/>
                <w:sz w:val="18"/>
                <w:szCs w:val="18"/>
                <w:lang w:eastAsia="en-AU"/>
              </w:rPr>
              <w:t>3</w:t>
            </w:r>
          </w:p>
        </w:tc>
        <w:tc>
          <w:tcPr>
            <w:tcW w:w="938" w:type="dxa"/>
            <w:gridSpan w:val="3"/>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1F9585B6"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&gt;2037</w:t>
            </w:r>
          </w:p>
        </w:tc>
        <w:tc>
          <w:tcPr>
            <w:tcW w:w="6444" w:type="dxa"/>
            <w:tcBorders>
              <w:top w:val="single" w:sz="4" w:space="0" w:color="BFBFBF"/>
              <w:left w:val="single" w:sz="4" w:space="0" w:color="BFBFBF"/>
              <w:bottom w:val="single" w:sz="4" w:space="0" w:color="BFBFBF"/>
              <w:right w:val="single" w:sz="4" w:space="0" w:color="BFBFBF"/>
            </w:tcBorders>
            <w:shd w:val="clear" w:color="000000" w:fill="FFFFFF"/>
            <w:vAlign w:val="center"/>
            <w:hideMark/>
          </w:tcPr>
          <w:p w14:paraId="463751A3" w14:textId="31BAF3E0" w:rsidR="00961B22" w:rsidRPr="00100F0A" w:rsidRDefault="00961B22" w:rsidP="0097520F">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 xml:space="preserve">Based on the best estimate, current </w:t>
            </w:r>
            <w:r w:rsidR="00C34F48">
              <w:rPr>
                <w:rFonts w:asciiTheme="minorHAnsi" w:eastAsia="Times New Roman" w:hAnsiTheme="minorHAnsi" w:cstheme="minorHAnsi"/>
                <w:color w:val="000000"/>
                <w:sz w:val="18"/>
                <w:szCs w:val="18"/>
                <w:lang w:eastAsia="en-AU"/>
              </w:rPr>
              <w:t>20-year average</w:t>
            </w:r>
            <w:r w:rsidRPr="00100F0A">
              <w:rPr>
                <w:rFonts w:asciiTheme="minorHAnsi" w:eastAsia="Times New Roman" w:hAnsiTheme="minorHAnsi" w:cstheme="minorHAnsi"/>
                <w:color w:val="000000"/>
                <w:sz w:val="18"/>
                <w:szCs w:val="18"/>
                <w:lang w:eastAsia="en-AU"/>
              </w:rPr>
              <w:t xml:space="preserve"> annual population growth (1.4% pa) and the installed capacity of clinical waste treatment – capacity could be exceeded by 202</w:t>
            </w:r>
            <w:r w:rsidR="00664C91">
              <w:rPr>
                <w:rFonts w:asciiTheme="minorHAnsi" w:eastAsia="Times New Roman" w:hAnsiTheme="minorHAnsi" w:cstheme="minorHAnsi"/>
                <w:color w:val="000000"/>
                <w:sz w:val="18"/>
                <w:szCs w:val="18"/>
                <w:lang w:eastAsia="en-AU"/>
              </w:rPr>
              <w:t>6</w:t>
            </w:r>
            <w:r w:rsidRPr="00100F0A">
              <w:rPr>
                <w:rFonts w:asciiTheme="minorHAnsi" w:eastAsia="Times New Roman" w:hAnsiTheme="minorHAnsi" w:cstheme="minorHAnsi"/>
                <w:color w:val="000000"/>
                <w:sz w:val="18"/>
                <w:szCs w:val="18"/>
                <w:lang w:eastAsia="en-AU"/>
              </w:rPr>
              <w:t>. Based on the high projection Thornton 2014 growth rate (2.0 - 2.1%), national capacity could be exceeded in 202</w:t>
            </w:r>
            <w:r w:rsidR="00664C91">
              <w:rPr>
                <w:rFonts w:asciiTheme="minorHAnsi" w:eastAsia="Times New Roman" w:hAnsiTheme="minorHAnsi" w:cstheme="minorHAnsi"/>
                <w:color w:val="000000"/>
                <w:sz w:val="18"/>
                <w:szCs w:val="18"/>
                <w:lang w:eastAsia="en-AU"/>
              </w:rPr>
              <w:t>3</w:t>
            </w:r>
            <w:r w:rsidRPr="00100F0A">
              <w:rPr>
                <w:rFonts w:asciiTheme="minorHAnsi" w:eastAsia="Times New Roman" w:hAnsiTheme="minorHAnsi" w:cstheme="minorHAnsi"/>
                <w:color w:val="000000"/>
                <w:sz w:val="18"/>
                <w:szCs w:val="18"/>
                <w:lang w:eastAsia="en-AU"/>
              </w:rPr>
              <w:t>. Under the low scenario where the waste arisings trend is fla</w:t>
            </w:r>
            <w:r w:rsidR="002D250F">
              <w:rPr>
                <w:rFonts w:asciiTheme="minorHAnsi" w:eastAsia="Times New Roman" w:hAnsiTheme="minorHAnsi" w:cstheme="minorHAnsi"/>
                <w:color w:val="000000"/>
                <w:sz w:val="18"/>
                <w:szCs w:val="18"/>
                <w:lang w:eastAsia="en-AU"/>
              </w:rPr>
              <w:t>t</w:t>
            </w:r>
            <w:r w:rsidRPr="00100F0A">
              <w:rPr>
                <w:rFonts w:asciiTheme="minorHAnsi" w:eastAsia="Times New Roman" w:hAnsiTheme="minorHAnsi" w:cstheme="minorHAnsi"/>
                <w:color w:val="000000"/>
                <w:sz w:val="18"/>
                <w:szCs w:val="18"/>
                <w:lang w:eastAsia="en-AU"/>
              </w:rPr>
              <w:t xml:space="preserve">, capacity is projected to meet demand over the next 20 years. </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The infrastructure needs vs capacity assessment for this group has high uncertainty due to a poor response rate from industry. Despite this uncertainty, the assessment does indicate that Australia's clinical waste treatment capacity is soon to become constrained and investment in additional infrastructure may be required.</w:t>
            </w:r>
          </w:p>
        </w:tc>
      </w:tr>
      <w:tr w:rsidR="00961B22" w:rsidRPr="00100F0A" w14:paraId="48847699" w14:textId="77777777" w:rsidTr="004B656C">
        <w:trPr>
          <w:trHeight w:val="2805"/>
        </w:trPr>
        <w:tc>
          <w:tcPr>
            <w:tcW w:w="195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69337F0" w14:textId="77777777" w:rsidR="00961B22" w:rsidRPr="00100F0A" w:rsidRDefault="00961B22" w:rsidP="00696683">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Bioremediation facility</w:t>
            </w:r>
          </w:p>
        </w:tc>
        <w:tc>
          <w:tcPr>
            <w:tcW w:w="78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D5E3A1"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192</w:t>
            </w:r>
          </w:p>
        </w:tc>
        <w:tc>
          <w:tcPr>
            <w:tcW w:w="8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08A717B"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0</w:t>
            </w:r>
          </w:p>
        </w:tc>
        <w:tc>
          <w:tcPr>
            <w:tcW w:w="8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A3034ED"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0</w:t>
            </w:r>
          </w:p>
        </w:tc>
        <w:tc>
          <w:tcPr>
            <w:tcW w:w="130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66B5F9D"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Very high</w:t>
            </w:r>
          </w:p>
        </w:tc>
        <w:tc>
          <w:tcPr>
            <w:tcW w:w="939"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603FBE1C" w14:textId="77777777" w:rsidR="00961B22" w:rsidRPr="00100F0A" w:rsidRDefault="00961B22" w:rsidP="0097520F">
            <w:pPr>
              <w:widowControl w:val="0"/>
              <w:jc w:val="center"/>
              <w:rPr>
                <w:rFonts w:asciiTheme="minorHAnsi" w:eastAsia="Times New Roman" w:hAnsiTheme="minorHAnsi" w:cstheme="minorHAnsi"/>
                <w:color w:val="808080"/>
                <w:sz w:val="18"/>
                <w:szCs w:val="18"/>
                <w:lang w:eastAsia="en-AU"/>
              </w:rPr>
            </w:pPr>
            <w:r w:rsidRPr="00100F0A">
              <w:rPr>
                <w:rFonts w:asciiTheme="minorHAnsi" w:eastAsia="Times New Roman" w:hAnsiTheme="minorHAnsi" w:cstheme="minorHAnsi"/>
                <w:color w:val="808080"/>
                <w:sz w:val="18"/>
                <w:szCs w:val="18"/>
                <w:lang w:eastAsia="en-AU"/>
              </w:rPr>
              <w:t>no inf.</w:t>
            </w:r>
          </w:p>
        </w:tc>
        <w:tc>
          <w:tcPr>
            <w:tcW w:w="847"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086D1B3B" w14:textId="77777777" w:rsidR="00961B22" w:rsidRPr="00100F0A" w:rsidRDefault="00961B22" w:rsidP="0097520F">
            <w:pPr>
              <w:widowControl w:val="0"/>
              <w:jc w:val="center"/>
              <w:rPr>
                <w:rFonts w:asciiTheme="minorHAnsi" w:eastAsia="Times New Roman" w:hAnsiTheme="minorHAnsi" w:cstheme="minorHAnsi"/>
                <w:color w:val="808080"/>
                <w:sz w:val="18"/>
                <w:szCs w:val="18"/>
                <w:lang w:eastAsia="en-AU"/>
              </w:rPr>
            </w:pPr>
            <w:r w:rsidRPr="00100F0A">
              <w:rPr>
                <w:rFonts w:asciiTheme="minorHAnsi" w:eastAsia="Times New Roman" w:hAnsiTheme="minorHAnsi" w:cstheme="minorHAnsi"/>
                <w:color w:val="808080"/>
                <w:sz w:val="18"/>
                <w:szCs w:val="18"/>
                <w:lang w:eastAsia="en-AU"/>
              </w:rPr>
              <w:t>no inf.</w:t>
            </w:r>
          </w:p>
        </w:tc>
        <w:tc>
          <w:tcPr>
            <w:tcW w:w="938" w:type="dxa"/>
            <w:gridSpan w:val="3"/>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5CBA5EDA" w14:textId="77777777" w:rsidR="00961B22" w:rsidRPr="00100F0A" w:rsidRDefault="00961B22" w:rsidP="0097520F">
            <w:pPr>
              <w:widowControl w:val="0"/>
              <w:jc w:val="center"/>
              <w:rPr>
                <w:rFonts w:asciiTheme="minorHAnsi" w:eastAsia="Times New Roman" w:hAnsiTheme="minorHAnsi" w:cstheme="minorHAnsi"/>
                <w:color w:val="808080"/>
                <w:sz w:val="18"/>
                <w:szCs w:val="18"/>
                <w:lang w:eastAsia="en-AU"/>
              </w:rPr>
            </w:pPr>
            <w:r w:rsidRPr="00100F0A">
              <w:rPr>
                <w:rFonts w:asciiTheme="minorHAnsi" w:eastAsia="Times New Roman" w:hAnsiTheme="minorHAnsi" w:cstheme="minorHAnsi"/>
                <w:color w:val="808080"/>
                <w:sz w:val="18"/>
                <w:szCs w:val="18"/>
                <w:lang w:eastAsia="en-AU"/>
              </w:rPr>
              <w:t>no inf.</w:t>
            </w:r>
          </w:p>
        </w:tc>
        <w:tc>
          <w:tcPr>
            <w:tcW w:w="6444" w:type="dxa"/>
            <w:tcBorders>
              <w:top w:val="single" w:sz="4" w:space="0" w:color="BFBFBF"/>
              <w:left w:val="single" w:sz="4" w:space="0" w:color="BFBFBF"/>
              <w:bottom w:val="single" w:sz="4" w:space="0" w:color="BFBFBF"/>
              <w:right w:val="single" w:sz="4" w:space="0" w:color="BFBFBF"/>
            </w:tcBorders>
            <w:shd w:val="clear" w:color="000000" w:fill="FFFFFF"/>
            <w:vAlign w:val="center"/>
            <w:hideMark/>
          </w:tcPr>
          <w:p w14:paraId="74D5C8C7" w14:textId="45000608" w:rsidR="00961B22" w:rsidRPr="00100F0A" w:rsidRDefault="00961B22" w:rsidP="0097520F">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 xml:space="preserve">This is a new infrastructure group for the 2018 assessment. Capacity data coverage limitation: composting facilities are excluded from the database. This group is intended to refer to facilities that treat hazardous waste though biodegradation that are not generating compost for sale. However, many commercial composting facilities are licenced to receive low level hazardous waste which </w:t>
            </w:r>
            <w:r w:rsidR="002D250F">
              <w:rPr>
                <w:rFonts w:asciiTheme="minorHAnsi" w:eastAsia="Times New Roman" w:hAnsiTheme="minorHAnsi" w:cstheme="minorHAnsi"/>
                <w:color w:val="000000"/>
                <w:sz w:val="18"/>
                <w:szCs w:val="18"/>
                <w:lang w:eastAsia="en-AU"/>
              </w:rPr>
              <w:t>is</w:t>
            </w:r>
            <w:r w:rsidRPr="00100F0A">
              <w:rPr>
                <w:rFonts w:asciiTheme="minorHAnsi" w:eastAsia="Times New Roman" w:hAnsiTheme="minorHAnsi" w:cstheme="minorHAnsi"/>
                <w:color w:val="000000"/>
                <w:sz w:val="18"/>
                <w:szCs w:val="18"/>
                <w:lang w:eastAsia="en-AU"/>
              </w:rPr>
              <w:t xml:space="preserve"> effectively bioremediated in the composting process and these facilities are not within the project scope. </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Some 200 kt of hazardous waste</w:t>
            </w:r>
            <w:r w:rsidR="002D250F">
              <w:rPr>
                <w:rFonts w:asciiTheme="minorHAnsi" w:eastAsia="Times New Roman" w:hAnsiTheme="minorHAnsi" w:cstheme="minorHAnsi"/>
                <w:color w:val="000000"/>
                <w:sz w:val="18"/>
                <w:szCs w:val="18"/>
                <w:lang w:eastAsia="en-AU"/>
              </w:rPr>
              <w:t xml:space="preserve"> wa</w:t>
            </w:r>
            <w:r w:rsidRPr="00100F0A">
              <w:rPr>
                <w:rFonts w:asciiTheme="minorHAnsi" w:eastAsia="Times New Roman" w:hAnsiTheme="minorHAnsi" w:cstheme="minorHAnsi"/>
                <w:color w:val="000000"/>
                <w:sz w:val="18"/>
                <w:szCs w:val="18"/>
                <w:lang w:eastAsia="en-AU"/>
              </w:rPr>
              <w:t>s reported in tracking data as bioremediated. Most, if not all, of this material would be processed by commercial composting facilities licenced to take a range of low hazard organics waste such as grease trap. These composting facilities are not included in this database. Whilst it is worth maintaining transparency on the amount of hazardous waste being reported as bioremediated by the composting industry, it is beyond the project scope to assess the capacity of bioremediation capacity in Australia.</w:t>
            </w:r>
          </w:p>
        </w:tc>
      </w:tr>
      <w:tr w:rsidR="00961B22" w:rsidRPr="00100F0A" w14:paraId="0D15D996" w14:textId="77777777" w:rsidTr="004B656C">
        <w:trPr>
          <w:trHeight w:val="3060"/>
        </w:trPr>
        <w:tc>
          <w:tcPr>
            <w:tcW w:w="195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CC6B29C" w14:textId="2E10A315" w:rsidR="00961B22" w:rsidRPr="00100F0A" w:rsidRDefault="006B62DA" w:rsidP="00696683">
            <w:pPr>
              <w:widowControl w:val="0"/>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Oily water treatment (OWT)</w:t>
            </w:r>
            <w:r w:rsidR="00961B22" w:rsidRPr="00100F0A">
              <w:rPr>
                <w:rFonts w:asciiTheme="minorHAnsi" w:eastAsia="Times New Roman" w:hAnsiTheme="minorHAnsi" w:cstheme="minorHAnsi"/>
                <w:color w:val="000000"/>
                <w:sz w:val="18"/>
                <w:szCs w:val="18"/>
                <w:lang w:eastAsia="en-AU"/>
              </w:rPr>
              <w:t xml:space="preserve"> facility</w:t>
            </w:r>
          </w:p>
        </w:tc>
        <w:tc>
          <w:tcPr>
            <w:tcW w:w="78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DBEDB26"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187</w:t>
            </w:r>
          </w:p>
        </w:tc>
        <w:tc>
          <w:tcPr>
            <w:tcW w:w="8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DE9F76D"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199</w:t>
            </w:r>
          </w:p>
        </w:tc>
        <w:tc>
          <w:tcPr>
            <w:tcW w:w="8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3C5FA66"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0</w:t>
            </w:r>
          </w:p>
        </w:tc>
        <w:tc>
          <w:tcPr>
            <w:tcW w:w="130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D23E0D1"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Very high</w:t>
            </w:r>
          </w:p>
        </w:tc>
        <w:tc>
          <w:tcPr>
            <w:tcW w:w="939"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04746987"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2025</w:t>
            </w:r>
          </w:p>
        </w:tc>
        <w:tc>
          <w:tcPr>
            <w:tcW w:w="847"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01010AFB"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2019</w:t>
            </w:r>
          </w:p>
        </w:tc>
        <w:tc>
          <w:tcPr>
            <w:tcW w:w="938" w:type="dxa"/>
            <w:gridSpan w:val="3"/>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200EF5BC"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&gt;2037</w:t>
            </w:r>
          </w:p>
        </w:tc>
        <w:tc>
          <w:tcPr>
            <w:tcW w:w="6444" w:type="dxa"/>
            <w:tcBorders>
              <w:top w:val="single" w:sz="4" w:space="0" w:color="BFBFBF"/>
              <w:left w:val="single" w:sz="4" w:space="0" w:color="BFBFBF"/>
              <w:bottom w:val="single" w:sz="4" w:space="0" w:color="BFBFBF"/>
              <w:right w:val="single" w:sz="4" w:space="0" w:color="BFBFBF"/>
            </w:tcBorders>
            <w:shd w:val="clear" w:color="000000" w:fill="FFFFFF"/>
            <w:vAlign w:val="center"/>
            <w:hideMark/>
          </w:tcPr>
          <w:p w14:paraId="78F5E9C3" w14:textId="4E9C7C88" w:rsidR="00961B22" w:rsidRPr="00100F0A" w:rsidRDefault="00961B22" w:rsidP="0097520F">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This is a new infrastructure group for the 2018 assessment. Under the best estimate projection</w:t>
            </w:r>
            <w:r w:rsidR="002D250F">
              <w:rPr>
                <w:rFonts w:asciiTheme="minorHAnsi" w:eastAsia="Times New Roman" w:hAnsiTheme="minorHAnsi" w:cstheme="minorHAnsi"/>
                <w:color w:val="000000"/>
                <w:sz w:val="18"/>
                <w:szCs w:val="18"/>
                <w:lang w:eastAsia="en-AU"/>
              </w:rPr>
              <w:t>,</w:t>
            </w:r>
            <w:r w:rsidRPr="00100F0A">
              <w:rPr>
                <w:rFonts w:asciiTheme="minorHAnsi" w:eastAsia="Times New Roman" w:hAnsiTheme="minorHAnsi" w:cstheme="minorHAnsi"/>
                <w:color w:val="000000"/>
                <w:sz w:val="18"/>
                <w:szCs w:val="18"/>
                <w:lang w:eastAsia="en-AU"/>
              </w:rPr>
              <w:t xml:space="preserve"> capacity would be exceeded in 2025, or as soon as 2019 under the high scenario estimate. Under the low projection, estimated capacity is not expected to be exceeded over the </w:t>
            </w:r>
            <w:r w:rsidR="00C34F48" w:rsidRPr="00100F0A">
              <w:rPr>
                <w:rFonts w:asciiTheme="minorHAnsi" w:eastAsia="Times New Roman" w:hAnsiTheme="minorHAnsi" w:cstheme="minorHAnsi"/>
                <w:color w:val="000000"/>
                <w:sz w:val="18"/>
                <w:szCs w:val="18"/>
                <w:lang w:eastAsia="en-AU"/>
              </w:rPr>
              <w:t>20</w:t>
            </w:r>
            <w:r w:rsidR="00C34F48">
              <w:rPr>
                <w:rFonts w:asciiTheme="minorHAnsi" w:eastAsia="Times New Roman" w:hAnsiTheme="minorHAnsi" w:cstheme="minorHAnsi"/>
                <w:color w:val="000000"/>
                <w:sz w:val="18"/>
                <w:szCs w:val="18"/>
                <w:lang w:eastAsia="en-AU"/>
              </w:rPr>
              <w:t>-year</w:t>
            </w:r>
            <w:r w:rsidRPr="00100F0A">
              <w:rPr>
                <w:rFonts w:asciiTheme="minorHAnsi" w:eastAsia="Times New Roman" w:hAnsiTheme="minorHAnsi" w:cstheme="minorHAnsi"/>
                <w:color w:val="000000"/>
                <w:sz w:val="18"/>
                <w:szCs w:val="18"/>
                <w:lang w:eastAsia="en-AU"/>
              </w:rPr>
              <w:t xml:space="preserve"> projection period.  The reported 2016-17 arisings of 187 kt are more than the estimated receipts of around 150 kt which may be due do to a lack of response from industry and the need to use averages for around a third of sites or it could be due to the database not including all sites from this diffuse infrastructure group.</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The uncertainty of the needs vs capacity assessment is very high due</w:t>
            </w:r>
            <w:r w:rsidR="002D250F">
              <w:rPr>
                <w:rFonts w:asciiTheme="minorHAnsi" w:eastAsia="Times New Roman" w:hAnsiTheme="minorHAnsi" w:cstheme="minorHAnsi"/>
                <w:color w:val="000000"/>
                <w:sz w:val="18"/>
                <w:szCs w:val="18"/>
                <w:lang w:eastAsia="en-AU"/>
              </w:rPr>
              <w:t xml:space="preserve"> to</w:t>
            </w:r>
            <w:r w:rsidRPr="00100F0A">
              <w:rPr>
                <w:rFonts w:asciiTheme="minorHAnsi" w:eastAsia="Times New Roman" w:hAnsiTheme="minorHAnsi" w:cstheme="minorHAnsi"/>
                <w:color w:val="000000"/>
                <w:sz w:val="18"/>
                <w:szCs w:val="18"/>
                <w:lang w:eastAsia="en-AU"/>
              </w:rPr>
              <w:t xml:space="preserve"> the capacity assessment relying on average installed capacity for around a third of the sites and the high risk that small OWT plants are not included in the database. </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 xml:space="preserve">Noting the above, the assessment indicates that capacity for OWT could become constrained over the next </w:t>
            </w:r>
            <w:r w:rsidR="002D250F">
              <w:rPr>
                <w:rFonts w:asciiTheme="minorHAnsi" w:eastAsia="Times New Roman" w:hAnsiTheme="minorHAnsi" w:cstheme="minorHAnsi"/>
                <w:color w:val="000000"/>
                <w:sz w:val="18"/>
                <w:szCs w:val="18"/>
                <w:lang w:eastAsia="en-AU"/>
              </w:rPr>
              <w:t>10</w:t>
            </w:r>
            <w:r w:rsidRPr="00100F0A">
              <w:rPr>
                <w:rFonts w:asciiTheme="minorHAnsi" w:eastAsia="Times New Roman" w:hAnsiTheme="minorHAnsi" w:cstheme="minorHAnsi"/>
                <w:color w:val="000000"/>
                <w:sz w:val="18"/>
                <w:szCs w:val="18"/>
                <w:lang w:eastAsia="en-AU"/>
              </w:rPr>
              <w:t xml:space="preserve"> years and some additional capacity may be required. There will be particular regional needs, see jurisdiction sections below.</w:t>
            </w:r>
          </w:p>
        </w:tc>
      </w:tr>
      <w:tr w:rsidR="00961B22" w:rsidRPr="00100F0A" w14:paraId="2DD0D19C" w14:textId="77777777" w:rsidTr="004B656C">
        <w:trPr>
          <w:trHeight w:val="5865"/>
        </w:trPr>
        <w:tc>
          <w:tcPr>
            <w:tcW w:w="195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A491567" w14:textId="77777777" w:rsidR="00961B22" w:rsidRPr="00100F0A" w:rsidRDefault="00961B22" w:rsidP="00257EB5">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Soils treatment facility</w:t>
            </w:r>
          </w:p>
        </w:tc>
        <w:tc>
          <w:tcPr>
            <w:tcW w:w="78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0C6D5F5"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131</w:t>
            </w:r>
          </w:p>
        </w:tc>
        <w:tc>
          <w:tcPr>
            <w:tcW w:w="8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70ABAB2" w14:textId="4F4D1E44"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17</w:t>
            </w:r>
            <w:r w:rsidR="00664C91">
              <w:rPr>
                <w:rFonts w:asciiTheme="minorHAnsi" w:eastAsia="Times New Roman" w:hAnsiTheme="minorHAnsi" w:cstheme="minorHAnsi"/>
                <w:color w:val="000000"/>
                <w:sz w:val="18"/>
                <w:szCs w:val="18"/>
                <w:lang w:eastAsia="en-AU"/>
              </w:rPr>
              <w:t>8</w:t>
            </w:r>
          </w:p>
        </w:tc>
        <w:tc>
          <w:tcPr>
            <w:tcW w:w="8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1A91C54"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296</w:t>
            </w:r>
          </w:p>
        </w:tc>
        <w:tc>
          <w:tcPr>
            <w:tcW w:w="130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FB08367"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Moderate</w:t>
            </w:r>
          </w:p>
        </w:tc>
        <w:tc>
          <w:tcPr>
            <w:tcW w:w="939"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61ADEBCB"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&gt;2037</w:t>
            </w:r>
          </w:p>
        </w:tc>
        <w:tc>
          <w:tcPr>
            <w:tcW w:w="847"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683BC1CE"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2018</w:t>
            </w:r>
          </w:p>
        </w:tc>
        <w:tc>
          <w:tcPr>
            <w:tcW w:w="938" w:type="dxa"/>
            <w:gridSpan w:val="3"/>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5786EDBA"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&gt;2037</w:t>
            </w:r>
          </w:p>
        </w:tc>
        <w:tc>
          <w:tcPr>
            <w:tcW w:w="6444" w:type="dxa"/>
            <w:tcBorders>
              <w:top w:val="single" w:sz="4" w:space="0" w:color="BFBFBF"/>
              <w:left w:val="single" w:sz="4" w:space="0" w:color="BFBFBF"/>
              <w:bottom w:val="single" w:sz="4" w:space="0" w:color="BFBFBF"/>
              <w:right w:val="single" w:sz="4" w:space="0" w:color="BFBFBF"/>
            </w:tcBorders>
            <w:shd w:val="clear" w:color="000000" w:fill="FFFFFF"/>
            <w:vAlign w:val="center"/>
            <w:hideMark/>
          </w:tcPr>
          <w:p w14:paraId="6461CB00" w14:textId="77777777" w:rsidR="004B656C" w:rsidRDefault="00961B22" w:rsidP="00470152">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 xml:space="preserve">Under the best estimate projection arisings would not </w:t>
            </w:r>
            <w:r w:rsidR="00B90E8F" w:rsidRPr="00100F0A">
              <w:rPr>
                <w:rFonts w:asciiTheme="minorHAnsi" w:eastAsia="Times New Roman" w:hAnsiTheme="minorHAnsi" w:cstheme="minorHAnsi"/>
                <w:color w:val="000000"/>
                <w:sz w:val="18"/>
                <w:szCs w:val="18"/>
                <w:lang w:eastAsia="en-AU"/>
              </w:rPr>
              <w:t>exceed</w:t>
            </w:r>
            <w:r w:rsidRPr="00100F0A">
              <w:rPr>
                <w:rFonts w:asciiTheme="minorHAnsi" w:eastAsia="Times New Roman" w:hAnsiTheme="minorHAnsi" w:cstheme="minorHAnsi"/>
                <w:color w:val="000000"/>
                <w:sz w:val="18"/>
                <w:szCs w:val="18"/>
                <w:lang w:eastAsia="en-AU"/>
              </w:rPr>
              <w:t xml:space="preserve"> installed capacity over the next 20 years and would currently exceed capacity under the high scenario. Under the low scenario capacity would not be exceeded over the projection period. </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 xml:space="preserve">Significant additional soil treatment capacity is under construction/commissioning in </w:t>
            </w:r>
            <w:r w:rsidR="00FC25F6">
              <w:rPr>
                <w:rFonts w:asciiTheme="minorHAnsi" w:eastAsia="Times New Roman" w:hAnsiTheme="minorHAnsi" w:cstheme="minorHAnsi"/>
                <w:color w:val="000000"/>
                <w:sz w:val="18"/>
                <w:szCs w:val="18"/>
                <w:lang w:eastAsia="en-AU"/>
              </w:rPr>
              <w:t>Vic</w:t>
            </w:r>
            <w:r w:rsidRPr="00100F0A">
              <w:rPr>
                <w:rFonts w:asciiTheme="minorHAnsi" w:eastAsia="Times New Roman" w:hAnsiTheme="minorHAnsi" w:cstheme="minorHAnsi"/>
                <w:color w:val="000000"/>
                <w:sz w:val="18"/>
                <w:szCs w:val="18"/>
                <w:lang w:eastAsia="en-AU"/>
              </w:rPr>
              <w:t xml:space="preserve"> that will add around 300 kt of additional installed capacity which will provide sufficient capacity for the long term for </w:t>
            </w:r>
            <w:r w:rsidR="00FC25F6">
              <w:rPr>
                <w:rFonts w:asciiTheme="minorHAnsi" w:eastAsia="Times New Roman" w:hAnsiTheme="minorHAnsi" w:cstheme="minorHAnsi"/>
                <w:color w:val="000000"/>
                <w:sz w:val="18"/>
                <w:szCs w:val="18"/>
                <w:lang w:eastAsia="en-AU"/>
              </w:rPr>
              <w:t>Vic</w:t>
            </w:r>
            <w:r w:rsidRPr="00100F0A">
              <w:rPr>
                <w:rFonts w:asciiTheme="minorHAnsi" w:eastAsia="Times New Roman" w:hAnsiTheme="minorHAnsi" w:cstheme="minorHAnsi"/>
                <w:color w:val="000000"/>
                <w:sz w:val="18"/>
                <w:szCs w:val="18"/>
                <w:lang w:eastAsia="en-AU"/>
              </w:rPr>
              <w:t xml:space="preserve">. The significant </w:t>
            </w:r>
            <w:r w:rsidR="00FC25F6">
              <w:rPr>
                <w:rFonts w:asciiTheme="minorHAnsi" w:eastAsia="Times New Roman" w:hAnsiTheme="minorHAnsi" w:cstheme="minorHAnsi"/>
                <w:color w:val="000000"/>
                <w:sz w:val="18"/>
                <w:szCs w:val="18"/>
                <w:lang w:eastAsia="en-AU"/>
              </w:rPr>
              <w:t>Vic</w:t>
            </w:r>
            <w:r w:rsidRPr="00100F0A">
              <w:rPr>
                <w:rFonts w:asciiTheme="minorHAnsi" w:eastAsia="Times New Roman" w:hAnsiTheme="minorHAnsi" w:cstheme="minorHAnsi"/>
                <w:color w:val="000000"/>
                <w:sz w:val="18"/>
                <w:szCs w:val="18"/>
                <w:lang w:eastAsia="en-AU"/>
              </w:rPr>
              <w:t xml:space="preserve"> treatment capacity may also </w:t>
            </w:r>
            <w:r w:rsidR="00B90E8F" w:rsidRPr="00100F0A">
              <w:rPr>
                <w:rFonts w:asciiTheme="minorHAnsi" w:eastAsia="Times New Roman" w:hAnsiTheme="minorHAnsi" w:cstheme="minorHAnsi"/>
                <w:color w:val="000000"/>
                <w:sz w:val="18"/>
                <w:szCs w:val="18"/>
                <w:lang w:eastAsia="en-AU"/>
              </w:rPr>
              <w:t>be</w:t>
            </w:r>
            <w:r w:rsidRPr="00100F0A">
              <w:rPr>
                <w:rFonts w:asciiTheme="minorHAnsi" w:eastAsia="Times New Roman" w:hAnsiTheme="minorHAnsi" w:cstheme="minorHAnsi"/>
                <w:color w:val="000000"/>
                <w:sz w:val="18"/>
                <w:szCs w:val="18"/>
                <w:lang w:eastAsia="en-AU"/>
              </w:rPr>
              <w:t xml:space="preserve"> used to treat soils from interstate, with appropriate approvals in place. </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Industry reported receiving arisings of just 9</w:t>
            </w:r>
            <w:r w:rsidR="00B905E8">
              <w:rPr>
                <w:rFonts w:asciiTheme="minorHAnsi" w:eastAsia="Times New Roman" w:hAnsiTheme="minorHAnsi" w:cstheme="minorHAnsi"/>
                <w:color w:val="000000"/>
                <w:sz w:val="18"/>
                <w:szCs w:val="18"/>
                <w:lang w:eastAsia="en-AU"/>
              </w:rPr>
              <w:t>7</w:t>
            </w:r>
            <w:r w:rsidRPr="00100F0A">
              <w:rPr>
                <w:rFonts w:asciiTheme="minorHAnsi" w:eastAsia="Times New Roman" w:hAnsiTheme="minorHAnsi" w:cstheme="minorHAnsi"/>
                <w:color w:val="000000"/>
                <w:sz w:val="18"/>
                <w:szCs w:val="18"/>
                <w:lang w:eastAsia="en-AU"/>
              </w:rPr>
              <w:t xml:space="preserve"> kt of contaminated soils.  The reported 2016-17 arisings of 131 kt are significantly more than this. This may be due to low level contaminated soil being received for treatment at composting facilities in some jurisdictions, which are beyond the scope of the capacity assessment, or small 'low tech' contaminated soils operations that have not been captured by the capacity assessment. </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 xml:space="preserve">The uncertainty of the needs vs capacity assessment is moderate due </w:t>
            </w:r>
            <w:r w:rsidR="00A46E66">
              <w:rPr>
                <w:rFonts w:asciiTheme="minorHAnsi" w:eastAsia="Times New Roman" w:hAnsiTheme="minorHAnsi" w:cstheme="minorHAnsi"/>
                <w:color w:val="000000"/>
                <w:sz w:val="18"/>
                <w:szCs w:val="18"/>
                <w:lang w:eastAsia="en-AU"/>
              </w:rPr>
              <w:t xml:space="preserve">to </w:t>
            </w:r>
            <w:r w:rsidR="00B90E8F" w:rsidRPr="00100F0A">
              <w:rPr>
                <w:rFonts w:asciiTheme="minorHAnsi" w:eastAsia="Times New Roman" w:hAnsiTheme="minorHAnsi" w:cstheme="minorHAnsi"/>
                <w:color w:val="000000"/>
                <w:sz w:val="18"/>
                <w:szCs w:val="18"/>
                <w:lang w:eastAsia="en-AU"/>
              </w:rPr>
              <w:t>the highly</w:t>
            </w:r>
            <w:r w:rsidRPr="00100F0A">
              <w:rPr>
                <w:rFonts w:asciiTheme="minorHAnsi" w:eastAsia="Times New Roman" w:hAnsiTheme="minorHAnsi" w:cstheme="minorHAnsi"/>
                <w:color w:val="000000"/>
                <w:sz w:val="18"/>
                <w:szCs w:val="18"/>
                <w:lang w:eastAsia="en-AU"/>
              </w:rPr>
              <w:t xml:space="preserve"> fluctuating generation rates of contaminated soils and the difficulty that contaminated soils facilities face in securing the contaminated soil for treatment. Industry report on</w:t>
            </w:r>
            <w:r w:rsidR="00A46E66">
              <w:rPr>
                <w:rFonts w:asciiTheme="minorHAnsi" w:eastAsia="Times New Roman" w:hAnsiTheme="minorHAnsi" w:cstheme="minorHAnsi"/>
                <w:color w:val="000000"/>
                <w:sz w:val="18"/>
                <w:szCs w:val="18"/>
                <w:lang w:eastAsia="en-AU"/>
              </w:rPr>
              <w:t>-</w:t>
            </w:r>
            <w:r w:rsidRPr="00100F0A">
              <w:rPr>
                <w:rFonts w:asciiTheme="minorHAnsi" w:eastAsia="Times New Roman" w:hAnsiTheme="minorHAnsi" w:cstheme="minorHAnsi"/>
                <w:color w:val="000000"/>
                <w:sz w:val="18"/>
                <w:szCs w:val="18"/>
                <w:lang w:eastAsia="en-AU"/>
              </w:rPr>
              <w:t xml:space="preserve">site management, contamination </w:t>
            </w:r>
            <w:r w:rsidR="00A46E66">
              <w:rPr>
                <w:rFonts w:asciiTheme="minorHAnsi" w:eastAsia="Times New Roman" w:hAnsiTheme="minorHAnsi" w:cstheme="minorHAnsi"/>
                <w:color w:val="000000"/>
                <w:sz w:val="18"/>
                <w:szCs w:val="18"/>
                <w:lang w:eastAsia="en-AU"/>
              </w:rPr>
              <w:t>dilution</w:t>
            </w:r>
            <w:r w:rsidRPr="00100F0A">
              <w:rPr>
                <w:rFonts w:asciiTheme="minorHAnsi" w:eastAsia="Times New Roman" w:hAnsiTheme="minorHAnsi" w:cstheme="minorHAnsi"/>
                <w:color w:val="000000"/>
                <w:sz w:val="18"/>
                <w:szCs w:val="18"/>
                <w:lang w:eastAsia="en-AU"/>
              </w:rPr>
              <w:t xml:space="preserve"> with clean soils and landfill disposal as serious threats to their investments, which reduces the certainty in infrastructure capacity investments. </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 xml:space="preserve">Noting the above, the assessment indicates that there may be a need for additional soil treatment capacity in Australia if contaminated soils generation rates are high, except for </w:t>
            </w:r>
            <w:r w:rsidR="00FC25F6">
              <w:rPr>
                <w:rFonts w:asciiTheme="minorHAnsi" w:eastAsia="Times New Roman" w:hAnsiTheme="minorHAnsi" w:cstheme="minorHAnsi"/>
                <w:color w:val="000000"/>
                <w:sz w:val="18"/>
                <w:szCs w:val="18"/>
                <w:lang w:eastAsia="en-AU"/>
              </w:rPr>
              <w:t>Vic</w:t>
            </w:r>
            <w:r w:rsidRPr="00100F0A">
              <w:rPr>
                <w:rFonts w:asciiTheme="minorHAnsi" w:eastAsia="Times New Roman" w:hAnsiTheme="minorHAnsi" w:cstheme="minorHAnsi"/>
                <w:color w:val="000000"/>
                <w:sz w:val="18"/>
                <w:szCs w:val="18"/>
                <w:lang w:eastAsia="en-AU"/>
              </w:rPr>
              <w:t xml:space="preserve"> which has significant capacity coming on</w:t>
            </w:r>
            <w:r w:rsidR="00A46E66">
              <w:rPr>
                <w:rFonts w:asciiTheme="minorHAnsi" w:eastAsia="Times New Roman" w:hAnsiTheme="minorHAnsi" w:cstheme="minorHAnsi"/>
                <w:color w:val="000000"/>
                <w:sz w:val="18"/>
                <w:szCs w:val="18"/>
                <w:lang w:eastAsia="en-AU"/>
              </w:rPr>
              <w:t>-</w:t>
            </w:r>
            <w:r w:rsidRPr="00100F0A">
              <w:rPr>
                <w:rFonts w:asciiTheme="minorHAnsi" w:eastAsia="Times New Roman" w:hAnsiTheme="minorHAnsi" w:cstheme="minorHAnsi"/>
                <w:color w:val="000000"/>
                <w:sz w:val="18"/>
                <w:szCs w:val="18"/>
                <w:lang w:eastAsia="en-AU"/>
              </w:rPr>
              <w:t xml:space="preserve">line. For neighbouring jurisdictions, sending soils to </w:t>
            </w:r>
            <w:r w:rsidR="00FC25F6">
              <w:rPr>
                <w:rFonts w:asciiTheme="minorHAnsi" w:eastAsia="Times New Roman" w:hAnsiTheme="minorHAnsi" w:cstheme="minorHAnsi"/>
                <w:color w:val="000000"/>
                <w:sz w:val="18"/>
                <w:szCs w:val="18"/>
                <w:lang w:eastAsia="en-AU"/>
              </w:rPr>
              <w:t>Vic</w:t>
            </w:r>
            <w:r w:rsidRPr="00100F0A">
              <w:rPr>
                <w:rFonts w:asciiTheme="minorHAnsi" w:eastAsia="Times New Roman" w:hAnsiTheme="minorHAnsi" w:cstheme="minorHAnsi"/>
                <w:color w:val="000000"/>
                <w:sz w:val="18"/>
                <w:szCs w:val="18"/>
                <w:lang w:eastAsia="en-AU"/>
              </w:rPr>
              <w:t xml:space="preserve"> for treatment may be an option in future. There may be other particular regional needs, see jurisdiction sections below.</w:t>
            </w:r>
          </w:p>
          <w:p w14:paraId="54416D66" w14:textId="77777777" w:rsidR="00470152" w:rsidRDefault="00470152" w:rsidP="00470152">
            <w:pPr>
              <w:widowControl w:val="0"/>
              <w:rPr>
                <w:rFonts w:asciiTheme="minorHAnsi" w:eastAsia="Times New Roman" w:hAnsiTheme="minorHAnsi" w:cstheme="minorHAnsi"/>
                <w:color w:val="000000"/>
                <w:sz w:val="18"/>
                <w:szCs w:val="18"/>
                <w:lang w:eastAsia="en-AU"/>
              </w:rPr>
            </w:pPr>
          </w:p>
          <w:p w14:paraId="6C1111EB" w14:textId="77777777" w:rsidR="00470152" w:rsidRDefault="00470152" w:rsidP="00470152">
            <w:pPr>
              <w:widowControl w:val="0"/>
              <w:rPr>
                <w:rFonts w:asciiTheme="minorHAnsi" w:eastAsia="Times New Roman" w:hAnsiTheme="minorHAnsi" w:cstheme="minorHAnsi"/>
                <w:color w:val="000000"/>
                <w:sz w:val="18"/>
                <w:szCs w:val="18"/>
                <w:lang w:eastAsia="en-AU"/>
              </w:rPr>
            </w:pPr>
          </w:p>
          <w:p w14:paraId="42A5111A" w14:textId="77777777" w:rsidR="00470152" w:rsidRDefault="00470152" w:rsidP="00470152">
            <w:pPr>
              <w:widowControl w:val="0"/>
              <w:rPr>
                <w:rFonts w:asciiTheme="minorHAnsi" w:eastAsia="Times New Roman" w:hAnsiTheme="minorHAnsi" w:cstheme="minorHAnsi"/>
                <w:color w:val="000000"/>
                <w:sz w:val="18"/>
                <w:szCs w:val="18"/>
                <w:lang w:eastAsia="en-AU"/>
              </w:rPr>
            </w:pPr>
          </w:p>
          <w:p w14:paraId="4CDF5BFE" w14:textId="77777777" w:rsidR="00470152" w:rsidRDefault="00470152" w:rsidP="00470152">
            <w:pPr>
              <w:widowControl w:val="0"/>
              <w:rPr>
                <w:rFonts w:asciiTheme="minorHAnsi" w:eastAsia="Times New Roman" w:hAnsiTheme="minorHAnsi" w:cstheme="minorHAnsi"/>
                <w:color w:val="000000"/>
                <w:sz w:val="18"/>
                <w:szCs w:val="18"/>
                <w:lang w:eastAsia="en-AU"/>
              </w:rPr>
            </w:pPr>
          </w:p>
          <w:p w14:paraId="32C83479" w14:textId="77777777" w:rsidR="00470152" w:rsidRDefault="00470152" w:rsidP="00470152">
            <w:pPr>
              <w:widowControl w:val="0"/>
              <w:rPr>
                <w:rFonts w:asciiTheme="minorHAnsi" w:eastAsia="Times New Roman" w:hAnsiTheme="minorHAnsi" w:cstheme="minorHAnsi"/>
                <w:color w:val="000000"/>
                <w:sz w:val="18"/>
                <w:szCs w:val="18"/>
                <w:lang w:eastAsia="en-AU"/>
              </w:rPr>
            </w:pPr>
          </w:p>
          <w:p w14:paraId="08ADC200" w14:textId="77777777" w:rsidR="00470152" w:rsidRDefault="00470152" w:rsidP="00470152">
            <w:pPr>
              <w:widowControl w:val="0"/>
              <w:rPr>
                <w:rFonts w:asciiTheme="minorHAnsi" w:eastAsia="Times New Roman" w:hAnsiTheme="minorHAnsi" w:cstheme="minorHAnsi"/>
                <w:color w:val="000000"/>
                <w:sz w:val="18"/>
                <w:szCs w:val="18"/>
                <w:lang w:eastAsia="en-AU"/>
              </w:rPr>
            </w:pPr>
          </w:p>
          <w:p w14:paraId="28099217" w14:textId="77777777" w:rsidR="00470152" w:rsidRDefault="00470152" w:rsidP="00470152">
            <w:pPr>
              <w:widowControl w:val="0"/>
              <w:rPr>
                <w:rFonts w:asciiTheme="minorHAnsi" w:eastAsia="Times New Roman" w:hAnsiTheme="minorHAnsi" w:cstheme="minorHAnsi"/>
                <w:color w:val="000000"/>
                <w:sz w:val="18"/>
                <w:szCs w:val="18"/>
                <w:lang w:eastAsia="en-AU"/>
              </w:rPr>
            </w:pPr>
          </w:p>
          <w:p w14:paraId="4531A067" w14:textId="77777777" w:rsidR="00470152" w:rsidRDefault="00470152" w:rsidP="00470152">
            <w:pPr>
              <w:widowControl w:val="0"/>
              <w:rPr>
                <w:rFonts w:asciiTheme="minorHAnsi" w:eastAsia="Times New Roman" w:hAnsiTheme="minorHAnsi" w:cstheme="minorHAnsi"/>
                <w:color w:val="000000"/>
                <w:sz w:val="18"/>
                <w:szCs w:val="18"/>
                <w:lang w:eastAsia="en-AU"/>
              </w:rPr>
            </w:pPr>
          </w:p>
          <w:p w14:paraId="6E5AD601" w14:textId="123638E7" w:rsidR="00470152" w:rsidRPr="00100F0A" w:rsidRDefault="00470152" w:rsidP="00A20188">
            <w:pPr>
              <w:widowControl w:val="0"/>
              <w:rPr>
                <w:rFonts w:asciiTheme="minorHAnsi" w:eastAsia="Times New Roman" w:hAnsiTheme="minorHAnsi" w:cstheme="minorHAnsi"/>
                <w:color w:val="000000"/>
                <w:sz w:val="18"/>
                <w:szCs w:val="18"/>
                <w:lang w:eastAsia="en-AU"/>
              </w:rPr>
            </w:pPr>
          </w:p>
        </w:tc>
      </w:tr>
      <w:tr w:rsidR="0097520F" w:rsidRPr="00100F0A" w14:paraId="2F98549C" w14:textId="77777777" w:rsidTr="004B656C">
        <w:trPr>
          <w:trHeight w:val="255"/>
        </w:trPr>
        <w:tc>
          <w:tcPr>
            <w:tcW w:w="14975" w:type="dxa"/>
            <w:gridSpan w:val="13"/>
            <w:tcBorders>
              <w:top w:val="single" w:sz="4" w:space="0" w:color="BFBFBF"/>
              <w:left w:val="single" w:sz="4" w:space="0" w:color="BFBFBF"/>
              <w:bottom w:val="single" w:sz="4" w:space="0" w:color="BFBFBF"/>
              <w:right w:val="single" w:sz="4" w:space="0" w:color="BFBFBF"/>
            </w:tcBorders>
            <w:shd w:val="clear" w:color="000000" w:fill="C5D9F1"/>
            <w:noWrap/>
            <w:vAlign w:val="center"/>
            <w:hideMark/>
          </w:tcPr>
          <w:p w14:paraId="435F06E5" w14:textId="1F706640" w:rsidR="0097520F" w:rsidRPr="00100F0A" w:rsidRDefault="0097520F" w:rsidP="00257EB5">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b/>
                <w:bCs/>
                <w:color w:val="000000"/>
                <w:sz w:val="18"/>
                <w:szCs w:val="18"/>
                <w:lang w:eastAsia="en-AU"/>
              </w:rPr>
              <w:t>Disposal</w:t>
            </w:r>
            <w:r w:rsidRPr="00100F0A">
              <w:rPr>
                <w:rFonts w:asciiTheme="minorHAnsi" w:eastAsia="Times New Roman" w:hAnsiTheme="minorHAnsi" w:cstheme="minorHAnsi"/>
                <w:color w:val="000000"/>
                <w:sz w:val="18"/>
                <w:szCs w:val="18"/>
                <w:lang w:eastAsia="en-AU"/>
              </w:rPr>
              <w:t> </w:t>
            </w:r>
          </w:p>
        </w:tc>
      </w:tr>
      <w:tr w:rsidR="00961B22" w:rsidRPr="00100F0A" w14:paraId="246F532D" w14:textId="77777777" w:rsidTr="004B656C">
        <w:trPr>
          <w:trHeight w:val="1837"/>
        </w:trPr>
        <w:tc>
          <w:tcPr>
            <w:tcW w:w="195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1F2C136" w14:textId="77777777" w:rsidR="00961B22" w:rsidRPr="00100F0A" w:rsidRDefault="00961B22" w:rsidP="00257EB5">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 xml:space="preserve">Hazardous waste landfill facility </w:t>
            </w:r>
          </w:p>
        </w:tc>
        <w:tc>
          <w:tcPr>
            <w:tcW w:w="78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8EAF49B"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235</w:t>
            </w:r>
          </w:p>
        </w:tc>
        <w:tc>
          <w:tcPr>
            <w:tcW w:w="8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8B6BCCC"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201</w:t>
            </w:r>
          </w:p>
        </w:tc>
        <w:tc>
          <w:tcPr>
            <w:tcW w:w="8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575AA77"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0</w:t>
            </w:r>
          </w:p>
        </w:tc>
        <w:tc>
          <w:tcPr>
            <w:tcW w:w="130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E194E3B"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High</w:t>
            </w:r>
          </w:p>
        </w:tc>
        <w:tc>
          <w:tcPr>
            <w:tcW w:w="939"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1BDAED5A"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2018</w:t>
            </w:r>
          </w:p>
        </w:tc>
        <w:tc>
          <w:tcPr>
            <w:tcW w:w="847"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38D046D9"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2018</w:t>
            </w:r>
          </w:p>
        </w:tc>
        <w:tc>
          <w:tcPr>
            <w:tcW w:w="938" w:type="dxa"/>
            <w:gridSpan w:val="3"/>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293AD2AB"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2018</w:t>
            </w:r>
          </w:p>
        </w:tc>
        <w:tc>
          <w:tcPr>
            <w:tcW w:w="6444" w:type="dxa"/>
            <w:tcBorders>
              <w:top w:val="single" w:sz="4" w:space="0" w:color="BFBFBF"/>
              <w:left w:val="single" w:sz="4" w:space="0" w:color="BFBFBF"/>
              <w:bottom w:val="single" w:sz="4" w:space="0" w:color="BFBFBF"/>
              <w:right w:val="single" w:sz="4" w:space="0" w:color="BFBFBF"/>
            </w:tcBorders>
            <w:shd w:val="clear" w:color="000000" w:fill="FFFFFF"/>
            <w:vAlign w:val="center"/>
            <w:hideMark/>
          </w:tcPr>
          <w:p w14:paraId="1E84D8AD" w14:textId="2920578D" w:rsidR="0097520F" w:rsidRPr="00100F0A" w:rsidRDefault="00961B22" w:rsidP="0097520F">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This capacity assessment examined hazardous waste landfills’ ability to accept annual arisings of waste</w:t>
            </w:r>
            <w:r w:rsidR="003C51AB">
              <w:rPr>
                <w:rFonts w:asciiTheme="minorHAnsi" w:eastAsia="Times New Roman" w:hAnsiTheme="minorHAnsi" w:cstheme="minorHAnsi"/>
                <w:color w:val="000000"/>
                <w:sz w:val="18"/>
                <w:szCs w:val="18"/>
                <w:lang w:eastAsia="en-AU"/>
              </w:rPr>
              <w:t>;</w:t>
            </w:r>
            <w:r w:rsidRPr="00100F0A">
              <w:rPr>
                <w:rFonts w:asciiTheme="minorHAnsi" w:eastAsia="Times New Roman" w:hAnsiTheme="minorHAnsi" w:cstheme="minorHAnsi"/>
                <w:color w:val="000000"/>
                <w:sz w:val="18"/>
                <w:szCs w:val="18"/>
                <w:lang w:eastAsia="en-AU"/>
              </w:rPr>
              <w:t xml:space="preserve"> this differs from the usual measure of landfill capacity, which refers to total available airspace. Landfills may be constrained in relation to the rate at which waste is accepted, for example due to limitations of specialist cells, traffic management or licence limits. These constraints are not common and are understood not to be an issue for the sites included in this group.  </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 xml:space="preserve">For all three scenarios the current 2016-17 arisings exceed the current installed annual capacity. The modelling assessment for this infrastructure group is incorrect. The response rate from site operators was only 50%, meaning infrastructure group averages were used, and generally the responses provided data only on waste currently received with little information on the installed capacity (annual acceptance </w:t>
            </w:r>
            <w:r w:rsidRPr="003C51AB">
              <w:rPr>
                <w:rFonts w:asciiTheme="minorHAnsi" w:eastAsia="Times New Roman" w:hAnsiTheme="minorHAnsi" w:cstheme="minorHAnsi"/>
                <w:color w:val="000000"/>
                <w:sz w:val="18"/>
                <w:szCs w:val="18"/>
                <w:lang w:eastAsia="en-AU"/>
              </w:rPr>
              <w:t xml:space="preserve">rate that is possible for the site). </w:t>
            </w:r>
            <w:r w:rsidRPr="00A307F3">
              <w:rPr>
                <w:rFonts w:asciiTheme="minorHAnsi" w:eastAsia="Times New Roman" w:hAnsiTheme="minorHAnsi" w:cstheme="minorHAnsi"/>
                <w:color w:val="000000"/>
                <w:sz w:val="18"/>
                <w:szCs w:val="18"/>
                <w:lang w:eastAsia="en-AU"/>
              </w:rPr>
              <w:t>This is understandable as, unlike other infrastructure types, landfills are usually able to cater to varying capacity demands and a site’s installed annual capacity can be difficult to define.</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 xml:space="preserve">Perhaps more important than the above analysis are industry comments regarding the expected life (i.e. amount of airspace remaining and the number of years of operation before this capacity is consumed) of the </w:t>
            </w:r>
            <w:r w:rsidR="00323336">
              <w:rPr>
                <w:rFonts w:asciiTheme="minorHAnsi" w:eastAsia="Times New Roman" w:hAnsiTheme="minorHAnsi" w:cstheme="minorHAnsi"/>
                <w:color w:val="000000"/>
                <w:sz w:val="18"/>
                <w:szCs w:val="18"/>
                <w:lang w:eastAsia="en-AU"/>
              </w:rPr>
              <w:t>seven</w:t>
            </w:r>
            <w:r w:rsidRPr="00100F0A">
              <w:rPr>
                <w:rFonts w:asciiTheme="minorHAnsi" w:eastAsia="Times New Roman" w:hAnsiTheme="minorHAnsi" w:cstheme="minorHAnsi"/>
                <w:color w:val="000000"/>
                <w:sz w:val="18"/>
                <w:szCs w:val="18"/>
                <w:lang w:eastAsia="en-AU"/>
              </w:rPr>
              <w:t xml:space="preserve"> landfill sites included in this infrastructure group.</w:t>
            </w:r>
            <w:r w:rsidR="00521A7B">
              <w:rPr>
                <w:rStyle w:val="FootnoteReference"/>
                <w:rFonts w:asciiTheme="minorHAnsi" w:eastAsia="Times New Roman" w:hAnsiTheme="minorHAnsi" w:cstheme="minorHAnsi"/>
                <w:color w:val="000000"/>
                <w:sz w:val="18"/>
                <w:szCs w:val="18"/>
                <w:lang w:eastAsia="en-AU"/>
              </w:rPr>
              <w:footnoteReference w:id="39"/>
            </w:r>
            <w:r w:rsidRPr="00100F0A">
              <w:rPr>
                <w:rFonts w:asciiTheme="minorHAnsi" w:eastAsia="Times New Roman" w:hAnsiTheme="minorHAnsi" w:cstheme="minorHAnsi"/>
                <w:color w:val="000000"/>
                <w:sz w:val="18"/>
                <w:szCs w:val="18"/>
                <w:lang w:eastAsia="en-AU"/>
              </w:rPr>
              <w:t xml:space="preserve">. Landfill operators were asked how much waste could be received at the site before the </w:t>
            </w:r>
            <w:r w:rsidR="00B90E8F" w:rsidRPr="00100F0A">
              <w:rPr>
                <w:rFonts w:asciiTheme="minorHAnsi" w:eastAsia="Times New Roman" w:hAnsiTheme="minorHAnsi" w:cstheme="minorHAnsi"/>
                <w:color w:val="000000"/>
                <w:sz w:val="18"/>
                <w:szCs w:val="18"/>
                <w:lang w:eastAsia="en-AU"/>
              </w:rPr>
              <w:t>site’s</w:t>
            </w:r>
            <w:r w:rsidRPr="00100F0A">
              <w:rPr>
                <w:rFonts w:asciiTheme="minorHAnsi" w:eastAsia="Times New Roman" w:hAnsiTheme="minorHAnsi" w:cstheme="minorHAnsi"/>
                <w:color w:val="000000"/>
                <w:sz w:val="18"/>
                <w:szCs w:val="18"/>
                <w:lang w:eastAsia="en-AU"/>
              </w:rPr>
              <w:t xml:space="preserve"> airspace was consumed. Where the operator responded, they all responded with an estimate of the expected year of closure or simply stated that the site had more than 20 years capacity remaining.</w:t>
            </w:r>
            <w:r w:rsidR="002328FE">
              <w:rPr>
                <w:rFonts w:asciiTheme="minorHAnsi" w:eastAsia="Times New Roman" w:hAnsiTheme="minorHAnsi" w:cstheme="minorHAnsi"/>
                <w:color w:val="000000"/>
                <w:sz w:val="18"/>
                <w:szCs w:val="18"/>
                <w:lang w:eastAsia="en-AU"/>
              </w:rPr>
              <w:t xml:space="preserve"> </w:t>
            </w:r>
            <w:r w:rsidR="002328FE" w:rsidRPr="004909AC">
              <w:rPr>
                <w:rFonts w:eastAsia="Times New Roman"/>
                <w:sz w:val="20"/>
                <w:szCs w:val="20"/>
                <w:shd w:val="clear" w:color="auto" w:fill="FF0000"/>
              </w:rPr>
              <w:t>Text withheld to maintain commercial confidentiality</w:t>
            </w:r>
            <w:r w:rsidRPr="00100F0A">
              <w:rPr>
                <w:rFonts w:asciiTheme="minorHAnsi" w:eastAsia="Times New Roman" w:hAnsiTheme="minorHAnsi" w:cstheme="minorHAnsi"/>
                <w:color w:val="000000"/>
                <w:sz w:val="18"/>
                <w:szCs w:val="18"/>
                <w:lang w:eastAsia="en-AU"/>
              </w:rPr>
              <w:t>. No other sites surveyed in this category responded with a definitive response of planned closure within the ne</w:t>
            </w:r>
            <w:r w:rsidR="00B6038F">
              <w:rPr>
                <w:rFonts w:asciiTheme="minorHAnsi" w:eastAsia="Times New Roman" w:hAnsiTheme="minorHAnsi" w:cstheme="minorHAnsi"/>
                <w:color w:val="000000"/>
                <w:sz w:val="18"/>
                <w:szCs w:val="18"/>
                <w:lang w:eastAsia="en-AU"/>
              </w:rPr>
              <w:t>xt</w:t>
            </w:r>
            <w:r w:rsidRPr="00100F0A">
              <w:rPr>
                <w:rFonts w:asciiTheme="minorHAnsi" w:eastAsia="Times New Roman" w:hAnsiTheme="minorHAnsi" w:cstheme="minorHAnsi"/>
                <w:color w:val="000000"/>
                <w:sz w:val="18"/>
                <w:szCs w:val="18"/>
                <w:lang w:eastAsia="en-AU"/>
              </w:rPr>
              <w:t xml:space="preserve"> 20 years. Apart from Suez Elizabeth Drive, responses were generally vague on the expected closure year and it is recommended that more detailed investigation of the likely closure date of the landfills in this category be completed. Given the small number of sites and the extreme difficultly some jurisdictions have experienced in establishing new hazardous waste landfills, it is important to better understand the risk profile of each site in terms of its likelihood of closure due to: a lack of airspace, regulatory non-compliance, community concern and sudden airspace consumption due to extreme weather events such as cyclone or fire. </w:t>
            </w:r>
          </w:p>
          <w:p w14:paraId="5FB771D8" w14:textId="77777777" w:rsidR="002328FE" w:rsidRDefault="00961B22" w:rsidP="0097520F">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b/>
                <w:bCs/>
                <w:color w:val="000000"/>
                <w:sz w:val="18"/>
                <w:szCs w:val="18"/>
                <w:lang w:eastAsia="en-AU"/>
              </w:rPr>
              <w:t xml:space="preserve">Recommendation: </w:t>
            </w:r>
            <w:r w:rsidRPr="00100F0A">
              <w:rPr>
                <w:rFonts w:asciiTheme="minorHAnsi" w:eastAsia="Times New Roman" w:hAnsiTheme="minorHAnsi" w:cstheme="minorHAnsi"/>
                <w:color w:val="000000"/>
                <w:sz w:val="18"/>
                <w:szCs w:val="18"/>
                <w:lang w:eastAsia="en-AU"/>
              </w:rPr>
              <w:t>DoEE work with the jurisdictions to complete a detailed assessment of the likely closure year of the identified hazardous waste landfill facility infrastructure including a risk assessment of site capacity being impacted by issues such as extreme weather events.</w:t>
            </w:r>
          </w:p>
          <w:p w14:paraId="1907EE4F" w14:textId="77777777" w:rsidR="002328FE" w:rsidRDefault="002328FE" w:rsidP="0097520F">
            <w:pPr>
              <w:widowControl w:val="0"/>
              <w:rPr>
                <w:rFonts w:asciiTheme="minorHAnsi" w:eastAsia="Times New Roman" w:hAnsiTheme="minorHAnsi" w:cstheme="minorHAnsi"/>
                <w:color w:val="000000"/>
                <w:sz w:val="18"/>
                <w:szCs w:val="18"/>
                <w:lang w:eastAsia="en-AU"/>
              </w:rPr>
            </w:pPr>
          </w:p>
          <w:p w14:paraId="3DA02D48" w14:textId="65EAB053" w:rsidR="00961B22" w:rsidRDefault="002328FE" w:rsidP="0097520F">
            <w:pPr>
              <w:widowControl w:val="0"/>
              <w:rPr>
                <w:rFonts w:asciiTheme="minorHAnsi" w:eastAsia="Times New Roman" w:hAnsiTheme="minorHAnsi" w:cstheme="minorHAnsi"/>
                <w:color w:val="000000"/>
                <w:sz w:val="18"/>
                <w:szCs w:val="18"/>
                <w:lang w:eastAsia="en-AU"/>
              </w:rPr>
            </w:pPr>
            <w:r w:rsidRPr="004909AC">
              <w:rPr>
                <w:rFonts w:eastAsia="Times New Roman"/>
                <w:sz w:val="20"/>
                <w:szCs w:val="20"/>
                <w:shd w:val="clear" w:color="auto" w:fill="FF0000"/>
              </w:rPr>
              <w:t xml:space="preserve"> Text withheld to maintain commercial confidentiality</w:t>
            </w:r>
            <w:r w:rsidR="00961B22" w:rsidRPr="00100F0A">
              <w:rPr>
                <w:rFonts w:asciiTheme="minorHAnsi" w:eastAsia="Times New Roman" w:hAnsiTheme="minorHAnsi" w:cstheme="minorHAnsi"/>
                <w:color w:val="000000"/>
                <w:sz w:val="18"/>
                <w:szCs w:val="18"/>
                <w:lang w:eastAsia="en-AU"/>
              </w:rPr>
              <w:t xml:space="preserve">. </w:t>
            </w:r>
          </w:p>
          <w:p w14:paraId="50B0A9CF" w14:textId="55F1F065" w:rsidR="002328FE" w:rsidRPr="00100F0A" w:rsidRDefault="002328FE" w:rsidP="0097520F">
            <w:pPr>
              <w:widowControl w:val="0"/>
              <w:rPr>
                <w:rFonts w:asciiTheme="minorHAnsi" w:eastAsia="Times New Roman" w:hAnsiTheme="minorHAnsi" w:cstheme="minorHAnsi"/>
                <w:color w:val="000000"/>
                <w:sz w:val="18"/>
                <w:szCs w:val="18"/>
                <w:lang w:eastAsia="en-AU"/>
              </w:rPr>
            </w:pPr>
          </w:p>
        </w:tc>
      </w:tr>
      <w:tr w:rsidR="004E5252" w:rsidRPr="00100F0A" w14:paraId="664FEC2D" w14:textId="77777777" w:rsidTr="004B656C">
        <w:trPr>
          <w:trHeight w:val="3570"/>
        </w:trPr>
        <w:tc>
          <w:tcPr>
            <w:tcW w:w="195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DD6AB2E" w14:textId="77777777" w:rsidR="004E5252" w:rsidRPr="00100F0A" w:rsidRDefault="004E5252" w:rsidP="004E5252">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Landfill facility (NEPM codes N, T)</w:t>
            </w:r>
          </w:p>
        </w:tc>
        <w:tc>
          <w:tcPr>
            <w:tcW w:w="78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F71E8A5" w14:textId="77777777" w:rsidR="004E5252" w:rsidRPr="00100F0A" w:rsidRDefault="004E5252" w:rsidP="004E5252">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2,875</w:t>
            </w:r>
          </w:p>
        </w:tc>
        <w:tc>
          <w:tcPr>
            <w:tcW w:w="1759"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tcPr>
          <w:p w14:paraId="5789741E" w14:textId="77777777" w:rsidR="004E5252" w:rsidRPr="00100F0A" w:rsidRDefault="004E5252">
            <w:pPr>
              <w:widowControl w:val="0"/>
              <w:rPr>
                <w:rFonts w:asciiTheme="minorHAnsi" w:eastAsia="Times New Roman" w:hAnsiTheme="minorHAnsi" w:cstheme="minorHAnsi"/>
                <w:color w:val="000000"/>
                <w:sz w:val="18"/>
                <w:szCs w:val="18"/>
                <w:lang w:eastAsia="en-AU"/>
              </w:rPr>
            </w:pPr>
            <w:r w:rsidRPr="004E5252">
              <w:rPr>
                <w:rFonts w:asciiTheme="minorHAnsi" w:eastAsia="Times New Roman" w:hAnsiTheme="minorHAnsi" w:cstheme="minorHAnsi"/>
                <w:color w:val="000000"/>
                <w:sz w:val="18"/>
                <w:szCs w:val="18"/>
                <w:lang w:eastAsia="en-AU"/>
              </w:rPr>
              <w:t>Not included in assessment of arisings versus capacity</w:t>
            </w:r>
            <w:r w:rsidRPr="004E5252" w:rsidDel="004E5252">
              <w:rPr>
                <w:rFonts w:asciiTheme="minorHAnsi" w:eastAsia="Times New Roman" w:hAnsiTheme="minorHAnsi" w:cstheme="minorHAnsi"/>
                <w:color w:val="000000"/>
                <w:sz w:val="18"/>
                <w:szCs w:val="18"/>
                <w:lang w:eastAsia="en-AU"/>
              </w:rPr>
              <w:t xml:space="preserve"> </w:t>
            </w:r>
          </w:p>
          <w:p w14:paraId="54B4D166" w14:textId="5D58528E" w:rsidR="004E5252" w:rsidRPr="00100F0A" w:rsidRDefault="004E5252" w:rsidP="004206B0">
            <w:pPr>
              <w:widowControl w:val="0"/>
              <w:rPr>
                <w:rFonts w:asciiTheme="minorHAnsi" w:eastAsia="Times New Roman" w:hAnsiTheme="minorHAnsi" w:cstheme="minorHAnsi"/>
                <w:color w:val="000000"/>
                <w:sz w:val="18"/>
                <w:szCs w:val="18"/>
                <w:lang w:eastAsia="en-AU"/>
              </w:rPr>
            </w:pPr>
          </w:p>
        </w:tc>
        <w:tc>
          <w:tcPr>
            <w:tcW w:w="130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7D2155D" w14:textId="77777777" w:rsidR="004E5252" w:rsidRPr="00100F0A" w:rsidRDefault="004E5252" w:rsidP="004E5252">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n/a</w:t>
            </w:r>
          </w:p>
        </w:tc>
        <w:tc>
          <w:tcPr>
            <w:tcW w:w="939"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118A6C6D" w14:textId="77777777" w:rsidR="004E5252" w:rsidRPr="00100F0A" w:rsidRDefault="004E5252" w:rsidP="004E5252">
            <w:pPr>
              <w:widowControl w:val="0"/>
              <w:jc w:val="center"/>
              <w:rPr>
                <w:rFonts w:asciiTheme="minorHAnsi" w:eastAsia="Times New Roman" w:hAnsiTheme="minorHAnsi" w:cstheme="minorHAnsi"/>
                <w:color w:val="808080"/>
                <w:sz w:val="18"/>
                <w:szCs w:val="18"/>
                <w:lang w:eastAsia="en-AU"/>
              </w:rPr>
            </w:pPr>
            <w:r w:rsidRPr="00100F0A">
              <w:rPr>
                <w:rFonts w:asciiTheme="minorHAnsi" w:eastAsia="Times New Roman" w:hAnsiTheme="minorHAnsi" w:cstheme="minorHAnsi"/>
                <w:color w:val="808080"/>
                <w:sz w:val="18"/>
                <w:szCs w:val="18"/>
                <w:lang w:eastAsia="en-AU"/>
              </w:rPr>
              <w:t>no inf.</w:t>
            </w:r>
          </w:p>
        </w:tc>
        <w:tc>
          <w:tcPr>
            <w:tcW w:w="847"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066E4AB2" w14:textId="77777777" w:rsidR="004E5252" w:rsidRPr="00100F0A" w:rsidRDefault="004E5252" w:rsidP="004E5252">
            <w:pPr>
              <w:widowControl w:val="0"/>
              <w:jc w:val="center"/>
              <w:rPr>
                <w:rFonts w:asciiTheme="minorHAnsi" w:eastAsia="Times New Roman" w:hAnsiTheme="minorHAnsi" w:cstheme="minorHAnsi"/>
                <w:color w:val="808080"/>
                <w:sz w:val="18"/>
                <w:szCs w:val="18"/>
                <w:lang w:eastAsia="en-AU"/>
              </w:rPr>
            </w:pPr>
            <w:r w:rsidRPr="00100F0A">
              <w:rPr>
                <w:rFonts w:asciiTheme="minorHAnsi" w:eastAsia="Times New Roman" w:hAnsiTheme="minorHAnsi" w:cstheme="minorHAnsi"/>
                <w:color w:val="808080"/>
                <w:sz w:val="18"/>
                <w:szCs w:val="18"/>
                <w:lang w:eastAsia="en-AU"/>
              </w:rPr>
              <w:t>no inf.</w:t>
            </w:r>
          </w:p>
        </w:tc>
        <w:tc>
          <w:tcPr>
            <w:tcW w:w="938" w:type="dxa"/>
            <w:gridSpan w:val="3"/>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503451E0" w14:textId="77777777" w:rsidR="004E5252" w:rsidRPr="00100F0A" w:rsidRDefault="004E5252" w:rsidP="004E5252">
            <w:pPr>
              <w:widowControl w:val="0"/>
              <w:jc w:val="center"/>
              <w:rPr>
                <w:rFonts w:asciiTheme="minorHAnsi" w:eastAsia="Times New Roman" w:hAnsiTheme="minorHAnsi" w:cstheme="minorHAnsi"/>
                <w:color w:val="808080"/>
                <w:sz w:val="18"/>
                <w:szCs w:val="18"/>
                <w:lang w:eastAsia="en-AU"/>
              </w:rPr>
            </w:pPr>
            <w:r w:rsidRPr="00100F0A">
              <w:rPr>
                <w:rFonts w:asciiTheme="minorHAnsi" w:eastAsia="Times New Roman" w:hAnsiTheme="minorHAnsi" w:cstheme="minorHAnsi"/>
                <w:color w:val="808080"/>
                <w:sz w:val="18"/>
                <w:szCs w:val="18"/>
                <w:lang w:eastAsia="en-AU"/>
              </w:rPr>
              <w:t>no inf.</w:t>
            </w:r>
          </w:p>
        </w:tc>
        <w:tc>
          <w:tcPr>
            <w:tcW w:w="6444" w:type="dxa"/>
            <w:tcBorders>
              <w:top w:val="single" w:sz="4" w:space="0" w:color="BFBFBF"/>
              <w:left w:val="single" w:sz="4" w:space="0" w:color="BFBFBF"/>
              <w:bottom w:val="single" w:sz="4" w:space="0" w:color="BFBFBF"/>
              <w:right w:val="single" w:sz="4" w:space="0" w:color="BFBFBF"/>
            </w:tcBorders>
            <w:shd w:val="clear" w:color="000000" w:fill="FFFFFF"/>
            <w:vAlign w:val="center"/>
            <w:hideMark/>
          </w:tcPr>
          <w:p w14:paraId="0235D598" w14:textId="14369C22" w:rsidR="004E5252" w:rsidRPr="00100F0A" w:rsidRDefault="004E5252" w:rsidP="004E5252">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 xml:space="preserve">This infrastructure group is not in the scope of hazardous waste database. As discussed in Section 3.2, a significant number of landfills are licensed to take hazardous waste NEPM codes N and T only (asbestos, EOLT, low level contaminated soils) and these facilities are not included in the infrastructure database. This is reflected in the almost </w:t>
            </w:r>
            <w:r>
              <w:rPr>
                <w:rFonts w:asciiTheme="minorHAnsi" w:eastAsia="Times New Roman" w:hAnsiTheme="minorHAnsi" w:cstheme="minorHAnsi"/>
                <w:color w:val="000000"/>
                <w:sz w:val="18"/>
                <w:szCs w:val="18"/>
                <w:lang w:eastAsia="en-AU"/>
              </w:rPr>
              <w:t>3 Mt</w:t>
            </w:r>
            <w:r w:rsidRPr="00100F0A">
              <w:rPr>
                <w:rFonts w:asciiTheme="minorHAnsi" w:eastAsia="Times New Roman" w:hAnsiTheme="minorHAnsi" w:cstheme="minorHAnsi"/>
                <w:color w:val="000000"/>
                <w:sz w:val="18"/>
                <w:szCs w:val="18"/>
                <w:lang w:eastAsia="en-AU"/>
              </w:rPr>
              <w:t xml:space="preserve"> of hazardous and controlled waste estimated to be sent to this infrastructure group, by far the largest portion of hazardous waste (almost half of the estimated 6 </w:t>
            </w:r>
            <w:r>
              <w:rPr>
                <w:rFonts w:asciiTheme="minorHAnsi" w:eastAsia="Times New Roman" w:hAnsiTheme="minorHAnsi" w:cstheme="minorHAnsi"/>
                <w:color w:val="000000"/>
                <w:sz w:val="18"/>
                <w:szCs w:val="18"/>
                <w:lang w:eastAsia="en-AU"/>
              </w:rPr>
              <w:t>Mt</w:t>
            </w:r>
            <w:r w:rsidRPr="00100F0A">
              <w:rPr>
                <w:rFonts w:asciiTheme="minorHAnsi" w:eastAsia="Times New Roman" w:hAnsiTheme="minorHAnsi" w:cstheme="minorHAnsi"/>
                <w:color w:val="000000"/>
                <w:sz w:val="18"/>
                <w:szCs w:val="18"/>
                <w:lang w:eastAsia="en-AU"/>
              </w:rPr>
              <w:t xml:space="preserve"> of arisings). To complete a quantitative analysis of projected arisings of NEPM code N and T wastes vs licensed infrastructure capacity would require a significant expansion of the scope of the hazardous waste capacity database to cover non-hazardous waste infrastructure accepting only a relatively small amount of low level hazardous waste as part of much larger non-hazardous waste </w:t>
            </w:r>
            <w:r>
              <w:rPr>
                <w:rFonts w:asciiTheme="minorHAnsi" w:eastAsia="Times New Roman" w:hAnsiTheme="minorHAnsi" w:cstheme="minorHAnsi"/>
                <w:color w:val="000000"/>
                <w:sz w:val="18"/>
                <w:szCs w:val="18"/>
                <w:lang w:eastAsia="en-AU"/>
              </w:rPr>
              <w:t>quantities</w:t>
            </w:r>
            <w:r w:rsidRPr="00100F0A">
              <w:rPr>
                <w:rFonts w:asciiTheme="minorHAnsi" w:eastAsia="Times New Roman" w:hAnsiTheme="minorHAnsi" w:cstheme="minorHAnsi"/>
                <w:color w:val="000000"/>
                <w:sz w:val="18"/>
                <w:szCs w:val="18"/>
                <w:lang w:eastAsia="en-AU"/>
              </w:rPr>
              <w:t>.</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 xml:space="preserve">Landfills that accept mostly municipal waste are often also able to take low level contaminated soil and asbestos. Based on industry consultation and our assessment of landfill infrastructure for NEPM codes N and T only, we do not believe there is likely to be a national shortage of this infrastructure group over the next 20 years. </w:t>
            </w:r>
          </w:p>
        </w:tc>
      </w:tr>
      <w:tr w:rsidR="00961B22" w:rsidRPr="00100F0A" w14:paraId="4F915417" w14:textId="77777777" w:rsidTr="009D734D">
        <w:trPr>
          <w:trHeight w:val="522"/>
        </w:trPr>
        <w:tc>
          <w:tcPr>
            <w:tcW w:w="195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32470E3" w14:textId="0E107043" w:rsidR="00961B22" w:rsidRPr="00100F0A" w:rsidRDefault="003C51AB" w:rsidP="0097520F">
            <w:pPr>
              <w:widowControl w:val="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POP</w:t>
            </w:r>
            <w:r w:rsidR="00961B22" w:rsidRPr="00100F0A">
              <w:rPr>
                <w:rFonts w:asciiTheme="minorHAnsi" w:eastAsia="Times New Roman" w:hAnsiTheme="minorHAnsi" w:cstheme="minorHAnsi"/>
                <w:color w:val="000000"/>
                <w:sz w:val="18"/>
                <w:szCs w:val="18"/>
                <w:lang w:eastAsia="en-AU"/>
              </w:rPr>
              <w:t xml:space="preserve"> thermal destruction facility </w:t>
            </w:r>
          </w:p>
        </w:tc>
        <w:tc>
          <w:tcPr>
            <w:tcW w:w="78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80B8C95"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5</w:t>
            </w:r>
          </w:p>
        </w:tc>
        <w:tc>
          <w:tcPr>
            <w:tcW w:w="8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E1CFAFB" w14:textId="777B54F6" w:rsidR="00961B22" w:rsidRPr="009D734D" w:rsidRDefault="002328FE" w:rsidP="009D734D">
            <w:pPr>
              <w:widowControl w:val="0"/>
              <w:jc w:val="center"/>
              <w:rPr>
                <w:rFonts w:asciiTheme="minorHAnsi" w:eastAsia="Times New Roman" w:hAnsiTheme="minorHAnsi" w:cstheme="minorHAnsi"/>
                <w:color w:val="000000"/>
                <w:sz w:val="18"/>
                <w:szCs w:val="18"/>
                <w:highlight w:val="red"/>
                <w:lang w:eastAsia="en-AU"/>
              </w:rPr>
            </w:pPr>
            <w:r w:rsidRPr="009D734D">
              <w:rPr>
                <w:rFonts w:asciiTheme="minorHAnsi" w:eastAsia="Times New Roman" w:hAnsiTheme="minorHAnsi" w:cstheme="minorHAnsi"/>
                <w:color w:val="000000"/>
                <w:sz w:val="18"/>
                <w:szCs w:val="18"/>
                <w:highlight w:val="red"/>
                <w:lang w:eastAsia="en-AU"/>
              </w:rPr>
              <w:t>CIC</w:t>
            </w:r>
          </w:p>
        </w:tc>
        <w:tc>
          <w:tcPr>
            <w:tcW w:w="8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D55AA2" w14:textId="51776863" w:rsidR="00961B22" w:rsidRPr="009D734D" w:rsidRDefault="002328FE" w:rsidP="009D734D">
            <w:pPr>
              <w:widowControl w:val="0"/>
              <w:jc w:val="center"/>
              <w:rPr>
                <w:rFonts w:asciiTheme="minorHAnsi" w:eastAsia="Times New Roman" w:hAnsiTheme="minorHAnsi" w:cstheme="minorHAnsi"/>
                <w:color w:val="000000"/>
                <w:sz w:val="18"/>
                <w:szCs w:val="18"/>
                <w:highlight w:val="red"/>
                <w:lang w:eastAsia="en-AU"/>
              </w:rPr>
            </w:pPr>
            <w:r w:rsidRPr="009D734D">
              <w:rPr>
                <w:rFonts w:asciiTheme="minorHAnsi" w:eastAsia="Times New Roman" w:hAnsiTheme="minorHAnsi" w:cstheme="minorHAnsi"/>
                <w:color w:val="000000"/>
                <w:sz w:val="18"/>
                <w:szCs w:val="18"/>
                <w:highlight w:val="red"/>
                <w:lang w:eastAsia="en-AU"/>
              </w:rPr>
              <w:t>CIC</w:t>
            </w:r>
          </w:p>
        </w:tc>
        <w:tc>
          <w:tcPr>
            <w:tcW w:w="130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C02BE9C"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Very high</w:t>
            </w:r>
          </w:p>
        </w:tc>
        <w:tc>
          <w:tcPr>
            <w:tcW w:w="939"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405744A2"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2020</w:t>
            </w:r>
          </w:p>
        </w:tc>
        <w:tc>
          <w:tcPr>
            <w:tcW w:w="847"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6EF0CC4C"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2020</w:t>
            </w:r>
          </w:p>
        </w:tc>
        <w:tc>
          <w:tcPr>
            <w:tcW w:w="938" w:type="dxa"/>
            <w:gridSpan w:val="3"/>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26DA6A76"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2020</w:t>
            </w:r>
          </w:p>
        </w:tc>
        <w:tc>
          <w:tcPr>
            <w:tcW w:w="6444" w:type="dxa"/>
            <w:tcBorders>
              <w:top w:val="single" w:sz="4" w:space="0" w:color="BFBFBF"/>
              <w:left w:val="single" w:sz="4" w:space="0" w:color="BFBFBF"/>
              <w:bottom w:val="single" w:sz="4" w:space="0" w:color="BFBFBF"/>
              <w:right w:val="single" w:sz="4" w:space="0" w:color="BFBFBF"/>
            </w:tcBorders>
            <w:shd w:val="clear" w:color="000000" w:fill="FFFFFF"/>
            <w:vAlign w:val="center"/>
            <w:hideMark/>
          </w:tcPr>
          <w:p w14:paraId="63DD40EA" w14:textId="7DECCC52" w:rsidR="004E3C14" w:rsidRDefault="00961B22" w:rsidP="0097520F">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 xml:space="preserve">There </w:t>
            </w:r>
            <w:r w:rsidR="00B90E8F" w:rsidRPr="00100F0A">
              <w:rPr>
                <w:rFonts w:asciiTheme="minorHAnsi" w:eastAsia="Times New Roman" w:hAnsiTheme="minorHAnsi" w:cstheme="minorHAnsi"/>
                <w:color w:val="000000"/>
                <w:sz w:val="18"/>
                <w:szCs w:val="18"/>
                <w:lang w:eastAsia="en-AU"/>
              </w:rPr>
              <w:t>have</w:t>
            </w:r>
            <w:r w:rsidRPr="00100F0A">
              <w:rPr>
                <w:rFonts w:asciiTheme="minorHAnsi" w:eastAsia="Times New Roman" w:hAnsiTheme="minorHAnsi" w:cstheme="minorHAnsi"/>
                <w:color w:val="000000"/>
                <w:sz w:val="18"/>
                <w:szCs w:val="18"/>
                <w:lang w:eastAsia="en-AU"/>
              </w:rPr>
              <w:t xml:space="preserve"> been significant developments in </w:t>
            </w:r>
            <w:r w:rsidR="00374225">
              <w:rPr>
                <w:rFonts w:asciiTheme="minorHAnsi" w:eastAsia="Times New Roman" w:hAnsiTheme="minorHAnsi" w:cstheme="minorHAnsi"/>
                <w:color w:val="000000"/>
                <w:sz w:val="18"/>
                <w:szCs w:val="18"/>
                <w:lang w:eastAsia="en-AU"/>
              </w:rPr>
              <w:t>POP</w:t>
            </w:r>
            <w:r w:rsidRPr="00100F0A">
              <w:rPr>
                <w:rFonts w:asciiTheme="minorHAnsi" w:eastAsia="Times New Roman" w:hAnsiTheme="minorHAnsi" w:cstheme="minorHAnsi"/>
                <w:color w:val="000000"/>
                <w:sz w:val="18"/>
                <w:szCs w:val="18"/>
                <w:lang w:eastAsia="en-AU"/>
              </w:rPr>
              <w:t xml:space="preserve"> thermal destruction since the 2015 assessment and also the scope of the 2018 assessment includes cement kilns which are offering capacity to destroy </w:t>
            </w:r>
            <w:r w:rsidR="00374225">
              <w:rPr>
                <w:rFonts w:asciiTheme="minorHAnsi" w:eastAsia="Times New Roman" w:hAnsiTheme="minorHAnsi" w:cstheme="minorHAnsi"/>
                <w:color w:val="000000"/>
                <w:sz w:val="18"/>
                <w:szCs w:val="18"/>
                <w:lang w:eastAsia="en-AU"/>
              </w:rPr>
              <w:t>POP</w:t>
            </w:r>
            <w:r w:rsidRPr="00100F0A">
              <w:rPr>
                <w:rFonts w:asciiTheme="minorHAnsi" w:eastAsia="Times New Roman" w:hAnsiTheme="minorHAnsi" w:cstheme="minorHAnsi"/>
                <w:color w:val="000000"/>
                <w:sz w:val="18"/>
                <w:szCs w:val="18"/>
                <w:lang w:eastAsia="en-AU"/>
              </w:rPr>
              <w:t xml:space="preserve">. An estimated 3 kt of </w:t>
            </w:r>
            <w:r w:rsidR="00374225">
              <w:rPr>
                <w:rFonts w:asciiTheme="minorHAnsi" w:eastAsia="Times New Roman" w:hAnsiTheme="minorHAnsi" w:cstheme="minorHAnsi"/>
                <w:color w:val="000000"/>
                <w:sz w:val="18"/>
                <w:szCs w:val="18"/>
                <w:lang w:eastAsia="en-AU"/>
              </w:rPr>
              <w:t>POP</w:t>
            </w:r>
            <w:r w:rsidRPr="00100F0A">
              <w:rPr>
                <w:rFonts w:asciiTheme="minorHAnsi" w:eastAsia="Times New Roman" w:hAnsiTheme="minorHAnsi" w:cstheme="minorHAnsi"/>
                <w:color w:val="000000"/>
                <w:sz w:val="18"/>
                <w:szCs w:val="18"/>
                <w:lang w:eastAsia="en-AU"/>
              </w:rPr>
              <w:t xml:space="preserve"> waste arose in 2016-17 and the current installed infrastructure capacity is </w:t>
            </w:r>
            <w:r w:rsidR="002328FE" w:rsidRPr="009D734D">
              <w:rPr>
                <w:rFonts w:asciiTheme="minorHAnsi" w:eastAsia="Times New Roman" w:hAnsiTheme="minorHAnsi" w:cstheme="minorHAnsi"/>
                <w:color w:val="000000"/>
                <w:sz w:val="18"/>
                <w:szCs w:val="18"/>
                <w:highlight w:val="red"/>
                <w:lang w:eastAsia="en-AU"/>
              </w:rPr>
              <w:t>CIC</w:t>
            </w:r>
            <w:r w:rsidRPr="00100F0A">
              <w:rPr>
                <w:rFonts w:asciiTheme="minorHAnsi" w:eastAsia="Times New Roman" w:hAnsiTheme="minorHAnsi" w:cstheme="minorHAnsi"/>
                <w:color w:val="000000"/>
                <w:sz w:val="18"/>
                <w:szCs w:val="18"/>
                <w:lang w:eastAsia="en-AU"/>
              </w:rPr>
              <w:t xml:space="preserve"> kt. Around </w:t>
            </w:r>
            <w:r w:rsidR="002328FE" w:rsidRPr="009D734D">
              <w:rPr>
                <w:rFonts w:asciiTheme="minorHAnsi" w:eastAsia="Times New Roman" w:hAnsiTheme="minorHAnsi" w:cstheme="minorHAnsi"/>
                <w:color w:val="000000"/>
                <w:sz w:val="18"/>
                <w:szCs w:val="18"/>
                <w:highlight w:val="red"/>
                <w:lang w:eastAsia="en-AU"/>
              </w:rPr>
              <w:t>CIC</w:t>
            </w:r>
            <w:r w:rsidRPr="00100F0A">
              <w:rPr>
                <w:rFonts w:asciiTheme="minorHAnsi" w:eastAsia="Times New Roman" w:hAnsiTheme="minorHAnsi" w:cstheme="minorHAnsi"/>
                <w:color w:val="000000"/>
                <w:sz w:val="18"/>
                <w:szCs w:val="18"/>
                <w:lang w:eastAsia="en-AU"/>
              </w:rPr>
              <w:t xml:space="preserve"> kt of the current installed capacity has only become operational in 2018 and in the past couple of years Australia's designated </w:t>
            </w:r>
            <w:r w:rsidR="00374225">
              <w:rPr>
                <w:rFonts w:asciiTheme="minorHAnsi" w:eastAsia="Times New Roman" w:hAnsiTheme="minorHAnsi" w:cstheme="minorHAnsi"/>
                <w:color w:val="000000"/>
                <w:sz w:val="18"/>
                <w:szCs w:val="18"/>
                <w:lang w:eastAsia="en-AU"/>
              </w:rPr>
              <w:t>POP</w:t>
            </w:r>
            <w:r w:rsidRPr="00100F0A">
              <w:rPr>
                <w:rFonts w:asciiTheme="minorHAnsi" w:eastAsia="Times New Roman" w:hAnsiTheme="minorHAnsi" w:cstheme="minorHAnsi"/>
                <w:color w:val="000000"/>
                <w:sz w:val="18"/>
                <w:szCs w:val="18"/>
                <w:lang w:eastAsia="en-AU"/>
              </w:rPr>
              <w:t xml:space="preserve"> destruction capacity has been limited. An additional </w:t>
            </w:r>
            <w:r w:rsidR="002328FE" w:rsidRPr="009D734D">
              <w:rPr>
                <w:rFonts w:asciiTheme="minorHAnsi" w:eastAsia="Times New Roman" w:hAnsiTheme="minorHAnsi" w:cstheme="minorHAnsi"/>
                <w:color w:val="000000"/>
                <w:sz w:val="18"/>
                <w:szCs w:val="18"/>
                <w:highlight w:val="red"/>
                <w:lang w:eastAsia="en-AU"/>
              </w:rPr>
              <w:t>CIC</w:t>
            </w:r>
            <w:r w:rsidR="002328FE" w:rsidRPr="00100F0A">
              <w:rPr>
                <w:rFonts w:asciiTheme="minorHAnsi" w:eastAsia="Times New Roman" w:hAnsiTheme="minorHAnsi" w:cstheme="minorHAnsi"/>
                <w:color w:val="000000"/>
                <w:sz w:val="18"/>
                <w:szCs w:val="18"/>
                <w:lang w:eastAsia="en-AU"/>
              </w:rPr>
              <w:t xml:space="preserve"> </w:t>
            </w:r>
            <w:r w:rsidRPr="00100F0A">
              <w:rPr>
                <w:rFonts w:asciiTheme="minorHAnsi" w:eastAsia="Times New Roman" w:hAnsiTheme="minorHAnsi" w:cstheme="minorHAnsi"/>
                <w:color w:val="000000"/>
                <w:sz w:val="18"/>
                <w:szCs w:val="18"/>
                <w:lang w:eastAsia="en-AU"/>
              </w:rPr>
              <w:t xml:space="preserve">kt of </w:t>
            </w:r>
            <w:r w:rsidR="00374225">
              <w:rPr>
                <w:rFonts w:asciiTheme="minorHAnsi" w:eastAsia="Times New Roman" w:hAnsiTheme="minorHAnsi" w:cstheme="minorHAnsi"/>
                <w:color w:val="000000"/>
                <w:sz w:val="18"/>
                <w:szCs w:val="18"/>
                <w:lang w:eastAsia="en-AU"/>
              </w:rPr>
              <w:t>POP</w:t>
            </w:r>
            <w:r w:rsidRPr="00100F0A">
              <w:rPr>
                <w:rFonts w:asciiTheme="minorHAnsi" w:eastAsia="Times New Roman" w:hAnsiTheme="minorHAnsi" w:cstheme="minorHAnsi"/>
                <w:color w:val="000000"/>
                <w:sz w:val="18"/>
                <w:szCs w:val="18"/>
                <w:lang w:eastAsia="en-AU"/>
              </w:rPr>
              <w:t xml:space="preserve"> thermal destruction capacity is expected in the near future. It should be noted that around </w:t>
            </w:r>
            <w:r w:rsidR="002328FE" w:rsidRPr="009D734D">
              <w:rPr>
                <w:rFonts w:asciiTheme="minorHAnsi" w:eastAsia="Times New Roman" w:hAnsiTheme="minorHAnsi" w:cstheme="minorHAnsi"/>
                <w:color w:val="000000"/>
                <w:sz w:val="18"/>
                <w:szCs w:val="18"/>
                <w:highlight w:val="red"/>
                <w:lang w:eastAsia="en-AU"/>
              </w:rPr>
              <w:t>CIC</w:t>
            </w:r>
            <w:r w:rsidR="00B6038F">
              <w:rPr>
                <w:rFonts w:asciiTheme="minorHAnsi" w:eastAsia="Times New Roman" w:hAnsiTheme="minorHAnsi" w:cstheme="minorHAnsi"/>
                <w:color w:val="000000"/>
                <w:sz w:val="18"/>
                <w:szCs w:val="18"/>
                <w:lang w:eastAsia="en-AU"/>
              </w:rPr>
              <w:t xml:space="preserve"> </w:t>
            </w:r>
            <w:r w:rsidRPr="00100F0A">
              <w:rPr>
                <w:rFonts w:asciiTheme="minorHAnsi" w:eastAsia="Times New Roman" w:hAnsiTheme="minorHAnsi" w:cstheme="minorHAnsi"/>
                <w:color w:val="000000"/>
                <w:sz w:val="18"/>
                <w:szCs w:val="18"/>
                <w:lang w:eastAsia="en-AU"/>
              </w:rPr>
              <w:t>kt of this additional capacity will be mobile and may be setup on</w:t>
            </w:r>
            <w:r w:rsidR="00B6038F">
              <w:rPr>
                <w:rFonts w:asciiTheme="minorHAnsi" w:eastAsia="Times New Roman" w:hAnsiTheme="minorHAnsi" w:cstheme="minorHAnsi"/>
                <w:color w:val="000000"/>
                <w:sz w:val="18"/>
                <w:szCs w:val="18"/>
                <w:lang w:eastAsia="en-AU"/>
              </w:rPr>
              <w:t>-</w:t>
            </w:r>
            <w:r w:rsidRPr="00100F0A">
              <w:rPr>
                <w:rFonts w:asciiTheme="minorHAnsi" w:eastAsia="Times New Roman" w:hAnsiTheme="minorHAnsi" w:cstheme="minorHAnsi"/>
                <w:color w:val="000000"/>
                <w:sz w:val="18"/>
                <w:szCs w:val="18"/>
                <w:lang w:eastAsia="en-AU"/>
              </w:rPr>
              <w:t>site for specific projects.</w:t>
            </w:r>
            <w:r w:rsidRPr="00100F0A">
              <w:rPr>
                <w:rFonts w:asciiTheme="minorHAnsi" w:eastAsia="Times New Roman" w:hAnsiTheme="minorHAnsi" w:cstheme="minorHAnsi"/>
                <w:color w:val="000000"/>
                <w:sz w:val="18"/>
                <w:szCs w:val="18"/>
                <w:lang w:eastAsia="en-AU"/>
              </w:rPr>
              <w:br/>
              <w:t xml:space="preserve">However, under all scenarios the current and expected future </w:t>
            </w:r>
            <w:r w:rsidR="00374225">
              <w:rPr>
                <w:rFonts w:asciiTheme="minorHAnsi" w:eastAsia="Times New Roman" w:hAnsiTheme="minorHAnsi" w:cstheme="minorHAnsi"/>
                <w:color w:val="000000"/>
                <w:sz w:val="18"/>
                <w:szCs w:val="18"/>
                <w:lang w:eastAsia="en-AU"/>
              </w:rPr>
              <w:t>POP</w:t>
            </w:r>
            <w:r w:rsidRPr="00100F0A">
              <w:rPr>
                <w:rFonts w:asciiTheme="minorHAnsi" w:eastAsia="Times New Roman" w:hAnsiTheme="minorHAnsi" w:cstheme="minorHAnsi"/>
                <w:color w:val="000000"/>
                <w:sz w:val="18"/>
                <w:szCs w:val="18"/>
                <w:lang w:eastAsia="en-AU"/>
              </w:rPr>
              <w:t xml:space="preserve"> capacity would be greatly exceeded in 2020 when, under the best estimate scenario, arisings are projected to increase to over 400 kt and increase to 450 kt by 2037. The major increases in arisings in 2020 are driven by major increases in PFAS contaminated waste (soils, AFFF, biosolids) in 2020 and by increases in POP-BDEs and HBCD waste starting in 2023. Whilst this identifies a major gap in Australia's dedicated </w:t>
            </w:r>
            <w:r w:rsidR="00374225">
              <w:rPr>
                <w:rFonts w:asciiTheme="minorHAnsi" w:eastAsia="Times New Roman" w:hAnsiTheme="minorHAnsi" w:cstheme="minorHAnsi"/>
                <w:color w:val="000000"/>
                <w:sz w:val="18"/>
                <w:szCs w:val="18"/>
                <w:lang w:eastAsia="en-AU"/>
              </w:rPr>
              <w:t>POP</w:t>
            </w:r>
            <w:r w:rsidRPr="00100F0A">
              <w:rPr>
                <w:rFonts w:asciiTheme="minorHAnsi" w:eastAsia="Times New Roman" w:hAnsiTheme="minorHAnsi" w:cstheme="minorHAnsi"/>
                <w:color w:val="000000"/>
                <w:sz w:val="18"/>
                <w:szCs w:val="18"/>
                <w:lang w:eastAsia="en-AU"/>
              </w:rPr>
              <w:t xml:space="preserve"> thermal destruction capacity, the capacity assessment uncertainty for this group is very high. The following issues need to be considered</w:t>
            </w:r>
            <w:r w:rsidRPr="00B6038F">
              <w:rPr>
                <w:rFonts w:asciiTheme="minorHAnsi" w:eastAsia="Times New Roman" w:hAnsiTheme="minorHAnsi" w:cstheme="minorHAnsi"/>
                <w:color w:val="000000"/>
                <w:sz w:val="18"/>
                <w:szCs w:val="18"/>
                <w:lang w:eastAsia="en-AU"/>
              </w:rPr>
              <w:t xml:space="preserve"> </w:t>
            </w:r>
            <w:r w:rsidRPr="00A307F3">
              <w:rPr>
                <w:rFonts w:asciiTheme="minorHAnsi" w:eastAsia="Times New Roman" w:hAnsiTheme="minorHAnsi" w:cstheme="minorHAnsi"/>
                <w:color w:val="000000"/>
                <w:sz w:val="18"/>
                <w:szCs w:val="18"/>
                <w:lang w:eastAsia="en-AU"/>
              </w:rPr>
              <w:t xml:space="preserve">that could provide sufficient </w:t>
            </w:r>
            <w:r w:rsidR="00374225" w:rsidRPr="00A307F3">
              <w:rPr>
                <w:rFonts w:asciiTheme="minorHAnsi" w:eastAsia="Times New Roman" w:hAnsiTheme="minorHAnsi" w:cstheme="minorHAnsi"/>
                <w:color w:val="000000"/>
                <w:sz w:val="18"/>
                <w:szCs w:val="18"/>
                <w:lang w:eastAsia="en-AU"/>
              </w:rPr>
              <w:t>POP</w:t>
            </w:r>
            <w:r w:rsidRPr="00A307F3">
              <w:rPr>
                <w:rFonts w:asciiTheme="minorHAnsi" w:eastAsia="Times New Roman" w:hAnsiTheme="minorHAnsi" w:cstheme="minorHAnsi"/>
                <w:color w:val="000000"/>
                <w:sz w:val="18"/>
                <w:szCs w:val="18"/>
                <w:lang w:eastAsia="en-AU"/>
              </w:rPr>
              <w:t xml:space="preserve"> destruction capacity in future</w:t>
            </w:r>
            <w:r w:rsidRPr="00B6038F">
              <w:rPr>
                <w:rFonts w:asciiTheme="minorHAnsi" w:eastAsia="Times New Roman" w:hAnsiTheme="minorHAnsi" w:cstheme="minorHAnsi"/>
                <w:color w:val="000000"/>
                <w:sz w:val="18"/>
                <w:szCs w:val="18"/>
                <w:lang w:eastAsia="en-AU"/>
              </w:rPr>
              <w:t xml:space="preserve">: </w:t>
            </w:r>
            <w:r w:rsidRPr="00B6038F">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t xml:space="preserve">1. </w:t>
            </w:r>
            <w:r w:rsidR="00374225">
              <w:rPr>
                <w:rFonts w:asciiTheme="minorHAnsi" w:eastAsia="Times New Roman" w:hAnsiTheme="minorHAnsi" w:cstheme="minorHAnsi"/>
                <w:color w:val="000000"/>
                <w:sz w:val="18"/>
                <w:szCs w:val="18"/>
                <w:lang w:eastAsia="en-AU"/>
              </w:rPr>
              <w:t>POP</w:t>
            </w:r>
            <w:r w:rsidRPr="00100F0A">
              <w:rPr>
                <w:rFonts w:asciiTheme="minorHAnsi" w:eastAsia="Times New Roman" w:hAnsiTheme="minorHAnsi" w:cstheme="minorHAnsi"/>
                <w:color w:val="000000"/>
                <w:sz w:val="18"/>
                <w:szCs w:val="18"/>
                <w:lang w:eastAsia="en-AU"/>
              </w:rPr>
              <w:t xml:space="preserve"> TD capacity within soils treatment facilities. By 2020, as noted above, Australia should have soil treatment facilities that are able to receive </w:t>
            </w:r>
            <w:r w:rsidR="00374225">
              <w:rPr>
                <w:rFonts w:asciiTheme="minorHAnsi" w:eastAsia="Times New Roman" w:hAnsiTheme="minorHAnsi" w:cstheme="minorHAnsi"/>
                <w:color w:val="000000"/>
                <w:sz w:val="18"/>
                <w:szCs w:val="18"/>
                <w:lang w:eastAsia="en-AU"/>
              </w:rPr>
              <w:t>POP</w:t>
            </w:r>
            <w:r w:rsidRPr="00100F0A">
              <w:rPr>
                <w:rFonts w:asciiTheme="minorHAnsi" w:eastAsia="Times New Roman" w:hAnsiTheme="minorHAnsi" w:cstheme="minorHAnsi"/>
                <w:color w:val="000000"/>
                <w:sz w:val="18"/>
                <w:szCs w:val="18"/>
                <w:lang w:eastAsia="en-AU"/>
              </w:rPr>
              <w:t xml:space="preserve">, with a </w:t>
            </w:r>
            <w:r w:rsidRPr="00A307F3">
              <w:rPr>
                <w:rFonts w:asciiTheme="minorHAnsi" w:eastAsia="Times New Roman" w:hAnsiTheme="minorHAnsi" w:cstheme="minorHAnsi"/>
                <w:color w:val="000000"/>
                <w:sz w:val="18"/>
                <w:szCs w:val="18"/>
                <w:lang w:eastAsia="en-AU"/>
              </w:rPr>
              <w:t>total</w:t>
            </w:r>
            <w:r w:rsidRPr="00100F0A">
              <w:rPr>
                <w:rFonts w:asciiTheme="minorHAnsi" w:eastAsia="Times New Roman" w:hAnsiTheme="minorHAnsi" w:cstheme="minorHAnsi"/>
                <w:color w:val="000000"/>
                <w:sz w:val="18"/>
                <w:szCs w:val="18"/>
                <w:lang w:eastAsia="en-AU"/>
              </w:rPr>
              <w:t xml:space="preserve"> installed capacity </w:t>
            </w:r>
            <w:r w:rsidR="00B90E8F" w:rsidRPr="00100F0A">
              <w:rPr>
                <w:rFonts w:asciiTheme="minorHAnsi" w:eastAsia="Times New Roman" w:hAnsiTheme="minorHAnsi" w:cstheme="minorHAnsi"/>
                <w:color w:val="000000"/>
                <w:sz w:val="18"/>
                <w:szCs w:val="18"/>
                <w:lang w:eastAsia="en-AU"/>
              </w:rPr>
              <w:t>of over</w:t>
            </w:r>
            <w:r w:rsidRPr="00100F0A">
              <w:rPr>
                <w:rFonts w:asciiTheme="minorHAnsi" w:eastAsia="Times New Roman" w:hAnsiTheme="minorHAnsi" w:cstheme="minorHAnsi"/>
                <w:color w:val="000000"/>
                <w:sz w:val="18"/>
                <w:szCs w:val="18"/>
                <w:lang w:eastAsia="en-AU"/>
              </w:rPr>
              <w:t xml:space="preserve"> 300 kt. The capacity of these facilities to receive </w:t>
            </w:r>
            <w:r w:rsidR="00374225">
              <w:rPr>
                <w:rFonts w:asciiTheme="minorHAnsi" w:eastAsia="Times New Roman" w:hAnsiTheme="minorHAnsi" w:cstheme="minorHAnsi"/>
                <w:color w:val="000000"/>
                <w:sz w:val="18"/>
                <w:szCs w:val="18"/>
                <w:lang w:eastAsia="en-AU"/>
              </w:rPr>
              <w:t>POP</w:t>
            </w:r>
            <w:r w:rsidRPr="00100F0A">
              <w:rPr>
                <w:rFonts w:asciiTheme="minorHAnsi" w:eastAsia="Times New Roman" w:hAnsiTheme="minorHAnsi" w:cstheme="minorHAnsi"/>
                <w:color w:val="000000"/>
                <w:sz w:val="18"/>
                <w:szCs w:val="18"/>
                <w:lang w:eastAsia="en-AU"/>
              </w:rPr>
              <w:t xml:space="preserve"> is not yet clear and for this assessment a conservative estimate is made of less than </w:t>
            </w:r>
            <w:r w:rsidR="002328FE" w:rsidRPr="009D734D">
              <w:rPr>
                <w:rFonts w:asciiTheme="minorHAnsi" w:eastAsia="Times New Roman" w:hAnsiTheme="minorHAnsi" w:cstheme="minorHAnsi"/>
                <w:color w:val="000000"/>
                <w:sz w:val="18"/>
                <w:szCs w:val="18"/>
                <w:highlight w:val="red"/>
                <w:lang w:eastAsia="en-AU"/>
              </w:rPr>
              <w:t>CIC</w:t>
            </w:r>
            <w:r w:rsidRPr="00100F0A">
              <w:rPr>
                <w:rFonts w:asciiTheme="minorHAnsi" w:eastAsia="Times New Roman" w:hAnsiTheme="minorHAnsi" w:cstheme="minorHAnsi"/>
                <w:color w:val="000000"/>
                <w:sz w:val="18"/>
                <w:szCs w:val="18"/>
                <w:lang w:eastAsia="en-AU"/>
              </w:rPr>
              <w:t xml:space="preserve"> kt of </w:t>
            </w:r>
            <w:r w:rsidR="00374225">
              <w:rPr>
                <w:rFonts w:asciiTheme="minorHAnsi" w:eastAsia="Times New Roman" w:hAnsiTheme="minorHAnsi" w:cstheme="minorHAnsi"/>
                <w:color w:val="000000"/>
                <w:sz w:val="18"/>
                <w:szCs w:val="18"/>
                <w:lang w:eastAsia="en-AU"/>
              </w:rPr>
              <w:t>POP</w:t>
            </w:r>
            <w:r w:rsidRPr="00100F0A">
              <w:rPr>
                <w:rFonts w:asciiTheme="minorHAnsi" w:eastAsia="Times New Roman" w:hAnsiTheme="minorHAnsi" w:cstheme="minorHAnsi"/>
                <w:color w:val="000000"/>
                <w:sz w:val="18"/>
                <w:szCs w:val="18"/>
                <w:lang w:eastAsia="en-AU"/>
              </w:rPr>
              <w:t xml:space="preserve"> waste capacity within these facilities. It is possible that PFAS contaminated waste (soil and biosolids in particular) may</w:t>
            </w:r>
            <w:r w:rsidR="00B6038F">
              <w:rPr>
                <w:rFonts w:asciiTheme="minorHAnsi" w:eastAsia="Times New Roman" w:hAnsiTheme="minorHAnsi" w:cstheme="minorHAnsi"/>
                <w:color w:val="000000"/>
                <w:sz w:val="18"/>
                <w:szCs w:val="18"/>
                <w:lang w:eastAsia="en-AU"/>
              </w:rPr>
              <w:t xml:space="preserve"> </w:t>
            </w:r>
            <w:r w:rsidRPr="00100F0A">
              <w:rPr>
                <w:rFonts w:asciiTheme="minorHAnsi" w:eastAsia="Times New Roman" w:hAnsiTheme="minorHAnsi" w:cstheme="minorHAnsi"/>
                <w:color w:val="000000"/>
                <w:sz w:val="18"/>
                <w:szCs w:val="18"/>
                <w:lang w:eastAsia="en-AU"/>
              </w:rPr>
              <w:t xml:space="preserve">be treated by these </w:t>
            </w:r>
          </w:p>
          <w:p w14:paraId="19963504" w14:textId="77777777" w:rsidR="004E3C14" w:rsidRDefault="00961B22" w:rsidP="0097520F">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facilities in much larger tonnages sufficient to manage the projected arisings.</w:t>
            </w:r>
          </w:p>
          <w:p w14:paraId="6FDF0F4F" w14:textId="00676386" w:rsidR="004E3C14" w:rsidRDefault="00961B22" w:rsidP="0097520F">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br/>
              <w:t xml:space="preserve">2. </w:t>
            </w:r>
            <w:r w:rsidR="00374225">
              <w:rPr>
                <w:rFonts w:asciiTheme="minorHAnsi" w:eastAsia="Times New Roman" w:hAnsiTheme="minorHAnsi" w:cstheme="minorHAnsi"/>
                <w:color w:val="000000"/>
                <w:sz w:val="18"/>
                <w:szCs w:val="18"/>
                <w:lang w:eastAsia="en-AU"/>
              </w:rPr>
              <w:t>POP</w:t>
            </w:r>
            <w:r w:rsidRPr="00100F0A">
              <w:rPr>
                <w:rFonts w:asciiTheme="minorHAnsi" w:eastAsia="Times New Roman" w:hAnsiTheme="minorHAnsi" w:cstheme="minorHAnsi"/>
                <w:color w:val="000000"/>
                <w:sz w:val="18"/>
                <w:szCs w:val="18"/>
                <w:lang w:eastAsia="en-AU"/>
              </w:rPr>
              <w:t xml:space="preserve"> TD capacity within cement kilns. Cement kilns in Australia are currently destroying some </w:t>
            </w:r>
            <w:r w:rsidR="00374225">
              <w:rPr>
                <w:rFonts w:asciiTheme="minorHAnsi" w:eastAsia="Times New Roman" w:hAnsiTheme="minorHAnsi" w:cstheme="minorHAnsi"/>
                <w:color w:val="000000"/>
                <w:sz w:val="18"/>
                <w:szCs w:val="18"/>
                <w:lang w:eastAsia="en-AU"/>
              </w:rPr>
              <w:t>POP</w:t>
            </w:r>
            <w:r w:rsidRPr="00100F0A">
              <w:rPr>
                <w:rFonts w:asciiTheme="minorHAnsi" w:eastAsia="Times New Roman" w:hAnsiTheme="minorHAnsi" w:cstheme="minorHAnsi"/>
                <w:color w:val="000000"/>
                <w:sz w:val="18"/>
                <w:szCs w:val="18"/>
                <w:lang w:eastAsia="en-AU"/>
              </w:rPr>
              <w:t xml:space="preserve"> including PFOS. The capacity of Australia's cement kilns to destroy </w:t>
            </w:r>
            <w:r w:rsidR="00374225">
              <w:rPr>
                <w:rFonts w:asciiTheme="minorHAnsi" w:eastAsia="Times New Roman" w:hAnsiTheme="minorHAnsi" w:cstheme="minorHAnsi"/>
                <w:color w:val="000000"/>
                <w:sz w:val="18"/>
                <w:szCs w:val="18"/>
                <w:lang w:eastAsia="en-AU"/>
              </w:rPr>
              <w:t>POP</w:t>
            </w:r>
            <w:r w:rsidRPr="00100F0A">
              <w:rPr>
                <w:rFonts w:asciiTheme="minorHAnsi" w:eastAsia="Times New Roman" w:hAnsiTheme="minorHAnsi" w:cstheme="minorHAnsi"/>
                <w:color w:val="000000"/>
                <w:sz w:val="18"/>
                <w:szCs w:val="18"/>
                <w:lang w:eastAsia="en-AU"/>
              </w:rPr>
              <w:t xml:space="preserve"> is estimated to be </w:t>
            </w:r>
            <w:r w:rsidR="002328FE" w:rsidRPr="009D734D">
              <w:rPr>
                <w:rFonts w:asciiTheme="minorHAnsi" w:eastAsia="Times New Roman" w:hAnsiTheme="minorHAnsi" w:cstheme="minorHAnsi"/>
                <w:color w:val="000000"/>
                <w:sz w:val="18"/>
                <w:szCs w:val="18"/>
                <w:highlight w:val="red"/>
                <w:lang w:eastAsia="en-AU"/>
              </w:rPr>
              <w:t>CIC</w:t>
            </w:r>
            <w:r w:rsidRPr="00100F0A">
              <w:rPr>
                <w:rFonts w:asciiTheme="minorHAnsi" w:eastAsia="Times New Roman" w:hAnsiTheme="minorHAnsi" w:cstheme="minorHAnsi"/>
                <w:color w:val="000000"/>
                <w:sz w:val="18"/>
                <w:szCs w:val="18"/>
                <w:lang w:eastAsia="en-AU"/>
              </w:rPr>
              <w:t xml:space="preserve"> kt</w:t>
            </w:r>
            <w:r w:rsidR="00B6038F">
              <w:rPr>
                <w:rFonts w:asciiTheme="minorHAnsi" w:eastAsia="Times New Roman" w:hAnsiTheme="minorHAnsi" w:cstheme="minorHAnsi"/>
                <w:color w:val="000000"/>
                <w:sz w:val="18"/>
                <w:szCs w:val="18"/>
                <w:lang w:eastAsia="en-AU"/>
              </w:rPr>
              <w:t>/yr</w:t>
            </w:r>
            <w:r w:rsidRPr="00100F0A">
              <w:rPr>
                <w:rFonts w:asciiTheme="minorHAnsi" w:eastAsia="Times New Roman" w:hAnsiTheme="minorHAnsi" w:cstheme="minorHAnsi"/>
                <w:color w:val="000000"/>
                <w:sz w:val="18"/>
                <w:szCs w:val="18"/>
                <w:lang w:eastAsia="en-AU"/>
              </w:rPr>
              <w:t xml:space="preserve">. The capacity of cement kilns to destroy additional </w:t>
            </w:r>
            <w:r w:rsidR="00374225">
              <w:rPr>
                <w:rFonts w:asciiTheme="minorHAnsi" w:eastAsia="Times New Roman" w:hAnsiTheme="minorHAnsi" w:cstheme="minorHAnsi"/>
                <w:color w:val="000000"/>
                <w:sz w:val="18"/>
                <w:szCs w:val="18"/>
                <w:lang w:eastAsia="en-AU"/>
              </w:rPr>
              <w:t>POP</w:t>
            </w:r>
            <w:r w:rsidRPr="00100F0A">
              <w:rPr>
                <w:rFonts w:asciiTheme="minorHAnsi" w:eastAsia="Times New Roman" w:hAnsiTheme="minorHAnsi" w:cstheme="minorHAnsi"/>
                <w:color w:val="000000"/>
                <w:sz w:val="18"/>
                <w:szCs w:val="18"/>
                <w:lang w:eastAsia="en-AU"/>
              </w:rPr>
              <w:t xml:space="preserve"> tonnages </w:t>
            </w:r>
            <w:r w:rsidR="00B6038F">
              <w:rPr>
                <w:rFonts w:asciiTheme="minorHAnsi" w:eastAsia="Times New Roman" w:hAnsiTheme="minorHAnsi" w:cstheme="minorHAnsi"/>
                <w:color w:val="000000"/>
                <w:sz w:val="18"/>
                <w:szCs w:val="18"/>
                <w:lang w:eastAsia="en-AU"/>
              </w:rPr>
              <w:t>i</w:t>
            </w:r>
            <w:r w:rsidRPr="00100F0A">
              <w:rPr>
                <w:rFonts w:asciiTheme="minorHAnsi" w:eastAsia="Times New Roman" w:hAnsiTheme="minorHAnsi" w:cstheme="minorHAnsi"/>
                <w:color w:val="000000"/>
                <w:sz w:val="18"/>
                <w:szCs w:val="18"/>
                <w:lang w:eastAsia="en-AU"/>
              </w:rPr>
              <w:t xml:space="preserve">s unknown and there may be additional capacity if the appropriate testing and license approvals were successful. </w:t>
            </w:r>
          </w:p>
          <w:p w14:paraId="59120A86" w14:textId="77777777" w:rsidR="004E3C14" w:rsidRDefault="00961B22" w:rsidP="0097520F">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br/>
              <w:t xml:space="preserve">3. </w:t>
            </w:r>
            <w:r w:rsidR="00374225">
              <w:rPr>
                <w:rFonts w:asciiTheme="minorHAnsi" w:eastAsia="Times New Roman" w:hAnsiTheme="minorHAnsi" w:cstheme="minorHAnsi"/>
                <w:color w:val="000000"/>
                <w:sz w:val="18"/>
                <w:szCs w:val="18"/>
                <w:lang w:eastAsia="en-AU"/>
              </w:rPr>
              <w:t>POP</w:t>
            </w:r>
            <w:r w:rsidRPr="00100F0A">
              <w:rPr>
                <w:rFonts w:asciiTheme="minorHAnsi" w:eastAsia="Times New Roman" w:hAnsiTheme="minorHAnsi" w:cstheme="minorHAnsi"/>
                <w:color w:val="000000"/>
                <w:sz w:val="18"/>
                <w:szCs w:val="18"/>
                <w:lang w:eastAsia="en-AU"/>
              </w:rPr>
              <w:t xml:space="preserve"> TD capacity within </w:t>
            </w:r>
            <w:r w:rsidR="00B6038F">
              <w:rPr>
                <w:rFonts w:asciiTheme="minorHAnsi" w:eastAsia="Times New Roman" w:hAnsiTheme="minorHAnsi" w:cstheme="minorHAnsi"/>
                <w:color w:val="000000"/>
                <w:sz w:val="18"/>
                <w:szCs w:val="18"/>
                <w:lang w:eastAsia="en-AU"/>
              </w:rPr>
              <w:t>c</w:t>
            </w:r>
            <w:r w:rsidRPr="00100F0A">
              <w:rPr>
                <w:rFonts w:asciiTheme="minorHAnsi" w:eastAsia="Times New Roman" w:hAnsiTheme="minorHAnsi" w:cstheme="minorHAnsi"/>
                <w:color w:val="000000"/>
                <w:sz w:val="18"/>
                <w:szCs w:val="18"/>
                <w:lang w:eastAsia="en-AU"/>
              </w:rPr>
              <w:t xml:space="preserve">linical waste TD facilities. Daniels (Toxfree) Laverton facility is licenced for highly contaminated PCB waste. Daniels (Toxfree) did not state the potential tonnages of </w:t>
            </w:r>
            <w:r w:rsidR="00374225">
              <w:rPr>
                <w:rFonts w:asciiTheme="minorHAnsi" w:eastAsia="Times New Roman" w:hAnsiTheme="minorHAnsi" w:cstheme="minorHAnsi"/>
                <w:color w:val="000000"/>
                <w:sz w:val="18"/>
                <w:szCs w:val="18"/>
                <w:lang w:eastAsia="en-AU"/>
              </w:rPr>
              <w:t>POP</w:t>
            </w:r>
            <w:r w:rsidRPr="00100F0A">
              <w:rPr>
                <w:rFonts w:asciiTheme="minorHAnsi" w:eastAsia="Times New Roman" w:hAnsiTheme="minorHAnsi" w:cstheme="minorHAnsi"/>
                <w:color w:val="000000"/>
                <w:sz w:val="18"/>
                <w:szCs w:val="18"/>
                <w:lang w:eastAsia="en-AU"/>
              </w:rPr>
              <w:t xml:space="preserve"> that could be destroyed at the facility.  </w:t>
            </w:r>
            <w:r w:rsidRPr="00100F0A">
              <w:rPr>
                <w:rFonts w:asciiTheme="minorHAnsi" w:eastAsia="Times New Roman" w:hAnsiTheme="minorHAnsi" w:cstheme="minorHAnsi"/>
                <w:color w:val="000000"/>
                <w:sz w:val="18"/>
                <w:szCs w:val="18"/>
                <w:lang w:eastAsia="en-AU"/>
              </w:rPr>
              <w:br/>
              <w:t xml:space="preserve">It may be the case that the current and planned suite of infrastructure that is able to destroy </w:t>
            </w:r>
            <w:r w:rsidR="00374225">
              <w:rPr>
                <w:rFonts w:asciiTheme="minorHAnsi" w:eastAsia="Times New Roman" w:hAnsiTheme="minorHAnsi" w:cstheme="minorHAnsi"/>
                <w:color w:val="000000"/>
                <w:sz w:val="18"/>
                <w:szCs w:val="18"/>
                <w:lang w:eastAsia="en-AU"/>
              </w:rPr>
              <w:t>POP</w:t>
            </w:r>
            <w:r w:rsidRPr="00100F0A">
              <w:rPr>
                <w:rFonts w:asciiTheme="minorHAnsi" w:eastAsia="Times New Roman" w:hAnsiTheme="minorHAnsi" w:cstheme="minorHAnsi"/>
                <w:color w:val="000000"/>
                <w:sz w:val="18"/>
                <w:szCs w:val="18"/>
                <w:lang w:eastAsia="en-AU"/>
              </w:rPr>
              <w:t xml:space="preserve"> can manage the projected tonnages of </w:t>
            </w:r>
            <w:r w:rsidR="00374225">
              <w:rPr>
                <w:rFonts w:asciiTheme="minorHAnsi" w:eastAsia="Times New Roman" w:hAnsiTheme="minorHAnsi" w:cstheme="minorHAnsi"/>
                <w:color w:val="000000"/>
                <w:sz w:val="18"/>
                <w:szCs w:val="18"/>
                <w:lang w:eastAsia="en-AU"/>
              </w:rPr>
              <w:t>POP</w:t>
            </w:r>
            <w:r w:rsidRPr="00100F0A">
              <w:rPr>
                <w:rFonts w:asciiTheme="minorHAnsi" w:eastAsia="Times New Roman" w:hAnsiTheme="minorHAnsi" w:cstheme="minorHAnsi"/>
                <w:color w:val="000000"/>
                <w:sz w:val="18"/>
                <w:szCs w:val="18"/>
                <w:lang w:eastAsia="en-AU"/>
              </w:rPr>
              <w:t xml:space="preserve"> wastes. However, it will depend on the ability of the soil treatment, cement kilns and clinical waste destruction facilities ability to demonstrate the destruction of </w:t>
            </w:r>
            <w:r w:rsidR="00374225">
              <w:rPr>
                <w:rFonts w:asciiTheme="minorHAnsi" w:eastAsia="Times New Roman" w:hAnsiTheme="minorHAnsi" w:cstheme="minorHAnsi"/>
                <w:color w:val="000000"/>
                <w:sz w:val="18"/>
                <w:szCs w:val="18"/>
                <w:lang w:eastAsia="en-AU"/>
              </w:rPr>
              <w:t>POP</w:t>
            </w:r>
            <w:r w:rsidRPr="00100F0A">
              <w:rPr>
                <w:rFonts w:asciiTheme="minorHAnsi" w:eastAsia="Times New Roman" w:hAnsiTheme="minorHAnsi" w:cstheme="minorHAnsi"/>
                <w:color w:val="000000"/>
                <w:sz w:val="18"/>
                <w:szCs w:val="18"/>
                <w:lang w:eastAsia="en-AU"/>
              </w:rPr>
              <w:t xml:space="preserve"> at the currently licensed limits. Future increases in </w:t>
            </w:r>
            <w:r w:rsidR="00374225">
              <w:rPr>
                <w:rFonts w:asciiTheme="minorHAnsi" w:eastAsia="Times New Roman" w:hAnsiTheme="minorHAnsi" w:cstheme="minorHAnsi"/>
                <w:color w:val="000000"/>
                <w:sz w:val="18"/>
                <w:szCs w:val="18"/>
                <w:lang w:eastAsia="en-AU"/>
              </w:rPr>
              <w:t>POP</w:t>
            </w:r>
            <w:r w:rsidRPr="00100F0A">
              <w:rPr>
                <w:rFonts w:asciiTheme="minorHAnsi" w:eastAsia="Times New Roman" w:hAnsiTheme="minorHAnsi" w:cstheme="minorHAnsi"/>
                <w:color w:val="000000"/>
                <w:sz w:val="18"/>
                <w:szCs w:val="18"/>
                <w:lang w:eastAsia="en-AU"/>
              </w:rPr>
              <w:t xml:space="preserve"> waste may be able to be managed in the current infrastructure set subject demonstration of </w:t>
            </w:r>
            <w:r w:rsidR="00374225">
              <w:rPr>
                <w:rFonts w:asciiTheme="minorHAnsi" w:eastAsia="Times New Roman" w:hAnsiTheme="minorHAnsi" w:cstheme="minorHAnsi"/>
                <w:color w:val="000000"/>
                <w:sz w:val="18"/>
                <w:szCs w:val="18"/>
                <w:lang w:eastAsia="en-AU"/>
              </w:rPr>
              <w:t>POP</w:t>
            </w:r>
            <w:r w:rsidRPr="00100F0A">
              <w:rPr>
                <w:rFonts w:asciiTheme="minorHAnsi" w:eastAsia="Times New Roman" w:hAnsiTheme="minorHAnsi" w:cstheme="minorHAnsi"/>
                <w:color w:val="000000"/>
                <w:sz w:val="18"/>
                <w:szCs w:val="18"/>
                <w:lang w:eastAsia="en-AU"/>
              </w:rPr>
              <w:t xml:space="preserve"> destruction and the approval of large increases in licensed capacities for </w:t>
            </w:r>
            <w:r w:rsidR="00374225">
              <w:rPr>
                <w:rFonts w:asciiTheme="minorHAnsi" w:eastAsia="Times New Roman" w:hAnsiTheme="minorHAnsi" w:cstheme="minorHAnsi"/>
                <w:color w:val="000000"/>
                <w:sz w:val="18"/>
                <w:szCs w:val="18"/>
                <w:lang w:eastAsia="en-AU"/>
              </w:rPr>
              <w:t>POP</w:t>
            </w:r>
            <w:r w:rsidRPr="00100F0A">
              <w:rPr>
                <w:rFonts w:asciiTheme="minorHAnsi" w:eastAsia="Times New Roman" w:hAnsiTheme="minorHAnsi" w:cstheme="minorHAnsi"/>
                <w:color w:val="000000"/>
                <w:sz w:val="18"/>
                <w:szCs w:val="18"/>
                <w:lang w:eastAsia="en-AU"/>
              </w:rPr>
              <w:t xml:space="preserve"> wastes. </w:t>
            </w:r>
          </w:p>
          <w:p w14:paraId="2432E53E" w14:textId="5B5B4FD2" w:rsidR="00961B22" w:rsidRPr="00100F0A" w:rsidRDefault="00961B22" w:rsidP="0097520F">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b/>
                <w:bCs/>
                <w:color w:val="000000"/>
                <w:sz w:val="18"/>
                <w:szCs w:val="18"/>
                <w:lang w:eastAsia="en-AU"/>
              </w:rPr>
              <w:t xml:space="preserve">Recommendation: </w:t>
            </w:r>
            <w:r w:rsidRPr="00100F0A">
              <w:rPr>
                <w:rFonts w:asciiTheme="minorHAnsi" w:eastAsia="Times New Roman" w:hAnsiTheme="minorHAnsi" w:cstheme="minorHAnsi"/>
                <w:color w:val="000000"/>
                <w:sz w:val="18"/>
                <w:szCs w:val="18"/>
                <w:lang w:eastAsia="en-AU"/>
              </w:rPr>
              <w:t xml:space="preserve">DoEE work with jurisdictions and industry to agree an approach to determine the upper limit for tonnages/concentrations that can be </w:t>
            </w:r>
            <w:r w:rsidR="00B90E8F" w:rsidRPr="00100F0A">
              <w:rPr>
                <w:rFonts w:asciiTheme="minorHAnsi" w:eastAsia="Times New Roman" w:hAnsiTheme="minorHAnsi" w:cstheme="minorHAnsi"/>
                <w:color w:val="000000"/>
                <w:sz w:val="18"/>
                <w:szCs w:val="18"/>
                <w:lang w:eastAsia="en-AU"/>
              </w:rPr>
              <w:t>received</w:t>
            </w:r>
            <w:r w:rsidRPr="00100F0A">
              <w:rPr>
                <w:rFonts w:asciiTheme="minorHAnsi" w:eastAsia="Times New Roman" w:hAnsiTheme="minorHAnsi" w:cstheme="minorHAnsi"/>
                <w:color w:val="000000"/>
                <w:sz w:val="18"/>
                <w:szCs w:val="18"/>
                <w:lang w:eastAsia="en-AU"/>
              </w:rPr>
              <w:t xml:space="preserve"> at the high temperature thermal soil treatment facilities, cement kilns and clinical waste thermal destruction units that will ensure thermal destruction of the PFAS, BDE, HBCD, HCB wastes. This information is required to better understand how much additional dedicated </w:t>
            </w:r>
            <w:r w:rsidR="00374225">
              <w:rPr>
                <w:rFonts w:asciiTheme="minorHAnsi" w:eastAsia="Times New Roman" w:hAnsiTheme="minorHAnsi" w:cstheme="minorHAnsi"/>
                <w:color w:val="000000"/>
                <w:sz w:val="18"/>
                <w:szCs w:val="18"/>
                <w:lang w:eastAsia="en-AU"/>
              </w:rPr>
              <w:t>POP</w:t>
            </w:r>
            <w:r w:rsidRPr="00100F0A">
              <w:rPr>
                <w:rFonts w:asciiTheme="minorHAnsi" w:eastAsia="Times New Roman" w:hAnsiTheme="minorHAnsi" w:cstheme="minorHAnsi"/>
                <w:color w:val="000000"/>
                <w:sz w:val="18"/>
                <w:szCs w:val="18"/>
                <w:lang w:eastAsia="en-AU"/>
              </w:rPr>
              <w:t xml:space="preserve"> thermal destruction capacity (from technologies such as plasma arc) may be required in future.</w:t>
            </w:r>
          </w:p>
        </w:tc>
      </w:tr>
      <w:tr w:rsidR="00961B22" w:rsidRPr="00100F0A" w14:paraId="13E231C4" w14:textId="77777777" w:rsidTr="004B656C">
        <w:trPr>
          <w:trHeight w:val="3315"/>
        </w:trPr>
        <w:tc>
          <w:tcPr>
            <w:tcW w:w="195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553C4A9"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Clinical waste facility thermal destruction</w:t>
            </w:r>
          </w:p>
        </w:tc>
        <w:tc>
          <w:tcPr>
            <w:tcW w:w="78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9AC33C0"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21</w:t>
            </w:r>
          </w:p>
        </w:tc>
        <w:tc>
          <w:tcPr>
            <w:tcW w:w="8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E4A3AF8"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33</w:t>
            </w:r>
          </w:p>
        </w:tc>
        <w:tc>
          <w:tcPr>
            <w:tcW w:w="8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0C51D5A"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6</w:t>
            </w:r>
          </w:p>
        </w:tc>
        <w:tc>
          <w:tcPr>
            <w:tcW w:w="130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503D6D8"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Low</w:t>
            </w:r>
          </w:p>
        </w:tc>
        <w:tc>
          <w:tcPr>
            <w:tcW w:w="939"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4F55EB71"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&gt;2037</w:t>
            </w:r>
          </w:p>
        </w:tc>
        <w:tc>
          <w:tcPr>
            <w:tcW w:w="847"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2E363920"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&gt;2037</w:t>
            </w:r>
          </w:p>
        </w:tc>
        <w:tc>
          <w:tcPr>
            <w:tcW w:w="938" w:type="dxa"/>
            <w:gridSpan w:val="3"/>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713A49C1"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&gt;2037</w:t>
            </w:r>
          </w:p>
        </w:tc>
        <w:tc>
          <w:tcPr>
            <w:tcW w:w="6444" w:type="dxa"/>
            <w:tcBorders>
              <w:top w:val="single" w:sz="4" w:space="0" w:color="BFBFBF"/>
              <w:left w:val="single" w:sz="4" w:space="0" w:color="BFBFBF"/>
              <w:bottom w:val="single" w:sz="4" w:space="0" w:color="BFBFBF"/>
              <w:right w:val="single" w:sz="4" w:space="0" w:color="BFBFBF"/>
            </w:tcBorders>
            <w:shd w:val="clear" w:color="000000" w:fill="FFFFFF"/>
            <w:vAlign w:val="center"/>
            <w:hideMark/>
          </w:tcPr>
          <w:p w14:paraId="642C55BD" w14:textId="05806F07" w:rsidR="00961B22" w:rsidRPr="00100F0A" w:rsidRDefault="00961B22" w:rsidP="0097520F">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 xml:space="preserve">Based on the best, high and low projections of arisings, clinical waste thermal destruction infrastructure is estimated to be able to meet national demand over the next 20 years. </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 xml:space="preserve">The estimated 2016-17 arisings of 21 kt aligns with the 20 kt of waste received as reported by industry. With a </w:t>
            </w:r>
            <w:r w:rsidR="00B90E8F" w:rsidRPr="00100F0A">
              <w:rPr>
                <w:rFonts w:asciiTheme="minorHAnsi" w:eastAsia="Times New Roman" w:hAnsiTheme="minorHAnsi" w:cstheme="minorHAnsi"/>
                <w:color w:val="000000"/>
                <w:sz w:val="18"/>
                <w:szCs w:val="18"/>
                <w:lang w:eastAsia="en-AU"/>
              </w:rPr>
              <w:t>currently capacity</w:t>
            </w:r>
            <w:r w:rsidRPr="00100F0A">
              <w:rPr>
                <w:rFonts w:asciiTheme="minorHAnsi" w:eastAsia="Times New Roman" w:hAnsiTheme="minorHAnsi" w:cstheme="minorHAnsi"/>
                <w:color w:val="000000"/>
                <w:sz w:val="18"/>
                <w:szCs w:val="18"/>
                <w:lang w:eastAsia="en-AU"/>
              </w:rPr>
              <w:t xml:space="preserve"> of 33 kt</w:t>
            </w:r>
            <w:r w:rsidR="00D941CC">
              <w:rPr>
                <w:rFonts w:asciiTheme="minorHAnsi" w:eastAsia="Times New Roman" w:hAnsiTheme="minorHAnsi" w:cstheme="minorHAnsi"/>
                <w:color w:val="000000"/>
                <w:sz w:val="18"/>
                <w:szCs w:val="18"/>
                <w:lang w:eastAsia="en-AU"/>
              </w:rPr>
              <w:t>/y</w:t>
            </w:r>
            <w:r w:rsidRPr="00100F0A">
              <w:rPr>
                <w:rFonts w:asciiTheme="minorHAnsi" w:eastAsia="Times New Roman" w:hAnsiTheme="minorHAnsi" w:cstheme="minorHAnsi"/>
                <w:color w:val="000000"/>
                <w:sz w:val="18"/>
                <w:szCs w:val="18"/>
                <w:lang w:eastAsia="en-AU"/>
              </w:rPr>
              <w:t xml:space="preserve"> and an expected increase of 3 kt, there appears to be sufficient clinical waste thermal destruction capacity in Australia. There may be local regional needs, see each </w:t>
            </w:r>
            <w:r w:rsidR="00B90E8F" w:rsidRPr="00100F0A">
              <w:rPr>
                <w:rFonts w:asciiTheme="minorHAnsi" w:eastAsia="Times New Roman" w:hAnsiTheme="minorHAnsi" w:cstheme="minorHAnsi"/>
                <w:color w:val="000000"/>
                <w:sz w:val="18"/>
                <w:szCs w:val="18"/>
                <w:lang w:eastAsia="en-AU"/>
              </w:rPr>
              <w:t>jurisdiction’s section</w:t>
            </w:r>
            <w:r w:rsidRPr="00100F0A">
              <w:rPr>
                <w:rFonts w:asciiTheme="minorHAnsi" w:eastAsia="Times New Roman" w:hAnsiTheme="minorHAnsi" w:cstheme="minorHAnsi"/>
                <w:color w:val="000000"/>
                <w:sz w:val="18"/>
                <w:szCs w:val="18"/>
                <w:lang w:eastAsia="en-AU"/>
              </w:rPr>
              <w:t xml:space="preserve"> below.  </w:t>
            </w:r>
            <w:r w:rsidRPr="00100F0A">
              <w:rPr>
                <w:rFonts w:asciiTheme="minorHAnsi" w:eastAsia="Times New Roman" w:hAnsiTheme="minorHAnsi" w:cstheme="minorHAnsi"/>
                <w:color w:val="000000"/>
                <w:sz w:val="18"/>
                <w:szCs w:val="18"/>
                <w:lang w:eastAsia="en-AU"/>
              </w:rPr>
              <w:br/>
            </w:r>
            <w:r w:rsidRPr="00100F0A">
              <w:rPr>
                <w:rFonts w:asciiTheme="minorHAnsi" w:eastAsia="Times New Roman" w:hAnsiTheme="minorHAnsi" w:cstheme="minorHAnsi"/>
                <w:color w:val="000000"/>
                <w:sz w:val="18"/>
                <w:szCs w:val="18"/>
                <w:lang w:eastAsia="en-AU"/>
              </w:rPr>
              <w:br/>
              <w:t>The spare capacity of this infrastructure group has the potential to be impacted by the demand for POP thermal destruction where the site is currently</w:t>
            </w:r>
            <w:r w:rsidR="00640329">
              <w:rPr>
                <w:rFonts w:asciiTheme="minorHAnsi" w:eastAsia="Times New Roman" w:hAnsiTheme="minorHAnsi" w:cstheme="minorHAnsi"/>
                <w:color w:val="000000"/>
                <w:sz w:val="18"/>
                <w:szCs w:val="18"/>
                <w:lang w:eastAsia="en-AU"/>
              </w:rPr>
              <w:t xml:space="preserve"> </w:t>
            </w:r>
            <w:r w:rsidRPr="00100F0A">
              <w:rPr>
                <w:rFonts w:asciiTheme="minorHAnsi" w:eastAsia="Times New Roman" w:hAnsiTheme="minorHAnsi" w:cstheme="minorHAnsi"/>
                <w:color w:val="000000"/>
                <w:sz w:val="18"/>
                <w:szCs w:val="18"/>
                <w:lang w:eastAsia="en-AU"/>
              </w:rPr>
              <w:t>or gains a licence for POP destruction (see discussion under POP facilities).</w:t>
            </w:r>
            <w:r w:rsidRPr="00100F0A">
              <w:rPr>
                <w:rFonts w:asciiTheme="minorHAnsi" w:eastAsia="Times New Roman" w:hAnsiTheme="minorHAnsi" w:cstheme="minorHAnsi"/>
                <w:color w:val="000000"/>
                <w:sz w:val="18"/>
                <w:szCs w:val="18"/>
                <w:lang w:eastAsia="en-AU"/>
              </w:rPr>
              <w:br/>
              <w:t xml:space="preserve"> </w:t>
            </w:r>
            <w:r w:rsidRPr="00100F0A">
              <w:rPr>
                <w:rFonts w:asciiTheme="minorHAnsi" w:eastAsia="Times New Roman" w:hAnsiTheme="minorHAnsi" w:cstheme="minorHAnsi"/>
                <w:color w:val="000000"/>
                <w:sz w:val="18"/>
                <w:szCs w:val="18"/>
                <w:lang w:eastAsia="en-AU"/>
              </w:rPr>
              <w:br/>
              <w:t xml:space="preserve">The infrastructure needs vs capacity assessment for this group has low uncertainty due to a full response rate from industry a </w:t>
            </w:r>
            <w:r w:rsidR="00B90E8F" w:rsidRPr="00100F0A">
              <w:rPr>
                <w:rFonts w:asciiTheme="minorHAnsi" w:eastAsia="Times New Roman" w:hAnsiTheme="minorHAnsi" w:cstheme="minorHAnsi"/>
                <w:color w:val="000000"/>
                <w:sz w:val="18"/>
                <w:szCs w:val="18"/>
                <w:lang w:eastAsia="en-AU"/>
              </w:rPr>
              <w:t>well-defined</w:t>
            </w:r>
            <w:r w:rsidRPr="00100F0A">
              <w:rPr>
                <w:rFonts w:asciiTheme="minorHAnsi" w:eastAsia="Times New Roman" w:hAnsiTheme="minorHAnsi" w:cstheme="minorHAnsi"/>
                <w:color w:val="000000"/>
                <w:sz w:val="18"/>
                <w:szCs w:val="18"/>
                <w:lang w:eastAsia="en-AU"/>
              </w:rPr>
              <w:t xml:space="preserve"> and industry group with good coverage in the capacity database.</w:t>
            </w:r>
          </w:p>
        </w:tc>
      </w:tr>
      <w:tr w:rsidR="00546053" w:rsidRPr="00100F0A" w14:paraId="383F9B76" w14:textId="77777777" w:rsidTr="004B656C">
        <w:trPr>
          <w:trHeight w:val="255"/>
        </w:trPr>
        <w:tc>
          <w:tcPr>
            <w:tcW w:w="14975" w:type="dxa"/>
            <w:gridSpan w:val="13"/>
            <w:tcBorders>
              <w:top w:val="nil"/>
              <w:left w:val="single" w:sz="4" w:space="0" w:color="BFBFBF"/>
              <w:bottom w:val="single" w:sz="4" w:space="0" w:color="BFBFBF"/>
              <w:right w:val="single" w:sz="4" w:space="0" w:color="BFBFBF"/>
            </w:tcBorders>
            <w:shd w:val="clear" w:color="000000" w:fill="C5D9F1"/>
            <w:noWrap/>
            <w:vAlign w:val="center"/>
            <w:hideMark/>
          </w:tcPr>
          <w:p w14:paraId="1B918247" w14:textId="6AE3A2F4" w:rsidR="00546053" w:rsidRPr="00100F0A" w:rsidRDefault="00546053" w:rsidP="00546053">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b/>
                <w:bCs/>
                <w:color w:val="000000"/>
                <w:sz w:val="18"/>
                <w:szCs w:val="18"/>
                <w:lang w:eastAsia="en-AU"/>
              </w:rPr>
              <w:t>Short-term storage or transfer</w:t>
            </w:r>
          </w:p>
        </w:tc>
      </w:tr>
      <w:tr w:rsidR="00961B22" w:rsidRPr="00100F0A" w14:paraId="77E954E5" w14:textId="77777777" w:rsidTr="009D734D">
        <w:trPr>
          <w:trHeight w:val="97"/>
        </w:trPr>
        <w:tc>
          <w:tcPr>
            <w:tcW w:w="1959" w:type="dxa"/>
            <w:tcBorders>
              <w:top w:val="nil"/>
              <w:left w:val="single" w:sz="4" w:space="0" w:color="BFBFBF"/>
              <w:bottom w:val="single" w:sz="4" w:space="0" w:color="BFBFBF"/>
              <w:right w:val="nil"/>
            </w:tcBorders>
            <w:shd w:val="clear" w:color="auto" w:fill="auto"/>
            <w:noWrap/>
            <w:vAlign w:val="center"/>
            <w:hideMark/>
          </w:tcPr>
          <w:p w14:paraId="7B3BC426"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Transfer facility</w:t>
            </w:r>
          </w:p>
        </w:tc>
        <w:tc>
          <w:tcPr>
            <w:tcW w:w="783" w:type="dxa"/>
            <w:tcBorders>
              <w:top w:val="nil"/>
              <w:left w:val="single" w:sz="4" w:space="0" w:color="BFBFBF"/>
              <w:bottom w:val="single" w:sz="4" w:space="0" w:color="BFBFBF"/>
              <w:right w:val="nil"/>
            </w:tcBorders>
            <w:shd w:val="clear" w:color="auto" w:fill="auto"/>
            <w:noWrap/>
            <w:vAlign w:val="center"/>
            <w:hideMark/>
          </w:tcPr>
          <w:p w14:paraId="3EE0CE2E"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551</w:t>
            </w:r>
          </w:p>
        </w:tc>
        <w:tc>
          <w:tcPr>
            <w:tcW w:w="860" w:type="dxa"/>
            <w:tcBorders>
              <w:top w:val="nil"/>
              <w:left w:val="nil"/>
              <w:bottom w:val="single" w:sz="4" w:space="0" w:color="BFBFBF"/>
              <w:right w:val="single" w:sz="4" w:space="0" w:color="BFBFBF"/>
            </w:tcBorders>
            <w:shd w:val="clear" w:color="auto" w:fill="auto"/>
            <w:noWrap/>
            <w:vAlign w:val="center"/>
            <w:hideMark/>
          </w:tcPr>
          <w:p w14:paraId="51529599"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145</w:t>
            </w:r>
          </w:p>
        </w:tc>
        <w:tc>
          <w:tcPr>
            <w:tcW w:w="899" w:type="dxa"/>
            <w:tcBorders>
              <w:top w:val="nil"/>
              <w:left w:val="nil"/>
              <w:bottom w:val="single" w:sz="4" w:space="0" w:color="BFBFBF"/>
              <w:right w:val="single" w:sz="4" w:space="0" w:color="BFBFBF"/>
            </w:tcBorders>
            <w:shd w:val="clear" w:color="auto" w:fill="auto"/>
            <w:noWrap/>
            <w:vAlign w:val="center"/>
            <w:hideMark/>
          </w:tcPr>
          <w:p w14:paraId="6841F515"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0</w:t>
            </w:r>
          </w:p>
        </w:tc>
        <w:tc>
          <w:tcPr>
            <w:tcW w:w="1306" w:type="dxa"/>
            <w:tcBorders>
              <w:top w:val="nil"/>
              <w:left w:val="nil"/>
              <w:bottom w:val="single" w:sz="4" w:space="0" w:color="BFBFBF"/>
              <w:right w:val="single" w:sz="4" w:space="0" w:color="BFBFBF"/>
            </w:tcBorders>
            <w:shd w:val="clear" w:color="auto" w:fill="auto"/>
            <w:noWrap/>
            <w:vAlign w:val="center"/>
            <w:hideMark/>
          </w:tcPr>
          <w:p w14:paraId="4564130D" w14:textId="67093683" w:rsidR="00961B22" w:rsidRPr="00100F0A" w:rsidRDefault="00437F5F" w:rsidP="0097520F">
            <w:pPr>
              <w:widowControl w:val="0"/>
              <w:jc w:val="center"/>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Very high</w:t>
            </w:r>
          </w:p>
        </w:tc>
        <w:tc>
          <w:tcPr>
            <w:tcW w:w="939" w:type="dxa"/>
            <w:gridSpan w:val="2"/>
            <w:tcBorders>
              <w:top w:val="nil"/>
              <w:left w:val="nil"/>
              <w:bottom w:val="single" w:sz="4" w:space="0" w:color="BFBFBF"/>
              <w:right w:val="single" w:sz="4" w:space="0" w:color="BFBFBF"/>
            </w:tcBorders>
            <w:shd w:val="clear" w:color="000000" w:fill="FFFFFF"/>
            <w:noWrap/>
            <w:vAlign w:val="center"/>
            <w:hideMark/>
          </w:tcPr>
          <w:p w14:paraId="2B3BAD32"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2018</w:t>
            </w:r>
          </w:p>
        </w:tc>
        <w:tc>
          <w:tcPr>
            <w:tcW w:w="847" w:type="dxa"/>
            <w:gridSpan w:val="2"/>
            <w:tcBorders>
              <w:top w:val="nil"/>
              <w:left w:val="nil"/>
              <w:bottom w:val="single" w:sz="4" w:space="0" w:color="BFBFBF"/>
              <w:right w:val="single" w:sz="4" w:space="0" w:color="BFBFBF"/>
            </w:tcBorders>
            <w:shd w:val="clear" w:color="000000" w:fill="FFFFFF"/>
            <w:noWrap/>
            <w:vAlign w:val="center"/>
            <w:hideMark/>
          </w:tcPr>
          <w:p w14:paraId="2B7017FB"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2018</w:t>
            </w:r>
          </w:p>
        </w:tc>
        <w:tc>
          <w:tcPr>
            <w:tcW w:w="938" w:type="dxa"/>
            <w:gridSpan w:val="3"/>
            <w:tcBorders>
              <w:top w:val="nil"/>
              <w:left w:val="nil"/>
              <w:bottom w:val="single" w:sz="4" w:space="0" w:color="BFBFBF"/>
              <w:right w:val="single" w:sz="4" w:space="0" w:color="BFBFBF"/>
            </w:tcBorders>
            <w:shd w:val="clear" w:color="000000" w:fill="FFFFFF"/>
            <w:noWrap/>
            <w:vAlign w:val="center"/>
            <w:hideMark/>
          </w:tcPr>
          <w:p w14:paraId="0654B03C"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2018</w:t>
            </w:r>
          </w:p>
        </w:tc>
        <w:tc>
          <w:tcPr>
            <w:tcW w:w="6444" w:type="dxa"/>
            <w:tcBorders>
              <w:top w:val="nil"/>
              <w:left w:val="nil"/>
              <w:bottom w:val="single" w:sz="4" w:space="0" w:color="BFBFBF"/>
              <w:right w:val="single" w:sz="4" w:space="0" w:color="BFBFBF"/>
            </w:tcBorders>
            <w:shd w:val="clear" w:color="000000" w:fill="FFFFFF"/>
            <w:vAlign w:val="center"/>
            <w:hideMark/>
          </w:tcPr>
          <w:p w14:paraId="0DE0E2CA" w14:textId="77777777" w:rsidR="004E3C14" w:rsidRDefault="00961B22" w:rsidP="004E3C14">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Projections indicate that under all scenarios the current national transfer/temporary storage capacity of hazardous waste infrastructure is exceeded. These projections are not accurate due mainly to the capacity database having limited coverage of this group. Whilst some transfer facilities are included in this dataset it is recognised that there are other facilities which deal with hazardous waste that are not included in the dataset, such as smaller storage facilities and transfer stations. This infrastructure group is also not the focus of this project.</w:t>
            </w:r>
            <w:r w:rsidRPr="00100F0A">
              <w:rPr>
                <w:rFonts w:asciiTheme="minorHAnsi" w:eastAsia="Times New Roman" w:hAnsiTheme="minorHAnsi" w:cstheme="minorHAnsi"/>
                <w:color w:val="000000"/>
                <w:sz w:val="18"/>
                <w:szCs w:val="18"/>
                <w:lang w:eastAsia="en-AU"/>
              </w:rPr>
              <w:br/>
              <w:t>We surveyed industry asking them to flag any major transport constraints. Very long transport distances particularly in WA were raised several times as a major barrier to treating/recovering hazardous waste. WA has 4 of the 19 transfer station facilities in the 2018 database. For such a large state this appears low. If not already being undertaken, further investigation of strategic locations for transfer station facilities in WA is recommended. Consultation with industry on establishing joint venture transfer stations to consolidate waste from a range of waste companies and generators should be explored for WA and potentially Qld (to reduce costs of CS</w:t>
            </w:r>
            <w:r w:rsidR="00323336">
              <w:rPr>
                <w:rFonts w:asciiTheme="minorHAnsi" w:eastAsia="Times New Roman" w:hAnsiTheme="minorHAnsi" w:cstheme="minorHAnsi"/>
                <w:color w:val="000000"/>
                <w:sz w:val="18"/>
                <w:szCs w:val="18"/>
                <w:lang w:eastAsia="en-AU"/>
              </w:rPr>
              <w:t>G</w:t>
            </w:r>
            <w:r w:rsidRPr="00100F0A">
              <w:rPr>
                <w:rFonts w:asciiTheme="minorHAnsi" w:eastAsia="Times New Roman" w:hAnsiTheme="minorHAnsi" w:cstheme="minorHAnsi"/>
                <w:color w:val="000000"/>
                <w:sz w:val="18"/>
                <w:szCs w:val="18"/>
                <w:lang w:eastAsia="en-AU"/>
              </w:rPr>
              <w:t xml:space="preserve"> waste</w:t>
            </w:r>
            <w:r w:rsidR="00323336">
              <w:rPr>
                <w:rFonts w:asciiTheme="minorHAnsi" w:eastAsia="Times New Roman" w:hAnsiTheme="minorHAnsi" w:cstheme="minorHAnsi"/>
                <w:color w:val="000000"/>
                <w:sz w:val="18"/>
                <w:szCs w:val="18"/>
                <w:lang w:eastAsia="en-AU"/>
              </w:rPr>
              <w:t>s</w:t>
            </w:r>
            <w:r w:rsidRPr="00100F0A">
              <w:rPr>
                <w:rFonts w:asciiTheme="minorHAnsi" w:eastAsia="Times New Roman" w:hAnsiTheme="minorHAnsi" w:cstheme="minorHAnsi"/>
                <w:color w:val="000000"/>
                <w:sz w:val="18"/>
                <w:szCs w:val="18"/>
                <w:lang w:eastAsia="en-AU"/>
              </w:rPr>
              <w:t xml:space="preserve"> transport). </w:t>
            </w:r>
          </w:p>
          <w:p w14:paraId="79F99C2D" w14:textId="49FBE671" w:rsidR="00470152" w:rsidRPr="00100F0A" w:rsidRDefault="00961B22" w:rsidP="00A20188">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br/>
            </w:r>
            <w:r w:rsidR="00323336">
              <w:rPr>
                <w:rFonts w:asciiTheme="minorHAnsi" w:eastAsia="Times New Roman" w:hAnsiTheme="minorHAnsi" w:cstheme="minorHAnsi"/>
                <w:b/>
                <w:color w:val="000000"/>
                <w:sz w:val="18"/>
                <w:szCs w:val="18"/>
                <w:lang w:eastAsia="en-AU"/>
              </w:rPr>
              <w:t xml:space="preserve">Recommendation: </w:t>
            </w:r>
            <w:r w:rsidRPr="00100F0A">
              <w:rPr>
                <w:rFonts w:asciiTheme="minorHAnsi" w:eastAsia="Times New Roman" w:hAnsiTheme="minorHAnsi" w:cstheme="minorHAnsi"/>
                <w:color w:val="000000"/>
                <w:sz w:val="18"/>
                <w:szCs w:val="18"/>
                <w:lang w:eastAsia="en-AU"/>
              </w:rPr>
              <w:t xml:space="preserve">DoEE and/or WA and Qld </w:t>
            </w:r>
            <w:r w:rsidR="003E7966">
              <w:rPr>
                <w:rFonts w:asciiTheme="minorHAnsi" w:eastAsia="Times New Roman" w:hAnsiTheme="minorHAnsi" w:cstheme="minorHAnsi"/>
                <w:color w:val="000000"/>
                <w:sz w:val="18"/>
                <w:szCs w:val="18"/>
                <w:lang w:eastAsia="en-AU"/>
              </w:rPr>
              <w:t>governments</w:t>
            </w:r>
            <w:r w:rsidRPr="00100F0A">
              <w:rPr>
                <w:rFonts w:asciiTheme="minorHAnsi" w:eastAsia="Times New Roman" w:hAnsiTheme="minorHAnsi" w:cstheme="minorHAnsi"/>
                <w:color w:val="000000"/>
                <w:sz w:val="18"/>
                <w:szCs w:val="18"/>
                <w:lang w:eastAsia="en-AU"/>
              </w:rPr>
              <w:t xml:space="preserve"> complete a detailed assessment and consultation with industry regarding the need for and (where required) best location(s) for additional hazardous waste transfer </w:t>
            </w:r>
            <w:r w:rsidR="00470152">
              <w:rPr>
                <w:rFonts w:asciiTheme="minorHAnsi" w:eastAsia="Times New Roman" w:hAnsiTheme="minorHAnsi" w:cstheme="minorHAnsi"/>
                <w:color w:val="000000"/>
                <w:sz w:val="18"/>
                <w:szCs w:val="18"/>
                <w:lang w:eastAsia="en-AU"/>
              </w:rPr>
              <w:t>s</w:t>
            </w:r>
            <w:r w:rsidRPr="00100F0A">
              <w:rPr>
                <w:rFonts w:asciiTheme="minorHAnsi" w:eastAsia="Times New Roman" w:hAnsiTheme="minorHAnsi" w:cstheme="minorHAnsi"/>
                <w:color w:val="000000"/>
                <w:sz w:val="18"/>
                <w:szCs w:val="18"/>
                <w:lang w:eastAsia="en-AU"/>
              </w:rPr>
              <w:t xml:space="preserve">tation/temporary storage infrastructure. </w:t>
            </w:r>
            <w:r w:rsidR="0060059A">
              <w:rPr>
                <w:rStyle w:val="FootnoteReference"/>
                <w:rFonts w:asciiTheme="minorHAnsi" w:eastAsia="Times New Roman" w:hAnsiTheme="minorHAnsi" w:cstheme="minorHAnsi"/>
                <w:color w:val="000000"/>
                <w:sz w:val="18"/>
                <w:szCs w:val="18"/>
                <w:lang w:eastAsia="en-AU"/>
              </w:rPr>
              <w:footnoteReference w:id="40"/>
            </w:r>
          </w:p>
        </w:tc>
      </w:tr>
      <w:tr w:rsidR="0097520F" w:rsidRPr="00100F0A" w14:paraId="4958D9A4" w14:textId="77777777" w:rsidTr="004B656C">
        <w:trPr>
          <w:trHeight w:val="255"/>
        </w:trPr>
        <w:tc>
          <w:tcPr>
            <w:tcW w:w="14975" w:type="dxa"/>
            <w:gridSpan w:val="13"/>
            <w:tcBorders>
              <w:top w:val="nil"/>
              <w:left w:val="single" w:sz="4" w:space="0" w:color="BFBFBF"/>
              <w:bottom w:val="single" w:sz="4" w:space="0" w:color="BFBFBF"/>
              <w:right w:val="single" w:sz="4" w:space="0" w:color="BFBFBF"/>
            </w:tcBorders>
            <w:shd w:val="clear" w:color="000000" w:fill="C5D9F1"/>
            <w:noWrap/>
            <w:vAlign w:val="center"/>
            <w:hideMark/>
          </w:tcPr>
          <w:p w14:paraId="35D1B6A6" w14:textId="3E9BDA3A" w:rsidR="0097520F" w:rsidRPr="00100F0A" w:rsidRDefault="0097520F" w:rsidP="0097520F">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b/>
                <w:bCs/>
                <w:color w:val="000000"/>
                <w:sz w:val="18"/>
                <w:szCs w:val="18"/>
                <w:lang w:eastAsia="en-AU"/>
              </w:rPr>
              <w:t>Long-term storage</w:t>
            </w:r>
          </w:p>
        </w:tc>
      </w:tr>
      <w:tr w:rsidR="004E5252" w:rsidRPr="00100F0A" w14:paraId="59901BF3" w14:textId="77777777" w:rsidTr="004B656C">
        <w:trPr>
          <w:trHeight w:val="1530"/>
        </w:trPr>
        <w:tc>
          <w:tcPr>
            <w:tcW w:w="1959" w:type="dxa"/>
            <w:tcBorders>
              <w:top w:val="nil"/>
              <w:left w:val="single" w:sz="4" w:space="0" w:color="BFBFBF"/>
              <w:bottom w:val="single" w:sz="4" w:space="0" w:color="BFBFBF"/>
              <w:right w:val="nil"/>
            </w:tcBorders>
            <w:shd w:val="clear" w:color="auto" w:fill="auto"/>
            <w:noWrap/>
            <w:vAlign w:val="center"/>
            <w:hideMark/>
          </w:tcPr>
          <w:p w14:paraId="70A25286" w14:textId="77777777" w:rsidR="004E5252" w:rsidRPr="00100F0A" w:rsidRDefault="004E525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Long-term on-site storage</w:t>
            </w:r>
          </w:p>
        </w:tc>
        <w:tc>
          <w:tcPr>
            <w:tcW w:w="2542" w:type="dxa"/>
            <w:gridSpan w:val="3"/>
            <w:tcBorders>
              <w:top w:val="nil"/>
              <w:left w:val="single" w:sz="4" w:space="0" w:color="BFBFBF"/>
              <w:bottom w:val="single" w:sz="4" w:space="0" w:color="BFBFBF"/>
              <w:right w:val="single" w:sz="4" w:space="0" w:color="BFBFBF"/>
            </w:tcBorders>
            <w:shd w:val="clear" w:color="auto" w:fill="auto"/>
            <w:noWrap/>
            <w:vAlign w:val="center"/>
            <w:hideMark/>
          </w:tcPr>
          <w:p w14:paraId="78848C1C" w14:textId="326472B2" w:rsidR="004E5252" w:rsidRPr="00100F0A" w:rsidRDefault="004E5252" w:rsidP="004206B0">
            <w:pPr>
              <w:widowControl w:val="0"/>
              <w:rPr>
                <w:rFonts w:asciiTheme="minorHAnsi" w:eastAsia="Times New Roman" w:hAnsiTheme="minorHAnsi" w:cstheme="minorHAnsi"/>
                <w:color w:val="000000"/>
                <w:sz w:val="18"/>
                <w:szCs w:val="18"/>
                <w:lang w:eastAsia="en-AU"/>
              </w:rPr>
            </w:pPr>
          </w:p>
          <w:p w14:paraId="339C5281" w14:textId="5290DD19" w:rsidR="004E5252" w:rsidRPr="00100F0A" w:rsidRDefault="004E5252" w:rsidP="004206B0">
            <w:pPr>
              <w:widowControl w:val="0"/>
              <w:rPr>
                <w:rFonts w:asciiTheme="minorHAnsi" w:eastAsia="Times New Roman" w:hAnsiTheme="minorHAnsi" w:cstheme="minorHAnsi"/>
                <w:color w:val="000000"/>
                <w:sz w:val="18"/>
                <w:szCs w:val="18"/>
                <w:lang w:eastAsia="en-AU"/>
              </w:rPr>
            </w:pPr>
            <w:r w:rsidRPr="004E5252">
              <w:rPr>
                <w:rFonts w:asciiTheme="minorHAnsi" w:eastAsia="Times New Roman" w:hAnsiTheme="minorHAnsi" w:cstheme="minorHAnsi"/>
                <w:color w:val="000000"/>
                <w:sz w:val="18"/>
                <w:szCs w:val="18"/>
                <w:lang w:eastAsia="en-AU"/>
              </w:rPr>
              <w:t>Not included in assessment of arisings versus capacity</w:t>
            </w:r>
            <w:r w:rsidRPr="004E5252" w:rsidDel="004E5252">
              <w:rPr>
                <w:rFonts w:asciiTheme="minorHAnsi" w:eastAsia="Times New Roman" w:hAnsiTheme="minorHAnsi" w:cstheme="minorHAnsi"/>
                <w:color w:val="000000"/>
                <w:sz w:val="18"/>
                <w:szCs w:val="18"/>
                <w:lang w:eastAsia="en-AU"/>
              </w:rPr>
              <w:t xml:space="preserve"> </w:t>
            </w:r>
          </w:p>
          <w:p w14:paraId="54875B28" w14:textId="1A7ED808" w:rsidR="004E5252" w:rsidRPr="00100F0A" w:rsidRDefault="004E5252" w:rsidP="004206B0">
            <w:pPr>
              <w:widowControl w:val="0"/>
              <w:rPr>
                <w:rFonts w:asciiTheme="minorHAnsi" w:eastAsia="Times New Roman" w:hAnsiTheme="minorHAnsi" w:cstheme="minorHAnsi"/>
                <w:color w:val="000000"/>
                <w:sz w:val="18"/>
                <w:szCs w:val="18"/>
                <w:lang w:eastAsia="en-AU"/>
              </w:rPr>
            </w:pPr>
          </w:p>
        </w:tc>
        <w:tc>
          <w:tcPr>
            <w:tcW w:w="1306" w:type="dxa"/>
            <w:tcBorders>
              <w:top w:val="nil"/>
              <w:left w:val="nil"/>
              <w:bottom w:val="single" w:sz="4" w:space="0" w:color="BFBFBF"/>
              <w:right w:val="single" w:sz="4" w:space="0" w:color="BFBFBF"/>
            </w:tcBorders>
            <w:shd w:val="clear" w:color="auto" w:fill="auto"/>
            <w:noWrap/>
            <w:vAlign w:val="center"/>
            <w:hideMark/>
          </w:tcPr>
          <w:p w14:paraId="67C0DF47" w14:textId="77777777" w:rsidR="004E5252" w:rsidRPr="00100F0A" w:rsidRDefault="004E525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n/a</w:t>
            </w:r>
          </w:p>
        </w:tc>
        <w:tc>
          <w:tcPr>
            <w:tcW w:w="939"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6D428726" w14:textId="77777777" w:rsidR="004E5252" w:rsidRPr="00100F0A" w:rsidRDefault="004E5252" w:rsidP="0097520F">
            <w:pPr>
              <w:widowControl w:val="0"/>
              <w:jc w:val="center"/>
              <w:rPr>
                <w:rFonts w:asciiTheme="minorHAnsi" w:eastAsia="Times New Roman" w:hAnsiTheme="minorHAnsi" w:cstheme="minorHAnsi"/>
                <w:color w:val="808080"/>
                <w:sz w:val="18"/>
                <w:szCs w:val="18"/>
                <w:lang w:eastAsia="en-AU"/>
              </w:rPr>
            </w:pPr>
            <w:r w:rsidRPr="00100F0A">
              <w:rPr>
                <w:rFonts w:asciiTheme="minorHAnsi" w:eastAsia="Times New Roman" w:hAnsiTheme="minorHAnsi" w:cstheme="minorHAnsi"/>
                <w:color w:val="808080"/>
                <w:sz w:val="18"/>
                <w:szCs w:val="18"/>
                <w:lang w:eastAsia="en-AU"/>
              </w:rPr>
              <w:t>no inf.</w:t>
            </w:r>
          </w:p>
        </w:tc>
        <w:tc>
          <w:tcPr>
            <w:tcW w:w="847"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2C47AD46" w14:textId="77777777" w:rsidR="004E5252" w:rsidRPr="00100F0A" w:rsidRDefault="004E5252" w:rsidP="0097520F">
            <w:pPr>
              <w:widowControl w:val="0"/>
              <w:jc w:val="center"/>
              <w:rPr>
                <w:rFonts w:asciiTheme="minorHAnsi" w:eastAsia="Times New Roman" w:hAnsiTheme="minorHAnsi" w:cstheme="minorHAnsi"/>
                <w:color w:val="808080"/>
                <w:sz w:val="18"/>
                <w:szCs w:val="18"/>
                <w:lang w:eastAsia="en-AU"/>
              </w:rPr>
            </w:pPr>
            <w:r w:rsidRPr="00100F0A">
              <w:rPr>
                <w:rFonts w:asciiTheme="minorHAnsi" w:eastAsia="Times New Roman" w:hAnsiTheme="minorHAnsi" w:cstheme="minorHAnsi"/>
                <w:color w:val="808080"/>
                <w:sz w:val="18"/>
                <w:szCs w:val="18"/>
                <w:lang w:eastAsia="en-AU"/>
              </w:rPr>
              <w:t>no inf.</w:t>
            </w:r>
          </w:p>
        </w:tc>
        <w:tc>
          <w:tcPr>
            <w:tcW w:w="938" w:type="dxa"/>
            <w:gridSpan w:val="3"/>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54CF22A1" w14:textId="77777777" w:rsidR="004E5252" w:rsidRPr="00100F0A" w:rsidRDefault="004E5252" w:rsidP="0097520F">
            <w:pPr>
              <w:widowControl w:val="0"/>
              <w:jc w:val="center"/>
              <w:rPr>
                <w:rFonts w:asciiTheme="minorHAnsi" w:eastAsia="Times New Roman" w:hAnsiTheme="minorHAnsi" w:cstheme="minorHAnsi"/>
                <w:color w:val="808080"/>
                <w:sz w:val="18"/>
                <w:szCs w:val="18"/>
                <w:lang w:eastAsia="en-AU"/>
              </w:rPr>
            </w:pPr>
            <w:r w:rsidRPr="00100F0A">
              <w:rPr>
                <w:rFonts w:asciiTheme="minorHAnsi" w:eastAsia="Times New Roman" w:hAnsiTheme="minorHAnsi" w:cstheme="minorHAnsi"/>
                <w:color w:val="808080"/>
                <w:sz w:val="18"/>
                <w:szCs w:val="18"/>
                <w:lang w:eastAsia="en-AU"/>
              </w:rPr>
              <w:t>no inf.</w:t>
            </w:r>
          </w:p>
        </w:tc>
        <w:tc>
          <w:tcPr>
            <w:tcW w:w="6444" w:type="dxa"/>
            <w:tcBorders>
              <w:top w:val="nil"/>
              <w:left w:val="nil"/>
              <w:bottom w:val="single" w:sz="4" w:space="0" w:color="BFBFBF"/>
              <w:right w:val="single" w:sz="4" w:space="0" w:color="BFBFBF"/>
            </w:tcBorders>
            <w:shd w:val="clear" w:color="000000" w:fill="FFFFFF"/>
            <w:vAlign w:val="center"/>
            <w:hideMark/>
          </w:tcPr>
          <w:p w14:paraId="29707047" w14:textId="0C8994E6" w:rsidR="004E5252" w:rsidRPr="00100F0A" w:rsidRDefault="004E5252" w:rsidP="0097520F">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This is a new infrastructure group for 2018. Long-term on-site storage facilities are excluded from the database and the needs versus capacity assessment. The infrastructure group has been included recognising that some hazardous wastes are managed in on</w:t>
            </w:r>
            <w:r>
              <w:rPr>
                <w:rFonts w:asciiTheme="minorHAnsi" w:eastAsia="Times New Roman" w:hAnsiTheme="minorHAnsi" w:cstheme="minorHAnsi"/>
                <w:color w:val="000000"/>
                <w:sz w:val="18"/>
                <w:szCs w:val="18"/>
                <w:lang w:eastAsia="en-AU"/>
              </w:rPr>
              <w:t>-</w:t>
            </w:r>
            <w:r w:rsidRPr="00100F0A">
              <w:rPr>
                <w:rFonts w:asciiTheme="minorHAnsi" w:eastAsia="Times New Roman" w:hAnsiTheme="minorHAnsi" w:cstheme="minorHAnsi"/>
                <w:color w:val="000000"/>
                <w:sz w:val="18"/>
                <w:szCs w:val="18"/>
                <w:lang w:eastAsia="en-AU"/>
              </w:rPr>
              <w:t>site infrastructure that is often for the long term</w:t>
            </w:r>
            <w:r>
              <w:rPr>
                <w:rFonts w:asciiTheme="minorHAnsi" w:eastAsia="Times New Roman" w:hAnsiTheme="minorHAnsi" w:cstheme="minorHAnsi"/>
                <w:color w:val="000000"/>
                <w:sz w:val="18"/>
                <w:szCs w:val="18"/>
                <w:lang w:eastAsia="en-AU"/>
              </w:rPr>
              <w:t xml:space="preserve"> (e.g. CSG RO brine wastes)</w:t>
            </w:r>
            <w:r w:rsidRPr="00100F0A">
              <w:rPr>
                <w:rFonts w:asciiTheme="minorHAnsi" w:eastAsia="Times New Roman" w:hAnsiTheme="minorHAnsi" w:cstheme="minorHAnsi"/>
                <w:color w:val="000000"/>
                <w:sz w:val="18"/>
                <w:szCs w:val="18"/>
                <w:lang w:eastAsia="en-AU"/>
              </w:rPr>
              <w:t>. No tonnages are currently mapped to this infrastructure group because the waste disposed in these sites does not leave the site and is not recorded in hazardous waste tracking data and therefore is not recorded as a waste arising in the assessment database. Data for waste stored in these storages is only available by direct consultation with industry and</w:t>
            </w:r>
            <w:r>
              <w:rPr>
                <w:rFonts w:asciiTheme="minorHAnsi" w:eastAsia="Times New Roman" w:hAnsiTheme="minorHAnsi" w:cstheme="minorHAnsi"/>
                <w:color w:val="000000"/>
                <w:sz w:val="18"/>
                <w:szCs w:val="18"/>
                <w:lang w:eastAsia="en-AU"/>
              </w:rPr>
              <w:t>/</w:t>
            </w:r>
            <w:r w:rsidRPr="00100F0A">
              <w:rPr>
                <w:rFonts w:asciiTheme="minorHAnsi" w:eastAsia="Times New Roman" w:hAnsiTheme="minorHAnsi" w:cstheme="minorHAnsi"/>
                <w:color w:val="000000"/>
                <w:sz w:val="18"/>
                <w:szCs w:val="18"/>
                <w:lang w:eastAsia="en-AU"/>
              </w:rPr>
              <w:t xml:space="preserve">or </w:t>
            </w:r>
            <w:r>
              <w:rPr>
                <w:rFonts w:asciiTheme="minorHAnsi" w:eastAsia="Times New Roman" w:hAnsiTheme="minorHAnsi" w:cstheme="minorHAnsi"/>
                <w:color w:val="000000"/>
                <w:sz w:val="18"/>
                <w:szCs w:val="18"/>
                <w:lang w:eastAsia="en-AU"/>
              </w:rPr>
              <w:t>s</w:t>
            </w:r>
            <w:r w:rsidRPr="00100F0A">
              <w:rPr>
                <w:rFonts w:asciiTheme="minorHAnsi" w:eastAsia="Times New Roman" w:hAnsiTheme="minorHAnsi" w:cstheme="minorHAnsi"/>
                <w:color w:val="000000"/>
                <w:sz w:val="18"/>
                <w:szCs w:val="18"/>
                <w:lang w:eastAsia="en-AU"/>
              </w:rPr>
              <w:t>tate regulators.</w:t>
            </w:r>
          </w:p>
        </w:tc>
      </w:tr>
      <w:tr w:rsidR="00961B22" w:rsidRPr="00100F0A" w14:paraId="36F0BAFC" w14:textId="77777777" w:rsidTr="009D734D">
        <w:trPr>
          <w:trHeight w:val="380"/>
        </w:trPr>
        <w:tc>
          <w:tcPr>
            <w:tcW w:w="1959" w:type="dxa"/>
            <w:tcBorders>
              <w:top w:val="nil"/>
              <w:left w:val="single" w:sz="4" w:space="0" w:color="BFBFBF"/>
              <w:bottom w:val="single" w:sz="4" w:space="0" w:color="BFBFBF"/>
              <w:right w:val="nil"/>
            </w:tcBorders>
            <w:shd w:val="clear" w:color="auto" w:fill="auto"/>
            <w:noWrap/>
            <w:vAlign w:val="center"/>
            <w:hideMark/>
          </w:tcPr>
          <w:p w14:paraId="088D100C"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Long-term isolation facility</w:t>
            </w:r>
          </w:p>
        </w:tc>
        <w:tc>
          <w:tcPr>
            <w:tcW w:w="783" w:type="dxa"/>
            <w:tcBorders>
              <w:top w:val="nil"/>
              <w:left w:val="single" w:sz="4" w:space="0" w:color="BFBFBF"/>
              <w:bottom w:val="single" w:sz="4" w:space="0" w:color="BFBFBF"/>
              <w:right w:val="nil"/>
            </w:tcBorders>
            <w:shd w:val="clear" w:color="auto" w:fill="auto"/>
            <w:noWrap/>
            <w:vAlign w:val="center"/>
            <w:hideMark/>
          </w:tcPr>
          <w:p w14:paraId="26AD5CE0"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0</w:t>
            </w:r>
          </w:p>
        </w:tc>
        <w:tc>
          <w:tcPr>
            <w:tcW w:w="860" w:type="dxa"/>
            <w:tcBorders>
              <w:top w:val="nil"/>
              <w:left w:val="nil"/>
              <w:bottom w:val="single" w:sz="4" w:space="0" w:color="BFBFBF"/>
              <w:right w:val="single" w:sz="4" w:space="0" w:color="BFBFBF"/>
            </w:tcBorders>
            <w:shd w:val="clear" w:color="auto" w:fill="auto"/>
            <w:noWrap/>
            <w:vAlign w:val="center"/>
            <w:hideMark/>
          </w:tcPr>
          <w:p w14:paraId="63D0BFE9" w14:textId="77777777" w:rsidR="00961B22" w:rsidRPr="00100F0A" w:rsidRDefault="00961B22" w:rsidP="0097520F">
            <w:pPr>
              <w:widowControl w:val="0"/>
              <w:jc w:val="right"/>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0</w:t>
            </w:r>
          </w:p>
        </w:tc>
        <w:tc>
          <w:tcPr>
            <w:tcW w:w="899" w:type="dxa"/>
            <w:tcBorders>
              <w:top w:val="nil"/>
              <w:left w:val="nil"/>
              <w:bottom w:val="single" w:sz="4" w:space="0" w:color="BFBFBF"/>
              <w:right w:val="single" w:sz="4" w:space="0" w:color="BFBFBF"/>
            </w:tcBorders>
            <w:shd w:val="clear" w:color="auto" w:fill="auto"/>
            <w:noWrap/>
            <w:vAlign w:val="center"/>
            <w:hideMark/>
          </w:tcPr>
          <w:p w14:paraId="5A5F32DF" w14:textId="5FC44EA5" w:rsidR="00961B22" w:rsidRPr="00100F0A" w:rsidRDefault="00470152" w:rsidP="009D734D">
            <w:pPr>
              <w:widowControl w:val="0"/>
              <w:jc w:val="center"/>
              <w:rPr>
                <w:rFonts w:asciiTheme="minorHAnsi" w:eastAsia="Times New Roman" w:hAnsiTheme="minorHAnsi" w:cstheme="minorHAnsi"/>
                <w:color w:val="000000"/>
                <w:sz w:val="18"/>
                <w:szCs w:val="18"/>
                <w:lang w:eastAsia="en-AU"/>
              </w:rPr>
            </w:pPr>
            <w:r w:rsidRPr="009D734D">
              <w:rPr>
                <w:rFonts w:asciiTheme="minorHAnsi" w:eastAsia="Times New Roman" w:hAnsiTheme="minorHAnsi" w:cstheme="minorHAnsi"/>
                <w:color w:val="000000"/>
                <w:sz w:val="18"/>
                <w:szCs w:val="18"/>
                <w:highlight w:val="red"/>
                <w:lang w:eastAsia="en-AU"/>
              </w:rPr>
              <w:t>CIC</w:t>
            </w:r>
          </w:p>
        </w:tc>
        <w:tc>
          <w:tcPr>
            <w:tcW w:w="1306" w:type="dxa"/>
            <w:tcBorders>
              <w:top w:val="nil"/>
              <w:left w:val="nil"/>
              <w:bottom w:val="single" w:sz="4" w:space="0" w:color="BFBFBF"/>
              <w:right w:val="single" w:sz="4" w:space="0" w:color="BFBFBF"/>
            </w:tcBorders>
            <w:shd w:val="clear" w:color="auto" w:fill="auto"/>
            <w:noWrap/>
            <w:vAlign w:val="center"/>
            <w:hideMark/>
          </w:tcPr>
          <w:p w14:paraId="112F7E10" w14:textId="77777777" w:rsidR="00961B22" w:rsidRPr="00100F0A" w:rsidRDefault="00961B22" w:rsidP="0097520F">
            <w:pPr>
              <w:widowControl w:val="0"/>
              <w:jc w:val="center"/>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n/a</w:t>
            </w:r>
          </w:p>
        </w:tc>
        <w:tc>
          <w:tcPr>
            <w:tcW w:w="939"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6603F89D" w14:textId="77777777" w:rsidR="00961B22" w:rsidRPr="00100F0A" w:rsidRDefault="00961B22" w:rsidP="0097520F">
            <w:pPr>
              <w:widowControl w:val="0"/>
              <w:jc w:val="center"/>
              <w:rPr>
                <w:rFonts w:asciiTheme="minorHAnsi" w:eastAsia="Times New Roman" w:hAnsiTheme="minorHAnsi" w:cstheme="minorHAnsi"/>
                <w:color w:val="808080"/>
                <w:sz w:val="18"/>
                <w:szCs w:val="18"/>
                <w:lang w:eastAsia="en-AU"/>
              </w:rPr>
            </w:pPr>
            <w:r w:rsidRPr="00100F0A">
              <w:rPr>
                <w:rFonts w:asciiTheme="minorHAnsi" w:eastAsia="Times New Roman" w:hAnsiTheme="minorHAnsi" w:cstheme="minorHAnsi"/>
                <w:color w:val="808080"/>
                <w:sz w:val="18"/>
                <w:szCs w:val="18"/>
                <w:lang w:eastAsia="en-AU"/>
              </w:rPr>
              <w:t>no inf.</w:t>
            </w:r>
          </w:p>
        </w:tc>
        <w:tc>
          <w:tcPr>
            <w:tcW w:w="847"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41657FD8" w14:textId="77777777" w:rsidR="00961B22" w:rsidRPr="00100F0A" w:rsidRDefault="00961B22" w:rsidP="0097520F">
            <w:pPr>
              <w:widowControl w:val="0"/>
              <w:jc w:val="center"/>
              <w:rPr>
                <w:rFonts w:asciiTheme="minorHAnsi" w:eastAsia="Times New Roman" w:hAnsiTheme="minorHAnsi" w:cstheme="minorHAnsi"/>
                <w:color w:val="808080"/>
                <w:sz w:val="18"/>
                <w:szCs w:val="18"/>
                <w:lang w:eastAsia="en-AU"/>
              </w:rPr>
            </w:pPr>
            <w:r w:rsidRPr="00100F0A">
              <w:rPr>
                <w:rFonts w:asciiTheme="minorHAnsi" w:eastAsia="Times New Roman" w:hAnsiTheme="minorHAnsi" w:cstheme="minorHAnsi"/>
                <w:color w:val="808080"/>
                <w:sz w:val="18"/>
                <w:szCs w:val="18"/>
                <w:lang w:eastAsia="en-AU"/>
              </w:rPr>
              <w:t>no inf.</w:t>
            </w:r>
          </w:p>
        </w:tc>
        <w:tc>
          <w:tcPr>
            <w:tcW w:w="938" w:type="dxa"/>
            <w:gridSpan w:val="3"/>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6DE64F04" w14:textId="77777777" w:rsidR="00961B22" w:rsidRPr="00100F0A" w:rsidRDefault="00961B22" w:rsidP="0097520F">
            <w:pPr>
              <w:widowControl w:val="0"/>
              <w:jc w:val="center"/>
              <w:rPr>
                <w:rFonts w:asciiTheme="minorHAnsi" w:eastAsia="Times New Roman" w:hAnsiTheme="minorHAnsi" w:cstheme="minorHAnsi"/>
                <w:color w:val="808080"/>
                <w:sz w:val="18"/>
                <w:szCs w:val="18"/>
                <w:lang w:eastAsia="en-AU"/>
              </w:rPr>
            </w:pPr>
            <w:r w:rsidRPr="00100F0A">
              <w:rPr>
                <w:rFonts w:asciiTheme="minorHAnsi" w:eastAsia="Times New Roman" w:hAnsiTheme="minorHAnsi" w:cstheme="minorHAnsi"/>
                <w:color w:val="808080"/>
                <w:sz w:val="18"/>
                <w:szCs w:val="18"/>
                <w:lang w:eastAsia="en-AU"/>
              </w:rPr>
              <w:t>no inf.</w:t>
            </w:r>
          </w:p>
        </w:tc>
        <w:tc>
          <w:tcPr>
            <w:tcW w:w="6444" w:type="dxa"/>
            <w:tcBorders>
              <w:top w:val="nil"/>
              <w:left w:val="nil"/>
              <w:bottom w:val="single" w:sz="4" w:space="0" w:color="BFBFBF"/>
              <w:right w:val="single" w:sz="4" w:space="0" w:color="BFBFBF"/>
            </w:tcBorders>
            <w:shd w:val="clear" w:color="000000" w:fill="FFFFFF"/>
            <w:vAlign w:val="center"/>
            <w:hideMark/>
          </w:tcPr>
          <w:p w14:paraId="39BC3F02" w14:textId="60FD99EA" w:rsidR="00323336" w:rsidRDefault="00961B22" w:rsidP="0097520F">
            <w:pPr>
              <w:widowControl w:val="0"/>
              <w:rPr>
                <w:rFonts w:asciiTheme="minorHAnsi" w:eastAsia="Times New Roman" w:hAnsiTheme="minorHAnsi" w:cstheme="minorHAnsi"/>
                <w:color w:val="000000"/>
                <w:sz w:val="18"/>
                <w:szCs w:val="18"/>
                <w:lang w:eastAsia="en-AU"/>
              </w:rPr>
            </w:pPr>
            <w:r w:rsidRPr="00100F0A">
              <w:rPr>
                <w:rFonts w:asciiTheme="minorHAnsi" w:eastAsia="Times New Roman" w:hAnsiTheme="minorHAnsi" w:cstheme="minorHAnsi"/>
                <w:color w:val="000000"/>
                <w:sz w:val="18"/>
                <w:szCs w:val="18"/>
                <w:lang w:eastAsia="en-AU"/>
              </w:rPr>
              <w:t xml:space="preserve">This is a new infrastructure group for 2018. Two long-term isolation facilities are currently under development and aim to be operational in around </w:t>
            </w:r>
            <w:r w:rsidR="00592746">
              <w:rPr>
                <w:rFonts w:asciiTheme="minorHAnsi" w:eastAsia="Times New Roman" w:hAnsiTheme="minorHAnsi" w:cstheme="minorHAnsi"/>
                <w:color w:val="000000"/>
                <w:sz w:val="18"/>
                <w:szCs w:val="18"/>
                <w:lang w:eastAsia="en-AU"/>
              </w:rPr>
              <w:t>five</w:t>
            </w:r>
            <w:r w:rsidRPr="00100F0A">
              <w:rPr>
                <w:rFonts w:asciiTheme="minorHAnsi" w:eastAsia="Times New Roman" w:hAnsiTheme="minorHAnsi" w:cstheme="minorHAnsi"/>
                <w:color w:val="000000"/>
                <w:sz w:val="18"/>
                <w:szCs w:val="18"/>
                <w:lang w:eastAsia="en-AU"/>
              </w:rPr>
              <w:t xml:space="preserve"> </w:t>
            </w:r>
            <w:r w:rsidR="00B90E8F" w:rsidRPr="00100F0A">
              <w:rPr>
                <w:rFonts w:asciiTheme="minorHAnsi" w:eastAsia="Times New Roman" w:hAnsiTheme="minorHAnsi" w:cstheme="minorHAnsi"/>
                <w:color w:val="000000"/>
                <w:sz w:val="18"/>
                <w:szCs w:val="18"/>
                <w:lang w:eastAsia="en-AU"/>
              </w:rPr>
              <w:t>years’ time</w:t>
            </w:r>
            <w:r w:rsidRPr="00100F0A">
              <w:rPr>
                <w:rFonts w:asciiTheme="minorHAnsi" w:eastAsia="Times New Roman" w:hAnsiTheme="minorHAnsi" w:cstheme="minorHAnsi"/>
                <w:color w:val="000000"/>
                <w:sz w:val="18"/>
                <w:szCs w:val="18"/>
                <w:lang w:eastAsia="en-AU"/>
              </w:rPr>
              <w:t xml:space="preserve">. Assuming that both of these facilities become operational, they would provide capacity for up to </w:t>
            </w:r>
            <w:r w:rsidR="002328FE" w:rsidRPr="009D734D">
              <w:rPr>
                <w:rFonts w:asciiTheme="minorHAnsi" w:eastAsia="Times New Roman" w:hAnsiTheme="minorHAnsi" w:cstheme="minorHAnsi"/>
                <w:color w:val="000000"/>
                <w:sz w:val="18"/>
                <w:szCs w:val="18"/>
                <w:highlight w:val="red"/>
                <w:lang w:eastAsia="en-AU"/>
              </w:rPr>
              <w:t>CIC</w:t>
            </w:r>
            <w:r w:rsidR="002328FE" w:rsidRPr="00100F0A">
              <w:rPr>
                <w:rFonts w:asciiTheme="minorHAnsi" w:eastAsia="Times New Roman" w:hAnsiTheme="minorHAnsi" w:cstheme="minorHAnsi"/>
                <w:color w:val="000000"/>
                <w:sz w:val="18"/>
                <w:szCs w:val="18"/>
                <w:lang w:eastAsia="en-AU"/>
              </w:rPr>
              <w:t xml:space="preserve"> </w:t>
            </w:r>
            <w:r w:rsidRPr="00100F0A">
              <w:rPr>
                <w:rFonts w:asciiTheme="minorHAnsi" w:eastAsia="Times New Roman" w:hAnsiTheme="minorHAnsi" w:cstheme="minorHAnsi"/>
                <w:color w:val="000000"/>
                <w:sz w:val="18"/>
                <w:szCs w:val="18"/>
                <w:lang w:eastAsia="en-AU"/>
              </w:rPr>
              <w:t>kt</w:t>
            </w:r>
            <w:r w:rsidR="00D941CC">
              <w:rPr>
                <w:rFonts w:asciiTheme="minorHAnsi" w:eastAsia="Times New Roman" w:hAnsiTheme="minorHAnsi" w:cstheme="minorHAnsi"/>
                <w:color w:val="000000"/>
                <w:sz w:val="18"/>
                <w:szCs w:val="18"/>
                <w:lang w:eastAsia="en-AU"/>
              </w:rPr>
              <w:t xml:space="preserve">/yr </w:t>
            </w:r>
            <w:r w:rsidRPr="00100F0A">
              <w:rPr>
                <w:rFonts w:asciiTheme="minorHAnsi" w:eastAsia="Times New Roman" w:hAnsiTheme="minorHAnsi" w:cstheme="minorHAnsi"/>
                <w:color w:val="000000"/>
                <w:sz w:val="18"/>
                <w:szCs w:val="18"/>
                <w:lang w:eastAsia="en-AU"/>
              </w:rPr>
              <w:t xml:space="preserve">for highly intractable wastes that do not have viable treatment or destruction options. This would provide good risk mitigation for the risks associated with having only </w:t>
            </w:r>
            <w:r w:rsidR="00323336">
              <w:rPr>
                <w:rFonts w:asciiTheme="minorHAnsi" w:eastAsia="Times New Roman" w:hAnsiTheme="minorHAnsi" w:cstheme="minorHAnsi"/>
                <w:color w:val="000000"/>
                <w:sz w:val="18"/>
                <w:szCs w:val="18"/>
                <w:lang w:eastAsia="en-AU"/>
              </w:rPr>
              <w:t>six</w:t>
            </w:r>
            <w:r w:rsidRPr="00100F0A">
              <w:rPr>
                <w:rFonts w:asciiTheme="minorHAnsi" w:eastAsia="Times New Roman" w:hAnsiTheme="minorHAnsi" w:cstheme="minorHAnsi"/>
                <w:color w:val="000000"/>
                <w:sz w:val="18"/>
                <w:szCs w:val="18"/>
                <w:lang w:eastAsia="en-AU"/>
              </w:rPr>
              <w:t xml:space="preserve"> </w:t>
            </w:r>
            <w:r w:rsidR="00323336">
              <w:rPr>
                <w:rFonts w:asciiTheme="minorHAnsi" w:eastAsia="Times New Roman" w:hAnsiTheme="minorHAnsi" w:cstheme="minorHAnsi"/>
                <w:color w:val="000000"/>
                <w:sz w:val="18"/>
                <w:szCs w:val="18"/>
                <w:lang w:eastAsia="en-AU"/>
              </w:rPr>
              <w:t xml:space="preserve">(operating) </w:t>
            </w:r>
            <w:r w:rsidRPr="00100F0A">
              <w:rPr>
                <w:rFonts w:asciiTheme="minorHAnsi" w:eastAsia="Times New Roman" w:hAnsiTheme="minorHAnsi" w:cstheme="minorHAnsi"/>
                <w:color w:val="000000"/>
                <w:sz w:val="18"/>
                <w:szCs w:val="18"/>
                <w:lang w:eastAsia="en-AU"/>
              </w:rPr>
              <w:t xml:space="preserve">hazardous waste </w:t>
            </w:r>
            <w:r w:rsidR="00B90E8F" w:rsidRPr="00100F0A">
              <w:rPr>
                <w:rFonts w:asciiTheme="minorHAnsi" w:eastAsia="Times New Roman" w:hAnsiTheme="minorHAnsi" w:cstheme="minorHAnsi"/>
                <w:color w:val="000000"/>
                <w:sz w:val="18"/>
                <w:szCs w:val="18"/>
                <w:lang w:eastAsia="en-AU"/>
              </w:rPr>
              <w:t>landfills</w:t>
            </w:r>
            <w:r w:rsidRPr="00100F0A">
              <w:rPr>
                <w:rFonts w:asciiTheme="minorHAnsi" w:eastAsia="Times New Roman" w:hAnsiTheme="minorHAnsi" w:cstheme="minorHAnsi"/>
                <w:color w:val="000000"/>
                <w:sz w:val="18"/>
                <w:szCs w:val="18"/>
                <w:lang w:eastAsia="en-AU"/>
              </w:rPr>
              <w:t xml:space="preserve"> in Australia, with the main NSW site due to close in </w:t>
            </w:r>
            <w:r w:rsidR="002328FE" w:rsidRPr="009D734D">
              <w:rPr>
                <w:rFonts w:asciiTheme="minorHAnsi" w:eastAsia="Times New Roman" w:hAnsiTheme="minorHAnsi" w:cstheme="minorHAnsi"/>
                <w:color w:val="000000"/>
                <w:sz w:val="18"/>
                <w:szCs w:val="18"/>
                <w:highlight w:val="red"/>
                <w:lang w:eastAsia="en-AU"/>
              </w:rPr>
              <w:t>CIC</w:t>
            </w:r>
            <w:r w:rsidRPr="00100F0A">
              <w:rPr>
                <w:rFonts w:asciiTheme="minorHAnsi" w:eastAsia="Times New Roman" w:hAnsiTheme="minorHAnsi" w:cstheme="minorHAnsi"/>
                <w:color w:val="000000"/>
                <w:sz w:val="18"/>
                <w:szCs w:val="18"/>
                <w:lang w:eastAsia="en-AU"/>
              </w:rPr>
              <w:t>.</w:t>
            </w:r>
          </w:p>
          <w:p w14:paraId="3DA46CF0" w14:textId="77777777" w:rsidR="004E3C14" w:rsidRDefault="004E3C14" w:rsidP="0097520F">
            <w:pPr>
              <w:widowControl w:val="0"/>
              <w:rPr>
                <w:rFonts w:asciiTheme="minorHAnsi" w:eastAsia="Times New Roman" w:hAnsiTheme="minorHAnsi" w:cstheme="minorHAnsi"/>
                <w:color w:val="000000"/>
                <w:sz w:val="18"/>
                <w:szCs w:val="18"/>
                <w:lang w:eastAsia="en-AU"/>
              </w:rPr>
            </w:pPr>
          </w:p>
          <w:p w14:paraId="557F1C79" w14:textId="1B087266" w:rsidR="004E5252" w:rsidRDefault="00323336" w:rsidP="007D60DF">
            <w:pPr>
              <w:widowControl w:val="0"/>
              <w:rPr>
                <w:rFonts w:asciiTheme="minorHAnsi" w:eastAsia="Times New Roman" w:hAnsiTheme="minorHAnsi" w:cstheme="minorHAnsi"/>
                <w:color w:val="000000"/>
                <w:sz w:val="18"/>
                <w:szCs w:val="18"/>
                <w:lang w:eastAsia="en-AU"/>
              </w:rPr>
            </w:pPr>
            <w:r w:rsidRPr="004206B0">
              <w:rPr>
                <w:rFonts w:asciiTheme="minorHAnsi" w:eastAsia="Times New Roman" w:hAnsiTheme="minorHAnsi" w:cstheme="minorHAnsi"/>
                <w:b/>
                <w:color w:val="000000"/>
                <w:sz w:val="18"/>
                <w:szCs w:val="18"/>
                <w:lang w:eastAsia="en-AU"/>
              </w:rPr>
              <w:t xml:space="preserve">CSG </w:t>
            </w:r>
            <w:r w:rsidR="00166A69" w:rsidRPr="00166A69">
              <w:rPr>
                <w:rFonts w:asciiTheme="minorHAnsi" w:eastAsia="Times New Roman" w:hAnsiTheme="minorHAnsi" w:cstheme="minorHAnsi"/>
                <w:b/>
                <w:color w:val="000000"/>
                <w:sz w:val="18"/>
                <w:szCs w:val="18"/>
                <w:lang w:eastAsia="en-AU"/>
              </w:rPr>
              <w:t>reverse osmosis</w:t>
            </w:r>
            <w:r w:rsidRPr="004206B0">
              <w:rPr>
                <w:rFonts w:asciiTheme="minorHAnsi" w:eastAsia="Times New Roman" w:hAnsiTheme="minorHAnsi" w:cstheme="minorHAnsi"/>
                <w:b/>
                <w:color w:val="000000"/>
                <w:sz w:val="18"/>
                <w:szCs w:val="18"/>
                <w:lang w:eastAsia="en-AU"/>
              </w:rPr>
              <w:t xml:space="preserve"> brine wastes and long-term isolation capacity:</w:t>
            </w:r>
            <w:r>
              <w:rPr>
                <w:rFonts w:asciiTheme="minorHAnsi" w:eastAsia="Times New Roman" w:hAnsiTheme="minorHAnsi" w:cstheme="minorHAnsi"/>
                <w:b/>
                <w:color w:val="000000"/>
                <w:sz w:val="18"/>
                <w:szCs w:val="18"/>
                <w:lang w:eastAsia="en-AU"/>
              </w:rPr>
              <w:t xml:space="preserve"> </w:t>
            </w:r>
            <w:r w:rsidR="00C96380" w:rsidRPr="004206B0">
              <w:rPr>
                <w:rFonts w:asciiTheme="minorHAnsi" w:eastAsia="Times New Roman" w:hAnsiTheme="minorHAnsi" w:cstheme="minorHAnsi"/>
                <w:color w:val="000000"/>
                <w:sz w:val="18"/>
                <w:szCs w:val="18"/>
                <w:lang w:eastAsia="en-AU"/>
              </w:rPr>
              <w:t xml:space="preserve">under the high </w:t>
            </w:r>
            <w:r w:rsidR="00C96380">
              <w:rPr>
                <w:rFonts w:asciiTheme="minorHAnsi" w:eastAsia="Times New Roman" w:hAnsiTheme="minorHAnsi" w:cstheme="minorHAnsi"/>
                <w:color w:val="000000"/>
                <w:sz w:val="18"/>
                <w:szCs w:val="18"/>
                <w:lang w:eastAsia="en-AU"/>
              </w:rPr>
              <w:t xml:space="preserve">projection </w:t>
            </w:r>
            <w:r w:rsidR="00C96380" w:rsidRPr="004206B0">
              <w:rPr>
                <w:rFonts w:asciiTheme="minorHAnsi" w:eastAsia="Times New Roman" w:hAnsiTheme="minorHAnsi" w:cstheme="minorHAnsi"/>
                <w:color w:val="000000"/>
                <w:sz w:val="18"/>
                <w:szCs w:val="18"/>
                <w:lang w:eastAsia="en-AU"/>
              </w:rPr>
              <w:t xml:space="preserve">scenario, it is assumed that, after five years new arisings of CSG reverse osmosis brine wastes </w:t>
            </w:r>
            <w:r w:rsidR="00C96380">
              <w:rPr>
                <w:rFonts w:asciiTheme="minorHAnsi" w:eastAsia="Times New Roman" w:hAnsiTheme="minorHAnsi" w:cstheme="minorHAnsi"/>
                <w:color w:val="000000"/>
                <w:sz w:val="18"/>
                <w:szCs w:val="18"/>
                <w:lang w:eastAsia="en-AU"/>
              </w:rPr>
              <w:t xml:space="preserve">will be </w:t>
            </w:r>
            <w:r w:rsidR="00C96380" w:rsidRPr="004206B0">
              <w:rPr>
                <w:rFonts w:asciiTheme="minorHAnsi" w:eastAsia="Times New Roman" w:hAnsiTheme="minorHAnsi" w:cstheme="minorHAnsi"/>
                <w:color w:val="000000"/>
                <w:sz w:val="18"/>
                <w:szCs w:val="18"/>
                <w:lang w:eastAsia="en-AU"/>
              </w:rPr>
              <w:t xml:space="preserve">required to be managed offsite and would be sent to long-term isolation facilities (rather than being stored onsite). Historical stockpiles are assumed to remain onsite. </w:t>
            </w:r>
          </w:p>
          <w:p w14:paraId="2E197E6F" w14:textId="77777777" w:rsidR="004E3C14" w:rsidRDefault="004E3C14" w:rsidP="007D60DF">
            <w:pPr>
              <w:widowControl w:val="0"/>
              <w:rPr>
                <w:rFonts w:asciiTheme="minorHAnsi" w:eastAsia="Times New Roman" w:hAnsiTheme="minorHAnsi" w:cstheme="minorHAnsi"/>
                <w:color w:val="000000"/>
                <w:sz w:val="18"/>
                <w:szCs w:val="18"/>
                <w:lang w:eastAsia="en-AU"/>
              </w:rPr>
            </w:pPr>
          </w:p>
          <w:p w14:paraId="12BE1A71" w14:textId="7C0697BF" w:rsidR="004E3C14" w:rsidRDefault="00C96380" w:rsidP="007D60DF">
            <w:pPr>
              <w:widowControl w:val="0"/>
              <w:rPr>
                <w:rFonts w:asciiTheme="minorHAnsi" w:eastAsia="Times New Roman" w:hAnsiTheme="minorHAnsi" w:cstheme="minorHAnsi"/>
                <w:b/>
                <w:color w:val="000000"/>
                <w:sz w:val="18"/>
                <w:szCs w:val="18"/>
                <w:lang w:eastAsia="en-AU"/>
              </w:rPr>
            </w:pPr>
            <w:r w:rsidRPr="00B74DE3">
              <w:rPr>
                <w:rFonts w:asciiTheme="minorHAnsi" w:eastAsia="Times New Roman" w:hAnsiTheme="minorHAnsi" w:cstheme="minorHAnsi"/>
                <w:b/>
                <w:color w:val="000000"/>
                <w:sz w:val="18"/>
                <w:szCs w:val="18"/>
                <w:lang w:eastAsia="en-AU"/>
              </w:rPr>
              <w:t>This results in a very large increase</w:t>
            </w:r>
            <w:r w:rsidRPr="004206B0">
              <w:rPr>
                <w:rFonts w:asciiTheme="minorHAnsi" w:eastAsia="Times New Roman" w:hAnsiTheme="minorHAnsi" w:cstheme="minorHAnsi"/>
                <w:b/>
                <w:color w:val="000000"/>
                <w:sz w:val="18"/>
                <w:szCs w:val="18"/>
                <w:lang w:eastAsia="en-AU"/>
              </w:rPr>
              <w:t xml:space="preserve">, </w:t>
            </w:r>
            <w:r w:rsidRPr="00B74DE3">
              <w:rPr>
                <w:rFonts w:asciiTheme="minorHAnsi" w:eastAsia="Times New Roman" w:hAnsiTheme="minorHAnsi" w:cstheme="minorHAnsi"/>
                <w:b/>
                <w:color w:val="000000"/>
                <w:sz w:val="18"/>
                <w:szCs w:val="18"/>
                <w:lang w:eastAsia="en-AU"/>
              </w:rPr>
              <w:t>2.5 Mt</w:t>
            </w:r>
            <w:r w:rsidRPr="004206B0">
              <w:rPr>
                <w:rFonts w:asciiTheme="minorHAnsi" w:eastAsia="Times New Roman" w:hAnsiTheme="minorHAnsi" w:cstheme="minorHAnsi"/>
                <w:b/>
                <w:color w:val="000000"/>
                <w:sz w:val="18"/>
                <w:szCs w:val="18"/>
                <w:lang w:eastAsia="en-AU"/>
              </w:rPr>
              <w:t>/yr,</w:t>
            </w:r>
            <w:r w:rsidRPr="00B74DE3">
              <w:rPr>
                <w:rFonts w:asciiTheme="minorHAnsi" w:eastAsia="Times New Roman" w:hAnsiTheme="minorHAnsi" w:cstheme="minorHAnsi"/>
                <w:b/>
                <w:color w:val="000000"/>
                <w:sz w:val="18"/>
                <w:szCs w:val="18"/>
                <w:lang w:eastAsia="en-AU"/>
              </w:rPr>
              <w:t xml:space="preserve"> in 2023 increasing to 3.2 Mt</w:t>
            </w:r>
            <w:r w:rsidRPr="004206B0">
              <w:rPr>
                <w:rFonts w:asciiTheme="minorHAnsi" w:eastAsia="Times New Roman" w:hAnsiTheme="minorHAnsi" w:cstheme="minorHAnsi"/>
                <w:b/>
                <w:color w:val="000000"/>
                <w:sz w:val="18"/>
                <w:szCs w:val="18"/>
                <w:lang w:eastAsia="en-AU"/>
              </w:rPr>
              <w:t>/yr</w:t>
            </w:r>
            <w:r w:rsidRPr="00B74DE3">
              <w:rPr>
                <w:rFonts w:asciiTheme="minorHAnsi" w:eastAsia="Times New Roman" w:hAnsiTheme="minorHAnsi" w:cstheme="minorHAnsi"/>
                <w:b/>
                <w:color w:val="000000"/>
                <w:sz w:val="18"/>
                <w:szCs w:val="18"/>
                <w:lang w:eastAsia="en-AU"/>
              </w:rPr>
              <w:t xml:space="preserve"> by 2037</w:t>
            </w:r>
            <w:r w:rsidRPr="004206B0">
              <w:rPr>
                <w:rFonts w:asciiTheme="minorHAnsi" w:eastAsia="Times New Roman" w:hAnsiTheme="minorHAnsi" w:cstheme="minorHAnsi"/>
                <w:b/>
                <w:color w:val="000000"/>
                <w:sz w:val="18"/>
                <w:szCs w:val="18"/>
                <w:lang w:eastAsia="en-AU"/>
              </w:rPr>
              <w:t xml:space="preserve"> that is projected to need long-term </w:t>
            </w:r>
            <w:r w:rsidR="00166A69" w:rsidRPr="004206B0">
              <w:rPr>
                <w:rFonts w:asciiTheme="minorHAnsi" w:eastAsia="Times New Roman" w:hAnsiTheme="minorHAnsi" w:cstheme="minorHAnsi"/>
                <w:b/>
                <w:color w:val="000000"/>
                <w:sz w:val="18"/>
                <w:szCs w:val="18"/>
                <w:lang w:eastAsia="en-AU"/>
              </w:rPr>
              <w:t>isolation</w:t>
            </w:r>
            <w:r w:rsidRPr="004206B0">
              <w:rPr>
                <w:rFonts w:asciiTheme="minorHAnsi" w:eastAsia="Times New Roman" w:hAnsiTheme="minorHAnsi" w:cstheme="minorHAnsi"/>
                <w:b/>
                <w:color w:val="000000"/>
                <w:sz w:val="18"/>
                <w:szCs w:val="18"/>
                <w:lang w:eastAsia="en-AU"/>
              </w:rPr>
              <w:t xml:space="preserve"> facility capacity. This presents a shortfall of </w:t>
            </w:r>
            <w:r w:rsidR="00470152" w:rsidRPr="009D734D">
              <w:rPr>
                <w:rFonts w:asciiTheme="minorHAnsi" w:eastAsia="Times New Roman" w:hAnsiTheme="minorHAnsi" w:cstheme="minorHAnsi"/>
                <w:b/>
                <w:color w:val="000000"/>
                <w:sz w:val="18"/>
                <w:szCs w:val="18"/>
                <w:highlight w:val="red"/>
                <w:lang w:eastAsia="en-AU"/>
              </w:rPr>
              <w:t>CIC</w:t>
            </w:r>
            <w:r w:rsidRPr="004206B0">
              <w:rPr>
                <w:rFonts w:asciiTheme="minorHAnsi" w:eastAsia="Times New Roman" w:hAnsiTheme="minorHAnsi" w:cstheme="minorHAnsi"/>
                <w:b/>
                <w:color w:val="000000"/>
                <w:sz w:val="18"/>
                <w:szCs w:val="18"/>
                <w:lang w:eastAsia="en-AU"/>
              </w:rPr>
              <w:t xml:space="preserve"> Mt of capacity in 2023, even when the currently planned facilities are built and operating at capacity.</w:t>
            </w:r>
            <w:r w:rsidR="004E5252">
              <w:rPr>
                <w:rFonts w:asciiTheme="minorHAnsi" w:eastAsia="Times New Roman" w:hAnsiTheme="minorHAnsi" w:cstheme="minorHAnsi"/>
                <w:b/>
                <w:color w:val="000000"/>
                <w:sz w:val="18"/>
                <w:szCs w:val="18"/>
                <w:lang w:eastAsia="en-AU"/>
              </w:rPr>
              <w:t xml:space="preserve"> </w:t>
            </w:r>
          </w:p>
          <w:p w14:paraId="531FFCCC" w14:textId="77777777" w:rsidR="004E3C14" w:rsidRDefault="004E3C14" w:rsidP="007D60DF">
            <w:pPr>
              <w:widowControl w:val="0"/>
              <w:rPr>
                <w:rFonts w:asciiTheme="minorHAnsi" w:eastAsia="Times New Roman" w:hAnsiTheme="minorHAnsi" w:cstheme="minorHAnsi"/>
                <w:b/>
                <w:color w:val="000000"/>
                <w:sz w:val="18"/>
                <w:szCs w:val="18"/>
                <w:lang w:eastAsia="en-AU"/>
              </w:rPr>
            </w:pPr>
          </w:p>
          <w:p w14:paraId="39170E27" w14:textId="0CF71674" w:rsidR="004E5252" w:rsidRDefault="00166A69" w:rsidP="007D60DF">
            <w:pPr>
              <w:widowControl w:val="0"/>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 xml:space="preserve">The projected needs versus capacity </w:t>
            </w:r>
            <w:r w:rsidR="004E5252">
              <w:rPr>
                <w:rFonts w:asciiTheme="minorHAnsi" w:eastAsia="Times New Roman" w:hAnsiTheme="minorHAnsi" w:cstheme="minorHAnsi"/>
                <w:color w:val="000000"/>
                <w:sz w:val="18"/>
                <w:szCs w:val="18"/>
                <w:lang w:eastAsia="en-AU"/>
              </w:rPr>
              <w:t xml:space="preserve">assessment </w:t>
            </w:r>
            <w:r>
              <w:rPr>
                <w:rFonts w:asciiTheme="minorHAnsi" w:eastAsia="Times New Roman" w:hAnsiTheme="minorHAnsi" w:cstheme="minorHAnsi"/>
                <w:color w:val="000000"/>
                <w:sz w:val="18"/>
                <w:szCs w:val="18"/>
                <w:lang w:eastAsia="en-AU"/>
              </w:rPr>
              <w:t>does not identify the year of exceedance (202</w:t>
            </w:r>
            <w:r w:rsidR="00470152">
              <w:rPr>
                <w:rFonts w:asciiTheme="minorHAnsi" w:eastAsia="Times New Roman" w:hAnsiTheme="minorHAnsi" w:cstheme="minorHAnsi"/>
                <w:color w:val="000000"/>
                <w:sz w:val="18"/>
                <w:szCs w:val="18"/>
                <w:lang w:eastAsia="en-AU"/>
              </w:rPr>
              <w:t>3</w:t>
            </w:r>
            <w:r>
              <w:rPr>
                <w:rFonts w:asciiTheme="minorHAnsi" w:eastAsia="Times New Roman" w:hAnsiTheme="minorHAnsi" w:cstheme="minorHAnsi"/>
                <w:color w:val="000000"/>
                <w:sz w:val="18"/>
                <w:szCs w:val="18"/>
                <w:lang w:eastAsia="en-AU"/>
              </w:rPr>
              <w:t xml:space="preserve"> under a high scenario for</w:t>
            </w:r>
            <w:r w:rsidR="004E5252">
              <w:rPr>
                <w:rFonts w:asciiTheme="minorHAnsi" w:eastAsia="Times New Roman" w:hAnsiTheme="minorHAnsi" w:cstheme="minorHAnsi"/>
                <w:color w:val="000000"/>
                <w:sz w:val="18"/>
                <w:szCs w:val="18"/>
                <w:lang w:eastAsia="en-AU"/>
              </w:rPr>
              <w:t xml:space="preserve"> D300</w:t>
            </w:r>
            <w:r>
              <w:rPr>
                <w:rFonts w:asciiTheme="minorHAnsi" w:eastAsia="Times New Roman" w:hAnsiTheme="minorHAnsi" w:cstheme="minorHAnsi"/>
                <w:color w:val="000000"/>
                <w:sz w:val="18"/>
                <w:szCs w:val="18"/>
                <w:lang w:eastAsia="en-AU"/>
              </w:rPr>
              <w:t xml:space="preserve">) because the </w:t>
            </w:r>
            <w:r w:rsidR="00470152" w:rsidRPr="009D734D">
              <w:rPr>
                <w:rFonts w:asciiTheme="minorHAnsi" w:eastAsia="Times New Roman" w:hAnsiTheme="minorHAnsi" w:cstheme="minorHAnsi"/>
                <w:color w:val="000000"/>
                <w:sz w:val="18"/>
                <w:szCs w:val="18"/>
                <w:highlight w:val="red"/>
                <w:lang w:eastAsia="en-AU"/>
              </w:rPr>
              <w:t>CIC</w:t>
            </w:r>
            <w:r w:rsidR="00470152">
              <w:rPr>
                <w:rFonts w:asciiTheme="minorHAnsi" w:eastAsia="Times New Roman" w:hAnsiTheme="minorHAnsi" w:cstheme="minorHAnsi"/>
                <w:color w:val="000000"/>
                <w:sz w:val="18"/>
                <w:szCs w:val="18"/>
                <w:lang w:eastAsia="en-AU"/>
              </w:rPr>
              <w:t xml:space="preserve"> </w:t>
            </w:r>
            <w:r w:rsidR="00C34F48">
              <w:rPr>
                <w:rFonts w:asciiTheme="minorHAnsi" w:eastAsia="Times New Roman" w:hAnsiTheme="minorHAnsi" w:cstheme="minorHAnsi"/>
                <w:color w:val="000000"/>
                <w:sz w:val="18"/>
                <w:szCs w:val="18"/>
                <w:lang w:eastAsia="en-AU"/>
              </w:rPr>
              <w:t>kt</w:t>
            </w:r>
            <w:r>
              <w:rPr>
                <w:rFonts w:asciiTheme="minorHAnsi" w:eastAsia="Times New Roman" w:hAnsiTheme="minorHAnsi" w:cstheme="minorHAnsi"/>
                <w:color w:val="000000"/>
                <w:sz w:val="18"/>
                <w:szCs w:val="18"/>
                <w:lang w:eastAsia="en-AU"/>
              </w:rPr>
              <w:t>/yr capacity is not yet operational.</w:t>
            </w:r>
            <w:r w:rsidR="00C96380" w:rsidRPr="004206B0">
              <w:rPr>
                <w:rFonts w:asciiTheme="minorHAnsi" w:eastAsia="Times New Roman" w:hAnsiTheme="minorHAnsi" w:cstheme="minorHAnsi"/>
                <w:color w:val="000000"/>
                <w:sz w:val="18"/>
                <w:szCs w:val="18"/>
                <w:lang w:eastAsia="en-AU"/>
              </w:rPr>
              <w:t xml:space="preserve"> </w:t>
            </w:r>
          </w:p>
          <w:p w14:paraId="59AE68C6" w14:textId="77777777" w:rsidR="004E3C14" w:rsidRDefault="004E3C14">
            <w:pPr>
              <w:widowControl w:val="0"/>
              <w:rPr>
                <w:rFonts w:asciiTheme="minorHAnsi" w:eastAsia="Times New Roman" w:hAnsiTheme="minorHAnsi" w:cstheme="minorHAnsi"/>
                <w:b/>
                <w:color w:val="000000"/>
                <w:sz w:val="18"/>
                <w:szCs w:val="18"/>
                <w:lang w:eastAsia="en-AU"/>
              </w:rPr>
            </w:pPr>
          </w:p>
          <w:p w14:paraId="37724C95" w14:textId="231437D3" w:rsidR="004E5252" w:rsidRPr="004206B0" w:rsidRDefault="004E5252">
            <w:pPr>
              <w:widowControl w:val="0"/>
              <w:rPr>
                <w:rFonts w:asciiTheme="minorHAnsi" w:eastAsia="Times New Roman" w:hAnsiTheme="minorHAnsi" w:cstheme="minorHAnsi"/>
                <w:b/>
                <w:color w:val="000000"/>
                <w:sz w:val="18"/>
                <w:szCs w:val="18"/>
                <w:lang w:eastAsia="en-AU"/>
              </w:rPr>
            </w:pPr>
            <w:r>
              <w:rPr>
                <w:rFonts w:asciiTheme="minorHAnsi" w:eastAsia="Times New Roman" w:hAnsiTheme="minorHAnsi" w:cstheme="minorHAnsi"/>
                <w:b/>
                <w:color w:val="000000"/>
                <w:sz w:val="18"/>
                <w:szCs w:val="18"/>
                <w:lang w:eastAsia="en-AU"/>
              </w:rPr>
              <w:t xml:space="preserve">Recommendation: </w:t>
            </w:r>
            <w:r w:rsidR="00CF3752">
              <w:rPr>
                <w:rFonts w:asciiTheme="minorHAnsi" w:eastAsia="Times New Roman" w:hAnsiTheme="minorHAnsi" w:cstheme="minorHAnsi"/>
                <w:color w:val="000000"/>
                <w:sz w:val="18"/>
                <w:szCs w:val="18"/>
                <w:lang w:eastAsia="en-AU"/>
              </w:rPr>
              <w:t xml:space="preserve">DoEE should work with state and territory governments </w:t>
            </w:r>
            <w:r>
              <w:rPr>
                <w:rFonts w:asciiTheme="minorHAnsi" w:eastAsia="Times New Roman" w:hAnsiTheme="minorHAnsi" w:cstheme="minorHAnsi"/>
                <w:color w:val="000000"/>
                <w:sz w:val="18"/>
                <w:szCs w:val="18"/>
                <w:lang w:eastAsia="en-AU"/>
              </w:rPr>
              <w:t>to assess the appropriate management of CSG RO brine wastes and determine the likelihood of offsite disposal.</w:t>
            </w:r>
          </w:p>
        </w:tc>
      </w:tr>
    </w:tbl>
    <w:p w14:paraId="5FF21B2D" w14:textId="5919FB8F" w:rsidR="00B37084" w:rsidRPr="00100F0A" w:rsidRDefault="00B37084" w:rsidP="00B37084">
      <w:pPr>
        <w:pStyle w:val="BodyText"/>
        <w:rPr>
          <w:color w:val="000099" w:themeColor="text2"/>
          <w:sz w:val="20"/>
        </w:rPr>
      </w:pPr>
      <w:r w:rsidRPr="00100F0A">
        <w:rPr>
          <w:color w:val="000099" w:themeColor="text2"/>
          <w:sz w:val="20"/>
        </w:rPr>
        <w:t>Notes</w:t>
      </w:r>
      <w:r w:rsidR="00D11FEE" w:rsidRPr="00100F0A">
        <w:rPr>
          <w:color w:val="000099" w:themeColor="text2"/>
          <w:sz w:val="20"/>
        </w:rPr>
        <w:tab/>
      </w:r>
      <w:r w:rsidRPr="00100F0A">
        <w:rPr>
          <w:color w:val="000099" w:themeColor="text2"/>
          <w:sz w:val="20"/>
        </w:rPr>
        <w:tab/>
      </w:r>
      <w:r w:rsidRPr="00100F0A">
        <w:rPr>
          <w:color w:val="000099" w:themeColor="text2"/>
          <w:sz w:val="20"/>
        </w:rPr>
        <w:tab/>
      </w:r>
      <w:r w:rsidRPr="00100F0A">
        <w:rPr>
          <w:color w:val="000099" w:themeColor="text2"/>
          <w:sz w:val="20"/>
        </w:rPr>
        <w:tab/>
      </w:r>
      <w:r w:rsidRPr="00100F0A">
        <w:rPr>
          <w:color w:val="000099" w:themeColor="text2"/>
          <w:sz w:val="20"/>
        </w:rPr>
        <w:tab/>
      </w:r>
      <w:r w:rsidRPr="00100F0A">
        <w:rPr>
          <w:color w:val="000099" w:themeColor="text2"/>
          <w:sz w:val="20"/>
        </w:rPr>
        <w:tab/>
      </w:r>
      <w:r w:rsidRPr="00100F0A">
        <w:rPr>
          <w:color w:val="000099" w:themeColor="text2"/>
          <w:sz w:val="20"/>
        </w:rPr>
        <w:tab/>
      </w:r>
      <w:r w:rsidRPr="00100F0A">
        <w:rPr>
          <w:color w:val="000099" w:themeColor="text2"/>
          <w:sz w:val="20"/>
        </w:rPr>
        <w:tab/>
      </w:r>
    </w:p>
    <w:p w14:paraId="66096CA8" w14:textId="6BAB77AA" w:rsidR="00B37084" w:rsidRPr="00100F0A" w:rsidRDefault="00B37084" w:rsidP="00B37084">
      <w:pPr>
        <w:pStyle w:val="BodyText"/>
        <w:rPr>
          <w:i/>
          <w:color w:val="000099" w:themeColor="text2"/>
          <w:sz w:val="20"/>
        </w:rPr>
      </w:pPr>
      <w:r w:rsidRPr="00100F0A">
        <w:rPr>
          <w:i/>
          <w:color w:val="000099" w:themeColor="text2"/>
          <w:sz w:val="20"/>
        </w:rPr>
        <w:t>1. Analysis assumes that the current national average proportions of fate (i.e. how much is recovered, disposed) remain static. This limits the quantitat</w:t>
      </w:r>
      <w:r w:rsidR="000B5509">
        <w:rPr>
          <w:i/>
          <w:color w:val="000099" w:themeColor="text2"/>
          <w:sz w:val="20"/>
        </w:rPr>
        <w:t>iv</w:t>
      </w:r>
      <w:r w:rsidRPr="00100F0A">
        <w:rPr>
          <w:i/>
          <w:color w:val="000099" w:themeColor="text2"/>
          <w:sz w:val="20"/>
        </w:rPr>
        <w:t>e analysis for wastes that are currently disposed but could be recovered in higher proportion in future. Consultation with government stakeholders about expected changes in regulation has been completed as well as discussing likely future trends with industry during consultation.</w:t>
      </w:r>
      <w:r w:rsidRPr="00100F0A">
        <w:rPr>
          <w:i/>
          <w:color w:val="000099" w:themeColor="text2"/>
          <w:sz w:val="20"/>
        </w:rPr>
        <w:tab/>
      </w:r>
    </w:p>
    <w:p w14:paraId="129A44AC" w14:textId="7074C009" w:rsidR="00B37084" w:rsidRPr="00100F0A" w:rsidRDefault="00B37084" w:rsidP="00B37084">
      <w:pPr>
        <w:pStyle w:val="BodyText"/>
        <w:sectPr w:rsidR="00B37084" w:rsidRPr="00100F0A" w:rsidSect="004206B0">
          <w:pgSz w:w="16840" w:h="11907" w:orient="landscape" w:code="9"/>
          <w:pgMar w:top="1418" w:right="964" w:bottom="1418" w:left="1134" w:header="709" w:footer="709" w:gutter="0"/>
          <w:cols w:space="708"/>
          <w:docGrid w:linePitch="360"/>
        </w:sectPr>
      </w:pPr>
      <w:r w:rsidRPr="00100F0A">
        <w:rPr>
          <w:i/>
          <w:color w:val="000099" w:themeColor="text2"/>
          <w:sz w:val="20"/>
        </w:rPr>
        <w:t xml:space="preserve">2. Landfill </w:t>
      </w:r>
      <w:r w:rsidR="000962A1" w:rsidRPr="00100F0A">
        <w:rPr>
          <w:i/>
          <w:color w:val="000099" w:themeColor="text2"/>
          <w:sz w:val="20"/>
        </w:rPr>
        <w:t>installed</w:t>
      </w:r>
      <w:r w:rsidRPr="00100F0A">
        <w:rPr>
          <w:i/>
          <w:color w:val="000099" w:themeColor="text2"/>
          <w:sz w:val="20"/>
        </w:rPr>
        <w:t xml:space="preserve"> capacity refers to the potential tonnages that the site can landfill in a year. It does not refer to the amount of waste the site can receive before closure. Where the </w:t>
      </w:r>
      <w:r w:rsidR="000962A1" w:rsidRPr="00100F0A">
        <w:rPr>
          <w:i/>
          <w:color w:val="000099" w:themeColor="text2"/>
          <w:sz w:val="20"/>
        </w:rPr>
        <w:t>installed</w:t>
      </w:r>
      <w:r w:rsidRPr="00100F0A">
        <w:rPr>
          <w:i/>
          <w:color w:val="000099" w:themeColor="text2"/>
          <w:sz w:val="20"/>
        </w:rPr>
        <w:t xml:space="preserve"> capacity is exceeded, it indicates that the landfill would need to increase capabilities to dispose more waste each year. This may require amendment to the site</w:t>
      </w:r>
      <w:r w:rsidR="000B5509">
        <w:rPr>
          <w:i/>
          <w:color w:val="000099" w:themeColor="text2"/>
          <w:sz w:val="20"/>
        </w:rPr>
        <w:t>’</w:t>
      </w:r>
      <w:r w:rsidRPr="00100F0A">
        <w:rPr>
          <w:i/>
          <w:color w:val="000099" w:themeColor="text2"/>
          <w:sz w:val="20"/>
        </w:rPr>
        <w:t>s EPA licence.</w:t>
      </w:r>
      <w:r w:rsidRPr="00100F0A">
        <w:rPr>
          <w:color w:val="000099" w:themeColor="text2"/>
          <w:sz w:val="20"/>
        </w:rPr>
        <w:t xml:space="preserve"> </w:t>
      </w:r>
      <w:r w:rsidRPr="00100F0A">
        <w:rPr>
          <w:color w:val="000099" w:themeColor="text2"/>
        </w:rPr>
        <w:tab/>
      </w:r>
      <w:r w:rsidRPr="00100F0A">
        <w:rPr>
          <w:color w:val="000099" w:themeColor="text2"/>
        </w:rPr>
        <w:tab/>
      </w:r>
      <w:r w:rsidRPr="00100F0A">
        <w:rPr>
          <w:color w:val="000099" w:themeColor="text2"/>
        </w:rPr>
        <w:tab/>
      </w:r>
      <w:r w:rsidRPr="00100F0A">
        <w:rPr>
          <w:color w:val="000099" w:themeColor="text2"/>
        </w:rPr>
        <w:tab/>
      </w:r>
      <w:r w:rsidRPr="00100F0A">
        <w:rPr>
          <w:color w:val="000099" w:themeColor="text2"/>
        </w:rPr>
        <w:tab/>
      </w:r>
      <w:r w:rsidRPr="00100F0A">
        <w:rPr>
          <w:color w:val="000099" w:themeColor="text2"/>
        </w:rPr>
        <w:tab/>
      </w:r>
      <w:r w:rsidRPr="00100F0A">
        <w:tab/>
      </w:r>
    </w:p>
    <w:p w14:paraId="43493394" w14:textId="2C43CF24" w:rsidR="00B37084" w:rsidRPr="00100F0A" w:rsidRDefault="00B37084" w:rsidP="00AD35BF">
      <w:pPr>
        <w:pStyle w:val="Heading2"/>
      </w:pPr>
      <w:bookmarkStart w:id="392" w:name="_Toc420525942"/>
      <w:bookmarkStart w:id="393" w:name="_Toc420569693"/>
      <w:bookmarkStart w:id="394" w:name="_Toc420680778"/>
      <w:bookmarkStart w:id="395" w:name="_Toc420879270"/>
      <w:bookmarkStart w:id="396" w:name="_Toc420959497"/>
      <w:bookmarkStart w:id="397" w:name="_Toc421034153"/>
      <w:bookmarkStart w:id="398" w:name="_Toc421042301"/>
      <w:bookmarkStart w:id="399" w:name="_Toc421043501"/>
      <w:bookmarkStart w:id="400" w:name="_Toc421048484"/>
      <w:bookmarkStart w:id="401" w:name="_Toc421054600"/>
      <w:bookmarkStart w:id="402" w:name="_Toc421086298"/>
      <w:bookmarkStart w:id="403" w:name="_Toc421126673"/>
      <w:bookmarkStart w:id="404" w:name="_Toc13225549"/>
      <w:bookmarkStart w:id="405" w:name="_Toc408308731"/>
      <w:bookmarkStart w:id="406" w:name="_Ref420967492"/>
      <w:bookmarkStart w:id="407" w:name="_Toc425849174"/>
      <w:bookmarkEnd w:id="392"/>
      <w:bookmarkEnd w:id="393"/>
      <w:bookmarkEnd w:id="394"/>
      <w:bookmarkEnd w:id="395"/>
      <w:bookmarkEnd w:id="396"/>
      <w:bookmarkEnd w:id="397"/>
      <w:bookmarkEnd w:id="398"/>
      <w:bookmarkEnd w:id="399"/>
      <w:bookmarkEnd w:id="400"/>
      <w:bookmarkEnd w:id="401"/>
      <w:bookmarkEnd w:id="402"/>
      <w:bookmarkEnd w:id="403"/>
      <w:r w:rsidRPr="00100F0A">
        <w:t xml:space="preserve">Jurisdictional assessment </w:t>
      </w:r>
      <w:r w:rsidR="00273744" w:rsidRPr="00100F0A">
        <w:t>of need versus capacity</w:t>
      </w:r>
      <w:bookmarkEnd w:id="404"/>
      <w:r w:rsidR="00273744" w:rsidRPr="00100F0A">
        <w:t xml:space="preserve"> </w:t>
      </w:r>
      <w:bookmarkEnd w:id="405"/>
      <w:bookmarkEnd w:id="406"/>
      <w:bookmarkEnd w:id="407"/>
      <w:r w:rsidRPr="00100F0A">
        <w:t xml:space="preserve"> </w:t>
      </w:r>
    </w:p>
    <w:p w14:paraId="6A4C9E56" w14:textId="4D04870C" w:rsidR="00B37084" w:rsidRPr="00100F0A" w:rsidRDefault="00B37084" w:rsidP="00B37084">
      <w:pPr>
        <w:pStyle w:val="BodyText"/>
      </w:pPr>
      <w:r w:rsidRPr="00100F0A">
        <w:t xml:space="preserve">An assessment of </w:t>
      </w:r>
      <w:r w:rsidR="00273744" w:rsidRPr="00100F0A">
        <w:t xml:space="preserve">installed </w:t>
      </w:r>
      <w:r w:rsidRPr="00100F0A">
        <w:t xml:space="preserve">capacity in each jurisdiction against estimated wastes arising is </w:t>
      </w:r>
      <w:r w:rsidR="00273744" w:rsidRPr="00100F0A">
        <w:t xml:space="preserve">included in the sections below in </w:t>
      </w:r>
      <w:r w:rsidRPr="00100F0A">
        <w:fldChar w:fldCharType="begin"/>
      </w:r>
      <w:r w:rsidRPr="00100F0A">
        <w:instrText xml:space="preserve"> REF _Ref409389114 \h </w:instrText>
      </w:r>
      <w:r w:rsidRPr="00100F0A">
        <w:fldChar w:fldCharType="separate"/>
      </w:r>
      <w:r w:rsidR="00EB634D" w:rsidRPr="00100F0A">
        <w:t xml:space="preserve">Table </w:t>
      </w:r>
      <w:r w:rsidR="00EB634D">
        <w:rPr>
          <w:noProof/>
        </w:rPr>
        <w:t>52</w:t>
      </w:r>
      <w:r w:rsidRPr="00100F0A">
        <w:fldChar w:fldCharType="end"/>
      </w:r>
      <w:r w:rsidRPr="00100F0A">
        <w:t xml:space="preserve"> to</w:t>
      </w:r>
      <w:r w:rsidR="00CC4828" w:rsidRPr="00100F0A">
        <w:t xml:space="preserve"> </w:t>
      </w:r>
      <w:r w:rsidR="00CC4828" w:rsidRPr="001D22FE">
        <w:fldChar w:fldCharType="begin"/>
      </w:r>
      <w:r w:rsidR="00CC4828" w:rsidRPr="005101BD">
        <w:instrText xml:space="preserve"> REF _Ref531182821 \h </w:instrText>
      </w:r>
      <w:r w:rsidR="005101BD">
        <w:instrText xml:space="preserve"> \* MERGEFORMAT </w:instrText>
      </w:r>
      <w:r w:rsidR="00CC4828" w:rsidRPr="001D22FE">
        <w:fldChar w:fldCharType="separate"/>
      </w:r>
      <w:r w:rsidR="00EB634D" w:rsidRPr="00EB634D">
        <w:t>Table 59</w:t>
      </w:r>
      <w:r w:rsidR="00CC4828" w:rsidRPr="001D22FE">
        <w:fldChar w:fldCharType="end"/>
      </w:r>
      <w:r w:rsidR="00CC4828" w:rsidRPr="005101BD">
        <w:t xml:space="preserve">. </w:t>
      </w:r>
      <w:r w:rsidRPr="00100F0A">
        <w:t xml:space="preserve">Each </w:t>
      </w:r>
      <w:r w:rsidR="00273744" w:rsidRPr="00100F0A">
        <w:t xml:space="preserve">of these </w:t>
      </w:r>
      <w:r w:rsidRPr="00100F0A">
        <w:t>table</w:t>
      </w:r>
      <w:r w:rsidR="00273744" w:rsidRPr="00100F0A">
        <w:t>s</w:t>
      </w:r>
      <w:r w:rsidRPr="00100F0A">
        <w:t xml:space="preserve"> includes the following for each infrastructure group:</w:t>
      </w:r>
    </w:p>
    <w:p w14:paraId="186346D3" w14:textId="1D56A31A" w:rsidR="00B37084" w:rsidRPr="00100F0A" w:rsidRDefault="00B37084" w:rsidP="00B37084">
      <w:pPr>
        <w:pStyle w:val="Bullet1"/>
        <w:spacing w:before="80"/>
        <w:ind w:left="454" w:hanging="454"/>
      </w:pPr>
      <w:r w:rsidRPr="00100F0A">
        <w:t xml:space="preserve">the </w:t>
      </w:r>
      <w:r w:rsidR="00273744" w:rsidRPr="00100F0A">
        <w:t xml:space="preserve">installed </w:t>
      </w:r>
      <w:r w:rsidRPr="00100F0A">
        <w:t>capacity of the infrastructure included in the group</w:t>
      </w:r>
    </w:p>
    <w:p w14:paraId="33A0D09D" w14:textId="2AA61F6B" w:rsidR="00B37084" w:rsidRPr="00100F0A" w:rsidRDefault="00B37084" w:rsidP="00B37084">
      <w:pPr>
        <w:pStyle w:val="Bullet1"/>
        <w:spacing w:before="80"/>
        <w:ind w:left="454" w:hanging="454"/>
      </w:pPr>
      <w:r w:rsidRPr="00100F0A">
        <w:t>the estimated 201</w:t>
      </w:r>
      <w:r w:rsidR="00273744" w:rsidRPr="00100F0A">
        <w:t>6-17</w:t>
      </w:r>
      <w:r w:rsidRPr="00100F0A">
        <w:t xml:space="preserve"> arisings assumed to be </w:t>
      </w:r>
      <w:r w:rsidR="00273744" w:rsidRPr="00100F0A">
        <w:t>managed by</w:t>
      </w:r>
      <w:r w:rsidRPr="00100F0A">
        <w:t xml:space="preserve"> each infrastructure group</w:t>
      </w:r>
    </w:p>
    <w:p w14:paraId="3B6FE736" w14:textId="3A72CA57" w:rsidR="00B37084" w:rsidRPr="00100F0A" w:rsidRDefault="00B37084" w:rsidP="00B37084">
      <w:pPr>
        <w:pStyle w:val="Bullet1"/>
        <w:spacing w:before="80"/>
        <w:ind w:left="454" w:hanging="454"/>
      </w:pPr>
      <w:r w:rsidRPr="00100F0A">
        <w:t xml:space="preserve">the year in which estimated waste arisings exceed </w:t>
      </w:r>
      <w:r w:rsidR="00273744" w:rsidRPr="00100F0A">
        <w:t xml:space="preserve">installed </w:t>
      </w:r>
      <w:r w:rsidRPr="00100F0A">
        <w:t>capacity under best, high and low estimates</w:t>
      </w:r>
    </w:p>
    <w:p w14:paraId="4F05C3BB" w14:textId="77777777" w:rsidR="00B37084" w:rsidRPr="00100F0A" w:rsidRDefault="00B37084" w:rsidP="00B37084">
      <w:pPr>
        <w:pStyle w:val="Bullet1"/>
        <w:spacing w:before="80"/>
        <w:ind w:left="454" w:hanging="454"/>
      </w:pPr>
      <w:r w:rsidRPr="00100F0A">
        <w:t xml:space="preserve">a discussion. </w:t>
      </w:r>
    </w:p>
    <w:p w14:paraId="2B32B0DB" w14:textId="77777777" w:rsidR="00B37084" w:rsidRPr="00100F0A" w:rsidRDefault="00B37084" w:rsidP="00B37084">
      <w:pPr>
        <w:pStyle w:val="BodyText"/>
      </w:pPr>
    </w:p>
    <w:p w14:paraId="67DBC912" w14:textId="47A4B9B1" w:rsidR="009B08FB" w:rsidRPr="00100F0A" w:rsidRDefault="009B08FB" w:rsidP="00B37084">
      <w:pPr>
        <w:pStyle w:val="BodyText"/>
      </w:pPr>
      <w:r w:rsidRPr="000B5509">
        <w:t xml:space="preserve">For the jurisdictional assessments, the </w:t>
      </w:r>
      <w:r w:rsidRPr="00A307F3">
        <w:t xml:space="preserve">data is presented in tonnes (not </w:t>
      </w:r>
      <w:r w:rsidR="0076503C" w:rsidRPr="00A307F3">
        <w:t xml:space="preserve">kt) </w:t>
      </w:r>
      <w:r w:rsidR="0076503C" w:rsidRPr="000B5509">
        <w:t>due to the small</w:t>
      </w:r>
      <w:r w:rsidR="0076503C" w:rsidRPr="00100F0A">
        <w:t xml:space="preserve"> tonnages for some waste streams at a jurisdictional level. This means that for some larger tonnage waste </w:t>
      </w:r>
      <w:r w:rsidR="005275DA" w:rsidRPr="00100F0A">
        <w:t>streams</w:t>
      </w:r>
      <w:r w:rsidR="000B5509">
        <w:t>,</w:t>
      </w:r>
      <w:r w:rsidR="0076503C" w:rsidRPr="00100F0A">
        <w:t xml:space="preserve"> data is presented at four or five significant figures rather than the two or three significant figures that is more appropriate given high levels of uncertainty.</w:t>
      </w:r>
    </w:p>
    <w:p w14:paraId="0BA89010" w14:textId="77777777" w:rsidR="0076503C" w:rsidRPr="00100F0A" w:rsidRDefault="0076503C" w:rsidP="00B37084">
      <w:pPr>
        <w:pStyle w:val="BodyText"/>
      </w:pPr>
    </w:p>
    <w:p w14:paraId="52B785D1" w14:textId="342E1B58" w:rsidR="00B37084" w:rsidRPr="00100F0A" w:rsidRDefault="00B37084" w:rsidP="00B37084">
      <w:pPr>
        <w:pStyle w:val="BodyText"/>
      </w:pPr>
      <w:r w:rsidRPr="00100F0A">
        <w:t>In the public version of this report, the data for infrastructure groups that are serviced by less than three sites have been removed to protect commercial confidentialities</w:t>
      </w:r>
      <w:r w:rsidR="00833FEE" w:rsidRPr="00100F0A">
        <w:t>. At a jurisdictional level, this has required the redaction of a significant amount of data.</w:t>
      </w:r>
    </w:p>
    <w:p w14:paraId="65958EF8" w14:textId="77777777" w:rsidR="00B37084" w:rsidRPr="00100F0A" w:rsidRDefault="00B37084" w:rsidP="00B37084">
      <w:pPr>
        <w:pStyle w:val="BodyText"/>
      </w:pPr>
    </w:p>
    <w:p w14:paraId="359ABD73" w14:textId="41DD39E5" w:rsidR="00B37084" w:rsidRPr="00100F0A" w:rsidRDefault="00B37084" w:rsidP="00AD35BF">
      <w:pPr>
        <w:pStyle w:val="Heading3"/>
      </w:pPr>
      <w:r w:rsidRPr="00100F0A">
        <w:t>Limitation</w:t>
      </w:r>
      <w:r w:rsidR="00523312" w:rsidRPr="00100F0A">
        <w:t>:</w:t>
      </w:r>
      <w:r w:rsidRPr="00100F0A">
        <w:t xml:space="preserve"> using </w:t>
      </w:r>
      <w:r w:rsidR="00523312" w:rsidRPr="00100F0A">
        <w:t xml:space="preserve">the </w:t>
      </w:r>
      <w:r w:rsidRPr="00100F0A">
        <w:t xml:space="preserve">national average </w:t>
      </w:r>
      <w:r w:rsidR="00523312" w:rsidRPr="00100F0A">
        <w:t xml:space="preserve">of </w:t>
      </w:r>
      <w:r w:rsidR="00833FEE" w:rsidRPr="00100F0A">
        <w:t xml:space="preserve">management method for ACT, </w:t>
      </w:r>
      <w:r w:rsidR="000B5509">
        <w:t xml:space="preserve">NT and </w:t>
      </w:r>
      <w:r w:rsidR="00833FEE" w:rsidRPr="00100F0A">
        <w:t xml:space="preserve">Tas </w:t>
      </w:r>
    </w:p>
    <w:p w14:paraId="0C62BA33" w14:textId="1709F592" w:rsidR="00B37084" w:rsidRPr="00100F0A" w:rsidRDefault="00B37084" w:rsidP="00B37084">
      <w:pPr>
        <w:pStyle w:val="BodyText"/>
      </w:pPr>
      <w:r w:rsidRPr="00100F0A">
        <w:t xml:space="preserve">The </w:t>
      </w:r>
      <w:r w:rsidR="00833FEE" w:rsidRPr="00100F0A">
        <w:t xml:space="preserve">management methods for the </w:t>
      </w:r>
      <w:r w:rsidRPr="00100F0A">
        <w:t>201</w:t>
      </w:r>
      <w:r w:rsidR="00833FEE" w:rsidRPr="00100F0A">
        <w:t>6-17</w:t>
      </w:r>
      <w:r w:rsidRPr="00100F0A">
        <w:t xml:space="preserve"> waste arisings </w:t>
      </w:r>
      <w:r w:rsidR="00833FEE" w:rsidRPr="00100F0A">
        <w:t xml:space="preserve">in ACT, NT and Tas </w:t>
      </w:r>
      <w:r w:rsidRPr="00100F0A">
        <w:t xml:space="preserve">have been </w:t>
      </w:r>
      <w:r w:rsidR="00833FEE" w:rsidRPr="00100F0A">
        <w:t>estimated using the average of the management methods from the combined weighted average of NSW, Qld, Vic, SA and WA (the national average)</w:t>
      </w:r>
      <w:r w:rsidRPr="00100F0A">
        <w:t xml:space="preserve">. </w:t>
      </w:r>
      <w:r w:rsidR="00B25D4F" w:rsidRPr="00100F0A">
        <w:fldChar w:fldCharType="begin"/>
      </w:r>
      <w:r w:rsidR="00B25D4F" w:rsidRPr="00100F0A">
        <w:instrText xml:space="preserve"> REF _Ref529543095 \h </w:instrText>
      </w:r>
      <w:r w:rsidR="00B25D4F" w:rsidRPr="00100F0A">
        <w:fldChar w:fldCharType="separate"/>
      </w:r>
      <w:r w:rsidR="00EB634D" w:rsidRPr="00100F0A">
        <w:t xml:space="preserve">Figure </w:t>
      </w:r>
      <w:r w:rsidR="00EB634D">
        <w:rPr>
          <w:noProof/>
        </w:rPr>
        <w:t>44</w:t>
      </w:r>
      <w:r w:rsidR="00B25D4F" w:rsidRPr="00100F0A">
        <w:fldChar w:fldCharType="end"/>
      </w:r>
      <w:r w:rsidR="00B25D4F" w:rsidRPr="00100F0A">
        <w:t xml:space="preserve"> </w:t>
      </w:r>
      <w:r w:rsidRPr="00100F0A">
        <w:t xml:space="preserve">shows the national average </w:t>
      </w:r>
      <w:r w:rsidR="00B25D4F" w:rsidRPr="00100F0A">
        <w:t>for management methods by waste group.</w:t>
      </w:r>
    </w:p>
    <w:p w14:paraId="428DECB3" w14:textId="77777777" w:rsidR="00B37084" w:rsidRPr="00100F0A" w:rsidRDefault="00B37084" w:rsidP="00B37084">
      <w:pPr>
        <w:pStyle w:val="BodyText"/>
      </w:pPr>
    </w:p>
    <w:p w14:paraId="6014A101" w14:textId="057B7D04" w:rsidR="00B25D4F" w:rsidRPr="00100F0A" w:rsidRDefault="00B37084" w:rsidP="00B37084">
      <w:pPr>
        <w:pStyle w:val="BodyText"/>
      </w:pPr>
      <w:r w:rsidRPr="00100F0A">
        <w:t xml:space="preserve">In reality, waste in the </w:t>
      </w:r>
      <w:r w:rsidR="00B25D4F" w:rsidRPr="00100F0A">
        <w:t xml:space="preserve">ACT, </w:t>
      </w:r>
      <w:r w:rsidRPr="00100F0A">
        <w:t>NT</w:t>
      </w:r>
      <w:r w:rsidR="00B25D4F" w:rsidRPr="00100F0A">
        <w:t xml:space="preserve"> and</w:t>
      </w:r>
      <w:r w:rsidRPr="00100F0A">
        <w:t xml:space="preserve"> Tas </w:t>
      </w:r>
      <w:r w:rsidR="00B25D4F" w:rsidRPr="00100F0A">
        <w:t>m</w:t>
      </w:r>
      <w:r w:rsidRPr="00100F0A">
        <w:t>ay be managed different</w:t>
      </w:r>
      <w:r w:rsidR="00B25D4F" w:rsidRPr="00100F0A">
        <w:t xml:space="preserve">ly to the </w:t>
      </w:r>
      <w:r w:rsidR="000B5509">
        <w:t>s</w:t>
      </w:r>
      <w:r w:rsidR="00B25D4F" w:rsidRPr="00100F0A">
        <w:t>tates included in the national average</w:t>
      </w:r>
      <w:r w:rsidRPr="00100F0A">
        <w:t xml:space="preserve">. </w:t>
      </w:r>
      <w:r w:rsidR="00B25D4F" w:rsidRPr="00100F0A">
        <w:t>This issue is discussed further in the jurisdictional sections that follow.</w:t>
      </w:r>
    </w:p>
    <w:p w14:paraId="7AA9E8B8" w14:textId="77777777" w:rsidR="00B37084" w:rsidRPr="00100F0A" w:rsidRDefault="00B37084" w:rsidP="00B37084">
      <w:pPr>
        <w:pStyle w:val="BodyText"/>
      </w:pPr>
    </w:p>
    <w:p w14:paraId="2EA5BC90" w14:textId="77777777" w:rsidR="00B37084" w:rsidRPr="00100F0A" w:rsidRDefault="00B37084" w:rsidP="00AD35BF">
      <w:pPr>
        <w:pStyle w:val="Heading3"/>
      </w:pPr>
      <w:r w:rsidRPr="00100F0A">
        <w:t>Assessment of NEPM data for net interstate movements of hazardous wastes</w:t>
      </w:r>
    </w:p>
    <w:p w14:paraId="273FB7E8" w14:textId="036C5EAE" w:rsidR="00B37084" w:rsidRPr="00100F0A" w:rsidRDefault="00B37084" w:rsidP="00BE44EC">
      <w:pPr>
        <w:pStyle w:val="BodyText"/>
      </w:pPr>
      <w:r w:rsidRPr="00100F0A">
        <w:t>The NEPM data is published in</w:t>
      </w:r>
      <w:r w:rsidR="000B5509">
        <w:t xml:space="preserve"> the</w:t>
      </w:r>
      <w:r w:rsidRPr="00100F0A">
        <w:t xml:space="preserve"> </w:t>
      </w:r>
      <w:hyperlink r:id="rId102" w:history="1">
        <w:r w:rsidRPr="00100F0A">
          <w:rPr>
            <w:rStyle w:val="Hyperlink"/>
          </w:rPr>
          <w:t>National Environment Protection Council Annual Report</w:t>
        </w:r>
      </w:hyperlink>
      <w:r w:rsidRPr="00100F0A">
        <w:t xml:space="preserve">. The NEPM data illustrates which jurisdictions are importing and exporting which types of wastes, which is important as it has a direct impact on the need for infrastructure capacity in a jurisdiction. </w:t>
      </w:r>
      <w:r w:rsidRPr="00100F0A">
        <w:fldChar w:fldCharType="begin"/>
      </w:r>
      <w:r w:rsidRPr="00100F0A">
        <w:instrText xml:space="preserve"> REF _Ref420507756 \h  \* MERGEFORMAT </w:instrText>
      </w:r>
      <w:r w:rsidRPr="00100F0A">
        <w:fldChar w:fldCharType="separate"/>
      </w:r>
      <w:r w:rsidR="00EB634D" w:rsidRPr="00EB634D">
        <w:rPr>
          <w:rFonts w:asciiTheme="minorHAnsi" w:hAnsiTheme="minorHAnsi" w:cs="Calibri"/>
          <w:noProof/>
        </w:rPr>
        <w:t>Figure 46</w:t>
      </w:r>
      <w:r w:rsidRPr="00100F0A">
        <w:fldChar w:fldCharType="end"/>
      </w:r>
      <w:r w:rsidRPr="00100F0A">
        <w:t xml:space="preserve"> and </w:t>
      </w:r>
      <w:r w:rsidRPr="00100F0A">
        <w:fldChar w:fldCharType="begin"/>
      </w:r>
      <w:r w:rsidRPr="00100F0A">
        <w:instrText xml:space="preserve"> REF _Ref421282404 \h </w:instrText>
      </w:r>
      <w:r w:rsidRPr="00100F0A">
        <w:fldChar w:fldCharType="separate"/>
      </w:r>
      <w:r w:rsidR="00EB634D" w:rsidRPr="00100F0A">
        <w:t xml:space="preserve">Table </w:t>
      </w:r>
      <w:r w:rsidR="00EB634D">
        <w:rPr>
          <w:noProof/>
        </w:rPr>
        <w:t>51</w:t>
      </w:r>
      <w:r w:rsidRPr="00100F0A">
        <w:fldChar w:fldCharType="end"/>
      </w:r>
      <w:r w:rsidRPr="00100F0A">
        <w:t xml:space="preserve"> show the NEPM data for the 201</w:t>
      </w:r>
      <w:r w:rsidR="00BE44EC" w:rsidRPr="00100F0A">
        <w:t>6</w:t>
      </w:r>
      <w:r w:rsidRPr="00100F0A">
        <w:t>-1</w:t>
      </w:r>
      <w:r w:rsidR="00BE44EC" w:rsidRPr="00100F0A">
        <w:t>7</w:t>
      </w:r>
      <w:r w:rsidRPr="00100F0A">
        <w:t xml:space="preserve"> period for each jurisdiction, illustrating firstly the total imports and exports, then the net imports/exports by NEPM 15 waste code. The NEPM 201</w:t>
      </w:r>
      <w:r w:rsidR="00523239" w:rsidRPr="00100F0A">
        <w:t>6</w:t>
      </w:r>
      <w:r w:rsidRPr="00100F0A">
        <w:t>-1</w:t>
      </w:r>
      <w:r w:rsidR="00523239" w:rsidRPr="00100F0A">
        <w:t>7</w:t>
      </w:r>
      <w:r w:rsidRPr="00100F0A">
        <w:t xml:space="preserve"> data for each jurisdiction is discussed in each of the jurisdictions’ tables that follow.</w:t>
      </w:r>
    </w:p>
    <w:p w14:paraId="527EFFB8" w14:textId="77777777" w:rsidR="00B37084" w:rsidRPr="00100F0A" w:rsidRDefault="00B37084" w:rsidP="00B37084">
      <w:pPr>
        <w:rPr>
          <w:color w:val="080808"/>
        </w:rPr>
      </w:pPr>
      <w:r w:rsidRPr="00100F0A">
        <w:br w:type="page"/>
      </w:r>
    </w:p>
    <w:p w14:paraId="6D2517C6" w14:textId="77777777" w:rsidR="00B37084" w:rsidRPr="00100F0A" w:rsidRDefault="00B37084" w:rsidP="00B37084">
      <w:pPr>
        <w:pStyle w:val="BodyText"/>
        <w:rPr>
          <w:sz w:val="2"/>
          <w:szCs w:val="2"/>
        </w:rPr>
      </w:pPr>
    </w:p>
    <w:p w14:paraId="430DF047" w14:textId="4A0FB3D3" w:rsidR="00B37084" w:rsidRPr="00100F0A" w:rsidRDefault="00B37084" w:rsidP="0095119F">
      <w:pPr>
        <w:pStyle w:val="Caption"/>
      </w:pPr>
      <w:bookmarkStart w:id="408" w:name="_Ref420507756"/>
      <w:bookmarkStart w:id="409" w:name="_Toc425849259"/>
      <w:bookmarkStart w:id="410" w:name="_Toc13225619"/>
      <w:r w:rsidRPr="00100F0A">
        <w:t xml:space="preserve">Figure </w:t>
      </w:r>
      <w:r w:rsidR="002F2488">
        <w:rPr>
          <w:noProof/>
        </w:rPr>
        <w:fldChar w:fldCharType="begin"/>
      </w:r>
      <w:r w:rsidR="002F2488">
        <w:rPr>
          <w:noProof/>
        </w:rPr>
        <w:instrText xml:space="preserve"> SEQ Figure \* ARABIC </w:instrText>
      </w:r>
      <w:r w:rsidR="002F2488">
        <w:rPr>
          <w:noProof/>
        </w:rPr>
        <w:fldChar w:fldCharType="separate"/>
      </w:r>
      <w:r w:rsidR="00EB634D">
        <w:rPr>
          <w:noProof/>
        </w:rPr>
        <w:t>46</w:t>
      </w:r>
      <w:r w:rsidR="002F2488">
        <w:rPr>
          <w:noProof/>
        </w:rPr>
        <w:fldChar w:fldCharType="end"/>
      </w:r>
      <w:bookmarkEnd w:id="408"/>
      <w:r w:rsidR="00F142B1">
        <w:t>:</w:t>
      </w:r>
      <w:r w:rsidR="00D11FEE" w:rsidRPr="00100F0A">
        <w:tab/>
      </w:r>
      <w:r w:rsidRPr="00100F0A">
        <w:t>NEPM 201</w:t>
      </w:r>
      <w:r w:rsidR="00140A78" w:rsidRPr="00100F0A">
        <w:t>6</w:t>
      </w:r>
      <w:r w:rsidRPr="00100F0A">
        <w:t>-1</w:t>
      </w:r>
      <w:r w:rsidR="00140A78" w:rsidRPr="00100F0A">
        <w:t>7</w:t>
      </w:r>
      <w:r w:rsidRPr="00100F0A">
        <w:t xml:space="preserve"> total imports and exports by jurisdiction</w:t>
      </w:r>
      <w:bookmarkEnd w:id="409"/>
      <w:bookmarkEnd w:id="410"/>
    </w:p>
    <w:p w14:paraId="08C7BC9F" w14:textId="214EC56A" w:rsidR="00B37084" w:rsidRPr="00100F0A" w:rsidRDefault="00140A78" w:rsidP="00B37084">
      <w:pPr>
        <w:pStyle w:val="BodyText"/>
      </w:pPr>
      <w:r w:rsidRPr="00100F0A">
        <w:rPr>
          <w:rFonts w:cs="Calibri"/>
          <w:noProof/>
          <w:color w:val="000000"/>
          <w:sz w:val="20"/>
          <w:szCs w:val="20"/>
          <w:lang w:eastAsia="en-AU"/>
        </w:rPr>
        <w:drawing>
          <wp:inline distT="0" distB="0" distL="0" distR="0" wp14:anchorId="65F8252F" wp14:editId="1F889B55">
            <wp:extent cx="5727700" cy="3633470"/>
            <wp:effectExtent l="0" t="0" r="0" b="0"/>
            <wp:docPr id="8" name="Picture 8" descr="Graph" title="Figure 1: Tonnage of controlled waste moved within Australia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7-04 at 2.00.24 pm.png"/>
                    <pic:cNvPicPr/>
                  </pic:nvPicPr>
                  <pic:blipFill>
                    <a:blip r:embed="rId103">
                      <a:extLst>
                        <a:ext uri="{28A0092B-C50C-407E-A947-70E740481C1C}">
                          <a14:useLocalDpi xmlns:a14="http://schemas.microsoft.com/office/drawing/2010/main" val="0"/>
                        </a:ext>
                      </a:extLst>
                    </a:blip>
                    <a:stretch>
                      <a:fillRect/>
                    </a:stretch>
                  </pic:blipFill>
                  <pic:spPr>
                    <a:xfrm>
                      <a:off x="0" y="0"/>
                      <a:ext cx="5727700" cy="3633470"/>
                    </a:xfrm>
                    <a:prstGeom prst="rect">
                      <a:avLst/>
                    </a:prstGeom>
                  </pic:spPr>
                </pic:pic>
              </a:graphicData>
            </a:graphic>
          </wp:inline>
        </w:drawing>
      </w:r>
    </w:p>
    <w:p w14:paraId="02AD3535" w14:textId="3F852CBD" w:rsidR="00B37084" w:rsidRPr="00100F0A" w:rsidRDefault="00D831C7" w:rsidP="0095119F">
      <w:pPr>
        <w:pStyle w:val="Caption"/>
      </w:pPr>
      <w:bookmarkStart w:id="411" w:name="_Ref421282404"/>
      <w:bookmarkStart w:id="412" w:name="_Ref421282398"/>
      <w:bookmarkStart w:id="413" w:name="_Toc425849343"/>
      <w:bookmarkStart w:id="414" w:name="_Toc13225670"/>
      <w:r w:rsidRPr="00100F0A">
        <w:rPr>
          <w:noProof/>
          <w:lang w:eastAsia="en-AU"/>
        </w:rPr>
        <w:drawing>
          <wp:anchor distT="0" distB="0" distL="114300" distR="114300" simplePos="0" relativeHeight="251650560" behindDoc="0" locked="0" layoutInCell="1" allowOverlap="1" wp14:anchorId="4B5231C2" wp14:editId="56BBC80C">
            <wp:simplePos x="0" y="0"/>
            <wp:positionH relativeFrom="column">
              <wp:posOffset>-623248</wp:posOffset>
            </wp:positionH>
            <wp:positionV relativeFrom="paragraph">
              <wp:posOffset>381635</wp:posOffset>
            </wp:positionV>
            <wp:extent cx="6666230" cy="2756535"/>
            <wp:effectExtent l="0" t="0" r="1270"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6666230" cy="2756535"/>
                    </a:xfrm>
                    <a:prstGeom prst="rect">
                      <a:avLst/>
                    </a:prstGeom>
                  </pic:spPr>
                </pic:pic>
              </a:graphicData>
            </a:graphic>
            <wp14:sizeRelH relativeFrom="margin">
              <wp14:pctWidth>0</wp14:pctWidth>
            </wp14:sizeRelH>
            <wp14:sizeRelV relativeFrom="margin">
              <wp14:pctHeight>0</wp14:pctHeight>
            </wp14:sizeRelV>
          </wp:anchor>
        </w:drawing>
      </w:r>
      <w:r w:rsidR="00B37084" w:rsidRPr="00100F0A">
        <w:t xml:space="preserve">Table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51</w:t>
      </w:r>
      <w:r w:rsidR="00B404A6" w:rsidRPr="00100F0A">
        <w:rPr>
          <w:noProof/>
        </w:rPr>
        <w:fldChar w:fldCharType="end"/>
      </w:r>
      <w:bookmarkEnd w:id="411"/>
      <w:r w:rsidR="00F142B1">
        <w:rPr>
          <w:noProof/>
        </w:rPr>
        <w:t>:</w:t>
      </w:r>
      <w:r w:rsidR="00D11FEE" w:rsidRPr="00100F0A">
        <w:tab/>
      </w:r>
      <w:r w:rsidR="00B37084" w:rsidRPr="00100F0A">
        <w:t>NEPM 201</w:t>
      </w:r>
      <w:r w:rsidR="002A4AFF" w:rsidRPr="00100F0A">
        <w:t>6</w:t>
      </w:r>
      <w:r w:rsidR="00B37084" w:rsidRPr="00100F0A">
        <w:t>-1</w:t>
      </w:r>
      <w:r w:rsidR="002A4AFF" w:rsidRPr="00100F0A">
        <w:t>7</w:t>
      </w:r>
      <w:r w:rsidR="00B37084" w:rsidRPr="00100F0A">
        <w:t xml:space="preserve"> net imports/exports by jurisdiction and </w:t>
      </w:r>
      <w:r w:rsidR="00F142B1">
        <w:t>NEPM</w:t>
      </w:r>
      <w:r w:rsidR="00B37084" w:rsidRPr="00100F0A">
        <w:t xml:space="preserve"> 15 code</w:t>
      </w:r>
      <w:bookmarkEnd w:id="412"/>
      <w:bookmarkEnd w:id="413"/>
      <w:bookmarkEnd w:id="414"/>
      <w:r w:rsidR="00B37084" w:rsidRPr="00100F0A">
        <w:tab/>
      </w:r>
    </w:p>
    <w:p w14:paraId="49DED864" w14:textId="5A468B2E" w:rsidR="00B37084" w:rsidRPr="00100F0A" w:rsidRDefault="00B37084" w:rsidP="00B37084">
      <w:pPr>
        <w:pStyle w:val="BodyText"/>
      </w:pPr>
    </w:p>
    <w:p w14:paraId="05205FA2" w14:textId="7C287DB6" w:rsidR="00B37084" w:rsidRPr="00100F0A" w:rsidRDefault="00B37084" w:rsidP="00B37084">
      <w:pPr>
        <w:pStyle w:val="BodyText"/>
      </w:pPr>
    </w:p>
    <w:p w14:paraId="0A33FAEB" w14:textId="77777777" w:rsidR="00546053" w:rsidRPr="00100F0A" w:rsidRDefault="00546053" w:rsidP="00B37084">
      <w:pPr>
        <w:pStyle w:val="BodyText"/>
        <w:sectPr w:rsidR="00546053" w:rsidRPr="00100F0A" w:rsidSect="00F804F3">
          <w:headerReference w:type="default" r:id="rId105"/>
          <w:footerReference w:type="default" r:id="rId106"/>
          <w:pgSz w:w="11906" w:h="16838" w:code="9"/>
          <w:pgMar w:top="1440" w:right="1077" w:bottom="1440" w:left="1797" w:header="709" w:footer="454" w:gutter="0"/>
          <w:cols w:space="708"/>
          <w:docGrid w:linePitch="360"/>
        </w:sectPr>
      </w:pPr>
    </w:p>
    <w:p w14:paraId="2EEFA008" w14:textId="7D62E587" w:rsidR="00B37084" w:rsidRDefault="00B37084" w:rsidP="0095119F">
      <w:pPr>
        <w:pStyle w:val="Caption"/>
      </w:pPr>
      <w:bookmarkStart w:id="415" w:name="_Ref409389114"/>
      <w:bookmarkStart w:id="416" w:name="_Ref409455945"/>
      <w:bookmarkStart w:id="417" w:name="_Toc425849344"/>
      <w:bookmarkStart w:id="418" w:name="_Toc13225671"/>
      <w:r w:rsidRPr="00100F0A">
        <w:t xml:space="preserve">Table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52</w:t>
      </w:r>
      <w:r w:rsidR="00B404A6" w:rsidRPr="00100F0A">
        <w:rPr>
          <w:noProof/>
        </w:rPr>
        <w:fldChar w:fldCharType="end"/>
      </w:r>
      <w:bookmarkEnd w:id="415"/>
      <w:r w:rsidR="00F142B1">
        <w:rPr>
          <w:noProof/>
        </w:rPr>
        <w:t>:</w:t>
      </w:r>
      <w:r w:rsidR="00D11FEE" w:rsidRPr="00100F0A">
        <w:tab/>
      </w:r>
      <w:r w:rsidRPr="00100F0A">
        <w:t>ACT assessment of projected arisings vs infrastructure capacity</w:t>
      </w:r>
      <w:bookmarkEnd w:id="416"/>
      <w:bookmarkEnd w:id="417"/>
      <w:bookmarkEnd w:id="418"/>
    </w:p>
    <w:tbl>
      <w:tblPr>
        <w:tblW w:w="14029" w:type="dxa"/>
        <w:tblLook w:val="04A0" w:firstRow="1" w:lastRow="0" w:firstColumn="1" w:lastColumn="0" w:noHBand="0" w:noVBand="1"/>
      </w:tblPr>
      <w:tblGrid>
        <w:gridCol w:w="2830"/>
        <w:gridCol w:w="926"/>
        <w:gridCol w:w="1010"/>
        <w:gridCol w:w="1123"/>
        <w:gridCol w:w="1036"/>
        <w:gridCol w:w="745"/>
        <w:gridCol w:w="745"/>
        <w:gridCol w:w="745"/>
        <w:gridCol w:w="4869"/>
      </w:tblGrid>
      <w:tr w:rsidR="00FD3200" w:rsidRPr="00A65D1F" w14:paraId="38CB818B" w14:textId="77777777" w:rsidTr="00FD3200">
        <w:trPr>
          <w:trHeight w:val="1275"/>
          <w:tblHeader/>
        </w:trPr>
        <w:tc>
          <w:tcPr>
            <w:tcW w:w="2830" w:type="dxa"/>
            <w:tcBorders>
              <w:top w:val="nil"/>
              <w:left w:val="single" w:sz="4" w:space="0" w:color="BFBFBF"/>
              <w:bottom w:val="nil"/>
              <w:right w:val="nil"/>
            </w:tcBorders>
            <w:shd w:val="clear" w:color="000000" w:fill="C5D9F1"/>
            <w:vAlign w:val="center"/>
            <w:hideMark/>
          </w:tcPr>
          <w:p w14:paraId="0A31A33C" w14:textId="77777777" w:rsidR="00A65D1F" w:rsidRPr="00A65D1F" w:rsidRDefault="00A65D1F" w:rsidP="00A65D1F">
            <w:pPr>
              <w:jc w:val="center"/>
              <w:rPr>
                <w:rFonts w:eastAsia="Times New Roman" w:cs="Calibri"/>
                <w:b/>
                <w:bCs/>
                <w:color w:val="000000"/>
                <w:sz w:val="20"/>
                <w:szCs w:val="20"/>
                <w:lang w:eastAsia="en-AU"/>
              </w:rPr>
            </w:pPr>
            <w:r w:rsidRPr="00A65D1F">
              <w:rPr>
                <w:rFonts w:eastAsia="Times New Roman" w:cs="Calibri"/>
                <w:b/>
                <w:bCs/>
                <w:color w:val="000000"/>
                <w:sz w:val="20"/>
                <w:szCs w:val="20"/>
                <w:lang w:eastAsia="en-AU"/>
              </w:rPr>
              <w:t>Infrastructure group</w:t>
            </w:r>
          </w:p>
        </w:tc>
        <w:tc>
          <w:tcPr>
            <w:tcW w:w="0" w:type="auto"/>
            <w:tcBorders>
              <w:top w:val="single" w:sz="4" w:space="0" w:color="BFBFBF"/>
              <w:left w:val="single" w:sz="4" w:space="0" w:color="BFBFBF"/>
              <w:bottom w:val="nil"/>
              <w:right w:val="nil"/>
            </w:tcBorders>
            <w:shd w:val="clear" w:color="000000" w:fill="C5D9F1"/>
            <w:hideMark/>
          </w:tcPr>
          <w:p w14:paraId="2D4FF503" w14:textId="77777777" w:rsidR="00A65D1F" w:rsidRPr="00A65D1F" w:rsidRDefault="00A65D1F" w:rsidP="00A65D1F">
            <w:pPr>
              <w:jc w:val="center"/>
              <w:rPr>
                <w:rFonts w:eastAsia="Times New Roman" w:cs="Calibri"/>
                <w:b/>
                <w:bCs/>
                <w:color w:val="000000"/>
                <w:sz w:val="20"/>
                <w:szCs w:val="20"/>
                <w:lang w:eastAsia="en-AU"/>
              </w:rPr>
            </w:pPr>
            <w:r w:rsidRPr="00A65D1F">
              <w:rPr>
                <w:rFonts w:eastAsia="Times New Roman" w:cs="Calibri"/>
                <w:b/>
                <w:bCs/>
                <w:color w:val="000000"/>
                <w:sz w:val="20"/>
                <w:szCs w:val="20"/>
                <w:lang w:eastAsia="en-AU"/>
              </w:rPr>
              <w:t>16-17 arisings</w:t>
            </w:r>
            <w:r w:rsidRPr="00A65D1F">
              <w:rPr>
                <w:rFonts w:eastAsia="Times New Roman" w:cs="Calibri"/>
                <w:b/>
                <w:bCs/>
                <w:color w:val="000000"/>
                <w:sz w:val="20"/>
                <w:szCs w:val="20"/>
                <w:lang w:eastAsia="en-AU"/>
              </w:rPr>
              <w:br/>
              <w:t>(t/yr)</w:t>
            </w:r>
          </w:p>
        </w:tc>
        <w:tc>
          <w:tcPr>
            <w:tcW w:w="0" w:type="auto"/>
            <w:tcBorders>
              <w:top w:val="single" w:sz="4" w:space="0" w:color="BFBFBF"/>
              <w:left w:val="nil"/>
              <w:bottom w:val="nil"/>
              <w:right w:val="nil"/>
            </w:tcBorders>
            <w:shd w:val="clear" w:color="000000" w:fill="C5D9F1"/>
            <w:hideMark/>
          </w:tcPr>
          <w:p w14:paraId="6F77411D" w14:textId="77777777" w:rsidR="00A65D1F" w:rsidRPr="00A65D1F" w:rsidRDefault="00A65D1F" w:rsidP="00A65D1F">
            <w:pPr>
              <w:jc w:val="center"/>
              <w:rPr>
                <w:rFonts w:eastAsia="Times New Roman" w:cs="Calibri"/>
                <w:b/>
                <w:bCs/>
                <w:color w:val="000000"/>
                <w:sz w:val="20"/>
                <w:szCs w:val="20"/>
                <w:lang w:eastAsia="en-AU"/>
              </w:rPr>
            </w:pPr>
            <w:r w:rsidRPr="00A65D1F">
              <w:rPr>
                <w:rFonts w:eastAsia="Times New Roman" w:cs="Calibri"/>
                <w:b/>
                <w:bCs/>
                <w:color w:val="000000"/>
                <w:sz w:val="20"/>
                <w:szCs w:val="20"/>
                <w:lang w:eastAsia="en-AU"/>
              </w:rPr>
              <w:t>Installed capacity</w:t>
            </w:r>
            <w:r w:rsidRPr="00A65D1F">
              <w:rPr>
                <w:rFonts w:eastAsia="Times New Roman" w:cs="Calibri"/>
                <w:b/>
                <w:bCs/>
                <w:color w:val="000000"/>
                <w:sz w:val="20"/>
                <w:szCs w:val="20"/>
                <w:lang w:eastAsia="en-AU"/>
              </w:rPr>
              <w:br/>
              <w:t>(t/yr)</w:t>
            </w:r>
          </w:p>
        </w:tc>
        <w:tc>
          <w:tcPr>
            <w:tcW w:w="0" w:type="auto"/>
            <w:tcBorders>
              <w:top w:val="single" w:sz="4" w:space="0" w:color="BFBFBF"/>
              <w:left w:val="nil"/>
              <w:bottom w:val="nil"/>
              <w:right w:val="nil"/>
            </w:tcBorders>
            <w:shd w:val="clear" w:color="000000" w:fill="C5D9F1"/>
            <w:hideMark/>
          </w:tcPr>
          <w:p w14:paraId="4D09EB3F" w14:textId="77777777" w:rsidR="00A65D1F" w:rsidRPr="00A65D1F" w:rsidRDefault="00A65D1F" w:rsidP="00A65D1F">
            <w:pPr>
              <w:jc w:val="center"/>
              <w:rPr>
                <w:rFonts w:eastAsia="Times New Roman" w:cs="Calibri"/>
                <w:b/>
                <w:bCs/>
                <w:color w:val="000000"/>
                <w:sz w:val="20"/>
                <w:szCs w:val="20"/>
                <w:lang w:eastAsia="en-AU"/>
              </w:rPr>
            </w:pPr>
            <w:r w:rsidRPr="00A65D1F">
              <w:rPr>
                <w:rFonts w:eastAsia="Times New Roman" w:cs="Calibri"/>
                <w:b/>
                <w:bCs/>
                <w:color w:val="000000"/>
                <w:sz w:val="20"/>
                <w:szCs w:val="20"/>
                <w:lang w:eastAsia="en-AU"/>
              </w:rPr>
              <w:t>Expected capacity change</w:t>
            </w:r>
            <w:r w:rsidRPr="00A65D1F">
              <w:rPr>
                <w:rFonts w:eastAsia="Times New Roman" w:cs="Calibri"/>
                <w:b/>
                <w:bCs/>
                <w:color w:val="000000"/>
                <w:sz w:val="20"/>
                <w:szCs w:val="20"/>
                <w:lang w:eastAsia="en-AU"/>
              </w:rPr>
              <w:br/>
              <w:t>(t/yr)</w:t>
            </w:r>
          </w:p>
        </w:tc>
        <w:tc>
          <w:tcPr>
            <w:tcW w:w="0" w:type="auto"/>
            <w:tcBorders>
              <w:top w:val="single" w:sz="4" w:space="0" w:color="BFBFBF"/>
              <w:left w:val="nil"/>
              <w:bottom w:val="nil"/>
              <w:right w:val="single" w:sz="4" w:space="0" w:color="BFBFBF"/>
            </w:tcBorders>
            <w:shd w:val="clear" w:color="000000" w:fill="C5D9F1"/>
            <w:hideMark/>
          </w:tcPr>
          <w:p w14:paraId="1092B784" w14:textId="77777777" w:rsidR="00A65D1F" w:rsidRPr="00A65D1F" w:rsidRDefault="00A65D1F" w:rsidP="00A65D1F">
            <w:pPr>
              <w:jc w:val="center"/>
              <w:rPr>
                <w:rFonts w:eastAsia="Times New Roman" w:cs="Calibri"/>
                <w:b/>
                <w:bCs/>
                <w:color w:val="000000"/>
                <w:sz w:val="20"/>
                <w:szCs w:val="20"/>
                <w:lang w:eastAsia="en-AU"/>
              </w:rPr>
            </w:pPr>
            <w:r w:rsidRPr="00A65D1F">
              <w:rPr>
                <w:rFonts w:eastAsia="Times New Roman" w:cs="Calibri"/>
                <w:b/>
                <w:bCs/>
                <w:color w:val="000000"/>
                <w:sz w:val="20"/>
                <w:szCs w:val="20"/>
                <w:lang w:eastAsia="en-AU"/>
              </w:rPr>
              <w:t>Capacity data quality</w:t>
            </w:r>
            <w:r w:rsidRPr="00A65D1F">
              <w:rPr>
                <w:rFonts w:eastAsia="Times New Roman" w:cs="Calibri"/>
                <w:b/>
                <w:bCs/>
                <w:color w:val="000000"/>
                <w:sz w:val="20"/>
                <w:szCs w:val="20"/>
                <w:lang w:eastAsia="en-AU"/>
              </w:rPr>
              <w:br/>
              <w:t>Good, ok, poor</w:t>
            </w:r>
          </w:p>
        </w:tc>
        <w:tc>
          <w:tcPr>
            <w:tcW w:w="0" w:type="auto"/>
            <w:gridSpan w:val="3"/>
            <w:tcBorders>
              <w:top w:val="single" w:sz="4" w:space="0" w:color="BFBFBF"/>
              <w:left w:val="nil"/>
              <w:bottom w:val="nil"/>
              <w:right w:val="single" w:sz="4" w:space="0" w:color="BFBFBF"/>
            </w:tcBorders>
            <w:shd w:val="clear" w:color="000000" w:fill="C5D9F1"/>
            <w:hideMark/>
          </w:tcPr>
          <w:p w14:paraId="2B1D2E86" w14:textId="77777777" w:rsidR="00FD3200" w:rsidRDefault="00A65D1F" w:rsidP="00A65D1F">
            <w:pPr>
              <w:jc w:val="center"/>
              <w:rPr>
                <w:rFonts w:eastAsia="Times New Roman" w:cs="Calibri"/>
                <w:b/>
                <w:bCs/>
                <w:color w:val="000000"/>
                <w:sz w:val="20"/>
                <w:szCs w:val="20"/>
                <w:lang w:eastAsia="en-AU"/>
              </w:rPr>
            </w:pPr>
            <w:r w:rsidRPr="00A65D1F">
              <w:rPr>
                <w:rFonts w:eastAsia="Times New Roman" w:cs="Calibri"/>
                <w:b/>
                <w:bCs/>
                <w:color w:val="000000"/>
                <w:sz w:val="20"/>
                <w:szCs w:val="20"/>
                <w:lang w:eastAsia="en-AU"/>
              </w:rPr>
              <w:t>Est. year arisings &gt; capacity</w:t>
            </w:r>
          </w:p>
          <w:p w14:paraId="6796FE72" w14:textId="0038B710" w:rsidR="00A65D1F" w:rsidRPr="00A65D1F" w:rsidRDefault="00A65D1F" w:rsidP="00A65D1F">
            <w:pPr>
              <w:jc w:val="center"/>
              <w:rPr>
                <w:rFonts w:eastAsia="Times New Roman" w:cs="Calibri"/>
                <w:b/>
                <w:bCs/>
                <w:color w:val="000000"/>
                <w:sz w:val="20"/>
                <w:szCs w:val="20"/>
                <w:lang w:eastAsia="en-AU"/>
              </w:rPr>
            </w:pPr>
            <w:r w:rsidRPr="00A65D1F">
              <w:rPr>
                <w:rFonts w:eastAsia="Times New Roman" w:cs="Calibri"/>
                <w:b/>
                <w:bCs/>
                <w:color w:val="000000"/>
                <w:sz w:val="20"/>
                <w:szCs w:val="20"/>
                <w:lang w:eastAsia="en-AU"/>
              </w:rPr>
              <w:t>Best</w:t>
            </w:r>
            <w:r w:rsidR="00FD3200">
              <w:rPr>
                <w:rFonts w:eastAsia="Times New Roman" w:cs="Calibri"/>
                <w:b/>
                <w:bCs/>
                <w:color w:val="000000"/>
                <w:sz w:val="20"/>
                <w:szCs w:val="20"/>
                <w:lang w:eastAsia="en-AU"/>
              </w:rPr>
              <w:t xml:space="preserve">        H</w:t>
            </w:r>
            <w:r w:rsidRPr="00A65D1F">
              <w:rPr>
                <w:rFonts w:eastAsia="Times New Roman" w:cs="Calibri"/>
                <w:b/>
                <w:bCs/>
                <w:color w:val="000000"/>
                <w:sz w:val="20"/>
                <w:szCs w:val="20"/>
                <w:lang w:eastAsia="en-AU"/>
              </w:rPr>
              <w:t>igh       Low</w:t>
            </w:r>
          </w:p>
        </w:tc>
        <w:tc>
          <w:tcPr>
            <w:tcW w:w="4869" w:type="dxa"/>
            <w:tcBorders>
              <w:top w:val="nil"/>
              <w:left w:val="nil"/>
              <w:bottom w:val="nil"/>
              <w:right w:val="single" w:sz="4" w:space="0" w:color="BFBFBF"/>
            </w:tcBorders>
            <w:shd w:val="clear" w:color="000000" w:fill="C5D9F1"/>
            <w:hideMark/>
          </w:tcPr>
          <w:p w14:paraId="26AC3DCC" w14:textId="77777777" w:rsidR="00A65D1F" w:rsidRPr="00A65D1F" w:rsidRDefault="00A65D1F" w:rsidP="00A65D1F">
            <w:pPr>
              <w:jc w:val="center"/>
              <w:rPr>
                <w:rFonts w:eastAsia="Times New Roman" w:cs="Calibri"/>
                <w:b/>
                <w:bCs/>
                <w:color w:val="000000"/>
                <w:sz w:val="20"/>
                <w:szCs w:val="20"/>
                <w:lang w:eastAsia="en-AU"/>
              </w:rPr>
            </w:pPr>
            <w:r w:rsidRPr="00A65D1F">
              <w:rPr>
                <w:rFonts w:eastAsia="Times New Roman" w:cs="Calibri"/>
                <w:b/>
                <w:bCs/>
                <w:color w:val="000000"/>
                <w:sz w:val="20"/>
                <w:szCs w:val="20"/>
                <w:lang w:eastAsia="en-AU"/>
              </w:rPr>
              <w:t>Assessment discussion and recommendations</w:t>
            </w:r>
          </w:p>
        </w:tc>
      </w:tr>
      <w:tr w:rsidR="00FD3200" w:rsidRPr="00A65D1F" w14:paraId="1831670B" w14:textId="77777777" w:rsidTr="00FD3200">
        <w:trPr>
          <w:trHeight w:val="255"/>
        </w:trPr>
        <w:tc>
          <w:tcPr>
            <w:tcW w:w="2830" w:type="dxa"/>
            <w:tcBorders>
              <w:top w:val="single" w:sz="4" w:space="0" w:color="808080"/>
              <w:left w:val="single" w:sz="4" w:space="0" w:color="BFBFBF"/>
              <w:bottom w:val="single" w:sz="4" w:space="0" w:color="BFBFBF"/>
              <w:right w:val="nil"/>
            </w:tcBorders>
            <w:shd w:val="clear" w:color="000000" w:fill="C5D9F1"/>
            <w:noWrap/>
            <w:vAlign w:val="bottom"/>
            <w:hideMark/>
          </w:tcPr>
          <w:p w14:paraId="72358171" w14:textId="77777777" w:rsidR="00A65D1F" w:rsidRPr="00A65D1F" w:rsidRDefault="00A65D1F" w:rsidP="00A65D1F">
            <w:pPr>
              <w:jc w:val="right"/>
              <w:rPr>
                <w:rFonts w:eastAsia="Times New Roman" w:cs="Calibri"/>
                <w:b/>
                <w:bCs/>
                <w:color w:val="000000"/>
                <w:sz w:val="20"/>
                <w:szCs w:val="20"/>
                <w:lang w:eastAsia="en-AU"/>
              </w:rPr>
            </w:pPr>
            <w:r w:rsidRPr="00A65D1F">
              <w:rPr>
                <w:rFonts w:eastAsia="Times New Roman" w:cs="Calibri"/>
                <w:b/>
                <w:bCs/>
                <w:color w:val="000000"/>
                <w:sz w:val="20"/>
                <w:szCs w:val="20"/>
                <w:lang w:eastAsia="en-AU"/>
              </w:rPr>
              <w:t>Recycling and energy recovery</w:t>
            </w:r>
          </w:p>
        </w:tc>
        <w:tc>
          <w:tcPr>
            <w:tcW w:w="0" w:type="auto"/>
            <w:tcBorders>
              <w:top w:val="single" w:sz="4" w:space="0" w:color="808080"/>
              <w:left w:val="nil"/>
              <w:bottom w:val="single" w:sz="4" w:space="0" w:color="BFBFBF"/>
              <w:right w:val="nil"/>
            </w:tcBorders>
            <w:shd w:val="clear" w:color="000000" w:fill="C5D9F1"/>
            <w:noWrap/>
            <w:vAlign w:val="bottom"/>
            <w:hideMark/>
          </w:tcPr>
          <w:p w14:paraId="09B3C4FD"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0" w:type="auto"/>
            <w:tcBorders>
              <w:top w:val="single" w:sz="4" w:space="0" w:color="808080"/>
              <w:left w:val="nil"/>
              <w:bottom w:val="single" w:sz="4" w:space="0" w:color="BFBFBF"/>
              <w:right w:val="nil"/>
            </w:tcBorders>
            <w:shd w:val="clear" w:color="000000" w:fill="C5D9F1"/>
            <w:noWrap/>
            <w:vAlign w:val="bottom"/>
            <w:hideMark/>
          </w:tcPr>
          <w:p w14:paraId="5098D7FB"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0" w:type="auto"/>
            <w:tcBorders>
              <w:top w:val="single" w:sz="4" w:space="0" w:color="808080"/>
              <w:left w:val="nil"/>
              <w:bottom w:val="single" w:sz="4" w:space="0" w:color="BFBFBF"/>
              <w:right w:val="nil"/>
            </w:tcBorders>
            <w:shd w:val="clear" w:color="000000" w:fill="C5D9F1"/>
            <w:noWrap/>
            <w:vAlign w:val="bottom"/>
            <w:hideMark/>
          </w:tcPr>
          <w:p w14:paraId="12A28942"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0" w:type="auto"/>
            <w:tcBorders>
              <w:top w:val="single" w:sz="4" w:space="0" w:color="808080"/>
              <w:left w:val="nil"/>
              <w:bottom w:val="single" w:sz="4" w:space="0" w:color="BFBFBF"/>
              <w:right w:val="nil"/>
            </w:tcBorders>
            <w:shd w:val="clear" w:color="000000" w:fill="C5D9F1"/>
            <w:noWrap/>
            <w:vAlign w:val="bottom"/>
            <w:hideMark/>
          </w:tcPr>
          <w:p w14:paraId="007870FD"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0" w:type="auto"/>
            <w:tcBorders>
              <w:top w:val="single" w:sz="4" w:space="0" w:color="808080"/>
              <w:left w:val="nil"/>
              <w:bottom w:val="single" w:sz="4" w:space="0" w:color="BFBFBF"/>
              <w:right w:val="nil"/>
            </w:tcBorders>
            <w:shd w:val="clear" w:color="000000" w:fill="C5D9F1"/>
            <w:noWrap/>
            <w:vAlign w:val="bottom"/>
            <w:hideMark/>
          </w:tcPr>
          <w:p w14:paraId="27933C61"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0" w:type="auto"/>
            <w:tcBorders>
              <w:top w:val="single" w:sz="4" w:space="0" w:color="808080"/>
              <w:left w:val="nil"/>
              <w:bottom w:val="single" w:sz="4" w:space="0" w:color="BFBFBF"/>
              <w:right w:val="nil"/>
            </w:tcBorders>
            <w:shd w:val="clear" w:color="000000" w:fill="C5D9F1"/>
            <w:noWrap/>
            <w:vAlign w:val="bottom"/>
            <w:hideMark/>
          </w:tcPr>
          <w:p w14:paraId="56801DFE"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0" w:type="auto"/>
            <w:tcBorders>
              <w:top w:val="single" w:sz="4" w:space="0" w:color="808080"/>
              <w:left w:val="nil"/>
              <w:bottom w:val="single" w:sz="4" w:space="0" w:color="BFBFBF"/>
              <w:right w:val="single" w:sz="4" w:space="0" w:color="BFBFBF"/>
            </w:tcBorders>
            <w:shd w:val="clear" w:color="000000" w:fill="C5D9F1"/>
            <w:noWrap/>
            <w:vAlign w:val="bottom"/>
            <w:hideMark/>
          </w:tcPr>
          <w:p w14:paraId="0C0B8CEE"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4869" w:type="dxa"/>
            <w:vMerge w:val="restart"/>
            <w:tcBorders>
              <w:top w:val="single" w:sz="4" w:space="0" w:color="808080"/>
              <w:left w:val="single" w:sz="4" w:space="0" w:color="BFBFBF"/>
              <w:bottom w:val="single" w:sz="4" w:space="0" w:color="BFBFBF"/>
              <w:right w:val="single" w:sz="4" w:space="0" w:color="BFBFBF"/>
            </w:tcBorders>
            <w:shd w:val="clear" w:color="000000" w:fill="FFFFFF"/>
            <w:hideMark/>
          </w:tcPr>
          <w:p w14:paraId="219CDA0A" w14:textId="77777777" w:rsidR="00763475" w:rsidRPr="00100F0A" w:rsidRDefault="00763475" w:rsidP="00763475">
            <w:pPr>
              <w:rPr>
                <w:rFonts w:asciiTheme="minorHAnsi" w:eastAsia="Times New Roman" w:hAnsiTheme="minorHAnsi" w:cstheme="minorHAnsi"/>
                <w:sz w:val="20"/>
                <w:szCs w:val="20"/>
                <w:lang w:eastAsia="en-AU"/>
              </w:rPr>
            </w:pPr>
            <w:r w:rsidRPr="00100F0A">
              <w:rPr>
                <w:rFonts w:asciiTheme="minorHAnsi" w:eastAsia="Times New Roman" w:hAnsiTheme="minorHAnsi" w:cstheme="minorHAnsi"/>
                <w:sz w:val="20"/>
                <w:szCs w:val="20"/>
                <w:lang w:eastAsia="en-AU"/>
              </w:rPr>
              <w:t>This assessment is based on the national average (NSW, Vic, Qld, WA and SA) of waste management methods. This reduces the accuracy and may result in arisings being mapped to infrastructure that does not exist in this jurisdiction.</w:t>
            </w:r>
            <w:r w:rsidRPr="00100F0A">
              <w:rPr>
                <w:rFonts w:asciiTheme="minorHAnsi" w:eastAsia="Times New Roman" w:hAnsiTheme="minorHAnsi" w:cstheme="minorHAnsi"/>
                <w:sz w:val="20"/>
                <w:szCs w:val="20"/>
                <w:lang w:eastAsia="en-AU"/>
              </w:rPr>
              <w:br/>
            </w:r>
            <w:r w:rsidRPr="00100F0A">
              <w:rPr>
                <w:rFonts w:asciiTheme="minorHAnsi" w:eastAsia="Times New Roman" w:hAnsiTheme="minorHAnsi" w:cstheme="minorHAnsi"/>
                <w:b/>
                <w:bCs/>
                <w:sz w:val="20"/>
                <w:szCs w:val="20"/>
                <w:lang w:eastAsia="en-AU"/>
              </w:rPr>
              <w:br/>
              <w:t>Recycling and energy recovery</w:t>
            </w:r>
            <w:r w:rsidRPr="00100F0A">
              <w:rPr>
                <w:rFonts w:asciiTheme="minorHAnsi" w:eastAsia="Times New Roman" w:hAnsiTheme="minorHAnsi" w:cstheme="minorHAnsi"/>
                <w:sz w:val="20"/>
                <w:szCs w:val="20"/>
                <w:lang w:eastAsia="en-AU"/>
              </w:rPr>
              <w:t xml:space="preserve"> </w:t>
            </w:r>
            <w:r w:rsidRPr="00100F0A">
              <w:rPr>
                <w:rFonts w:asciiTheme="minorHAnsi" w:eastAsia="Times New Roman" w:hAnsiTheme="minorHAnsi" w:cstheme="minorHAnsi"/>
                <w:sz w:val="20"/>
                <w:szCs w:val="20"/>
                <w:lang w:eastAsia="en-AU"/>
              </w:rPr>
              <w:br/>
              <w:t xml:space="preserve">- Hazwaste packaging, oils re-refining, solvents, organics, </w:t>
            </w:r>
            <w:r>
              <w:rPr>
                <w:rFonts w:asciiTheme="minorHAnsi" w:eastAsia="Times New Roman" w:hAnsiTheme="minorHAnsi" w:cstheme="minorHAnsi"/>
                <w:sz w:val="20"/>
                <w:szCs w:val="20"/>
                <w:lang w:eastAsia="en-AU"/>
              </w:rPr>
              <w:t>EOLT</w:t>
            </w:r>
            <w:r w:rsidRPr="00100F0A">
              <w:rPr>
                <w:rFonts w:asciiTheme="minorHAnsi" w:eastAsia="Times New Roman" w:hAnsiTheme="minorHAnsi" w:cstheme="minorHAnsi"/>
                <w:sz w:val="20"/>
                <w:szCs w:val="20"/>
                <w:lang w:eastAsia="en-AU"/>
              </w:rPr>
              <w:t xml:space="preserve"> wastes are all sent interstate for recycling.</w:t>
            </w:r>
            <w:r w:rsidRPr="00100F0A">
              <w:rPr>
                <w:rFonts w:asciiTheme="minorHAnsi" w:eastAsia="Times New Roman" w:hAnsiTheme="minorHAnsi" w:cstheme="minorHAnsi"/>
                <w:sz w:val="20"/>
                <w:szCs w:val="20"/>
                <w:lang w:eastAsia="en-AU"/>
              </w:rPr>
              <w:br/>
              <w:t>- E-waste infrastructure capacity is likely to be sufficient under all scenarios.</w:t>
            </w:r>
            <w:r w:rsidRPr="00100F0A">
              <w:rPr>
                <w:rFonts w:asciiTheme="minorHAnsi" w:eastAsia="Times New Roman" w:hAnsiTheme="minorHAnsi" w:cstheme="minorHAnsi"/>
                <w:sz w:val="20"/>
                <w:szCs w:val="20"/>
                <w:lang w:eastAsia="en-AU"/>
              </w:rPr>
              <w:br/>
            </w:r>
          </w:p>
          <w:p w14:paraId="322A349E" w14:textId="1EB25068" w:rsidR="00A65D1F" w:rsidRPr="00A65D1F" w:rsidRDefault="00763475" w:rsidP="00763475">
            <w:pPr>
              <w:rPr>
                <w:rFonts w:eastAsia="Times New Roman" w:cs="Calibri"/>
                <w:sz w:val="20"/>
                <w:szCs w:val="20"/>
                <w:lang w:eastAsia="en-AU"/>
              </w:rPr>
            </w:pPr>
            <w:r w:rsidRPr="00100F0A">
              <w:rPr>
                <w:rFonts w:asciiTheme="minorHAnsi" w:eastAsia="Times New Roman" w:hAnsiTheme="minorHAnsi" w:cstheme="minorHAnsi"/>
                <w:b/>
                <w:bCs/>
                <w:sz w:val="20"/>
                <w:szCs w:val="20"/>
                <w:lang w:eastAsia="en-AU"/>
              </w:rPr>
              <w:t>Treatment</w:t>
            </w:r>
            <w:r w:rsidRPr="00100F0A">
              <w:rPr>
                <w:rFonts w:asciiTheme="minorHAnsi" w:eastAsia="Times New Roman" w:hAnsiTheme="minorHAnsi" w:cstheme="minorHAnsi"/>
                <w:sz w:val="20"/>
                <w:szCs w:val="20"/>
                <w:lang w:eastAsia="en-AU"/>
              </w:rPr>
              <w:br/>
              <w:t>- All waste treatment appears to be occurring interstate (the Daniels ACT medical waste autoclave facility is no longer operational).</w:t>
            </w:r>
            <w:r w:rsidRPr="00100F0A">
              <w:rPr>
                <w:rFonts w:asciiTheme="minorHAnsi" w:eastAsia="Times New Roman" w:hAnsiTheme="minorHAnsi" w:cstheme="minorHAnsi"/>
                <w:sz w:val="20"/>
                <w:szCs w:val="20"/>
                <w:lang w:eastAsia="en-AU"/>
              </w:rPr>
              <w:br/>
            </w:r>
            <w:r w:rsidRPr="00100F0A">
              <w:rPr>
                <w:rFonts w:asciiTheme="minorHAnsi" w:eastAsia="Times New Roman" w:hAnsiTheme="minorHAnsi" w:cstheme="minorHAnsi"/>
                <w:b/>
                <w:bCs/>
                <w:sz w:val="20"/>
                <w:szCs w:val="20"/>
                <w:lang w:eastAsia="en-AU"/>
              </w:rPr>
              <w:br/>
              <w:t>Disposal (landfill and thermal destruction)</w:t>
            </w:r>
            <w:r w:rsidRPr="00100F0A">
              <w:rPr>
                <w:rFonts w:asciiTheme="minorHAnsi" w:eastAsia="Times New Roman" w:hAnsiTheme="minorHAnsi" w:cstheme="minorHAnsi"/>
                <w:sz w:val="20"/>
                <w:szCs w:val="20"/>
                <w:lang w:eastAsia="en-AU"/>
              </w:rPr>
              <w:br/>
              <w:t>- All hazardous waste apart from NEPM codes N and T (asbestos, tyres and low level contaminated soils) are likely sent interstate for disposal.</w:t>
            </w:r>
            <w:r w:rsidRPr="00100F0A">
              <w:rPr>
                <w:rFonts w:asciiTheme="minorHAnsi" w:eastAsia="Times New Roman" w:hAnsiTheme="minorHAnsi" w:cstheme="minorHAnsi"/>
                <w:sz w:val="20"/>
                <w:szCs w:val="20"/>
                <w:lang w:eastAsia="en-AU"/>
              </w:rPr>
              <w:br/>
            </w:r>
            <w:r w:rsidRPr="00100F0A">
              <w:rPr>
                <w:rFonts w:asciiTheme="minorHAnsi" w:eastAsia="Times New Roman" w:hAnsiTheme="minorHAnsi" w:cstheme="minorHAnsi"/>
                <w:sz w:val="20"/>
                <w:szCs w:val="20"/>
                <w:lang w:eastAsia="en-AU"/>
              </w:rPr>
              <w:br/>
            </w:r>
            <w:r w:rsidRPr="00100F0A">
              <w:rPr>
                <w:rFonts w:asciiTheme="minorHAnsi" w:eastAsia="Times New Roman" w:hAnsiTheme="minorHAnsi" w:cstheme="minorHAnsi"/>
                <w:b/>
                <w:bCs/>
                <w:sz w:val="20"/>
                <w:szCs w:val="20"/>
                <w:lang w:eastAsia="en-AU"/>
              </w:rPr>
              <w:t>Short-term storage or transfer</w:t>
            </w:r>
            <w:r w:rsidRPr="00100F0A">
              <w:rPr>
                <w:rFonts w:asciiTheme="minorHAnsi" w:eastAsia="Times New Roman" w:hAnsiTheme="minorHAnsi" w:cstheme="minorHAnsi"/>
                <w:sz w:val="20"/>
                <w:szCs w:val="20"/>
                <w:lang w:eastAsia="en-AU"/>
              </w:rPr>
              <w:br/>
              <w:t>- ACT appears to have sufficient transfer station capacity to meet projected need over the next 20 years.</w:t>
            </w:r>
            <w:r w:rsidRPr="00100F0A">
              <w:rPr>
                <w:rFonts w:asciiTheme="minorHAnsi" w:eastAsia="Times New Roman" w:hAnsiTheme="minorHAnsi" w:cstheme="minorHAnsi"/>
                <w:sz w:val="20"/>
                <w:szCs w:val="20"/>
                <w:lang w:eastAsia="en-AU"/>
              </w:rPr>
              <w:br/>
            </w:r>
            <w:r w:rsidRPr="00100F0A">
              <w:rPr>
                <w:rFonts w:asciiTheme="minorHAnsi" w:eastAsia="Times New Roman" w:hAnsiTheme="minorHAnsi" w:cstheme="minorHAnsi"/>
                <w:sz w:val="20"/>
                <w:szCs w:val="20"/>
                <w:lang w:eastAsia="en-AU"/>
              </w:rPr>
              <w:br/>
            </w:r>
            <w:r w:rsidRPr="00100F0A">
              <w:rPr>
                <w:rFonts w:asciiTheme="minorHAnsi" w:eastAsia="Times New Roman" w:hAnsiTheme="minorHAnsi" w:cstheme="minorHAnsi"/>
                <w:b/>
                <w:bCs/>
                <w:sz w:val="20"/>
                <w:szCs w:val="20"/>
                <w:lang w:eastAsia="en-AU"/>
              </w:rPr>
              <w:t>NEPM 2016-17</w:t>
            </w:r>
            <w:r w:rsidRPr="00100F0A">
              <w:rPr>
                <w:rFonts w:asciiTheme="minorHAnsi" w:eastAsia="Times New Roman" w:hAnsiTheme="minorHAnsi" w:cstheme="minorHAnsi"/>
                <w:sz w:val="20"/>
                <w:szCs w:val="20"/>
                <w:lang w:eastAsia="en-AU"/>
              </w:rPr>
              <w:t xml:space="preserve"> data indicates that the  bulk of the estimated 10 kt of waste arisings in 2016-17, net of what is managed at </w:t>
            </w:r>
            <w:r>
              <w:rPr>
                <w:rFonts w:asciiTheme="minorHAnsi" w:eastAsia="Times New Roman" w:hAnsiTheme="minorHAnsi" w:cstheme="minorHAnsi"/>
                <w:sz w:val="20"/>
                <w:szCs w:val="20"/>
                <w:lang w:eastAsia="en-AU"/>
              </w:rPr>
              <w:t>l</w:t>
            </w:r>
            <w:r w:rsidRPr="00100F0A">
              <w:rPr>
                <w:rFonts w:asciiTheme="minorHAnsi" w:eastAsia="Times New Roman" w:hAnsiTheme="minorHAnsi" w:cstheme="minorHAnsi"/>
                <w:sz w:val="20"/>
                <w:szCs w:val="20"/>
                <w:lang w:eastAsia="en-AU"/>
              </w:rPr>
              <w:t>andfill fac</w:t>
            </w:r>
            <w:r>
              <w:rPr>
                <w:rFonts w:asciiTheme="minorHAnsi" w:eastAsia="Times New Roman" w:hAnsiTheme="minorHAnsi" w:cstheme="minorHAnsi"/>
                <w:sz w:val="20"/>
                <w:szCs w:val="20"/>
                <w:lang w:eastAsia="en-AU"/>
              </w:rPr>
              <w:t>ilities</w:t>
            </w:r>
            <w:r w:rsidRPr="00100F0A">
              <w:rPr>
                <w:rFonts w:asciiTheme="minorHAnsi" w:eastAsia="Times New Roman" w:hAnsiTheme="minorHAnsi" w:cstheme="minorHAnsi"/>
                <w:sz w:val="20"/>
                <w:szCs w:val="20"/>
                <w:lang w:eastAsia="en-AU"/>
              </w:rPr>
              <w:t xml:space="preserve"> (NEPM code N,T i.e. asbestos, tyres, low level con</w:t>
            </w:r>
            <w:r>
              <w:rPr>
                <w:rFonts w:asciiTheme="minorHAnsi" w:eastAsia="Times New Roman" w:hAnsiTheme="minorHAnsi" w:cstheme="minorHAnsi"/>
                <w:sz w:val="20"/>
                <w:szCs w:val="20"/>
                <w:lang w:eastAsia="en-AU"/>
              </w:rPr>
              <w:t>taminated</w:t>
            </w:r>
            <w:r w:rsidRPr="00100F0A">
              <w:rPr>
                <w:rFonts w:asciiTheme="minorHAnsi" w:eastAsia="Times New Roman" w:hAnsiTheme="minorHAnsi" w:cstheme="minorHAnsi"/>
                <w:sz w:val="20"/>
                <w:szCs w:val="20"/>
                <w:lang w:eastAsia="en-AU"/>
              </w:rPr>
              <w:t xml:space="preserve"> soils) is exported to other jurisdictions for management.</w:t>
            </w:r>
            <w:r w:rsidRPr="00100F0A">
              <w:rPr>
                <w:rFonts w:asciiTheme="minorHAnsi" w:eastAsia="Times New Roman" w:hAnsiTheme="minorHAnsi" w:cstheme="minorHAnsi"/>
                <w:b/>
                <w:bCs/>
                <w:sz w:val="20"/>
                <w:szCs w:val="20"/>
                <w:lang w:eastAsia="en-AU"/>
              </w:rPr>
              <w:br/>
            </w:r>
            <w:r w:rsidRPr="00100F0A">
              <w:rPr>
                <w:rFonts w:asciiTheme="minorHAnsi" w:eastAsia="Times New Roman" w:hAnsiTheme="minorHAnsi" w:cstheme="minorHAnsi"/>
                <w:b/>
                <w:bCs/>
                <w:sz w:val="20"/>
                <w:szCs w:val="20"/>
                <w:lang w:eastAsia="en-AU"/>
              </w:rPr>
              <w:br/>
              <w:t>'Mr Fluffy' Asbestos waste:</w:t>
            </w:r>
            <w:r w:rsidRPr="00100F0A">
              <w:rPr>
                <w:rFonts w:asciiTheme="minorHAnsi" w:eastAsia="Times New Roman" w:hAnsiTheme="minorHAnsi" w:cstheme="minorHAnsi"/>
                <w:sz w:val="20"/>
                <w:szCs w:val="20"/>
                <w:lang w:eastAsia="en-AU"/>
              </w:rPr>
              <w:t xml:space="preserve"> As per the 2015 assessment</w:t>
            </w:r>
            <w:r>
              <w:rPr>
                <w:rFonts w:asciiTheme="minorHAnsi" w:eastAsia="Times New Roman" w:hAnsiTheme="minorHAnsi" w:cstheme="minorHAnsi"/>
                <w:sz w:val="20"/>
                <w:szCs w:val="20"/>
                <w:lang w:eastAsia="en-AU"/>
              </w:rPr>
              <w:t>, l</w:t>
            </w:r>
            <w:r w:rsidRPr="00100F0A">
              <w:rPr>
                <w:rFonts w:asciiTheme="minorHAnsi" w:eastAsia="Times New Roman" w:hAnsiTheme="minorHAnsi" w:cstheme="minorHAnsi"/>
                <w:sz w:val="20"/>
                <w:szCs w:val="20"/>
                <w:lang w:eastAsia="en-AU"/>
              </w:rPr>
              <w:t>andfill fac</w:t>
            </w:r>
            <w:r>
              <w:rPr>
                <w:rFonts w:asciiTheme="minorHAnsi" w:eastAsia="Times New Roman" w:hAnsiTheme="minorHAnsi" w:cstheme="minorHAnsi"/>
                <w:sz w:val="20"/>
                <w:szCs w:val="20"/>
                <w:lang w:eastAsia="en-AU"/>
              </w:rPr>
              <w:t xml:space="preserve">ility </w:t>
            </w:r>
            <w:r w:rsidRPr="00100F0A">
              <w:rPr>
                <w:rFonts w:asciiTheme="minorHAnsi" w:eastAsia="Times New Roman" w:hAnsiTheme="minorHAnsi" w:cstheme="minorHAnsi"/>
                <w:sz w:val="20"/>
                <w:szCs w:val="20"/>
                <w:lang w:eastAsia="en-AU"/>
              </w:rPr>
              <w:t>(NEPM code N, T) capacity is not included in the capacity database. Asbestos is assumed to be 100% sent to this infrastructure group. Discussions with ACT NoWaste and EPA staff indicate that there will be sufficient landfill capacity available to dispose of asbestos wastes (including from Mr Fluffy houses) due to the expansion of the current landfill and establishment of an additional landfill.</w:t>
            </w:r>
          </w:p>
        </w:tc>
      </w:tr>
      <w:tr w:rsidR="00F42A40" w:rsidRPr="00A65D1F" w14:paraId="2E15F86C" w14:textId="77777777" w:rsidTr="009D734D">
        <w:trPr>
          <w:trHeight w:val="270"/>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3A4ADC13"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Hazardous waste packaging facility</w:t>
            </w:r>
          </w:p>
        </w:tc>
        <w:tc>
          <w:tcPr>
            <w:tcW w:w="0" w:type="auto"/>
            <w:tcBorders>
              <w:top w:val="nil"/>
              <w:left w:val="nil"/>
              <w:bottom w:val="single" w:sz="4" w:space="0" w:color="BFBFBF"/>
              <w:right w:val="single" w:sz="4" w:space="0" w:color="BFBFBF"/>
            </w:tcBorders>
            <w:shd w:val="clear" w:color="000000" w:fill="FFFFFF"/>
            <w:noWrap/>
            <w:hideMark/>
          </w:tcPr>
          <w:p w14:paraId="64E99EE4"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2</w:t>
            </w:r>
          </w:p>
        </w:tc>
        <w:tc>
          <w:tcPr>
            <w:tcW w:w="0" w:type="auto"/>
            <w:gridSpan w:val="2"/>
            <w:vMerge w:val="restart"/>
            <w:tcBorders>
              <w:top w:val="nil"/>
              <w:left w:val="nil"/>
              <w:right w:val="single" w:sz="4" w:space="0" w:color="BFBFBF"/>
            </w:tcBorders>
            <w:shd w:val="clear" w:color="auto" w:fill="auto"/>
            <w:noWrap/>
            <w:vAlign w:val="center"/>
          </w:tcPr>
          <w:p w14:paraId="0DC349D7" w14:textId="3315EB9B" w:rsidR="00F42A40" w:rsidRPr="00A65D1F" w:rsidRDefault="00F42A40" w:rsidP="009D734D">
            <w:pPr>
              <w:jc w:val="center"/>
              <w:rPr>
                <w:rFonts w:eastAsia="Times New Roman" w:cs="Calibri"/>
                <w:color w:val="000000"/>
                <w:sz w:val="20"/>
                <w:szCs w:val="20"/>
                <w:lang w:eastAsia="en-AU"/>
              </w:rPr>
            </w:pPr>
            <w:r w:rsidRPr="009D734D">
              <w:rPr>
                <w:rFonts w:eastAsia="Times New Roman" w:cs="Calibri"/>
                <w:color w:val="000000"/>
                <w:sz w:val="20"/>
                <w:szCs w:val="20"/>
                <w:highlight w:val="red"/>
                <w:lang w:eastAsia="en-AU"/>
              </w:rPr>
              <w:t>CIC</w:t>
            </w:r>
          </w:p>
        </w:tc>
        <w:tc>
          <w:tcPr>
            <w:tcW w:w="0" w:type="auto"/>
            <w:tcBorders>
              <w:top w:val="nil"/>
              <w:left w:val="nil"/>
              <w:bottom w:val="single" w:sz="4" w:space="0" w:color="BFBFBF"/>
              <w:right w:val="single" w:sz="4" w:space="0" w:color="BFBFBF"/>
            </w:tcBorders>
            <w:shd w:val="clear" w:color="auto" w:fill="auto"/>
            <w:noWrap/>
            <w:hideMark/>
          </w:tcPr>
          <w:p w14:paraId="17F465CB" w14:textId="77777777" w:rsidR="00F42A40" w:rsidRPr="00A65D1F" w:rsidRDefault="00F42A40" w:rsidP="00A65D1F">
            <w:pPr>
              <w:jc w:val="center"/>
              <w:rPr>
                <w:rFonts w:eastAsia="Times New Roman" w:cs="Calibri"/>
                <w:color w:val="000000"/>
                <w:sz w:val="20"/>
                <w:szCs w:val="20"/>
                <w:lang w:eastAsia="en-AU"/>
              </w:rPr>
            </w:pPr>
            <w:r w:rsidRPr="00A65D1F">
              <w:rPr>
                <w:rFonts w:eastAsia="Times New Roman" w:cs="Calibri"/>
                <w:color w:val="000000"/>
                <w:sz w:val="20"/>
                <w:szCs w:val="20"/>
                <w:lang w:eastAsia="en-AU"/>
              </w:rPr>
              <w:t>n/a</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15F1E86D"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7C6E629A"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31C9B950"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4869" w:type="dxa"/>
            <w:vMerge/>
            <w:tcBorders>
              <w:top w:val="single" w:sz="4" w:space="0" w:color="808080"/>
              <w:left w:val="single" w:sz="4" w:space="0" w:color="BFBFBF"/>
              <w:bottom w:val="single" w:sz="4" w:space="0" w:color="BFBFBF"/>
              <w:right w:val="single" w:sz="4" w:space="0" w:color="BFBFBF"/>
            </w:tcBorders>
            <w:vAlign w:val="center"/>
            <w:hideMark/>
          </w:tcPr>
          <w:p w14:paraId="22D70636" w14:textId="77777777" w:rsidR="00F42A40" w:rsidRPr="00A65D1F" w:rsidRDefault="00F42A40" w:rsidP="00A65D1F">
            <w:pPr>
              <w:rPr>
                <w:rFonts w:eastAsia="Times New Roman" w:cs="Calibri"/>
                <w:sz w:val="20"/>
                <w:szCs w:val="20"/>
                <w:lang w:eastAsia="en-AU"/>
              </w:rPr>
            </w:pPr>
          </w:p>
        </w:tc>
      </w:tr>
      <w:tr w:rsidR="00F42A40" w:rsidRPr="00A65D1F" w14:paraId="4C8A1CA0" w14:textId="77777777" w:rsidTr="009D734D">
        <w:trPr>
          <w:trHeight w:val="270"/>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1BE8008F"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E-waste facility</w:t>
            </w:r>
          </w:p>
        </w:tc>
        <w:tc>
          <w:tcPr>
            <w:tcW w:w="0" w:type="auto"/>
            <w:tcBorders>
              <w:top w:val="nil"/>
              <w:left w:val="nil"/>
              <w:bottom w:val="single" w:sz="4" w:space="0" w:color="BFBFBF"/>
              <w:right w:val="single" w:sz="4" w:space="0" w:color="BFBFBF"/>
            </w:tcBorders>
            <w:shd w:val="clear" w:color="000000" w:fill="FFFFFF"/>
            <w:noWrap/>
            <w:hideMark/>
          </w:tcPr>
          <w:p w14:paraId="2E6A1FB4"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62</w:t>
            </w:r>
          </w:p>
        </w:tc>
        <w:tc>
          <w:tcPr>
            <w:tcW w:w="0" w:type="auto"/>
            <w:gridSpan w:val="2"/>
            <w:vMerge/>
            <w:tcBorders>
              <w:left w:val="nil"/>
              <w:right w:val="single" w:sz="4" w:space="0" w:color="BFBFBF"/>
            </w:tcBorders>
            <w:shd w:val="clear" w:color="auto" w:fill="auto"/>
            <w:noWrap/>
          </w:tcPr>
          <w:p w14:paraId="4AD5C0F8" w14:textId="04061F55" w:rsidR="00F42A40" w:rsidRPr="00A65D1F" w:rsidRDefault="00F42A40" w:rsidP="00A65D1F">
            <w:pPr>
              <w:jc w:val="right"/>
              <w:rPr>
                <w:rFonts w:eastAsia="Times New Roman" w:cs="Calibri"/>
                <w:color w:val="000000"/>
                <w:sz w:val="20"/>
                <w:szCs w:val="20"/>
                <w:lang w:eastAsia="en-AU"/>
              </w:rPr>
            </w:pPr>
          </w:p>
        </w:tc>
        <w:tc>
          <w:tcPr>
            <w:tcW w:w="0" w:type="auto"/>
            <w:tcBorders>
              <w:top w:val="nil"/>
              <w:left w:val="nil"/>
              <w:bottom w:val="single" w:sz="4" w:space="0" w:color="BFBFBF"/>
              <w:right w:val="single" w:sz="4" w:space="0" w:color="BFBFBF"/>
            </w:tcBorders>
            <w:shd w:val="clear" w:color="auto" w:fill="auto"/>
            <w:noWrap/>
            <w:hideMark/>
          </w:tcPr>
          <w:p w14:paraId="0558D612" w14:textId="77777777" w:rsidR="00F42A40" w:rsidRPr="00A65D1F" w:rsidRDefault="00F42A40" w:rsidP="00A65D1F">
            <w:pPr>
              <w:jc w:val="center"/>
              <w:rPr>
                <w:rFonts w:eastAsia="Times New Roman" w:cs="Calibri"/>
                <w:color w:val="000000"/>
                <w:sz w:val="20"/>
                <w:szCs w:val="20"/>
                <w:lang w:eastAsia="en-AU"/>
              </w:rPr>
            </w:pPr>
            <w:r w:rsidRPr="00A65D1F">
              <w:rPr>
                <w:rFonts w:eastAsia="Times New Roman" w:cs="Calibri"/>
                <w:color w:val="000000"/>
                <w:sz w:val="20"/>
                <w:szCs w:val="20"/>
                <w:lang w:eastAsia="en-AU"/>
              </w:rPr>
              <w:t>Good</w:t>
            </w:r>
          </w:p>
        </w:tc>
        <w:tc>
          <w:tcPr>
            <w:tcW w:w="0" w:type="auto"/>
            <w:tcBorders>
              <w:top w:val="nil"/>
              <w:left w:val="nil"/>
              <w:bottom w:val="single" w:sz="4" w:space="0" w:color="BFBFBF"/>
              <w:right w:val="single" w:sz="4" w:space="0" w:color="BFBFBF"/>
            </w:tcBorders>
            <w:shd w:val="clear" w:color="000000" w:fill="FFFFFF"/>
            <w:noWrap/>
            <w:hideMark/>
          </w:tcPr>
          <w:p w14:paraId="3C191A33" w14:textId="77777777" w:rsidR="00F42A40" w:rsidRPr="00A65D1F" w:rsidRDefault="00F42A40" w:rsidP="00A65D1F">
            <w:pPr>
              <w:jc w:val="center"/>
              <w:rPr>
                <w:rFonts w:eastAsia="Times New Roman" w:cs="Calibri"/>
                <w:color w:val="000000"/>
                <w:sz w:val="20"/>
                <w:szCs w:val="20"/>
                <w:lang w:eastAsia="en-AU"/>
              </w:rPr>
            </w:pPr>
            <w:r w:rsidRPr="00A65D1F">
              <w:rPr>
                <w:rFonts w:eastAsia="Times New Roman" w:cs="Calibri"/>
                <w:color w:val="000000"/>
                <w:sz w:val="20"/>
                <w:szCs w:val="20"/>
                <w:lang w:eastAsia="en-AU"/>
              </w:rPr>
              <w:t>&gt;2037</w:t>
            </w:r>
          </w:p>
        </w:tc>
        <w:tc>
          <w:tcPr>
            <w:tcW w:w="0" w:type="auto"/>
            <w:tcBorders>
              <w:top w:val="nil"/>
              <w:left w:val="nil"/>
              <w:bottom w:val="single" w:sz="4" w:space="0" w:color="BFBFBF"/>
              <w:right w:val="single" w:sz="4" w:space="0" w:color="BFBFBF"/>
            </w:tcBorders>
            <w:shd w:val="clear" w:color="000000" w:fill="FFFFFF"/>
            <w:noWrap/>
            <w:hideMark/>
          </w:tcPr>
          <w:p w14:paraId="2A0EF011" w14:textId="77777777" w:rsidR="00F42A40" w:rsidRPr="00A65D1F" w:rsidRDefault="00F42A40" w:rsidP="00A65D1F">
            <w:pPr>
              <w:jc w:val="center"/>
              <w:rPr>
                <w:rFonts w:eastAsia="Times New Roman" w:cs="Calibri"/>
                <w:color w:val="000000"/>
                <w:sz w:val="20"/>
                <w:szCs w:val="20"/>
                <w:lang w:eastAsia="en-AU"/>
              </w:rPr>
            </w:pPr>
            <w:r w:rsidRPr="00A65D1F">
              <w:rPr>
                <w:rFonts w:eastAsia="Times New Roman" w:cs="Calibri"/>
                <w:color w:val="000000"/>
                <w:sz w:val="20"/>
                <w:szCs w:val="20"/>
                <w:lang w:eastAsia="en-AU"/>
              </w:rPr>
              <w:t>2037</w:t>
            </w:r>
          </w:p>
        </w:tc>
        <w:tc>
          <w:tcPr>
            <w:tcW w:w="0" w:type="auto"/>
            <w:tcBorders>
              <w:top w:val="nil"/>
              <w:left w:val="nil"/>
              <w:bottom w:val="single" w:sz="4" w:space="0" w:color="BFBFBF"/>
              <w:right w:val="single" w:sz="4" w:space="0" w:color="BFBFBF"/>
            </w:tcBorders>
            <w:shd w:val="clear" w:color="000000" w:fill="FFFFFF"/>
            <w:noWrap/>
            <w:hideMark/>
          </w:tcPr>
          <w:p w14:paraId="1A1C9857" w14:textId="77777777" w:rsidR="00F42A40" w:rsidRPr="00A65D1F" w:rsidRDefault="00F42A40" w:rsidP="00A65D1F">
            <w:pPr>
              <w:jc w:val="center"/>
              <w:rPr>
                <w:rFonts w:eastAsia="Times New Roman" w:cs="Calibri"/>
                <w:color w:val="000000"/>
                <w:sz w:val="20"/>
                <w:szCs w:val="20"/>
                <w:lang w:eastAsia="en-AU"/>
              </w:rPr>
            </w:pPr>
            <w:r w:rsidRPr="00A65D1F">
              <w:rPr>
                <w:rFonts w:eastAsia="Times New Roman" w:cs="Calibri"/>
                <w:color w:val="000000"/>
                <w:sz w:val="20"/>
                <w:szCs w:val="20"/>
                <w:lang w:eastAsia="en-AU"/>
              </w:rPr>
              <w:t>&gt;2037</w:t>
            </w:r>
          </w:p>
        </w:tc>
        <w:tc>
          <w:tcPr>
            <w:tcW w:w="4869" w:type="dxa"/>
            <w:vMerge/>
            <w:tcBorders>
              <w:top w:val="single" w:sz="4" w:space="0" w:color="808080"/>
              <w:left w:val="single" w:sz="4" w:space="0" w:color="BFBFBF"/>
              <w:bottom w:val="single" w:sz="4" w:space="0" w:color="BFBFBF"/>
              <w:right w:val="single" w:sz="4" w:space="0" w:color="BFBFBF"/>
            </w:tcBorders>
            <w:vAlign w:val="center"/>
            <w:hideMark/>
          </w:tcPr>
          <w:p w14:paraId="560D051D" w14:textId="77777777" w:rsidR="00F42A40" w:rsidRPr="00A65D1F" w:rsidRDefault="00F42A40" w:rsidP="00A65D1F">
            <w:pPr>
              <w:rPr>
                <w:rFonts w:eastAsia="Times New Roman" w:cs="Calibri"/>
                <w:sz w:val="20"/>
                <w:szCs w:val="20"/>
                <w:lang w:eastAsia="en-AU"/>
              </w:rPr>
            </w:pPr>
          </w:p>
        </w:tc>
      </w:tr>
      <w:tr w:rsidR="00F42A40" w:rsidRPr="00A65D1F" w14:paraId="04ABCFA7" w14:textId="77777777" w:rsidTr="009D734D">
        <w:trPr>
          <w:trHeight w:val="270"/>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6978FFF6"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Oil re-refining facility</w:t>
            </w:r>
          </w:p>
        </w:tc>
        <w:tc>
          <w:tcPr>
            <w:tcW w:w="0" w:type="auto"/>
            <w:tcBorders>
              <w:top w:val="nil"/>
              <w:left w:val="nil"/>
              <w:bottom w:val="single" w:sz="4" w:space="0" w:color="BFBFBF"/>
              <w:right w:val="single" w:sz="4" w:space="0" w:color="BFBFBF"/>
            </w:tcBorders>
            <w:shd w:val="clear" w:color="000000" w:fill="FFFFFF"/>
            <w:noWrap/>
            <w:hideMark/>
          </w:tcPr>
          <w:p w14:paraId="62007867"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993</w:t>
            </w:r>
          </w:p>
        </w:tc>
        <w:tc>
          <w:tcPr>
            <w:tcW w:w="0" w:type="auto"/>
            <w:gridSpan w:val="2"/>
            <w:vMerge/>
            <w:tcBorders>
              <w:left w:val="nil"/>
              <w:right w:val="single" w:sz="4" w:space="0" w:color="BFBFBF"/>
            </w:tcBorders>
            <w:shd w:val="clear" w:color="auto" w:fill="auto"/>
            <w:noWrap/>
          </w:tcPr>
          <w:p w14:paraId="7A18336C" w14:textId="7D947581" w:rsidR="00F42A40" w:rsidRPr="00A65D1F" w:rsidRDefault="00F42A40" w:rsidP="00A65D1F">
            <w:pPr>
              <w:jc w:val="right"/>
              <w:rPr>
                <w:rFonts w:eastAsia="Times New Roman" w:cs="Calibri"/>
                <w:color w:val="000000"/>
                <w:sz w:val="20"/>
                <w:szCs w:val="20"/>
                <w:lang w:eastAsia="en-AU"/>
              </w:rPr>
            </w:pPr>
          </w:p>
        </w:tc>
        <w:tc>
          <w:tcPr>
            <w:tcW w:w="0" w:type="auto"/>
            <w:tcBorders>
              <w:top w:val="nil"/>
              <w:left w:val="nil"/>
              <w:bottom w:val="single" w:sz="4" w:space="0" w:color="BFBFBF"/>
              <w:right w:val="single" w:sz="4" w:space="0" w:color="BFBFBF"/>
            </w:tcBorders>
            <w:shd w:val="clear" w:color="auto" w:fill="auto"/>
            <w:noWrap/>
            <w:hideMark/>
          </w:tcPr>
          <w:p w14:paraId="0D79A85B" w14:textId="77777777" w:rsidR="00F42A40" w:rsidRPr="00A65D1F" w:rsidRDefault="00F42A40" w:rsidP="00A65D1F">
            <w:pPr>
              <w:jc w:val="center"/>
              <w:rPr>
                <w:rFonts w:eastAsia="Times New Roman" w:cs="Calibri"/>
                <w:color w:val="000000"/>
                <w:sz w:val="20"/>
                <w:szCs w:val="20"/>
                <w:lang w:eastAsia="en-AU"/>
              </w:rPr>
            </w:pPr>
            <w:r w:rsidRPr="00A65D1F">
              <w:rPr>
                <w:rFonts w:eastAsia="Times New Roman" w:cs="Calibri"/>
                <w:color w:val="000000"/>
                <w:sz w:val="20"/>
                <w:szCs w:val="20"/>
                <w:lang w:eastAsia="en-AU"/>
              </w:rPr>
              <w:t>n/a</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0F3C50C0"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17F2973D"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50A0CF8F"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4869" w:type="dxa"/>
            <w:vMerge/>
            <w:tcBorders>
              <w:top w:val="single" w:sz="4" w:space="0" w:color="808080"/>
              <w:left w:val="single" w:sz="4" w:space="0" w:color="BFBFBF"/>
              <w:bottom w:val="single" w:sz="4" w:space="0" w:color="BFBFBF"/>
              <w:right w:val="single" w:sz="4" w:space="0" w:color="BFBFBF"/>
            </w:tcBorders>
            <w:vAlign w:val="center"/>
            <w:hideMark/>
          </w:tcPr>
          <w:p w14:paraId="444776F8" w14:textId="77777777" w:rsidR="00F42A40" w:rsidRPr="00A65D1F" w:rsidRDefault="00F42A40" w:rsidP="00A65D1F">
            <w:pPr>
              <w:rPr>
                <w:rFonts w:eastAsia="Times New Roman" w:cs="Calibri"/>
                <w:sz w:val="20"/>
                <w:szCs w:val="20"/>
                <w:lang w:eastAsia="en-AU"/>
              </w:rPr>
            </w:pPr>
          </w:p>
        </w:tc>
      </w:tr>
      <w:tr w:rsidR="00F42A40" w:rsidRPr="00A65D1F" w14:paraId="58F64045" w14:textId="77777777" w:rsidTr="009D734D">
        <w:trPr>
          <w:trHeight w:val="270"/>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4E49FF0D"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Lead facility</w:t>
            </w:r>
          </w:p>
        </w:tc>
        <w:tc>
          <w:tcPr>
            <w:tcW w:w="0" w:type="auto"/>
            <w:tcBorders>
              <w:top w:val="nil"/>
              <w:left w:val="nil"/>
              <w:bottom w:val="single" w:sz="4" w:space="0" w:color="BFBFBF"/>
              <w:right w:val="single" w:sz="4" w:space="0" w:color="BFBFBF"/>
            </w:tcBorders>
            <w:shd w:val="clear" w:color="000000" w:fill="FFFFFF"/>
            <w:noWrap/>
            <w:hideMark/>
          </w:tcPr>
          <w:p w14:paraId="07CA7735"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0</w:t>
            </w:r>
          </w:p>
        </w:tc>
        <w:tc>
          <w:tcPr>
            <w:tcW w:w="0" w:type="auto"/>
            <w:gridSpan w:val="2"/>
            <w:vMerge/>
            <w:tcBorders>
              <w:left w:val="nil"/>
              <w:right w:val="single" w:sz="4" w:space="0" w:color="BFBFBF"/>
            </w:tcBorders>
            <w:shd w:val="clear" w:color="auto" w:fill="auto"/>
            <w:noWrap/>
          </w:tcPr>
          <w:p w14:paraId="64A1A5C8" w14:textId="4297C4ED" w:rsidR="00F42A40" w:rsidRPr="00A65D1F" w:rsidRDefault="00F42A40" w:rsidP="00A65D1F">
            <w:pPr>
              <w:jc w:val="right"/>
              <w:rPr>
                <w:rFonts w:eastAsia="Times New Roman" w:cs="Calibri"/>
                <w:color w:val="000000"/>
                <w:sz w:val="20"/>
                <w:szCs w:val="20"/>
                <w:lang w:eastAsia="en-AU"/>
              </w:rPr>
            </w:pPr>
          </w:p>
        </w:tc>
        <w:tc>
          <w:tcPr>
            <w:tcW w:w="0" w:type="auto"/>
            <w:tcBorders>
              <w:top w:val="nil"/>
              <w:left w:val="nil"/>
              <w:bottom w:val="single" w:sz="4" w:space="0" w:color="BFBFBF"/>
              <w:right w:val="single" w:sz="4" w:space="0" w:color="BFBFBF"/>
            </w:tcBorders>
            <w:shd w:val="clear" w:color="auto" w:fill="auto"/>
            <w:noWrap/>
            <w:hideMark/>
          </w:tcPr>
          <w:p w14:paraId="2861DE2C" w14:textId="77777777" w:rsidR="00F42A40" w:rsidRPr="00A65D1F" w:rsidRDefault="00F42A40" w:rsidP="00A65D1F">
            <w:pPr>
              <w:jc w:val="center"/>
              <w:rPr>
                <w:rFonts w:eastAsia="Times New Roman" w:cs="Calibri"/>
                <w:color w:val="000000"/>
                <w:sz w:val="20"/>
                <w:szCs w:val="20"/>
                <w:lang w:eastAsia="en-AU"/>
              </w:rPr>
            </w:pPr>
            <w:r w:rsidRPr="00A65D1F">
              <w:rPr>
                <w:rFonts w:eastAsia="Times New Roman" w:cs="Calibri"/>
                <w:color w:val="000000"/>
                <w:sz w:val="20"/>
                <w:szCs w:val="20"/>
                <w:lang w:eastAsia="en-AU"/>
              </w:rPr>
              <w:t>n/a</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4D9502C5"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68980FAA"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2C9DCD44"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4869" w:type="dxa"/>
            <w:vMerge/>
            <w:tcBorders>
              <w:top w:val="single" w:sz="4" w:space="0" w:color="808080"/>
              <w:left w:val="single" w:sz="4" w:space="0" w:color="BFBFBF"/>
              <w:bottom w:val="single" w:sz="4" w:space="0" w:color="BFBFBF"/>
              <w:right w:val="single" w:sz="4" w:space="0" w:color="BFBFBF"/>
            </w:tcBorders>
            <w:vAlign w:val="center"/>
            <w:hideMark/>
          </w:tcPr>
          <w:p w14:paraId="3CD881BF" w14:textId="77777777" w:rsidR="00F42A40" w:rsidRPr="00A65D1F" w:rsidRDefault="00F42A40" w:rsidP="00A65D1F">
            <w:pPr>
              <w:rPr>
                <w:rFonts w:eastAsia="Times New Roman" w:cs="Calibri"/>
                <w:sz w:val="20"/>
                <w:szCs w:val="20"/>
                <w:lang w:eastAsia="en-AU"/>
              </w:rPr>
            </w:pPr>
          </w:p>
        </w:tc>
      </w:tr>
      <w:tr w:rsidR="00F42A40" w:rsidRPr="00A65D1F" w14:paraId="7830D7D3" w14:textId="77777777" w:rsidTr="009D734D">
        <w:trPr>
          <w:trHeight w:val="270"/>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7A0C86A2"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Mercury facility</w:t>
            </w:r>
          </w:p>
        </w:tc>
        <w:tc>
          <w:tcPr>
            <w:tcW w:w="0" w:type="auto"/>
            <w:tcBorders>
              <w:top w:val="nil"/>
              <w:left w:val="nil"/>
              <w:bottom w:val="single" w:sz="4" w:space="0" w:color="BFBFBF"/>
              <w:right w:val="single" w:sz="4" w:space="0" w:color="BFBFBF"/>
            </w:tcBorders>
            <w:shd w:val="clear" w:color="000000" w:fill="FFFFFF"/>
            <w:noWrap/>
            <w:hideMark/>
          </w:tcPr>
          <w:p w14:paraId="4D95E073"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0</w:t>
            </w:r>
          </w:p>
        </w:tc>
        <w:tc>
          <w:tcPr>
            <w:tcW w:w="0" w:type="auto"/>
            <w:gridSpan w:val="2"/>
            <w:vMerge/>
            <w:tcBorders>
              <w:left w:val="nil"/>
              <w:right w:val="single" w:sz="4" w:space="0" w:color="BFBFBF"/>
            </w:tcBorders>
            <w:shd w:val="clear" w:color="auto" w:fill="auto"/>
            <w:noWrap/>
          </w:tcPr>
          <w:p w14:paraId="1C4B8AF0" w14:textId="55E00F6A" w:rsidR="00F42A40" w:rsidRPr="00A65D1F" w:rsidRDefault="00F42A40" w:rsidP="00A65D1F">
            <w:pPr>
              <w:jc w:val="right"/>
              <w:rPr>
                <w:rFonts w:eastAsia="Times New Roman" w:cs="Calibri"/>
                <w:color w:val="000000"/>
                <w:sz w:val="20"/>
                <w:szCs w:val="20"/>
                <w:lang w:eastAsia="en-AU"/>
              </w:rPr>
            </w:pPr>
          </w:p>
        </w:tc>
        <w:tc>
          <w:tcPr>
            <w:tcW w:w="0" w:type="auto"/>
            <w:tcBorders>
              <w:top w:val="nil"/>
              <w:left w:val="nil"/>
              <w:bottom w:val="single" w:sz="4" w:space="0" w:color="BFBFBF"/>
              <w:right w:val="single" w:sz="4" w:space="0" w:color="BFBFBF"/>
            </w:tcBorders>
            <w:shd w:val="clear" w:color="auto" w:fill="auto"/>
            <w:noWrap/>
            <w:hideMark/>
          </w:tcPr>
          <w:p w14:paraId="191DCD1E" w14:textId="77777777" w:rsidR="00F42A40" w:rsidRPr="00A65D1F" w:rsidRDefault="00F42A40" w:rsidP="00A65D1F">
            <w:pPr>
              <w:jc w:val="center"/>
              <w:rPr>
                <w:rFonts w:eastAsia="Times New Roman" w:cs="Calibri"/>
                <w:color w:val="000000"/>
                <w:sz w:val="20"/>
                <w:szCs w:val="20"/>
                <w:lang w:eastAsia="en-AU"/>
              </w:rPr>
            </w:pPr>
            <w:r w:rsidRPr="00A65D1F">
              <w:rPr>
                <w:rFonts w:eastAsia="Times New Roman" w:cs="Calibri"/>
                <w:color w:val="000000"/>
                <w:sz w:val="20"/>
                <w:szCs w:val="20"/>
                <w:lang w:eastAsia="en-AU"/>
              </w:rPr>
              <w:t>n/a</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2752A6A8"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28D03BB2"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578EEC23"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4869" w:type="dxa"/>
            <w:vMerge/>
            <w:tcBorders>
              <w:top w:val="single" w:sz="4" w:space="0" w:color="808080"/>
              <w:left w:val="single" w:sz="4" w:space="0" w:color="BFBFBF"/>
              <w:bottom w:val="single" w:sz="4" w:space="0" w:color="BFBFBF"/>
              <w:right w:val="single" w:sz="4" w:space="0" w:color="BFBFBF"/>
            </w:tcBorders>
            <w:vAlign w:val="center"/>
            <w:hideMark/>
          </w:tcPr>
          <w:p w14:paraId="2105D7B4" w14:textId="77777777" w:rsidR="00F42A40" w:rsidRPr="00A65D1F" w:rsidRDefault="00F42A40" w:rsidP="00A65D1F">
            <w:pPr>
              <w:rPr>
                <w:rFonts w:eastAsia="Times New Roman" w:cs="Calibri"/>
                <w:sz w:val="20"/>
                <w:szCs w:val="20"/>
                <w:lang w:eastAsia="en-AU"/>
              </w:rPr>
            </w:pPr>
          </w:p>
        </w:tc>
      </w:tr>
      <w:tr w:rsidR="00F42A40" w:rsidRPr="00A65D1F" w14:paraId="03B8C383" w14:textId="77777777" w:rsidTr="009D734D">
        <w:trPr>
          <w:trHeight w:val="270"/>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4D4A5C7"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Solvents/paints/organic chemicals facility</w:t>
            </w:r>
          </w:p>
        </w:tc>
        <w:tc>
          <w:tcPr>
            <w:tcW w:w="0" w:type="auto"/>
            <w:tcBorders>
              <w:top w:val="nil"/>
              <w:left w:val="nil"/>
              <w:bottom w:val="single" w:sz="4" w:space="0" w:color="BFBFBF"/>
              <w:right w:val="single" w:sz="4" w:space="0" w:color="BFBFBF"/>
            </w:tcBorders>
            <w:shd w:val="clear" w:color="000000" w:fill="FFFFFF"/>
            <w:noWrap/>
            <w:hideMark/>
          </w:tcPr>
          <w:p w14:paraId="6CE87AF6"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7</w:t>
            </w:r>
          </w:p>
        </w:tc>
        <w:tc>
          <w:tcPr>
            <w:tcW w:w="0" w:type="auto"/>
            <w:gridSpan w:val="2"/>
            <w:vMerge/>
            <w:tcBorders>
              <w:left w:val="nil"/>
              <w:right w:val="single" w:sz="4" w:space="0" w:color="BFBFBF"/>
            </w:tcBorders>
            <w:shd w:val="clear" w:color="auto" w:fill="auto"/>
            <w:noWrap/>
          </w:tcPr>
          <w:p w14:paraId="0D6B6894" w14:textId="77E854EE" w:rsidR="00F42A40" w:rsidRPr="00A65D1F" w:rsidRDefault="00F42A40" w:rsidP="00A65D1F">
            <w:pPr>
              <w:jc w:val="right"/>
              <w:rPr>
                <w:rFonts w:eastAsia="Times New Roman" w:cs="Calibri"/>
                <w:color w:val="000000"/>
                <w:sz w:val="20"/>
                <w:szCs w:val="20"/>
                <w:lang w:eastAsia="en-AU"/>
              </w:rPr>
            </w:pPr>
          </w:p>
        </w:tc>
        <w:tc>
          <w:tcPr>
            <w:tcW w:w="0" w:type="auto"/>
            <w:tcBorders>
              <w:top w:val="nil"/>
              <w:left w:val="nil"/>
              <w:bottom w:val="single" w:sz="4" w:space="0" w:color="BFBFBF"/>
              <w:right w:val="single" w:sz="4" w:space="0" w:color="BFBFBF"/>
            </w:tcBorders>
            <w:shd w:val="clear" w:color="auto" w:fill="auto"/>
            <w:noWrap/>
            <w:hideMark/>
          </w:tcPr>
          <w:p w14:paraId="6C97C08B" w14:textId="77777777" w:rsidR="00F42A40" w:rsidRPr="00A65D1F" w:rsidRDefault="00F42A40" w:rsidP="00A65D1F">
            <w:pPr>
              <w:jc w:val="center"/>
              <w:rPr>
                <w:rFonts w:eastAsia="Times New Roman" w:cs="Calibri"/>
                <w:color w:val="000000"/>
                <w:sz w:val="20"/>
                <w:szCs w:val="20"/>
                <w:lang w:eastAsia="en-AU"/>
              </w:rPr>
            </w:pPr>
            <w:r w:rsidRPr="00A65D1F">
              <w:rPr>
                <w:rFonts w:eastAsia="Times New Roman" w:cs="Calibri"/>
                <w:color w:val="000000"/>
                <w:sz w:val="20"/>
                <w:szCs w:val="20"/>
                <w:lang w:eastAsia="en-AU"/>
              </w:rPr>
              <w:t>n/a</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14C278FA"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03A7D8A1"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592E48BE"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4869" w:type="dxa"/>
            <w:vMerge/>
            <w:tcBorders>
              <w:top w:val="single" w:sz="4" w:space="0" w:color="808080"/>
              <w:left w:val="single" w:sz="4" w:space="0" w:color="BFBFBF"/>
              <w:bottom w:val="single" w:sz="4" w:space="0" w:color="BFBFBF"/>
              <w:right w:val="single" w:sz="4" w:space="0" w:color="BFBFBF"/>
            </w:tcBorders>
            <w:vAlign w:val="center"/>
            <w:hideMark/>
          </w:tcPr>
          <w:p w14:paraId="5FA979F6" w14:textId="77777777" w:rsidR="00F42A40" w:rsidRPr="00A65D1F" w:rsidRDefault="00F42A40" w:rsidP="00A65D1F">
            <w:pPr>
              <w:rPr>
                <w:rFonts w:eastAsia="Times New Roman" w:cs="Calibri"/>
                <w:sz w:val="20"/>
                <w:szCs w:val="20"/>
                <w:lang w:eastAsia="en-AU"/>
              </w:rPr>
            </w:pPr>
          </w:p>
        </w:tc>
      </w:tr>
      <w:tr w:rsidR="00F42A40" w:rsidRPr="00A65D1F" w14:paraId="70B71C4C" w14:textId="77777777" w:rsidTr="009D734D">
        <w:trPr>
          <w:trHeight w:val="270"/>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623136B4"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Organics processing facility</w:t>
            </w:r>
          </w:p>
        </w:tc>
        <w:tc>
          <w:tcPr>
            <w:tcW w:w="0" w:type="auto"/>
            <w:tcBorders>
              <w:top w:val="nil"/>
              <w:left w:val="nil"/>
              <w:bottom w:val="single" w:sz="4" w:space="0" w:color="BFBFBF"/>
              <w:right w:val="single" w:sz="4" w:space="0" w:color="BFBFBF"/>
            </w:tcBorders>
            <w:shd w:val="clear" w:color="000000" w:fill="FFFFFF"/>
            <w:noWrap/>
            <w:hideMark/>
          </w:tcPr>
          <w:p w14:paraId="150C877C"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4,166</w:t>
            </w:r>
          </w:p>
        </w:tc>
        <w:tc>
          <w:tcPr>
            <w:tcW w:w="0" w:type="auto"/>
            <w:gridSpan w:val="2"/>
            <w:vMerge/>
            <w:tcBorders>
              <w:left w:val="nil"/>
              <w:right w:val="single" w:sz="4" w:space="0" w:color="BFBFBF"/>
            </w:tcBorders>
            <w:shd w:val="clear" w:color="auto" w:fill="auto"/>
            <w:noWrap/>
          </w:tcPr>
          <w:p w14:paraId="1DE7DCBA" w14:textId="6A83D877" w:rsidR="00F42A40" w:rsidRPr="00A65D1F" w:rsidRDefault="00F42A40" w:rsidP="00A65D1F">
            <w:pPr>
              <w:jc w:val="right"/>
              <w:rPr>
                <w:rFonts w:eastAsia="Times New Roman" w:cs="Calibri"/>
                <w:color w:val="000000"/>
                <w:sz w:val="20"/>
                <w:szCs w:val="20"/>
                <w:lang w:eastAsia="en-AU"/>
              </w:rPr>
            </w:pPr>
          </w:p>
        </w:tc>
        <w:tc>
          <w:tcPr>
            <w:tcW w:w="0" w:type="auto"/>
            <w:tcBorders>
              <w:top w:val="nil"/>
              <w:left w:val="nil"/>
              <w:bottom w:val="single" w:sz="4" w:space="0" w:color="BFBFBF"/>
              <w:right w:val="single" w:sz="4" w:space="0" w:color="BFBFBF"/>
            </w:tcBorders>
            <w:shd w:val="clear" w:color="auto" w:fill="auto"/>
            <w:noWrap/>
            <w:hideMark/>
          </w:tcPr>
          <w:p w14:paraId="630B95F9" w14:textId="77777777" w:rsidR="00F42A40" w:rsidRPr="00A65D1F" w:rsidRDefault="00F42A40" w:rsidP="00A65D1F">
            <w:pPr>
              <w:jc w:val="center"/>
              <w:rPr>
                <w:rFonts w:eastAsia="Times New Roman" w:cs="Calibri"/>
                <w:color w:val="000000"/>
                <w:sz w:val="20"/>
                <w:szCs w:val="20"/>
                <w:lang w:eastAsia="en-AU"/>
              </w:rPr>
            </w:pPr>
            <w:r w:rsidRPr="00A65D1F">
              <w:rPr>
                <w:rFonts w:eastAsia="Times New Roman" w:cs="Calibri"/>
                <w:color w:val="000000"/>
                <w:sz w:val="20"/>
                <w:szCs w:val="20"/>
                <w:lang w:eastAsia="en-AU"/>
              </w:rPr>
              <w:t>n/a</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4E855975"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6CC5BBD6"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78C3F4E1"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4869" w:type="dxa"/>
            <w:vMerge/>
            <w:tcBorders>
              <w:top w:val="single" w:sz="4" w:space="0" w:color="808080"/>
              <w:left w:val="single" w:sz="4" w:space="0" w:color="BFBFBF"/>
              <w:bottom w:val="single" w:sz="4" w:space="0" w:color="BFBFBF"/>
              <w:right w:val="single" w:sz="4" w:space="0" w:color="BFBFBF"/>
            </w:tcBorders>
            <w:vAlign w:val="center"/>
            <w:hideMark/>
          </w:tcPr>
          <w:p w14:paraId="10964A8F" w14:textId="77777777" w:rsidR="00F42A40" w:rsidRPr="00A65D1F" w:rsidRDefault="00F42A40" w:rsidP="00A65D1F">
            <w:pPr>
              <w:rPr>
                <w:rFonts w:eastAsia="Times New Roman" w:cs="Calibri"/>
                <w:sz w:val="20"/>
                <w:szCs w:val="20"/>
                <w:lang w:eastAsia="en-AU"/>
              </w:rPr>
            </w:pPr>
          </w:p>
        </w:tc>
      </w:tr>
      <w:tr w:rsidR="00F42A40" w:rsidRPr="00A65D1F" w14:paraId="4AFD632E" w14:textId="77777777" w:rsidTr="009D734D">
        <w:trPr>
          <w:trHeight w:val="270"/>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3BC59355" w14:textId="67A47051" w:rsidR="00F42A40" w:rsidRPr="00A65D1F" w:rsidRDefault="00F42A40" w:rsidP="00A65D1F">
            <w:pPr>
              <w:jc w:val="right"/>
              <w:rPr>
                <w:rFonts w:eastAsia="Times New Roman" w:cs="Calibri"/>
                <w:color w:val="000000"/>
                <w:sz w:val="20"/>
                <w:szCs w:val="20"/>
                <w:lang w:eastAsia="en-AU"/>
              </w:rPr>
            </w:pPr>
            <w:r>
              <w:rPr>
                <w:rFonts w:eastAsia="Times New Roman" w:cs="Calibri"/>
                <w:color w:val="000000"/>
                <w:sz w:val="20"/>
                <w:szCs w:val="20"/>
                <w:lang w:eastAsia="en-AU"/>
              </w:rPr>
              <w:t>EOLT</w:t>
            </w:r>
            <w:r w:rsidRPr="00A65D1F">
              <w:rPr>
                <w:rFonts w:eastAsia="Times New Roman" w:cs="Calibri"/>
                <w:color w:val="000000"/>
                <w:sz w:val="20"/>
                <w:szCs w:val="20"/>
                <w:lang w:eastAsia="en-AU"/>
              </w:rPr>
              <w:t xml:space="preserve"> facility</w:t>
            </w:r>
          </w:p>
        </w:tc>
        <w:tc>
          <w:tcPr>
            <w:tcW w:w="0" w:type="auto"/>
            <w:tcBorders>
              <w:top w:val="nil"/>
              <w:left w:val="nil"/>
              <w:bottom w:val="single" w:sz="4" w:space="0" w:color="BFBFBF"/>
              <w:right w:val="single" w:sz="4" w:space="0" w:color="BFBFBF"/>
            </w:tcBorders>
            <w:shd w:val="clear" w:color="000000" w:fill="FFFFFF"/>
            <w:noWrap/>
            <w:hideMark/>
          </w:tcPr>
          <w:p w14:paraId="25B20A4F" w14:textId="05A2621F"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7</w:t>
            </w:r>
            <w:r>
              <w:rPr>
                <w:rFonts w:eastAsia="Times New Roman" w:cs="Calibri"/>
                <w:color w:val="000000"/>
                <w:sz w:val="20"/>
                <w:szCs w:val="20"/>
                <w:lang w:eastAsia="en-AU"/>
              </w:rPr>
              <w:t>64</w:t>
            </w:r>
          </w:p>
        </w:tc>
        <w:tc>
          <w:tcPr>
            <w:tcW w:w="0" w:type="auto"/>
            <w:gridSpan w:val="2"/>
            <w:vMerge/>
            <w:tcBorders>
              <w:left w:val="nil"/>
              <w:right w:val="single" w:sz="4" w:space="0" w:color="BFBFBF"/>
            </w:tcBorders>
            <w:shd w:val="clear" w:color="auto" w:fill="auto"/>
            <w:noWrap/>
          </w:tcPr>
          <w:p w14:paraId="196317FA" w14:textId="2EF904D7" w:rsidR="00F42A40" w:rsidRPr="00A65D1F" w:rsidRDefault="00F42A40" w:rsidP="00A65D1F">
            <w:pPr>
              <w:jc w:val="right"/>
              <w:rPr>
                <w:rFonts w:eastAsia="Times New Roman" w:cs="Calibri"/>
                <w:color w:val="000000"/>
                <w:sz w:val="20"/>
                <w:szCs w:val="20"/>
                <w:lang w:eastAsia="en-AU"/>
              </w:rPr>
            </w:pPr>
          </w:p>
        </w:tc>
        <w:tc>
          <w:tcPr>
            <w:tcW w:w="0" w:type="auto"/>
            <w:tcBorders>
              <w:top w:val="nil"/>
              <w:left w:val="nil"/>
              <w:bottom w:val="single" w:sz="4" w:space="0" w:color="BFBFBF"/>
              <w:right w:val="single" w:sz="4" w:space="0" w:color="BFBFBF"/>
            </w:tcBorders>
            <w:shd w:val="clear" w:color="auto" w:fill="auto"/>
            <w:noWrap/>
            <w:hideMark/>
          </w:tcPr>
          <w:p w14:paraId="099B9243" w14:textId="77777777" w:rsidR="00F42A40" w:rsidRPr="00A65D1F" w:rsidRDefault="00F42A40" w:rsidP="00A65D1F">
            <w:pPr>
              <w:jc w:val="center"/>
              <w:rPr>
                <w:rFonts w:eastAsia="Times New Roman" w:cs="Calibri"/>
                <w:color w:val="000000"/>
                <w:sz w:val="20"/>
                <w:szCs w:val="20"/>
                <w:lang w:eastAsia="en-AU"/>
              </w:rPr>
            </w:pPr>
            <w:r w:rsidRPr="00A65D1F">
              <w:rPr>
                <w:rFonts w:eastAsia="Times New Roman" w:cs="Calibri"/>
                <w:color w:val="000000"/>
                <w:sz w:val="20"/>
                <w:szCs w:val="20"/>
                <w:lang w:eastAsia="en-AU"/>
              </w:rPr>
              <w:t>n/a</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3046CFE9"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27A2E0A2"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2E90692A"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4869" w:type="dxa"/>
            <w:vMerge/>
            <w:tcBorders>
              <w:top w:val="single" w:sz="4" w:space="0" w:color="808080"/>
              <w:left w:val="single" w:sz="4" w:space="0" w:color="BFBFBF"/>
              <w:bottom w:val="single" w:sz="4" w:space="0" w:color="BFBFBF"/>
              <w:right w:val="single" w:sz="4" w:space="0" w:color="BFBFBF"/>
            </w:tcBorders>
            <w:vAlign w:val="center"/>
            <w:hideMark/>
          </w:tcPr>
          <w:p w14:paraId="751F4094" w14:textId="77777777" w:rsidR="00F42A40" w:rsidRPr="00A65D1F" w:rsidRDefault="00F42A40" w:rsidP="00A65D1F">
            <w:pPr>
              <w:rPr>
                <w:rFonts w:eastAsia="Times New Roman" w:cs="Calibri"/>
                <w:sz w:val="20"/>
                <w:szCs w:val="20"/>
                <w:lang w:eastAsia="en-AU"/>
              </w:rPr>
            </w:pPr>
          </w:p>
        </w:tc>
      </w:tr>
      <w:tr w:rsidR="00F42A40" w:rsidRPr="00A65D1F" w14:paraId="6E50E2FD" w14:textId="77777777" w:rsidTr="009D734D">
        <w:trPr>
          <w:trHeight w:val="270"/>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75D2A776" w14:textId="4FFBE044" w:rsidR="00F42A40" w:rsidRPr="00A65D1F" w:rsidRDefault="00F42A40" w:rsidP="00A65D1F">
            <w:pPr>
              <w:jc w:val="right"/>
              <w:rPr>
                <w:rFonts w:eastAsia="Times New Roman" w:cs="Calibri"/>
                <w:color w:val="000000"/>
                <w:sz w:val="20"/>
                <w:szCs w:val="20"/>
                <w:lang w:eastAsia="en-AU"/>
              </w:rPr>
            </w:pPr>
            <w:r>
              <w:rPr>
                <w:rFonts w:eastAsia="Times New Roman" w:cs="Calibri"/>
                <w:color w:val="000000"/>
                <w:sz w:val="20"/>
                <w:szCs w:val="20"/>
                <w:lang w:eastAsia="en-AU"/>
              </w:rPr>
              <w:t>SPL</w:t>
            </w:r>
            <w:r w:rsidRPr="00A65D1F">
              <w:rPr>
                <w:rFonts w:eastAsia="Times New Roman" w:cs="Calibri"/>
                <w:color w:val="000000"/>
                <w:sz w:val="20"/>
                <w:szCs w:val="20"/>
                <w:lang w:eastAsia="en-AU"/>
              </w:rPr>
              <w:t xml:space="preserve"> facility</w:t>
            </w:r>
          </w:p>
        </w:tc>
        <w:tc>
          <w:tcPr>
            <w:tcW w:w="0" w:type="auto"/>
            <w:tcBorders>
              <w:top w:val="nil"/>
              <w:left w:val="nil"/>
              <w:bottom w:val="single" w:sz="4" w:space="0" w:color="BFBFBF"/>
              <w:right w:val="single" w:sz="4" w:space="0" w:color="BFBFBF"/>
            </w:tcBorders>
            <w:shd w:val="clear" w:color="000000" w:fill="FFFFFF"/>
            <w:noWrap/>
            <w:hideMark/>
          </w:tcPr>
          <w:p w14:paraId="2D6F4C36"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0</w:t>
            </w:r>
          </w:p>
        </w:tc>
        <w:tc>
          <w:tcPr>
            <w:tcW w:w="0" w:type="auto"/>
            <w:gridSpan w:val="2"/>
            <w:vMerge/>
            <w:tcBorders>
              <w:left w:val="nil"/>
              <w:right w:val="single" w:sz="4" w:space="0" w:color="BFBFBF"/>
            </w:tcBorders>
            <w:shd w:val="clear" w:color="auto" w:fill="auto"/>
            <w:noWrap/>
          </w:tcPr>
          <w:p w14:paraId="1452C8FA" w14:textId="7E6E70FB" w:rsidR="00F42A40" w:rsidRPr="00A65D1F" w:rsidRDefault="00F42A40" w:rsidP="00A65D1F">
            <w:pPr>
              <w:jc w:val="right"/>
              <w:rPr>
                <w:rFonts w:eastAsia="Times New Roman" w:cs="Calibri"/>
                <w:color w:val="000000"/>
                <w:sz w:val="20"/>
                <w:szCs w:val="20"/>
                <w:lang w:eastAsia="en-AU"/>
              </w:rPr>
            </w:pPr>
          </w:p>
        </w:tc>
        <w:tc>
          <w:tcPr>
            <w:tcW w:w="0" w:type="auto"/>
            <w:tcBorders>
              <w:top w:val="nil"/>
              <w:left w:val="nil"/>
              <w:bottom w:val="single" w:sz="4" w:space="0" w:color="BFBFBF"/>
              <w:right w:val="single" w:sz="4" w:space="0" w:color="BFBFBF"/>
            </w:tcBorders>
            <w:shd w:val="clear" w:color="auto" w:fill="auto"/>
            <w:noWrap/>
            <w:hideMark/>
          </w:tcPr>
          <w:p w14:paraId="46F4EC39" w14:textId="77777777" w:rsidR="00F42A40" w:rsidRPr="00A65D1F" w:rsidRDefault="00F42A40" w:rsidP="00A65D1F">
            <w:pPr>
              <w:jc w:val="center"/>
              <w:rPr>
                <w:rFonts w:eastAsia="Times New Roman" w:cs="Calibri"/>
                <w:color w:val="000000"/>
                <w:sz w:val="20"/>
                <w:szCs w:val="20"/>
                <w:lang w:eastAsia="en-AU"/>
              </w:rPr>
            </w:pPr>
            <w:r w:rsidRPr="00A65D1F">
              <w:rPr>
                <w:rFonts w:eastAsia="Times New Roman" w:cs="Calibri"/>
                <w:color w:val="000000"/>
                <w:sz w:val="20"/>
                <w:szCs w:val="20"/>
                <w:lang w:eastAsia="en-AU"/>
              </w:rPr>
              <w:t>n/a</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3D171289"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392EE4B7"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57091D3E"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4869" w:type="dxa"/>
            <w:vMerge/>
            <w:tcBorders>
              <w:top w:val="single" w:sz="4" w:space="0" w:color="808080"/>
              <w:left w:val="single" w:sz="4" w:space="0" w:color="BFBFBF"/>
              <w:bottom w:val="single" w:sz="4" w:space="0" w:color="BFBFBF"/>
              <w:right w:val="single" w:sz="4" w:space="0" w:color="BFBFBF"/>
            </w:tcBorders>
            <w:vAlign w:val="center"/>
            <w:hideMark/>
          </w:tcPr>
          <w:p w14:paraId="13B3A86C" w14:textId="77777777" w:rsidR="00F42A40" w:rsidRPr="00A65D1F" w:rsidRDefault="00F42A40" w:rsidP="00A65D1F">
            <w:pPr>
              <w:rPr>
                <w:rFonts w:eastAsia="Times New Roman" w:cs="Calibri"/>
                <w:sz w:val="20"/>
                <w:szCs w:val="20"/>
                <w:lang w:eastAsia="en-AU"/>
              </w:rPr>
            </w:pPr>
          </w:p>
        </w:tc>
      </w:tr>
      <w:tr w:rsidR="00F42A40" w:rsidRPr="00A65D1F" w14:paraId="298EC7E8" w14:textId="77777777" w:rsidTr="009D734D">
        <w:trPr>
          <w:trHeight w:val="270"/>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3021071C"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 xml:space="preserve">Energy recovery </w:t>
            </w:r>
          </w:p>
        </w:tc>
        <w:tc>
          <w:tcPr>
            <w:tcW w:w="0" w:type="auto"/>
            <w:tcBorders>
              <w:top w:val="nil"/>
              <w:left w:val="nil"/>
              <w:bottom w:val="single" w:sz="4" w:space="0" w:color="BFBFBF"/>
              <w:right w:val="single" w:sz="4" w:space="0" w:color="BFBFBF"/>
            </w:tcBorders>
            <w:shd w:val="clear" w:color="000000" w:fill="FFFFFF"/>
            <w:noWrap/>
            <w:hideMark/>
          </w:tcPr>
          <w:p w14:paraId="7E1A991B"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4</w:t>
            </w:r>
          </w:p>
        </w:tc>
        <w:tc>
          <w:tcPr>
            <w:tcW w:w="0" w:type="auto"/>
            <w:gridSpan w:val="2"/>
            <w:vMerge/>
            <w:tcBorders>
              <w:left w:val="nil"/>
              <w:bottom w:val="single" w:sz="4" w:space="0" w:color="BFBFBF"/>
              <w:right w:val="single" w:sz="4" w:space="0" w:color="BFBFBF"/>
            </w:tcBorders>
            <w:shd w:val="clear" w:color="auto" w:fill="auto"/>
            <w:noWrap/>
          </w:tcPr>
          <w:p w14:paraId="4422EA51" w14:textId="5A619161" w:rsidR="00F42A40" w:rsidRPr="00A65D1F" w:rsidRDefault="00F42A40" w:rsidP="00A65D1F">
            <w:pPr>
              <w:jc w:val="right"/>
              <w:rPr>
                <w:rFonts w:eastAsia="Times New Roman" w:cs="Calibri"/>
                <w:color w:val="000000"/>
                <w:sz w:val="20"/>
                <w:szCs w:val="20"/>
                <w:lang w:eastAsia="en-AU"/>
              </w:rPr>
            </w:pPr>
          </w:p>
        </w:tc>
        <w:tc>
          <w:tcPr>
            <w:tcW w:w="0" w:type="auto"/>
            <w:tcBorders>
              <w:top w:val="nil"/>
              <w:left w:val="nil"/>
              <w:bottom w:val="single" w:sz="4" w:space="0" w:color="BFBFBF"/>
              <w:right w:val="single" w:sz="4" w:space="0" w:color="BFBFBF"/>
            </w:tcBorders>
            <w:shd w:val="clear" w:color="auto" w:fill="auto"/>
            <w:noWrap/>
            <w:hideMark/>
          </w:tcPr>
          <w:p w14:paraId="0A840C15" w14:textId="77777777" w:rsidR="00F42A40" w:rsidRPr="00A65D1F" w:rsidRDefault="00F42A40" w:rsidP="00A65D1F">
            <w:pPr>
              <w:jc w:val="center"/>
              <w:rPr>
                <w:rFonts w:eastAsia="Times New Roman" w:cs="Calibri"/>
                <w:color w:val="000000"/>
                <w:sz w:val="20"/>
                <w:szCs w:val="20"/>
                <w:lang w:eastAsia="en-AU"/>
              </w:rPr>
            </w:pPr>
            <w:r w:rsidRPr="00A65D1F">
              <w:rPr>
                <w:rFonts w:eastAsia="Times New Roman" w:cs="Calibri"/>
                <w:color w:val="000000"/>
                <w:sz w:val="20"/>
                <w:szCs w:val="20"/>
                <w:lang w:eastAsia="en-AU"/>
              </w:rPr>
              <w:t>n/a</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06D02F44"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7BB1E891"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7333EA99"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4869" w:type="dxa"/>
            <w:vMerge/>
            <w:tcBorders>
              <w:top w:val="single" w:sz="4" w:space="0" w:color="808080"/>
              <w:left w:val="single" w:sz="4" w:space="0" w:color="BFBFBF"/>
              <w:bottom w:val="single" w:sz="4" w:space="0" w:color="BFBFBF"/>
              <w:right w:val="single" w:sz="4" w:space="0" w:color="BFBFBF"/>
            </w:tcBorders>
            <w:vAlign w:val="center"/>
            <w:hideMark/>
          </w:tcPr>
          <w:p w14:paraId="29BBED63" w14:textId="77777777" w:rsidR="00F42A40" w:rsidRPr="00A65D1F" w:rsidRDefault="00F42A40" w:rsidP="00A65D1F">
            <w:pPr>
              <w:rPr>
                <w:rFonts w:eastAsia="Times New Roman" w:cs="Calibri"/>
                <w:sz w:val="20"/>
                <w:szCs w:val="20"/>
                <w:lang w:eastAsia="en-AU"/>
              </w:rPr>
            </w:pPr>
          </w:p>
        </w:tc>
      </w:tr>
      <w:tr w:rsidR="00FD3200" w:rsidRPr="00A65D1F" w14:paraId="79819D64" w14:textId="77777777" w:rsidTr="00FD3200">
        <w:trPr>
          <w:trHeight w:val="270"/>
        </w:trPr>
        <w:tc>
          <w:tcPr>
            <w:tcW w:w="2830" w:type="dxa"/>
            <w:tcBorders>
              <w:top w:val="nil"/>
              <w:left w:val="single" w:sz="4" w:space="0" w:color="BFBFBF"/>
              <w:bottom w:val="single" w:sz="4" w:space="0" w:color="BFBFBF"/>
              <w:right w:val="nil"/>
            </w:tcBorders>
            <w:shd w:val="clear" w:color="000000" w:fill="C5D9F1"/>
            <w:noWrap/>
            <w:vAlign w:val="bottom"/>
            <w:hideMark/>
          </w:tcPr>
          <w:p w14:paraId="6597DA0F" w14:textId="77777777" w:rsidR="00A65D1F" w:rsidRPr="00A65D1F" w:rsidRDefault="00A65D1F" w:rsidP="00A65D1F">
            <w:pPr>
              <w:jc w:val="right"/>
              <w:rPr>
                <w:rFonts w:eastAsia="Times New Roman" w:cs="Calibri"/>
                <w:b/>
                <w:bCs/>
                <w:color w:val="000000"/>
                <w:sz w:val="20"/>
                <w:szCs w:val="20"/>
                <w:lang w:eastAsia="en-AU"/>
              </w:rPr>
            </w:pPr>
            <w:r w:rsidRPr="00A65D1F">
              <w:rPr>
                <w:rFonts w:eastAsia="Times New Roman" w:cs="Calibri"/>
                <w:b/>
                <w:bCs/>
                <w:color w:val="000000"/>
                <w:sz w:val="20"/>
                <w:szCs w:val="20"/>
                <w:lang w:eastAsia="en-AU"/>
              </w:rPr>
              <w:t xml:space="preserve">Treatment </w:t>
            </w:r>
          </w:p>
        </w:tc>
        <w:tc>
          <w:tcPr>
            <w:tcW w:w="0" w:type="auto"/>
            <w:tcBorders>
              <w:top w:val="nil"/>
              <w:left w:val="nil"/>
              <w:bottom w:val="single" w:sz="4" w:space="0" w:color="BFBFBF"/>
              <w:right w:val="nil"/>
            </w:tcBorders>
            <w:shd w:val="clear" w:color="000000" w:fill="C5D9F1"/>
            <w:noWrap/>
            <w:vAlign w:val="bottom"/>
            <w:hideMark/>
          </w:tcPr>
          <w:p w14:paraId="0D9555EE"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0" w:type="auto"/>
            <w:tcBorders>
              <w:top w:val="nil"/>
              <w:left w:val="nil"/>
              <w:bottom w:val="single" w:sz="4" w:space="0" w:color="BFBFBF"/>
              <w:right w:val="nil"/>
            </w:tcBorders>
            <w:shd w:val="clear" w:color="000000" w:fill="C5D9F1"/>
            <w:noWrap/>
            <w:vAlign w:val="bottom"/>
            <w:hideMark/>
          </w:tcPr>
          <w:p w14:paraId="350E5531"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0" w:type="auto"/>
            <w:tcBorders>
              <w:top w:val="nil"/>
              <w:left w:val="nil"/>
              <w:bottom w:val="single" w:sz="4" w:space="0" w:color="BFBFBF"/>
              <w:right w:val="nil"/>
            </w:tcBorders>
            <w:shd w:val="clear" w:color="000000" w:fill="C5D9F1"/>
            <w:noWrap/>
            <w:vAlign w:val="bottom"/>
            <w:hideMark/>
          </w:tcPr>
          <w:p w14:paraId="01E70874"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0" w:type="auto"/>
            <w:tcBorders>
              <w:top w:val="nil"/>
              <w:left w:val="nil"/>
              <w:bottom w:val="single" w:sz="4" w:space="0" w:color="BFBFBF"/>
              <w:right w:val="nil"/>
            </w:tcBorders>
            <w:shd w:val="clear" w:color="000000" w:fill="C5D9F1"/>
            <w:noWrap/>
            <w:vAlign w:val="bottom"/>
            <w:hideMark/>
          </w:tcPr>
          <w:p w14:paraId="173C00D7"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0" w:type="auto"/>
            <w:tcBorders>
              <w:top w:val="nil"/>
              <w:left w:val="nil"/>
              <w:bottom w:val="single" w:sz="4" w:space="0" w:color="BFBFBF"/>
              <w:right w:val="nil"/>
            </w:tcBorders>
            <w:shd w:val="clear" w:color="000000" w:fill="C5D9F1"/>
            <w:noWrap/>
            <w:vAlign w:val="bottom"/>
            <w:hideMark/>
          </w:tcPr>
          <w:p w14:paraId="73F90282"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0" w:type="auto"/>
            <w:tcBorders>
              <w:top w:val="nil"/>
              <w:left w:val="nil"/>
              <w:bottom w:val="single" w:sz="4" w:space="0" w:color="BFBFBF"/>
              <w:right w:val="nil"/>
            </w:tcBorders>
            <w:shd w:val="clear" w:color="000000" w:fill="C5D9F1"/>
            <w:noWrap/>
            <w:vAlign w:val="bottom"/>
            <w:hideMark/>
          </w:tcPr>
          <w:p w14:paraId="32E2343B"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0" w:type="auto"/>
            <w:tcBorders>
              <w:top w:val="nil"/>
              <w:left w:val="nil"/>
              <w:bottom w:val="single" w:sz="4" w:space="0" w:color="BFBFBF"/>
              <w:right w:val="single" w:sz="4" w:space="0" w:color="BFBFBF"/>
            </w:tcBorders>
            <w:shd w:val="clear" w:color="000000" w:fill="C5D9F1"/>
            <w:noWrap/>
            <w:vAlign w:val="bottom"/>
            <w:hideMark/>
          </w:tcPr>
          <w:p w14:paraId="2AFA90C7"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4869" w:type="dxa"/>
            <w:vMerge/>
            <w:tcBorders>
              <w:top w:val="single" w:sz="4" w:space="0" w:color="808080"/>
              <w:left w:val="single" w:sz="4" w:space="0" w:color="BFBFBF"/>
              <w:bottom w:val="single" w:sz="4" w:space="0" w:color="BFBFBF"/>
              <w:right w:val="single" w:sz="4" w:space="0" w:color="BFBFBF"/>
            </w:tcBorders>
            <w:vAlign w:val="center"/>
            <w:hideMark/>
          </w:tcPr>
          <w:p w14:paraId="6990F7DC" w14:textId="77777777" w:rsidR="00A65D1F" w:rsidRPr="00A65D1F" w:rsidRDefault="00A65D1F" w:rsidP="00A65D1F">
            <w:pPr>
              <w:rPr>
                <w:rFonts w:eastAsia="Times New Roman" w:cs="Calibri"/>
                <w:sz w:val="20"/>
                <w:szCs w:val="20"/>
                <w:lang w:eastAsia="en-AU"/>
              </w:rPr>
            </w:pPr>
          </w:p>
        </w:tc>
      </w:tr>
      <w:tr w:rsidR="00F42A40" w:rsidRPr="00A65D1F" w14:paraId="052F594A" w14:textId="77777777" w:rsidTr="009D734D">
        <w:trPr>
          <w:trHeight w:val="270"/>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7C8009CC"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CPT plant</w:t>
            </w:r>
          </w:p>
        </w:tc>
        <w:tc>
          <w:tcPr>
            <w:tcW w:w="0" w:type="auto"/>
            <w:tcBorders>
              <w:top w:val="nil"/>
              <w:left w:val="nil"/>
              <w:bottom w:val="single" w:sz="4" w:space="0" w:color="BFBFBF"/>
              <w:right w:val="single" w:sz="4" w:space="0" w:color="BFBFBF"/>
            </w:tcBorders>
            <w:shd w:val="clear" w:color="000000" w:fill="FFFFFF"/>
            <w:noWrap/>
            <w:hideMark/>
          </w:tcPr>
          <w:p w14:paraId="5704DCB5"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1,403</w:t>
            </w:r>
          </w:p>
        </w:tc>
        <w:tc>
          <w:tcPr>
            <w:tcW w:w="0" w:type="auto"/>
            <w:gridSpan w:val="2"/>
            <w:vMerge w:val="restart"/>
            <w:tcBorders>
              <w:top w:val="nil"/>
              <w:left w:val="nil"/>
              <w:right w:val="single" w:sz="4" w:space="0" w:color="BFBFBF"/>
            </w:tcBorders>
            <w:shd w:val="clear" w:color="auto" w:fill="auto"/>
            <w:noWrap/>
            <w:vAlign w:val="center"/>
          </w:tcPr>
          <w:p w14:paraId="741852AF" w14:textId="514ECDCF" w:rsidR="00F42A40" w:rsidRPr="00A65D1F" w:rsidRDefault="00F42A40" w:rsidP="009D734D">
            <w:pPr>
              <w:jc w:val="center"/>
              <w:rPr>
                <w:rFonts w:eastAsia="Times New Roman" w:cs="Calibri"/>
                <w:color w:val="000000"/>
                <w:sz w:val="20"/>
                <w:szCs w:val="20"/>
                <w:lang w:eastAsia="en-AU"/>
              </w:rPr>
            </w:pPr>
            <w:r w:rsidRPr="009D734D">
              <w:rPr>
                <w:rFonts w:eastAsia="Times New Roman" w:cs="Calibri"/>
                <w:color w:val="000000"/>
                <w:sz w:val="20"/>
                <w:szCs w:val="20"/>
                <w:highlight w:val="red"/>
                <w:lang w:eastAsia="en-AU"/>
              </w:rPr>
              <w:t>CIC</w:t>
            </w:r>
          </w:p>
        </w:tc>
        <w:tc>
          <w:tcPr>
            <w:tcW w:w="0" w:type="auto"/>
            <w:tcBorders>
              <w:top w:val="nil"/>
              <w:left w:val="nil"/>
              <w:bottom w:val="single" w:sz="4" w:space="0" w:color="BFBFBF"/>
              <w:right w:val="single" w:sz="4" w:space="0" w:color="BFBFBF"/>
            </w:tcBorders>
            <w:shd w:val="clear" w:color="auto" w:fill="auto"/>
            <w:noWrap/>
            <w:hideMark/>
          </w:tcPr>
          <w:p w14:paraId="6428E8CD" w14:textId="77777777" w:rsidR="00F42A40" w:rsidRPr="00A65D1F" w:rsidRDefault="00F42A40" w:rsidP="00A65D1F">
            <w:pPr>
              <w:jc w:val="center"/>
              <w:rPr>
                <w:rFonts w:eastAsia="Times New Roman" w:cs="Calibri"/>
                <w:color w:val="000000"/>
                <w:sz w:val="20"/>
                <w:szCs w:val="20"/>
                <w:lang w:eastAsia="en-AU"/>
              </w:rPr>
            </w:pPr>
            <w:r w:rsidRPr="00A65D1F">
              <w:rPr>
                <w:rFonts w:eastAsia="Times New Roman" w:cs="Calibri"/>
                <w:color w:val="000000"/>
                <w:sz w:val="20"/>
                <w:szCs w:val="20"/>
                <w:lang w:eastAsia="en-AU"/>
              </w:rPr>
              <w:t>n/a</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1077E99A"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6349665A"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11E86762"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4869" w:type="dxa"/>
            <w:vMerge/>
            <w:tcBorders>
              <w:top w:val="single" w:sz="4" w:space="0" w:color="808080"/>
              <w:left w:val="single" w:sz="4" w:space="0" w:color="BFBFBF"/>
              <w:bottom w:val="single" w:sz="4" w:space="0" w:color="BFBFBF"/>
              <w:right w:val="single" w:sz="4" w:space="0" w:color="BFBFBF"/>
            </w:tcBorders>
            <w:vAlign w:val="center"/>
            <w:hideMark/>
          </w:tcPr>
          <w:p w14:paraId="1BD2E888" w14:textId="77777777" w:rsidR="00F42A40" w:rsidRPr="00A65D1F" w:rsidRDefault="00F42A40" w:rsidP="00A65D1F">
            <w:pPr>
              <w:rPr>
                <w:rFonts w:eastAsia="Times New Roman" w:cs="Calibri"/>
                <w:sz w:val="20"/>
                <w:szCs w:val="20"/>
                <w:lang w:eastAsia="en-AU"/>
              </w:rPr>
            </w:pPr>
          </w:p>
        </w:tc>
      </w:tr>
      <w:tr w:rsidR="00F42A40" w:rsidRPr="00A65D1F" w14:paraId="0376E60A" w14:textId="77777777" w:rsidTr="00F42A40">
        <w:trPr>
          <w:trHeight w:val="270"/>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48121FC"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 xml:space="preserve">Clinical waste treatment facility </w:t>
            </w:r>
          </w:p>
        </w:tc>
        <w:tc>
          <w:tcPr>
            <w:tcW w:w="0" w:type="auto"/>
            <w:tcBorders>
              <w:top w:val="nil"/>
              <w:left w:val="nil"/>
              <w:bottom w:val="single" w:sz="4" w:space="0" w:color="BFBFBF"/>
              <w:right w:val="single" w:sz="4" w:space="0" w:color="BFBFBF"/>
            </w:tcBorders>
            <w:shd w:val="clear" w:color="000000" w:fill="FFFFFF"/>
            <w:noWrap/>
            <w:hideMark/>
          </w:tcPr>
          <w:p w14:paraId="69017991"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60</w:t>
            </w:r>
          </w:p>
        </w:tc>
        <w:tc>
          <w:tcPr>
            <w:tcW w:w="0" w:type="auto"/>
            <w:gridSpan w:val="2"/>
            <w:vMerge/>
            <w:tcBorders>
              <w:left w:val="nil"/>
              <w:right w:val="single" w:sz="4" w:space="0" w:color="BFBFBF"/>
            </w:tcBorders>
            <w:shd w:val="clear" w:color="auto" w:fill="auto"/>
            <w:noWrap/>
          </w:tcPr>
          <w:p w14:paraId="6975AF7E" w14:textId="5C230E1E" w:rsidR="00F42A40" w:rsidRPr="00A65D1F" w:rsidRDefault="00F42A40" w:rsidP="00A65D1F">
            <w:pPr>
              <w:jc w:val="right"/>
              <w:rPr>
                <w:rFonts w:eastAsia="Times New Roman" w:cs="Calibri"/>
                <w:color w:val="000000"/>
                <w:sz w:val="20"/>
                <w:szCs w:val="20"/>
                <w:lang w:eastAsia="en-AU"/>
              </w:rPr>
            </w:pPr>
          </w:p>
        </w:tc>
        <w:tc>
          <w:tcPr>
            <w:tcW w:w="0" w:type="auto"/>
            <w:tcBorders>
              <w:top w:val="nil"/>
              <w:left w:val="nil"/>
              <w:bottom w:val="single" w:sz="4" w:space="0" w:color="BFBFBF"/>
              <w:right w:val="single" w:sz="4" w:space="0" w:color="BFBFBF"/>
            </w:tcBorders>
            <w:shd w:val="clear" w:color="auto" w:fill="auto"/>
            <w:noWrap/>
            <w:hideMark/>
          </w:tcPr>
          <w:p w14:paraId="62DA5ECC" w14:textId="77777777" w:rsidR="00F42A40" w:rsidRPr="00A65D1F" w:rsidRDefault="00F42A40" w:rsidP="00A65D1F">
            <w:pPr>
              <w:jc w:val="center"/>
              <w:rPr>
                <w:rFonts w:eastAsia="Times New Roman" w:cs="Calibri"/>
                <w:color w:val="000000"/>
                <w:sz w:val="20"/>
                <w:szCs w:val="20"/>
                <w:lang w:eastAsia="en-AU"/>
              </w:rPr>
            </w:pPr>
            <w:r w:rsidRPr="00A65D1F">
              <w:rPr>
                <w:rFonts w:eastAsia="Times New Roman" w:cs="Calibri"/>
                <w:color w:val="000000"/>
                <w:sz w:val="20"/>
                <w:szCs w:val="20"/>
                <w:lang w:eastAsia="en-AU"/>
              </w:rPr>
              <w:t>n/a</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6E7392C5"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62D28786"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41A6188A"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4869" w:type="dxa"/>
            <w:vMerge/>
            <w:tcBorders>
              <w:top w:val="single" w:sz="4" w:space="0" w:color="808080"/>
              <w:left w:val="single" w:sz="4" w:space="0" w:color="BFBFBF"/>
              <w:bottom w:val="single" w:sz="4" w:space="0" w:color="BFBFBF"/>
              <w:right w:val="single" w:sz="4" w:space="0" w:color="BFBFBF"/>
            </w:tcBorders>
            <w:vAlign w:val="center"/>
            <w:hideMark/>
          </w:tcPr>
          <w:p w14:paraId="1C083F73" w14:textId="77777777" w:rsidR="00F42A40" w:rsidRPr="00A65D1F" w:rsidRDefault="00F42A40" w:rsidP="00A65D1F">
            <w:pPr>
              <w:rPr>
                <w:rFonts w:eastAsia="Times New Roman" w:cs="Calibri"/>
                <w:sz w:val="20"/>
                <w:szCs w:val="20"/>
                <w:lang w:eastAsia="en-AU"/>
              </w:rPr>
            </w:pPr>
          </w:p>
        </w:tc>
      </w:tr>
      <w:tr w:rsidR="00F42A40" w:rsidRPr="00A65D1F" w14:paraId="1857BF79" w14:textId="77777777" w:rsidTr="00F42A40">
        <w:trPr>
          <w:trHeight w:val="270"/>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363B726"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Bioremediation facility</w:t>
            </w:r>
          </w:p>
        </w:tc>
        <w:tc>
          <w:tcPr>
            <w:tcW w:w="0" w:type="auto"/>
            <w:tcBorders>
              <w:top w:val="nil"/>
              <w:left w:val="nil"/>
              <w:bottom w:val="single" w:sz="4" w:space="0" w:color="BFBFBF"/>
              <w:right w:val="single" w:sz="4" w:space="0" w:color="BFBFBF"/>
            </w:tcBorders>
            <w:shd w:val="clear" w:color="000000" w:fill="FFFFFF"/>
            <w:noWrap/>
            <w:hideMark/>
          </w:tcPr>
          <w:p w14:paraId="2375D20C"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31</w:t>
            </w:r>
          </w:p>
        </w:tc>
        <w:tc>
          <w:tcPr>
            <w:tcW w:w="0" w:type="auto"/>
            <w:gridSpan w:val="2"/>
            <w:vMerge/>
            <w:tcBorders>
              <w:left w:val="nil"/>
              <w:right w:val="single" w:sz="4" w:space="0" w:color="BFBFBF"/>
            </w:tcBorders>
            <w:shd w:val="clear" w:color="auto" w:fill="auto"/>
            <w:noWrap/>
          </w:tcPr>
          <w:p w14:paraId="196C362F" w14:textId="14D6E152" w:rsidR="00F42A40" w:rsidRPr="00A65D1F" w:rsidRDefault="00F42A40" w:rsidP="00A65D1F">
            <w:pPr>
              <w:jc w:val="right"/>
              <w:rPr>
                <w:rFonts w:eastAsia="Times New Roman" w:cs="Calibri"/>
                <w:color w:val="000000"/>
                <w:sz w:val="20"/>
                <w:szCs w:val="20"/>
                <w:lang w:eastAsia="en-AU"/>
              </w:rPr>
            </w:pPr>
          </w:p>
        </w:tc>
        <w:tc>
          <w:tcPr>
            <w:tcW w:w="0" w:type="auto"/>
            <w:tcBorders>
              <w:top w:val="nil"/>
              <w:left w:val="nil"/>
              <w:bottom w:val="single" w:sz="4" w:space="0" w:color="BFBFBF"/>
              <w:right w:val="single" w:sz="4" w:space="0" w:color="BFBFBF"/>
            </w:tcBorders>
            <w:shd w:val="clear" w:color="auto" w:fill="auto"/>
            <w:noWrap/>
            <w:hideMark/>
          </w:tcPr>
          <w:p w14:paraId="6767568E" w14:textId="77777777" w:rsidR="00F42A40" w:rsidRPr="00A65D1F" w:rsidRDefault="00F42A40" w:rsidP="00A65D1F">
            <w:pPr>
              <w:jc w:val="center"/>
              <w:rPr>
                <w:rFonts w:eastAsia="Times New Roman" w:cs="Calibri"/>
                <w:color w:val="000000"/>
                <w:sz w:val="20"/>
                <w:szCs w:val="20"/>
                <w:lang w:eastAsia="en-AU"/>
              </w:rPr>
            </w:pPr>
            <w:r w:rsidRPr="00A65D1F">
              <w:rPr>
                <w:rFonts w:eastAsia="Times New Roman" w:cs="Calibri"/>
                <w:color w:val="000000"/>
                <w:sz w:val="20"/>
                <w:szCs w:val="20"/>
                <w:lang w:eastAsia="en-AU"/>
              </w:rPr>
              <w:t>n/a</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0270693F"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2D823954"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77DE2222"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4869" w:type="dxa"/>
            <w:vMerge/>
            <w:tcBorders>
              <w:top w:val="single" w:sz="4" w:space="0" w:color="808080"/>
              <w:left w:val="single" w:sz="4" w:space="0" w:color="BFBFBF"/>
              <w:bottom w:val="single" w:sz="4" w:space="0" w:color="BFBFBF"/>
              <w:right w:val="single" w:sz="4" w:space="0" w:color="BFBFBF"/>
            </w:tcBorders>
            <w:vAlign w:val="center"/>
            <w:hideMark/>
          </w:tcPr>
          <w:p w14:paraId="1FD0624C" w14:textId="77777777" w:rsidR="00F42A40" w:rsidRPr="00A65D1F" w:rsidRDefault="00F42A40" w:rsidP="00A65D1F">
            <w:pPr>
              <w:rPr>
                <w:rFonts w:eastAsia="Times New Roman" w:cs="Calibri"/>
                <w:sz w:val="20"/>
                <w:szCs w:val="20"/>
                <w:lang w:eastAsia="en-AU"/>
              </w:rPr>
            </w:pPr>
          </w:p>
        </w:tc>
      </w:tr>
      <w:tr w:rsidR="00F42A40" w:rsidRPr="00A65D1F" w14:paraId="24B64D52" w14:textId="77777777" w:rsidTr="00F42A40">
        <w:trPr>
          <w:trHeight w:val="270"/>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795951D5" w14:textId="7A58EBE3" w:rsidR="00F42A40" w:rsidRPr="00A65D1F" w:rsidRDefault="00F42A40" w:rsidP="00A65D1F">
            <w:pPr>
              <w:jc w:val="right"/>
              <w:rPr>
                <w:rFonts w:eastAsia="Times New Roman" w:cs="Calibri"/>
                <w:color w:val="000000"/>
                <w:sz w:val="20"/>
                <w:szCs w:val="20"/>
                <w:lang w:eastAsia="en-AU"/>
              </w:rPr>
            </w:pPr>
            <w:r>
              <w:rPr>
                <w:rFonts w:eastAsia="Times New Roman" w:cs="Calibri"/>
                <w:color w:val="000000"/>
                <w:sz w:val="20"/>
                <w:szCs w:val="20"/>
                <w:lang w:eastAsia="en-AU"/>
              </w:rPr>
              <w:t>OWT</w:t>
            </w:r>
            <w:r w:rsidRPr="00A65D1F">
              <w:rPr>
                <w:rFonts w:eastAsia="Times New Roman" w:cs="Calibri"/>
                <w:color w:val="000000"/>
                <w:sz w:val="20"/>
                <w:szCs w:val="20"/>
                <w:lang w:eastAsia="en-AU"/>
              </w:rPr>
              <w:t xml:space="preserve"> facility  </w:t>
            </w:r>
          </w:p>
        </w:tc>
        <w:tc>
          <w:tcPr>
            <w:tcW w:w="0" w:type="auto"/>
            <w:tcBorders>
              <w:top w:val="nil"/>
              <w:left w:val="nil"/>
              <w:bottom w:val="single" w:sz="4" w:space="0" w:color="BFBFBF"/>
              <w:right w:val="single" w:sz="4" w:space="0" w:color="BFBFBF"/>
            </w:tcBorders>
            <w:shd w:val="clear" w:color="000000" w:fill="FFFFFF"/>
            <w:noWrap/>
            <w:hideMark/>
          </w:tcPr>
          <w:p w14:paraId="72A54027"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180</w:t>
            </w:r>
          </w:p>
        </w:tc>
        <w:tc>
          <w:tcPr>
            <w:tcW w:w="0" w:type="auto"/>
            <w:gridSpan w:val="2"/>
            <w:vMerge/>
            <w:tcBorders>
              <w:left w:val="nil"/>
              <w:right w:val="single" w:sz="4" w:space="0" w:color="BFBFBF"/>
            </w:tcBorders>
            <w:shd w:val="clear" w:color="auto" w:fill="auto"/>
            <w:noWrap/>
          </w:tcPr>
          <w:p w14:paraId="7E902273" w14:textId="384C3644" w:rsidR="00F42A40" w:rsidRPr="00A65D1F" w:rsidRDefault="00F42A40" w:rsidP="00A65D1F">
            <w:pPr>
              <w:jc w:val="right"/>
              <w:rPr>
                <w:rFonts w:eastAsia="Times New Roman" w:cs="Calibri"/>
                <w:color w:val="000000"/>
                <w:sz w:val="20"/>
                <w:szCs w:val="20"/>
                <w:lang w:eastAsia="en-AU"/>
              </w:rPr>
            </w:pPr>
          </w:p>
        </w:tc>
        <w:tc>
          <w:tcPr>
            <w:tcW w:w="0" w:type="auto"/>
            <w:tcBorders>
              <w:top w:val="nil"/>
              <w:left w:val="nil"/>
              <w:bottom w:val="single" w:sz="4" w:space="0" w:color="BFBFBF"/>
              <w:right w:val="single" w:sz="4" w:space="0" w:color="BFBFBF"/>
            </w:tcBorders>
            <w:shd w:val="clear" w:color="auto" w:fill="auto"/>
            <w:noWrap/>
            <w:hideMark/>
          </w:tcPr>
          <w:p w14:paraId="7A86862B" w14:textId="77777777" w:rsidR="00F42A40" w:rsidRPr="00A65D1F" w:rsidRDefault="00F42A40" w:rsidP="00A65D1F">
            <w:pPr>
              <w:jc w:val="center"/>
              <w:rPr>
                <w:rFonts w:eastAsia="Times New Roman" w:cs="Calibri"/>
                <w:color w:val="000000"/>
                <w:sz w:val="20"/>
                <w:szCs w:val="20"/>
                <w:lang w:eastAsia="en-AU"/>
              </w:rPr>
            </w:pPr>
            <w:r w:rsidRPr="00A65D1F">
              <w:rPr>
                <w:rFonts w:eastAsia="Times New Roman" w:cs="Calibri"/>
                <w:color w:val="000000"/>
                <w:sz w:val="20"/>
                <w:szCs w:val="20"/>
                <w:lang w:eastAsia="en-AU"/>
              </w:rPr>
              <w:t>n/a</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15D60B25"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4F765718"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09F80698"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4869" w:type="dxa"/>
            <w:vMerge/>
            <w:tcBorders>
              <w:top w:val="single" w:sz="4" w:space="0" w:color="808080"/>
              <w:left w:val="single" w:sz="4" w:space="0" w:color="BFBFBF"/>
              <w:bottom w:val="single" w:sz="4" w:space="0" w:color="BFBFBF"/>
              <w:right w:val="single" w:sz="4" w:space="0" w:color="BFBFBF"/>
            </w:tcBorders>
            <w:vAlign w:val="center"/>
            <w:hideMark/>
          </w:tcPr>
          <w:p w14:paraId="0B21A4A7" w14:textId="77777777" w:rsidR="00F42A40" w:rsidRPr="00A65D1F" w:rsidRDefault="00F42A40" w:rsidP="00A65D1F">
            <w:pPr>
              <w:rPr>
                <w:rFonts w:eastAsia="Times New Roman" w:cs="Calibri"/>
                <w:sz w:val="20"/>
                <w:szCs w:val="20"/>
                <w:lang w:eastAsia="en-AU"/>
              </w:rPr>
            </w:pPr>
          </w:p>
        </w:tc>
      </w:tr>
      <w:tr w:rsidR="00F42A40" w:rsidRPr="00A65D1F" w14:paraId="191ED47B" w14:textId="77777777" w:rsidTr="00F42A40">
        <w:trPr>
          <w:trHeight w:val="270"/>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0C1148A"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Soils treatment facility</w:t>
            </w:r>
          </w:p>
        </w:tc>
        <w:tc>
          <w:tcPr>
            <w:tcW w:w="0" w:type="auto"/>
            <w:tcBorders>
              <w:top w:val="nil"/>
              <w:left w:val="nil"/>
              <w:bottom w:val="single" w:sz="4" w:space="0" w:color="BFBFBF"/>
              <w:right w:val="single" w:sz="4" w:space="0" w:color="BFBFBF"/>
            </w:tcBorders>
            <w:shd w:val="clear" w:color="000000" w:fill="FFFFFF"/>
            <w:noWrap/>
            <w:hideMark/>
          </w:tcPr>
          <w:p w14:paraId="0A3DAC22"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2</w:t>
            </w:r>
          </w:p>
        </w:tc>
        <w:tc>
          <w:tcPr>
            <w:tcW w:w="0" w:type="auto"/>
            <w:gridSpan w:val="2"/>
            <w:vMerge/>
            <w:tcBorders>
              <w:left w:val="nil"/>
              <w:bottom w:val="single" w:sz="4" w:space="0" w:color="BFBFBF"/>
              <w:right w:val="single" w:sz="4" w:space="0" w:color="BFBFBF"/>
            </w:tcBorders>
            <w:shd w:val="clear" w:color="auto" w:fill="auto"/>
            <w:noWrap/>
          </w:tcPr>
          <w:p w14:paraId="78D1C858" w14:textId="2554FCCD" w:rsidR="00F42A40" w:rsidRPr="00A65D1F" w:rsidRDefault="00F42A40" w:rsidP="00A65D1F">
            <w:pPr>
              <w:jc w:val="right"/>
              <w:rPr>
                <w:rFonts w:eastAsia="Times New Roman" w:cs="Calibri"/>
                <w:color w:val="000000"/>
                <w:sz w:val="20"/>
                <w:szCs w:val="20"/>
                <w:lang w:eastAsia="en-AU"/>
              </w:rPr>
            </w:pPr>
          </w:p>
        </w:tc>
        <w:tc>
          <w:tcPr>
            <w:tcW w:w="0" w:type="auto"/>
            <w:tcBorders>
              <w:top w:val="nil"/>
              <w:left w:val="nil"/>
              <w:bottom w:val="single" w:sz="4" w:space="0" w:color="BFBFBF"/>
              <w:right w:val="single" w:sz="4" w:space="0" w:color="BFBFBF"/>
            </w:tcBorders>
            <w:shd w:val="clear" w:color="auto" w:fill="auto"/>
            <w:noWrap/>
            <w:hideMark/>
          </w:tcPr>
          <w:p w14:paraId="22FFD57A" w14:textId="77777777" w:rsidR="00F42A40" w:rsidRPr="00A65D1F" w:rsidRDefault="00F42A40" w:rsidP="00A65D1F">
            <w:pPr>
              <w:jc w:val="center"/>
              <w:rPr>
                <w:rFonts w:eastAsia="Times New Roman" w:cs="Calibri"/>
                <w:color w:val="000000"/>
                <w:sz w:val="20"/>
                <w:szCs w:val="20"/>
                <w:lang w:eastAsia="en-AU"/>
              </w:rPr>
            </w:pPr>
            <w:r w:rsidRPr="00A65D1F">
              <w:rPr>
                <w:rFonts w:eastAsia="Times New Roman" w:cs="Calibri"/>
                <w:color w:val="000000"/>
                <w:sz w:val="20"/>
                <w:szCs w:val="20"/>
                <w:lang w:eastAsia="en-AU"/>
              </w:rPr>
              <w:t>n/a</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4BAD6663"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563DBF3A"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19DDF70E"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4869" w:type="dxa"/>
            <w:vMerge/>
            <w:tcBorders>
              <w:top w:val="single" w:sz="4" w:space="0" w:color="808080"/>
              <w:left w:val="single" w:sz="4" w:space="0" w:color="BFBFBF"/>
              <w:bottom w:val="single" w:sz="4" w:space="0" w:color="BFBFBF"/>
              <w:right w:val="single" w:sz="4" w:space="0" w:color="BFBFBF"/>
            </w:tcBorders>
            <w:vAlign w:val="center"/>
            <w:hideMark/>
          </w:tcPr>
          <w:p w14:paraId="735B8589" w14:textId="77777777" w:rsidR="00F42A40" w:rsidRPr="00A65D1F" w:rsidRDefault="00F42A40" w:rsidP="00A65D1F">
            <w:pPr>
              <w:rPr>
                <w:rFonts w:eastAsia="Times New Roman" w:cs="Calibri"/>
                <w:sz w:val="20"/>
                <w:szCs w:val="20"/>
                <w:lang w:eastAsia="en-AU"/>
              </w:rPr>
            </w:pPr>
          </w:p>
        </w:tc>
      </w:tr>
      <w:tr w:rsidR="00FD3200" w:rsidRPr="00A65D1F" w14:paraId="3F8A6B71" w14:textId="77777777" w:rsidTr="00FD3200">
        <w:trPr>
          <w:trHeight w:val="270"/>
        </w:trPr>
        <w:tc>
          <w:tcPr>
            <w:tcW w:w="2830" w:type="dxa"/>
            <w:tcBorders>
              <w:top w:val="nil"/>
              <w:left w:val="single" w:sz="4" w:space="0" w:color="BFBFBF"/>
              <w:bottom w:val="single" w:sz="4" w:space="0" w:color="BFBFBF"/>
              <w:right w:val="nil"/>
            </w:tcBorders>
            <w:shd w:val="clear" w:color="000000" w:fill="C5D9F1"/>
            <w:noWrap/>
            <w:vAlign w:val="bottom"/>
            <w:hideMark/>
          </w:tcPr>
          <w:p w14:paraId="4ECA21F6" w14:textId="77777777" w:rsidR="00A65D1F" w:rsidRPr="00A65D1F" w:rsidRDefault="00A65D1F" w:rsidP="00A65D1F">
            <w:pPr>
              <w:jc w:val="right"/>
              <w:rPr>
                <w:rFonts w:eastAsia="Times New Roman" w:cs="Calibri"/>
                <w:b/>
                <w:bCs/>
                <w:color w:val="000000"/>
                <w:sz w:val="20"/>
                <w:szCs w:val="20"/>
                <w:lang w:eastAsia="en-AU"/>
              </w:rPr>
            </w:pPr>
            <w:r w:rsidRPr="00A65D1F">
              <w:rPr>
                <w:rFonts w:eastAsia="Times New Roman" w:cs="Calibri"/>
                <w:b/>
                <w:bCs/>
                <w:color w:val="000000"/>
                <w:sz w:val="20"/>
                <w:szCs w:val="20"/>
                <w:lang w:eastAsia="en-AU"/>
              </w:rPr>
              <w:t>Disposal</w:t>
            </w:r>
          </w:p>
        </w:tc>
        <w:tc>
          <w:tcPr>
            <w:tcW w:w="0" w:type="auto"/>
            <w:tcBorders>
              <w:top w:val="nil"/>
              <w:left w:val="nil"/>
              <w:bottom w:val="single" w:sz="4" w:space="0" w:color="BFBFBF"/>
              <w:right w:val="nil"/>
            </w:tcBorders>
            <w:shd w:val="clear" w:color="000000" w:fill="C5D9F1"/>
            <w:noWrap/>
            <w:vAlign w:val="bottom"/>
            <w:hideMark/>
          </w:tcPr>
          <w:p w14:paraId="3B85CBCF"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0" w:type="auto"/>
            <w:tcBorders>
              <w:top w:val="nil"/>
              <w:left w:val="nil"/>
              <w:bottom w:val="single" w:sz="4" w:space="0" w:color="BFBFBF"/>
              <w:right w:val="nil"/>
            </w:tcBorders>
            <w:shd w:val="clear" w:color="000000" w:fill="C5D9F1"/>
            <w:noWrap/>
            <w:vAlign w:val="bottom"/>
            <w:hideMark/>
          </w:tcPr>
          <w:p w14:paraId="16E89E31"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0" w:type="auto"/>
            <w:tcBorders>
              <w:top w:val="nil"/>
              <w:left w:val="nil"/>
              <w:bottom w:val="single" w:sz="4" w:space="0" w:color="BFBFBF"/>
              <w:right w:val="nil"/>
            </w:tcBorders>
            <w:shd w:val="clear" w:color="000000" w:fill="C5D9F1"/>
            <w:noWrap/>
            <w:vAlign w:val="bottom"/>
            <w:hideMark/>
          </w:tcPr>
          <w:p w14:paraId="7509770B"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0" w:type="auto"/>
            <w:tcBorders>
              <w:top w:val="nil"/>
              <w:left w:val="nil"/>
              <w:bottom w:val="single" w:sz="4" w:space="0" w:color="BFBFBF"/>
              <w:right w:val="nil"/>
            </w:tcBorders>
            <w:shd w:val="clear" w:color="000000" w:fill="C5D9F1"/>
            <w:noWrap/>
            <w:vAlign w:val="bottom"/>
            <w:hideMark/>
          </w:tcPr>
          <w:p w14:paraId="0728D883"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0" w:type="auto"/>
            <w:tcBorders>
              <w:top w:val="nil"/>
              <w:left w:val="nil"/>
              <w:bottom w:val="single" w:sz="4" w:space="0" w:color="BFBFBF"/>
              <w:right w:val="nil"/>
            </w:tcBorders>
            <w:shd w:val="clear" w:color="000000" w:fill="C5D9F1"/>
            <w:noWrap/>
            <w:vAlign w:val="bottom"/>
            <w:hideMark/>
          </w:tcPr>
          <w:p w14:paraId="4506C247"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0" w:type="auto"/>
            <w:tcBorders>
              <w:top w:val="nil"/>
              <w:left w:val="nil"/>
              <w:bottom w:val="single" w:sz="4" w:space="0" w:color="BFBFBF"/>
              <w:right w:val="nil"/>
            </w:tcBorders>
            <w:shd w:val="clear" w:color="000000" w:fill="C5D9F1"/>
            <w:noWrap/>
            <w:vAlign w:val="bottom"/>
            <w:hideMark/>
          </w:tcPr>
          <w:p w14:paraId="2F57E979"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0" w:type="auto"/>
            <w:tcBorders>
              <w:top w:val="nil"/>
              <w:left w:val="nil"/>
              <w:bottom w:val="single" w:sz="4" w:space="0" w:color="BFBFBF"/>
              <w:right w:val="single" w:sz="4" w:space="0" w:color="BFBFBF"/>
            </w:tcBorders>
            <w:shd w:val="clear" w:color="000000" w:fill="C5D9F1"/>
            <w:noWrap/>
            <w:vAlign w:val="bottom"/>
            <w:hideMark/>
          </w:tcPr>
          <w:p w14:paraId="5AA48BF7"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4869" w:type="dxa"/>
            <w:vMerge/>
            <w:tcBorders>
              <w:top w:val="single" w:sz="4" w:space="0" w:color="808080"/>
              <w:left w:val="single" w:sz="4" w:space="0" w:color="BFBFBF"/>
              <w:bottom w:val="single" w:sz="4" w:space="0" w:color="BFBFBF"/>
              <w:right w:val="single" w:sz="4" w:space="0" w:color="BFBFBF"/>
            </w:tcBorders>
            <w:vAlign w:val="center"/>
            <w:hideMark/>
          </w:tcPr>
          <w:p w14:paraId="759A67BB" w14:textId="77777777" w:rsidR="00A65D1F" w:rsidRPr="00A65D1F" w:rsidRDefault="00A65D1F" w:rsidP="00A65D1F">
            <w:pPr>
              <w:rPr>
                <w:rFonts w:eastAsia="Times New Roman" w:cs="Calibri"/>
                <w:sz w:val="20"/>
                <w:szCs w:val="20"/>
                <w:lang w:eastAsia="en-AU"/>
              </w:rPr>
            </w:pPr>
          </w:p>
        </w:tc>
      </w:tr>
      <w:tr w:rsidR="00F42A40" w:rsidRPr="00A65D1F" w14:paraId="08354B34" w14:textId="77777777" w:rsidTr="009D734D">
        <w:trPr>
          <w:trHeight w:val="270"/>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3C48A74A"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 xml:space="preserve">Hazardous waste landfill facility </w:t>
            </w:r>
          </w:p>
        </w:tc>
        <w:tc>
          <w:tcPr>
            <w:tcW w:w="0" w:type="auto"/>
            <w:tcBorders>
              <w:top w:val="nil"/>
              <w:left w:val="nil"/>
              <w:bottom w:val="single" w:sz="4" w:space="0" w:color="BFBFBF"/>
              <w:right w:val="single" w:sz="4" w:space="0" w:color="BFBFBF"/>
            </w:tcBorders>
            <w:shd w:val="clear" w:color="000000" w:fill="FFFFFF"/>
            <w:noWrap/>
            <w:hideMark/>
          </w:tcPr>
          <w:p w14:paraId="4A46A889"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104</w:t>
            </w:r>
          </w:p>
        </w:tc>
        <w:tc>
          <w:tcPr>
            <w:tcW w:w="0" w:type="auto"/>
            <w:gridSpan w:val="2"/>
            <w:vMerge w:val="restart"/>
            <w:tcBorders>
              <w:top w:val="nil"/>
              <w:left w:val="nil"/>
              <w:right w:val="single" w:sz="4" w:space="0" w:color="BFBFBF"/>
            </w:tcBorders>
            <w:shd w:val="clear" w:color="auto" w:fill="auto"/>
            <w:noWrap/>
            <w:vAlign w:val="center"/>
          </w:tcPr>
          <w:p w14:paraId="3D4C216E" w14:textId="61420610" w:rsidR="00F42A40" w:rsidRPr="00A65D1F" w:rsidRDefault="00F42A40" w:rsidP="009D734D">
            <w:pPr>
              <w:jc w:val="center"/>
              <w:rPr>
                <w:rFonts w:eastAsia="Times New Roman" w:cs="Calibri"/>
                <w:color w:val="000000"/>
                <w:sz w:val="20"/>
                <w:szCs w:val="20"/>
                <w:lang w:eastAsia="en-AU"/>
              </w:rPr>
            </w:pPr>
            <w:r w:rsidRPr="009D734D">
              <w:rPr>
                <w:rFonts w:eastAsia="Times New Roman" w:cs="Calibri"/>
                <w:color w:val="000000"/>
                <w:sz w:val="20"/>
                <w:szCs w:val="20"/>
                <w:highlight w:val="red"/>
                <w:lang w:eastAsia="en-AU"/>
              </w:rPr>
              <w:t>CIC</w:t>
            </w:r>
          </w:p>
        </w:tc>
        <w:tc>
          <w:tcPr>
            <w:tcW w:w="0" w:type="auto"/>
            <w:tcBorders>
              <w:top w:val="nil"/>
              <w:left w:val="nil"/>
              <w:bottom w:val="single" w:sz="4" w:space="0" w:color="BFBFBF"/>
              <w:right w:val="single" w:sz="4" w:space="0" w:color="BFBFBF"/>
            </w:tcBorders>
            <w:shd w:val="clear" w:color="auto" w:fill="auto"/>
            <w:noWrap/>
            <w:hideMark/>
          </w:tcPr>
          <w:p w14:paraId="2CAB60E3" w14:textId="77777777" w:rsidR="00F42A40" w:rsidRPr="00A65D1F" w:rsidRDefault="00F42A40" w:rsidP="00A65D1F">
            <w:pPr>
              <w:jc w:val="center"/>
              <w:rPr>
                <w:rFonts w:eastAsia="Times New Roman" w:cs="Calibri"/>
                <w:color w:val="000000"/>
                <w:sz w:val="20"/>
                <w:szCs w:val="20"/>
                <w:lang w:eastAsia="en-AU"/>
              </w:rPr>
            </w:pPr>
            <w:r w:rsidRPr="00A65D1F">
              <w:rPr>
                <w:rFonts w:eastAsia="Times New Roman" w:cs="Calibri"/>
                <w:color w:val="000000"/>
                <w:sz w:val="20"/>
                <w:szCs w:val="20"/>
                <w:lang w:eastAsia="en-AU"/>
              </w:rPr>
              <w:t>n/a</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45B0BBD5"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2822AC47"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5537E7B9"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4869" w:type="dxa"/>
            <w:vMerge/>
            <w:tcBorders>
              <w:top w:val="single" w:sz="4" w:space="0" w:color="808080"/>
              <w:left w:val="single" w:sz="4" w:space="0" w:color="BFBFBF"/>
              <w:bottom w:val="single" w:sz="4" w:space="0" w:color="BFBFBF"/>
              <w:right w:val="single" w:sz="4" w:space="0" w:color="BFBFBF"/>
            </w:tcBorders>
            <w:vAlign w:val="center"/>
            <w:hideMark/>
          </w:tcPr>
          <w:p w14:paraId="5CC18C6E" w14:textId="77777777" w:rsidR="00F42A40" w:rsidRPr="00A65D1F" w:rsidRDefault="00F42A40" w:rsidP="00A65D1F">
            <w:pPr>
              <w:rPr>
                <w:rFonts w:eastAsia="Times New Roman" w:cs="Calibri"/>
                <w:sz w:val="20"/>
                <w:szCs w:val="20"/>
                <w:lang w:eastAsia="en-AU"/>
              </w:rPr>
            </w:pPr>
          </w:p>
        </w:tc>
      </w:tr>
      <w:tr w:rsidR="00F42A40" w:rsidRPr="00A65D1F" w14:paraId="3E712C00" w14:textId="77777777" w:rsidTr="00F42A40">
        <w:trPr>
          <w:trHeight w:val="270"/>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7F92CB4D"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Landfill facility (NEPM codes N, T)</w:t>
            </w:r>
          </w:p>
        </w:tc>
        <w:tc>
          <w:tcPr>
            <w:tcW w:w="0" w:type="auto"/>
            <w:tcBorders>
              <w:top w:val="nil"/>
              <w:left w:val="nil"/>
              <w:bottom w:val="single" w:sz="4" w:space="0" w:color="BFBFBF"/>
              <w:right w:val="single" w:sz="4" w:space="0" w:color="BFBFBF"/>
            </w:tcBorders>
            <w:shd w:val="clear" w:color="000000" w:fill="FFFFFF"/>
            <w:noWrap/>
            <w:hideMark/>
          </w:tcPr>
          <w:p w14:paraId="3D8E38C4" w14:textId="419AEAF2"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211,</w:t>
            </w:r>
            <w:r>
              <w:rPr>
                <w:rFonts w:eastAsia="Times New Roman" w:cs="Calibri"/>
                <w:color w:val="000000"/>
                <w:sz w:val="20"/>
                <w:szCs w:val="20"/>
                <w:lang w:eastAsia="en-AU"/>
              </w:rPr>
              <w:t>629</w:t>
            </w:r>
          </w:p>
        </w:tc>
        <w:tc>
          <w:tcPr>
            <w:tcW w:w="0" w:type="auto"/>
            <w:gridSpan w:val="2"/>
            <w:vMerge/>
            <w:tcBorders>
              <w:left w:val="nil"/>
              <w:right w:val="single" w:sz="4" w:space="0" w:color="BFBFBF"/>
            </w:tcBorders>
            <w:shd w:val="clear" w:color="auto" w:fill="auto"/>
            <w:noWrap/>
          </w:tcPr>
          <w:p w14:paraId="59E8A426" w14:textId="085E6AD7" w:rsidR="00F42A40" w:rsidRPr="00A65D1F" w:rsidRDefault="00F42A40" w:rsidP="00A65D1F">
            <w:pPr>
              <w:jc w:val="right"/>
              <w:rPr>
                <w:rFonts w:eastAsia="Times New Roman" w:cs="Calibri"/>
                <w:color w:val="000000"/>
                <w:sz w:val="20"/>
                <w:szCs w:val="20"/>
                <w:lang w:eastAsia="en-AU"/>
              </w:rPr>
            </w:pPr>
          </w:p>
        </w:tc>
        <w:tc>
          <w:tcPr>
            <w:tcW w:w="0" w:type="auto"/>
            <w:tcBorders>
              <w:top w:val="nil"/>
              <w:left w:val="nil"/>
              <w:bottom w:val="single" w:sz="4" w:space="0" w:color="BFBFBF"/>
              <w:right w:val="single" w:sz="4" w:space="0" w:color="BFBFBF"/>
            </w:tcBorders>
            <w:shd w:val="clear" w:color="auto" w:fill="auto"/>
            <w:noWrap/>
            <w:hideMark/>
          </w:tcPr>
          <w:p w14:paraId="4CEE3513" w14:textId="77777777" w:rsidR="00F42A40" w:rsidRPr="00A65D1F" w:rsidRDefault="00F42A40" w:rsidP="00A65D1F">
            <w:pPr>
              <w:jc w:val="center"/>
              <w:rPr>
                <w:rFonts w:eastAsia="Times New Roman" w:cs="Calibri"/>
                <w:color w:val="000000"/>
                <w:sz w:val="20"/>
                <w:szCs w:val="20"/>
                <w:lang w:eastAsia="en-AU"/>
              </w:rPr>
            </w:pPr>
            <w:r w:rsidRPr="00A65D1F">
              <w:rPr>
                <w:rFonts w:eastAsia="Times New Roman" w:cs="Calibri"/>
                <w:color w:val="000000"/>
                <w:sz w:val="20"/>
                <w:szCs w:val="20"/>
                <w:lang w:eastAsia="en-AU"/>
              </w:rPr>
              <w:t>n/a</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6976E9A0"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11ED8328"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5FCD5BD0"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4869" w:type="dxa"/>
            <w:vMerge/>
            <w:tcBorders>
              <w:top w:val="single" w:sz="4" w:space="0" w:color="808080"/>
              <w:left w:val="single" w:sz="4" w:space="0" w:color="BFBFBF"/>
              <w:bottom w:val="single" w:sz="4" w:space="0" w:color="BFBFBF"/>
              <w:right w:val="single" w:sz="4" w:space="0" w:color="BFBFBF"/>
            </w:tcBorders>
            <w:vAlign w:val="center"/>
            <w:hideMark/>
          </w:tcPr>
          <w:p w14:paraId="644822F0" w14:textId="77777777" w:rsidR="00F42A40" w:rsidRPr="00A65D1F" w:rsidRDefault="00F42A40" w:rsidP="00A65D1F">
            <w:pPr>
              <w:rPr>
                <w:rFonts w:eastAsia="Times New Roman" w:cs="Calibri"/>
                <w:sz w:val="20"/>
                <w:szCs w:val="20"/>
                <w:lang w:eastAsia="en-AU"/>
              </w:rPr>
            </w:pPr>
          </w:p>
        </w:tc>
      </w:tr>
      <w:tr w:rsidR="00F42A40" w:rsidRPr="00A65D1F" w14:paraId="7641BB31" w14:textId="77777777" w:rsidTr="00F42A40">
        <w:trPr>
          <w:trHeight w:val="270"/>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16B1DB89"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 xml:space="preserve">Persistent organic pollutants thermal destruction facility </w:t>
            </w:r>
          </w:p>
        </w:tc>
        <w:tc>
          <w:tcPr>
            <w:tcW w:w="0" w:type="auto"/>
            <w:tcBorders>
              <w:top w:val="nil"/>
              <w:left w:val="nil"/>
              <w:bottom w:val="single" w:sz="4" w:space="0" w:color="BFBFBF"/>
              <w:right w:val="single" w:sz="4" w:space="0" w:color="BFBFBF"/>
            </w:tcBorders>
            <w:shd w:val="clear" w:color="000000" w:fill="FFFFFF"/>
            <w:noWrap/>
            <w:hideMark/>
          </w:tcPr>
          <w:p w14:paraId="403FE0F3"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8</w:t>
            </w:r>
          </w:p>
        </w:tc>
        <w:tc>
          <w:tcPr>
            <w:tcW w:w="0" w:type="auto"/>
            <w:gridSpan w:val="2"/>
            <w:vMerge/>
            <w:tcBorders>
              <w:left w:val="nil"/>
              <w:right w:val="single" w:sz="4" w:space="0" w:color="BFBFBF"/>
            </w:tcBorders>
            <w:shd w:val="clear" w:color="auto" w:fill="auto"/>
            <w:noWrap/>
          </w:tcPr>
          <w:p w14:paraId="05933037" w14:textId="3CE70CF7" w:rsidR="00F42A40" w:rsidRPr="00A65D1F" w:rsidRDefault="00F42A40" w:rsidP="00A65D1F">
            <w:pPr>
              <w:jc w:val="right"/>
              <w:rPr>
                <w:rFonts w:eastAsia="Times New Roman" w:cs="Calibri"/>
                <w:color w:val="000000"/>
                <w:sz w:val="20"/>
                <w:szCs w:val="20"/>
                <w:lang w:eastAsia="en-AU"/>
              </w:rPr>
            </w:pPr>
          </w:p>
        </w:tc>
        <w:tc>
          <w:tcPr>
            <w:tcW w:w="0" w:type="auto"/>
            <w:tcBorders>
              <w:top w:val="nil"/>
              <w:left w:val="nil"/>
              <w:bottom w:val="single" w:sz="4" w:space="0" w:color="BFBFBF"/>
              <w:right w:val="single" w:sz="4" w:space="0" w:color="BFBFBF"/>
            </w:tcBorders>
            <w:shd w:val="clear" w:color="auto" w:fill="auto"/>
            <w:noWrap/>
            <w:hideMark/>
          </w:tcPr>
          <w:p w14:paraId="7AAD5444" w14:textId="77777777" w:rsidR="00F42A40" w:rsidRPr="00A65D1F" w:rsidRDefault="00F42A40" w:rsidP="00A65D1F">
            <w:pPr>
              <w:jc w:val="center"/>
              <w:rPr>
                <w:rFonts w:eastAsia="Times New Roman" w:cs="Calibri"/>
                <w:color w:val="000000"/>
                <w:sz w:val="20"/>
                <w:szCs w:val="20"/>
                <w:lang w:eastAsia="en-AU"/>
              </w:rPr>
            </w:pPr>
            <w:r w:rsidRPr="00A65D1F">
              <w:rPr>
                <w:rFonts w:eastAsia="Times New Roman" w:cs="Calibri"/>
                <w:color w:val="000000"/>
                <w:sz w:val="20"/>
                <w:szCs w:val="20"/>
                <w:lang w:eastAsia="en-AU"/>
              </w:rPr>
              <w:t>n/a</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6686ADEF"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57CBA621"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3AB126F1"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4869" w:type="dxa"/>
            <w:vMerge/>
            <w:tcBorders>
              <w:top w:val="single" w:sz="4" w:space="0" w:color="808080"/>
              <w:left w:val="single" w:sz="4" w:space="0" w:color="BFBFBF"/>
              <w:bottom w:val="single" w:sz="4" w:space="0" w:color="BFBFBF"/>
              <w:right w:val="single" w:sz="4" w:space="0" w:color="BFBFBF"/>
            </w:tcBorders>
            <w:vAlign w:val="center"/>
            <w:hideMark/>
          </w:tcPr>
          <w:p w14:paraId="392FB50E" w14:textId="77777777" w:rsidR="00F42A40" w:rsidRPr="00A65D1F" w:rsidRDefault="00F42A40" w:rsidP="00A65D1F">
            <w:pPr>
              <w:rPr>
                <w:rFonts w:eastAsia="Times New Roman" w:cs="Calibri"/>
                <w:sz w:val="20"/>
                <w:szCs w:val="20"/>
                <w:lang w:eastAsia="en-AU"/>
              </w:rPr>
            </w:pPr>
          </w:p>
        </w:tc>
      </w:tr>
      <w:tr w:rsidR="00F42A40" w:rsidRPr="00A65D1F" w14:paraId="2C5AA9DF" w14:textId="77777777" w:rsidTr="00F42A40">
        <w:trPr>
          <w:trHeight w:val="270"/>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52B73039"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Clinical waste facility thermal destruction</w:t>
            </w:r>
          </w:p>
        </w:tc>
        <w:tc>
          <w:tcPr>
            <w:tcW w:w="0" w:type="auto"/>
            <w:tcBorders>
              <w:top w:val="nil"/>
              <w:left w:val="nil"/>
              <w:bottom w:val="single" w:sz="4" w:space="0" w:color="BFBFBF"/>
              <w:right w:val="single" w:sz="4" w:space="0" w:color="BFBFBF"/>
            </w:tcBorders>
            <w:shd w:val="clear" w:color="000000" w:fill="FFFFFF"/>
            <w:noWrap/>
            <w:hideMark/>
          </w:tcPr>
          <w:p w14:paraId="58C1EA6D"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78</w:t>
            </w:r>
          </w:p>
        </w:tc>
        <w:tc>
          <w:tcPr>
            <w:tcW w:w="0" w:type="auto"/>
            <w:gridSpan w:val="2"/>
            <w:vMerge/>
            <w:tcBorders>
              <w:left w:val="nil"/>
              <w:bottom w:val="single" w:sz="4" w:space="0" w:color="BFBFBF"/>
              <w:right w:val="single" w:sz="4" w:space="0" w:color="BFBFBF"/>
            </w:tcBorders>
            <w:shd w:val="clear" w:color="auto" w:fill="auto"/>
            <w:noWrap/>
          </w:tcPr>
          <w:p w14:paraId="38B492DF" w14:textId="13F293D4" w:rsidR="00F42A40" w:rsidRPr="00A65D1F" w:rsidRDefault="00F42A40" w:rsidP="00A65D1F">
            <w:pPr>
              <w:jc w:val="right"/>
              <w:rPr>
                <w:rFonts w:eastAsia="Times New Roman" w:cs="Calibri"/>
                <w:color w:val="000000"/>
                <w:sz w:val="20"/>
                <w:szCs w:val="20"/>
                <w:lang w:eastAsia="en-AU"/>
              </w:rPr>
            </w:pPr>
          </w:p>
        </w:tc>
        <w:tc>
          <w:tcPr>
            <w:tcW w:w="0" w:type="auto"/>
            <w:tcBorders>
              <w:top w:val="nil"/>
              <w:left w:val="nil"/>
              <w:bottom w:val="single" w:sz="4" w:space="0" w:color="BFBFBF"/>
              <w:right w:val="single" w:sz="4" w:space="0" w:color="BFBFBF"/>
            </w:tcBorders>
            <w:shd w:val="clear" w:color="auto" w:fill="auto"/>
            <w:noWrap/>
            <w:hideMark/>
          </w:tcPr>
          <w:p w14:paraId="02733D8C" w14:textId="77777777" w:rsidR="00F42A40" w:rsidRPr="00A65D1F" w:rsidRDefault="00F42A40" w:rsidP="00A65D1F">
            <w:pPr>
              <w:jc w:val="center"/>
              <w:rPr>
                <w:rFonts w:eastAsia="Times New Roman" w:cs="Calibri"/>
                <w:color w:val="000000"/>
                <w:sz w:val="20"/>
                <w:szCs w:val="20"/>
                <w:lang w:eastAsia="en-AU"/>
              </w:rPr>
            </w:pPr>
            <w:r w:rsidRPr="00A65D1F">
              <w:rPr>
                <w:rFonts w:eastAsia="Times New Roman" w:cs="Calibri"/>
                <w:color w:val="000000"/>
                <w:sz w:val="20"/>
                <w:szCs w:val="20"/>
                <w:lang w:eastAsia="en-AU"/>
              </w:rPr>
              <w:t>n/a</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1A0CD0BE"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78B0DB4B"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33D9CE06"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4869" w:type="dxa"/>
            <w:vMerge/>
            <w:tcBorders>
              <w:top w:val="single" w:sz="4" w:space="0" w:color="808080"/>
              <w:left w:val="single" w:sz="4" w:space="0" w:color="BFBFBF"/>
              <w:bottom w:val="single" w:sz="4" w:space="0" w:color="BFBFBF"/>
              <w:right w:val="single" w:sz="4" w:space="0" w:color="BFBFBF"/>
            </w:tcBorders>
            <w:vAlign w:val="center"/>
            <w:hideMark/>
          </w:tcPr>
          <w:p w14:paraId="45C186BC" w14:textId="77777777" w:rsidR="00F42A40" w:rsidRPr="00A65D1F" w:rsidRDefault="00F42A40" w:rsidP="00A65D1F">
            <w:pPr>
              <w:rPr>
                <w:rFonts w:eastAsia="Times New Roman" w:cs="Calibri"/>
                <w:sz w:val="20"/>
                <w:szCs w:val="20"/>
                <w:lang w:eastAsia="en-AU"/>
              </w:rPr>
            </w:pPr>
          </w:p>
        </w:tc>
      </w:tr>
      <w:tr w:rsidR="00FD3200" w:rsidRPr="00A65D1F" w14:paraId="26278418" w14:textId="77777777" w:rsidTr="009D734D">
        <w:trPr>
          <w:trHeight w:val="270"/>
        </w:trPr>
        <w:tc>
          <w:tcPr>
            <w:tcW w:w="2830" w:type="dxa"/>
            <w:tcBorders>
              <w:top w:val="nil"/>
              <w:left w:val="single" w:sz="4" w:space="0" w:color="BFBFBF"/>
              <w:bottom w:val="single" w:sz="4" w:space="0" w:color="BFBFBF"/>
              <w:right w:val="nil"/>
            </w:tcBorders>
            <w:shd w:val="clear" w:color="000000" w:fill="C5D9F1"/>
            <w:noWrap/>
            <w:vAlign w:val="bottom"/>
            <w:hideMark/>
          </w:tcPr>
          <w:p w14:paraId="2D33A61B" w14:textId="77777777" w:rsidR="00A65D1F" w:rsidRPr="00A65D1F" w:rsidRDefault="00A65D1F" w:rsidP="00A65D1F">
            <w:pPr>
              <w:jc w:val="right"/>
              <w:rPr>
                <w:rFonts w:eastAsia="Times New Roman" w:cs="Calibri"/>
                <w:b/>
                <w:bCs/>
                <w:color w:val="000000"/>
                <w:sz w:val="20"/>
                <w:szCs w:val="20"/>
                <w:lang w:eastAsia="en-AU"/>
              </w:rPr>
            </w:pPr>
            <w:r w:rsidRPr="00A65D1F">
              <w:rPr>
                <w:rFonts w:eastAsia="Times New Roman" w:cs="Calibri"/>
                <w:b/>
                <w:bCs/>
                <w:color w:val="000000"/>
                <w:sz w:val="20"/>
                <w:szCs w:val="20"/>
                <w:lang w:eastAsia="en-AU"/>
              </w:rPr>
              <w:t>Short-term storage or transfer</w:t>
            </w:r>
          </w:p>
        </w:tc>
        <w:tc>
          <w:tcPr>
            <w:tcW w:w="0" w:type="auto"/>
            <w:tcBorders>
              <w:top w:val="nil"/>
              <w:left w:val="nil"/>
              <w:bottom w:val="single" w:sz="4" w:space="0" w:color="BFBFBF"/>
              <w:right w:val="nil"/>
            </w:tcBorders>
            <w:shd w:val="clear" w:color="000000" w:fill="C5D9F1"/>
            <w:noWrap/>
            <w:vAlign w:val="bottom"/>
            <w:hideMark/>
          </w:tcPr>
          <w:p w14:paraId="31782856"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0" w:type="auto"/>
            <w:tcBorders>
              <w:top w:val="nil"/>
              <w:left w:val="nil"/>
              <w:bottom w:val="single" w:sz="4" w:space="0" w:color="BFBFBF"/>
              <w:right w:val="nil"/>
            </w:tcBorders>
            <w:shd w:val="clear" w:color="000000" w:fill="C5D9F1"/>
            <w:noWrap/>
            <w:vAlign w:val="bottom"/>
          </w:tcPr>
          <w:p w14:paraId="69B02C81" w14:textId="3CEF83D5" w:rsidR="00A65D1F" w:rsidRPr="00A65D1F" w:rsidRDefault="00A65D1F" w:rsidP="00A65D1F">
            <w:pPr>
              <w:rPr>
                <w:rFonts w:eastAsia="Times New Roman" w:cs="Calibri"/>
                <w:b/>
                <w:bCs/>
                <w:color w:val="000000"/>
                <w:sz w:val="20"/>
                <w:szCs w:val="20"/>
                <w:lang w:eastAsia="en-AU"/>
              </w:rPr>
            </w:pPr>
          </w:p>
        </w:tc>
        <w:tc>
          <w:tcPr>
            <w:tcW w:w="0" w:type="auto"/>
            <w:tcBorders>
              <w:top w:val="nil"/>
              <w:left w:val="nil"/>
              <w:bottom w:val="single" w:sz="4" w:space="0" w:color="BFBFBF"/>
              <w:right w:val="nil"/>
            </w:tcBorders>
            <w:shd w:val="clear" w:color="000000" w:fill="C5D9F1"/>
            <w:noWrap/>
            <w:vAlign w:val="bottom"/>
          </w:tcPr>
          <w:p w14:paraId="26A832B9" w14:textId="4BA14B0F" w:rsidR="00A65D1F" w:rsidRPr="00A65D1F" w:rsidRDefault="00A65D1F" w:rsidP="00A65D1F">
            <w:pPr>
              <w:rPr>
                <w:rFonts w:eastAsia="Times New Roman" w:cs="Calibri"/>
                <w:b/>
                <w:bCs/>
                <w:color w:val="000000"/>
                <w:sz w:val="20"/>
                <w:szCs w:val="20"/>
                <w:lang w:eastAsia="en-AU"/>
              </w:rPr>
            </w:pPr>
          </w:p>
        </w:tc>
        <w:tc>
          <w:tcPr>
            <w:tcW w:w="0" w:type="auto"/>
            <w:tcBorders>
              <w:top w:val="nil"/>
              <w:left w:val="nil"/>
              <w:bottom w:val="single" w:sz="4" w:space="0" w:color="BFBFBF"/>
              <w:right w:val="nil"/>
            </w:tcBorders>
            <w:shd w:val="clear" w:color="000000" w:fill="C5D9F1"/>
            <w:noWrap/>
            <w:vAlign w:val="bottom"/>
            <w:hideMark/>
          </w:tcPr>
          <w:p w14:paraId="1DAE9F3A"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0" w:type="auto"/>
            <w:tcBorders>
              <w:top w:val="nil"/>
              <w:left w:val="nil"/>
              <w:bottom w:val="single" w:sz="4" w:space="0" w:color="BFBFBF"/>
              <w:right w:val="nil"/>
            </w:tcBorders>
            <w:shd w:val="clear" w:color="000000" w:fill="C5D9F1"/>
            <w:noWrap/>
            <w:vAlign w:val="bottom"/>
            <w:hideMark/>
          </w:tcPr>
          <w:p w14:paraId="4F1F3A81"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0" w:type="auto"/>
            <w:tcBorders>
              <w:top w:val="nil"/>
              <w:left w:val="nil"/>
              <w:bottom w:val="single" w:sz="4" w:space="0" w:color="BFBFBF"/>
              <w:right w:val="nil"/>
            </w:tcBorders>
            <w:shd w:val="clear" w:color="000000" w:fill="C5D9F1"/>
            <w:noWrap/>
            <w:vAlign w:val="bottom"/>
            <w:hideMark/>
          </w:tcPr>
          <w:p w14:paraId="7C1436CF"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0" w:type="auto"/>
            <w:tcBorders>
              <w:top w:val="nil"/>
              <w:left w:val="nil"/>
              <w:bottom w:val="single" w:sz="4" w:space="0" w:color="BFBFBF"/>
              <w:right w:val="single" w:sz="4" w:space="0" w:color="BFBFBF"/>
            </w:tcBorders>
            <w:shd w:val="clear" w:color="000000" w:fill="C5D9F1"/>
            <w:noWrap/>
            <w:vAlign w:val="bottom"/>
            <w:hideMark/>
          </w:tcPr>
          <w:p w14:paraId="2E879C23"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4869" w:type="dxa"/>
            <w:vMerge/>
            <w:tcBorders>
              <w:top w:val="single" w:sz="4" w:space="0" w:color="808080"/>
              <w:left w:val="single" w:sz="4" w:space="0" w:color="BFBFBF"/>
              <w:bottom w:val="single" w:sz="4" w:space="0" w:color="BFBFBF"/>
              <w:right w:val="single" w:sz="4" w:space="0" w:color="BFBFBF"/>
            </w:tcBorders>
            <w:vAlign w:val="center"/>
            <w:hideMark/>
          </w:tcPr>
          <w:p w14:paraId="237DA4C9" w14:textId="77777777" w:rsidR="00A65D1F" w:rsidRPr="00A65D1F" w:rsidRDefault="00A65D1F" w:rsidP="00A65D1F">
            <w:pPr>
              <w:rPr>
                <w:rFonts w:eastAsia="Times New Roman" w:cs="Calibri"/>
                <w:sz w:val="20"/>
                <w:szCs w:val="20"/>
                <w:lang w:eastAsia="en-AU"/>
              </w:rPr>
            </w:pPr>
          </w:p>
        </w:tc>
      </w:tr>
      <w:tr w:rsidR="00F42A40" w:rsidRPr="00A65D1F" w14:paraId="04CDF783" w14:textId="77777777" w:rsidTr="009D734D">
        <w:trPr>
          <w:trHeight w:val="270"/>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550354B9"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Transfer facility</w:t>
            </w:r>
          </w:p>
        </w:tc>
        <w:tc>
          <w:tcPr>
            <w:tcW w:w="0" w:type="auto"/>
            <w:tcBorders>
              <w:top w:val="nil"/>
              <w:left w:val="nil"/>
              <w:bottom w:val="single" w:sz="4" w:space="0" w:color="BFBFBF"/>
              <w:right w:val="single" w:sz="4" w:space="0" w:color="BFBFBF"/>
            </w:tcBorders>
            <w:shd w:val="clear" w:color="000000" w:fill="FFFFFF"/>
            <w:noWrap/>
            <w:hideMark/>
          </w:tcPr>
          <w:p w14:paraId="7BD62C66" w14:textId="3D1AA7A4"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2,2</w:t>
            </w:r>
            <w:r>
              <w:rPr>
                <w:rFonts w:eastAsia="Times New Roman" w:cs="Calibri"/>
                <w:color w:val="000000"/>
                <w:sz w:val="20"/>
                <w:szCs w:val="20"/>
                <w:lang w:eastAsia="en-AU"/>
              </w:rPr>
              <w:t>20</w:t>
            </w:r>
          </w:p>
        </w:tc>
        <w:tc>
          <w:tcPr>
            <w:tcW w:w="0" w:type="auto"/>
            <w:gridSpan w:val="2"/>
            <w:tcBorders>
              <w:top w:val="nil"/>
              <w:left w:val="nil"/>
              <w:bottom w:val="single" w:sz="4" w:space="0" w:color="BFBFBF"/>
              <w:right w:val="single" w:sz="4" w:space="0" w:color="BFBFBF"/>
            </w:tcBorders>
            <w:shd w:val="clear" w:color="auto" w:fill="auto"/>
            <w:noWrap/>
            <w:vAlign w:val="center"/>
          </w:tcPr>
          <w:p w14:paraId="52486435" w14:textId="196693E2" w:rsidR="00F42A40" w:rsidRPr="00A65D1F" w:rsidRDefault="00F42A40" w:rsidP="009D734D">
            <w:pPr>
              <w:jc w:val="center"/>
              <w:rPr>
                <w:rFonts w:eastAsia="Times New Roman" w:cs="Calibri"/>
                <w:color w:val="000000"/>
                <w:sz w:val="20"/>
                <w:szCs w:val="20"/>
                <w:lang w:eastAsia="en-AU"/>
              </w:rPr>
            </w:pPr>
            <w:r w:rsidRPr="009D734D">
              <w:rPr>
                <w:rFonts w:eastAsia="Times New Roman" w:cs="Calibri"/>
                <w:color w:val="000000"/>
                <w:sz w:val="20"/>
                <w:szCs w:val="20"/>
                <w:highlight w:val="red"/>
                <w:lang w:eastAsia="en-AU"/>
              </w:rPr>
              <w:t>CIC</w:t>
            </w:r>
          </w:p>
        </w:tc>
        <w:tc>
          <w:tcPr>
            <w:tcW w:w="0" w:type="auto"/>
            <w:tcBorders>
              <w:top w:val="nil"/>
              <w:left w:val="nil"/>
              <w:bottom w:val="single" w:sz="4" w:space="0" w:color="BFBFBF"/>
              <w:right w:val="single" w:sz="4" w:space="0" w:color="BFBFBF"/>
            </w:tcBorders>
            <w:shd w:val="clear" w:color="auto" w:fill="auto"/>
            <w:noWrap/>
            <w:hideMark/>
          </w:tcPr>
          <w:p w14:paraId="3E39387E" w14:textId="77777777" w:rsidR="00F42A40" w:rsidRPr="00A65D1F" w:rsidRDefault="00F42A40" w:rsidP="00A65D1F">
            <w:pPr>
              <w:jc w:val="center"/>
              <w:rPr>
                <w:rFonts w:eastAsia="Times New Roman" w:cs="Calibri"/>
                <w:color w:val="000000"/>
                <w:sz w:val="20"/>
                <w:szCs w:val="20"/>
                <w:lang w:eastAsia="en-AU"/>
              </w:rPr>
            </w:pPr>
            <w:r w:rsidRPr="00A65D1F">
              <w:rPr>
                <w:rFonts w:eastAsia="Times New Roman" w:cs="Calibri"/>
                <w:color w:val="000000"/>
                <w:sz w:val="20"/>
                <w:szCs w:val="20"/>
                <w:lang w:eastAsia="en-AU"/>
              </w:rPr>
              <w:t>Good</w:t>
            </w:r>
          </w:p>
        </w:tc>
        <w:tc>
          <w:tcPr>
            <w:tcW w:w="0" w:type="auto"/>
            <w:tcBorders>
              <w:top w:val="nil"/>
              <w:left w:val="nil"/>
              <w:bottom w:val="single" w:sz="4" w:space="0" w:color="BFBFBF"/>
              <w:right w:val="single" w:sz="4" w:space="0" w:color="BFBFBF"/>
            </w:tcBorders>
            <w:shd w:val="clear" w:color="000000" w:fill="FFFFFF"/>
            <w:noWrap/>
            <w:hideMark/>
          </w:tcPr>
          <w:p w14:paraId="3439218D" w14:textId="77777777" w:rsidR="00F42A40" w:rsidRPr="00A65D1F" w:rsidRDefault="00F42A40" w:rsidP="00A65D1F">
            <w:pPr>
              <w:jc w:val="center"/>
              <w:rPr>
                <w:rFonts w:eastAsia="Times New Roman" w:cs="Calibri"/>
                <w:color w:val="000000"/>
                <w:sz w:val="20"/>
                <w:szCs w:val="20"/>
                <w:lang w:eastAsia="en-AU"/>
              </w:rPr>
            </w:pPr>
            <w:r w:rsidRPr="00A65D1F">
              <w:rPr>
                <w:rFonts w:eastAsia="Times New Roman" w:cs="Calibri"/>
                <w:color w:val="000000"/>
                <w:sz w:val="20"/>
                <w:szCs w:val="20"/>
                <w:lang w:eastAsia="en-AU"/>
              </w:rPr>
              <w:t>&gt;2037</w:t>
            </w:r>
          </w:p>
        </w:tc>
        <w:tc>
          <w:tcPr>
            <w:tcW w:w="0" w:type="auto"/>
            <w:tcBorders>
              <w:top w:val="nil"/>
              <w:left w:val="nil"/>
              <w:bottom w:val="single" w:sz="4" w:space="0" w:color="BFBFBF"/>
              <w:right w:val="single" w:sz="4" w:space="0" w:color="BFBFBF"/>
            </w:tcBorders>
            <w:shd w:val="clear" w:color="000000" w:fill="FFFFFF"/>
            <w:noWrap/>
            <w:hideMark/>
          </w:tcPr>
          <w:p w14:paraId="0EC8E7A8" w14:textId="77777777" w:rsidR="00F42A40" w:rsidRPr="00A65D1F" w:rsidRDefault="00F42A40" w:rsidP="00A65D1F">
            <w:pPr>
              <w:jc w:val="center"/>
              <w:rPr>
                <w:rFonts w:eastAsia="Times New Roman" w:cs="Calibri"/>
                <w:color w:val="000000"/>
                <w:sz w:val="20"/>
                <w:szCs w:val="20"/>
                <w:lang w:eastAsia="en-AU"/>
              </w:rPr>
            </w:pPr>
            <w:r w:rsidRPr="00A65D1F">
              <w:rPr>
                <w:rFonts w:eastAsia="Times New Roman" w:cs="Calibri"/>
                <w:color w:val="000000"/>
                <w:sz w:val="20"/>
                <w:szCs w:val="20"/>
                <w:lang w:eastAsia="en-AU"/>
              </w:rPr>
              <w:t>2032</w:t>
            </w:r>
          </w:p>
        </w:tc>
        <w:tc>
          <w:tcPr>
            <w:tcW w:w="0" w:type="auto"/>
            <w:tcBorders>
              <w:top w:val="nil"/>
              <w:left w:val="nil"/>
              <w:bottom w:val="single" w:sz="4" w:space="0" w:color="BFBFBF"/>
              <w:right w:val="single" w:sz="4" w:space="0" w:color="BFBFBF"/>
            </w:tcBorders>
            <w:shd w:val="clear" w:color="000000" w:fill="FFFFFF"/>
            <w:noWrap/>
            <w:hideMark/>
          </w:tcPr>
          <w:p w14:paraId="4C6BCBCE" w14:textId="77777777" w:rsidR="00F42A40" w:rsidRPr="00A65D1F" w:rsidRDefault="00F42A40" w:rsidP="00A65D1F">
            <w:pPr>
              <w:jc w:val="center"/>
              <w:rPr>
                <w:rFonts w:eastAsia="Times New Roman" w:cs="Calibri"/>
                <w:color w:val="000000"/>
                <w:sz w:val="20"/>
                <w:szCs w:val="20"/>
                <w:lang w:eastAsia="en-AU"/>
              </w:rPr>
            </w:pPr>
            <w:r w:rsidRPr="00A65D1F">
              <w:rPr>
                <w:rFonts w:eastAsia="Times New Roman" w:cs="Calibri"/>
                <w:color w:val="000000"/>
                <w:sz w:val="20"/>
                <w:szCs w:val="20"/>
                <w:lang w:eastAsia="en-AU"/>
              </w:rPr>
              <w:t>&gt;2037</w:t>
            </w:r>
          </w:p>
        </w:tc>
        <w:tc>
          <w:tcPr>
            <w:tcW w:w="4869" w:type="dxa"/>
            <w:vMerge/>
            <w:tcBorders>
              <w:top w:val="single" w:sz="4" w:space="0" w:color="808080"/>
              <w:left w:val="single" w:sz="4" w:space="0" w:color="BFBFBF"/>
              <w:bottom w:val="single" w:sz="4" w:space="0" w:color="BFBFBF"/>
              <w:right w:val="single" w:sz="4" w:space="0" w:color="BFBFBF"/>
            </w:tcBorders>
            <w:vAlign w:val="center"/>
            <w:hideMark/>
          </w:tcPr>
          <w:p w14:paraId="5E768B61" w14:textId="77777777" w:rsidR="00F42A40" w:rsidRPr="00A65D1F" w:rsidRDefault="00F42A40" w:rsidP="00A65D1F">
            <w:pPr>
              <w:rPr>
                <w:rFonts w:eastAsia="Times New Roman" w:cs="Calibri"/>
                <w:sz w:val="20"/>
                <w:szCs w:val="20"/>
                <w:lang w:eastAsia="en-AU"/>
              </w:rPr>
            </w:pPr>
          </w:p>
        </w:tc>
      </w:tr>
      <w:tr w:rsidR="00FD3200" w:rsidRPr="00A65D1F" w14:paraId="679BF516" w14:textId="77777777" w:rsidTr="00FD3200">
        <w:trPr>
          <w:trHeight w:val="270"/>
        </w:trPr>
        <w:tc>
          <w:tcPr>
            <w:tcW w:w="2830" w:type="dxa"/>
            <w:tcBorders>
              <w:top w:val="nil"/>
              <w:left w:val="single" w:sz="4" w:space="0" w:color="BFBFBF"/>
              <w:bottom w:val="single" w:sz="4" w:space="0" w:color="BFBFBF"/>
              <w:right w:val="nil"/>
            </w:tcBorders>
            <w:shd w:val="clear" w:color="000000" w:fill="C5D9F1"/>
            <w:noWrap/>
            <w:vAlign w:val="bottom"/>
            <w:hideMark/>
          </w:tcPr>
          <w:p w14:paraId="6C9D05F3" w14:textId="77777777" w:rsidR="00A65D1F" w:rsidRPr="00A65D1F" w:rsidRDefault="00A65D1F" w:rsidP="00A65D1F">
            <w:pPr>
              <w:jc w:val="right"/>
              <w:rPr>
                <w:rFonts w:eastAsia="Times New Roman" w:cs="Calibri"/>
                <w:b/>
                <w:bCs/>
                <w:color w:val="000000"/>
                <w:sz w:val="20"/>
                <w:szCs w:val="20"/>
                <w:lang w:eastAsia="en-AU"/>
              </w:rPr>
            </w:pPr>
            <w:r w:rsidRPr="00A65D1F">
              <w:rPr>
                <w:rFonts w:eastAsia="Times New Roman" w:cs="Calibri"/>
                <w:b/>
                <w:bCs/>
                <w:color w:val="000000"/>
                <w:sz w:val="20"/>
                <w:szCs w:val="20"/>
                <w:lang w:eastAsia="en-AU"/>
              </w:rPr>
              <w:t>Long-term storage</w:t>
            </w:r>
          </w:p>
        </w:tc>
        <w:tc>
          <w:tcPr>
            <w:tcW w:w="0" w:type="auto"/>
            <w:tcBorders>
              <w:top w:val="nil"/>
              <w:left w:val="nil"/>
              <w:bottom w:val="single" w:sz="4" w:space="0" w:color="BFBFBF"/>
              <w:right w:val="nil"/>
            </w:tcBorders>
            <w:shd w:val="clear" w:color="000000" w:fill="C5D9F1"/>
            <w:noWrap/>
            <w:vAlign w:val="bottom"/>
            <w:hideMark/>
          </w:tcPr>
          <w:p w14:paraId="5EFA1F4E"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0" w:type="auto"/>
            <w:tcBorders>
              <w:top w:val="nil"/>
              <w:left w:val="nil"/>
              <w:bottom w:val="single" w:sz="4" w:space="0" w:color="BFBFBF"/>
              <w:right w:val="nil"/>
            </w:tcBorders>
            <w:shd w:val="clear" w:color="000000" w:fill="C5D9F1"/>
            <w:noWrap/>
            <w:vAlign w:val="bottom"/>
            <w:hideMark/>
          </w:tcPr>
          <w:p w14:paraId="3C8FE00F"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0" w:type="auto"/>
            <w:tcBorders>
              <w:top w:val="nil"/>
              <w:left w:val="nil"/>
              <w:bottom w:val="single" w:sz="4" w:space="0" w:color="BFBFBF"/>
              <w:right w:val="nil"/>
            </w:tcBorders>
            <w:shd w:val="clear" w:color="000000" w:fill="C5D9F1"/>
            <w:noWrap/>
            <w:vAlign w:val="bottom"/>
            <w:hideMark/>
          </w:tcPr>
          <w:p w14:paraId="7693686D"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0" w:type="auto"/>
            <w:tcBorders>
              <w:top w:val="nil"/>
              <w:left w:val="nil"/>
              <w:bottom w:val="single" w:sz="4" w:space="0" w:color="BFBFBF"/>
              <w:right w:val="nil"/>
            </w:tcBorders>
            <w:shd w:val="clear" w:color="000000" w:fill="C5D9F1"/>
            <w:noWrap/>
            <w:vAlign w:val="bottom"/>
            <w:hideMark/>
          </w:tcPr>
          <w:p w14:paraId="101A1AA8"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0" w:type="auto"/>
            <w:tcBorders>
              <w:top w:val="nil"/>
              <w:left w:val="nil"/>
              <w:bottom w:val="single" w:sz="4" w:space="0" w:color="BFBFBF"/>
              <w:right w:val="nil"/>
            </w:tcBorders>
            <w:shd w:val="clear" w:color="000000" w:fill="C5D9F1"/>
            <w:noWrap/>
            <w:vAlign w:val="bottom"/>
            <w:hideMark/>
          </w:tcPr>
          <w:p w14:paraId="547D58A6"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0" w:type="auto"/>
            <w:tcBorders>
              <w:top w:val="nil"/>
              <w:left w:val="nil"/>
              <w:bottom w:val="single" w:sz="4" w:space="0" w:color="BFBFBF"/>
              <w:right w:val="nil"/>
            </w:tcBorders>
            <w:shd w:val="clear" w:color="000000" w:fill="C5D9F1"/>
            <w:noWrap/>
            <w:vAlign w:val="bottom"/>
            <w:hideMark/>
          </w:tcPr>
          <w:p w14:paraId="67BECC4B"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0" w:type="auto"/>
            <w:tcBorders>
              <w:top w:val="nil"/>
              <w:left w:val="nil"/>
              <w:bottom w:val="single" w:sz="4" w:space="0" w:color="BFBFBF"/>
              <w:right w:val="single" w:sz="4" w:space="0" w:color="BFBFBF"/>
            </w:tcBorders>
            <w:shd w:val="clear" w:color="000000" w:fill="C5D9F1"/>
            <w:noWrap/>
            <w:vAlign w:val="bottom"/>
            <w:hideMark/>
          </w:tcPr>
          <w:p w14:paraId="1DB039FB" w14:textId="77777777" w:rsidR="00A65D1F" w:rsidRPr="00A65D1F" w:rsidRDefault="00A65D1F" w:rsidP="00A65D1F">
            <w:pPr>
              <w:rPr>
                <w:rFonts w:eastAsia="Times New Roman" w:cs="Calibri"/>
                <w:b/>
                <w:bCs/>
                <w:color w:val="000000"/>
                <w:sz w:val="20"/>
                <w:szCs w:val="20"/>
                <w:lang w:eastAsia="en-AU"/>
              </w:rPr>
            </w:pPr>
            <w:r w:rsidRPr="00A65D1F">
              <w:rPr>
                <w:rFonts w:eastAsia="Times New Roman" w:cs="Calibri"/>
                <w:b/>
                <w:bCs/>
                <w:color w:val="000000"/>
                <w:sz w:val="20"/>
                <w:szCs w:val="20"/>
                <w:lang w:eastAsia="en-AU"/>
              </w:rPr>
              <w:t> </w:t>
            </w:r>
          </w:p>
        </w:tc>
        <w:tc>
          <w:tcPr>
            <w:tcW w:w="4869" w:type="dxa"/>
            <w:vMerge/>
            <w:tcBorders>
              <w:top w:val="single" w:sz="4" w:space="0" w:color="808080"/>
              <w:left w:val="single" w:sz="4" w:space="0" w:color="BFBFBF"/>
              <w:bottom w:val="single" w:sz="4" w:space="0" w:color="BFBFBF"/>
              <w:right w:val="single" w:sz="4" w:space="0" w:color="BFBFBF"/>
            </w:tcBorders>
            <w:vAlign w:val="center"/>
            <w:hideMark/>
          </w:tcPr>
          <w:p w14:paraId="0CAD18C5" w14:textId="77777777" w:rsidR="00A65D1F" w:rsidRPr="00A65D1F" w:rsidRDefault="00A65D1F" w:rsidP="00A65D1F">
            <w:pPr>
              <w:rPr>
                <w:rFonts w:eastAsia="Times New Roman" w:cs="Calibri"/>
                <w:sz w:val="20"/>
                <w:szCs w:val="20"/>
                <w:lang w:eastAsia="en-AU"/>
              </w:rPr>
            </w:pPr>
          </w:p>
        </w:tc>
      </w:tr>
      <w:tr w:rsidR="00F42A40" w:rsidRPr="00A65D1F" w14:paraId="7E50339C" w14:textId="77777777" w:rsidTr="009D734D">
        <w:trPr>
          <w:trHeight w:val="270"/>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65163DAF"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Long-term on-site storage</w:t>
            </w:r>
          </w:p>
        </w:tc>
        <w:tc>
          <w:tcPr>
            <w:tcW w:w="0" w:type="auto"/>
            <w:tcBorders>
              <w:top w:val="nil"/>
              <w:left w:val="nil"/>
              <w:bottom w:val="single" w:sz="4" w:space="0" w:color="BFBFBF"/>
              <w:right w:val="single" w:sz="4" w:space="0" w:color="BFBFBF"/>
            </w:tcBorders>
            <w:shd w:val="clear" w:color="000000" w:fill="FFFFFF"/>
            <w:noWrap/>
            <w:hideMark/>
          </w:tcPr>
          <w:p w14:paraId="2149439C"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0</w:t>
            </w:r>
          </w:p>
        </w:tc>
        <w:tc>
          <w:tcPr>
            <w:tcW w:w="0" w:type="auto"/>
            <w:gridSpan w:val="2"/>
            <w:vMerge w:val="restart"/>
            <w:tcBorders>
              <w:top w:val="nil"/>
              <w:left w:val="nil"/>
              <w:right w:val="single" w:sz="4" w:space="0" w:color="BFBFBF"/>
            </w:tcBorders>
            <w:shd w:val="clear" w:color="auto" w:fill="auto"/>
            <w:noWrap/>
            <w:vAlign w:val="center"/>
          </w:tcPr>
          <w:p w14:paraId="096CF39C" w14:textId="190AA659" w:rsidR="00F42A40" w:rsidRPr="00A65D1F" w:rsidRDefault="00F42A40" w:rsidP="009D734D">
            <w:pPr>
              <w:jc w:val="center"/>
              <w:rPr>
                <w:rFonts w:eastAsia="Times New Roman" w:cs="Calibri"/>
                <w:color w:val="000000"/>
                <w:sz w:val="20"/>
                <w:szCs w:val="20"/>
                <w:lang w:eastAsia="en-AU"/>
              </w:rPr>
            </w:pPr>
            <w:r w:rsidRPr="009D734D">
              <w:rPr>
                <w:rFonts w:eastAsia="Times New Roman" w:cs="Calibri"/>
                <w:color w:val="000000"/>
                <w:sz w:val="20"/>
                <w:szCs w:val="20"/>
                <w:highlight w:val="red"/>
                <w:lang w:eastAsia="en-AU"/>
              </w:rPr>
              <w:t>CIC</w:t>
            </w:r>
          </w:p>
        </w:tc>
        <w:tc>
          <w:tcPr>
            <w:tcW w:w="0" w:type="auto"/>
            <w:tcBorders>
              <w:top w:val="nil"/>
              <w:left w:val="nil"/>
              <w:bottom w:val="single" w:sz="4" w:space="0" w:color="BFBFBF"/>
              <w:right w:val="single" w:sz="4" w:space="0" w:color="BFBFBF"/>
            </w:tcBorders>
            <w:shd w:val="clear" w:color="auto" w:fill="auto"/>
            <w:noWrap/>
            <w:hideMark/>
          </w:tcPr>
          <w:p w14:paraId="33CA4D23" w14:textId="77777777" w:rsidR="00F42A40" w:rsidRPr="00A65D1F" w:rsidRDefault="00F42A40" w:rsidP="00A65D1F">
            <w:pPr>
              <w:jc w:val="center"/>
              <w:rPr>
                <w:rFonts w:eastAsia="Times New Roman" w:cs="Calibri"/>
                <w:color w:val="000000"/>
                <w:sz w:val="20"/>
                <w:szCs w:val="20"/>
                <w:lang w:eastAsia="en-AU"/>
              </w:rPr>
            </w:pPr>
            <w:r w:rsidRPr="00A65D1F">
              <w:rPr>
                <w:rFonts w:eastAsia="Times New Roman" w:cs="Calibri"/>
                <w:color w:val="000000"/>
                <w:sz w:val="20"/>
                <w:szCs w:val="20"/>
                <w:lang w:eastAsia="en-AU"/>
              </w:rPr>
              <w:t>n/a</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72FE0AA8"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16EBD229"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6FEA1D92"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4869" w:type="dxa"/>
            <w:vMerge/>
            <w:tcBorders>
              <w:top w:val="single" w:sz="4" w:space="0" w:color="808080"/>
              <w:left w:val="single" w:sz="4" w:space="0" w:color="BFBFBF"/>
              <w:bottom w:val="single" w:sz="4" w:space="0" w:color="BFBFBF"/>
              <w:right w:val="single" w:sz="4" w:space="0" w:color="BFBFBF"/>
            </w:tcBorders>
            <w:vAlign w:val="center"/>
            <w:hideMark/>
          </w:tcPr>
          <w:p w14:paraId="037D7077" w14:textId="77777777" w:rsidR="00F42A40" w:rsidRPr="00A65D1F" w:rsidRDefault="00F42A40" w:rsidP="00A65D1F">
            <w:pPr>
              <w:rPr>
                <w:rFonts w:eastAsia="Times New Roman" w:cs="Calibri"/>
                <w:sz w:val="20"/>
                <w:szCs w:val="20"/>
                <w:lang w:eastAsia="en-AU"/>
              </w:rPr>
            </w:pPr>
          </w:p>
        </w:tc>
      </w:tr>
      <w:tr w:rsidR="00F42A40" w:rsidRPr="00A65D1F" w14:paraId="655D7FAF" w14:textId="77777777" w:rsidTr="00F42A40">
        <w:trPr>
          <w:trHeight w:val="300"/>
        </w:trPr>
        <w:tc>
          <w:tcPr>
            <w:tcW w:w="2830" w:type="dxa"/>
            <w:tcBorders>
              <w:top w:val="nil"/>
              <w:left w:val="single" w:sz="4" w:space="0" w:color="BFBFBF"/>
              <w:bottom w:val="single" w:sz="4" w:space="0" w:color="BFBFBF"/>
              <w:right w:val="single" w:sz="4" w:space="0" w:color="BFBFBF"/>
            </w:tcBorders>
            <w:shd w:val="clear" w:color="auto" w:fill="auto"/>
            <w:noWrap/>
            <w:hideMark/>
          </w:tcPr>
          <w:p w14:paraId="65D8D238"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Long-term isolation facility</w:t>
            </w:r>
          </w:p>
        </w:tc>
        <w:tc>
          <w:tcPr>
            <w:tcW w:w="0" w:type="auto"/>
            <w:tcBorders>
              <w:top w:val="nil"/>
              <w:left w:val="nil"/>
              <w:bottom w:val="single" w:sz="4" w:space="0" w:color="BFBFBF"/>
              <w:right w:val="single" w:sz="4" w:space="0" w:color="BFBFBF"/>
            </w:tcBorders>
            <w:shd w:val="clear" w:color="000000" w:fill="FFFFFF"/>
            <w:noWrap/>
            <w:hideMark/>
          </w:tcPr>
          <w:p w14:paraId="4A059392" w14:textId="77777777" w:rsidR="00F42A40" w:rsidRPr="00A65D1F" w:rsidRDefault="00F42A40"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0</w:t>
            </w:r>
          </w:p>
        </w:tc>
        <w:tc>
          <w:tcPr>
            <w:tcW w:w="0" w:type="auto"/>
            <w:gridSpan w:val="2"/>
            <w:vMerge/>
            <w:tcBorders>
              <w:left w:val="nil"/>
              <w:bottom w:val="single" w:sz="4" w:space="0" w:color="BFBFBF"/>
              <w:right w:val="single" w:sz="4" w:space="0" w:color="BFBFBF"/>
            </w:tcBorders>
            <w:shd w:val="clear" w:color="auto" w:fill="auto"/>
            <w:noWrap/>
          </w:tcPr>
          <w:p w14:paraId="09970C29" w14:textId="49E6A7D4" w:rsidR="00F42A40" w:rsidRPr="00A65D1F" w:rsidRDefault="00F42A40" w:rsidP="00A65D1F">
            <w:pPr>
              <w:jc w:val="right"/>
              <w:rPr>
                <w:rFonts w:eastAsia="Times New Roman" w:cs="Calibri"/>
                <w:color w:val="000000"/>
                <w:sz w:val="20"/>
                <w:szCs w:val="20"/>
                <w:lang w:eastAsia="en-AU"/>
              </w:rPr>
            </w:pPr>
          </w:p>
        </w:tc>
        <w:tc>
          <w:tcPr>
            <w:tcW w:w="0" w:type="auto"/>
            <w:tcBorders>
              <w:top w:val="nil"/>
              <w:left w:val="nil"/>
              <w:bottom w:val="single" w:sz="4" w:space="0" w:color="BFBFBF"/>
              <w:right w:val="single" w:sz="4" w:space="0" w:color="BFBFBF"/>
            </w:tcBorders>
            <w:shd w:val="clear" w:color="auto" w:fill="auto"/>
            <w:noWrap/>
            <w:hideMark/>
          </w:tcPr>
          <w:p w14:paraId="02BA3B58" w14:textId="77777777" w:rsidR="00F42A40" w:rsidRPr="00A65D1F" w:rsidRDefault="00F42A40" w:rsidP="00A65D1F">
            <w:pPr>
              <w:jc w:val="center"/>
              <w:rPr>
                <w:rFonts w:eastAsia="Times New Roman" w:cs="Calibri"/>
                <w:color w:val="000000"/>
                <w:sz w:val="20"/>
                <w:szCs w:val="20"/>
                <w:lang w:eastAsia="en-AU"/>
              </w:rPr>
            </w:pPr>
            <w:r w:rsidRPr="00A65D1F">
              <w:rPr>
                <w:rFonts w:eastAsia="Times New Roman" w:cs="Calibri"/>
                <w:color w:val="000000"/>
                <w:sz w:val="20"/>
                <w:szCs w:val="20"/>
                <w:lang w:eastAsia="en-AU"/>
              </w:rPr>
              <w:t>n/a</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3D834628"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7027464C"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0" w:type="auto"/>
            <w:tcBorders>
              <w:top w:val="single" w:sz="4" w:space="0" w:color="BFBFBF"/>
              <w:left w:val="single" w:sz="4" w:space="0" w:color="BFBFBF"/>
              <w:bottom w:val="single" w:sz="4" w:space="0" w:color="BFBFBF"/>
              <w:right w:val="single" w:sz="4" w:space="0" w:color="BFBFBF"/>
            </w:tcBorders>
            <w:shd w:val="clear" w:color="000000" w:fill="FFFFFF"/>
            <w:noWrap/>
            <w:hideMark/>
          </w:tcPr>
          <w:p w14:paraId="2DC0B351" w14:textId="77777777" w:rsidR="00F42A40" w:rsidRPr="00A65D1F" w:rsidRDefault="00F42A40" w:rsidP="00A65D1F">
            <w:pPr>
              <w:jc w:val="center"/>
              <w:rPr>
                <w:rFonts w:eastAsia="Times New Roman" w:cs="Calibri"/>
                <w:color w:val="808080"/>
                <w:sz w:val="20"/>
                <w:szCs w:val="20"/>
                <w:lang w:eastAsia="en-AU"/>
              </w:rPr>
            </w:pPr>
            <w:r w:rsidRPr="00A65D1F">
              <w:rPr>
                <w:rFonts w:eastAsia="Times New Roman" w:cs="Calibri"/>
                <w:color w:val="808080"/>
                <w:sz w:val="20"/>
                <w:szCs w:val="20"/>
                <w:lang w:eastAsia="en-AU"/>
              </w:rPr>
              <w:t>no inf.</w:t>
            </w:r>
          </w:p>
        </w:tc>
        <w:tc>
          <w:tcPr>
            <w:tcW w:w="4869" w:type="dxa"/>
            <w:vMerge/>
            <w:tcBorders>
              <w:top w:val="single" w:sz="4" w:space="0" w:color="808080"/>
              <w:left w:val="single" w:sz="4" w:space="0" w:color="BFBFBF"/>
              <w:bottom w:val="single" w:sz="4" w:space="0" w:color="BFBFBF"/>
              <w:right w:val="single" w:sz="4" w:space="0" w:color="BFBFBF"/>
            </w:tcBorders>
            <w:vAlign w:val="center"/>
            <w:hideMark/>
          </w:tcPr>
          <w:p w14:paraId="54ABFEDE" w14:textId="77777777" w:rsidR="00F42A40" w:rsidRPr="00A65D1F" w:rsidRDefault="00F42A40" w:rsidP="00A65D1F">
            <w:pPr>
              <w:rPr>
                <w:rFonts w:eastAsia="Times New Roman" w:cs="Calibri"/>
                <w:sz w:val="20"/>
                <w:szCs w:val="20"/>
                <w:lang w:eastAsia="en-AU"/>
              </w:rPr>
            </w:pPr>
          </w:p>
        </w:tc>
      </w:tr>
      <w:tr w:rsidR="00FD3200" w:rsidRPr="00A65D1F" w14:paraId="315B5E56" w14:textId="77777777" w:rsidTr="00FD3200">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4EF85223" w14:textId="77777777" w:rsidR="00A65D1F" w:rsidRPr="00A65D1F" w:rsidRDefault="00A65D1F" w:rsidP="00A65D1F">
            <w:pPr>
              <w:jc w:val="right"/>
              <w:rPr>
                <w:rFonts w:eastAsia="Times New Roman" w:cs="Calibri"/>
                <w:b/>
                <w:bCs/>
                <w:color w:val="000000"/>
                <w:sz w:val="20"/>
                <w:szCs w:val="20"/>
                <w:lang w:eastAsia="en-AU"/>
              </w:rPr>
            </w:pPr>
            <w:r w:rsidRPr="00A65D1F">
              <w:rPr>
                <w:rFonts w:eastAsia="Times New Roman" w:cs="Calibri"/>
                <w:b/>
                <w:bCs/>
                <w:color w:val="000000"/>
                <w:sz w:val="20"/>
                <w:szCs w:val="20"/>
                <w:lang w:eastAsia="en-AU"/>
              </w:rPr>
              <w:t>Total net Landfill fac. (NEPM code N, T)</w:t>
            </w:r>
          </w:p>
        </w:tc>
        <w:tc>
          <w:tcPr>
            <w:tcW w:w="0" w:type="auto"/>
            <w:tcBorders>
              <w:top w:val="nil"/>
              <w:left w:val="nil"/>
              <w:bottom w:val="single" w:sz="4" w:space="0" w:color="BFBFBF"/>
              <w:right w:val="nil"/>
            </w:tcBorders>
            <w:shd w:val="clear" w:color="000000" w:fill="C5D9F1"/>
            <w:noWrap/>
            <w:hideMark/>
          </w:tcPr>
          <w:p w14:paraId="2773E255" w14:textId="429E0C47" w:rsidR="00A65D1F" w:rsidRPr="00A65D1F" w:rsidRDefault="00A65D1F"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10,0</w:t>
            </w:r>
            <w:r w:rsidR="00FB5BB1">
              <w:rPr>
                <w:rFonts w:eastAsia="Times New Roman" w:cs="Calibri"/>
                <w:color w:val="000000"/>
                <w:sz w:val="20"/>
                <w:szCs w:val="20"/>
                <w:lang w:eastAsia="en-AU"/>
              </w:rPr>
              <w:t>84</w:t>
            </w:r>
          </w:p>
        </w:tc>
        <w:tc>
          <w:tcPr>
            <w:tcW w:w="0" w:type="auto"/>
            <w:tcBorders>
              <w:top w:val="nil"/>
              <w:left w:val="nil"/>
              <w:bottom w:val="nil"/>
              <w:right w:val="nil"/>
            </w:tcBorders>
            <w:shd w:val="clear" w:color="000000" w:fill="F2F2F2"/>
            <w:noWrap/>
            <w:hideMark/>
          </w:tcPr>
          <w:p w14:paraId="23BE93A6" w14:textId="77777777" w:rsidR="00A65D1F" w:rsidRPr="00A65D1F" w:rsidRDefault="00A65D1F" w:rsidP="00A65D1F">
            <w:pPr>
              <w:rPr>
                <w:rFonts w:eastAsia="Times New Roman" w:cs="Calibri"/>
                <w:color w:val="000000"/>
                <w:sz w:val="20"/>
                <w:szCs w:val="20"/>
                <w:lang w:eastAsia="en-AU"/>
              </w:rPr>
            </w:pPr>
            <w:r w:rsidRPr="00A65D1F">
              <w:rPr>
                <w:rFonts w:eastAsia="Times New Roman" w:cs="Calibri"/>
                <w:color w:val="000000"/>
                <w:sz w:val="20"/>
                <w:szCs w:val="20"/>
                <w:lang w:eastAsia="en-AU"/>
              </w:rPr>
              <w:t> </w:t>
            </w:r>
          </w:p>
        </w:tc>
        <w:tc>
          <w:tcPr>
            <w:tcW w:w="0" w:type="auto"/>
            <w:tcBorders>
              <w:top w:val="nil"/>
              <w:left w:val="nil"/>
              <w:bottom w:val="nil"/>
              <w:right w:val="nil"/>
            </w:tcBorders>
            <w:shd w:val="clear" w:color="000000" w:fill="F2F2F2"/>
            <w:noWrap/>
            <w:hideMark/>
          </w:tcPr>
          <w:p w14:paraId="613306B1" w14:textId="77777777" w:rsidR="00A65D1F" w:rsidRPr="00A65D1F" w:rsidRDefault="00A65D1F" w:rsidP="00A65D1F">
            <w:pPr>
              <w:rPr>
                <w:rFonts w:eastAsia="Times New Roman" w:cs="Calibri"/>
                <w:color w:val="000000"/>
                <w:sz w:val="20"/>
                <w:szCs w:val="20"/>
                <w:lang w:eastAsia="en-AU"/>
              </w:rPr>
            </w:pPr>
            <w:r w:rsidRPr="00A65D1F">
              <w:rPr>
                <w:rFonts w:eastAsia="Times New Roman" w:cs="Calibri"/>
                <w:color w:val="000000"/>
                <w:sz w:val="20"/>
                <w:szCs w:val="20"/>
                <w:lang w:eastAsia="en-AU"/>
              </w:rPr>
              <w:t> </w:t>
            </w:r>
          </w:p>
        </w:tc>
        <w:tc>
          <w:tcPr>
            <w:tcW w:w="0" w:type="auto"/>
            <w:tcBorders>
              <w:top w:val="nil"/>
              <w:left w:val="nil"/>
              <w:bottom w:val="nil"/>
              <w:right w:val="nil"/>
            </w:tcBorders>
            <w:shd w:val="clear" w:color="000000" w:fill="F2F2F2"/>
            <w:noWrap/>
            <w:hideMark/>
          </w:tcPr>
          <w:p w14:paraId="7D94A7C3" w14:textId="77777777" w:rsidR="00A65D1F" w:rsidRPr="00A65D1F" w:rsidRDefault="00A65D1F" w:rsidP="00A65D1F">
            <w:pPr>
              <w:rPr>
                <w:rFonts w:eastAsia="Times New Roman" w:cs="Calibri"/>
                <w:color w:val="000000"/>
                <w:sz w:val="20"/>
                <w:szCs w:val="20"/>
                <w:lang w:eastAsia="en-AU"/>
              </w:rPr>
            </w:pPr>
            <w:r w:rsidRPr="00A65D1F">
              <w:rPr>
                <w:rFonts w:eastAsia="Times New Roman" w:cs="Calibri"/>
                <w:color w:val="000000"/>
                <w:sz w:val="20"/>
                <w:szCs w:val="20"/>
                <w:lang w:eastAsia="en-AU"/>
              </w:rPr>
              <w:t> </w:t>
            </w:r>
          </w:p>
        </w:tc>
        <w:tc>
          <w:tcPr>
            <w:tcW w:w="0" w:type="auto"/>
            <w:tcBorders>
              <w:top w:val="nil"/>
              <w:left w:val="nil"/>
              <w:bottom w:val="nil"/>
              <w:right w:val="nil"/>
            </w:tcBorders>
            <w:shd w:val="clear" w:color="000000" w:fill="F2F2F2"/>
            <w:noWrap/>
            <w:hideMark/>
          </w:tcPr>
          <w:p w14:paraId="4AF4E085" w14:textId="77777777" w:rsidR="00A65D1F" w:rsidRPr="00A65D1F" w:rsidRDefault="00A65D1F" w:rsidP="00A65D1F">
            <w:pPr>
              <w:rPr>
                <w:rFonts w:eastAsia="Times New Roman" w:cs="Calibri"/>
                <w:color w:val="000000"/>
                <w:sz w:val="20"/>
                <w:szCs w:val="20"/>
                <w:lang w:eastAsia="en-AU"/>
              </w:rPr>
            </w:pPr>
            <w:r w:rsidRPr="00A65D1F">
              <w:rPr>
                <w:rFonts w:eastAsia="Times New Roman" w:cs="Calibri"/>
                <w:color w:val="000000"/>
                <w:sz w:val="20"/>
                <w:szCs w:val="20"/>
                <w:lang w:eastAsia="en-AU"/>
              </w:rPr>
              <w:t> </w:t>
            </w:r>
          </w:p>
        </w:tc>
        <w:tc>
          <w:tcPr>
            <w:tcW w:w="0" w:type="auto"/>
            <w:tcBorders>
              <w:top w:val="nil"/>
              <w:left w:val="nil"/>
              <w:bottom w:val="nil"/>
              <w:right w:val="nil"/>
            </w:tcBorders>
            <w:shd w:val="clear" w:color="000000" w:fill="F2F2F2"/>
            <w:noWrap/>
            <w:hideMark/>
          </w:tcPr>
          <w:p w14:paraId="2F5631BF" w14:textId="77777777" w:rsidR="00A65D1F" w:rsidRPr="00A65D1F" w:rsidRDefault="00A65D1F" w:rsidP="00A65D1F">
            <w:pPr>
              <w:rPr>
                <w:rFonts w:eastAsia="Times New Roman" w:cs="Calibri"/>
                <w:color w:val="000000"/>
                <w:sz w:val="20"/>
                <w:szCs w:val="20"/>
                <w:lang w:eastAsia="en-AU"/>
              </w:rPr>
            </w:pPr>
            <w:r w:rsidRPr="00A65D1F">
              <w:rPr>
                <w:rFonts w:eastAsia="Times New Roman" w:cs="Calibri"/>
                <w:color w:val="000000"/>
                <w:sz w:val="20"/>
                <w:szCs w:val="20"/>
                <w:lang w:eastAsia="en-AU"/>
              </w:rPr>
              <w:t> </w:t>
            </w:r>
          </w:p>
        </w:tc>
        <w:tc>
          <w:tcPr>
            <w:tcW w:w="0" w:type="auto"/>
            <w:tcBorders>
              <w:top w:val="nil"/>
              <w:left w:val="nil"/>
              <w:bottom w:val="nil"/>
              <w:right w:val="nil"/>
            </w:tcBorders>
            <w:shd w:val="clear" w:color="000000" w:fill="F2F2F2"/>
            <w:noWrap/>
            <w:hideMark/>
          </w:tcPr>
          <w:p w14:paraId="18BF47A7" w14:textId="77777777" w:rsidR="00A65D1F" w:rsidRPr="00A65D1F" w:rsidRDefault="00A65D1F" w:rsidP="00A65D1F">
            <w:pPr>
              <w:rPr>
                <w:rFonts w:eastAsia="Times New Roman" w:cs="Calibri"/>
                <w:color w:val="000000"/>
                <w:sz w:val="20"/>
                <w:szCs w:val="20"/>
                <w:lang w:eastAsia="en-AU"/>
              </w:rPr>
            </w:pPr>
            <w:r w:rsidRPr="00A65D1F">
              <w:rPr>
                <w:rFonts w:eastAsia="Times New Roman" w:cs="Calibri"/>
                <w:color w:val="000000"/>
                <w:sz w:val="20"/>
                <w:szCs w:val="20"/>
                <w:lang w:eastAsia="en-AU"/>
              </w:rPr>
              <w:t> </w:t>
            </w:r>
          </w:p>
        </w:tc>
        <w:tc>
          <w:tcPr>
            <w:tcW w:w="4869" w:type="dxa"/>
            <w:tcBorders>
              <w:top w:val="nil"/>
              <w:left w:val="nil"/>
              <w:bottom w:val="nil"/>
              <w:right w:val="nil"/>
            </w:tcBorders>
            <w:shd w:val="clear" w:color="000000" w:fill="F2F2F2"/>
            <w:noWrap/>
            <w:hideMark/>
          </w:tcPr>
          <w:p w14:paraId="7D2C8E48" w14:textId="77777777" w:rsidR="00A65D1F" w:rsidRPr="00A65D1F" w:rsidRDefault="00A65D1F" w:rsidP="00A65D1F">
            <w:pPr>
              <w:rPr>
                <w:rFonts w:eastAsia="Times New Roman" w:cs="Calibri"/>
                <w:color w:val="000000"/>
                <w:sz w:val="20"/>
                <w:szCs w:val="20"/>
                <w:lang w:eastAsia="en-AU"/>
              </w:rPr>
            </w:pPr>
            <w:r w:rsidRPr="00A65D1F">
              <w:rPr>
                <w:rFonts w:eastAsia="Times New Roman" w:cs="Calibri"/>
                <w:color w:val="000000"/>
                <w:sz w:val="20"/>
                <w:szCs w:val="20"/>
                <w:lang w:eastAsia="en-AU"/>
              </w:rPr>
              <w:t> </w:t>
            </w:r>
          </w:p>
        </w:tc>
      </w:tr>
      <w:tr w:rsidR="00FD3200" w:rsidRPr="00A65D1F" w14:paraId="2FCAC168" w14:textId="77777777" w:rsidTr="00FD3200">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193EDE97" w14:textId="77777777" w:rsidR="00A65D1F" w:rsidRPr="00A65D1F" w:rsidRDefault="00A65D1F" w:rsidP="00A65D1F">
            <w:pPr>
              <w:jc w:val="right"/>
              <w:rPr>
                <w:rFonts w:eastAsia="Times New Roman" w:cs="Calibri"/>
                <w:b/>
                <w:bCs/>
                <w:color w:val="000000"/>
                <w:sz w:val="20"/>
                <w:szCs w:val="20"/>
                <w:lang w:eastAsia="en-AU"/>
              </w:rPr>
            </w:pPr>
            <w:r w:rsidRPr="00A65D1F">
              <w:rPr>
                <w:rFonts w:eastAsia="Times New Roman" w:cs="Calibri"/>
                <w:b/>
                <w:bCs/>
                <w:color w:val="000000"/>
                <w:sz w:val="20"/>
                <w:szCs w:val="20"/>
                <w:lang w:eastAsia="en-AU"/>
              </w:rPr>
              <w:t>NEPM 12-13 net imp./exp. (kt)</w:t>
            </w:r>
          </w:p>
        </w:tc>
        <w:tc>
          <w:tcPr>
            <w:tcW w:w="0" w:type="auto"/>
            <w:tcBorders>
              <w:top w:val="nil"/>
              <w:left w:val="nil"/>
              <w:bottom w:val="single" w:sz="4" w:space="0" w:color="BFBFBF"/>
              <w:right w:val="nil"/>
            </w:tcBorders>
            <w:shd w:val="clear" w:color="000000" w:fill="C5D9F1"/>
            <w:noWrap/>
            <w:hideMark/>
          </w:tcPr>
          <w:p w14:paraId="1BEDF610" w14:textId="77777777" w:rsidR="00A65D1F" w:rsidRPr="00A65D1F" w:rsidRDefault="00A65D1F" w:rsidP="00A65D1F">
            <w:pPr>
              <w:jc w:val="right"/>
              <w:rPr>
                <w:rFonts w:eastAsia="Times New Roman" w:cs="Calibri"/>
                <w:color w:val="000000"/>
                <w:sz w:val="20"/>
                <w:szCs w:val="20"/>
                <w:lang w:eastAsia="en-AU"/>
              </w:rPr>
            </w:pPr>
            <w:r w:rsidRPr="00A65D1F">
              <w:rPr>
                <w:rFonts w:eastAsia="Times New Roman" w:cs="Calibri"/>
                <w:color w:val="000000"/>
                <w:sz w:val="20"/>
                <w:szCs w:val="20"/>
                <w:lang w:eastAsia="en-AU"/>
              </w:rPr>
              <w:t>9,159</w:t>
            </w:r>
          </w:p>
        </w:tc>
        <w:tc>
          <w:tcPr>
            <w:tcW w:w="0" w:type="auto"/>
            <w:tcBorders>
              <w:top w:val="nil"/>
              <w:left w:val="nil"/>
              <w:bottom w:val="nil"/>
              <w:right w:val="nil"/>
            </w:tcBorders>
            <w:shd w:val="clear" w:color="000000" w:fill="F2F2F2"/>
            <w:noWrap/>
            <w:hideMark/>
          </w:tcPr>
          <w:p w14:paraId="130587ED" w14:textId="77777777" w:rsidR="00A65D1F" w:rsidRPr="00A65D1F" w:rsidRDefault="00A65D1F" w:rsidP="00A65D1F">
            <w:pPr>
              <w:rPr>
                <w:rFonts w:eastAsia="Times New Roman" w:cs="Calibri"/>
                <w:color w:val="000000"/>
                <w:sz w:val="20"/>
                <w:szCs w:val="20"/>
                <w:lang w:eastAsia="en-AU"/>
              </w:rPr>
            </w:pPr>
            <w:r w:rsidRPr="00A65D1F">
              <w:rPr>
                <w:rFonts w:eastAsia="Times New Roman" w:cs="Calibri"/>
                <w:color w:val="000000"/>
                <w:sz w:val="20"/>
                <w:szCs w:val="20"/>
                <w:lang w:eastAsia="en-AU"/>
              </w:rPr>
              <w:t>(export)</w:t>
            </w:r>
          </w:p>
        </w:tc>
        <w:tc>
          <w:tcPr>
            <w:tcW w:w="0" w:type="auto"/>
            <w:tcBorders>
              <w:top w:val="nil"/>
              <w:left w:val="nil"/>
              <w:bottom w:val="nil"/>
              <w:right w:val="nil"/>
            </w:tcBorders>
            <w:shd w:val="clear" w:color="000000" w:fill="F2F2F2"/>
            <w:noWrap/>
            <w:hideMark/>
          </w:tcPr>
          <w:p w14:paraId="563C46D8" w14:textId="77777777" w:rsidR="00A65D1F" w:rsidRPr="00A65D1F" w:rsidRDefault="00A65D1F" w:rsidP="00A65D1F">
            <w:pPr>
              <w:rPr>
                <w:rFonts w:eastAsia="Times New Roman" w:cs="Calibri"/>
                <w:color w:val="000000"/>
                <w:sz w:val="20"/>
                <w:szCs w:val="20"/>
                <w:lang w:eastAsia="en-AU"/>
              </w:rPr>
            </w:pPr>
            <w:r w:rsidRPr="00A65D1F">
              <w:rPr>
                <w:rFonts w:eastAsia="Times New Roman" w:cs="Calibri"/>
                <w:color w:val="000000"/>
                <w:sz w:val="20"/>
                <w:szCs w:val="20"/>
                <w:lang w:eastAsia="en-AU"/>
              </w:rPr>
              <w:t> </w:t>
            </w:r>
          </w:p>
        </w:tc>
        <w:tc>
          <w:tcPr>
            <w:tcW w:w="0" w:type="auto"/>
            <w:tcBorders>
              <w:top w:val="nil"/>
              <w:left w:val="nil"/>
              <w:bottom w:val="nil"/>
              <w:right w:val="nil"/>
            </w:tcBorders>
            <w:shd w:val="clear" w:color="000000" w:fill="F2F2F2"/>
            <w:noWrap/>
            <w:hideMark/>
          </w:tcPr>
          <w:p w14:paraId="6176ABB3" w14:textId="77777777" w:rsidR="00A65D1F" w:rsidRPr="00A65D1F" w:rsidRDefault="00A65D1F" w:rsidP="00A65D1F">
            <w:pPr>
              <w:rPr>
                <w:rFonts w:eastAsia="Times New Roman" w:cs="Calibri"/>
                <w:color w:val="000000"/>
                <w:sz w:val="20"/>
                <w:szCs w:val="20"/>
                <w:lang w:eastAsia="en-AU"/>
              </w:rPr>
            </w:pPr>
            <w:r w:rsidRPr="00A65D1F">
              <w:rPr>
                <w:rFonts w:eastAsia="Times New Roman" w:cs="Calibri"/>
                <w:color w:val="000000"/>
                <w:sz w:val="20"/>
                <w:szCs w:val="20"/>
                <w:lang w:eastAsia="en-AU"/>
              </w:rPr>
              <w:t> </w:t>
            </w:r>
          </w:p>
        </w:tc>
        <w:tc>
          <w:tcPr>
            <w:tcW w:w="0" w:type="auto"/>
            <w:tcBorders>
              <w:top w:val="nil"/>
              <w:left w:val="nil"/>
              <w:bottom w:val="nil"/>
              <w:right w:val="nil"/>
            </w:tcBorders>
            <w:shd w:val="clear" w:color="000000" w:fill="F2F2F2"/>
            <w:noWrap/>
            <w:hideMark/>
          </w:tcPr>
          <w:p w14:paraId="20A5ED10" w14:textId="77777777" w:rsidR="00A65D1F" w:rsidRPr="00A65D1F" w:rsidRDefault="00A65D1F" w:rsidP="00A65D1F">
            <w:pPr>
              <w:rPr>
                <w:rFonts w:eastAsia="Times New Roman" w:cs="Calibri"/>
                <w:color w:val="000000"/>
                <w:sz w:val="20"/>
                <w:szCs w:val="20"/>
                <w:lang w:eastAsia="en-AU"/>
              </w:rPr>
            </w:pPr>
            <w:r w:rsidRPr="00A65D1F">
              <w:rPr>
                <w:rFonts w:eastAsia="Times New Roman" w:cs="Calibri"/>
                <w:color w:val="000000"/>
                <w:sz w:val="20"/>
                <w:szCs w:val="20"/>
                <w:lang w:eastAsia="en-AU"/>
              </w:rPr>
              <w:t> </w:t>
            </w:r>
          </w:p>
        </w:tc>
        <w:tc>
          <w:tcPr>
            <w:tcW w:w="0" w:type="auto"/>
            <w:tcBorders>
              <w:top w:val="nil"/>
              <w:left w:val="nil"/>
              <w:bottom w:val="nil"/>
              <w:right w:val="nil"/>
            </w:tcBorders>
            <w:shd w:val="clear" w:color="000000" w:fill="F2F2F2"/>
            <w:noWrap/>
            <w:hideMark/>
          </w:tcPr>
          <w:p w14:paraId="18843C08" w14:textId="77777777" w:rsidR="00A65D1F" w:rsidRPr="00A65D1F" w:rsidRDefault="00A65D1F" w:rsidP="00A65D1F">
            <w:pPr>
              <w:rPr>
                <w:rFonts w:eastAsia="Times New Roman" w:cs="Calibri"/>
                <w:color w:val="000000"/>
                <w:sz w:val="20"/>
                <w:szCs w:val="20"/>
                <w:lang w:eastAsia="en-AU"/>
              </w:rPr>
            </w:pPr>
            <w:r w:rsidRPr="00A65D1F">
              <w:rPr>
                <w:rFonts w:eastAsia="Times New Roman" w:cs="Calibri"/>
                <w:color w:val="000000"/>
                <w:sz w:val="20"/>
                <w:szCs w:val="20"/>
                <w:lang w:eastAsia="en-AU"/>
              </w:rPr>
              <w:t> </w:t>
            </w:r>
          </w:p>
        </w:tc>
        <w:tc>
          <w:tcPr>
            <w:tcW w:w="0" w:type="auto"/>
            <w:tcBorders>
              <w:top w:val="nil"/>
              <w:left w:val="nil"/>
              <w:bottom w:val="nil"/>
              <w:right w:val="nil"/>
            </w:tcBorders>
            <w:shd w:val="clear" w:color="000000" w:fill="F2F2F2"/>
            <w:noWrap/>
            <w:hideMark/>
          </w:tcPr>
          <w:p w14:paraId="23FFC1BF" w14:textId="77777777" w:rsidR="00A65D1F" w:rsidRPr="00A65D1F" w:rsidRDefault="00A65D1F" w:rsidP="00A65D1F">
            <w:pPr>
              <w:rPr>
                <w:rFonts w:eastAsia="Times New Roman" w:cs="Calibri"/>
                <w:color w:val="000000"/>
                <w:sz w:val="20"/>
                <w:szCs w:val="20"/>
                <w:lang w:eastAsia="en-AU"/>
              </w:rPr>
            </w:pPr>
            <w:r w:rsidRPr="00A65D1F">
              <w:rPr>
                <w:rFonts w:eastAsia="Times New Roman" w:cs="Calibri"/>
                <w:color w:val="000000"/>
                <w:sz w:val="20"/>
                <w:szCs w:val="20"/>
                <w:lang w:eastAsia="en-AU"/>
              </w:rPr>
              <w:t> </w:t>
            </w:r>
          </w:p>
        </w:tc>
        <w:tc>
          <w:tcPr>
            <w:tcW w:w="4869" w:type="dxa"/>
            <w:tcBorders>
              <w:top w:val="nil"/>
              <w:left w:val="nil"/>
              <w:bottom w:val="nil"/>
              <w:right w:val="nil"/>
            </w:tcBorders>
            <w:shd w:val="clear" w:color="000000" w:fill="F2F2F2"/>
            <w:noWrap/>
            <w:hideMark/>
          </w:tcPr>
          <w:p w14:paraId="25B870C3" w14:textId="77777777" w:rsidR="00A65D1F" w:rsidRPr="00A65D1F" w:rsidRDefault="00A65D1F" w:rsidP="00A65D1F">
            <w:pPr>
              <w:rPr>
                <w:rFonts w:eastAsia="Times New Roman" w:cs="Calibri"/>
                <w:color w:val="000000"/>
                <w:sz w:val="20"/>
                <w:szCs w:val="20"/>
                <w:lang w:eastAsia="en-AU"/>
              </w:rPr>
            </w:pPr>
            <w:r w:rsidRPr="00A65D1F">
              <w:rPr>
                <w:rFonts w:eastAsia="Times New Roman" w:cs="Calibri"/>
                <w:color w:val="000000"/>
                <w:sz w:val="20"/>
                <w:szCs w:val="20"/>
                <w:lang w:eastAsia="en-AU"/>
              </w:rPr>
              <w:t> </w:t>
            </w:r>
          </w:p>
        </w:tc>
      </w:tr>
    </w:tbl>
    <w:p w14:paraId="18739B7B" w14:textId="77777777" w:rsidR="00A65D1F" w:rsidRPr="00FD3200" w:rsidRDefault="00A65D1F" w:rsidP="00FD3200">
      <w:pPr>
        <w:pStyle w:val="BodyText"/>
      </w:pPr>
    </w:p>
    <w:p w14:paraId="5ADC03B5" w14:textId="77777777" w:rsidR="00CC2667" w:rsidRPr="00100F0A" w:rsidRDefault="00CC2667" w:rsidP="00FD3200">
      <w:pPr>
        <w:pStyle w:val="BodyText"/>
      </w:pPr>
      <w:bookmarkStart w:id="419" w:name="_Toc425849345"/>
    </w:p>
    <w:p w14:paraId="6B633411" w14:textId="77777777" w:rsidR="00CC2667" w:rsidRPr="00100F0A" w:rsidRDefault="00CC2667">
      <w:pPr>
        <w:rPr>
          <w:i/>
          <w:iCs/>
          <w:color w:val="4D4DB8"/>
          <w:szCs w:val="18"/>
        </w:rPr>
      </w:pPr>
      <w:r w:rsidRPr="00100F0A">
        <w:br w:type="page"/>
      </w:r>
    </w:p>
    <w:p w14:paraId="2459BAB6" w14:textId="228E6780" w:rsidR="00B37084" w:rsidRDefault="00B37084" w:rsidP="0095119F">
      <w:pPr>
        <w:pStyle w:val="Caption"/>
      </w:pPr>
      <w:bookmarkStart w:id="420" w:name="_Toc13225672"/>
      <w:r w:rsidRPr="00100F0A">
        <w:t xml:space="preserve">Table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53</w:t>
      </w:r>
      <w:r w:rsidR="00B404A6" w:rsidRPr="00100F0A">
        <w:rPr>
          <w:noProof/>
        </w:rPr>
        <w:fldChar w:fldCharType="end"/>
      </w:r>
      <w:r w:rsidR="00F142B1">
        <w:rPr>
          <w:noProof/>
        </w:rPr>
        <w:t>:</w:t>
      </w:r>
      <w:r w:rsidR="00D11FEE" w:rsidRPr="00100F0A">
        <w:tab/>
      </w:r>
      <w:r w:rsidRPr="00100F0A">
        <w:t>NSW assessment of projected arisings vs infrastructure capacity</w:t>
      </w:r>
      <w:bookmarkEnd w:id="419"/>
      <w:bookmarkEnd w:id="420"/>
    </w:p>
    <w:tbl>
      <w:tblPr>
        <w:tblW w:w="14312" w:type="dxa"/>
        <w:tblLayout w:type="fixed"/>
        <w:tblLook w:val="04A0" w:firstRow="1" w:lastRow="0" w:firstColumn="1" w:lastColumn="0" w:noHBand="0" w:noVBand="1"/>
      </w:tblPr>
      <w:tblGrid>
        <w:gridCol w:w="2830"/>
        <w:gridCol w:w="1039"/>
        <w:gridCol w:w="963"/>
        <w:gridCol w:w="1034"/>
        <w:gridCol w:w="969"/>
        <w:gridCol w:w="740"/>
        <w:gridCol w:w="740"/>
        <w:gridCol w:w="740"/>
        <w:gridCol w:w="5257"/>
      </w:tblGrid>
      <w:tr w:rsidR="00FD3200" w:rsidRPr="00FD3200" w14:paraId="371291EA" w14:textId="77777777" w:rsidTr="00EF647C">
        <w:trPr>
          <w:trHeight w:val="1020"/>
          <w:tblHeader/>
        </w:trPr>
        <w:tc>
          <w:tcPr>
            <w:tcW w:w="2830" w:type="dxa"/>
            <w:tcBorders>
              <w:top w:val="single" w:sz="4" w:space="0" w:color="BFBFBF"/>
              <w:left w:val="single" w:sz="4" w:space="0" w:color="BFBFBF"/>
              <w:bottom w:val="nil"/>
              <w:right w:val="nil"/>
            </w:tcBorders>
            <w:shd w:val="clear" w:color="000000" w:fill="C5D9F1"/>
            <w:vAlign w:val="center"/>
            <w:hideMark/>
          </w:tcPr>
          <w:p w14:paraId="7257D24A" w14:textId="77777777" w:rsidR="00FD3200" w:rsidRPr="00FD3200" w:rsidRDefault="00FD3200" w:rsidP="00FD3200">
            <w:pPr>
              <w:jc w:val="center"/>
              <w:rPr>
                <w:rFonts w:eastAsia="Times New Roman" w:cs="Calibri"/>
                <w:b/>
                <w:bCs/>
                <w:color w:val="000000"/>
                <w:sz w:val="20"/>
                <w:szCs w:val="20"/>
                <w:lang w:eastAsia="en-AU"/>
              </w:rPr>
            </w:pPr>
            <w:r w:rsidRPr="00FD3200">
              <w:rPr>
                <w:rFonts w:eastAsia="Times New Roman" w:cs="Calibri"/>
                <w:b/>
                <w:bCs/>
                <w:color w:val="000000"/>
                <w:sz w:val="20"/>
                <w:szCs w:val="20"/>
                <w:lang w:eastAsia="en-AU"/>
              </w:rPr>
              <w:t>Infrastructure group</w:t>
            </w:r>
          </w:p>
        </w:tc>
        <w:tc>
          <w:tcPr>
            <w:tcW w:w="1039" w:type="dxa"/>
            <w:tcBorders>
              <w:top w:val="single" w:sz="4" w:space="0" w:color="BFBFBF"/>
              <w:left w:val="single" w:sz="4" w:space="0" w:color="BFBFBF"/>
              <w:bottom w:val="nil"/>
              <w:right w:val="nil"/>
            </w:tcBorders>
            <w:shd w:val="clear" w:color="000000" w:fill="C5D9F1"/>
            <w:hideMark/>
          </w:tcPr>
          <w:p w14:paraId="2E2B5732" w14:textId="77777777" w:rsidR="00FD3200" w:rsidRPr="00FD3200" w:rsidRDefault="00FD3200" w:rsidP="00FD3200">
            <w:pPr>
              <w:jc w:val="center"/>
              <w:rPr>
                <w:rFonts w:eastAsia="Times New Roman" w:cs="Calibri"/>
                <w:b/>
                <w:bCs/>
                <w:color w:val="000000"/>
                <w:sz w:val="20"/>
                <w:szCs w:val="20"/>
                <w:lang w:eastAsia="en-AU"/>
              </w:rPr>
            </w:pPr>
            <w:r w:rsidRPr="00FD3200">
              <w:rPr>
                <w:rFonts w:eastAsia="Times New Roman" w:cs="Calibri"/>
                <w:b/>
                <w:bCs/>
                <w:color w:val="000000"/>
                <w:sz w:val="20"/>
                <w:szCs w:val="20"/>
                <w:lang w:eastAsia="en-AU"/>
              </w:rPr>
              <w:t>16-17 arisings</w:t>
            </w:r>
            <w:r w:rsidRPr="00FD3200">
              <w:rPr>
                <w:rFonts w:eastAsia="Times New Roman" w:cs="Calibri"/>
                <w:b/>
                <w:bCs/>
                <w:color w:val="000000"/>
                <w:sz w:val="20"/>
                <w:szCs w:val="20"/>
                <w:lang w:eastAsia="en-AU"/>
              </w:rPr>
              <w:br/>
              <w:t>(t/yr)</w:t>
            </w:r>
          </w:p>
        </w:tc>
        <w:tc>
          <w:tcPr>
            <w:tcW w:w="963" w:type="dxa"/>
            <w:tcBorders>
              <w:top w:val="single" w:sz="4" w:space="0" w:color="BFBFBF"/>
              <w:left w:val="nil"/>
              <w:bottom w:val="nil"/>
              <w:right w:val="nil"/>
            </w:tcBorders>
            <w:shd w:val="clear" w:color="000000" w:fill="C5D9F1"/>
            <w:hideMark/>
          </w:tcPr>
          <w:p w14:paraId="4FBCEBCF" w14:textId="77777777" w:rsidR="00FD3200" w:rsidRPr="00FD3200" w:rsidRDefault="00FD3200" w:rsidP="00FD3200">
            <w:pPr>
              <w:jc w:val="center"/>
              <w:rPr>
                <w:rFonts w:eastAsia="Times New Roman" w:cs="Calibri"/>
                <w:b/>
                <w:bCs/>
                <w:color w:val="000000"/>
                <w:sz w:val="20"/>
                <w:szCs w:val="20"/>
                <w:lang w:eastAsia="en-AU"/>
              </w:rPr>
            </w:pPr>
            <w:r w:rsidRPr="00FD3200">
              <w:rPr>
                <w:rFonts w:eastAsia="Times New Roman" w:cs="Calibri"/>
                <w:b/>
                <w:bCs/>
                <w:color w:val="000000"/>
                <w:sz w:val="20"/>
                <w:szCs w:val="20"/>
                <w:lang w:eastAsia="en-AU"/>
              </w:rPr>
              <w:t>Installed capacity</w:t>
            </w:r>
            <w:r w:rsidRPr="00FD3200">
              <w:rPr>
                <w:rFonts w:eastAsia="Times New Roman" w:cs="Calibri"/>
                <w:b/>
                <w:bCs/>
                <w:color w:val="000000"/>
                <w:sz w:val="20"/>
                <w:szCs w:val="20"/>
                <w:lang w:eastAsia="en-AU"/>
              </w:rPr>
              <w:br/>
              <w:t>(t/yr)</w:t>
            </w:r>
          </w:p>
        </w:tc>
        <w:tc>
          <w:tcPr>
            <w:tcW w:w="1034" w:type="dxa"/>
            <w:tcBorders>
              <w:top w:val="single" w:sz="4" w:space="0" w:color="BFBFBF"/>
              <w:left w:val="nil"/>
              <w:bottom w:val="nil"/>
              <w:right w:val="nil"/>
            </w:tcBorders>
            <w:shd w:val="clear" w:color="000000" w:fill="C5D9F1"/>
            <w:hideMark/>
          </w:tcPr>
          <w:p w14:paraId="1DAF4B74" w14:textId="77777777" w:rsidR="00FD3200" w:rsidRPr="00FD3200" w:rsidRDefault="00FD3200" w:rsidP="00FD3200">
            <w:pPr>
              <w:jc w:val="center"/>
              <w:rPr>
                <w:rFonts w:eastAsia="Times New Roman" w:cs="Calibri"/>
                <w:b/>
                <w:bCs/>
                <w:color w:val="000000"/>
                <w:sz w:val="20"/>
                <w:szCs w:val="20"/>
                <w:lang w:eastAsia="en-AU"/>
              </w:rPr>
            </w:pPr>
            <w:r w:rsidRPr="00FD3200">
              <w:rPr>
                <w:rFonts w:eastAsia="Times New Roman" w:cs="Calibri"/>
                <w:b/>
                <w:bCs/>
                <w:color w:val="000000"/>
                <w:sz w:val="20"/>
                <w:szCs w:val="20"/>
                <w:lang w:eastAsia="en-AU"/>
              </w:rPr>
              <w:t>Expected capacity change</w:t>
            </w:r>
            <w:r w:rsidRPr="00FD3200">
              <w:rPr>
                <w:rFonts w:eastAsia="Times New Roman" w:cs="Calibri"/>
                <w:b/>
                <w:bCs/>
                <w:color w:val="000000"/>
                <w:sz w:val="20"/>
                <w:szCs w:val="20"/>
                <w:lang w:eastAsia="en-AU"/>
              </w:rPr>
              <w:br/>
              <w:t>(t/yr)</w:t>
            </w:r>
          </w:p>
        </w:tc>
        <w:tc>
          <w:tcPr>
            <w:tcW w:w="969" w:type="dxa"/>
            <w:tcBorders>
              <w:top w:val="single" w:sz="4" w:space="0" w:color="BFBFBF"/>
              <w:left w:val="nil"/>
              <w:bottom w:val="nil"/>
              <w:right w:val="single" w:sz="4" w:space="0" w:color="BFBFBF"/>
            </w:tcBorders>
            <w:shd w:val="clear" w:color="000000" w:fill="C5D9F1"/>
            <w:hideMark/>
          </w:tcPr>
          <w:p w14:paraId="68EE6027" w14:textId="77777777" w:rsidR="00FD3200" w:rsidRPr="00FD3200" w:rsidRDefault="00FD3200" w:rsidP="00FD3200">
            <w:pPr>
              <w:jc w:val="center"/>
              <w:rPr>
                <w:rFonts w:eastAsia="Times New Roman" w:cs="Calibri"/>
                <w:b/>
                <w:bCs/>
                <w:color w:val="000000"/>
                <w:sz w:val="20"/>
                <w:szCs w:val="20"/>
                <w:lang w:eastAsia="en-AU"/>
              </w:rPr>
            </w:pPr>
            <w:r w:rsidRPr="00FD3200">
              <w:rPr>
                <w:rFonts w:eastAsia="Times New Roman" w:cs="Calibri"/>
                <w:b/>
                <w:bCs/>
                <w:color w:val="000000"/>
                <w:sz w:val="20"/>
                <w:szCs w:val="20"/>
                <w:lang w:eastAsia="en-AU"/>
              </w:rPr>
              <w:t>Capacity data quality</w:t>
            </w:r>
            <w:r w:rsidRPr="00FD3200">
              <w:rPr>
                <w:rFonts w:eastAsia="Times New Roman" w:cs="Calibri"/>
                <w:b/>
                <w:bCs/>
                <w:color w:val="000000"/>
                <w:sz w:val="20"/>
                <w:szCs w:val="20"/>
                <w:lang w:eastAsia="en-AU"/>
              </w:rPr>
              <w:br/>
              <w:t>Good, ok, poor</w:t>
            </w:r>
          </w:p>
        </w:tc>
        <w:tc>
          <w:tcPr>
            <w:tcW w:w="2220" w:type="dxa"/>
            <w:gridSpan w:val="3"/>
            <w:tcBorders>
              <w:top w:val="single" w:sz="4" w:space="0" w:color="BFBFBF"/>
              <w:left w:val="nil"/>
              <w:bottom w:val="nil"/>
              <w:right w:val="single" w:sz="4" w:space="0" w:color="BFBFBF"/>
            </w:tcBorders>
            <w:shd w:val="clear" w:color="000000" w:fill="C5D9F1"/>
            <w:hideMark/>
          </w:tcPr>
          <w:p w14:paraId="1BEBAF28" w14:textId="532989F3" w:rsidR="00FD3200" w:rsidRPr="00FD3200" w:rsidRDefault="00FD3200" w:rsidP="00FD3200">
            <w:pPr>
              <w:jc w:val="center"/>
              <w:rPr>
                <w:rFonts w:eastAsia="Times New Roman" w:cs="Calibri"/>
                <w:b/>
                <w:bCs/>
                <w:color w:val="000000"/>
                <w:sz w:val="20"/>
                <w:szCs w:val="20"/>
                <w:lang w:eastAsia="en-AU"/>
              </w:rPr>
            </w:pPr>
            <w:r w:rsidRPr="00FD3200">
              <w:rPr>
                <w:rFonts w:eastAsia="Times New Roman" w:cs="Calibri"/>
                <w:b/>
                <w:bCs/>
                <w:color w:val="000000"/>
                <w:sz w:val="20"/>
                <w:szCs w:val="20"/>
                <w:lang w:eastAsia="en-AU"/>
              </w:rPr>
              <w:t>Est. year arisings &gt; capacity</w:t>
            </w:r>
            <w:r w:rsidRPr="00FD3200">
              <w:rPr>
                <w:rFonts w:eastAsia="Times New Roman" w:cs="Calibri"/>
                <w:b/>
                <w:bCs/>
                <w:color w:val="000000"/>
                <w:sz w:val="20"/>
                <w:szCs w:val="20"/>
                <w:lang w:eastAsia="en-AU"/>
              </w:rPr>
              <w:br/>
              <w:t>Best        High         Low</w:t>
            </w:r>
          </w:p>
        </w:tc>
        <w:tc>
          <w:tcPr>
            <w:tcW w:w="5257" w:type="dxa"/>
            <w:tcBorders>
              <w:top w:val="single" w:sz="4" w:space="0" w:color="BFBFBF"/>
              <w:left w:val="nil"/>
              <w:bottom w:val="nil"/>
              <w:right w:val="single" w:sz="4" w:space="0" w:color="BFBFBF"/>
            </w:tcBorders>
            <w:shd w:val="clear" w:color="000000" w:fill="C5D9F1"/>
            <w:hideMark/>
          </w:tcPr>
          <w:p w14:paraId="3BAB5617" w14:textId="77777777" w:rsidR="00FD3200" w:rsidRPr="00FD3200" w:rsidRDefault="00FD3200" w:rsidP="00FD3200">
            <w:pPr>
              <w:jc w:val="center"/>
              <w:rPr>
                <w:rFonts w:eastAsia="Times New Roman" w:cs="Calibri"/>
                <w:b/>
                <w:bCs/>
                <w:color w:val="000000"/>
                <w:sz w:val="20"/>
                <w:szCs w:val="20"/>
                <w:lang w:eastAsia="en-AU"/>
              </w:rPr>
            </w:pPr>
            <w:r w:rsidRPr="00FD3200">
              <w:rPr>
                <w:rFonts w:eastAsia="Times New Roman" w:cs="Calibri"/>
                <w:b/>
                <w:bCs/>
                <w:color w:val="000000"/>
                <w:sz w:val="20"/>
                <w:szCs w:val="20"/>
                <w:lang w:eastAsia="en-AU"/>
              </w:rPr>
              <w:t>Assessment discussion and recommendations</w:t>
            </w:r>
          </w:p>
        </w:tc>
      </w:tr>
      <w:tr w:rsidR="00FD3200" w:rsidRPr="00FD3200" w14:paraId="2E90C4CB" w14:textId="77777777" w:rsidTr="00EF647C">
        <w:trPr>
          <w:trHeight w:val="255"/>
        </w:trPr>
        <w:tc>
          <w:tcPr>
            <w:tcW w:w="2830" w:type="dxa"/>
            <w:tcBorders>
              <w:top w:val="single" w:sz="4" w:space="0" w:color="808080"/>
              <w:left w:val="single" w:sz="4" w:space="0" w:color="BFBFBF"/>
              <w:bottom w:val="single" w:sz="4" w:space="0" w:color="BFBFBF"/>
              <w:right w:val="nil"/>
            </w:tcBorders>
            <w:shd w:val="clear" w:color="000000" w:fill="C5D9F1"/>
            <w:noWrap/>
            <w:vAlign w:val="bottom"/>
            <w:hideMark/>
          </w:tcPr>
          <w:p w14:paraId="5E748484" w14:textId="77777777" w:rsidR="00FD3200" w:rsidRPr="00FD3200" w:rsidRDefault="00FD3200" w:rsidP="00FD3200">
            <w:pPr>
              <w:rPr>
                <w:rFonts w:eastAsia="Times New Roman" w:cs="Calibri"/>
                <w:b/>
                <w:bCs/>
                <w:color w:val="000000"/>
                <w:sz w:val="20"/>
                <w:szCs w:val="20"/>
                <w:lang w:eastAsia="en-AU"/>
              </w:rPr>
            </w:pPr>
            <w:r w:rsidRPr="00FD3200">
              <w:rPr>
                <w:rFonts w:eastAsia="Times New Roman" w:cs="Calibri"/>
                <w:b/>
                <w:bCs/>
                <w:color w:val="000000"/>
                <w:sz w:val="20"/>
                <w:szCs w:val="20"/>
                <w:lang w:eastAsia="en-AU"/>
              </w:rPr>
              <w:t>Recycling and energy recovery</w:t>
            </w:r>
          </w:p>
        </w:tc>
        <w:tc>
          <w:tcPr>
            <w:tcW w:w="1039" w:type="dxa"/>
            <w:tcBorders>
              <w:top w:val="single" w:sz="4" w:space="0" w:color="808080"/>
              <w:left w:val="nil"/>
              <w:bottom w:val="single" w:sz="4" w:space="0" w:color="BFBFBF"/>
              <w:right w:val="nil"/>
            </w:tcBorders>
            <w:shd w:val="clear" w:color="000000" w:fill="C5D9F1"/>
            <w:noWrap/>
            <w:vAlign w:val="bottom"/>
            <w:hideMark/>
          </w:tcPr>
          <w:p w14:paraId="370C92DF" w14:textId="77777777" w:rsidR="00FD3200" w:rsidRPr="00FD3200" w:rsidRDefault="00FD3200" w:rsidP="00FD3200">
            <w:pPr>
              <w:rPr>
                <w:rFonts w:eastAsia="Times New Roman" w:cs="Calibri"/>
                <w:b/>
                <w:bCs/>
                <w:color w:val="000000"/>
                <w:sz w:val="20"/>
                <w:szCs w:val="20"/>
                <w:lang w:eastAsia="en-AU"/>
              </w:rPr>
            </w:pPr>
            <w:r w:rsidRPr="00FD3200">
              <w:rPr>
                <w:rFonts w:eastAsia="Times New Roman" w:cs="Calibri"/>
                <w:b/>
                <w:bCs/>
                <w:color w:val="000000"/>
                <w:sz w:val="20"/>
                <w:szCs w:val="20"/>
                <w:lang w:eastAsia="en-AU"/>
              </w:rPr>
              <w:t> </w:t>
            </w:r>
          </w:p>
        </w:tc>
        <w:tc>
          <w:tcPr>
            <w:tcW w:w="963" w:type="dxa"/>
            <w:tcBorders>
              <w:top w:val="single" w:sz="4" w:space="0" w:color="808080"/>
              <w:left w:val="nil"/>
              <w:bottom w:val="single" w:sz="4" w:space="0" w:color="BFBFBF"/>
              <w:right w:val="nil"/>
            </w:tcBorders>
            <w:shd w:val="clear" w:color="000000" w:fill="C5D9F1"/>
            <w:noWrap/>
            <w:vAlign w:val="bottom"/>
            <w:hideMark/>
          </w:tcPr>
          <w:p w14:paraId="786B4375" w14:textId="77777777" w:rsidR="00FD3200" w:rsidRPr="00FD3200" w:rsidRDefault="00FD3200" w:rsidP="00FD3200">
            <w:pPr>
              <w:rPr>
                <w:rFonts w:eastAsia="Times New Roman" w:cs="Calibri"/>
                <w:b/>
                <w:bCs/>
                <w:color w:val="000000"/>
                <w:sz w:val="20"/>
                <w:szCs w:val="20"/>
                <w:lang w:eastAsia="en-AU"/>
              </w:rPr>
            </w:pPr>
            <w:r w:rsidRPr="00FD3200">
              <w:rPr>
                <w:rFonts w:eastAsia="Times New Roman" w:cs="Calibri"/>
                <w:b/>
                <w:bCs/>
                <w:color w:val="000000"/>
                <w:sz w:val="20"/>
                <w:szCs w:val="20"/>
                <w:lang w:eastAsia="en-AU"/>
              </w:rPr>
              <w:t> </w:t>
            </w:r>
          </w:p>
        </w:tc>
        <w:tc>
          <w:tcPr>
            <w:tcW w:w="1034" w:type="dxa"/>
            <w:tcBorders>
              <w:top w:val="single" w:sz="4" w:space="0" w:color="808080"/>
              <w:left w:val="nil"/>
              <w:bottom w:val="single" w:sz="4" w:space="0" w:color="BFBFBF"/>
              <w:right w:val="nil"/>
            </w:tcBorders>
            <w:shd w:val="clear" w:color="000000" w:fill="C5D9F1"/>
            <w:noWrap/>
            <w:vAlign w:val="bottom"/>
            <w:hideMark/>
          </w:tcPr>
          <w:p w14:paraId="4607E686" w14:textId="77777777" w:rsidR="00FD3200" w:rsidRPr="00FD3200" w:rsidRDefault="00FD3200" w:rsidP="00FD3200">
            <w:pPr>
              <w:rPr>
                <w:rFonts w:eastAsia="Times New Roman" w:cs="Calibri"/>
                <w:b/>
                <w:bCs/>
                <w:color w:val="000000"/>
                <w:sz w:val="20"/>
                <w:szCs w:val="20"/>
                <w:lang w:eastAsia="en-AU"/>
              </w:rPr>
            </w:pPr>
            <w:r w:rsidRPr="00FD3200">
              <w:rPr>
                <w:rFonts w:eastAsia="Times New Roman" w:cs="Calibri"/>
                <w:b/>
                <w:bCs/>
                <w:color w:val="000000"/>
                <w:sz w:val="20"/>
                <w:szCs w:val="20"/>
                <w:lang w:eastAsia="en-AU"/>
              </w:rPr>
              <w:t> </w:t>
            </w:r>
          </w:p>
        </w:tc>
        <w:tc>
          <w:tcPr>
            <w:tcW w:w="969" w:type="dxa"/>
            <w:tcBorders>
              <w:top w:val="single" w:sz="4" w:space="0" w:color="808080"/>
              <w:left w:val="nil"/>
              <w:bottom w:val="single" w:sz="4" w:space="0" w:color="BFBFBF"/>
              <w:right w:val="nil"/>
            </w:tcBorders>
            <w:shd w:val="clear" w:color="000000" w:fill="C5D9F1"/>
            <w:noWrap/>
            <w:vAlign w:val="bottom"/>
            <w:hideMark/>
          </w:tcPr>
          <w:p w14:paraId="382388CF" w14:textId="77777777" w:rsidR="00FD3200" w:rsidRPr="00FD3200" w:rsidRDefault="00FD3200" w:rsidP="00FD3200">
            <w:pPr>
              <w:rPr>
                <w:rFonts w:eastAsia="Times New Roman" w:cs="Calibri"/>
                <w:b/>
                <w:bCs/>
                <w:color w:val="000000"/>
                <w:sz w:val="20"/>
                <w:szCs w:val="20"/>
                <w:lang w:eastAsia="en-AU"/>
              </w:rPr>
            </w:pPr>
            <w:r w:rsidRPr="00FD3200">
              <w:rPr>
                <w:rFonts w:eastAsia="Times New Roman" w:cs="Calibri"/>
                <w:b/>
                <w:bCs/>
                <w:color w:val="000000"/>
                <w:sz w:val="20"/>
                <w:szCs w:val="20"/>
                <w:lang w:eastAsia="en-AU"/>
              </w:rPr>
              <w:t> </w:t>
            </w:r>
          </w:p>
        </w:tc>
        <w:tc>
          <w:tcPr>
            <w:tcW w:w="740" w:type="dxa"/>
            <w:tcBorders>
              <w:top w:val="single" w:sz="4" w:space="0" w:color="808080"/>
              <w:left w:val="nil"/>
              <w:bottom w:val="single" w:sz="4" w:space="0" w:color="BFBFBF"/>
              <w:right w:val="nil"/>
            </w:tcBorders>
            <w:shd w:val="clear" w:color="000000" w:fill="C5D9F1"/>
            <w:noWrap/>
            <w:vAlign w:val="bottom"/>
            <w:hideMark/>
          </w:tcPr>
          <w:p w14:paraId="464436C7" w14:textId="77777777" w:rsidR="00FD3200" w:rsidRPr="00FD3200" w:rsidRDefault="00FD3200" w:rsidP="00FD3200">
            <w:pPr>
              <w:rPr>
                <w:rFonts w:eastAsia="Times New Roman" w:cs="Calibri"/>
                <w:b/>
                <w:bCs/>
                <w:color w:val="000000"/>
                <w:sz w:val="20"/>
                <w:szCs w:val="20"/>
                <w:lang w:eastAsia="en-AU"/>
              </w:rPr>
            </w:pPr>
            <w:r w:rsidRPr="00FD3200">
              <w:rPr>
                <w:rFonts w:eastAsia="Times New Roman" w:cs="Calibri"/>
                <w:b/>
                <w:bCs/>
                <w:color w:val="000000"/>
                <w:sz w:val="20"/>
                <w:szCs w:val="20"/>
                <w:lang w:eastAsia="en-AU"/>
              </w:rPr>
              <w:t> </w:t>
            </w:r>
          </w:p>
        </w:tc>
        <w:tc>
          <w:tcPr>
            <w:tcW w:w="740" w:type="dxa"/>
            <w:tcBorders>
              <w:top w:val="single" w:sz="4" w:space="0" w:color="808080"/>
              <w:left w:val="nil"/>
              <w:bottom w:val="single" w:sz="4" w:space="0" w:color="BFBFBF"/>
              <w:right w:val="nil"/>
            </w:tcBorders>
            <w:shd w:val="clear" w:color="000000" w:fill="C5D9F1"/>
            <w:noWrap/>
            <w:vAlign w:val="bottom"/>
            <w:hideMark/>
          </w:tcPr>
          <w:p w14:paraId="41F6585E" w14:textId="77777777" w:rsidR="00FD3200" w:rsidRPr="00FD3200" w:rsidRDefault="00FD3200" w:rsidP="00FD3200">
            <w:pPr>
              <w:rPr>
                <w:rFonts w:eastAsia="Times New Roman" w:cs="Calibri"/>
                <w:b/>
                <w:bCs/>
                <w:color w:val="000000"/>
                <w:sz w:val="20"/>
                <w:szCs w:val="20"/>
                <w:lang w:eastAsia="en-AU"/>
              </w:rPr>
            </w:pPr>
            <w:r w:rsidRPr="00FD3200">
              <w:rPr>
                <w:rFonts w:eastAsia="Times New Roman" w:cs="Calibri"/>
                <w:b/>
                <w:bCs/>
                <w:color w:val="000000"/>
                <w:sz w:val="20"/>
                <w:szCs w:val="20"/>
                <w:lang w:eastAsia="en-AU"/>
              </w:rPr>
              <w:t> </w:t>
            </w:r>
          </w:p>
        </w:tc>
        <w:tc>
          <w:tcPr>
            <w:tcW w:w="740" w:type="dxa"/>
            <w:tcBorders>
              <w:top w:val="single" w:sz="4" w:space="0" w:color="808080"/>
              <w:left w:val="nil"/>
              <w:bottom w:val="single" w:sz="4" w:space="0" w:color="BFBFBF"/>
              <w:right w:val="single" w:sz="4" w:space="0" w:color="BFBFBF"/>
            </w:tcBorders>
            <w:shd w:val="clear" w:color="000000" w:fill="C5D9F1"/>
            <w:noWrap/>
            <w:vAlign w:val="bottom"/>
            <w:hideMark/>
          </w:tcPr>
          <w:p w14:paraId="22A8F374" w14:textId="77777777" w:rsidR="00FD3200" w:rsidRPr="00FD3200" w:rsidRDefault="00FD3200" w:rsidP="00FD3200">
            <w:pPr>
              <w:rPr>
                <w:rFonts w:eastAsia="Times New Roman" w:cs="Calibri"/>
                <w:b/>
                <w:bCs/>
                <w:color w:val="000000"/>
                <w:sz w:val="20"/>
                <w:szCs w:val="20"/>
                <w:lang w:eastAsia="en-AU"/>
              </w:rPr>
            </w:pPr>
            <w:r w:rsidRPr="00FD3200">
              <w:rPr>
                <w:rFonts w:eastAsia="Times New Roman" w:cs="Calibri"/>
                <w:b/>
                <w:bCs/>
                <w:color w:val="000000"/>
                <w:sz w:val="20"/>
                <w:szCs w:val="20"/>
                <w:lang w:eastAsia="en-AU"/>
              </w:rPr>
              <w:t> </w:t>
            </w:r>
          </w:p>
        </w:tc>
        <w:tc>
          <w:tcPr>
            <w:tcW w:w="5257" w:type="dxa"/>
            <w:vMerge w:val="restart"/>
            <w:tcBorders>
              <w:top w:val="single" w:sz="4" w:space="0" w:color="808080"/>
              <w:left w:val="single" w:sz="4" w:space="0" w:color="BFBFBF"/>
              <w:bottom w:val="single" w:sz="4" w:space="0" w:color="BFBFBF"/>
              <w:right w:val="single" w:sz="4" w:space="0" w:color="BFBFBF"/>
            </w:tcBorders>
            <w:shd w:val="clear" w:color="000000" w:fill="FFFFFF"/>
          </w:tcPr>
          <w:p w14:paraId="2CA76B9F" w14:textId="77777777" w:rsidR="00E53115" w:rsidRDefault="00763475" w:rsidP="00FD3200">
            <w:pPr>
              <w:rPr>
                <w:rFonts w:asciiTheme="minorHAnsi" w:eastAsia="Times New Roman" w:hAnsiTheme="minorHAnsi" w:cstheme="minorHAnsi"/>
                <w:color w:val="000000"/>
                <w:sz w:val="20"/>
                <w:szCs w:val="20"/>
                <w:lang w:eastAsia="en-AU"/>
              </w:rPr>
            </w:pPr>
            <w:r w:rsidRPr="00100F0A">
              <w:rPr>
                <w:rFonts w:asciiTheme="minorHAnsi" w:eastAsia="Times New Roman" w:hAnsiTheme="minorHAnsi" w:cstheme="minorHAnsi"/>
                <w:b/>
                <w:bCs/>
                <w:color w:val="000000"/>
                <w:sz w:val="20"/>
                <w:szCs w:val="20"/>
                <w:lang w:eastAsia="en-AU"/>
              </w:rPr>
              <w:t>Recycling and energy recovery</w:t>
            </w:r>
            <w:r w:rsidRPr="00100F0A">
              <w:rPr>
                <w:rFonts w:asciiTheme="minorHAnsi" w:eastAsia="Times New Roman" w:hAnsiTheme="minorHAnsi" w:cstheme="minorHAnsi"/>
                <w:color w:val="000000"/>
                <w:sz w:val="20"/>
                <w:szCs w:val="20"/>
                <w:lang w:eastAsia="en-AU"/>
              </w:rPr>
              <w:br/>
              <w:t xml:space="preserve">- NSW recycling and energy recovery infrastructure capacity is projected to be sufficient for all infrastructure groups apart from hazwaste packaging, oil re-refining and organics processing. </w:t>
            </w:r>
            <w:r w:rsidRPr="00100F0A">
              <w:rPr>
                <w:rFonts w:asciiTheme="minorHAnsi" w:eastAsia="Times New Roman" w:hAnsiTheme="minorHAnsi" w:cstheme="minorHAnsi"/>
                <w:color w:val="000000"/>
                <w:sz w:val="20"/>
                <w:szCs w:val="20"/>
                <w:lang w:eastAsia="en-AU"/>
              </w:rPr>
              <w:br/>
              <w:t xml:space="preserve">- Organics processing capacity assessment has limited coverage as composting facilities are excluded and may not be accurate. </w:t>
            </w:r>
            <w:r w:rsidRPr="00100F0A">
              <w:rPr>
                <w:rFonts w:asciiTheme="minorHAnsi" w:eastAsia="Times New Roman" w:hAnsiTheme="minorHAnsi" w:cstheme="minorHAnsi"/>
                <w:color w:val="000000"/>
                <w:sz w:val="20"/>
                <w:szCs w:val="20"/>
                <w:lang w:eastAsia="en-AU"/>
              </w:rPr>
              <w:br/>
              <w:t>- Hazardous waste packaging facilities capacity assessment is poor due to a poor industry response rate. There are four facilities across NSW, that are likely to have sufficient capacity for this waste stream.</w:t>
            </w:r>
            <w:r w:rsidRPr="00100F0A">
              <w:rPr>
                <w:rFonts w:asciiTheme="minorHAnsi" w:eastAsia="Times New Roman" w:hAnsiTheme="minorHAnsi" w:cstheme="minorHAnsi"/>
                <w:color w:val="000000"/>
                <w:sz w:val="20"/>
                <w:szCs w:val="20"/>
                <w:lang w:eastAsia="en-AU"/>
              </w:rPr>
              <w:br/>
              <w:t xml:space="preserve">- Oil (re-refining) capacity may be constrained in NSW resulting in waste oil being exported interstate (Qld) for processing. </w:t>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b/>
                <w:bCs/>
                <w:color w:val="000000"/>
                <w:sz w:val="20"/>
                <w:szCs w:val="20"/>
                <w:lang w:eastAsia="en-AU"/>
              </w:rPr>
              <w:t>Treatment</w:t>
            </w:r>
            <w:r w:rsidRPr="00100F0A">
              <w:rPr>
                <w:rFonts w:asciiTheme="minorHAnsi" w:eastAsia="Times New Roman" w:hAnsiTheme="minorHAnsi" w:cstheme="minorHAnsi"/>
                <w:color w:val="000000"/>
                <w:sz w:val="20"/>
                <w:szCs w:val="20"/>
                <w:lang w:eastAsia="en-AU"/>
              </w:rPr>
              <w:br/>
              <w:t>- CPT plant capacity is likely to be sufficient and this includes CSG mining industry waste growing very strongly and some volumes being sent off</w:t>
            </w:r>
            <w:r>
              <w:rPr>
                <w:rFonts w:asciiTheme="minorHAnsi" w:eastAsia="Times New Roman" w:hAnsiTheme="minorHAnsi" w:cstheme="minorHAnsi"/>
                <w:color w:val="000000"/>
                <w:sz w:val="20"/>
                <w:szCs w:val="20"/>
                <w:lang w:eastAsia="en-AU"/>
              </w:rPr>
              <w:t>-</w:t>
            </w:r>
            <w:r w:rsidRPr="00100F0A">
              <w:rPr>
                <w:rFonts w:asciiTheme="minorHAnsi" w:eastAsia="Times New Roman" w:hAnsiTheme="minorHAnsi" w:cstheme="minorHAnsi"/>
                <w:color w:val="000000"/>
                <w:sz w:val="20"/>
                <w:szCs w:val="20"/>
                <w:lang w:eastAsia="en-AU"/>
              </w:rPr>
              <w:t xml:space="preserve">site to CPT plants. </w:t>
            </w:r>
            <w:r w:rsidRPr="00100F0A">
              <w:rPr>
                <w:rFonts w:asciiTheme="minorHAnsi" w:eastAsia="Times New Roman" w:hAnsiTheme="minorHAnsi" w:cstheme="minorHAnsi"/>
                <w:color w:val="000000"/>
                <w:sz w:val="20"/>
                <w:szCs w:val="20"/>
                <w:lang w:eastAsia="en-AU"/>
              </w:rPr>
              <w:br/>
              <w:t>- Clinical waste treatment capacities could be constrained and these wastes are likely being sent interstate. NEPM 2016-17 data for clinical waste confirms net exports from NSW to other jurisdictions.</w:t>
            </w:r>
            <w:r w:rsidRPr="00100F0A">
              <w:rPr>
                <w:rFonts w:asciiTheme="minorHAnsi" w:eastAsia="Times New Roman" w:hAnsiTheme="minorHAnsi" w:cstheme="minorHAnsi"/>
                <w:color w:val="000000"/>
                <w:sz w:val="20"/>
                <w:szCs w:val="20"/>
                <w:lang w:eastAsia="en-AU"/>
              </w:rPr>
              <w:br/>
              <w:t xml:space="preserve">- Contaminated soils treatment arisings are reported as zero, which is due to NSW not tracking contaminated soils. If NSW soils treatment capacity was to become constrained the soils may be sent to </w:t>
            </w:r>
            <w:r>
              <w:rPr>
                <w:rFonts w:asciiTheme="minorHAnsi" w:eastAsia="Times New Roman" w:hAnsiTheme="minorHAnsi" w:cstheme="minorHAnsi"/>
                <w:color w:val="000000"/>
                <w:sz w:val="20"/>
                <w:szCs w:val="20"/>
                <w:lang w:eastAsia="en-AU"/>
              </w:rPr>
              <w:t>Vic</w:t>
            </w:r>
            <w:r w:rsidRPr="00100F0A">
              <w:rPr>
                <w:rFonts w:asciiTheme="minorHAnsi" w:eastAsia="Times New Roman" w:hAnsiTheme="minorHAnsi" w:cstheme="minorHAnsi"/>
                <w:color w:val="000000"/>
                <w:sz w:val="20"/>
                <w:szCs w:val="20"/>
                <w:lang w:eastAsia="en-AU"/>
              </w:rPr>
              <w:t xml:space="preserve"> for treatment (approval required).</w:t>
            </w:r>
            <w:r w:rsidRPr="00100F0A">
              <w:rPr>
                <w:rFonts w:asciiTheme="minorHAnsi" w:eastAsia="Times New Roman" w:hAnsiTheme="minorHAnsi" w:cstheme="minorHAnsi"/>
                <w:color w:val="000000"/>
                <w:sz w:val="20"/>
                <w:szCs w:val="20"/>
                <w:lang w:eastAsia="en-AU"/>
              </w:rPr>
              <w:br/>
              <w:t>- NSW OWT capacity could be constrained currently, however, the capacity estimate for this group is poor due to poor industry response and a diffuse infrastructure group that may be missing sites and capacity.</w:t>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b/>
                <w:bCs/>
                <w:color w:val="000000"/>
                <w:sz w:val="20"/>
                <w:szCs w:val="20"/>
                <w:lang w:eastAsia="en-AU"/>
              </w:rPr>
              <w:t>Disposal (landfill and thermal destruction)</w:t>
            </w:r>
            <w:r w:rsidRPr="00100F0A">
              <w:rPr>
                <w:rFonts w:asciiTheme="minorHAnsi" w:eastAsia="Times New Roman" w:hAnsiTheme="minorHAnsi" w:cstheme="minorHAnsi"/>
                <w:color w:val="000000"/>
                <w:sz w:val="20"/>
                <w:szCs w:val="20"/>
                <w:lang w:eastAsia="en-AU"/>
              </w:rPr>
              <w:br/>
              <w:t xml:space="preserve">- Hazwaste landfill could have insufficient annual landfill disposal capacity currently or by 2020 which could require a licence amendment or changes in site management to take more tonnages per year. </w:t>
            </w:r>
          </w:p>
          <w:p w14:paraId="63AE6E9F" w14:textId="77777777" w:rsidR="00E53115" w:rsidRDefault="00E53115" w:rsidP="00FD3200">
            <w:pPr>
              <w:rPr>
                <w:rFonts w:asciiTheme="minorHAnsi" w:eastAsia="Times New Roman" w:hAnsiTheme="minorHAnsi" w:cstheme="minorHAnsi"/>
                <w:color w:val="000000"/>
                <w:sz w:val="20"/>
                <w:szCs w:val="20"/>
                <w:lang w:eastAsia="en-AU"/>
              </w:rPr>
            </w:pPr>
          </w:p>
          <w:p w14:paraId="245BB624" w14:textId="30B373F1" w:rsidR="00E53115" w:rsidRDefault="00E53115" w:rsidP="00FD3200">
            <w:pPr>
              <w:rPr>
                <w:rFonts w:asciiTheme="minorHAnsi" w:eastAsia="Times New Roman" w:hAnsiTheme="minorHAnsi" w:cstheme="minorHAnsi"/>
                <w:color w:val="000000"/>
                <w:sz w:val="20"/>
                <w:szCs w:val="20"/>
                <w:lang w:eastAsia="en-AU"/>
              </w:rPr>
            </w:pPr>
            <w:r w:rsidRPr="004909AC">
              <w:rPr>
                <w:rFonts w:eastAsia="Times New Roman"/>
                <w:sz w:val="20"/>
                <w:szCs w:val="20"/>
                <w:shd w:val="clear" w:color="auto" w:fill="FF0000"/>
              </w:rPr>
              <w:t>Text withheld to maintain commercial confidentiality</w:t>
            </w:r>
            <w:r w:rsidRPr="00100F0A">
              <w:rPr>
                <w:rFonts w:asciiTheme="minorHAnsi" w:eastAsia="Times New Roman" w:hAnsiTheme="minorHAnsi" w:cstheme="minorHAnsi"/>
                <w:color w:val="000000"/>
                <w:sz w:val="18"/>
                <w:szCs w:val="18"/>
                <w:lang w:eastAsia="en-AU"/>
              </w:rPr>
              <w:t>.</w:t>
            </w:r>
          </w:p>
          <w:p w14:paraId="469072CC" w14:textId="2BAEC8FE" w:rsidR="00FD3200" w:rsidRPr="00FD3200" w:rsidRDefault="00763475" w:rsidP="00FD3200">
            <w:pPr>
              <w:rPr>
                <w:rFonts w:eastAsia="Times New Roman" w:cs="Calibri"/>
                <w:color w:val="000000"/>
                <w:sz w:val="20"/>
                <w:szCs w:val="20"/>
                <w:lang w:eastAsia="en-AU"/>
              </w:rPr>
            </w:pPr>
            <w:r w:rsidRPr="00100F0A">
              <w:rPr>
                <w:rFonts w:asciiTheme="minorHAnsi" w:eastAsia="Times New Roman" w:hAnsiTheme="minorHAnsi" w:cstheme="minorHAnsi"/>
                <w:color w:val="000000"/>
                <w:sz w:val="20"/>
                <w:szCs w:val="20"/>
                <w:lang w:eastAsia="en-AU"/>
              </w:rPr>
              <w:t xml:space="preserve"> </w:t>
            </w:r>
            <w:r w:rsidRPr="00100F0A">
              <w:rPr>
                <w:rFonts w:asciiTheme="minorHAnsi" w:eastAsia="Times New Roman" w:hAnsiTheme="minorHAnsi" w:cstheme="minorHAnsi"/>
                <w:color w:val="000000"/>
                <w:sz w:val="20"/>
                <w:szCs w:val="20"/>
                <w:lang w:eastAsia="en-AU"/>
              </w:rPr>
              <w:br/>
              <w:t xml:space="preserve">- </w:t>
            </w:r>
            <w:r>
              <w:rPr>
                <w:rFonts w:asciiTheme="minorHAnsi" w:eastAsia="Times New Roman" w:hAnsiTheme="minorHAnsi" w:cstheme="minorHAnsi"/>
                <w:color w:val="000000"/>
                <w:sz w:val="20"/>
                <w:szCs w:val="20"/>
                <w:lang w:eastAsia="en-AU"/>
              </w:rPr>
              <w:t>POP</w:t>
            </w:r>
            <w:r w:rsidRPr="00100F0A">
              <w:rPr>
                <w:rFonts w:asciiTheme="minorHAnsi" w:eastAsia="Times New Roman" w:hAnsiTheme="minorHAnsi" w:cstheme="minorHAnsi"/>
                <w:color w:val="000000"/>
                <w:sz w:val="20"/>
                <w:szCs w:val="20"/>
                <w:lang w:eastAsia="en-AU"/>
              </w:rPr>
              <w:t xml:space="preserve"> (PFOS, BDEs, HBCD, HCB) will be sent interstate for thermal destruction where required.</w:t>
            </w:r>
            <w:r w:rsidRPr="00100F0A">
              <w:rPr>
                <w:rFonts w:asciiTheme="minorHAnsi" w:eastAsia="Times New Roman" w:hAnsiTheme="minorHAnsi" w:cstheme="minorHAnsi"/>
                <w:color w:val="000000"/>
                <w:sz w:val="20"/>
                <w:szCs w:val="20"/>
                <w:lang w:eastAsia="en-AU"/>
              </w:rPr>
              <w:br/>
              <w:t>- NSW clinical waste thermal destruction capacity is projected to provide sufficient capacity over the next 20 years.</w:t>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b/>
                <w:bCs/>
                <w:color w:val="000000"/>
                <w:sz w:val="20"/>
                <w:szCs w:val="20"/>
                <w:lang w:eastAsia="en-AU"/>
              </w:rPr>
              <w:t>Transfer station or temporary storage</w:t>
            </w:r>
            <w:r w:rsidRPr="00100F0A">
              <w:rPr>
                <w:rFonts w:asciiTheme="minorHAnsi" w:eastAsia="Times New Roman" w:hAnsiTheme="minorHAnsi" w:cstheme="minorHAnsi"/>
                <w:color w:val="000000"/>
                <w:sz w:val="20"/>
                <w:szCs w:val="20"/>
                <w:lang w:eastAsia="en-AU"/>
              </w:rPr>
              <w:br/>
              <w:t>- NSW transfer capacity may already be exceeded, however, capacity estimates are incomplete due to limited infrastructure coverage and some capacity being provided within other infrastructure groups. The capacity of transfer infrastructure is also not fixed (i.e. capacity can be scaled up and down by simply increas</w:t>
            </w:r>
            <w:r>
              <w:rPr>
                <w:rFonts w:asciiTheme="minorHAnsi" w:eastAsia="Times New Roman" w:hAnsiTheme="minorHAnsi" w:cstheme="minorHAnsi"/>
                <w:color w:val="000000"/>
                <w:sz w:val="20"/>
                <w:szCs w:val="20"/>
                <w:lang w:eastAsia="en-AU"/>
              </w:rPr>
              <w:t>ing</w:t>
            </w:r>
            <w:r w:rsidRPr="00100F0A">
              <w:rPr>
                <w:rFonts w:asciiTheme="minorHAnsi" w:eastAsia="Times New Roman" w:hAnsiTheme="minorHAnsi" w:cstheme="minorHAnsi"/>
                <w:color w:val="000000"/>
                <w:sz w:val="20"/>
                <w:szCs w:val="20"/>
                <w:lang w:eastAsia="en-AU"/>
              </w:rPr>
              <w:t xml:space="preserve"> the rate of loads transfer</w:t>
            </w:r>
            <w:r>
              <w:rPr>
                <w:rFonts w:asciiTheme="minorHAnsi" w:eastAsia="Times New Roman" w:hAnsiTheme="minorHAnsi" w:cstheme="minorHAnsi"/>
                <w:color w:val="000000"/>
                <w:sz w:val="20"/>
                <w:szCs w:val="20"/>
                <w:lang w:eastAsia="en-AU"/>
              </w:rPr>
              <w:t>red</w:t>
            </w:r>
            <w:r w:rsidRPr="00100F0A">
              <w:rPr>
                <w:rFonts w:asciiTheme="minorHAnsi" w:eastAsia="Times New Roman" w:hAnsiTheme="minorHAnsi" w:cstheme="minorHAnsi"/>
                <w:color w:val="000000"/>
                <w:sz w:val="20"/>
                <w:szCs w:val="20"/>
                <w:lang w:eastAsia="en-AU"/>
              </w:rPr>
              <w:t xml:space="preserve">). </w:t>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b/>
                <w:bCs/>
                <w:color w:val="000000"/>
                <w:sz w:val="20"/>
                <w:szCs w:val="20"/>
                <w:lang w:eastAsia="en-AU"/>
              </w:rPr>
              <w:t>NEPM 2016-17 data</w:t>
            </w:r>
            <w:r w:rsidRPr="00100F0A">
              <w:rPr>
                <w:rFonts w:asciiTheme="minorHAnsi" w:eastAsia="Times New Roman" w:hAnsiTheme="minorHAnsi" w:cstheme="minorHAnsi"/>
                <w:color w:val="000000"/>
                <w:sz w:val="20"/>
                <w:szCs w:val="20"/>
                <w:lang w:eastAsia="en-AU"/>
              </w:rPr>
              <w:t xml:space="preserve"> showed that NSW had net exports of 36 kt of hazardous wastes (organics chemicals, pesticides, oils, soils and clinical wastes) to other jurisdictions.</w:t>
            </w:r>
          </w:p>
        </w:tc>
      </w:tr>
      <w:tr w:rsidR="00F42A40" w:rsidRPr="00FD3200" w14:paraId="375C8584"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2DA5A92" w14:textId="77777777" w:rsidR="00F42A40" w:rsidRPr="00FD3200" w:rsidRDefault="00F42A40" w:rsidP="00F42A40">
            <w:pPr>
              <w:jc w:val="right"/>
              <w:rPr>
                <w:rFonts w:eastAsia="Times New Roman" w:cs="Calibri"/>
                <w:color w:val="000000"/>
                <w:sz w:val="20"/>
                <w:szCs w:val="20"/>
                <w:lang w:eastAsia="en-AU"/>
              </w:rPr>
            </w:pPr>
            <w:r w:rsidRPr="00FD3200">
              <w:rPr>
                <w:rFonts w:eastAsia="Times New Roman" w:cs="Calibri"/>
                <w:color w:val="000000"/>
                <w:sz w:val="20"/>
                <w:szCs w:val="20"/>
                <w:lang w:eastAsia="en-AU"/>
              </w:rPr>
              <w:t>Hazardous waste packaging facility</w:t>
            </w:r>
          </w:p>
        </w:tc>
        <w:tc>
          <w:tcPr>
            <w:tcW w:w="1039" w:type="dxa"/>
            <w:tcBorders>
              <w:top w:val="nil"/>
              <w:left w:val="nil"/>
              <w:bottom w:val="single" w:sz="4" w:space="0" w:color="BFBFBF"/>
              <w:right w:val="single" w:sz="4" w:space="0" w:color="BFBFBF"/>
            </w:tcBorders>
            <w:shd w:val="clear" w:color="000000" w:fill="FFFFFF"/>
            <w:noWrap/>
            <w:hideMark/>
          </w:tcPr>
          <w:p w14:paraId="0DD136B5" w14:textId="4449E77E" w:rsidR="00F42A40" w:rsidRPr="00FD3200" w:rsidRDefault="00F42A40" w:rsidP="00F42A40">
            <w:pPr>
              <w:jc w:val="right"/>
              <w:rPr>
                <w:rFonts w:eastAsia="Times New Roman" w:cs="Calibri"/>
                <w:color w:val="000000"/>
                <w:sz w:val="20"/>
                <w:szCs w:val="20"/>
                <w:lang w:eastAsia="en-AU"/>
              </w:rPr>
            </w:pPr>
            <w:r>
              <w:rPr>
                <w:color w:val="000000"/>
                <w:sz w:val="20"/>
                <w:szCs w:val="20"/>
              </w:rPr>
              <w:t>7,982</w:t>
            </w:r>
          </w:p>
        </w:tc>
        <w:tc>
          <w:tcPr>
            <w:tcW w:w="963" w:type="dxa"/>
            <w:tcBorders>
              <w:top w:val="nil"/>
              <w:left w:val="nil"/>
              <w:right w:val="single" w:sz="4" w:space="0" w:color="BFBFBF"/>
            </w:tcBorders>
            <w:shd w:val="clear" w:color="auto" w:fill="auto"/>
            <w:noWrap/>
            <w:vAlign w:val="center"/>
          </w:tcPr>
          <w:p w14:paraId="2E2C82EB" w14:textId="6B61739D" w:rsidR="00F42A40" w:rsidRPr="00FD3200"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34" w:type="dxa"/>
            <w:tcBorders>
              <w:top w:val="nil"/>
              <w:left w:val="nil"/>
              <w:right w:val="single" w:sz="4" w:space="0" w:color="BFBFBF"/>
            </w:tcBorders>
            <w:shd w:val="clear" w:color="auto" w:fill="auto"/>
            <w:noWrap/>
            <w:vAlign w:val="center"/>
          </w:tcPr>
          <w:p w14:paraId="7CA72E96" w14:textId="149D48D8" w:rsidR="00F42A40" w:rsidRPr="00FD3200"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69" w:type="dxa"/>
            <w:tcBorders>
              <w:top w:val="nil"/>
              <w:left w:val="nil"/>
              <w:bottom w:val="single" w:sz="4" w:space="0" w:color="BFBFBF"/>
              <w:right w:val="single" w:sz="4" w:space="0" w:color="BFBFBF"/>
            </w:tcBorders>
            <w:shd w:val="clear" w:color="auto" w:fill="auto"/>
            <w:noWrap/>
            <w:hideMark/>
          </w:tcPr>
          <w:p w14:paraId="34B319B1" w14:textId="38510147" w:rsidR="00F42A40" w:rsidRPr="00FD3200" w:rsidRDefault="00F42A40" w:rsidP="00F42A40">
            <w:pPr>
              <w:jc w:val="center"/>
              <w:rPr>
                <w:rFonts w:eastAsia="Times New Roman" w:cs="Calibri"/>
                <w:color w:val="000000"/>
                <w:sz w:val="20"/>
                <w:szCs w:val="20"/>
                <w:lang w:eastAsia="en-AU"/>
              </w:rPr>
            </w:pPr>
            <w:r>
              <w:rPr>
                <w:color w:val="000000"/>
                <w:sz w:val="20"/>
                <w:szCs w:val="20"/>
              </w:rPr>
              <w:t>Poor</w:t>
            </w:r>
          </w:p>
        </w:tc>
        <w:tc>
          <w:tcPr>
            <w:tcW w:w="740" w:type="dxa"/>
            <w:tcBorders>
              <w:top w:val="nil"/>
              <w:left w:val="nil"/>
              <w:bottom w:val="single" w:sz="4" w:space="0" w:color="BFBFBF"/>
              <w:right w:val="single" w:sz="4" w:space="0" w:color="BFBFBF"/>
            </w:tcBorders>
            <w:shd w:val="clear" w:color="000000" w:fill="FFFFFF"/>
            <w:noWrap/>
            <w:hideMark/>
          </w:tcPr>
          <w:p w14:paraId="55ED760A" w14:textId="16AACD39" w:rsidR="00F42A40" w:rsidRPr="00FD3200" w:rsidRDefault="00F42A40" w:rsidP="00F42A40">
            <w:pPr>
              <w:jc w:val="center"/>
              <w:rPr>
                <w:rFonts w:eastAsia="Times New Roman" w:cs="Calibri"/>
                <w:color w:val="000000"/>
                <w:sz w:val="20"/>
                <w:szCs w:val="20"/>
                <w:lang w:eastAsia="en-AU"/>
              </w:rPr>
            </w:pPr>
            <w:r>
              <w:rPr>
                <w:color w:val="000000"/>
                <w:sz w:val="20"/>
                <w:szCs w:val="20"/>
              </w:rPr>
              <w:t>2018</w:t>
            </w:r>
          </w:p>
        </w:tc>
        <w:tc>
          <w:tcPr>
            <w:tcW w:w="740" w:type="dxa"/>
            <w:tcBorders>
              <w:top w:val="nil"/>
              <w:left w:val="nil"/>
              <w:bottom w:val="single" w:sz="4" w:space="0" w:color="BFBFBF"/>
              <w:right w:val="single" w:sz="4" w:space="0" w:color="BFBFBF"/>
            </w:tcBorders>
            <w:shd w:val="clear" w:color="000000" w:fill="FFFFFF"/>
            <w:noWrap/>
            <w:hideMark/>
          </w:tcPr>
          <w:p w14:paraId="11D63634" w14:textId="318FC1AD" w:rsidR="00F42A40" w:rsidRPr="00FD3200" w:rsidRDefault="00F42A40" w:rsidP="00F42A40">
            <w:pPr>
              <w:jc w:val="center"/>
              <w:rPr>
                <w:rFonts w:eastAsia="Times New Roman" w:cs="Calibri"/>
                <w:color w:val="000000"/>
                <w:sz w:val="20"/>
                <w:szCs w:val="20"/>
                <w:lang w:eastAsia="en-AU"/>
              </w:rPr>
            </w:pPr>
            <w:r>
              <w:rPr>
                <w:color w:val="000000"/>
                <w:sz w:val="20"/>
                <w:szCs w:val="20"/>
              </w:rPr>
              <w:t>2018</w:t>
            </w:r>
          </w:p>
        </w:tc>
        <w:tc>
          <w:tcPr>
            <w:tcW w:w="740" w:type="dxa"/>
            <w:tcBorders>
              <w:top w:val="nil"/>
              <w:left w:val="nil"/>
              <w:bottom w:val="single" w:sz="4" w:space="0" w:color="BFBFBF"/>
              <w:right w:val="single" w:sz="4" w:space="0" w:color="BFBFBF"/>
            </w:tcBorders>
            <w:shd w:val="clear" w:color="000000" w:fill="FFFFFF"/>
            <w:noWrap/>
            <w:hideMark/>
          </w:tcPr>
          <w:p w14:paraId="61EA10D3" w14:textId="7305C5A3" w:rsidR="00F42A40" w:rsidRPr="00FD3200" w:rsidRDefault="00F42A40" w:rsidP="00F42A40">
            <w:pPr>
              <w:jc w:val="center"/>
              <w:rPr>
                <w:rFonts w:eastAsia="Times New Roman" w:cs="Calibri"/>
                <w:color w:val="000000"/>
                <w:sz w:val="20"/>
                <w:szCs w:val="20"/>
                <w:lang w:eastAsia="en-AU"/>
              </w:rPr>
            </w:pPr>
            <w:r>
              <w:rPr>
                <w:color w:val="000000"/>
                <w:sz w:val="20"/>
                <w:szCs w:val="20"/>
              </w:rPr>
              <w:t>2018</w:t>
            </w:r>
          </w:p>
        </w:tc>
        <w:tc>
          <w:tcPr>
            <w:tcW w:w="5257" w:type="dxa"/>
            <w:vMerge/>
            <w:tcBorders>
              <w:top w:val="single" w:sz="4" w:space="0" w:color="808080"/>
              <w:left w:val="single" w:sz="4" w:space="0" w:color="BFBFBF"/>
              <w:bottom w:val="single" w:sz="4" w:space="0" w:color="BFBFBF"/>
              <w:right w:val="single" w:sz="4" w:space="0" w:color="BFBFBF"/>
            </w:tcBorders>
            <w:vAlign w:val="center"/>
            <w:hideMark/>
          </w:tcPr>
          <w:p w14:paraId="6B9467BC" w14:textId="77777777" w:rsidR="00F42A40" w:rsidRPr="00FD3200" w:rsidRDefault="00F42A40" w:rsidP="00F42A40">
            <w:pPr>
              <w:rPr>
                <w:rFonts w:eastAsia="Times New Roman" w:cs="Calibri"/>
                <w:color w:val="000000"/>
                <w:sz w:val="20"/>
                <w:szCs w:val="20"/>
                <w:lang w:eastAsia="en-AU"/>
              </w:rPr>
            </w:pPr>
          </w:p>
        </w:tc>
      </w:tr>
      <w:tr w:rsidR="00F42A40" w:rsidRPr="00FD3200" w14:paraId="625692E3"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737AFA48" w14:textId="77777777" w:rsidR="00F42A40" w:rsidRPr="00FD3200" w:rsidRDefault="00F42A40" w:rsidP="00F42A40">
            <w:pPr>
              <w:jc w:val="right"/>
              <w:rPr>
                <w:rFonts w:eastAsia="Times New Roman" w:cs="Calibri"/>
                <w:color w:val="000000"/>
                <w:sz w:val="20"/>
                <w:szCs w:val="20"/>
                <w:lang w:eastAsia="en-AU"/>
              </w:rPr>
            </w:pPr>
            <w:r w:rsidRPr="00FD3200">
              <w:rPr>
                <w:rFonts w:eastAsia="Times New Roman" w:cs="Calibri"/>
                <w:color w:val="000000"/>
                <w:sz w:val="20"/>
                <w:szCs w:val="20"/>
                <w:lang w:eastAsia="en-AU"/>
              </w:rPr>
              <w:t>E-waste facility</w:t>
            </w:r>
          </w:p>
        </w:tc>
        <w:tc>
          <w:tcPr>
            <w:tcW w:w="1039" w:type="dxa"/>
            <w:tcBorders>
              <w:top w:val="nil"/>
              <w:left w:val="nil"/>
              <w:bottom w:val="single" w:sz="4" w:space="0" w:color="BFBFBF"/>
              <w:right w:val="single" w:sz="4" w:space="0" w:color="BFBFBF"/>
            </w:tcBorders>
            <w:shd w:val="clear" w:color="000000" w:fill="FFFFFF"/>
            <w:noWrap/>
            <w:hideMark/>
          </w:tcPr>
          <w:p w14:paraId="4FE09A7C" w14:textId="3F7BFC78" w:rsidR="00F42A40" w:rsidRPr="00FD3200" w:rsidRDefault="00F42A40" w:rsidP="00F42A40">
            <w:pPr>
              <w:jc w:val="right"/>
              <w:rPr>
                <w:rFonts w:eastAsia="Times New Roman" w:cs="Calibri"/>
                <w:color w:val="000000"/>
                <w:sz w:val="20"/>
                <w:szCs w:val="20"/>
                <w:lang w:eastAsia="en-AU"/>
              </w:rPr>
            </w:pPr>
            <w:r>
              <w:rPr>
                <w:color w:val="000000"/>
                <w:sz w:val="20"/>
                <w:szCs w:val="20"/>
              </w:rPr>
              <w:t>1,168</w:t>
            </w:r>
          </w:p>
        </w:tc>
        <w:tc>
          <w:tcPr>
            <w:tcW w:w="963" w:type="dxa"/>
            <w:tcBorders>
              <w:left w:val="nil"/>
              <w:right w:val="single" w:sz="4" w:space="0" w:color="BFBFBF"/>
            </w:tcBorders>
            <w:shd w:val="clear" w:color="auto" w:fill="auto"/>
            <w:noWrap/>
            <w:vAlign w:val="center"/>
          </w:tcPr>
          <w:p w14:paraId="76936A79" w14:textId="71005537" w:rsidR="00F42A40" w:rsidRPr="00FD3200" w:rsidRDefault="00F42A40" w:rsidP="009D734D">
            <w:pPr>
              <w:jc w:val="center"/>
              <w:rPr>
                <w:rFonts w:eastAsia="Times New Roman" w:cs="Calibri"/>
                <w:color w:val="000000"/>
                <w:sz w:val="20"/>
                <w:szCs w:val="20"/>
                <w:lang w:eastAsia="en-AU"/>
              </w:rPr>
            </w:pPr>
          </w:p>
        </w:tc>
        <w:tc>
          <w:tcPr>
            <w:tcW w:w="1034" w:type="dxa"/>
            <w:tcBorders>
              <w:left w:val="nil"/>
              <w:right w:val="single" w:sz="4" w:space="0" w:color="BFBFBF"/>
            </w:tcBorders>
            <w:shd w:val="clear" w:color="auto" w:fill="auto"/>
            <w:noWrap/>
            <w:vAlign w:val="center"/>
          </w:tcPr>
          <w:p w14:paraId="1068A596" w14:textId="34D21B83" w:rsidR="00F42A40" w:rsidRPr="00FD3200" w:rsidRDefault="00F42A40" w:rsidP="009D734D">
            <w:pPr>
              <w:jc w:val="center"/>
              <w:rPr>
                <w:rFonts w:eastAsia="Times New Roman" w:cs="Calibri"/>
                <w:color w:val="000000"/>
                <w:sz w:val="20"/>
                <w:szCs w:val="20"/>
                <w:lang w:eastAsia="en-AU"/>
              </w:rPr>
            </w:pPr>
          </w:p>
        </w:tc>
        <w:tc>
          <w:tcPr>
            <w:tcW w:w="969" w:type="dxa"/>
            <w:tcBorders>
              <w:top w:val="nil"/>
              <w:left w:val="nil"/>
              <w:bottom w:val="single" w:sz="4" w:space="0" w:color="BFBFBF"/>
              <w:right w:val="single" w:sz="4" w:space="0" w:color="BFBFBF"/>
            </w:tcBorders>
            <w:shd w:val="clear" w:color="auto" w:fill="auto"/>
            <w:noWrap/>
            <w:hideMark/>
          </w:tcPr>
          <w:p w14:paraId="19A52843" w14:textId="4114104F" w:rsidR="00F42A40" w:rsidRPr="00FD3200"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700651BA" w14:textId="39C281BD" w:rsidR="00F42A40" w:rsidRPr="00FD3200"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3D7A4009" w14:textId="75F7FDBC" w:rsidR="00F42A40" w:rsidRPr="00FD3200"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15F76FAA" w14:textId="45CDF97A" w:rsidR="00F42A40" w:rsidRPr="00FD3200" w:rsidRDefault="00F42A40" w:rsidP="00F42A40">
            <w:pPr>
              <w:jc w:val="center"/>
              <w:rPr>
                <w:rFonts w:eastAsia="Times New Roman" w:cs="Calibri"/>
                <w:color w:val="000000"/>
                <w:sz w:val="20"/>
                <w:szCs w:val="20"/>
                <w:lang w:eastAsia="en-AU"/>
              </w:rPr>
            </w:pPr>
            <w:r>
              <w:rPr>
                <w:color w:val="000000"/>
                <w:sz w:val="20"/>
                <w:szCs w:val="20"/>
              </w:rPr>
              <w:t>&gt;2037</w:t>
            </w:r>
          </w:p>
        </w:tc>
        <w:tc>
          <w:tcPr>
            <w:tcW w:w="5257" w:type="dxa"/>
            <w:vMerge/>
            <w:tcBorders>
              <w:top w:val="single" w:sz="4" w:space="0" w:color="808080"/>
              <w:left w:val="single" w:sz="4" w:space="0" w:color="BFBFBF"/>
              <w:bottom w:val="single" w:sz="4" w:space="0" w:color="BFBFBF"/>
              <w:right w:val="single" w:sz="4" w:space="0" w:color="BFBFBF"/>
            </w:tcBorders>
            <w:vAlign w:val="center"/>
            <w:hideMark/>
          </w:tcPr>
          <w:p w14:paraId="508390CB" w14:textId="77777777" w:rsidR="00F42A40" w:rsidRPr="00FD3200" w:rsidRDefault="00F42A40" w:rsidP="00F42A40">
            <w:pPr>
              <w:rPr>
                <w:rFonts w:eastAsia="Times New Roman" w:cs="Calibri"/>
                <w:color w:val="000000"/>
                <w:sz w:val="20"/>
                <w:szCs w:val="20"/>
                <w:lang w:eastAsia="en-AU"/>
              </w:rPr>
            </w:pPr>
          </w:p>
        </w:tc>
      </w:tr>
      <w:tr w:rsidR="00F42A40" w:rsidRPr="00FD3200" w14:paraId="69FB8323"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2E4DF1D2" w14:textId="77777777" w:rsidR="00F42A40" w:rsidRPr="00FD3200" w:rsidRDefault="00F42A40" w:rsidP="00F42A40">
            <w:pPr>
              <w:jc w:val="right"/>
              <w:rPr>
                <w:rFonts w:eastAsia="Times New Roman" w:cs="Calibri"/>
                <w:color w:val="000000"/>
                <w:sz w:val="20"/>
                <w:szCs w:val="20"/>
                <w:lang w:eastAsia="en-AU"/>
              </w:rPr>
            </w:pPr>
            <w:r w:rsidRPr="00FD3200">
              <w:rPr>
                <w:rFonts w:eastAsia="Times New Roman" w:cs="Calibri"/>
                <w:color w:val="000000"/>
                <w:sz w:val="20"/>
                <w:szCs w:val="20"/>
                <w:lang w:eastAsia="en-AU"/>
              </w:rPr>
              <w:t>Oil re-refining facility</w:t>
            </w:r>
          </w:p>
        </w:tc>
        <w:tc>
          <w:tcPr>
            <w:tcW w:w="1039" w:type="dxa"/>
            <w:tcBorders>
              <w:top w:val="nil"/>
              <w:left w:val="nil"/>
              <w:bottom w:val="single" w:sz="4" w:space="0" w:color="BFBFBF"/>
              <w:right w:val="single" w:sz="4" w:space="0" w:color="BFBFBF"/>
            </w:tcBorders>
            <w:shd w:val="clear" w:color="000000" w:fill="FFFFFF"/>
            <w:noWrap/>
            <w:hideMark/>
          </w:tcPr>
          <w:p w14:paraId="7F42D994" w14:textId="09E8919E" w:rsidR="00F42A40" w:rsidRPr="00FD3200" w:rsidRDefault="00F42A40" w:rsidP="00F42A40">
            <w:pPr>
              <w:jc w:val="right"/>
              <w:rPr>
                <w:rFonts w:eastAsia="Times New Roman" w:cs="Calibri"/>
                <w:color w:val="000000"/>
                <w:sz w:val="20"/>
                <w:szCs w:val="20"/>
                <w:lang w:eastAsia="en-AU"/>
              </w:rPr>
            </w:pPr>
            <w:r>
              <w:rPr>
                <w:color w:val="000000"/>
                <w:sz w:val="20"/>
                <w:szCs w:val="20"/>
              </w:rPr>
              <w:t>132,239</w:t>
            </w:r>
          </w:p>
        </w:tc>
        <w:tc>
          <w:tcPr>
            <w:tcW w:w="963" w:type="dxa"/>
            <w:tcBorders>
              <w:left w:val="nil"/>
              <w:right w:val="single" w:sz="4" w:space="0" w:color="BFBFBF"/>
            </w:tcBorders>
            <w:shd w:val="clear" w:color="auto" w:fill="auto"/>
            <w:noWrap/>
            <w:vAlign w:val="center"/>
          </w:tcPr>
          <w:p w14:paraId="42A2103B" w14:textId="7B76463B" w:rsidR="00F42A40" w:rsidRPr="00FD3200" w:rsidRDefault="00F42A40" w:rsidP="009D734D">
            <w:pPr>
              <w:jc w:val="center"/>
              <w:rPr>
                <w:rFonts w:eastAsia="Times New Roman" w:cs="Calibri"/>
                <w:color w:val="000000"/>
                <w:sz w:val="20"/>
                <w:szCs w:val="20"/>
                <w:lang w:eastAsia="en-AU"/>
              </w:rPr>
            </w:pPr>
          </w:p>
        </w:tc>
        <w:tc>
          <w:tcPr>
            <w:tcW w:w="1034" w:type="dxa"/>
            <w:tcBorders>
              <w:left w:val="nil"/>
              <w:right w:val="single" w:sz="4" w:space="0" w:color="BFBFBF"/>
            </w:tcBorders>
            <w:shd w:val="clear" w:color="auto" w:fill="auto"/>
            <w:noWrap/>
            <w:vAlign w:val="center"/>
          </w:tcPr>
          <w:p w14:paraId="5E557EE0" w14:textId="037136E1" w:rsidR="00F42A40" w:rsidRPr="00FD3200" w:rsidRDefault="00F42A40" w:rsidP="009D734D">
            <w:pPr>
              <w:jc w:val="center"/>
              <w:rPr>
                <w:rFonts w:eastAsia="Times New Roman" w:cs="Calibri"/>
                <w:color w:val="000000"/>
                <w:sz w:val="20"/>
                <w:szCs w:val="20"/>
                <w:lang w:eastAsia="en-AU"/>
              </w:rPr>
            </w:pPr>
          </w:p>
        </w:tc>
        <w:tc>
          <w:tcPr>
            <w:tcW w:w="969" w:type="dxa"/>
            <w:tcBorders>
              <w:top w:val="nil"/>
              <w:left w:val="nil"/>
              <w:bottom w:val="single" w:sz="4" w:space="0" w:color="BFBFBF"/>
              <w:right w:val="single" w:sz="4" w:space="0" w:color="BFBFBF"/>
            </w:tcBorders>
            <w:shd w:val="clear" w:color="auto" w:fill="auto"/>
            <w:noWrap/>
            <w:hideMark/>
          </w:tcPr>
          <w:p w14:paraId="10F1303E" w14:textId="4C8C0865" w:rsidR="00F42A40" w:rsidRPr="00FD3200"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0FD47E56" w14:textId="332AF4DE" w:rsidR="00F42A40" w:rsidRPr="00FD3200" w:rsidRDefault="00F42A40" w:rsidP="00F42A40">
            <w:pPr>
              <w:jc w:val="center"/>
              <w:rPr>
                <w:rFonts w:eastAsia="Times New Roman" w:cs="Calibri"/>
                <w:color w:val="000000"/>
                <w:sz w:val="20"/>
                <w:szCs w:val="20"/>
                <w:lang w:eastAsia="en-AU"/>
              </w:rPr>
            </w:pPr>
            <w:r>
              <w:rPr>
                <w:color w:val="000000"/>
                <w:sz w:val="20"/>
                <w:szCs w:val="20"/>
              </w:rPr>
              <w:t>2018</w:t>
            </w:r>
          </w:p>
        </w:tc>
        <w:tc>
          <w:tcPr>
            <w:tcW w:w="740" w:type="dxa"/>
            <w:tcBorders>
              <w:top w:val="nil"/>
              <w:left w:val="nil"/>
              <w:bottom w:val="single" w:sz="4" w:space="0" w:color="BFBFBF"/>
              <w:right w:val="single" w:sz="4" w:space="0" w:color="BFBFBF"/>
            </w:tcBorders>
            <w:shd w:val="clear" w:color="000000" w:fill="FFFFFF"/>
            <w:noWrap/>
            <w:hideMark/>
          </w:tcPr>
          <w:p w14:paraId="65FF6B7A" w14:textId="1200AAE3" w:rsidR="00F42A40" w:rsidRPr="00FD3200" w:rsidRDefault="00F42A40" w:rsidP="00F42A40">
            <w:pPr>
              <w:jc w:val="center"/>
              <w:rPr>
                <w:rFonts w:eastAsia="Times New Roman" w:cs="Calibri"/>
                <w:color w:val="000000"/>
                <w:sz w:val="20"/>
                <w:szCs w:val="20"/>
                <w:lang w:eastAsia="en-AU"/>
              </w:rPr>
            </w:pPr>
            <w:r>
              <w:rPr>
                <w:color w:val="000000"/>
                <w:sz w:val="20"/>
                <w:szCs w:val="20"/>
              </w:rPr>
              <w:t>2018</w:t>
            </w:r>
          </w:p>
        </w:tc>
        <w:tc>
          <w:tcPr>
            <w:tcW w:w="740" w:type="dxa"/>
            <w:tcBorders>
              <w:top w:val="nil"/>
              <w:left w:val="nil"/>
              <w:bottom w:val="single" w:sz="4" w:space="0" w:color="BFBFBF"/>
              <w:right w:val="single" w:sz="4" w:space="0" w:color="BFBFBF"/>
            </w:tcBorders>
            <w:shd w:val="clear" w:color="000000" w:fill="FFFFFF"/>
            <w:noWrap/>
            <w:hideMark/>
          </w:tcPr>
          <w:p w14:paraId="12CB170B" w14:textId="3EA88FD2" w:rsidR="00F42A40" w:rsidRPr="00FD3200" w:rsidRDefault="00F42A40" w:rsidP="00F42A40">
            <w:pPr>
              <w:jc w:val="center"/>
              <w:rPr>
                <w:rFonts w:eastAsia="Times New Roman" w:cs="Calibri"/>
                <w:color w:val="000000"/>
                <w:sz w:val="20"/>
                <w:szCs w:val="20"/>
                <w:lang w:eastAsia="en-AU"/>
              </w:rPr>
            </w:pPr>
            <w:r>
              <w:rPr>
                <w:color w:val="000000"/>
                <w:sz w:val="20"/>
                <w:szCs w:val="20"/>
              </w:rPr>
              <w:t>2018</w:t>
            </w:r>
          </w:p>
        </w:tc>
        <w:tc>
          <w:tcPr>
            <w:tcW w:w="5257" w:type="dxa"/>
            <w:vMerge/>
            <w:tcBorders>
              <w:top w:val="single" w:sz="4" w:space="0" w:color="808080"/>
              <w:left w:val="single" w:sz="4" w:space="0" w:color="BFBFBF"/>
              <w:bottom w:val="single" w:sz="4" w:space="0" w:color="BFBFBF"/>
              <w:right w:val="single" w:sz="4" w:space="0" w:color="BFBFBF"/>
            </w:tcBorders>
            <w:vAlign w:val="center"/>
            <w:hideMark/>
          </w:tcPr>
          <w:p w14:paraId="143FADCE" w14:textId="77777777" w:rsidR="00F42A40" w:rsidRPr="00FD3200" w:rsidRDefault="00F42A40" w:rsidP="00F42A40">
            <w:pPr>
              <w:rPr>
                <w:rFonts w:eastAsia="Times New Roman" w:cs="Calibri"/>
                <w:color w:val="000000"/>
                <w:sz w:val="20"/>
                <w:szCs w:val="20"/>
                <w:lang w:eastAsia="en-AU"/>
              </w:rPr>
            </w:pPr>
          </w:p>
        </w:tc>
      </w:tr>
      <w:tr w:rsidR="00F42A40" w:rsidRPr="00FD3200" w14:paraId="5FF77B86"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70E2C49B" w14:textId="77777777" w:rsidR="00F42A40" w:rsidRPr="00FD3200" w:rsidRDefault="00F42A40" w:rsidP="00F42A40">
            <w:pPr>
              <w:jc w:val="right"/>
              <w:rPr>
                <w:rFonts w:eastAsia="Times New Roman" w:cs="Calibri"/>
                <w:color w:val="000000"/>
                <w:sz w:val="20"/>
                <w:szCs w:val="20"/>
                <w:lang w:eastAsia="en-AU"/>
              </w:rPr>
            </w:pPr>
            <w:r w:rsidRPr="00FD3200">
              <w:rPr>
                <w:rFonts w:eastAsia="Times New Roman" w:cs="Calibri"/>
                <w:color w:val="000000"/>
                <w:sz w:val="20"/>
                <w:szCs w:val="20"/>
                <w:lang w:eastAsia="en-AU"/>
              </w:rPr>
              <w:t>Lead facility</w:t>
            </w:r>
          </w:p>
        </w:tc>
        <w:tc>
          <w:tcPr>
            <w:tcW w:w="1039" w:type="dxa"/>
            <w:tcBorders>
              <w:top w:val="nil"/>
              <w:left w:val="nil"/>
              <w:bottom w:val="single" w:sz="4" w:space="0" w:color="BFBFBF"/>
              <w:right w:val="single" w:sz="4" w:space="0" w:color="BFBFBF"/>
            </w:tcBorders>
            <w:shd w:val="clear" w:color="000000" w:fill="FFFFFF"/>
            <w:noWrap/>
            <w:hideMark/>
          </w:tcPr>
          <w:p w14:paraId="469D67EB" w14:textId="63A23E75" w:rsidR="00F42A40" w:rsidRPr="00FD3200" w:rsidRDefault="00F42A40" w:rsidP="00F42A40">
            <w:pPr>
              <w:jc w:val="right"/>
              <w:rPr>
                <w:rFonts w:eastAsia="Times New Roman" w:cs="Calibri"/>
                <w:color w:val="000000"/>
                <w:sz w:val="20"/>
                <w:szCs w:val="20"/>
                <w:lang w:eastAsia="en-AU"/>
              </w:rPr>
            </w:pPr>
            <w:r>
              <w:rPr>
                <w:color w:val="000000"/>
                <w:sz w:val="20"/>
                <w:szCs w:val="20"/>
              </w:rPr>
              <w:t>43,160</w:t>
            </w:r>
          </w:p>
        </w:tc>
        <w:tc>
          <w:tcPr>
            <w:tcW w:w="963" w:type="dxa"/>
            <w:tcBorders>
              <w:left w:val="nil"/>
              <w:right w:val="single" w:sz="4" w:space="0" w:color="BFBFBF"/>
            </w:tcBorders>
            <w:shd w:val="clear" w:color="auto" w:fill="auto"/>
            <w:noWrap/>
            <w:vAlign w:val="center"/>
          </w:tcPr>
          <w:p w14:paraId="1FA874B8" w14:textId="29530984" w:rsidR="00F42A40" w:rsidRPr="00FD3200" w:rsidRDefault="00F42A40" w:rsidP="009D734D">
            <w:pPr>
              <w:jc w:val="center"/>
              <w:rPr>
                <w:rFonts w:eastAsia="Times New Roman" w:cs="Calibri"/>
                <w:color w:val="000000"/>
                <w:sz w:val="20"/>
                <w:szCs w:val="20"/>
                <w:lang w:eastAsia="en-AU"/>
              </w:rPr>
            </w:pPr>
          </w:p>
        </w:tc>
        <w:tc>
          <w:tcPr>
            <w:tcW w:w="1034" w:type="dxa"/>
            <w:tcBorders>
              <w:left w:val="nil"/>
              <w:right w:val="single" w:sz="4" w:space="0" w:color="BFBFBF"/>
            </w:tcBorders>
            <w:shd w:val="clear" w:color="auto" w:fill="auto"/>
            <w:noWrap/>
            <w:vAlign w:val="center"/>
          </w:tcPr>
          <w:p w14:paraId="1C928239" w14:textId="71A0D422" w:rsidR="00F42A40" w:rsidRPr="00FD3200" w:rsidRDefault="00F42A40" w:rsidP="009D734D">
            <w:pPr>
              <w:jc w:val="center"/>
              <w:rPr>
                <w:rFonts w:eastAsia="Times New Roman" w:cs="Calibri"/>
                <w:color w:val="000000"/>
                <w:sz w:val="20"/>
                <w:szCs w:val="20"/>
                <w:lang w:eastAsia="en-AU"/>
              </w:rPr>
            </w:pPr>
          </w:p>
        </w:tc>
        <w:tc>
          <w:tcPr>
            <w:tcW w:w="969" w:type="dxa"/>
            <w:tcBorders>
              <w:top w:val="nil"/>
              <w:left w:val="nil"/>
              <w:bottom w:val="single" w:sz="4" w:space="0" w:color="BFBFBF"/>
              <w:right w:val="single" w:sz="4" w:space="0" w:color="BFBFBF"/>
            </w:tcBorders>
            <w:shd w:val="clear" w:color="auto" w:fill="auto"/>
            <w:noWrap/>
            <w:hideMark/>
          </w:tcPr>
          <w:p w14:paraId="3B9A9435" w14:textId="6F057B32" w:rsidR="00F42A40" w:rsidRPr="00FD3200"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34348461" w14:textId="405425CD" w:rsidR="00F42A40" w:rsidRPr="00FD3200"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5DC74FE2" w14:textId="773AEE07" w:rsidR="00F42A40" w:rsidRPr="00FD3200"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4250785A" w14:textId="2ACA8A77" w:rsidR="00F42A40" w:rsidRPr="00FD3200" w:rsidRDefault="00F42A40" w:rsidP="00F42A40">
            <w:pPr>
              <w:jc w:val="center"/>
              <w:rPr>
                <w:rFonts w:eastAsia="Times New Roman" w:cs="Calibri"/>
                <w:color w:val="000000"/>
                <w:sz w:val="20"/>
                <w:szCs w:val="20"/>
                <w:lang w:eastAsia="en-AU"/>
              </w:rPr>
            </w:pPr>
            <w:r>
              <w:rPr>
                <w:color w:val="000000"/>
                <w:sz w:val="20"/>
                <w:szCs w:val="20"/>
              </w:rPr>
              <w:t>&gt;2037</w:t>
            </w:r>
          </w:p>
        </w:tc>
        <w:tc>
          <w:tcPr>
            <w:tcW w:w="5257" w:type="dxa"/>
            <w:vMerge/>
            <w:tcBorders>
              <w:top w:val="single" w:sz="4" w:space="0" w:color="808080"/>
              <w:left w:val="single" w:sz="4" w:space="0" w:color="BFBFBF"/>
              <w:bottom w:val="single" w:sz="4" w:space="0" w:color="BFBFBF"/>
              <w:right w:val="single" w:sz="4" w:space="0" w:color="BFBFBF"/>
            </w:tcBorders>
            <w:vAlign w:val="center"/>
            <w:hideMark/>
          </w:tcPr>
          <w:p w14:paraId="2425FA13" w14:textId="77777777" w:rsidR="00F42A40" w:rsidRPr="00FD3200" w:rsidRDefault="00F42A40" w:rsidP="00F42A40">
            <w:pPr>
              <w:rPr>
                <w:rFonts w:eastAsia="Times New Roman" w:cs="Calibri"/>
                <w:color w:val="000000"/>
                <w:sz w:val="20"/>
                <w:szCs w:val="20"/>
                <w:lang w:eastAsia="en-AU"/>
              </w:rPr>
            </w:pPr>
          </w:p>
        </w:tc>
      </w:tr>
      <w:tr w:rsidR="00F42A40" w:rsidRPr="00FD3200" w14:paraId="794D5302"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344AAE9A" w14:textId="77777777" w:rsidR="00F42A40" w:rsidRPr="00FD3200" w:rsidRDefault="00F42A40" w:rsidP="00F42A40">
            <w:pPr>
              <w:jc w:val="right"/>
              <w:rPr>
                <w:rFonts w:eastAsia="Times New Roman" w:cs="Calibri"/>
                <w:color w:val="000000"/>
                <w:sz w:val="20"/>
                <w:szCs w:val="20"/>
                <w:lang w:eastAsia="en-AU"/>
              </w:rPr>
            </w:pPr>
            <w:r w:rsidRPr="00FD3200">
              <w:rPr>
                <w:rFonts w:eastAsia="Times New Roman" w:cs="Calibri"/>
                <w:color w:val="000000"/>
                <w:sz w:val="20"/>
                <w:szCs w:val="20"/>
                <w:lang w:eastAsia="en-AU"/>
              </w:rPr>
              <w:t>Mercury facility</w:t>
            </w:r>
          </w:p>
        </w:tc>
        <w:tc>
          <w:tcPr>
            <w:tcW w:w="1039" w:type="dxa"/>
            <w:tcBorders>
              <w:top w:val="nil"/>
              <w:left w:val="nil"/>
              <w:bottom w:val="single" w:sz="4" w:space="0" w:color="BFBFBF"/>
              <w:right w:val="single" w:sz="4" w:space="0" w:color="BFBFBF"/>
            </w:tcBorders>
            <w:shd w:val="clear" w:color="000000" w:fill="FFFFFF"/>
            <w:noWrap/>
            <w:hideMark/>
          </w:tcPr>
          <w:p w14:paraId="30192B81" w14:textId="372EBDE4" w:rsidR="00F42A40" w:rsidRPr="00FD3200" w:rsidRDefault="00F42A40" w:rsidP="00F42A40">
            <w:pPr>
              <w:jc w:val="right"/>
              <w:rPr>
                <w:rFonts w:eastAsia="Times New Roman" w:cs="Calibri"/>
                <w:color w:val="000000"/>
                <w:sz w:val="20"/>
                <w:szCs w:val="20"/>
                <w:lang w:eastAsia="en-AU"/>
              </w:rPr>
            </w:pPr>
            <w:r>
              <w:rPr>
                <w:color w:val="000000"/>
                <w:sz w:val="20"/>
                <w:szCs w:val="20"/>
              </w:rPr>
              <w:t>93</w:t>
            </w:r>
          </w:p>
        </w:tc>
        <w:tc>
          <w:tcPr>
            <w:tcW w:w="963" w:type="dxa"/>
            <w:tcBorders>
              <w:left w:val="nil"/>
              <w:right w:val="single" w:sz="4" w:space="0" w:color="BFBFBF"/>
            </w:tcBorders>
            <w:shd w:val="clear" w:color="auto" w:fill="auto"/>
            <w:noWrap/>
            <w:vAlign w:val="center"/>
          </w:tcPr>
          <w:p w14:paraId="50A6BA5F" w14:textId="41F70B9F" w:rsidR="00F42A40" w:rsidRPr="00FD3200" w:rsidRDefault="00F42A40" w:rsidP="009D734D">
            <w:pPr>
              <w:jc w:val="center"/>
              <w:rPr>
                <w:rFonts w:eastAsia="Times New Roman" w:cs="Calibri"/>
                <w:color w:val="000000"/>
                <w:sz w:val="20"/>
                <w:szCs w:val="20"/>
                <w:lang w:eastAsia="en-AU"/>
              </w:rPr>
            </w:pPr>
          </w:p>
        </w:tc>
        <w:tc>
          <w:tcPr>
            <w:tcW w:w="1034" w:type="dxa"/>
            <w:tcBorders>
              <w:left w:val="nil"/>
              <w:right w:val="single" w:sz="4" w:space="0" w:color="BFBFBF"/>
            </w:tcBorders>
            <w:shd w:val="clear" w:color="auto" w:fill="auto"/>
            <w:noWrap/>
            <w:vAlign w:val="center"/>
          </w:tcPr>
          <w:p w14:paraId="2748A56E" w14:textId="3D85A290" w:rsidR="00F42A40" w:rsidRPr="00FD3200" w:rsidRDefault="00F42A40" w:rsidP="009D734D">
            <w:pPr>
              <w:jc w:val="center"/>
              <w:rPr>
                <w:rFonts w:eastAsia="Times New Roman" w:cs="Calibri"/>
                <w:color w:val="000000"/>
                <w:sz w:val="20"/>
                <w:szCs w:val="20"/>
                <w:lang w:eastAsia="en-AU"/>
              </w:rPr>
            </w:pPr>
          </w:p>
        </w:tc>
        <w:tc>
          <w:tcPr>
            <w:tcW w:w="969" w:type="dxa"/>
            <w:tcBorders>
              <w:top w:val="nil"/>
              <w:left w:val="nil"/>
              <w:bottom w:val="single" w:sz="4" w:space="0" w:color="BFBFBF"/>
              <w:right w:val="single" w:sz="4" w:space="0" w:color="BFBFBF"/>
            </w:tcBorders>
            <w:shd w:val="clear" w:color="auto" w:fill="auto"/>
            <w:noWrap/>
            <w:hideMark/>
          </w:tcPr>
          <w:p w14:paraId="28FF3B6A" w14:textId="3E13DDEE" w:rsidR="00F42A40" w:rsidRPr="00FD3200"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62970BCD" w14:textId="1B35D29F" w:rsidR="00F42A40" w:rsidRPr="00FD3200"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57AC9D73" w14:textId="7ADDEB76" w:rsidR="00F42A40" w:rsidRPr="00FD3200"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142126C9" w14:textId="2E9EF592" w:rsidR="00F42A40" w:rsidRPr="00FD3200" w:rsidRDefault="00F42A40" w:rsidP="00F42A40">
            <w:pPr>
              <w:jc w:val="center"/>
              <w:rPr>
                <w:rFonts w:eastAsia="Times New Roman" w:cs="Calibri"/>
                <w:color w:val="000000"/>
                <w:sz w:val="20"/>
                <w:szCs w:val="20"/>
                <w:lang w:eastAsia="en-AU"/>
              </w:rPr>
            </w:pPr>
            <w:r>
              <w:rPr>
                <w:color w:val="000000"/>
                <w:sz w:val="20"/>
                <w:szCs w:val="20"/>
              </w:rPr>
              <w:t>&gt;2037</w:t>
            </w:r>
          </w:p>
        </w:tc>
        <w:tc>
          <w:tcPr>
            <w:tcW w:w="5257" w:type="dxa"/>
            <w:vMerge/>
            <w:tcBorders>
              <w:top w:val="single" w:sz="4" w:space="0" w:color="808080"/>
              <w:left w:val="single" w:sz="4" w:space="0" w:color="BFBFBF"/>
              <w:bottom w:val="single" w:sz="4" w:space="0" w:color="BFBFBF"/>
              <w:right w:val="single" w:sz="4" w:space="0" w:color="BFBFBF"/>
            </w:tcBorders>
            <w:vAlign w:val="center"/>
            <w:hideMark/>
          </w:tcPr>
          <w:p w14:paraId="56D9B6F9" w14:textId="77777777" w:rsidR="00F42A40" w:rsidRPr="00FD3200" w:rsidRDefault="00F42A40" w:rsidP="00F42A40">
            <w:pPr>
              <w:rPr>
                <w:rFonts w:eastAsia="Times New Roman" w:cs="Calibri"/>
                <w:color w:val="000000"/>
                <w:sz w:val="20"/>
                <w:szCs w:val="20"/>
                <w:lang w:eastAsia="en-AU"/>
              </w:rPr>
            </w:pPr>
          </w:p>
        </w:tc>
      </w:tr>
      <w:tr w:rsidR="00F42A40" w:rsidRPr="00FD3200" w14:paraId="3821B3AF"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26766ACA" w14:textId="77777777" w:rsidR="00F42A40" w:rsidRPr="00FD3200" w:rsidRDefault="00F42A40" w:rsidP="00F42A40">
            <w:pPr>
              <w:jc w:val="right"/>
              <w:rPr>
                <w:rFonts w:eastAsia="Times New Roman" w:cs="Calibri"/>
                <w:color w:val="000000"/>
                <w:sz w:val="20"/>
                <w:szCs w:val="20"/>
                <w:lang w:eastAsia="en-AU"/>
              </w:rPr>
            </w:pPr>
            <w:r w:rsidRPr="00FD3200">
              <w:rPr>
                <w:rFonts w:eastAsia="Times New Roman" w:cs="Calibri"/>
                <w:color w:val="000000"/>
                <w:sz w:val="20"/>
                <w:szCs w:val="20"/>
                <w:lang w:eastAsia="en-AU"/>
              </w:rPr>
              <w:t>Solvents/paints/organic chemicals facility</w:t>
            </w:r>
          </w:p>
        </w:tc>
        <w:tc>
          <w:tcPr>
            <w:tcW w:w="1039" w:type="dxa"/>
            <w:tcBorders>
              <w:top w:val="nil"/>
              <w:left w:val="nil"/>
              <w:bottom w:val="single" w:sz="4" w:space="0" w:color="BFBFBF"/>
              <w:right w:val="single" w:sz="4" w:space="0" w:color="BFBFBF"/>
            </w:tcBorders>
            <w:shd w:val="clear" w:color="000000" w:fill="FFFFFF"/>
            <w:noWrap/>
            <w:hideMark/>
          </w:tcPr>
          <w:p w14:paraId="27EB92FD" w14:textId="233FA481" w:rsidR="00F42A40" w:rsidRPr="00FD3200" w:rsidRDefault="00F42A40" w:rsidP="00F42A40">
            <w:pPr>
              <w:jc w:val="right"/>
              <w:rPr>
                <w:rFonts w:eastAsia="Times New Roman" w:cs="Calibri"/>
                <w:color w:val="000000"/>
                <w:sz w:val="20"/>
                <w:szCs w:val="20"/>
                <w:lang w:eastAsia="en-AU"/>
              </w:rPr>
            </w:pPr>
            <w:r>
              <w:rPr>
                <w:color w:val="000000"/>
                <w:sz w:val="20"/>
                <w:szCs w:val="20"/>
              </w:rPr>
              <w:t>2,800</w:t>
            </w:r>
          </w:p>
        </w:tc>
        <w:tc>
          <w:tcPr>
            <w:tcW w:w="963" w:type="dxa"/>
            <w:tcBorders>
              <w:left w:val="nil"/>
              <w:right w:val="single" w:sz="4" w:space="0" w:color="BFBFBF"/>
            </w:tcBorders>
            <w:shd w:val="clear" w:color="auto" w:fill="auto"/>
            <w:noWrap/>
            <w:vAlign w:val="center"/>
          </w:tcPr>
          <w:p w14:paraId="1372B1F4" w14:textId="4ABA32F2" w:rsidR="00F42A40" w:rsidRPr="00FD3200" w:rsidRDefault="00F42A40" w:rsidP="009D734D">
            <w:pPr>
              <w:jc w:val="center"/>
              <w:rPr>
                <w:rFonts w:eastAsia="Times New Roman" w:cs="Calibri"/>
                <w:color w:val="000000"/>
                <w:sz w:val="20"/>
                <w:szCs w:val="20"/>
                <w:lang w:eastAsia="en-AU"/>
              </w:rPr>
            </w:pPr>
          </w:p>
        </w:tc>
        <w:tc>
          <w:tcPr>
            <w:tcW w:w="1034" w:type="dxa"/>
            <w:tcBorders>
              <w:left w:val="nil"/>
              <w:right w:val="single" w:sz="4" w:space="0" w:color="BFBFBF"/>
            </w:tcBorders>
            <w:shd w:val="clear" w:color="auto" w:fill="auto"/>
            <w:noWrap/>
            <w:vAlign w:val="center"/>
          </w:tcPr>
          <w:p w14:paraId="3221A067" w14:textId="64415670" w:rsidR="00F42A40" w:rsidRPr="00FD3200" w:rsidRDefault="00F42A40" w:rsidP="009D734D">
            <w:pPr>
              <w:jc w:val="center"/>
              <w:rPr>
                <w:rFonts w:eastAsia="Times New Roman" w:cs="Calibri"/>
                <w:color w:val="000000"/>
                <w:sz w:val="20"/>
                <w:szCs w:val="20"/>
                <w:lang w:eastAsia="en-AU"/>
              </w:rPr>
            </w:pPr>
          </w:p>
        </w:tc>
        <w:tc>
          <w:tcPr>
            <w:tcW w:w="969" w:type="dxa"/>
            <w:tcBorders>
              <w:top w:val="nil"/>
              <w:left w:val="nil"/>
              <w:bottom w:val="single" w:sz="4" w:space="0" w:color="BFBFBF"/>
              <w:right w:val="single" w:sz="4" w:space="0" w:color="BFBFBF"/>
            </w:tcBorders>
            <w:shd w:val="clear" w:color="auto" w:fill="auto"/>
            <w:noWrap/>
            <w:hideMark/>
          </w:tcPr>
          <w:p w14:paraId="4F136330" w14:textId="32A4EFBC" w:rsidR="00F42A40" w:rsidRPr="00FD3200"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35D10520" w14:textId="7C8DBD42" w:rsidR="00F42A40" w:rsidRPr="00FD3200"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2EBE6A8D" w14:textId="64A2957E" w:rsidR="00F42A40" w:rsidRPr="00FD3200"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5A0A7977" w14:textId="4C4E012D" w:rsidR="00F42A40" w:rsidRPr="00FD3200" w:rsidRDefault="00F42A40" w:rsidP="00F42A40">
            <w:pPr>
              <w:jc w:val="center"/>
              <w:rPr>
                <w:rFonts w:eastAsia="Times New Roman" w:cs="Calibri"/>
                <w:color w:val="000000"/>
                <w:sz w:val="20"/>
                <w:szCs w:val="20"/>
                <w:lang w:eastAsia="en-AU"/>
              </w:rPr>
            </w:pPr>
            <w:r>
              <w:rPr>
                <w:color w:val="000000"/>
                <w:sz w:val="20"/>
                <w:szCs w:val="20"/>
              </w:rPr>
              <w:t>&gt;2037</w:t>
            </w:r>
          </w:p>
        </w:tc>
        <w:tc>
          <w:tcPr>
            <w:tcW w:w="5257" w:type="dxa"/>
            <w:vMerge/>
            <w:tcBorders>
              <w:top w:val="single" w:sz="4" w:space="0" w:color="808080"/>
              <w:left w:val="single" w:sz="4" w:space="0" w:color="BFBFBF"/>
              <w:bottom w:val="single" w:sz="4" w:space="0" w:color="BFBFBF"/>
              <w:right w:val="single" w:sz="4" w:space="0" w:color="BFBFBF"/>
            </w:tcBorders>
            <w:vAlign w:val="center"/>
            <w:hideMark/>
          </w:tcPr>
          <w:p w14:paraId="5EE2A6B1" w14:textId="77777777" w:rsidR="00F42A40" w:rsidRPr="00FD3200" w:rsidRDefault="00F42A40" w:rsidP="00F42A40">
            <w:pPr>
              <w:rPr>
                <w:rFonts w:eastAsia="Times New Roman" w:cs="Calibri"/>
                <w:color w:val="000000"/>
                <w:sz w:val="20"/>
                <w:szCs w:val="20"/>
                <w:lang w:eastAsia="en-AU"/>
              </w:rPr>
            </w:pPr>
          </w:p>
        </w:tc>
      </w:tr>
      <w:tr w:rsidR="00F42A40" w:rsidRPr="00FD3200" w14:paraId="1C074AFB"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7FF7232D" w14:textId="77777777" w:rsidR="00F42A40" w:rsidRPr="00FD3200" w:rsidRDefault="00F42A40" w:rsidP="00F42A40">
            <w:pPr>
              <w:jc w:val="right"/>
              <w:rPr>
                <w:rFonts w:eastAsia="Times New Roman" w:cs="Calibri"/>
                <w:color w:val="000000"/>
                <w:sz w:val="20"/>
                <w:szCs w:val="20"/>
                <w:lang w:eastAsia="en-AU"/>
              </w:rPr>
            </w:pPr>
            <w:r w:rsidRPr="00FD3200">
              <w:rPr>
                <w:rFonts w:eastAsia="Times New Roman" w:cs="Calibri"/>
                <w:color w:val="000000"/>
                <w:sz w:val="20"/>
                <w:szCs w:val="20"/>
                <w:lang w:eastAsia="en-AU"/>
              </w:rPr>
              <w:t>Organics processing facility</w:t>
            </w:r>
          </w:p>
        </w:tc>
        <w:tc>
          <w:tcPr>
            <w:tcW w:w="1039" w:type="dxa"/>
            <w:tcBorders>
              <w:top w:val="nil"/>
              <w:left w:val="nil"/>
              <w:bottom w:val="single" w:sz="4" w:space="0" w:color="BFBFBF"/>
              <w:right w:val="single" w:sz="4" w:space="0" w:color="BFBFBF"/>
            </w:tcBorders>
            <w:shd w:val="clear" w:color="000000" w:fill="FFFFFF"/>
            <w:noWrap/>
            <w:hideMark/>
          </w:tcPr>
          <w:p w14:paraId="470D770C" w14:textId="67900598" w:rsidR="00F42A40" w:rsidRPr="00FD3200" w:rsidRDefault="00F42A40" w:rsidP="00F42A40">
            <w:pPr>
              <w:jc w:val="right"/>
              <w:rPr>
                <w:rFonts w:eastAsia="Times New Roman" w:cs="Calibri"/>
                <w:color w:val="000000"/>
                <w:sz w:val="20"/>
                <w:szCs w:val="20"/>
                <w:lang w:eastAsia="en-AU"/>
              </w:rPr>
            </w:pPr>
            <w:r>
              <w:rPr>
                <w:color w:val="000000"/>
                <w:sz w:val="20"/>
                <w:szCs w:val="20"/>
              </w:rPr>
              <w:t>154,398</w:t>
            </w:r>
          </w:p>
        </w:tc>
        <w:tc>
          <w:tcPr>
            <w:tcW w:w="963" w:type="dxa"/>
            <w:tcBorders>
              <w:left w:val="nil"/>
              <w:right w:val="single" w:sz="4" w:space="0" w:color="BFBFBF"/>
            </w:tcBorders>
            <w:shd w:val="clear" w:color="auto" w:fill="auto"/>
            <w:noWrap/>
            <w:vAlign w:val="center"/>
          </w:tcPr>
          <w:p w14:paraId="6A9CF161" w14:textId="399DEF70" w:rsidR="00F42A40" w:rsidRPr="00FD3200" w:rsidRDefault="00F42A40" w:rsidP="009D734D">
            <w:pPr>
              <w:jc w:val="center"/>
              <w:rPr>
                <w:rFonts w:eastAsia="Times New Roman" w:cs="Calibri"/>
                <w:color w:val="000000"/>
                <w:sz w:val="20"/>
                <w:szCs w:val="20"/>
                <w:lang w:eastAsia="en-AU"/>
              </w:rPr>
            </w:pPr>
          </w:p>
        </w:tc>
        <w:tc>
          <w:tcPr>
            <w:tcW w:w="1034" w:type="dxa"/>
            <w:tcBorders>
              <w:left w:val="nil"/>
              <w:right w:val="single" w:sz="4" w:space="0" w:color="BFBFBF"/>
            </w:tcBorders>
            <w:shd w:val="clear" w:color="auto" w:fill="auto"/>
            <w:noWrap/>
            <w:vAlign w:val="center"/>
          </w:tcPr>
          <w:p w14:paraId="21E51744" w14:textId="7AF772FA" w:rsidR="00F42A40" w:rsidRPr="00FD3200" w:rsidRDefault="00F42A40" w:rsidP="009D734D">
            <w:pPr>
              <w:jc w:val="center"/>
              <w:rPr>
                <w:rFonts w:eastAsia="Times New Roman" w:cs="Calibri"/>
                <w:color w:val="000000"/>
                <w:sz w:val="20"/>
                <w:szCs w:val="20"/>
                <w:lang w:eastAsia="en-AU"/>
              </w:rPr>
            </w:pPr>
          </w:p>
        </w:tc>
        <w:tc>
          <w:tcPr>
            <w:tcW w:w="969" w:type="dxa"/>
            <w:tcBorders>
              <w:top w:val="nil"/>
              <w:left w:val="nil"/>
              <w:bottom w:val="single" w:sz="4" w:space="0" w:color="BFBFBF"/>
              <w:right w:val="single" w:sz="4" w:space="0" w:color="BFBFBF"/>
            </w:tcBorders>
            <w:shd w:val="clear" w:color="auto" w:fill="auto"/>
            <w:noWrap/>
            <w:hideMark/>
          </w:tcPr>
          <w:p w14:paraId="6CBA5D4C" w14:textId="7C6321F1" w:rsidR="00F42A40" w:rsidRPr="00FD3200"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449A2565" w14:textId="021A08B3" w:rsidR="00F42A40" w:rsidRPr="00FD3200" w:rsidRDefault="00F42A40" w:rsidP="00F42A40">
            <w:pPr>
              <w:jc w:val="center"/>
              <w:rPr>
                <w:rFonts w:eastAsia="Times New Roman" w:cs="Calibri"/>
                <w:color w:val="000000"/>
                <w:sz w:val="20"/>
                <w:szCs w:val="20"/>
                <w:lang w:eastAsia="en-AU"/>
              </w:rPr>
            </w:pPr>
            <w:r>
              <w:rPr>
                <w:color w:val="000000"/>
                <w:sz w:val="20"/>
                <w:szCs w:val="20"/>
              </w:rPr>
              <w:t>2018</w:t>
            </w:r>
          </w:p>
        </w:tc>
        <w:tc>
          <w:tcPr>
            <w:tcW w:w="740" w:type="dxa"/>
            <w:tcBorders>
              <w:top w:val="nil"/>
              <w:left w:val="nil"/>
              <w:bottom w:val="single" w:sz="4" w:space="0" w:color="BFBFBF"/>
              <w:right w:val="single" w:sz="4" w:space="0" w:color="BFBFBF"/>
            </w:tcBorders>
            <w:shd w:val="clear" w:color="000000" w:fill="FFFFFF"/>
            <w:noWrap/>
            <w:hideMark/>
          </w:tcPr>
          <w:p w14:paraId="68996609" w14:textId="3BCC6F1A" w:rsidR="00F42A40" w:rsidRPr="00FD3200" w:rsidRDefault="00F42A40" w:rsidP="00F42A40">
            <w:pPr>
              <w:jc w:val="center"/>
              <w:rPr>
                <w:rFonts w:eastAsia="Times New Roman" w:cs="Calibri"/>
                <w:color w:val="000000"/>
                <w:sz w:val="20"/>
                <w:szCs w:val="20"/>
                <w:lang w:eastAsia="en-AU"/>
              </w:rPr>
            </w:pPr>
            <w:r>
              <w:rPr>
                <w:color w:val="000000"/>
                <w:sz w:val="20"/>
                <w:szCs w:val="20"/>
              </w:rPr>
              <w:t>2018</w:t>
            </w:r>
          </w:p>
        </w:tc>
        <w:tc>
          <w:tcPr>
            <w:tcW w:w="740" w:type="dxa"/>
            <w:tcBorders>
              <w:top w:val="nil"/>
              <w:left w:val="nil"/>
              <w:bottom w:val="single" w:sz="4" w:space="0" w:color="BFBFBF"/>
              <w:right w:val="single" w:sz="4" w:space="0" w:color="BFBFBF"/>
            </w:tcBorders>
            <w:shd w:val="clear" w:color="000000" w:fill="FFFFFF"/>
            <w:noWrap/>
            <w:hideMark/>
          </w:tcPr>
          <w:p w14:paraId="5FEC5902" w14:textId="2CCF1B81" w:rsidR="00F42A40" w:rsidRPr="00FD3200" w:rsidRDefault="00F42A40" w:rsidP="00F42A40">
            <w:pPr>
              <w:jc w:val="center"/>
              <w:rPr>
                <w:rFonts w:eastAsia="Times New Roman" w:cs="Calibri"/>
                <w:color w:val="000000"/>
                <w:sz w:val="20"/>
                <w:szCs w:val="20"/>
                <w:lang w:eastAsia="en-AU"/>
              </w:rPr>
            </w:pPr>
            <w:r>
              <w:rPr>
                <w:color w:val="000000"/>
                <w:sz w:val="20"/>
                <w:szCs w:val="20"/>
              </w:rPr>
              <w:t>2018</w:t>
            </w:r>
          </w:p>
        </w:tc>
        <w:tc>
          <w:tcPr>
            <w:tcW w:w="5257" w:type="dxa"/>
            <w:vMerge/>
            <w:tcBorders>
              <w:top w:val="single" w:sz="4" w:space="0" w:color="808080"/>
              <w:left w:val="single" w:sz="4" w:space="0" w:color="BFBFBF"/>
              <w:bottom w:val="single" w:sz="4" w:space="0" w:color="BFBFBF"/>
              <w:right w:val="single" w:sz="4" w:space="0" w:color="BFBFBF"/>
            </w:tcBorders>
            <w:vAlign w:val="center"/>
            <w:hideMark/>
          </w:tcPr>
          <w:p w14:paraId="091F9798" w14:textId="77777777" w:rsidR="00F42A40" w:rsidRPr="00FD3200" w:rsidRDefault="00F42A40" w:rsidP="00F42A40">
            <w:pPr>
              <w:rPr>
                <w:rFonts w:eastAsia="Times New Roman" w:cs="Calibri"/>
                <w:color w:val="000000"/>
                <w:sz w:val="20"/>
                <w:szCs w:val="20"/>
                <w:lang w:eastAsia="en-AU"/>
              </w:rPr>
            </w:pPr>
          </w:p>
        </w:tc>
      </w:tr>
      <w:tr w:rsidR="00F42A40" w:rsidRPr="00FD3200" w14:paraId="6BAA64ED"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5ED451D4" w14:textId="04EE5D0B" w:rsidR="00F42A40" w:rsidRPr="00FD3200" w:rsidRDefault="00F42A40" w:rsidP="00F42A40">
            <w:pPr>
              <w:jc w:val="right"/>
              <w:rPr>
                <w:rFonts w:eastAsia="Times New Roman" w:cs="Calibri"/>
                <w:color w:val="000000"/>
                <w:sz w:val="20"/>
                <w:szCs w:val="20"/>
                <w:lang w:eastAsia="en-AU"/>
              </w:rPr>
            </w:pPr>
            <w:r>
              <w:rPr>
                <w:rFonts w:eastAsia="Times New Roman" w:cs="Calibri"/>
                <w:color w:val="000000"/>
                <w:sz w:val="20"/>
                <w:szCs w:val="20"/>
                <w:lang w:eastAsia="en-AU"/>
              </w:rPr>
              <w:t>EOLT</w:t>
            </w:r>
            <w:r w:rsidRPr="00FD3200">
              <w:rPr>
                <w:rFonts w:eastAsia="Times New Roman" w:cs="Calibri"/>
                <w:color w:val="000000"/>
                <w:sz w:val="20"/>
                <w:szCs w:val="20"/>
                <w:lang w:eastAsia="en-AU"/>
              </w:rPr>
              <w:t xml:space="preserve"> facility</w:t>
            </w:r>
          </w:p>
        </w:tc>
        <w:tc>
          <w:tcPr>
            <w:tcW w:w="1039" w:type="dxa"/>
            <w:tcBorders>
              <w:top w:val="nil"/>
              <w:left w:val="nil"/>
              <w:bottom w:val="single" w:sz="4" w:space="0" w:color="BFBFBF"/>
              <w:right w:val="single" w:sz="4" w:space="0" w:color="BFBFBF"/>
            </w:tcBorders>
            <w:shd w:val="clear" w:color="000000" w:fill="FFFFFF"/>
            <w:noWrap/>
            <w:hideMark/>
          </w:tcPr>
          <w:p w14:paraId="12541945" w14:textId="75A82609" w:rsidR="00F42A40" w:rsidRPr="00FD3200" w:rsidRDefault="00F42A40" w:rsidP="00F42A40">
            <w:pPr>
              <w:jc w:val="right"/>
              <w:rPr>
                <w:rFonts w:eastAsia="Times New Roman" w:cs="Calibri"/>
                <w:color w:val="000000"/>
                <w:sz w:val="20"/>
                <w:szCs w:val="20"/>
                <w:lang w:eastAsia="en-AU"/>
              </w:rPr>
            </w:pPr>
            <w:r>
              <w:rPr>
                <w:color w:val="000000"/>
                <w:sz w:val="20"/>
                <w:szCs w:val="20"/>
              </w:rPr>
              <w:t>11,724</w:t>
            </w:r>
          </w:p>
        </w:tc>
        <w:tc>
          <w:tcPr>
            <w:tcW w:w="963" w:type="dxa"/>
            <w:tcBorders>
              <w:left w:val="nil"/>
              <w:right w:val="single" w:sz="4" w:space="0" w:color="BFBFBF"/>
            </w:tcBorders>
            <w:shd w:val="clear" w:color="auto" w:fill="auto"/>
            <w:noWrap/>
            <w:vAlign w:val="center"/>
          </w:tcPr>
          <w:p w14:paraId="3F5A2B15" w14:textId="0202D21E" w:rsidR="00F42A40" w:rsidRPr="00FD3200" w:rsidRDefault="00F42A40" w:rsidP="009D734D">
            <w:pPr>
              <w:jc w:val="center"/>
              <w:rPr>
                <w:rFonts w:eastAsia="Times New Roman" w:cs="Calibri"/>
                <w:color w:val="000000"/>
                <w:sz w:val="20"/>
                <w:szCs w:val="20"/>
                <w:lang w:eastAsia="en-AU"/>
              </w:rPr>
            </w:pPr>
          </w:p>
        </w:tc>
        <w:tc>
          <w:tcPr>
            <w:tcW w:w="1034" w:type="dxa"/>
            <w:tcBorders>
              <w:left w:val="nil"/>
              <w:right w:val="single" w:sz="4" w:space="0" w:color="BFBFBF"/>
            </w:tcBorders>
            <w:shd w:val="clear" w:color="auto" w:fill="auto"/>
            <w:noWrap/>
            <w:vAlign w:val="center"/>
          </w:tcPr>
          <w:p w14:paraId="01339542" w14:textId="41436E96" w:rsidR="00F42A40" w:rsidRPr="00FD3200" w:rsidRDefault="00F42A40" w:rsidP="009D734D">
            <w:pPr>
              <w:jc w:val="center"/>
              <w:rPr>
                <w:rFonts w:eastAsia="Times New Roman" w:cs="Calibri"/>
                <w:color w:val="000000"/>
                <w:sz w:val="20"/>
                <w:szCs w:val="20"/>
                <w:lang w:eastAsia="en-AU"/>
              </w:rPr>
            </w:pPr>
          </w:p>
        </w:tc>
        <w:tc>
          <w:tcPr>
            <w:tcW w:w="969" w:type="dxa"/>
            <w:tcBorders>
              <w:top w:val="nil"/>
              <w:left w:val="nil"/>
              <w:bottom w:val="single" w:sz="4" w:space="0" w:color="BFBFBF"/>
              <w:right w:val="single" w:sz="4" w:space="0" w:color="BFBFBF"/>
            </w:tcBorders>
            <w:shd w:val="clear" w:color="auto" w:fill="auto"/>
            <w:noWrap/>
            <w:hideMark/>
          </w:tcPr>
          <w:p w14:paraId="32F1A32C" w14:textId="1D25AA1B" w:rsidR="00F42A40" w:rsidRPr="00FD3200"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7B0DB08A" w14:textId="48FB8495" w:rsidR="00F42A40" w:rsidRPr="00FD3200"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573A9681" w14:textId="741A1980" w:rsidR="00F42A40" w:rsidRPr="00FD3200"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7DACB88A" w14:textId="28512762" w:rsidR="00F42A40" w:rsidRPr="00FD3200" w:rsidRDefault="00F42A40" w:rsidP="00F42A40">
            <w:pPr>
              <w:jc w:val="center"/>
              <w:rPr>
                <w:rFonts w:eastAsia="Times New Roman" w:cs="Calibri"/>
                <w:color w:val="000000"/>
                <w:sz w:val="20"/>
                <w:szCs w:val="20"/>
                <w:lang w:eastAsia="en-AU"/>
              </w:rPr>
            </w:pPr>
            <w:r>
              <w:rPr>
                <w:color w:val="000000"/>
                <w:sz w:val="20"/>
                <w:szCs w:val="20"/>
              </w:rPr>
              <w:t>&gt;2037</w:t>
            </w:r>
          </w:p>
        </w:tc>
        <w:tc>
          <w:tcPr>
            <w:tcW w:w="5257" w:type="dxa"/>
            <w:vMerge/>
            <w:tcBorders>
              <w:top w:val="single" w:sz="4" w:space="0" w:color="808080"/>
              <w:left w:val="single" w:sz="4" w:space="0" w:color="BFBFBF"/>
              <w:bottom w:val="single" w:sz="4" w:space="0" w:color="BFBFBF"/>
              <w:right w:val="single" w:sz="4" w:space="0" w:color="BFBFBF"/>
            </w:tcBorders>
            <w:vAlign w:val="center"/>
            <w:hideMark/>
          </w:tcPr>
          <w:p w14:paraId="663072A1" w14:textId="77777777" w:rsidR="00F42A40" w:rsidRPr="00FD3200" w:rsidRDefault="00F42A40" w:rsidP="00F42A40">
            <w:pPr>
              <w:rPr>
                <w:rFonts w:eastAsia="Times New Roman" w:cs="Calibri"/>
                <w:color w:val="000000"/>
                <w:sz w:val="20"/>
                <w:szCs w:val="20"/>
                <w:lang w:eastAsia="en-AU"/>
              </w:rPr>
            </w:pPr>
          </w:p>
        </w:tc>
      </w:tr>
      <w:tr w:rsidR="00F42A40" w:rsidRPr="00FD3200" w14:paraId="6B71D0C2"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2EEBB28" w14:textId="4132F03E" w:rsidR="00F42A40" w:rsidRPr="00FD3200" w:rsidRDefault="00F42A40" w:rsidP="00F42A40">
            <w:pPr>
              <w:jc w:val="right"/>
              <w:rPr>
                <w:rFonts w:eastAsia="Times New Roman" w:cs="Calibri"/>
                <w:color w:val="000000"/>
                <w:sz w:val="20"/>
                <w:szCs w:val="20"/>
                <w:lang w:eastAsia="en-AU"/>
              </w:rPr>
            </w:pPr>
            <w:r>
              <w:rPr>
                <w:rFonts w:eastAsia="Times New Roman" w:cs="Calibri"/>
                <w:color w:val="000000"/>
                <w:sz w:val="20"/>
                <w:szCs w:val="20"/>
                <w:lang w:eastAsia="en-AU"/>
              </w:rPr>
              <w:t>SPL</w:t>
            </w:r>
            <w:r w:rsidRPr="00FD3200">
              <w:rPr>
                <w:rFonts w:eastAsia="Times New Roman" w:cs="Calibri"/>
                <w:color w:val="000000"/>
                <w:sz w:val="20"/>
                <w:szCs w:val="20"/>
                <w:lang w:eastAsia="en-AU"/>
              </w:rPr>
              <w:t xml:space="preserve"> facility</w:t>
            </w:r>
          </w:p>
        </w:tc>
        <w:tc>
          <w:tcPr>
            <w:tcW w:w="1039" w:type="dxa"/>
            <w:tcBorders>
              <w:top w:val="nil"/>
              <w:left w:val="nil"/>
              <w:bottom w:val="single" w:sz="4" w:space="0" w:color="BFBFBF"/>
              <w:right w:val="single" w:sz="4" w:space="0" w:color="BFBFBF"/>
            </w:tcBorders>
            <w:shd w:val="clear" w:color="000000" w:fill="FFFFFF"/>
            <w:noWrap/>
            <w:hideMark/>
          </w:tcPr>
          <w:p w14:paraId="1B8EA61B" w14:textId="4C609306" w:rsidR="00F42A40" w:rsidRPr="00FD3200" w:rsidRDefault="00F42A40" w:rsidP="00F42A40">
            <w:pPr>
              <w:jc w:val="right"/>
              <w:rPr>
                <w:rFonts w:eastAsia="Times New Roman" w:cs="Calibri"/>
                <w:color w:val="000000"/>
                <w:sz w:val="20"/>
                <w:szCs w:val="20"/>
                <w:lang w:eastAsia="en-AU"/>
              </w:rPr>
            </w:pPr>
            <w:r>
              <w:rPr>
                <w:color w:val="000000"/>
                <w:sz w:val="20"/>
                <w:szCs w:val="20"/>
              </w:rPr>
              <w:t>13,019</w:t>
            </w:r>
          </w:p>
        </w:tc>
        <w:tc>
          <w:tcPr>
            <w:tcW w:w="963" w:type="dxa"/>
            <w:tcBorders>
              <w:left w:val="nil"/>
              <w:right w:val="single" w:sz="4" w:space="0" w:color="BFBFBF"/>
            </w:tcBorders>
            <w:shd w:val="clear" w:color="auto" w:fill="auto"/>
            <w:noWrap/>
            <w:vAlign w:val="center"/>
          </w:tcPr>
          <w:p w14:paraId="4A87129B" w14:textId="52F65858" w:rsidR="00F42A40" w:rsidRPr="00FD3200" w:rsidRDefault="00F42A40" w:rsidP="009D734D">
            <w:pPr>
              <w:jc w:val="center"/>
              <w:rPr>
                <w:rFonts w:eastAsia="Times New Roman" w:cs="Calibri"/>
                <w:color w:val="000000"/>
                <w:sz w:val="20"/>
                <w:szCs w:val="20"/>
                <w:lang w:eastAsia="en-AU"/>
              </w:rPr>
            </w:pPr>
          </w:p>
        </w:tc>
        <w:tc>
          <w:tcPr>
            <w:tcW w:w="1034" w:type="dxa"/>
            <w:tcBorders>
              <w:left w:val="nil"/>
              <w:right w:val="single" w:sz="4" w:space="0" w:color="BFBFBF"/>
            </w:tcBorders>
            <w:shd w:val="clear" w:color="auto" w:fill="auto"/>
            <w:noWrap/>
            <w:vAlign w:val="center"/>
          </w:tcPr>
          <w:p w14:paraId="3AE1A903" w14:textId="4FA80F5F" w:rsidR="00F42A40" w:rsidRPr="00FD3200" w:rsidRDefault="00F42A40" w:rsidP="009D734D">
            <w:pPr>
              <w:jc w:val="center"/>
              <w:rPr>
                <w:rFonts w:eastAsia="Times New Roman" w:cs="Calibri"/>
                <w:color w:val="000000"/>
                <w:sz w:val="20"/>
                <w:szCs w:val="20"/>
                <w:lang w:eastAsia="en-AU"/>
              </w:rPr>
            </w:pPr>
          </w:p>
        </w:tc>
        <w:tc>
          <w:tcPr>
            <w:tcW w:w="969" w:type="dxa"/>
            <w:tcBorders>
              <w:top w:val="nil"/>
              <w:left w:val="nil"/>
              <w:bottom w:val="single" w:sz="4" w:space="0" w:color="BFBFBF"/>
              <w:right w:val="single" w:sz="4" w:space="0" w:color="BFBFBF"/>
            </w:tcBorders>
            <w:shd w:val="clear" w:color="auto" w:fill="auto"/>
            <w:noWrap/>
            <w:hideMark/>
          </w:tcPr>
          <w:p w14:paraId="7E1DB6B9" w14:textId="27384F60" w:rsidR="00F42A40" w:rsidRPr="00FD3200"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54F7C0DB" w14:textId="3649DF61" w:rsidR="00F42A40" w:rsidRPr="00FD3200"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3FAE6FE5" w14:textId="4B0B6D58" w:rsidR="00F42A40" w:rsidRPr="00FD3200"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220771F8" w14:textId="106EB265" w:rsidR="00F42A40" w:rsidRPr="00FD3200" w:rsidRDefault="00F42A40" w:rsidP="00F42A40">
            <w:pPr>
              <w:jc w:val="center"/>
              <w:rPr>
                <w:rFonts w:eastAsia="Times New Roman" w:cs="Calibri"/>
                <w:color w:val="000000"/>
                <w:sz w:val="20"/>
                <w:szCs w:val="20"/>
                <w:lang w:eastAsia="en-AU"/>
              </w:rPr>
            </w:pPr>
            <w:r>
              <w:rPr>
                <w:color w:val="000000"/>
                <w:sz w:val="20"/>
                <w:szCs w:val="20"/>
              </w:rPr>
              <w:t>&gt;2037</w:t>
            </w:r>
          </w:p>
        </w:tc>
        <w:tc>
          <w:tcPr>
            <w:tcW w:w="5257" w:type="dxa"/>
            <w:vMerge/>
            <w:tcBorders>
              <w:top w:val="single" w:sz="4" w:space="0" w:color="808080"/>
              <w:left w:val="single" w:sz="4" w:space="0" w:color="BFBFBF"/>
              <w:bottom w:val="single" w:sz="4" w:space="0" w:color="BFBFBF"/>
              <w:right w:val="single" w:sz="4" w:space="0" w:color="BFBFBF"/>
            </w:tcBorders>
            <w:vAlign w:val="center"/>
            <w:hideMark/>
          </w:tcPr>
          <w:p w14:paraId="12ABFF67" w14:textId="77777777" w:rsidR="00F42A40" w:rsidRPr="00FD3200" w:rsidRDefault="00F42A40" w:rsidP="00F42A40">
            <w:pPr>
              <w:rPr>
                <w:rFonts w:eastAsia="Times New Roman" w:cs="Calibri"/>
                <w:color w:val="000000"/>
                <w:sz w:val="20"/>
                <w:szCs w:val="20"/>
                <w:lang w:eastAsia="en-AU"/>
              </w:rPr>
            </w:pPr>
          </w:p>
        </w:tc>
      </w:tr>
      <w:tr w:rsidR="00F42A40" w:rsidRPr="00FD3200" w14:paraId="6C902473"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862811D" w14:textId="77777777" w:rsidR="00F42A40" w:rsidRPr="00FD3200" w:rsidRDefault="00F42A40" w:rsidP="00F42A40">
            <w:pPr>
              <w:jc w:val="right"/>
              <w:rPr>
                <w:rFonts w:eastAsia="Times New Roman" w:cs="Calibri"/>
                <w:color w:val="000000"/>
                <w:sz w:val="20"/>
                <w:szCs w:val="20"/>
                <w:lang w:eastAsia="en-AU"/>
              </w:rPr>
            </w:pPr>
            <w:r w:rsidRPr="00FD3200">
              <w:rPr>
                <w:rFonts w:eastAsia="Times New Roman" w:cs="Calibri"/>
                <w:color w:val="000000"/>
                <w:sz w:val="20"/>
                <w:szCs w:val="20"/>
                <w:lang w:eastAsia="en-AU"/>
              </w:rPr>
              <w:t xml:space="preserve">Energy recovery </w:t>
            </w:r>
          </w:p>
        </w:tc>
        <w:tc>
          <w:tcPr>
            <w:tcW w:w="1039" w:type="dxa"/>
            <w:tcBorders>
              <w:top w:val="nil"/>
              <w:left w:val="nil"/>
              <w:bottom w:val="single" w:sz="4" w:space="0" w:color="BFBFBF"/>
              <w:right w:val="single" w:sz="4" w:space="0" w:color="BFBFBF"/>
            </w:tcBorders>
            <w:shd w:val="clear" w:color="000000" w:fill="FFFFFF"/>
            <w:noWrap/>
            <w:hideMark/>
          </w:tcPr>
          <w:p w14:paraId="45FFF8E5" w14:textId="01BE95FA" w:rsidR="00F42A40" w:rsidRPr="00FD3200" w:rsidRDefault="00F42A40" w:rsidP="00F42A40">
            <w:pPr>
              <w:jc w:val="right"/>
              <w:rPr>
                <w:rFonts w:eastAsia="Times New Roman" w:cs="Calibri"/>
                <w:color w:val="000000"/>
                <w:sz w:val="20"/>
                <w:szCs w:val="20"/>
                <w:lang w:eastAsia="en-AU"/>
              </w:rPr>
            </w:pPr>
            <w:r>
              <w:rPr>
                <w:color w:val="000000"/>
                <w:sz w:val="20"/>
                <w:szCs w:val="20"/>
              </w:rPr>
              <w:t>16</w:t>
            </w:r>
          </w:p>
        </w:tc>
        <w:tc>
          <w:tcPr>
            <w:tcW w:w="963" w:type="dxa"/>
            <w:tcBorders>
              <w:left w:val="nil"/>
              <w:bottom w:val="single" w:sz="4" w:space="0" w:color="BFBFBF"/>
              <w:right w:val="single" w:sz="4" w:space="0" w:color="BFBFBF"/>
            </w:tcBorders>
            <w:shd w:val="clear" w:color="auto" w:fill="auto"/>
            <w:noWrap/>
            <w:vAlign w:val="center"/>
          </w:tcPr>
          <w:p w14:paraId="07FC4E59" w14:textId="7D627C76" w:rsidR="00F42A40" w:rsidRPr="00FD3200" w:rsidRDefault="00F42A40" w:rsidP="009D734D">
            <w:pPr>
              <w:jc w:val="center"/>
              <w:rPr>
                <w:rFonts w:eastAsia="Times New Roman" w:cs="Calibri"/>
                <w:color w:val="000000"/>
                <w:sz w:val="20"/>
                <w:szCs w:val="20"/>
                <w:lang w:eastAsia="en-AU"/>
              </w:rPr>
            </w:pPr>
          </w:p>
        </w:tc>
        <w:tc>
          <w:tcPr>
            <w:tcW w:w="1034" w:type="dxa"/>
            <w:tcBorders>
              <w:left w:val="nil"/>
              <w:bottom w:val="single" w:sz="4" w:space="0" w:color="BFBFBF"/>
              <w:right w:val="single" w:sz="4" w:space="0" w:color="BFBFBF"/>
            </w:tcBorders>
            <w:shd w:val="clear" w:color="auto" w:fill="auto"/>
            <w:noWrap/>
            <w:vAlign w:val="center"/>
          </w:tcPr>
          <w:p w14:paraId="7556680C" w14:textId="464DA99C" w:rsidR="00F42A40" w:rsidRPr="00FD3200" w:rsidRDefault="00F42A40" w:rsidP="009D734D">
            <w:pPr>
              <w:jc w:val="center"/>
              <w:rPr>
                <w:rFonts w:eastAsia="Times New Roman" w:cs="Calibri"/>
                <w:color w:val="000000"/>
                <w:sz w:val="20"/>
                <w:szCs w:val="20"/>
                <w:lang w:eastAsia="en-AU"/>
              </w:rPr>
            </w:pPr>
          </w:p>
        </w:tc>
        <w:tc>
          <w:tcPr>
            <w:tcW w:w="969" w:type="dxa"/>
            <w:tcBorders>
              <w:top w:val="nil"/>
              <w:left w:val="nil"/>
              <w:bottom w:val="single" w:sz="4" w:space="0" w:color="BFBFBF"/>
              <w:right w:val="single" w:sz="4" w:space="0" w:color="BFBFBF"/>
            </w:tcBorders>
            <w:shd w:val="clear" w:color="auto" w:fill="auto"/>
            <w:noWrap/>
            <w:hideMark/>
          </w:tcPr>
          <w:p w14:paraId="0EE28BA6" w14:textId="1A379671" w:rsidR="00F42A40" w:rsidRPr="00FD3200"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24141960" w14:textId="61932B80" w:rsidR="00F42A40" w:rsidRPr="00FD3200"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321E48F3" w14:textId="65F8C9C4" w:rsidR="00F42A40" w:rsidRPr="00FD3200"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4EE15A48" w14:textId="14615AE4" w:rsidR="00F42A40" w:rsidRPr="00FD3200" w:rsidRDefault="00F42A40" w:rsidP="00F42A40">
            <w:pPr>
              <w:jc w:val="center"/>
              <w:rPr>
                <w:rFonts w:eastAsia="Times New Roman" w:cs="Calibri"/>
                <w:color w:val="000000"/>
                <w:sz w:val="20"/>
                <w:szCs w:val="20"/>
                <w:lang w:eastAsia="en-AU"/>
              </w:rPr>
            </w:pPr>
            <w:r>
              <w:rPr>
                <w:color w:val="000000"/>
                <w:sz w:val="20"/>
                <w:szCs w:val="20"/>
              </w:rPr>
              <w:t>&gt;2037</w:t>
            </w:r>
          </w:p>
        </w:tc>
        <w:tc>
          <w:tcPr>
            <w:tcW w:w="5257" w:type="dxa"/>
            <w:vMerge/>
            <w:tcBorders>
              <w:top w:val="single" w:sz="4" w:space="0" w:color="808080"/>
              <w:left w:val="single" w:sz="4" w:space="0" w:color="BFBFBF"/>
              <w:bottom w:val="single" w:sz="4" w:space="0" w:color="BFBFBF"/>
              <w:right w:val="single" w:sz="4" w:space="0" w:color="BFBFBF"/>
            </w:tcBorders>
            <w:vAlign w:val="center"/>
            <w:hideMark/>
          </w:tcPr>
          <w:p w14:paraId="36516B5A" w14:textId="77777777" w:rsidR="00F42A40" w:rsidRPr="00FD3200" w:rsidRDefault="00F42A40" w:rsidP="00F42A40">
            <w:pPr>
              <w:rPr>
                <w:rFonts w:eastAsia="Times New Roman" w:cs="Calibri"/>
                <w:color w:val="000000"/>
                <w:sz w:val="20"/>
                <w:szCs w:val="20"/>
                <w:lang w:eastAsia="en-AU"/>
              </w:rPr>
            </w:pPr>
          </w:p>
        </w:tc>
      </w:tr>
      <w:tr w:rsidR="009D734D" w:rsidRPr="00FD3200" w14:paraId="0F618E82" w14:textId="77777777" w:rsidTr="009D734D">
        <w:trPr>
          <w:trHeight w:val="255"/>
        </w:trPr>
        <w:tc>
          <w:tcPr>
            <w:tcW w:w="2830" w:type="dxa"/>
            <w:tcBorders>
              <w:top w:val="nil"/>
              <w:left w:val="single" w:sz="4" w:space="0" w:color="BFBFBF"/>
              <w:bottom w:val="nil"/>
              <w:right w:val="nil"/>
            </w:tcBorders>
            <w:shd w:val="clear" w:color="000000" w:fill="C5D9F1"/>
            <w:noWrap/>
            <w:vAlign w:val="bottom"/>
            <w:hideMark/>
          </w:tcPr>
          <w:p w14:paraId="70D337ED" w14:textId="77777777" w:rsidR="00F42A40" w:rsidRPr="00FD3200" w:rsidRDefault="00F42A40" w:rsidP="00F42A40">
            <w:pPr>
              <w:jc w:val="right"/>
              <w:rPr>
                <w:rFonts w:eastAsia="Times New Roman" w:cs="Calibri"/>
                <w:b/>
                <w:bCs/>
                <w:color w:val="000000"/>
                <w:sz w:val="20"/>
                <w:szCs w:val="20"/>
                <w:lang w:eastAsia="en-AU"/>
              </w:rPr>
            </w:pPr>
            <w:r w:rsidRPr="00FD3200">
              <w:rPr>
                <w:rFonts w:eastAsia="Times New Roman" w:cs="Calibri"/>
                <w:b/>
                <w:bCs/>
                <w:color w:val="000000"/>
                <w:sz w:val="20"/>
                <w:szCs w:val="20"/>
                <w:lang w:eastAsia="en-AU"/>
              </w:rPr>
              <w:t xml:space="preserve">Treatment </w:t>
            </w:r>
          </w:p>
        </w:tc>
        <w:tc>
          <w:tcPr>
            <w:tcW w:w="1039" w:type="dxa"/>
            <w:tcBorders>
              <w:top w:val="nil"/>
              <w:left w:val="single" w:sz="4" w:space="0" w:color="BFBFBF"/>
              <w:bottom w:val="nil"/>
              <w:right w:val="single" w:sz="4" w:space="0" w:color="BFBFBF"/>
            </w:tcBorders>
            <w:shd w:val="clear" w:color="000000" w:fill="C5D9F1"/>
            <w:noWrap/>
            <w:hideMark/>
          </w:tcPr>
          <w:p w14:paraId="72156B84" w14:textId="75E8ABE0" w:rsidR="00F42A40" w:rsidRPr="00FD3200" w:rsidRDefault="00F42A40" w:rsidP="00F42A40">
            <w:pPr>
              <w:rPr>
                <w:rFonts w:eastAsia="Times New Roman" w:cs="Calibri"/>
                <w:color w:val="000000"/>
                <w:sz w:val="20"/>
                <w:szCs w:val="20"/>
                <w:lang w:eastAsia="en-AU"/>
              </w:rPr>
            </w:pPr>
            <w:r>
              <w:rPr>
                <w:color w:val="000000"/>
                <w:sz w:val="20"/>
                <w:szCs w:val="20"/>
              </w:rPr>
              <w:t> </w:t>
            </w:r>
          </w:p>
        </w:tc>
        <w:tc>
          <w:tcPr>
            <w:tcW w:w="963" w:type="dxa"/>
            <w:tcBorders>
              <w:top w:val="nil"/>
              <w:left w:val="nil"/>
              <w:bottom w:val="single" w:sz="4" w:space="0" w:color="BFBFBF"/>
              <w:right w:val="nil"/>
            </w:tcBorders>
            <w:shd w:val="clear" w:color="000000" w:fill="C5D9F1"/>
            <w:noWrap/>
            <w:vAlign w:val="center"/>
          </w:tcPr>
          <w:p w14:paraId="3ACAA0DD" w14:textId="360A49D1" w:rsidR="00F42A40" w:rsidRPr="00FD3200" w:rsidRDefault="00F42A40" w:rsidP="009D734D">
            <w:pPr>
              <w:jc w:val="center"/>
              <w:rPr>
                <w:rFonts w:eastAsia="Times New Roman" w:cs="Calibri"/>
                <w:color w:val="000000"/>
                <w:sz w:val="20"/>
                <w:szCs w:val="20"/>
                <w:lang w:eastAsia="en-AU"/>
              </w:rPr>
            </w:pPr>
          </w:p>
        </w:tc>
        <w:tc>
          <w:tcPr>
            <w:tcW w:w="1034" w:type="dxa"/>
            <w:tcBorders>
              <w:top w:val="nil"/>
              <w:left w:val="nil"/>
              <w:bottom w:val="single" w:sz="4" w:space="0" w:color="BFBFBF"/>
              <w:right w:val="nil"/>
            </w:tcBorders>
            <w:shd w:val="clear" w:color="000000" w:fill="C5D9F1"/>
            <w:noWrap/>
            <w:vAlign w:val="center"/>
          </w:tcPr>
          <w:p w14:paraId="0A8A0625" w14:textId="43BEA36D" w:rsidR="00F42A40" w:rsidRPr="00FD3200" w:rsidRDefault="00F42A40" w:rsidP="009D734D">
            <w:pPr>
              <w:jc w:val="center"/>
              <w:rPr>
                <w:rFonts w:eastAsia="Times New Roman" w:cs="Calibri"/>
                <w:color w:val="000000"/>
                <w:sz w:val="20"/>
                <w:szCs w:val="20"/>
                <w:lang w:eastAsia="en-AU"/>
              </w:rPr>
            </w:pPr>
          </w:p>
        </w:tc>
        <w:tc>
          <w:tcPr>
            <w:tcW w:w="969" w:type="dxa"/>
            <w:tcBorders>
              <w:top w:val="nil"/>
              <w:left w:val="nil"/>
              <w:bottom w:val="nil"/>
              <w:right w:val="single" w:sz="4" w:space="0" w:color="BFBFBF"/>
            </w:tcBorders>
            <w:shd w:val="clear" w:color="000000" w:fill="C5D9F1"/>
            <w:noWrap/>
            <w:hideMark/>
          </w:tcPr>
          <w:p w14:paraId="6C1A7455" w14:textId="2A78078F" w:rsidR="00F42A40" w:rsidRPr="00FD3200"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single" w:sz="4" w:space="0" w:color="BFBFBF"/>
            </w:tcBorders>
            <w:shd w:val="clear" w:color="000000" w:fill="C5D9F1"/>
            <w:noWrap/>
            <w:hideMark/>
          </w:tcPr>
          <w:p w14:paraId="4DEDD83D" w14:textId="59C6CBD2" w:rsidR="00F42A40" w:rsidRPr="00FD3200"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single" w:sz="4" w:space="0" w:color="BFBFBF"/>
            </w:tcBorders>
            <w:shd w:val="clear" w:color="000000" w:fill="C5D9F1"/>
            <w:noWrap/>
            <w:hideMark/>
          </w:tcPr>
          <w:p w14:paraId="388D83A3" w14:textId="3A860D15" w:rsidR="00F42A40" w:rsidRPr="00FD3200"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single" w:sz="4" w:space="0" w:color="BFBFBF"/>
            </w:tcBorders>
            <w:shd w:val="clear" w:color="000000" w:fill="C5D9F1"/>
            <w:noWrap/>
            <w:hideMark/>
          </w:tcPr>
          <w:p w14:paraId="27FFD823" w14:textId="43B0B7A5" w:rsidR="00F42A40" w:rsidRPr="00FD3200" w:rsidRDefault="00F42A40" w:rsidP="00F42A40">
            <w:pPr>
              <w:rPr>
                <w:rFonts w:eastAsia="Times New Roman" w:cs="Calibri"/>
                <w:color w:val="000000"/>
                <w:sz w:val="20"/>
                <w:szCs w:val="20"/>
                <w:lang w:eastAsia="en-AU"/>
              </w:rPr>
            </w:pPr>
            <w:r>
              <w:rPr>
                <w:color w:val="000000"/>
                <w:sz w:val="20"/>
                <w:szCs w:val="20"/>
              </w:rPr>
              <w:t> </w:t>
            </w:r>
          </w:p>
        </w:tc>
        <w:tc>
          <w:tcPr>
            <w:tcW w:w="5257" w:type="dxa"/>
            <w:vMerge/>
            <w:tcBorders>
              <w:top w:val="single" w:sz="4" w:space="0" w:color="808080"/>
              <w:left w:val="single" w:sz="4" w:space="0" w:color="BFBFBF"/>
              <w:bottom w:val="single" w:sz="4" w:space="0" w:color="BFBFBF"/>
              <w:right w:val="single" w:sz="4" w:space="0" w:color="BFBFBF"/>
            </w:tcBorders>
            <w:vAlign w:val="center"/>
            <w:hideMark/>
          </w:tcPr>
          <w:p w14:paraId="1D137AFA" w14:textId="77777777" w:rsidR="00F42A40" w:rsidRPr="00FD3200" w:rsidRDefault="00F42A40" w:rsidP="00F42A40">
            <w:pPr>
              <w:rPr>
                <w:rFonts w:eastAsia="Times New Roman" w:cs="Calibri"/>
                <w:color w:val="000000"/>
                <w:sz w:val="20"/>
                <w:szCs w:val="20"/>
                <w:lang w:eastAsia="en-AU"/>
              </w:rPr>
            </w:pPr>
          </w:p>
        </w:tc>
      </w:tr>
      <w:tr w:rsidR="00F42A40" w:rsidRPr="00FD3200" w14:paraId="10C99AB7" w14:textId="77777777" w:rsidTr="009D734D">
        <w:trPr>
          <w:trHeight w:val="255"/>
        </w:trPr>
        <w:tc>
          <w:tcPr>
            <w:tcW w:w="283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CA4C1DB" w14:textId="77777777" w:rsidR="00F42A40" w:rsidRPr="00FD3200" w:rsidRDefault="00F42A40" w:rsidP="00F42A40">
            <w:pPr>
              <w:jc w:val="right"/>
              <w:rPr>
                <w:rFonts w:eastAsia="Times New Roman" w:cs="Calibri"/>
                <w:color w:val="000000"/>
                <w:sz w:val="20"/>
                <w:szCs w:val="20"/>
                <w:lang w:eastAsia="en-AU"/>
              </w:rPr>
            </w:pPr>
            <w:r w:rsidRPr="00FD3200">
              <w:rPr>
                <w:rFonts w:eastAsia="Times New Roman" w:cs="Calibri"/>
                <w:color w:val="000000"/>
                <w:sz w:val="20"/>
                <w:szCs w:val="20"/>
                <w:lang w:eastAsia="en-AU"/>
              </w:rPr>
              <w:t>CPT plant</w:t>
            </w:r>
          </w:p>
        </w:tc>
        <w:tc>
          <w:tcPr>
            <w:tcW w:w="1039" w:type="dxa"/>
            <w:tcBorders>
              <w:top w:val="single" w:sz="4" w:space="0" w:color="BFBFBF"/>
              <w:left w:val="nil"/>
              <w:bottom w:val="single" w:sz="4" w:space="0" w:color="BFBFBF"/>
              <w:right w:val="single" w:sz="4" w:space="0" w:color="BFBFBF"/>
            </w:tcBorders>
            <w:shd w:val="clear" w:color="000000" w:fill="FFFFFF"/>
            <w:noWrap/>
            <w:hideMark/>
          </w:tcPr>
          <w:p w14:paraId="47ADC3FA" w14:textId="6D8206B0" w:rsidR="00F42A40" w:rsidRPr="00FD3200" w:rsidRDefault="00F42A40" w:rsidP="00F42A40">
            <w:pPr>
              <w:jc w:val="right"/>
              <w:rPr>
                <w:rFonts w:eastAsia="Times New Roman" w:cs="Calibri"/>
                <w:color w:val="000000"/>
                <w:sz w:val="20"/>
                <w:szCs w:val="20"/>
                <w:lang w:eastAsia="en-AU"/>
              </w:rPr>
            </w:pPr>
            <w:r>
              <w:rPr>
                <w:color w:val="000000"/>
                <w:sz w:val="20"/>
                <w:szCs w:val="20"/>
              </w:rPr>
              <w:t>123,201</w:t>
            </w:r>
          </w:p>
        </w:tc>
        <w:tc>
          <w:tcPr>
            <w:tcW w:w="963" w:type="dxa"/>
            <w:tcBorders>
              <w:top w:val="nil"/>
              <w:left w:val="nil"/>
              <w:right w:val="single" w:sz="4" w:space="0" w:color="BFBFBF"/>
            </w:tcBorders>
            <w:shd w:val="clear" w:color="auto" w:fill="auto"/>
            <w:noWrap/>
            <w:vAlign w:val="center"/>
          </w:tcPr>
          <w:p w14:paraId="70442A5B" w14:textId="2C70B17F" w:rsidR="00F42A40" w:rsidRPr="00FD3200"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34" w:type="dxa"/>
            <w:tcBorders>
              <w:top w:val="nil"/>
              <w:left w:val="nil"/>
              <w:right w:val="single" w:sz="4" w:space="0" w:color="BFBFBF"/>
            </w:tcBorders>
            <w:shd w:val="clear" w:color="auto" w:fill="auto"/>
            <w:noWrap/>
            <w:vAlign w:val="center"/>
          </w:tcPr>
          <w:p w14:paraId="0219CB6A" w14:textId="7A561738" w:rsidR="00F42A40" w:rsidRPr="00FD3200"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69" w:type="dxa"/>
            <w:tcBorders>
              <w:top w:val="single" w:sz="4" w:space="0" w:color="BFBFBF"/>
              <w:left w:val="nil"/>
              <w:bottom w:val="single" w:sz="4" w:space="0" w:color="BFBFBF"/>
              <w:right w:val="single" w:sz="4" w:space="0" w:color="BFBFBF"/>
            </w:tcBorders>
            <w:shd w:val="clear" w:color="auto" w:fill="auto"/>
            <w:noWrap/>
            <w:hideMark/>
          </w:tcPr>
          <w:p w14:paraId="329D59C8" w14:textId="3FEFAF59" w:rsidR="00F42A40" w:rsidRPr="00FD3200"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single" w:sz="4" w:space="0" w:color="BFBFBF"/>
              <w:left w:val="nil"/>
              <w:bottom w:val="single" w:sz="4" w:space="0" w:color="BFBFBF"/>
              <w:right w:val="single" w:sz="4" w:space="0" w:color="BFBFBF"/>
            </w:tcBorders>
            <w:shd w:val="clear" w:color="000000" w:fill="FFFFFF"/>
            <w:noWrap/>
            <w:hideMark/>
          </w:tcPr>
          <w:p w14:paraId="598A10F1" w14:textId="6926CFE8" w:rsidR="00F42A40" w:rsidRPr="00FD3200"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single" w:sz="4" w:space="0" w:color="BFBFBF"/>
              <w:left w:val="nil"/>
              <w:bottom w:val="single" w:sz="4" w:space="0" w:color="BFBFBF"/>
              <w:right w:val="single" w:sz="4" w:space="0" w:color="BFBFBF"/>
            </w:tcBorders>
            <w:shd w:val="clear" w:color="000000" w:fill="FFFFFF"/>
            <w:noWrap/>
            <w:hideMark/>
          </w:tcPr>
          <w:p w14:paraId="20B8E2BE" w14:textId="1102EAAD" w:rsidR="00F42A40" w:rsidRPr="00FD3200"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single" w:sz="4" w:space="0" w:color="BFBFBF"/>
              <w:left w:val="nil"/>
              <w:bottom w:val="single" w:sz="4" w:space="0" w:color="BFBFBF"/>
              <w:right w:val="single" w:sz="4" w:space="0" w:color="BFBFBF"/>
            </w:tcBorders>
            <w:shd w:val="clear" w:color="000000" w:fill="FFFFFF"/>
            <w:noWrap/>
            <w:hideMark/>
          </w:tcPr>
          <w:p w14:paraId="6FDF49CB" w14:textId="37F197D6" w:rsidR="00F42A40" w:rsidRPr="00FD3200" w:rsidRDefault="00F42A40" w:rsidP="00F42A40">
            <w:pPr>
              <w:jc w:val="center"/>
              <w:rPr>
                <w:rFonts w:eastAsia="Times New Roman" w:cs="Calibri"/>
                <w:color w:val="000000"/>
                <w:sz w:val="20"/>
                <w:szCs w:val="20"/>
                <w:lang w:eastAsia="en-AU"/>
              </w:rPr>
            </w:pPr>
            <w:r>
              <w:rPr>
                <w:color w:val="000000"/>
                <w:sz w:val="20"/>
                <w:szCs w:val="20"/>
              </w:rPr>
              <w:t>&gt;2037</w:t>
            </w:r>
          </w:p>
        </w:tc>
        <w:tc>
          <w:tcPr>
            <w:tcW w:w="5257" w:type="dxa"/>
            <w:vMerge/>
            <w:tcBorders>
              <w:top w:val="single" w:sz="4" w:space="0" w:color="808080"/>
              <w:left w:val="single" w:sz="4" w:space="0" w:color="BFBFBF"/>
              <w:bottom w:val="single" w:sz="4" w:space="0" w:color="BFBFBF"/>
              <w:right w:val="single" w:sz="4" w:space="0" w:color="BFBFBF"/>
            </w:tcBorders>
            <w:vAlign w:val="center"/>
            <w:hideMark/>
          </w:tcPr>
          <w:p w14:paraId="641EE87B" w14:textId="77777777" w:rsidR="00F42A40" w:rsidRPr="00FD3200" w:rsidRDefault="00F42A40" w:rsidP="00F42A40">
            <w:pPr>
              <w:rPr>
                <w:rFonts w:eastAsia="Times New Roman" w:cs="Calibri"/>
                <w:color w:val="000000"/>
                <w:sz w:val="20"/>
                <w:szCs w:val="20"/>
                <w:lang w:eastAsia="en-AU"/>
              </w:rPr>
            </w:pPr>
          </w:p>
        </w:tc>
      </w:tr>
      <w:tr w:rsidR="00F42A40" w:rsidRPr="00FD3200" w14:paraId="00560CC9"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214124C4" w14:textId="77777777" w:rsidR="00F42A40" w:rsidRPr="00FD3200" w:rsidRDefault="00F42A40" w:rsidP="00F42A40">
            <w:pPr>
              <w:jc w:val="right"/>
              <w:rPr>
                <w:rFonts w:eastAsia="Times New Roman" w:cs="Calibri"/>
                <w:color w:val="000000"/>
                <w:sz w:val="20"/>
                <w:szCs w:val="20"/>
                <w:lang w:eastAsia="en-AU"/>
              </w:rPr>
            </w:pPr>
            <w:r w:rsidRPr="00FD3200">
              <w:rPr>
                <w:rFonts w:eastAsia="Times New Roman" w:cs="Calibri"/>
                <w:color w:val="000000"/>
                <w:sz w:val="20"/>
                <w:szCs w:val="20"/>
                <w:lang w:eastAsia="en-AU"/>
              </w:rPr>
              <w:t xml:space="preserve">Clinical waste treatment facility </w:t>
            </w:r>
          </w:p>
        </w:tc>
        <w:tc>
          <w:tcPr>
            <w:tcW w:w="1039" w:type="dxa"/>
            <w:tcBorders>
              <w:top w:val="nil"/>
              <w:left w:val="nil"/>
              <w:bottom w:val="single" w:sz="4" w:space="0" w:color="BFBFBF"/>
              <w:right w:val="single" w:sz="4" w:space="0" w:color="BFBFBF"/>
            </w:tcBorders>
            <w:shd w:val="clear" w:color="000000" w:fill="FFFFFF"/>
            <w:noWrap/>
            <w:hideMark/>
          </w:tcPr>
          <w:p w14:paraId="5B2C3537" w14:textId="4A5AADEE" w:rsidR="00F42A40" w:rsidRPr="00FD3200" w:rsidRDefault="00F42A40" w:rsidP="00F42A40">
            <w:pPr>
              <w:jc w:val="right"/>
              <w:rPr>
                <w:rFonts w:eastAsia="Times New Roman" w:cs="Calibri"/>
                <w:color w:val="000000"/>
                <w:sz w:val="20"/>
                <w:szCs w:val="20"/>
                <w:lang w:eastAsia="en-AU"/>
              </w:rPr>
            </w:pPr>
            <w:r>
              <w:rPr>
                <w:color w:val="000000"/>
                <w:sz w:val="20"/>
                <w:szCs w:val="20"/>
              </w:rPr>
              <w:t>9,024</w:t>
            </w:r>
          </w:p>
        </w:tc>
        <w:tc>
          <w:tcPr>
            <w:tcW w:w="963" w:type="dxa"/>
            <w:tcBorders>
              <w:left w:val="nil"/>
              <w:right w:val="single" w:sz="4" w:space="0" w:color="BFBFBF"/>
            </w:tcBorders>
            <w:shd w:val="clear" w:color="auto" w:fill="auto"/>
            <w:noWrap/>
            <w:vAlign w:val="center"/>
          </w:tcPr>
          <w:p w14:paraId="4A0259CB" w14:textId="53C5C77D" w:rsidR="00F42A40" w:rsidRPr="00FD3200" w:rsidRDefault="00F42A40" w:rsidP="009D734D">
            <w:pPr>
              <w:jc w:val="center"/>
              <w:rPr>
                <w:rFonts w:eastAsia="Times New Roman" w:cs="Calibri"/>
                <w:color w:val="000000"/>
                <w:sz w:val="20"/>
                <w:szCs w:val="20"/>
                <w:lang w:eastAsia="en-AU"/>
              </w:rPr>
            </w:pPr>
          </w:p>
        </w:tc>
        <w:tc>
          <w:tcPr>
            <w:tcW w:w="1034" w:type="dxa"/>
            <w:tcBorders>
              <w:left w:val="nil"/>
              <w:right w:val="single" w:sz="4" w:space="0" w:color="BFBFBF"/>
            </w:tcBorders>
            <w:shd w:val="clear" w:color="auto" w:fill="auto"/>
            <w:noWrap/>
            <w:vAlign w:val="center"/>
          </w:tcPr>
          <w:p w14:paraId="573BA047" w14:textId="6582E1E5" w:rsidR="00F42A40" w:rsidRPr="00FD3200" w:rsidRDefault="00F42A40" w:rsidP="009D734D">
            <w:pPr>
              <w:jc w:val="center"/>
              <w:rPr>
                <w:rFonts w:eastAsia="Times New Roman" w:cs="Calibri"/>
                <w:color w:val="000000"/>
                <w:sz w:val="20"/>
                <w:szCs w:val="20"/>
                <w:lang w:eastAsia="en-AU"/>
              </w:rPr>
            </w:pPr>
          </w:p>
        </w:tc>
        <w:tc>
          <w:tcPr>
            <w:tcW w:w="969" w:type="dxa"/>
            <w:tcBorders>
              <w:top w:val="nil"/>
              <w:left w:val="nil"/>
              <w:bottom w:val="single" w:sz="4" w:space="0" w:color="BFBFBF"/>
              <w:right w:val="single" w:sz="4" w:space="0" w:color="BFBFBF"/>
            </w:tcBorders>
            <w:shd w:val="clear" w:color="auto" w:fill="auto"/>
            <w:noWrap/>
            <w:hideMark/>
          </w:tcPr>
          <w:p w14:paraId="2580B456" w14:textId="20D371CD" w:rsidR="00F42A40" w:rsidRPr="00FD3200" w:rsidRDefault="00F42A40" w:rsidP="00F42A40">
            <w:pPr>
              <w:jc w:val="center"/>
              <w:rPr>
                <w:rFonts w:eastAsia="Times New Roman" w:cs="Calibri"/>
                <w:color w:val="000000"/>
                <w:sz w:val="20"/>
                <w:szCs w:val="20"/>
                <w:lang w:eastAsia="en-AU"/>
              </w:rPr>
            </w:pPr>
            <w:r>
              <w:rPr>
                <w:color w:val="000000"/>
                <w:sz w:val="20"/>
                <w:szCs w:val="20"/>
              </w:rPr>
              <w:t>Poor</w:t>
            </w:r>
          </w:p>
        </w:tc>
        <w:tc>
          <w:tcPr>
            <w:tcW w:w="740" w:type="dxa"/>
            <w:tcBorders>
              <w:top w:val="nil"/>
              <w:left w:val="nil"/>
              <w:bottom w:val="single" w:sz="4" w:space="0" w:color="BFBFBF"/>
              <w:right w:val="single" w:sz="4" w:space="0" w:color="BFBFBF"/>
            </w:tcBorders>
            <w:shd w:val="clear" w:color="000000" w:fill="FFFFFF"/>
            <w:noWrap/>
            <w:hideMark/>
          </w:tcPr>
          <w:p w14:paraId="55931A56" w14:textId="6AC198F1" w:rsidR="00F42A40" w:rsidRPr="00FD3200" w:rsidRDefault="00F42A40" w:rsidP="00F42A40">
            <w:pPr>
              <w:jc w:val="center"/>
              <w:rPr>
                <w:rFonts w:eastAsia="Times New Roman" w:cs="Calibri"/>
                <w:color w:val="000000"/>
                <w:sz w:val="20"/>
                <w:szCs w:val="20"/>
                <w:lang w:eastAsia="en-AU"/>
              </w:rPr>
            </w:pPr>
            <w:r>
              <w:rPr>
                <w:color w:val="000000"/>
                <w:sz w:val="20"/>
                <w:szCs w:val="20"/>
              </w:rPr>
              <w:t>2018</w:t>
            </w:r>
          </w:p>
        </w:tc>
        <w:tc>
          <w:tcPr>
            <w:tcW w:w="740" w:type="dxa"/>
            <w:tcBorders>
              <w:top w:val="nil"/>
              <w:left w:val="nil"/>
              <w:bottom w:val="single" w:sz="4" w:space="0" w:color="BFBFBF"/>
              <w:right w:val="single" w:sz="4" w:space="0" w:color="BFBFBF"/>
            </w:tcBorders>
            <w:shd w:val="clear" w:color="000000" w:fill="FFFFFF"/>
            <w:noWrap/>
            <w:hideMark/>
          </w:tcPr>
          <w:p w14:paraId="07663FF2" w14:textId="20153CBB" w:rsidR="00F42A40" w:rsidRPr="00FD3200" w:rsidRDefault="00F42A40" w:rsidP="00F42A40">
            <w:pPr>
              <w:jc w:val="center"/>
              <w:rPr>
                <w:rFonts w:eastAsia="Times New Roman" w:cs="Calibri"/>
                <w:color w:val="000000"/>
                <w:sz w:val="20"/>
                <w:szCs w:val="20"/>
                <w:lang w:eastAsia="en-AU"/>
              </w:rPr>
            </w:pPr>
            <w:r>
              <w:rPr>
                <w:color w:val="000000"/>
                <w:sz w:val="20"/>
                <w:szCs w:val="20"/>
              </w:rPr>
              <w:t>2018</w:t>
            </w:r>
          </w:p>
        </w:tc>
        <w:tc>
          <w:tcPr>
            <w:tcW w:w="740" w:type="dxa"/>
            <w:tcBorders>
              <w:top w:val="nil"/>
              <w:left w:val="nil"/>
              <w:bottom w:val="single" w:sz="4" w:space="0" w:color="BFBFBF"/>
              <w:right w:val="single" w:sz="4" w:space="0" w:color="BFBFBF"/>
            </w:tcBorders>
            <w:shd w:val="clear" w:color="000000" w:fill="FFFFFF"/>
            <w:noWrap/>
            <w:hideMark/>
          </w:tcPr>
          <w:p w14:paraId="78AFCD33" w14:textId="69C789FA" w:rsidR="00F42A40" w:rsidRPr="00FD3200" w:rsidRDefault="00F42A40" w:rsidP="00F42A40">
            <w:pPr>
              <w:jc w:val="center"/>
              <w:rPr>
                <w:rFonts w:eastAsia="Times New Roman" w:cs="Calibri"/>
                <w:color w:val="000000"/>
                <w:sz w:val="20"/>
                <w:szCs w:val="20"/>
                <w:lang w:eastAsia="en-AU"/>
              </w:rPr>
            </w:pPr>
            <w:r>
              <w:rPr>
                <w:color w:val="000000"/>
                <w:sz w:val="20"/>
                <w:szCs w:val="20"/>
              </w:rPr>
              <w:t>2018</w:t>
            </w:r>
          </w:p>
        </w:tc>
        <w:tc>
          <w:tcPr>
            <w:tcW w:w="5257" w:type="dxa"/>
            <w:vMerge/>
            <w:tcBorders>
              <w:top w:val="single" w:sz="4" w:space="0" w:color="808080"/>
              <w:left w:val="single" w:sz="4" w:space="0" w:color="BFBFBF"/>
              <w:bottom w:val="single" w:sz="4" w:space="0" w:color="BFBFBF"/>
              <w:right w:val="single" w:sz="4" w:space="0" w:color="BFBFBF"/>
            </w:tcBorders>
            <w:vAlign w:val="center"/>
            <w:hideMark/>
          </w:tcPr>
          <w:p w14:paraId="0B6016C4" w14:textId="77777777" w:rsidR="00F42A40" w:rsidRPr="00FD3200" w:rsidRDefault="00F42A40" w:rsidP="00F42A40">
            <w:pPr>
              <w:rPr>
                <w:rFonts w:eastAsia="Times New Roman" w:cs="Calibri"/>
                <w:color w:val="000000"/>
                <w:sz w:val="20"/>
                <w:szCs w:val="20"/>
                <w:lang w:eastAsia="en-AU"/>
              </w:rPr>
            </w:pPr>
          </w:p>
        </w:tc>
      </w:tr>
      <w:tr w:rsidR="009D734D" w:rsidRPr="00FD3200" w14:paraId="782810FA"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0353B9D" w14:textId="77777777" w:rsidR="00F42A40" w:rsidRPr="00FD3200" w:rsidRDefault="00F42A40" w:rsidP="00F42A40">
            <w:pPr>
              <w:jc w:val="right"/>
              <w:rPr>
                <w:rFonts w:eastAsia="Times New Roman" w:cs="Calibri"/>
                <w:color w:val="000000"/>
                <w:sz w:val="20"/>
                <w:szCs w:val="20"/>
                <w:lang w:eastAsia="en-AU"/>
              </w:rPr>
            </w:pPr>
            <w:r w:rsidRPr="00FD3200">
              <w:rPr>
                <w:rFonts w:eastAsia="Times New Roman" w:cs="Calibri"/>
                <w:color w:val="000000"/>
                <w:sz w:val="20"/>
                <w:szCs w:val="20"/>
                <w:lang w:eastAsia="en-AU"/>
              </w:rPr>
              <w:t>Bioremediation facility</w:t>
            </w:r>
          </w:p>
        </w:tc>
        <w:tc>
          <w:tcPr>
            <w:tcW w:w="1039" w:type="dxa"/>
            <w:tcBorders>
              <w:top w:val="nil"/>
              <w:left w:val="nil"/>
              <w:bottom w:val="single" w:sz="4" w:space="0" w:color="BFBFBF"/>
              <w:right w:val="single" w:sz="4" w:space="0" w:color="BFBFBF"/>
            </w:tcBorders>
            <w:shd w:val="clear" w:color="000000" w:fill="FFFFFF"/>
            <w:noWrap/>
            <w:hideMark/>
          </w:tcPr>
          <w:p w14:paraId="153C992E" w14:textId="270536EE" w:rsidR="00F42A40" w:rsidRPr="00FD3200" w:rsidRDefault="00F42A40" w:rsidP="00F42A40">
            <w:pPr>
              <w:jc w:val="right"/>
              <w:rPr>
                <w:rFonts w:eastAsia="Times New Roman" w:cs="Calibri"/>
                <w:color w:val="000000"/>
                <w:sz w:val="20"/>
                <w:szCs w:val="20"/>
                <w:lang w:eastAsia="en-AU"/>
              </w:rPr>
            </w:pPr>
            <w:r>
              <w:rPr>
                <w:color w:val="000000"/>
                <w:sz w:val="20"/>
                <w:szCs w:val="20"/>
              </w:rPr>
              <w:t>0</w:t>
            </w:r>
          </w:p>
        </w:tc>
        <w:tc>
          <w:tcPr>
            <w:tcW w:w="963" w:type="dxa"/>
            <w:tcBorders>
              <w:left w:val="nil"/>
              <w:right w:val="single" w:sz="4" w:space="0" w:color="BFBFBF"/>
            </w:tcBorders>
            <w:shd w:val="clear" w:color="auto" w:fill="auto"/>
            <w:noWrap/>
            <w:vAlign w:val="center"/>
          </w:tcPr>
          <w:p w14:paraId="50CD42D4" w14:textId="69210613" w:rsidR="00F42A40" w:rsidRPr="00FD3200" w:rsidRDefault="00F42A40" w:rsidP="009D734D">
            <w:pPr>
              <w:jc w:val="center"/>
              <w:rPr>
                <w:rFonts w:eastAsia="Times New Roman" w:cs="Calibri"/>
                <w:color w:val="000000"/>
                <w:sz w:val="20"/>
                <w:szCs w:val="20"/>
                <w:lang w:eastAsia="en-AU"/>
              </w:rPr>
            </w:pPr>
          </w:p>
        </w:tc>
        <w:tc>
          <w:tcPr>
            <w:tcW w:w="1034" w:type="dxa"/>
            <w:tcBorders>
              <w:left w:val="nil"/>
              <w:right w:val="single" w:sz="4" w:space="0" w:color="BFBFBF"/>
            </w:tcBorders>
            <w:shd w:val="clear" w:color="auto" w:fill="auto"/>
            <w:noWrap/>
            <w:vAlign w:val="center"/>
          </w:tcPr>
          <w:p w14:paraId="6D899E01" w14:textId="32F2F8B8" w:rsidR="00F42A40" w:rsidRPr="00FD3200" w:rsidRDefault="00F42A40" w:rsidP="009D734D">
            <w:pPr>
              <w:jc w:val="center"/>
              <w:rPr>
                <w:rFonts w:eastAsia="Times New Roman" w:cs="Calibri"/>
                <w:color w:val="000000"/>
                <w:sz w:val="20"/>
                <w:szCs w:val="20"/>
                <w:lang w:eastAsia="en-AU"/>
              </w:rPr>
            </w:pPr>
          </w:p>
        </w:tc>
        <w:tc>
          <w:tcPr>
            <w:tcW w:w="969" w:type="dxa"/>
            <w:tcBorders>
              <w:top w:val="nil"/>
              <w:left w:val="nil"/>
              <w:bottom w:val="single" w:sz="4" w:space="0" w:color="BFBFBF"/>
              <w:right w:val="single" w:sz="4" w:space="0" w:color="BFBFBF"/>
            </w:tcBorders>
            <w:shd w:val="clear" w:color="auto" w:fill="auto"/>
            <w:noWrap/>
            <w:hideMark/>
          </w:tcPr>
          <w:p w14:paraId="537F7A5B" w14:textId="10D8C9EF" w:rsidR="00F42A40" w:rsidRPr="00FD3200"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5C85E7C6" w14:textId="67C78481" w:rsidR="00F42A40" w:rsidRPr="00FD3200"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1819744B" w14:textId="6C3328EB" w:rsidR="00F42A40" w:rsidRPr="00FD3200"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38F2129" w14:textId="01B5BA55" w:rsidR="00F42A40" w:rsidRPr="00FD3200" w:rsidRDefault="00F42A40" w:rsidP="00F42A40">
            <w:pPr>
              <w:jc w:val="center"/>
              <w:rPr>
                <w:rFonts w:eastAsia="Times New Roman" w:cs="Calibri"/>
                <w:color w:val="808080"/>
                <w:sz w:val="20"/>
                <w:szCs w:val="20"/>
                <w:lang w:eastAsia="en-AU"/>
              </w:rPr>
            </w:pPr>
            <w:r>
              <w:rPr>
                <w:color w:val="808080"/>
                <w:sz w:val="20"/>
                <w:szCs w:val="20"/>
              </w:rPr>
              <w:t>no inf.</w:t>
            </w:r>
          </w:p>
        </w:tc>
        <w:tc>
          <w:tcPr>
            <w:tcW w:w="5257" w:type="dxa"/>
            <w:vMerge/>
            <w:tcBorders>
              <w:top w:val="single" w:sz="4" w:space="0" w:color="808080"/>
              <w:left w:val="single" w:sz="4" w:space="0" w:color="BFBFBF"/>
              <w:bottom w:val="single" w:sz="4" w:space="0" w:color="BFBFBF"/>
              <w:right w:val="single" w:sz="4" w:space="0" w:color="BFBFBF"/>
            </w:tcBorders>
            <w:vAlign w:val="center"/>
            <w:hideMark/>
          </w:tcPr>
          <w:p w14:paraId="44F7F969" w14:textId="77777777" w:rsidR="00F42A40" w:rsidRPr="00FD3200" w:rsidRDefault="00F42A40" w:rsidP="00F42A40">
            <w:pPr>
              <w:rPr>
                <w:rFonts w:eastAsia="Times New Roman" w:cs="Calibri"/>
                <w:color w:val="000000"/>
                <w:sz w:val="20"/>
                <w:szCs w:val="20"/>
                <w:lang w:eastAsia="en-AU"/>
              </w:rPr>
            </w:pPr>
          </w:p>
        </w:tc>
      </w:tr>
      <w:tr w:rsidR="00F42A40" w:rsidRPr="00FD3200" w14:paraId="1E724FF0"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34202CE0" w14:textId="00700575" w:rsidR="00F42A40" w:rsidRPr="00FD3200" w:rsidRDefault="00F42A40" w:rsidP="00F42A40">
            <w:pPr>
              <w:jc w:val="right"/>
              <w:rPr>
                <w:rFonts w:eastAsia="Times New Roman" w:cs="Calibri"/>
                <w:color w:val="000000"/>
                <w:sz w:val="20"/>
                <w:szCs w:val="20"/>
                <w:lang w:eastAsia="en-AU"/>
              </w:rPr>
            </w:pPr>
            <w:r>
              <w:rPr>
                <w:rFonts w:eastAsia="Times New Roman" w:cs="Calibri"/>
                <w:color w:val="000000"/>
                <w:sz w:val="20"/>
                <w:szCs w:val="20"/>
                <w:lang w:eastAsia="en-AU"/>
              </w:rPr>
              <w:t>OWT</w:t>
            </w:r>
            <w:r w:rsidRPr="00FD3200">
              <w:rPr>
                <w:rFonts w:eastAsia="Times New Roman" w:cs="Calibri"/>
                <w:color w:val="000000"/>
                <w:sz w:val="20"/>
                <w:szCs w:val="20"/>
                <w:lang w:eastAsia="en-AU"/>
              </w:rPr>
              <w:t xml:space="preserve"> facility  </w:t>
            </w:r>
          </w:p>
        </w:tc>
        <w:tc>
          <w:tcPr>
            <w:tcW w:w="1039" w:type="dxa"/>
            <w:tcBorders>
              <w:top w:val="nil"/>
              <w:left w:val="nil"/>
              <w:bottom w:val="single" w:sz="4" w:space="0" w:color="BFBFBF"/>
              <w:right w:val="single" w:sz="4" w:space="0" w:color="BFBFBF"/>
            </w:tcBorders>
            <w:shd w:val="clear" w:color="000000" w:fill="FFFFFF"/>
            <w:noWrap/>
            <w:hideMark/>
          </w:tcPr>
          <w:p w14:paraId="51665023" w14:textId="33BA0534" w:rsidR="00F42A40" w:rsidRPr="00FD3200" w:rsidRDefault="00F42A40" w:rsidP="00F42A40">
            <w:pPr>
              <w:jc w:val="right"/>
              <w:rPr>
                <w:rFonts w:eastAsia="Times New Roman" w:cs="Calibri"/>
                <w:color w:val="000000"/>
                <w:sz w:val="20"/>
                <w:szCs w:val="20"/>
                <w:lang w:eastAsia="en-AU"/>
              </w:rPr>
            </w:pPr>
            <w:r>
              <w:rPr>
                <w:color w:val="000000"/>
                <w:sz w:val="20"/>
                <w:szCs w:val="20"/>
              </w:rPr>
              <w:t>66,792</w:t>
            </w:r>
          </w:p>
        </w:tc>
        <w:tc>
          <w:tcPr>
            <w:tcW w:w="963" w:type="dxa"/>
            <w:tcBorders>
              <w:left w:val="nil"/>
              <w:right w:val="single" w:sz="4" w:space="0" w:color="BFBFBF"/>
            </w:tcBorders>
            <w:shd w:val="clear" w:color="auto" w:fill="auto"/>
            <w:noWrap/>
            <w:vAlign w:val="center"/>
          </w:tcPr>
          <w:p w14:paraId="5D1D227C" w14:textId="2E3C8150" w:rsidR="00F42A40" w:rsidRPr="00FD3200" w:rsidRDefault="00F42A40" w:rsidP="009D734D">
            <w:pPr>
              <w:jc w:val="center"/>
              <w:rPr>
                <w:rFonts w:eastAsia="Times New Roman" w:cs="Calibri"/>
                <w:color w:val="000000"/>
                <w:sz w:val="20"/>
                <w:szCs w:val="20"/>
                <w:lang w:eastAsia="en-AU"/>
              </w:rPr>
            </w:pPr>
          </w:p>
        </w:tc>
        <w:tc>
          <w:tcPr>
            <w:tcW w:w="1034" w:type="dxa"/>
            <w:tcBorders>
              <w:left w:val="nil"/>
              <w:right w:val="single" w:sz="4" w:space="0" w:color="BFBFBF"/>
            </w:tcBorders>
            <w:shd w:val="clear" w:color="auto" w:fill="auto"/>
            <w:noWrap/>
            <w:vAlign w:val="center"/>
          </w:tcPr>
          <w:p w14:paraId="41C0CBBC" w14:textId="6239A510" w:rsidR="00F42A40" w:rsidRPr="00FD3200" w:rsidRDefault="00F42A40" w:rsidP="009D734D">
            <w:pPr>
              <w:jc w:val="center"/>
              <w:rPr>
                <w:rFonts w:eastAsia="Times New Roman" w:cs="Calibri"/>
                <w:color w:val="000000"/>
                <w:sz w:val="20"/>
                <w:szCs w:val="20"/>
                <w:lang w:eastAsia="en-AU"/>
              </w:rPr>
            </w:pPr>
          </w:p>
        </w:tc>
        <w:tc>
          <w:tcPr>
            <w:tcW w:w="969" w:type="dxa"/>
            <w:tcBorders>
              <w:top w:val="nil"/>
              <w:left w:val="nil"/>
              <w:bottom w:val="single" w:sz="4" w:space="0" w:color="BFBFBF"/>
              <w:right w:val="single" w:sz="4" w:space="0" w:color="BFBFBF"/>
            </w:tcBorders>
            <w:shd w:val="clear" w:color="auto" w:fill="auto"/>
            <w:noWrap/>
            <w:hideMark/>
          </w:tcPr>
          <w:p w14:paraId="1C54B93A" w14:textId="606DBF61" w:rsidR="00F42A40" w:rsidRPr="00FD3200" w:rsidRDefault="00F42A40" w:rsidP="00F42A40">
            <w:pPr>
              <w:jc w:val="center"/>
              <w:rPr>
                <w:rFonts w:eastAsia="Times New Roman" w:cs="Calibri"/>
                <w:color w:val="000000"/>
                <w:sz w:val="20"/>
                <w:szCs w:val="20"/>
                <w:lang w:eastAsia="en-AU"/>
              </w:rPr>
            </w:pPr>
            <w:r>
              <w:rPr>
                <w:color w:val="000000"/>
                <w:sz w:val="20"/>
                <w:szCs w:val="20"/>
              </w:rPr>
              <w:t>Poor</w:t>
            </w:r>
          </w:p>
        </w:tc>
        <w:tc>
          <w:tcPr>
            <w:tcW w:w="740" w:type="dxa"/>
            <w:tcBorders>
              <w:top w:val="nil"/>
              <w:left w:val="nil"/>
              <w:bottom w:val="single" w:sz="4" w:space="0" w:color="BFBFBF"/>
              <w:right w:val="single" w:sz="4" w:space="0" w:color="BFBFBF"/>
            </w:tcBorders>
            <w:shd w:val="clear" w:color="000000" w:fill="FFFFFF"/>
            <w:noWrap/>
            <w:hideMark/>
          </w:tcPr>
          <w:p w14:paraId="795295F2" w14:textId="6D53E372" w:rsidR="00F42A40" w:rsidRPr="00FD3200" w:rsidRDefault="00F42A40" w:rsidP="00F42A40">
            <w:pPr>
              <w:jc w:val="center"/>
              <w:rPr>
                <w:rFonts w:eastAsia="Times New Roman" w:cs="Calibri"/>
                <w:color w:val="000000"/>
                <w:sz w:val="20"/>
                <w:szCs w:val="20"/>
                <w:lang w:eastAsia="en-AU"/>
              </w:rPr>
            </w:pPr>
            <w:r>
              <w:rPr>
                <w:color w:val="000000"/>
                <w:sz w:val="20"/>
                <w:szCs w:val="20"/>
              </w:rPr>
              <w:t>2018</w:t>
            </w:r>
          </w:p>
        </w:tc>
        <w:tc>
          <w:tcPr>
            <w:tcW w:w="740" w:type="dxa"/>
            <w:tcBorders>
              <w:top w:val="nil"/>
              <w:left w:val="nil"/>
              <w:bottom w:val="single" w:sz="4" w:space="0" w:color="BFBFBF"/>
              <w:right w:val="single" w:sz="4" w:space="0" w:color="BFBFBF"/>
            </w:tcBorders>
            <w:shd w:val="clear" w:color="000000" w:fill="FFFFFF"/>
            <w:noWrap/>
            <w:hideMark/>
          </w:tcPr>
          <w:p w14:paraId="704F67BC" w14:textId="46498C3E" w:rsidR="00F42A40" w:rsidRPr="00FD3200" w:rsidRDefault="00F42A40" w:rsidP="00F42A40">
            <w:pPr>
              <w:jc w:val="center"/>
              <w:rPr>
                <w:rFonts w:eastAsia="Times New Roman" w:cs="Calibri"/>
                <w:color w:val="000000"/>
                <w:sz w:val="20"/>
                <w:szCs w:val="20"/>
                <w:lang w:eastAsia="en-AU"/>
              </w:rPr>
            </w:pPr>
            <w:r>
              <w:rPr>
                <w:color w:val="000000"/>
                <w:sz w:val="20"/>
                <w:szCs w:val="20"/>
              </w:rPr>
              <w:t>2018</w:t>
            </w:r>
          </w:p>
        </w:tc>
        <w:tc>
          <w:tcPr>
            <w:tcW w:w="740" w:type="dxa"/>
            <w:tcBorders>
              <w:top w:val="nil"/>
              <w:left w:val="nil"/>
              <w:bottom w:val="single" w:sz="4" w:space="0" w:color="BFBFBF"/>
              <w:right w:val="single" w:sz="4" w:space="0" w:color="BFBFBF"/>
            </w:tcBorders>
            <w:shd w:val="clear" w:color="000000" w:fill="FFFFFF"/>
            <w:noWrap/>
            <w:hideMark/>
          </w:tcPr>
          <w:p w14:paraId="314B9D32" w14:textId="0E95FBDF" w:rsidR="00F42A40" w:rsidRPr="00FD3200" w:rsidRDefault="00F42A40" w:rsidP="00F42A40">
            <w:pPr>
              <w:jc w:val="center"/>
              <w:rPr>
                <w:rFonts w:eastAsia="Times New Roman" w:cs="Calibri"/>
                <w:color w:val="000000"/>
                <w:sz w:val="20"/>
                <w:szCs w:val="20"/>
                <w:lang w:eastAsia="en-AU"/>
              </w:rPr>
            </w:pPr>
            <w:r>
              <w:rPr>
                <w:color w:val="000000"/>
                <w:sz w:val="20"/>
                <w:szCs w:val="20"/>
              </w:rPr>
              <w:t>2018</w:t>
            </w:r>
          </w:p>
        </w:tc>
        <w:tc>
          <w:tcPr>
            <w:tcW w:w="5257" w:type="dxa"/>
            <w:vMerge/>
            <w:tcBorders>
              <w:top w:val="single" w:sz="4" w:space="0" w:color="808080"/>
              <w:left w:val="single" w:sz="4" w:space="0" w:color="BFBFBF"/>
              <w:bottom w:val="single" w:sz="4" w:space="0" w:color="BFBFBF"/>
              <w:right w:val="single" w:sz="4" w:space="0" w:color="BFBFBF"/>
            </w:tcBorders>
            <w:vAlign w:val="center"/>
            <w:hideMark/>
          </w:tcPr>
          <w:p w14:paraId="3CDA516B" w14:textId="77777777" w:rsidR="00F42A40" w:rsidRPr="00FD3200" w:rsidRDefault="00F42A40" w:rsidP="00F42A40">
            <w:pPr>
              <w:rPr>
                <w:rFonts w:eastAsia="Times New Roman" w:cs="Calibri"/>
                <w:color w:val="000000"/>
                <w:sz w:val="20"/>
                <w:szCs w:val="20"/>
                <w:lang w:eastAsia="en-AU"/>
              </w:rPr>
            </w:pPr>
          </w:p>
        </w:tc>
      </w:tr>
      <w:tr w:rsidR="00F42A40" w:rsidRPr="00FD3200" w14:paraId="36B0187C"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22716A67" w14:textId="77777777" w:rsidR="00F42A40" w:rsidRPr="00FD3200" w:rsidRDefault="00F42A40" w:rsidP="00F42A40">
            <w:pPr>
              <w:jc w:val="right"/>
              <w:rPr>
                <w:rFonts w:eastAsia="Times New Roman" w:cs="Calibri"/>
                <w:color w:val="000000"/>
                <w:sz w:val="20"/>
                <w:szCs w:val="20"/>
                <w:lang w:eastAsia="en-AU"/>
              </w:rPr>
            </w:pPr>
            <w:r w:rsidRPr="00FD3200">
              <w:rPr>
                <w:rFonts w:eastAsia="Times New Roman" w:cs="Calibri"/>
                <w:color w:val="000000"/>
                <w:sz w:val="20"/>
                <w:szCs w:val="20"/>
                <w:lang w:eastAsia="en-AU"/>
              </w:rPr>
              <w:t>Soils treatment facility</w:t>
            </w:r>
          </w:p>
        </w:tc>
        <w:tc>
          <w:tcPr>
            <w:tcW w:w="1039" w:type="dxa"/>
            <w:tcBorders>
              <w:top w:val="nil"/>
              <w:left w:val="nil"/>
              <w:bottom w:val="single" w:sz="4" w:space="0" w:color="BFBFBF"/>
              <w:right w:val="single" w:sz="4" w:space="0" w:color="BFBFBF"/>
            </w:tcBorders>
            <w:shd w:val="clear" w:color="000000" w:fill="FFFFFF"/>
            <w:noWrap/>
            <w:hideMark/>
          </w:tcPr>
          <w:p w14:paraId="740BBE71" w14:textId="2AEC4938" w:rsidR="00F42A40" w:rsidRPr="00FD3200" w:rsidRDefault="00F42A40" w:rsidP="00F42A40">
            <w:pPr>
              <w:jc w:val="right"/>
              <w:rPr>
                <w:rFonts w:eastAsia="Times New Roman" w:cs="Calibri"/>
                <w:color w:val="000000"/>
                <w:sz w:val="20"/>
                <w:szCs w:val="20"/>
                <w:lang w:eastAsia="en-AU"/>
              </w:rPr>
            </w:pPr>
            <w:r>
              <w:rPr>
                <w:color w:val="000000"/>
                <w:sz w:val="20"/>
                <w:szCs w:val="20"/>
              </w:rPr>
              <w:t>0</w:t>
            </w:r>
          </w:p>
        </w:tc>
        <w:tc>
          <w:tcPr>
            <w:tcW w:w="963" w:type="dxa"/>
            <w:tcBorders>
              <w:left w:val="nil"/>
              <w:bottom w:val="single" w:sz="4" w:space="0" w:color="BFBFBF"/>
              <w:right w:val="single" w:sz="4" w:space="0" w:color="BFBFBF"/>
            </w:tcBorders>
            <w:shd w:val="clear" w:color="auto" w:fill="auto"/>
            <w:noWrap/>
            <w:vAlign w:val="center"/>
          </w:tcPr>
          <w:p w14:paraId="0195EAC4" w14:textId="587E5032" w:rsidR="00F42A40" w:rsidRPr="00FD3200" w:rsidRDefault="00F42A40" w:rsidP="009D734D">
            <w:pPr>
              <w:jc w:val="center"/>
              <w:rPr>
                <w:rFonts w:eastAsia="Times New Roman" w:cs="Calibri"/>
                <w:color w:val="000000"/>
                <w:sz w:val="20"/>
                <w:szCs w:val="20"/>
                <w:lang w:eastAsia="en-AU"/>
              </w:rPr>
            </w:pPr>
          </w:p>
        </w:tc>
        <w:tc>
          <w:tcPr>
            <w:tcW w:w="1034" w:type="dxa"/>
            <w:tcBorders>
              <w:left w:val="nil"/>
              <w:bottom w:val="single" w:sz="4" w:space="0" w:color="BFBFBF"/>
              <w:right w:val="single" w:sz="4" w:space="0" w:color="BFBFBF"/>
            </w:tcBorders>
            <w:shd w:val="clear" w:color="auto" w:fill="auto"/>
            <w:noWrap/>
            <w:vAlign w:val="center"/>
          </w:tcPr>
          <w:p w14:paraId="6F5C2277" w14:textId="00D771E6" w:rsidR="00F42A40" w:rsidRPr="00FD3200" w:rsidRDefault="00F42A40" w:rsidP="009D734D">
            <w:pPr>
              <w:jc w:val="center"/>
              <w:rPr>
                <w:rFonts w:eastAsia="Times New Roman" w:cs="Calibri"/>
                <w:color w:val="000000"/>
                <w:sz w:val="20"/>
                <w:szCs w:val="20"/>
                <w:lang w:eastAsia="en-AU"/>
              </w:rPr>
            </w:pPr>
          </w:p>
        </w:tc>
        <w:tc>
          <w:tcPr>
            <w:tcW w:w="969" w:type="dxa"/>
            <w:tcBorders>
              <w:top w:val="nil"/>
              <w:left w:val="nil"/>
              <w:bottom w:val="single" w:sz="4" w:space="0" w:color="BFBFBF"/>
              <w:right w:val="single" w:sz="4" w:space="0" w:color="BFBFBF"/>
            </w:tcBorders>
            <w:shd w:val="clear" w:color="auto" w:fill="auto"/>
            <w:noWrap/>
            <w:hideMark/>
          </w:tcPr>
          <w:p w14:paraId="3CA31117" w14:textId="475D8B7C" w:rsidR="00F42A40" w:rsidRPr="00FD3200"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56D366E9" w14:textId="6ABCE8B7" w:rsidR="00F42A40" w:rsidRPr="00FD3200"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071FE465" w14:textId="6C38980F" w:rsidR="00F42A40" w:rsidRPr="00FD3200"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6D89B1CF" w14:textId="522E60A6" w:rsidR="00F42A40" w:rsidRPr="00FD3200" w:rsidRDefault="00F42A40" w:rsidP="00F42A40">
            <w:pPr>
              <w:jc w:val="center"/>
              <w:rPr>
                <w:rFonts w:eastAsia="Times New Roman" w:cs="Calibri"/>
                <w:color w:val="000000"/>
                <w:sz w:val="20"/>
                <w:szCs w:val="20"/>
                <w:lang w:eastAsia="en-AU"/>
              </w:rPr>
            </w:pPr>
            <w:r>
              <w:rPr>
                <w:color w:val="000000"/>
                <w:sz w:val="20"/>
                <w:szCs w:val="20"/>
              </w:rPr>
              <w:t>&gt;2037</w:t>
            </w:r>
          </w:p>
        </w:tc>
        <w:tc>
          <w:tcPr>
            <w:tcW w:w="5257" w:type="dxa"/>
            <w:vMerge/>
            <w:tcBorders>
              <w:top w:val="single" w:sz="4" w:space="0" w:color="808080"/>
              <w:left w:val="single" w:sz="4" w:space="0" w:color="BFBFBF"/>
              <w:bottom w:val="single" w:sz="4" w:space="0" w:color="BFBFBF"/>
              <w:right w:val="single" w:sz="4" w:space="0" w:color="BFBFBF"/>
            </w:tcBorders>
            <w:vAlign w:val="center"/>
            <w:hideMark/>
          </w:tcPr>
          <w:p w14:paraId="5677381A" w14:textId="77777777" w:rsidR="00F42A40" w:rsidRPr="00FD3200" w:rsidRDefault="00F42A40" w:rsidP="00F42A40">
            <w:pPr>
              <w:rPr>
                <w:rFonts w:eastAsia="Times New Roman" w:cs="Calibri"/>
                <w:color w:val="000000"/>
                <w:sz w:val="20"/>
                <w:szCs w:val="20"/>
                <w:lang w:eastAsia="en-AU"/>
              </w:rPr>
            </w:pPr>
          </w:p>
        </w:tc>
      </w:tr>
      <w:tr w:rsidR="009D734D" w:rsidRPr="00FD3200" w14:paraId="73C6619D"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1CA81B20" w14:textId="77777777" w:rsidR="00F42A40" w:rsidRPr="00FD3200" w:rsidRDefault="00F42A40" w:rsidP="00F42A40">
            <w:pPr>
              <w:jc w:val="right"/>
              <w:rPr>
                <w:rFonts w:eastAsia="Times New Roman" w:cs="Calibri"/>
                <w:b/>
                <w:bCs/>
                <w:color w:val="000000"/>
                <w:sz w:val="20"/>
                <w:szCs w:val="20"/>
                <w:lang w:eastAsia="en-AU"/>
              </w:rPr>
            </w:pPr>
            <w:r w:rsidRPr="00FD3200">
              <w:rPr>
                <w:rFonts w:eastAsia="Times New Roman" w:cs="Calibri"/>
                <w:b/>
                <w:bCs/>
                <w:color w:val="000000"/>
                <w:sz w:val="20"/>
                <w:szCs w:val="20"/>
                <w:lang w:eastAsia="en-AU"/>
              </w:rPr>
              <w:t>Disposal</w:t>
            </w:r>
          </w:p>
        </w:tc>
        <w:tc>
          <w:tcPr>
            <w:tcW w:w="1039" w:type="dxa"/>
            <w:tcBorders>
              <w:top w:val="nil"/>
              <w:left w:val="nil"/>
              <w:bottom w:val="single" w:sz="4" w:space="0" w:color="BFBFBF"/>
              <w:right w:val="single" w:sz="4" w:space="0" w:color="BFBFBF"/>
            </w:tcBorders>
            <w:shd w:val="clear" w:color="000000" w:fill="C5D9F1"/>
            <w:noWrap/>
            <w:hideMark/>
          </w:tcPr>
          <w:p w14:paraId="78255870" w14:textId="583E9B0B" w:rsidR="00F42A40" w:rsidRPr="00FD3200" w:rsidRDefault="00F42A40" w:rsidP="00F42A40">
            <w:pPr>
              <w:rPr>
                <w:rFonts w:eastAsia="Times New Roman" w:cs="Calibri"/>
                <w:color w:val="000000"/>
                <w:sz w:val="20"/>
                <w:szCs w:val="20"/>
                <w:lang w:eastAsia="en-AU"/>
              </w:rPr>
            </w:pPr>
            <w:r>
              <w:rPr>
                <w:color w:val="000000"/>
                <w:sz w:val="20"/>
                <w:szCs w:val="20"/>
              </w:rPr>
              <w:t> </w:t>
            </w:r>
          </w:p>
        </w:tc>
        <w:tc>
          <w:tcPr>
            <w:tcW w:w="963" w:type="dxa"/>
            <w:tcBorders>
              <w:top w:val="nil"/>
              <w:left w:val="nil"/>
              <w:bottom w:val="single" w:sz="4" w:space="0" w:color="BFBFBF"/>
              <w:right w:val="nil"/>
            </w:tcBorders>
            <w:shd w:val="clear" w:color="000000" w:fill="C5D9F1"/>
            <w:noWrap/>
            <w:vAlign w:val="center"/>
          </w:tcPr>
          <w:p w14:paraId="4BBEBB45" w14:textId="039077E6" w:rsidR="00F42A40" w:rsidRPr="00FD3200" w:rsidRDefault="00F42A40" w:rsidP="009D734D">
            <w:pPr>
              <w:jc w:val="center"/>
              <w:rPr>
                <w:rFonts w:eastAsia="Times New Roman" w:cs="Calibri"/>
                <w:color w:val="000000"/>
                <w:sz w:val="20"/>
                <w:szCs w:val="20"/>
                <w:lang w:eastAsia="en-AU"/>
              </w:rPr>
            </w:pPr>
          </w:p>
        </w:tc>
        <w:tc>
          <w:tcPr>
            <w:tcW w:w="1034" w:type="dxa"/>
            <w:tcBorders>
              <w:top w:val="nil"/>
              <w:left w:val="nil"/>
              <w:bottom w:val="single" w:sz="4" w:space="0" w:color="BFBFBF"/>
              <w:right w:val="nil"/>
            </w:tcBorders>
            <w:shd w:val="clear" w:color="000000" w:fill="C5D9F1"/>
            <w:noWrap/>
            <w:vAlign w:val="center"/>
          </w:tcPr>
          <w:p w14:paraId="6F232632" w14:textId="58546A3A" w:rsidR="00F42A40" w:rsidRPr="00FD3200" w:rsidRDefault="00F42A40" w:rsidP="009D734D">
            <w:pPr>
              <w:jc w:val="center"/>
              <w:rPr>
                <w:rFonts w:eastAsia="Times New Roman" w:cs="Calibri"/>
                <w:color w:val="000000"/>
                <w:sz w:val="20"/>
                <w:szCs w:val="20"/>
                <w:lang w:eastAsia="en-AU"/>
              </w:rPr>
            </w:pPr>
          </w:p>
        </w:tc>
        <w:tc>
          <w:tcPr>
            <w:tcW w:w="969" w:type="dxa"/>
            <w:tcBorders>
              <w:top w:val="nil"/>
              <w:left w:val="nil"/>
              <w:bottom w:val="single" w:sz="4" w:space="0" w:color="BFBFBF"/>
              <w:right w:val="single" w:sz="4" w:space="0" w:color="BFBFBF"/>
            </w:tcBorders>
            <w:shd w:val="clear" w:color="000000" w:fill="C5D9F1"/>
            <w:noWrap/>
            <w:hideMark/>
          </w:tcPr>
          <w:p w14:paraId="327D4E17" w14:textId="67E5E8D4" w:rsidR="00F42A40" w:rsidRPr="00FD3200"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0C29A100" w14:textId="7A220233" w:rsidR="00F42A40" w:rsidRPr="00FD3200"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34122BE8" w14:textId="05BB6208" w:rsidR="00F42A40" w:rsidRPr="00FD3200"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382B31E2" w14:textId="00AC77FF" w:rsidR="00F42A40" w:rsidRPr="00FD3200" w:rsidRDefault="00F42A40" w:rsidP="00F42A40">
            <w:pPr>
              <w:rPr>
                <w:rFonts w:eastAsia="Times New Roman" w:cs="Calibri"/>
                <w:color w:val="000000"/>
                <w:sz w:val="20"/>
                <w:szCs w:val="20"/>
                <w:lang w:eastAsia="en-AU"/>
              </w:rPr>
            </w:pPr>
            <w:r>
              <w:rPr>
                <w:color w:val="000000"/>
                <w:sz w:val="20"/>
                <w:szCs w:val="20"/>
              </w:rPr>
              <w:t> </w:t>
            </w:r>
          </w:p>
        </w:tc>
        <w:tc>
          <w:tcPr>
            <w:tcW w:w="5257" w:type="dxa"/>
            <w:vMerge/>
            <w:tcBorders>
              <w:top w:val="single" w:sz="4" w:space="0" w:color="808080"/>
              <w:left w:val="single" w:sz="4" w:space="0" w:color="BFBFBF"/>
              <w:bottom w:val="single" w:sz="4" w:space="0" w:color="BFBFBF"/>
              <w:right w:val="single" w:sz="4" w:space="0" w:color="BFBFBF"/>
            </w:tcBorders>
            <w:vAlign w:val="center"/>
            <w:hideMark/>
          </w:tcPr>
          <w:p w14:paraId="6C257354" w14:textId="77777777" w:rsidR="00F42A40" w:rsidRPr="00FD3200" w:rsidRDefault="00F42A40" w:rsidP="00F42A40">
            <w:pPr>
              <w:rPr>
                <w:rFonts w:eastAsia="Times New Roman" w:cs="Calibri"/>
                <w:color w:val="000000"/>
                <w:sz w:val="20"/>
                <w:szCs w:val="20"/>
                <w:lang w:eastAsia="en-AU"/>
              </w:rPr>
            </w:pPr>
          </w:p>
        </w:tc>
      </w:tr>
      <w:tr w:rsidR="00F42A40" w:rsidRPr="00FD3200" w14:paraId="03DC29E7"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1C9BA6DE" w14:textId="77777777" w:rsidR="00F42A40" w:rsidRPr="00FD3200" w:rsidRDefault="00F42A40" w:rsidP="00F42A40">
            <w:pPr>
              <w:jc w:val="right"/>
              <w:rPr>
                <w:rFonts w:eastAsia="Times New Roman" w:cs="Calibri"/>
                <w:color w:val="000000"/>
                <w:sz w:val="20"/>
                <w:szCs w:val="20"/>
                <w:lang w:eastAsia="en-AU"/>
              </w:rPr>
            </w:pPr>
            <w:r w:rsidRPr="00FD3200">
              <w:rPr>
                <w:rFonts w:eastAsia="Times New Roman" w:cs="Calibri"/>
                <w:color w:val="000000"/>
                <w:sz w:val="20"/>
                <w:szCs w:val="20"/>
                <w:lang w:eastAsia="en-AU"/>
              </w:rPr>
              <w:t xml:space="preserve">Hazardous waste landfill facility </w:t>
            </w:r>
          </w:p>
        </w:tc>
        <w:tc>
          <w:tcPr>
            <w:tcW w:w="1039" w:type="dxa"/>
            <w:tcBorders>
              <w:top w:val="nil"/>
              <w:left w:val="nil"/>
              <w:bottom w:val="single" w:sz="4" w:space="0" w:color="BFBFBF"/>
              <w:right w:val="single" w:sz="4" w:space="0" w:color="BFBFBF"/>
            </w:tcBorders>
            <w:shd w:val="clear" w:color="000000" w:fill="FFFFFF"/>
            <w:noWrap/>
            <w:hideMark/>
          </w:tcPr>
          <w:p w14:paraId="1A5D5C9B" w14:textId="73840FC1" w:rsidR="00F42A40" w:rsidRPr="00FD3200" w:rsidRDefault="00F42A40" w:rsidP="00F42A40">
            <w:pPr>
              <w:jc w:val="right"/>
              <w:rPr>
                <w:rFonts w:eastAsia="Times New Roman" w:cs="Calibri"/>
                <w:color w:val="000000"/>
                <w:sz w:val="20"/>
                <w:szCs w:val="20"/>
                <w:lang w:eastAsia="en-AU"/>
              </w:rPr>
            </w:pPr>
            <w:r>
              <w:rPr>
                <w:color w:val="000000"/>
                <w:sz w:val="20"/>
                <w:szCs w:val="20"/>
              </w:rPr>
              <w:t>40,400</w:t>
            </w:r>
          </w:p>
        </w:tc>
        <w:tc>
          <w:tcPr>
            <w:tcW w:w="963" w:type="dxa"/>
            <w:tcBorders>
              <w:top w:val="nil"/>
              <w:left w:val="nil"/>
              <w:right w:val="single" w:sz="4" w:space="0" w:color="BFBFBF"/>
            </w:tcBorders>
            <w:shd w:val="clear" w:color="auto" w:fill="auto"/>
            <w:noWrap/>
            <w:vAlign w:val="center"/>
          </w:tcPr>
          <w:p w14:paraId="0AB66481" w14:textId="64392EF6" w:rsidR="00F42A40" w:rsidRPr="00FD3200"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34" w:type="dxa"/>
            <w:tcBorders>
              <w:top w:val="nil"/>
              <w:left w:val="nil"/>
              <w:right w:val="single" w:sz="4" w:space="0" w:color="BFBFBF"/>
            </w:tcBorders>
            <w:shd w:val="clear" w:color="auto" w:fill="auto"/>
            <w:noWrap/>
            <w:vAlign w:val="center"/>
          </w:tcPr>
          <w:p w14:paraId="123A5333" w14:textId="00CB8C3B" w:rsidR="00F42A40" w:rsidRPr="00FD3200"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69" w:type="dxa"/>
            <w:tcBorders>
              <w:top w:val="nil"/>
              <w:left w:val="nil"/>
              <w:bottom w:val="single" w:sz="4" w:space="0" w:color="BFBFBF"/>
              <w:right w:val="single" w:sz="4" w:space="0" w:color="BFBFBF"/>
            </w:tcBorders>
            <w:shd w:val="clear" w:color="auto" w:fill="auto"/>
            <w:noWrap/>
            <w:hideMark/>
          </w:tcPr>
          <w:p w14:paraId="6296970E" w14:textId="1D6FDF56" w:rsidR="00F42A40" w:rsidRPr="00FD3200"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462DD185" w14:textId="67D79F43" w:rsidR="00F42A40" w:rsidRPr="00FD3200" w:rsidRDefault="00F42A40" w:rsidP="00F42A40">
            <w:pPr>
              <w:jc w:val="center"/>
              <w:rPr>
                <w:rFonts w:eastAsia="Times New Roman" w:cs="Calibri"/>
                <w:color w:val="000000"/>
                <w:sz w:val="20"/>
                <w:szCs w:val="20"/>
                <w:lang w:eastAsia="en-AU"/>
              </w:rPr>
            </w:pPr>
            <w:r>
              <w:rPr>
                <w:color w:val="000000"/>
                <w:sz w:val="20"/>
                <w:szCs w:val="20"/>
              </w:rPr>
              <w:t>2020</w:t>
            </w:r>
          </w:p>
        </w:tc>
        <w:tc>
          <w:tcPr>
            <w:tcW w:w="740" w:type="dxa"/>
            <w:tcBorders>
              <w:top w:val="nil"/>
              <w:left w:val="nil"/>
              <w:bottom w:val="single" w:sz="4" w:space="0" w:color="BFBFBF"/>
              <w:right w:val="single" w:sz="4" w:space="0" w:color="BFBFBF"/>
            </w:tcBorders>
            <w:shd w:val="clear" w:color="000000" w:fill="FFFFFF"/>
            <w:noWrap/>
            <w:hideMark/>
          </w:tcPr>
          <w:p w14:paraId="66CBC88F" w14:textId="5605AFF2" w:rsidR="00F42A40" w:rsidRPr="00FD3200" w:rsidRDefault="00F42A40" w:rsidP="00F42A40">
            <w:pPr>
              <w:jc w:val="center"/>
              <w:rPr>
                <w:rFonts w:eastAsia="Times New Roman" w:cs="Calibri"/>
                <w:color w:val="000000"/>
                <w:sz w:val="20"/>
                <w:szCs w:val="20"/>
                <w:lang w:eastAsia="en-AU"/>
              </w:rPr>
            </w:pPr>
            <w:r>
              <w:rPr>
                <w:color w:val="000000"/>
                <w:sz w:val="20"/>
                <w:szCs w:val="20"/>
              </w:rPr>
              <w:t>2018</w:t>
            </w:r>
          </w:p>
        </w:tc>
        <w:tc>
          <w:tcPr>
            <w:tcW w:w="740" w:type="dxa"/>
            <w:tcBorders>
              <w:top w:val="nil"/>
              <w:left w:val="nil"/>
              <w:bottom w:val="single" w:sz="4" w:space="0" w:color="BFBFBF"/>
              <w:right w:val="single" w:sz="4" w:space="0" w:color="BFBFBF"/>
            </w:tcBorders>
            <w:shd w:val="clear" w:color="000000" w:fill="FFFFFF"/>
            <w:noWrap/>
            <w:hideMark/>
          </w:tcPr>
          <w:p w14:paraId="32DA0FB5" w14:textId="333BB241" w:rsidR="00F42A40" w:rsidRPr="00FD3200" w:rsidRDefault="00F42A40" w:rsidP="00F42A40">
            <w:pPr>
              <w:jc w:val="center"/>
              <w:rPr>
                <w:rFonts w:eastAsia="Times New Roman" w:cs="Calibri"/>
                <w:color w:val="000000"/>
                <w:sz w:val="20"/>
                <w:szCs w:val="20"/>
                <w:lang w:eastAsia="en-AU"/>
              </w:rPr>
            </w:pPr>
            <w:r>
              <w:rPr>
                <w:color w:val="000000"/>
                <w:sz w:val="20"/>
                <w:szCs w:val="20"/>
              </w:rPr>
              <w:t>&gt;2037</w:t>
            </w:r>
          </w:p>
        </w:tc>
        <w:tc>
          <w:tcPr>
            <w:tcW w:w="5257" w:type="dxa"/>
            <w:vMerge/>
            <w:tcBorders>
              <w:top w:val="single" w:sz="4" w:space="0" w:color="808080"/>
              <w:left w:val="single" w:sz="4" w:space="0" w:color="BFBFBF"/>
              <w:bottom w:val="single" w:sz="4" w:space="0" w:color="BFBFBF"/>
              <w:right w:val="single" w:sz="4" w:space="0" w:color="BFBFBF"/>
            </w:tcBorders>
            <w:vAlign w:val="center"/>
            <w:hideMark/>
          </w:tcPr>
          <w:p w14:paraId="729972F6" w14:textId="77777777" w:rsidR="00F42A40" w:rsidRPr="00FD3200" w:rsidRDefault="00F42A40" w:rsidP="00F42A40">
            <w:pPr>
              <w:rPr>
                <w:rFonts w:eastAsia="Times New Roman" w:cs="Calibri"/>
                <w:color w:val="000000"/>
                <w:sz w:val="20"/>
                <w:szCs w:val="20"/>
                <w:lang w:eastAsia="en-AU"/>
              </w:rPr>
            </w:pPr>
          </w:p>
        </w:tc>
      </w:tr>
      <w:tr w:rsidR="009D734D" w:rsidRPr="00FD3200" w14:paraId="5BE9640F"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30403100" w14:textId="77777777" w:rsidR="00F42A40" w:rsidRPr="00FD3200" w:rsidRDefault="00F42A40" w:rsidP="00F42A40">
            <w:pPr>
              <w:jc w:val="right"/>
              <w:rPr>
                <w:rFonts w:eastAsia="Times New Roman" w:cs="Calibri"/>
                <w:color w:val="000000"/>
                <w:sz w:val="20"/>
                <w:szCs w:val="20"/>
                <w:lang w:eastAsia="en-AU"/>
              </w:rPr>
            </w:pPr>
            <w:r w:rsidRPr="00FD3200">
              <w:rPr>
                <w:rFonts w:eastAsia="Times New Roman" w:cs="Calibri"/>
                <w:color w:val="000000"/>
                <w:sz w:val="20"/>
                <w:szCs w:val="20"/>
                <w:lang w:eastAsia="en-AU"/>
              </w:rPr>
              <w:t>Landfill facility (NEPM codes N, T)</w:t>
            </w:r>
          </w:p>
        </w:tc>
        <w:tc>
          <w:tcPr>
            <w:tcW w:w="1039" w:type="dxa"/>
            <w:tcBorders>
              <w:top w:val="nil"/>
              <w:left w:val="nil"/>
              <w:bottom w:val="single" w:sz="4" w:space="0" w:color="BFBFBF"/>
              <w:right w:val="single" w:sz="4" w:space="0" w:color="BFBFBF"/>
            </w:tcBorders>
            <w:shd w:val="clear" w:color="000000" w:fill="FFFFFF"/>
            <w:noWrap/>
            <w:hideMark/>
          </w:tcPr>
          <w:p w14:paraId="29A49BAD" w14:textId="0D5E16A6" w:rsidR="00F42A40" w:rsidRPr="00FD3200" w:rsidRDefault="00F42A40" w:rsidP="00F42A40">
            <w:pPr>
              <w:jc w:val="right"/>
              <w:rPr>
                <w:rFonts w:eastAsia="Times New Roman" w:cs="Calibri"/>
                <w:color w:val="000000"/>
                <w:sz w:val="20"/>
                <w:szCs w:val="20"/>
                <w:lang w:eastAsia="en-AU"/>
              </w:rPr>
            </w:pPr>
            <w:r>
              <w:rPr>
                <w:color w:val="000000"/>
                <w:sz w:val="20"/>
                <w:szCs w:val="20"/>
              </w:rPr>
              <w:t>1,116,161</w:t>
            </w:r>
          </w:p>
        </w:tc>
        <w:tc>
          <w:tcPr>
            <w:tcW w:w="963" w:type="dxa"/>
            <w:tcBorders>
              <w:left w:val="nil"/>
              <w:right w:val="single" w:sz="4" w:space="0" w:color="BFBFBF"/>
            </w:tcBorders>
            <w:shd w:val="clear" w:color="auto" w:fill="auto"/>
            <w:noWrap/>
            <w:vAlign w:val="center"/>
          </w:tcPr>
          <w:p w14:paraId="2AF50B0C" w14:textId="1BCF71DA" w:rsidR="00F42A40" w:rsidRPr="00FD3200" w:rsidRDefault="00F42A40" w:rsidP="009D734D">
            <w:pPr>
              <w:jc w:val="center"/>
              <w:rPr>
                <w:rFonts w:eastAsia="Times New Roman" w:cs="Calibri"/>
                <w:color w:val="000000"/>
                <w:sz w:val="20"/>
                <w:szCs w:val="20"/>
                <w:lang w:eastAsia="en-AU"/>
              </w:rPr>
            </w:pPr>
          </w:p>
        </w:tc>
        <w:tc>
          <w:tcPr>
            <w:tcW w:w="1034" w:type="dxa"/>
            <w:tcBorders>
              <w:left w:val="nil"/>
              <w:right w:val="single" w:sz="4" w:space="0" w:color="BFBFBF"/>
            </w:tcBorders>
            <w:shd w:val="clear" w:color="auto" w:fill="auto"/>
            <w:noWrap/>
            <w:vAlign w:val="center"/>
          </w:tcPr>
          <w:p w14:paraId="15B5A4FA" w14:textId="004F7771" w:rsidR="00F42A40" w:rsidRPr="00FD3200" w:rsidRDefault="00F42A40" w:rsidP="009D734D">
            <w:pPr>
              <w:jc w:val="center"/>
              <w:rPr>
                <w:rFonts w:eastAsia="Times New Roman" w:cs="Calibri"/>
                <w:color w:val="000000"/>
                <w:sz w:val="20"/>
                <w:szCs w:val="20"/>
                <w:lang w:eastAsia="en-AU"/>
              </w:rPr>
            </w:pPr>
          </w:p>
        </w:tc>
        <w:tc>
          <w:tcPr>
            <w:tcW w:w="969" w:type="dxa"/>
            <w:tcBorders>
              <w:top w:val="nil"/>
              <w:left w:val="nil"/>
              <w:bottom w:val="single" w:sz="4" w:space="0" w:color="BFBFBF"/>
              <w:right w:val="single" w:sz="4" w:space="0" w:color="BFBFBF"/>
            </w:tcBorders>
            <w:shd w:val="clear" w:color="auto" w:fill="auto"/>
            <w:noWrap/>
            <w:hideMark/>
          </w:tcPr>
          <w:p w14:paraId="7486C796" w14:textId="0E6128BE" w:rsidR="00F42A40" w:rsidRPr="00FD3200"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71A3AB3E" w14:textId="4064C9B4" w:rsidR="00F42A40" w:rsidRPr="00FD3200"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EED5D24" w14:textId="759ADF92" w:rsidR="00F42A40" w:rsidRPr="00FD3200"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31AEC0B" w14:textId="517FD46E" w:rsidR="00F42A40" w:rsidRPr="00FD3200" w:rsidRDefault="00F42A40" w:rsidP="00F42A40">
            <w:pPr>
              <w:jc w:val="center"/>
              <w:rPr>
                <w:rFonts w:eastAsia="Times New Roman" w:cs="Calibri"/>
                <w:color w:val="808080"/>
                <w:sz w:val="20"/>
                <w:szCs w:val="20"/>
                <w:lang w:eastAsia="en-AU"/>
              </w:rPr>
            </w:pPr>
            <w:r>
              <w:rPr>
                <w:color w:val="808080"/>
                <w:sz w:val="20"/>
                <w:szCs w:val="20"/>
              </w:rPr>
              <w:t>no inf.</w:t>
            </w:r>
          </w:p>
        </w:tc>
        <w:tc>
          <w:tcPr>
            <w:tcW w:w="5257" w:type="dxa"/>
            <w:vMerge/>
            <w:tcBorders>
              <w:top w:val="single" w:sz="4" w:space="0" w:color="808080"/>
              <w:left w:val="single" w:sz="4" w:space="0" w:color="BFBFBF"/>
              <w:bottom w:val="single" w:sz="4" w:space="0" w:color="BFBFBF"/>
              <w:right w:val="single" w:sz="4" w:space="0" w:color="BFBFBF"/>
            </w:tcBorders>
            <w:vAlign w:val="center"/>
            <w:hideMark/>
          </w:tcPr>
          <w:p w14:paraId="1ADE4428" w14:textId="77777777" w:rsidR="00F42A40" w:rsidRPr="00FD3200" w:rsidRDefault="00F42A40" w:rsidP="00F42A40">
            <w:pPr>
              <w:rPr>
                <w:rFonts w:eastAsia="Times New Roman" w:cs="Calibri"/>
                <w:color w:val="000000"/>
                <w:sz w:val="20"/>
                <w:szCs w:val="20"/>
                <w:lang w:eastAsia="en-AU"/>
              </w:rPr>
            </w:pPr>
          </w:p>
        </w:tc>
      </w:tr>
      <w:tr w:rsidR="009D734D" w:rsidRPr="00FD3200" w14:paraId="1F2AFD80"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23B06FC3" w14:textId="77777777" w:rsidR="00F42A40" w:rsidRPr="00FD3200" w:rsidRDefault="00F42A40" w:rsidP="00F42A40">
            <w:pPr>
              <w:jc w:val="right"/>
              <w:rPr>
                <w:rFonts w:eastAsia="Times New Roman" w:cs="Calibri"/>
                <w:color w:val="000000"/>
                <w:sz w:val="20"/>
                <w:szCs w:val="20"/>
                <w:lang w:eastAsia="en-AU"/>
              </w:rPr>
            </w:pPr>
            <w:r w:rsidRPr="00FD3200">
              <w:rPr>
                <w:rFonts w:eastAsia="Times New Roman" w:cs="Calibri"/>
                <w:color w:val="000000"/>
                <w:sz w:val="20"/>
                <w:szCs w:val="20"/>
                <w:lang w:eastAsia="en-AU"/>
              </w:rPr>
              <w:t xml:space="preserve">Persistent organic pollutants thermal destruction facility </w:t>
            </w:r>
          </w:p>
        </w:tc>
        <w:tc>
          <w:tcPr>
            <w:tcW w:w="1039" w:type="dxa"/>
            <w:tcBorders>
              <w:top w:val="nil"/>
              <w:left w:val="nil"/>
              <w:bottom w:val="single" w:sz="4" w:space="0" w:color="BFBFBF"/>
              <w:right w:val="single" w:sz="4" w:space="0" w:color="BFBFBF"/>
            </w:tcBorders>
            <w:shd w:val="clear" w:color="000000" w:fill="FFFFFF"/>
            <w:noWrap/>
            <w:hideMark/>
          </w:tcPr>
          <w:p w14:paraId="42BC5D49" w14:textId="30056B7C" w:rsidR="00F42A40" w:rsidRPr="00FD3200" w:rsidRDefault="00F42A40" w:rsidP="00F42A40">
            <w:pPr>
              <w:jc w:val="right"/>
              <w:rPr>
                <w:rFonts w:eastAsia="Times New Roman" w:cs="Calibri"/>
                <w:color w:val="000000"/>
                <w:sz w:val="20"/>
                <w:szCs w:val="20"/>
                <w:lang w:eastAsia="en-AU"/>
              </w:rPr>
            </w:pPr>
            <w:r>
              <w:rPr>
                <w:color w:val="000000"/>
                <w:sz w:val="20"/>
                <w:szCs w:val="20"/>
              </w:rPr>
              <w:t>1,767</w:t>
            </w:r>
          </w:p>
        </w:tc>
        <w:tc>
          <w:tcPr>
            <w:tcW w:w="963" w:type="dxa"/>
            <w:tcBorders>
              <w:left w:val="nil"/>
              <w:right w:val="single" w:sz="4" w:space="0" w:color="BFBFBF"/>
            </w:tcBorders>
            <w:shd w:val="clear" w:color="auto" w:fill="auto"/>
            <w:noWrap/>
            <w:vAlign w:val="center"/>
          </w:tcPr>
          <w:p w14:paraId="4F53A45E" w14:textId="03A5CE5C" w:rsidR="00F42A40" w:rsidRPr="00FD3200" w:rsidRDefault="00F42A40" w:rsidP="009D734D">
            <w:pPr>
              <w:jc w:val="center"/>
              <w:rPr>
                <w:rFonts w:eastAsia="Times New Roman" w:cs="Calibri"/>
                <w:color w:val="000000"/>
                <w:sz w:val="20"/>
                <w:szCs w:val="20"/>
                <w:lang w:eastAsia="en-AU"/>
              </w:rPr>
            </w:pPr>
          </w:p>
        </w:tc>
        <w:tc>
          <w:tcPr>
            <w:tcW w:w="1034" w:type="dxa"/>
            <w:tcBorders>
              <w:left w:val="nil"/>
              <w:right w:val="single" w:sz="4" w:space="0" w:color="BFBFBF"/>
            </w:tcBorders>
            <w:shd w:val="clear" w:color="auto" w:fill="auto"/>
            <w:noWrap/>
            <w:vAlign w:val="center"/>
          </w:tcPr>
          <w:p w14:paraId="56D584BC" w14:textId="0AEA3FE9" w:rsidR="00F42A40" w:rsidRPr="00FD3200" w:rsidRDefault="00F42A40" w:rsidP="009D734D">
            <w:pPr>
              <w:jc w:val="center"/>
              <w:rPr>
                <w:rFonts w:eastAsia="Times New Roman" w:cs="Calibri"/>
                <w:color w:val="000000"/>
                <w:sz w:val="20"/>
                <w:szCs w:val="20"/>
                <w:lang w:eastAsia="en-AU"/>
              </w:rPr>
            </w:pPr>
          </w:p>
        </w:tc>
        <w:tc>
          <w:tcPr>
            <w:tcW w:w="969" w:type="dxa"/>
            <w:tcBorders>
              <w:top w:val="nil"/>
              <w:left w:val="nil"/>
              <w:bottom w:val="single" w:sz="4" w:space="0" w:color="BFBFBF"/>
              <w:right w:val="single" w:sz="4" w:space="0" w:color="BFBFBF"/>
            </w:tcBorders>
            <w:shd w:val="clear" w:color="auto" w:fill="auto"/>
            <w:noWrap/>
            <w:hideMark/>
          </w:tcPr>
          <w:p w14:paraId="5852114A" w14:textId="1EC11476" w:rsidR="00F42A40" w:rsidRPr="00FD3200"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5F6E1A6C" w14:textId="703AA524" w:rsidR="00F42A40" w:rsidRPr="00FD3200"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1DF89992" w14:textId="14DE51B6" w:rsidR="00F42A40" w:rsidRPr="00FD3200"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52844F0" w14:textId="2FF181DE" w:rsidR="00F42A40" w:rsidRPr="00FD3200" w:rsidRDefault="00F42A40" w:rsidP="00F42A40">
            <w:pPr>
              <w:jc w:val="center"/>
              <w:rPr>
                <w:rFonts w:eastAsia="Times New Roman" w:cs="Calibri"/>
                <w:color w:val="808080"/>
                <w:sz w:val="20"/>
                <w:szCs w:val="20"/>
                <w:lang w:eastAsia="en-AU"/>
              </w:rPr>
            </w:pPr>
            <w:r>
              <w:rPr>
                <w:color w:val="808080"/>
                <w:sz w:val="20"/>
                <w:szCs w:val="20"/>
              </w:rPr>
              <w:t>no inf.</w:t>
            </w:r>
          </w:p>
        </w:tc>
        <w:tc>
          <w:tcPr>
            <w:tcW w:w="5257" w:type="dxa"/>
            <w:vMerge/>
            <w:tcBorders>
              <w:top w:val="single" w:sz="4" w:space="0" w:color="808080"/>
              <w:left w:val="single" w:sz="4" w:space="0" w:color="BFBFBF"/>
              <w:bottom w:val="single" w:sz="4" w:space="0" w:color="BFBFBF"/>
              <w:right w:val="single" w:sz="4" w:space="0" w:color="BFBFBF"/>
            </w:tcBorders>
            <w:vAlign w:val="center"/>
            <w:hideMark/>
          </w:tcPr>
          <w:p w14:paraId="54E98F4A" w14:textId="77777777" w:rsidR="00F42A40" w:rsidRPr="00FD3200" w:rsidRDefault="00F42A40" w:rsidP="00F42A40">
            <w:pPr>
              <w:rPr>
                <w:rFonts w:eastAsia="Times New Roman" w:cs="Calibri"/>
                <w:color w:val="000000"/>
                <w:sz w:val="20"/>
                <w:szCs w:val="20"/>
                <w:lang w:eastAsia="en-AU"/>
              </w:rPr>
            </w:pPr>
          </w:p>
        </w:tc>
      </w:tr>
      <w:tr w:rsidR="00F42A40" w:rsidRPr="00FD3200" w14:paraId="7D3DC6B2"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4F4BD564" w14:textId="77777777" w:rsidR="00F42A40" w:rsidRPr="00FD3200" w:rsidRDefault="00F42A40" w:rsidP="00F42A40">
            <w:pPr>
              <w:jc w:val="right"/>
              <w:rPr>
                <w:rFonts w:eastAsia="Times New Roman" w:cs="Calibri"/>
                <w:color w:val="000000"/>
                <w:sz w:val="20"/>
                <w:szCs w:val="20"/>
                <w:lang w:eastAsia="en-AU"/>
              </w:rPr>
            </w:pPr>
            <w:r w:rsidRPr="00FD3200">
              <w:rPr>
                <w:rFonts w:eastAsia="Times New Roman" w:cs="Calibri"/>
                <w:color w:val="000000"/>
                <w:sz w:val="20"/>
                <w:szCs w:val="20"/>
                <w:lang w:eastAsia="en-AU"/>
              </w:rPr>
              <w:t>Clinical waste facility thermal destruction</w:t>
            </w:r>
          </w:p>
        </w:tc>
        <w:tc>
          <w:tcPr>
            <w:tcW w:w="1039" w:type="dxa"/>
            <w:tcBorders>
              <w:top w:val="nil"/>
              <w:left w:val="nil"/>
              <w:bottom w:val="single" w:sz="4" w:space="0" w:color="BFBFBF"/>
              <w:right w:val="single" w:sz="4" w:space="0" w:color="BFBFBF"/>
            </w:tcBorders>
            <w:shd w:val="clear" w:color="000000" w:fill="FFFFFF"/>
            <w:noWrap/>
            <w:hideMark/>
          </w:tcPr>
          <w:p w14:paraId="2B463884" w14:textId="5F0FF7D0" w:rsidR="00F42A40" w:rsidRPr="00FD3200" w:rsidRDefault="00F42A40" w:rsidP="00F42A40">
            <w:pPr>
              <w:jc w:val="right"/>
              <w:rPr>
                <w:rFonts w:eastAsia="Times New Roman" w:cs="Calibri"/>
                <w:color w:val="000000"/>
                <w:sz w:val="20"/>
                <w:szCs w:val="20"/>
                <w:lang w:eastAsia="en-AU"/>
              </w:rPr>
            </w:pPr>
            <w:r>
              <w:rPr>
                <w:color w:val="000000"/>
                <w:sz w:val="20"/>
                <w:szCs w:val="20"/>
              </w:rPr>
              <w:t>2,595</w:t>
            </w:r>
          </w:p>
        </w:tc>
        <w:tc>
          <w:tcPr>
            <w:tcW w:w="963" w:type="dxa"/>
            <w:tcBorders>
              <w:left w:val="nil"/>
              <w:bottom w:val="single" w:sz="4" w:space="0" w:color="BFBFBF"/>
              <w:right w:val="single" w:sz="4" w:space="0" w:color="BFBFBF"/>
            </w:tcBorders>
            <w:shd w:val="clear" w:color="auto" w:fill="auto"/>
            <w:noWrap/>
            <w:vAlign w:val="center"/>
          </w:tcPr>
          <w:p w14:paraId="3FF2FBF7" w14:textId="57A27262" w:rsidR="00F42A40" w:rsidRPr="00FD3200" w:rsidRDefault="00F42A40" w:rsidP="009D734D">
            <w:pPr>
              <w:jc w:val="center"/>
              <w:rPr>
                <w:rFonts w:eastAsia="Times New Roman" w:cs="Calibri"/>
                <w:color w:val="000000"/>
                <w:sz w:val="20"/>
                <w:szCs w:val="20"/>
                <w:lang w:eastAsia="en-AU"/>
              </w:rPr>
            </w:pPr>
          </w:p>
        </w:tc>
        <w:tc>
          <w:tcPr>
            <w:tcW w:w="1034" w:type="dxa"/>
            <w:tcBorders>
              <w:left w:val="nil"/>
              <w:bottom w:val="single" w:sz="4" w:space="0" w:color="BFBFBF"/>
              <w:right w:val="single" w:sz="4" w:space="0" w:color="BFBFBF"/>
            </w:tcBorders>
            <w:shd w:val="clear" w:color="auto" w:fill="auto"/>
            <w:noWrap/>
            <w:vAlign w:val="center"/>
          </w:tcPr>
          <w:p w14:paraId="67B90EAA" w14:textId="0E0AF35E" w:rsidR="00F42A40" w:rsidRPr="00FD3200" w:rsidRDefault="00F42A40" w:rsidP="009D734D">
            <w:pPr>
              <w:jc w:val="center"/>
              <w:rPr>
                <w:rFonts w:eastAsia="Times New Roman" w:cs="Calibri"/>
                <w:color w:val="000000"/>
                <w:sz w:val="20"/>
                <w:szCs w:val="20"/>
                <w:lang w:eastAsia="en-AU"/>
              </w:rPr>
            </w:pPr>
          </w:p>
        </w:tc>
        <w:tc>
          <w:tcPr>
            <w:tcW w:w="969" w:type="dxa"/>
            <w:tcBorders>
              <w:top w:val="nil"/>
              <w:left w:val="nil"/>
              <w:bottom w:val="single" w:sz="4" w:space="0" w:color="BFBFBF"/>
              <w:right w:val="single" w:sz="4" w:space="0" w:color="BFBFBF"/>
            </w:tcBorders>
            <w:shd w:val="clear" w:color="auto" w:fill="auto"/>
            <w:noWrap/>
            <w:hideMark/>
          </w:tcPr>
          <w:p w14:paraId="41748B17" w14:textId="3062731C" w:rsidR="00F42A40" w:rsidRPr="00FD3200"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2F08CA72" w14:textId="4BE6C8AC" w:rsidR="00F42A40" w:rsidRPr="00FD3200"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7F4B5020" w14:textId="6FAD3D9B" w:rsidR="00F42A40" w:rsidRPr="00FD3200"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074DDE3B" w14:textId="64215C51" w:rsidR="00F42A40" w:rsidRPr="00FD3200" w:rsidRDefault="00F42A40" w:rsidP="00F42A40">
            <w:pPr>
              <w:jc w:val="center"/>
              <w:rPr>
                <w:rFonts w:eastAsia="Times New Roman" w:cs="Calibri"/>
                <w:color w:val="000000"/>
                <w:sz w:val="20"/>
                <w:szCs w:val="20"/>
                <w:lang w:eastAsia="en-AU"/>
              </w:rPr>
            </w:pPr>
            <w:r>
              <w:rPr>
                <w:color w:val="000000"/>
                <w:sz w:val="20"/>
                <w:szCs w:val="20"/>
              </w:rPr>
              <w:t>&gt;2037</w:t>
            </w:r>
          </w:p>
        </w:tc>
        <w:tc>
          <w:tcPr>
            <w:tcW w:w="5257" w:type="dxa"/>
            <w:vMerge/>
            <w:tcBorders>
              <w:top w:val="single" w:sz="4" w:space="0" w:color="808080"/>
              <w:left w:val="single" w:sz="4" w:space="0" w:color="BFBFBF"/>
              <w:bottom w:val="single" w:sz="4" w:space="0" w:color="BFBFBF"/>
              <w:right w:val="single" w:sz="4" w:space="0" w:color="BFBFBF"/>
            </w:tcBorders>
            <w:vAlign w:val="center"/>
            <w:hideMark/>
          </w:tcPr>
          <w:p w14:paraId="515321A0" w14:textId="77777777" w:rsidR="00F42A40" w:rsidRPr="00FD3200" w:rsidRDefault="00F42A40" w:rsidP="00F42A40">
            <w:pPr>
              <w:rPr>
                <w:rFonts w:eastAsia="Times New Roman" w:cs="Calibri"/>
                <w:color w:val="000000"/>
                <w:sz w:val="20"/>
                <w:szCs w:val="20"/>
                <w:lang w:eastAsia="en-AU"/>
              </w:rPr>
            </w:pPr>
          </w:p>
        </w:tc>
      </w:tr>
      <w:tr w:rsidR="009D734D" w:rsidRPr="00FD3200" w14:paraId="29E2B91A" w14:textId="77777777" w:rsidTr="009D734D">
        <w:trPr>
          <w:trHeight w:val="270"/>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45FC971F" w14:textId="77777777" w:rsidR="00F42A40" w:rsidRPr="00FD3200" w:rsidRDefault="00F42A40" w:rsidP="00F42A40">
            <w:pPr>
              <w:jc w:val="right"/>
              <w:rPr>
                <w:rFonts w:eastAsia="Times New Roman" w:cs="Calibri"/>
                <w:b/>
                <w:bCs/>
                <w:color w:val="000000"/>
                <w:sz w:val="20"/>
                <w:szCs w:val="20"/>
                <w:lang w:eastAsia="en-AU"/>
              </w:rPr>
            </w:pPr>
            <w:r w:rsidRPr="00FD3200">
              <w:rPr>
                <w:rFonts w:eastAsia="Times New Roman" w:cs="Calibri"/>
                <w:b/>
                <w:bCs/>
                <w:color w:val="000000"/>
                <w:sz w:val="20"/>
                <w:szCs w:val="20"/>
                <w:lang w:eastAsia="en-AU"/>
              </w:rPr>
              <w:t>Short-term storage or transfer</w:t>
            </w:r>
          </w:p>
        </w:tc>
        <w:tc>
          <w:tcPr>
            <w:tcW w:w="1039" w:type="dxa"/>
            <w:tcBorders>
              <w:top w:val="nil"/>
              <w:left w:val="nil"/>
              <w:bottom w:val="single" w:sz="4" w:space="0" w:color="BFBFBF"/>
              <w:right w:val="single" w:sz="4" w:space="0" w:color="BFBFBF"/>
            </w:tcBorders>
            <w:shd w:val="clear" w:color="000000" w:fill="C5D9F1"/>
            <w:noWrap/>
            <w:hideMark/>
          </w:tcPr>
          <w:p w14:paraId="063E4EDE" w14:textId="6EDF76C0" w:rsidR="00F42A40" w:rsidRPr="00FD3200" w:rsidRDefault="00F42A40" w:rsidP="00F42A40">
            <w:pPr>
              <w:rPr>
                <w:rFonts w:eastAsia="Times New Roman" w:cs="Calibri"/>
                <w:color w:val="000000"/>
                <w:sz w:val="20"/>
                <w:szCs w:val="20"/>
                <w:lang w:eastAsia="en-AU"/>
              </w:rPr>
            </w:pPr>
            <w:r>
              <w:rPr>
                <w:color w:val="000000"/>
                <w:sz w:val="20"/>
                <w:szCs w:val="20"/>
              </w:rPr>
              <w:t> </w:t>
            </w:r>
          </w:p>
        </w:tc>
        <w:tc>
          <w:tcPr>
            <w:tcW w:w="963" w:type="dxa"/>
            <w:tcBorders>
              <w:top w:val="nil"/>
              <w:left w:val="nil"/>
              <w:bottom w:val="single" w:sz="4" w:space="0" w:color="BFBFBF"/>
              <w:right w:val="nil"/>
            </w:tcBorders>
            <w:shd w:val="clear" w:color="000000" w:fill="C5D9F1"/>
            <w:noWrap/>
            <w:vAlign w:val="center"/>
          </w:tcPr>
          <w:p w14:paraId="1F643C85" w14:textId="397C0B56" w:rsidR="00F42A40" w:rsidRPr="00FD3200" w:rsidRDefault="00F42A40" w:rsidP="009D734D">
            <w:pPr>
              <w:jc w:val="center"/>
              <w:rPr>
                <w:rFonts w:eastAsia="Times New Roman" w:cs="Calibri"/>
                <w:color w:val="000000"/>
                <w:sz w:val="20"/>
                <w:szCs w:val="20"/>
                <w:lang w:eastAsia="en-AU"/>
              </w:rPr>
            </w:pPr>
          </w:p>
        </w:tc>
        <w:tc>
          <w:tcPr>
            <w:tcW w:w="1034" w:type="dxa"/>
            <w:tcBorders>
              <w:top w:val="nil"/>
              <w:left w:val="nil"/>
              <w:bottom w:val="single" w:sz="4" w:space="0" w:color="BFBFBF"/>
              <w:right w:val="nil"/>
            </w:tcBorders>
            <w:shd w:val="clear" w:color="000000" w:fill="C5D9F1"/>
            <w:noWrap/>
            <w:vAlign w:val="center"/>
          </w:tcPr>
          <w:p w14:paraId="637271B0" w14:textId="66CBBB08" w:rsidR="00F42A40" w:rsidRPr="00FD3200" w:rsidRDefault="00F42A40" w:rsidP="009D734D">
            <w:pPr>
              <w:jc w:val="center"/>
              <w:rPr>
                <w:rFonts w:eastAsia="Times New Roman" w:cs="Calibri"/>
                <w:color w:val="000000"/>
                <w:sz w:val="20"/>
                <w:szCs w:val="20"/>
                <w:lang w:eastAsia="en-AU"/>
              </w:rPr>
            </w:pPr>
          </w:p>
        </w:tc>
        <w:tc>
          <w:tcPr>
            <w:tcW w:w="969" w:type="dxa"/>
            <w:tcBorders>
              <w:top w:val="nil"/>
              <w:left w:val="nil"/>
              <w:bottom w:val="single" w:sz="4" w:space="0" w:color="BFBFBF"/>
              <w:right w:val="single" w:sz="4" w:space="0" w:color="BFBFBF"/>
            </w:tcBorders>
            <w:shd w:val="clear" w:color="000000" w:fill="C5D9F1"/>
            <w:noWrap/>
            <w:hideMark/>
          </w:tcPr>
          <w:p w14:paraId="38804FB2" w14:textId="4F818E2B" w:rsidR="00F42A40" w:rsidRPr="00FD3200"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2D7E2294" w14:textId="3837DD6A" w:rsidR="00F42A40" w:rsidRPr="00FD3200"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5B01431C" w14:textId="52360486" w:rsidR="00F42A40" w:rsidRPr="00FD3200"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5A785D9D" w14:textId="7D585A6C" w:rsidR="00F42A40" w:rsidRPr="00FD3200" w:rsidRDefault="00F42A40" w:rsidP="00F42A40">
            <w:pPr>
              <w:rPr>
                <w:rFonts w:eastAsia="Times New Roman" w:cs="Calibri"/>
                <w:color w:val="000000"/>
                <w:sz w:val="20"/>
                <w:szCs w:val="20"/>
                <w:lang w:eastAsia="en-AU"/>
              </w:rPr>
            </w:pPr>
            <w:r>
              <w:rPr>
                <w:color w:val="000000"/>
                <w:sz w:val="20"/>
                <w:szCs w:val="20"/>
              </w:rPr>
              <w:t> </w:t>
            </w:r>
          </w:p>
        </w:tc>
        <w:tc>
          <w:tcPr>
            <w:tcW w:w="5257" w:type="dxa"/>
            <w:vMerge/>
            <w:tcBorders>
              <w:top w:val="single" w:sz="4" w:space="0" w:color="808080"/>
              <w:left w:val="single" w:sz="4" w:space="0" w:color="BFBFBF"/>
              <w:bottom w:val="single" w:sz="4" w:space="0" w:color="BFBFBF"/>
              <w:right w:val="single" w:sz="4" w:space="0" w:color="BFBFBF"/>
            </w:tcBorders>
            <w:vAlign w:val="center"/>
            <w:hideMark/>
          </w:tcPr>
          <w:p w14:paraId="56AC4512" w14:textId="77777777" w:rsidR="00F42A40" w:rsidRPr="00FD3200" w:rsidRDefault="00F42A40" w:rsidP="00F42A40">
            <w:pPr>
              <w:rPr>
                <w:rFonts w:eastAsia="Times New Roman" w:cs="Calibri"/>
                <w:color w:val="000000"/>
                <w:sz w:val="20"/>
                <w:szCs w:val="20"/>
                <w:lang w:eastAsia="en-AU"/>
              </w:rPr>
            </w:pPr>
          </w:p>
        </w:tc>
      </w:tr>
      <w:tr w:rsidR="00F42A40" w:rsidRPr="00FD3200" w14:paraId="61DCFBA2" w14:textId="77777777" w:rsidTr="009D734D">
        <w:trPr>
          <w:trHeight w:val="270"/>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79E3F40E" w14:textId="77777777" w:rsidR="00F42A40" w:rsidRPr="00FD3200" w:rsidRDefault="00F42A40" w:rsidP="00F42A40">
            <w:pPr>
              <w:jc w:val="right"/>
              <w:rPr>
                <w:rFonts w:eastAsia="Times New Roman" w:cs="Calibri"/>
                <w:color w:val="000000"/>
                <w:sz w:val="20"/>
                <w:szCs w:val="20"/>
                <w:lang w:eastAsia="en-AU"/>
              </w:rPr>
            </w:pPr>
            <w:r w:rsidRPr="00FD3200">
              <w:rPr>
                <w:rFonts w:eastAsia="Times New Roman" w:cs="Calibri"/>
                <w:color w:val="000000"/>
                <w:sz w:val="20"/>
                <w:szCs w:val="20"/>
                <w:lang w:eastAsia="en-AU"/>
              </w:rPr>
              <w:t>Transfer facility</w:t>
            </w:r>
          </w:p>
        </w:tc>
        <w:tc>
          <w:tcPr>
            <w:tcW w:w="1039" w:type="dxa"/>
            <w:tcBorders>
              <w:top w:val="nil"/>
              <w:left w:val="nil"/>
              <w:bottom w:val="single" w:sz="4" w:space="0" w:color="BFBFBF"/>
              <w:right w:val="nil"/>
            </w:tcBorders>
            <w:shd w:val="clear" w:color="000000" w:fill="FFFFFF"/>
            <w:noWrap/>
            <w:hideMark/>
          </w:tcPr>
          <w:p w14:paraId="3916C695" w14:textId="157C6C43" w:rsidR="00F42A40" w:rsidRPr="00FD3200" w:rsidRDefault="00F42A40" w:rsidP="00F42A40">
            <w:pPr>
              <w:jc w:val="right"/>
              <w:rPr>
                <w:rFonts w:eastAsia="Times New Roman" w:cs="Calibri"/>
                <w:color w:val="000000"/>
                <w:sz w:val="20"/>
                <w:szCs w:val="20"/>
                <w:lang w:eastAsia="en-AU"/>
              </w:rPr>
            </w:pPr>
            <w:r>
              <w:rPr>
                <w:color w:val="000000"/>
                <w:sz w:val="20"/>
                <w:szCs w:val="20"/>
              </w:rPr>
              <w:t>38,745</w:t>
            </w:r>
          </w:p>
        </w:tc>
        <w:tc>
          <w:tcPr>
            <w:tcW w:w="963" w:type="dxa"/>
            <w:tcBorders>
              <w:top w:val="nil"/>
              <w:left w:val="nil"/>
              <w:bottom w:val="single" w:sz="4" w:space="0" w:color="BFBFBF"/>
              <w:right w:val="single" w:sz="4" w:space="0" w:color="BFBFBF"/>
            </w:tcBorders>
            <w:shd w:val="clear" w:color="auto" w:fill="auto"/>
            <w:noWrap/>
            <w:vAlign w:val="center"/>
          </w:tcPr>
          <w:p w14:paraId="39CD0198" w14:textId="552727DA" w:rsidR="00F42A40" w:rsidRPr="00FD3200"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34" w:type="dxa"/>
            <w:tcBorders>
              <w:top w:val="nil"/>
              <w:left w:val="nil"/>
              <w:bottom w:val="single" w:sz="4" w:space="0" w:color="BFBFBF"/>
              <w:right w:val="single" w:sz="4" w:space="0" w:color="BFBFBF"/>
            </w:tcBorders>
            <w:shd w:val="clear" w:color="auto" w:fill="auto"/>
            <w:noWrap/>
            <w:vAlign w:val="center"/>
          </w:tcPr>
          <w:p w14:paraId="08C2F84B" w14:textId="5A30B3B4" w:rsidR="00F42A40" w:rsidRPr="00FD3200"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69" w:type="dxa"/>
            <w:tcBorders>
              <w:top w:val="nil"/>
              <w:left w:val="nil"/>
              <w:bottom w:val="single" w:sz="4" w:space="0" w:color="BFBFBF"/>
              <w:right w:val="single" w:sz="4" w:space="0" w:color="BFBFBF"/>
            </w:tcBorders>
            <w:shd w:val="clear" w:color="auto" w:fill="auto"/>
            <w:noWrap/>
            <w:hideMark/>
          </w:tcPr>
          <w:p w14:paraId="3ABC0114" w14:textId="07633CA6" w:rsidR="00F42A40" w:rsidRPr="00FD3200"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59824012" w14:textId="051A554B" w:rsidR="00F42A40" w:rsidRPr="00FD3200" w:rsidRDefault="00F42A40" w:rsidP="00F42A40">
            <w:pPr>
              <w:jc w:val="center"/>
              <w:rPr>
                <w:rFonts w:eastAsia="Times New Roman" w:cs="Calibri"/>
                <w:color w:val="000000"/>
                <w:sz w:val="20"/>
                <w:szCs w:val="20"/>
                <w:lang w:eastAsia="en-AU"/>
              </w:rPr>
            </w:pPr>
            <w:r>
              <w:rPr>
                <w:color w:val="000000"/>
                <w:sz w:val="20"/>
                <w:szCs w:val="20"/>
              </w:rPr>
              <w:t>2018</w:t>
            </w:r>
          </w:p>
        </w:tc>
        <w:tc>
          <w:tcPr>
            <w:tcW w:w="740" w:type="dxa"/>
            <w:tcBorders>
              <w:top w:val="nil"/>
              <w:left w:val="nil"/>
              <w:bottom w:val="single" w:sz="4" w:space="0" w:color="BFBFBF"/>
              <w:right w:val="single" w:sz="4" w:space="0" w:color="BFBFBF"/>
            </w:tcBorders>
            <w:shd w:val="clear" w:color="000000" w:fill="FFFFFF"/>
            <w:noWrap/>
            <w:hideMark/>
          </w:tcPr>
          <w:p w14:paraId="74E0CA47" w14:textId="5E46DF6F" w:rsidR="00F42A40" w:rsidRPr="00FD3200" w:rsidRDefault="00F42A40" w:rsidP="00F42A40">
            <w:pPr>
              <w:jc w:val="center"/>
              <w:rPr>
                <w:rFonts w:eastAsia="Times New Roman" w:cs="Calibri"/>
                <w:color w:val="000000"/>
                <w:sz w:val="20"/>
                <w:szCs w:val="20"/>
                <w:lang w:eastAsia="en-AU"/>
              </w:rPr>
            </w:pPr>
            <w:r>
              <w:rPr>
                <w:color w:val="000000"/>
                <w:sz w:val="20"/>
                <w:szCs w:val="20"/>
              </w:rPr>
              <w:t>2018</w:t>
            </w:r>
          </w:p>
        </w:tc>
        <w:tc>
          <w:tcPr>
            <w:tcW w:w="740" w:type="dxa"/>
            <w:tcBorders>
              <w:top w:val="nil"/>
              <w:left w:val="nil"/>
              <w:bottom w:val="single" w:sz="4" w:space="0" w:color="BFBFBF"/>
              <w:right w:val="single" w:sz="4" w:space="0" w:color="BFBFBF"/>
            </w:tcBorders>
            <w:shd w:val="clear" w:color="000000" w:fill="FFFFFF"/>
            <w:noWrap/>
            <w:hideMark/>
          </w:tcPr>
          <w:p w14:paraId="6EBCFA87" w14:textId="5FF68036" w:rsidR="00F42A40" w:rsidRPr="00FD3200" w:rsidRDefault="00F42A40" w:rsidP="00F42A40">
            <w:pPr>
              <w:jc w:val="center"/>
              <w:rPr>
                <w:rFonts w:eastAsia="Times New Roman" w:cs="Calibri"/>
                <w:color w:val="000000"/>
                <w:sz w:val="20"/>
                <w:szCs w:val="20"/>
                <w:lang w:eastAsia="en-AU"/>
              </w:rPr>
            </w:pPr>
            <w:r>
              <w:rPr>
                <w:color w:val="000000"/>
                <w:sz w:val="20"/>
                <w:szCs w:val="20"/>
              </w:rPr>
              <w:t>2018</w:t>
            </w:r>
          </w:p>
        </w:tc>
        <w:tc>
          <w:tcPr>
            <w:tcW w:w="5257" w:type="dxa"/>
            <w:vMerge/>
            <w:tcBorders>
              <w:top w:val="single" w:sz="4" w:space="0" w:color="808080"/>
              <w:left w:val="single" w:sz="4" w:space="0" w:color="BFBFBF"/>
              <w:bottom w:val="single" w:sz="4" w:space="0" w:color="BFBFBF"/>
              <w:right w:val="single" w:sz="4" w:space="0" w:color="BFBFBF"/>
            </w:tcBorders>
            <w:vAlign w:val="center"/>
            <w:hideMark/>
          </w:tcPr>
          <w:p w14:paraId="62E40D3E" w14:textId="77777777" w:rsidR="00F42A40" w:rsidRPr="00FD3200" w:rsidRDefault="00F42A40" w:rsidP="00F42A40">
            <w:pPr>
              <w:rPr>
                <w:rFonts w:eastAsia="Times New Roman" w:cs="Calibri"/>
                <w:color w:val="000000"/>
                <w:sz w:val="20"/>
                <w:szCs w:val="20"/>
                <w:lang w:eastAsia="en-AU"/>
              </w:rPr>
            </w:pPr>
          </w:p>
        </w:tc>
      </w:tr>
      <w:tr w:rsidR="009D734D" w:rsidRPr="00FD3200" w14:paraId="3F4220CB" w14:textId="77777777" w:rsidTr="009D734D">
        <w:trPr>
          <w:trHeight w:val="270"/>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75AE5635" w14:textId="77777777" w:rsidR="00F42A40" w:rsidRPr="00FD3200" w:rsidRDefault="00F42A40" w:rsidP="00F42A40">
            <w:pPr>
              <w:jc w:val="right"/>
              <w:rPr>
                <w:rFonts w:eastAsia="Times New Roman" w:cs="Calibri"/>
                <w:b/>
                <w:bCs/>
                <w:color w:val="000000"/>
                <w:sz w:val="20"/>
                <w:szCs w:val="20"/>
                <w:lang w:eastAsia="en-AU"/>
              </w:rPr>
            </w:pPr>
            <w:r w:rsidRPr="00FD3200">
              <w:rPr>
                <w:rFonts w:eastAsia="Times New Roman" w:cs="Calibri"/>
                <w:b/>
                <w:bCs/>
                <w:color w:val="000000"/>
                <w:sz w:val="20"/>
                <w:szCs w:val="20"/>
                <w:lang w:eastAsia="en-AU"/>
              </w:rPr>
              <w:t>Long-term storage</w:t>
            </w:r>
          </w:p>
        </w:tc>
        <w:tc>
          <w:tcPr>
            <w:tcW w:w="1039" w:type="dxa"/>
            <w:tcBorders>
              <w:top w:val="nil"/>
              <w:left w:val="nil"/>
              <w:bottom w:val="single" w:sz="4" w:space="0" w:color="BFBFBF"/>
              <w:right w:val="single" w:sz="4" w:space="0" w:color="BFBFBF"/>
            </w:tcBorders>
            <w:shd w:val="clear" w:color="000000" w:fill="C5D9F1"/>
            <w:noWrap/>
            <w:hideMark/>
          </w:tcPr>
          <w:p w14:paraId="3C2E1FB9" w14:textId="0EA17E1F" w:rsidR="00F42A40" w:rsidRPr="00FD3200" w:rsidRDefault="00F42A40" w:rsidP="00F42A40">
            <w:pPr>
              <w:rPr>
                <w:rFonts w:eastAsia="Times New Roman" w:cs="Calibri"/>
                <w:color w:val="000000"/>
                <w:sz w:val="20"/>
                <w:szCs w:val="20"/>
                <w:lang w:eastAsia="en-AU"/>
              </w:rPr>
            </w:pPr>
            <w:r>
              <w:rPr>
                <w:color w:val="000000"/>
                <w:sz w:val="20"/>
                <w:szCs w:val="20"/>
              </w:rPr>
              <w:t> </w:t>
            </w:r>
          </w:p>
        </w:tc>
        <w:tc>
          <w:tcPr>
            <w:tcW w:w="963" w:type="dxa"/>
            <w:tcBorders>
              <w:top w:val="nil"/>
              <w:left w:val="nil"/>
              <w:bottom w:val="single" w:sz="4" w:space="0" w:color="BFBFBF"/>
              <w:right w:val="nil"/>
            </w:tcBorders>
            <w:shd w:val="clear" w:color="000000" w:fill="C5D9F1"/>
            <w:noWrap/>
            <w:vAlign w:val="center"/>
          </w:tcPr>
          <w:p w14:paraId="5083C869" w14:textId="30D3051D" w:rsidR="00F42A40" w:rsidRPr="00FD3200" w:rsidRDefault="00F42A40" w:rsidP="009D734D">
            <w:pPr>
              <w:jc w:val="center"/>
              <w:rPr>
                <w:rFonts w:eastAsia="Times New Roman" w:cs="Calibri"/>
                <w:color w:val="000000"/>
                <w:sz w:val="20"/>
                <w:szCs w:val="20"/>
                <w:lang w:eastAsia="en-AU"/>
              </w:rPr>
            </w:pPr>
          </w:p>
        </w:tc>
        <w:tc>
          <w:tcPr>
            <w:tcW w:w="1034" w:type="dxa"/>
            <w:tcBorders>
              <w:top w:val="nil"/>
              <w:left w:val="nil"/>
              <w:bottom w:val="single" w:sz="4" w:space="0" w:color="BFBFBF"/>
              <w:right w:val="nil"/>
            </w:tcBorders>
            <w:shd w:val="clear" w:color="000000" w:fill="C5D9F1"/>
            <w:noWrap/>
            <w:vAlign w:val="center"/>
          </w:tcPr>
          <w:p w14:paraId="6AAC3391" w14:textId="2A77EFE5" w:rsidR="00F42A40" w:rsidRPr="00FD3200" w:rsidRDefault="00F42A40" w:rsidP="009D734D">
            <w:pPr>
              <w:jc w:val="center"/>
              <w:rPr>
                <w:rFonts w:eastAsia="Times New Roman" w:cs="Calibri"/>
                <w:color w:val="000000"/>
                <w:sz w:val="20"/>
                <w:szCs w:val="20"/>
                <w:lang w:eastAsia="en-AU"/>
              </w:rPr>
            </w:pPr>
          </w:p>
        </w:tc>
        <w:tc>
          <w:tcPr>
            <w:tcW w:w="969" w:type="dxa"/>
            <w:tcBorders>
              <w:top w:val="nil"/>
              <w:left w:val="nil"/>
              <w:bottom w:val="single" w:sz="4" w:space="0" w:color="BFBFBF"/>
              <w:right w:val="single" w:sz="4" w:space="0" w:color="BFBFBF"/>
            </w:tcBorders>
            <w:shd w:val="clear" w:color="000000" w:fill="C5D9F1"/>
            <w:noWrap/>
            <w:hideMark/>
          </w:tcPr>
          <w:p w14:paraId="6B433031" w14:textId="6CC7CD27" w:rsidR="00F42A40" w:rsidRPr="00FD3200"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0B9CC4EF" w14:textId="48162F94" w:rsidR="00F42A40" w:rsidRPr="00FD3200"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183BC57D" w14:textId="162C1583" w:rsidR="00F42A40" w:rsidRPr="00FD3200"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48141CE2" w14:textId="344206C7" w:rsidR="00F42A40" w:rsidRPr="00FD3200" w:rsidRDefault="00F42A40" w:rsidP="00F42A40">
            <w:pPr>
              <w:rPr>
                <w:rFonts w:eastAsia="Times New Roman" w:cs="Calibri"/>
                <w:color w:val="000000"/>
                <w:sz w:val="20"/>
                <w:szCs w:val="20"/>
                <w:lang w:eastAsia="en-AU"/>
              </w:rPr>
            </w:pPr>
            <w:r>
              <w:rPr>
                <w:color w:val="000000"/>
                <w:sz w:val="20"/>
                <w:szCs w:val="20"/>
              </w:rPr>
              <w:t> </w:t>
            </w:r>
          </w:p>
        </w:tc>
        <w:tc>
          <w:tcPr>
            <w:tcW w:w="5257" w:type="dxa"/>
            <w:vMerge/>
            <w:tcBorders>
              <w:top w:val="single" w:sz="4" w:space="0" w:color="808080"/>
              <w:left w:val="single" w:sz="4" w:space="0" w:color="BFBFBF"/>
              <w:bottom w:val="single" w:sz="4" w:space="0" w:color="BFBFBF"/>
              <w:right w:val="single" w:sz="4" w:space="0" w:color="BFBFBF"/>
            </w:tcBorders>
            <w:vAlign w:val="center"/>
            <w:hideMark/>
          </w:tcPr>
          <w:p w14:paraId="46A4E716" w14:textId="77777777" w:rsidR="00F42A40" w:rsidRPr="00FD3200" w:rsidRDefault="00F42A40" w:rsidP="00F42A40">
            <w:pPr>
              <w:rPr>
                <w:rFonts w:eastAsia="Times New Roman" w:cs="Calibri"/>
                <w:color w:val="000000"/>
                <w:sz w:val="20"/>
                <w:szCs w:val="20"/>
                <w:lang w:eastAsia="en-AU"/>
              </w:rPr>
            </w:pPr>
          </w:p>
        </w:tc>
      </w:tr>
      <w:tr w:rsidR="00F42A40" w:rsidRPr="00FD3200" w14:paraId="63E76F82"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66F0D181" w14:textId="77777777" w:rsidR="00F42A40" w:rsidRPr="00FD3200" w:rsidRDefault="00F42A40" w:rsidP="00F42A40">
            <w:pPr>
              <w:jc w:val="right"/>
              <w:rPr>
                <w:rFonts w:eastAsia="Times New Roman" w:cs="Calibri"/>
                <w:color w:val="000000"/>
                <w:sz w:val="20"/>
                <w:szCs w:val="20"/>
                <w:lang w:eastAsia="en-AU"/>
              </w:rPr>
            </w:pPr>
            <w:r w:rsidRPr="00FD3200">
              <w:rPr>
                <w:rFonts w:eastAsia="Times New Roman" w:cs="Calibri"/>
                <w:color w:val="000000"/>
                <w:sz w:val="20"/>
                <w:szCs w:val="20"/>
                <w:lang w:eastAsia="en-AU"/>
              </w:rPr>
              <w:t>Long-term on-site storage</w:t>
            </w:r>
          </w:p>
        </w:tc>
        <w:tc>
          <w:tcPr>
            <w:tcW w:w="1039" w:type="dxa"/>
            <w:tcBorders>
              <w:top w:val="nil"/>
              <w:left w:val="nil"/>
              <w:bottom w:val="single" w:sz="4" w:space="0" w:color="BFBFBF"/>
              <w:right w:val="single" w:sz="4" w:space="0" w:color="BFBFBF"/>
            </w:tcBorders>
            <w:shd w:val="clear" w:color="000000" w:fill="FFFFFF"/>
            <w:noWrap/>
            <w:hideMark/>
          </w:tcPr>
          <w:p w14:paraId="3FA21FD3" w14:textId="640ABF02" w:rsidR="00F42A40" w:rsidRPr="00FD3200" w:rsidRDefault="00F42A40" w:rsidP="00F42A40">
            <w:pPr>
              <w:jc w:val="right"/>
              <w:rPr>
                <w:rFonts w:eastAsia="Times New Roman" w:cs="Calibri"/>
                <w:color w:val="000000"/>
                <w:sz w:val="20"/>
                <w:szCs w:val="20"/>
                <w:lang w:eastAsia="en-AU"/>
              </w:rPr>
            </w:pPr>
            <w:r>
              <w:rPr>
                <w:color w:val="000000"/>
                <w:sz w:val="20"/>
                <w:szCs w:val="20"/>
              </w:rPr>
              <w:t>0</w:t>
            </w:r>
          </w:p>
        </w:tc>
        <w:tc>
          <w:tcPr>
            <w:tcW w:w="963" w:type="dxa"/>
            <w:tcBorders>
              <w:top w:val="nil"/>
              <w:left w:val="nil"/>
              <w:right w:val="single" w:sz="4" w:space="0" w:color="BFBFBF"/>
            </w:tcBorders>
            <w:shd w:val="clear" w:color="auto" w:fill="auto"/>
            <w:noWrap/>
            <w:vAlign w:val="center"/>
          </w:tcPr>
          <w:p w14:paraId="49ABB2F3" w14:textId="196AF49B" w:rsidR="00F42A40" w:rsidRPr="00FD3200"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34" w:type="dxa"/>
            <w:tcBorders>
              <w:top w:val="nil"/>
              <w:left w:val="nil"/>
              <w:right w:val="single" w:sz="4" w:space="0" w:color="BFBFBF"/>
            </w:tcBorders>
            <w:shd w:val="clear" w:color="auto" w:fill="auto"/>
            <w:noWrap/>
            <w:vAlign w:val="center"/>
          </w:tcPr>
          <w:p w14:paraId="5AFCF130" w14:textId="3736AD95" w:rsidR="00F42A40" w:rsidRPr="00FD3200"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69" w:type="dxa"/>
            <w:tcBorders>
              <w:top w:val="nil"/>
              <w:left w:val="nil"/>
              <w:bottom w:val="single" w:sz="4" w:space="0" w:color="BFBFBF"/>
              <w:right w:val="single" w:sz="4" w:space="0" w:color="BFBFBF"/>
            </w:tcBorders>
            <w:shd w:val="clear" w:color="auto" w:fill="auto"/>
            <w:noWrap/>
            <w:hideMark/>
          </w:tcPr>
          <w:p w14:paraId="34BDA145" w14:textId="7CEAA4DC" w:rsidR="00F42A40" w:rsidRPr="00FD3200"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9E09DF2" w14:textId="50C386E1" w:rsidR="00F42A40" w:rsidRPr="00FD3200"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9182A7F" w14:textId="22731D86" w:rsidR="00F42A40" w:rsidRPr="00FD3200"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5F234551" w14:textId="354073EC" w:rsidR="00F42A40" w:rsidRPr="00FD3200" w:rsidRDefault="00F42A40" w:rsidP="00F42A40">
            <w:pPr>
              <w:jc w:val="center"/>
              <w:rPr>
                <w:rFonts w:eastAsia="Times New Roman" w:cs="Calibri"/>
                <w:color w:val="808080"/>
                <w:sz w:val="20"/>
                <w:szCs w:val="20"/>
                <w:lang w:eastAsia="en-AU"/>
              </w:rPr>
            </w:pPr>
            <w:r>
              <w:rPr>
                <w:color w:val="808080"/>
                <w:sz w:val="20"/>
                <w:szCs w:val="20"/>
              </w:rPr>
              <w:t>no inf.</w:t>
            </w:r>
          </w:p>
        </w:tc>
        <w:tc>
          <w:tcPr>
            <w:tcW w:w="5257" w:type="dxa"/>
            <w:vMerge/>
            <w:tcBorders>
              <w:top w:val="single" w:sz="4" w:space="0" w:color="808080"/>
              <w:left w:val="single" w:sz="4" w:space="0" w:color="BFBFBF"/>
              <w:bottom w:val="single" w:sz="4" w:space="0" w:color="BFBFBF"/>
              <w:right w:val="single" w:sz="4" w:space="0" w:color="BFBFBF"/>
            </w:tcBorders>
            <w:vAlign w:val="center"/>
            <w:hideMark/>
          </w:tcPr>
          <w:p w14:paraId="672725F1" w14:textId="77777777" w:rsidR="00F42A40" w:rsidRPr="00FD3200" w:rsidRDefault="00F42A40" w:rsidP="00F42A40">
            <w:pPr>
              <w:rPr>
                <w:rFonts w:eastAsia="Times New Roman" w:cs="Calibri"/>
                <w:color w:val="000000"/>
                <w:sz w:val="20"/>
                <w:szCs w:val="20"/>
                <w:lang w:eastAsia="en-AU"/>
              </w:rPr>
            </w:pPr>
          </w:p>
        </w:tc>
      </w:tr>
      <w:tr w:rsidR="00F42A40" w:rsidRPr="00FD3200" w14:paraId="214A8DC4" w14:textId="77777777" w:rsidTr="009D734D">
        <w:trPr>
          <w:trHeight w:val="2445"/>
        </w:trPr>
        <w:tc>
          <w:tcPr>
            <w:tcW w:w="2830" w:type="dxa"/>
            <w:tcBorders>
              <w:top w:val="nil"/>
              <w:left w:val="single" w:sz="4" w:space="0" w:color="BFBFBF"/>
              <w:bottom w:val="single" w:sz="4" w:space="0" w:color="BFBFBF"/>
              <w:right w:val="single" w:sz="4" w:space="0" w:color="BFBFBF"/>
            </w:tcBorders>
            <w:shd w:val="clear" w:color="auto" w:fill="auto"/>
            <w:noWrap/>
            <w:hideMark/>
          </w:tcPr>
          <w:p w14:paraId="40ADA9B7" w14:textId="77777777" w:rsidR="00F42A40" w:rsidRPr="00FD3200" w:rsidRDefault="00F42A40" w:rsidP="00F42A40">
            <w:pPr>
              <w:jc w:val="right"/>
              <w:rPr>
                <w:rFonts w:eastAsia="Times New Roman" w:cs="Calibri"/>
                <w:color w:val="000000"/>
                <w:sz w:val="20"/>
                <w:szCs w:val="20"/>
                <w:lang w:eastAsia="en-AU"/>
              </w:rPr>
            </w:pPr>
            <w:r w:rsidRPr="00FD3200">
              <w:rPr>
                <w:rFonts w:eastAsia="Times New Roman" w:cs="Calibri"/>
                <w:color w:val="000000"/>
                <w:sz w:val="20"/>
                <w:szCs w:val="20"/>
                <w:lang w:eastAsia="en-AU"/>
              </w:rPr>
              <w:t>Long-term isolation facility</w:t>
            </w:r>
          </w:p>
        </w:tc>
        <w:tc>
          <w:tcPr>
            <w:tcW w:w="1039" w:type="dxa"/>
            <w:tcBorders>
              <w:top w:val="nil"/>
              <w:left w:val="nil"/>
              <w:bottom w:val="single" w:sz="4" w:space="0" w:color="BFBFBF"/>
              <w:right w:val="single" w:sz="4" w:space="0" w:color="BFBFBF"/>
            </w:tcBorders>
            <w:shd w:val="clear" w:color="000000" w:fill="FFFFFF"/>
            <w:noWrap/>
            <w:hideMark/>
          </w:tcPr>
          <w:p w14:paraId="6154A300" w14:textId="04AC0133" w:rsidR="00F42A40" w:rsidRPr="00FD3200" w:rsidRDefault="00F42A40" w:rsidP="00F42A40">
            <w:pPr>
              <w:jc w:val="right"/>
              <w:rPr>
                <w:rFonts w:eastAsia="Times New Roman" w:cs="Calibri"/>
                <w:color w:val="000000"/>
                <w:sz w:val="20"/>
                <w:szCs w:val="20"/>
                <w:lang w:eastAsia="en-AU"/>
              </w:rPr>
            </w:pPr>
            <w:r>
              <w:rPr>
                <w:color w:val="000000"/>
                <w:sz w:val="20"/>
                <w:szCs w:val="20"/>
              </w:rPr>
              <w:t>0</w:t>
            </w:r>
          </w:p>
        </w:tc>
        <w:tc>
          <w:tcPr>
            <w:tcW w:w="963" w:type="dxa"/>
            <w:tcBorders>
              <w:left w:val="nil"/>
              <w:bottom w:val="single" w:sz="4" w:space="0" w:color="BFBFBF"/>
              <w:right w:val="single" w:sz="4" w:space="0" w:color="BFBFBF"/>
            </w:tcBorders>
            <w:shd w:val="clear" w:color="auto" w:fill="auto"/>
            <w:noWrap/>
            <w:vAlign w:val="center"/>
          </w:tcPr>
          <w:p w14:paraId="06FE28D2" w14:textId="47AE0DB6" w:rsidR="00F42A40" w:rsidRPr="00FD3200" w:rsidRDefault="00F42A40" w:rsidP="009D734D">
            <w:pPr>
              <w:jc w:val="center"/>
              <w:rPr>
                <w:rFonts w:eastAsia="Times New Roman" w:cs="Calibri"/>
                <w:color w:val="000000"/>
                <w:sz w:val="20"/>
                <w:szCs w:val="20"/>
                <w:lang w:eastAsia="en-AU"/>
              </w:rPr>
            </w:pPr>
          </w:p>
        </w:tc>
        <w:tc>
          <w:tcPr>
            <w:tcW w:w="1034" w:type="dxa"/>
            <w:tcBorders>
              <w:left w:val="nil"/>
              <w:bottom w:val="single" w:sz="4" w:space="0" w:color="BFBFBF"/>
              <w:right w:val="single" w:sz="4" w:space="0" w:color="BFBFBF"/>
            </w:tcBorders>
            <w:shd w:val="clear" w:color="auto" w:fill="auto"/>
            <w:noWrap/>
            <w:vAlign w:val="center"/>
          </w:tcPr>
          <w:p w14:paraId="5F70B064" w14:textId="7B50DE1F" w:rsidR="00F42A40" w:rsidRPr="00FD3200" w:rsidRDefault="00F42A40" w:rsidP="009D734D">
            <w:pPr>
              <w:jc w:val="center"/>
              <w:rPr>
                <w:rFonts w:eastAsia="Times New Roman" w:cs="Calibri"/>
                <w:color w:val="000000"/>
                <w:sz w:val="20"/>
                <w:szCs w:val="20"/>
                <w:lang w:eastAsia="en-AU"/>
              </w:rPr>
            </w:pPr>
          </w:p>
        </w:tc>
        <w:tc>
          <w:tcPr>
            <w:tcW w:w="969" w:type="dxa"/>
            <w:tcBorders>
              <w:top w:val="nil"/>
              <w:left w:val="nil"/>
              <w:bottom w:val="single" w:sz="4" w:space="0" w:color="BFBFBF"/>
              <w:right w:val="single" w:sz="4" w:space="0" w:color="BFBFBF"/>
            </w:tcBorders>
            <w:shd w:val="clear" w:color="auto" w:fill="auto"/>
            <w:noWrap/>
            <w:hideMark/>
          </w:tcPr>
          <w:p w14:paraId="012BDDB3" w14:textId="77040391" w:rsidR="00F42A40" w:rsidRPr="00FD3200"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0AE4C8B0" w14:textId="7009BB9F" w:rsidR="00F42A40" w:rsidRPr="00FD3200"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05F3C54F" w14:textId="406FBCF8" w:rsidR="00F42A40" w:rsidRPr="00FD3200"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73E51D9B" w14:textId="19B159D3" w:rsidR="00F42A40" w:rsidRPr="00FD3200" w:rsidRDefault="00F42A40" w:rsidP="00F42A40">
            <w:pPr>
              <w:jc w:val="center"/>
              <w:rPr>
                <w:rFonts w:eastAsia="Times New Roman" w:cs="Calibri"/>
                <w:color w:val="808080"/>
                <w:sz w:val="20"/>
                <w:szCs w:val="20"/>
                <w:lang w:eastAsia="en-AU"/>
              </w:rPr>
            </w:pPr>
            <w:r>
              <w:rPr>
                <w:color w:val="808080"/>
                <w:sz w:val="20"/>
                <w:szCs w:val="20"/>
              </w:rPr>
              <w:t>no inf.</w:t>
            </w:r>
          </w:p>
        </w:tc>
        <w:tc>
          <w:tcPr>
            <w:tcW w:w="5257" w:type="dxa"/>
            <w:vMerge/>
            <w:tcBorders>
              <w:top w:val="single" w:sz="4" w:space="0" w:color="808080"/>
              <w:left w:val="single" w:sz="4" w:space="0" w:color="BFBFBF"/>
              <w:bottom w:val="single" w:sz="4" w:space="0" w:color="BFBFBF"/>
              <w:right w:val="single" w:sz="4" w:space="0" w:color="BFBFBF"/>
            </w:tcBorders>
            <w:vAlign w:val="center"/>
            <w:hideMark/>
          </w:tcPr>
          <w:p w14:paraId="37ADCAD1" w14:textId="77777777" w:rsidR="00F42A40" w:rsidRPr="00FD3200" w:rsidRDefault="00F42A40" w:rsidP="00F42A40">
            <w:pPr>
              <w:rPr>
                <w:rFonts w:eastAsia="Times New Roman" w:cs="Calibri"/>
                <w:color w:val="000000"/>
                <w:sz w:val="20"/>
                <w:szCs w:val="20"/>
                <w:lang w:eastAsia="en-AU"/>
              </w:rPr>
            </w:pPr>
          </w:p>
        </w:tc>
      </w:tr>
      <w:tr w:rsidR="00EE2A88" w:rsidRPr="00FD3200" w14:paraId="11287C3B" w14:textId="77777777" w:rsidTr="00EF647C">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442D69E0" w14:textId="77777777" w:rsidR="00EE2A88" w:rsidRPr="00FD3200" w:rsidRDefault="00EE2A88" w:rsidP="00EE2A88">
            <w:pPr>
              <w:jc w:val="right"/>
              <w:rPr>
                <w:rFonts w:eastAsia="Times New Roman" w:cs="Calibri"/>
                <w:b/>
                <w:bCs/>
                <w:color w:val="000000"/>
                <w:sz w:val="20"/>
                <w:szCs w:val="20"/>
                <w:lang w:eastAsia="en-AU"/>
              </w:rPr>
            </w:pPr>
            <w:r w:rsidRPr="00FD3200">
              <w:rPr>
                <w:rFonts w:eastAsia="Times New Roman" w:cs="Calibri"/>
                <w:b/>
                <w:bCs/>
                <w:color w:val="000000"/>
                <w:sz w:val="20"/>
                <w:szCs w:val="20"/>
                <w:lang w:eastAsia="en-AU"/>
              </w:rPr>
              <w:t>Total net Landfill fac. (NEPM code N, T)</w:t>
            </w:r>
          </w:p>
        </w:tc>
        <w:tc>
          <w:tcPr>
            <w:tcW w:w="1039" w:type="dxa"/>
            <w:tcBorders>
              <w:top w:val="nil"/>
              <w:left w:val="nil"/>
              <w:bottom w:val="single" w:sz="4" w:space="0" w:color="BFBFBF"/>
              <w:right w:val="nil"/>
            </w:tcBorders>
            <w:shd w:val="clear" w:color="000000" w:fill="C5D9F1"/>
            <w:noWrap/>
            <w:hideMark/>
          </w:tcPr>
          <w:p w14:paraId="1D438FC4" w14:textId="398EC687" w:rsidR="00EE2A88" w:rsidRPr="00FD3200" w:rsidRDefault="00EE2A88" w:rsidP="00EE2A88">
            <w:pPr>
              <w:jc w:val="right"/>
              <w:rPr>
                <w:rFonts w:eastAsia="Times New Roman" w:cs="Calibri"/>
                <w:color w:val="000000"/>
                <w:sz w:val="20"/>
                <w:szCs w:val="20"/>
                <w:lang w:eastAsia="en-AU"/>
              </w:rPr>
            </w:pPr>
            <w:r>
              <w:rPr>
                <w:color w:val="000000"/>
                <w:sz w:val="20"/>
                <w:szCs w:val="20"/>
              </w:rPr>
              <w:t>649,123</w:t>
            </w:r>
          </w:p>
        </w:tc>
        <w:tc>
          <w:tcPr>
            <w:tcW w:w="963" w:type="dxa"/>
            <w:tcBorders>
              <w:top w:val="nil"/>
              <w:left w:val="nil"/>
              <w:bottom w:val="nil"/>
              <w:right w:val="nil"/>
            </w:tcBorders>
            <w:shd w:val="clear" w:color="000000" w:fill="F2F2F2"/>
            <w:noWrap/>
            <w:hideMark/>
          </w:tcPr>
          <w:p w14:paraId="43EF206E" w14:textId="3562F8EB" w:rsidR="00EE2A88" w:rsidRPr="00FD3200" w:rsidRDefault="00EE2A88" w:rsidP="00EE2A88">
            <w:pPr>
              <w:rPr>
                <w:rFonts w:eastAsia="Times New Roman" w:cs="Calibri"/>
                <w:color w:val="000000"/>
                <w:sz w:val="20"/>
                <w:szCs w:val="20"/>
                <w:lang w:eastAsia="en-AU"/>
              </w:rPr>
            </w:pPr>
            <w:r>
              <w:rPr>
                <w:color w:val="000000"/>
                <w:sz w:val="20"/>
                <w:szCs w:val="20"/>
              </w:rPr>
              <w:t> </w:t>
            </w:r>
          </w:p>
        </w:tc>
        <w:tc>
          <w:tcPr>
            <w:tcW w:w="1034" w:type="dxa"/>
            <w:tcBorders>
              <w:top w:val="nil"/>
              <w:left w:val="nil"/>
              <w:bottom w:val="nil"/>
              <w:right w:val="nil"/>
            </w:tcBorders>
            <w:shd w:val="clear" w:color="000000" w:fill="F2F2F2"/>
            <w:noWrap/>
            <w:hideMark/>
          </w:tcPr>
          <w:p w14:paraId="47BBE7B7" w14:textId="30F41AFA" w:rsidR="00EE2A88" w:rsidRPr="00FD3200" w:rsidRDefault="00EE2A88" w:rsidP="00EE2A88">
            <w:pPr>
              <w:rPr>
                <w:rFonts w:eastAsia="Times New Roman" w:cs="Calibri"/>
                <w:color w:val="000000"/>
                <w:sz w:val="20"/>
                <w:szCs w:val="20"/>
                <w:lang w:eastAsia="en-AU"/>
              </w:rPr>
            </w:pPr>
            <w:r>
              <w:rPr>
                <w:color w:val="000000"/>
                <w:sz w:val="20"/>
                <w:szCs w:val="20"/>
              </w:rPr>
              <w:t> </w:t>
            </w:r>
          </w:p>
        </w:tc>
        <w:tc>
          <w:tcPr>
            <w:tcW w:w="969" w:type="dxa"/>
            <w:tcBorders>
              <w:top w:val="nil"/>
              <w:left w:val="nil"/>
              <w:bottom w:val="nil"/>
              <w:right w:val="nil"/>
            </w:tcBorders>
            <w:shd w:val="clear" w:color="000000" w:fill="F2F2F2"/>
            <w:noWrap/>
            <w:hideMark/>
          </w:tcPr>
          <w:p w14:paraId="0EB52376" w14:textId="1FBBA6DD" w:rsidR="00EE2A88" w:rsidRPr="00FD3200" w:rsidRDefault="00EE2A88" w:rsidP="00EE2A88">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nil"/>
            </w:tcBorders>
            <w:shd w:val="clear" w:color="000000" w:fill="F2F2F2"/>
            <w:noWrap/>
            <w:hideMark/>
          </w:tcPr>
          <w:p w14:paraId="561E2063" w14:textId="7CFD2F0B" w:rsidR="00EE2A88" w:rsidRPr="00FD3200" w:rsidRDefault="00EE2A88" w:rsidP="00EE2A88">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nil"/>
            </w:tcBorders>
            <w:shd w:val="clear" w:color="000000" w:fill="F2F2F2"/>
            <w:noWrap/>
            <w:hideMark/>
          </w:tcPr>
          <w:p w14:paraId="5CCD4A7C" w14:textId="1802B322" w:rsidR="00EE2A88" w:rsidRPr="00FD3200" w:rsidRDefault="00EE2A88" w:rsidP="00EE2A88">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nil"/>
            </w:tcBorders>
            <w:shd w:val="clear" w:color="000000" w:fill="F2F2F2"/>
            <w:noWrap/>
            <w:hideMark/>
          </w:tcPr>
          <w:p w14:paraId="4AAF4CB1" w14:textId="3A9ED5D3" w:rsidR="00EE2A88" w:rsidRPr="00FD3200" w:rsidRDefault="00EE2A88" w:rsidP="00EE2A88">
            <w:pPr>
              <w:rPr>
                <w:rFonts w:eastAsia="Times New Roman" w:cs="Calibri"/>
                <w:color w:val="000000"/>
                <w:sz w:val="20"/>
                <w:szCs w:val="20"/>
                <w:lang w:eastAsia="en-AU"/>
              </w:rPr>
            </w:pPr>
            <w:r>
              <w:rPr>
                <w:color w:val="000000"/>
                <w:sz w:val="20"/>
                <w:szCs w:val="20"/>
              </w:rPr>
              <w:t> </w:t>
            </w:r>
          </w:p>
        </w:tc>
        <w:tc>
          <w:tcPr>
            <w:tcW w:w="5257" w:type="dxa"/>
            <w:tcBorders>
              <w:top w:val="nil"/>
              <w:left w:val="nil"/>
              <w:bottom w:val="nil"/>
              <w:right w:val="nil"/>
            </w:tcBorders>
            <w:shd w:val="clear" w:color="000000" w:fill="F2F2F2"/>
            <w:noWrap/>
            <w:hideMark/>
          </w:tcPr>
          <w:p w14:paraId="421DED61" w14:textId="77777777" w:rsidR="00EE2A88" w:rsidRPr="00FD3200" w:rsidRDefault="00EE2A88" w:rsidP="00EE2A88">
            <w:pPr>
              <w:rPr>
                <w:rFonts w:eastAsia="Times New Roman" w:cs="Calibri"/>
                <w:color w:val="000000"/>
                <w:sz w:val="20"/>
                <w:szCs w:val="20"/>
                <w:lang w:eastAsia="en-AU"/>
              </w:rPr>
            </w:pPr>
            <w:r w:rsidRPr="00FD3200">
              <w:rPr>
                <w:rFonts w:eastAsia="Times New Roman" w:cs="Calibri"/>
                <w:color w:val="000000"/>
                <w:sz w:val="20"/>
                <w:szCs w:val="20"/>
                <w:lang w:eastAsia="en-AU"/>
              </w:rPr>
              <w:t> </w:t>
            </w:r>
          </w:p>
        </w:tc>
      </w:tr>
      <w:tr w:rsidR="00EE2A88" w:rsidRPr="00FD3200" w14:paraId="1D982D42" w14:textId="77777777" w:rsidTr="00EF647C">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59329CAD" w14:textId="77777777" w:rsidR="00EE2A88" w:rsidRPr="00FD3200" w:rsidRDefault="00EE2A88" w:rsidP="00EE2A88">
            <w:pPr>
              <w:jc w:val="right"/>
              <w:rPr>
                <w:rFonts w:eastAsia="Times New Roman" w:cs="Calibri"/>
                <w:b/>
                <w:bCs/>
                <w:color w:val="000000"/>
                <w:sz w:val="20"/>
                <w:szCs w:val="20"/>
                <w:lang w:eastAsia="en-AU"/>
              </w:rPr>
            </w:pPr>
            <w:r w:rsidRPr="00FD3200">
              <w:rPr>
                <w:rFonts w:eastAsia="Times New Roman" w:cs="Calibri"/>
                <w:b/>
                <w:bCs/>
                <w:color w:val="000000"/>
                <w:sz w:val="20"/>
                <w:szCs w:val="20"/>
                <w:lang w:eastAsia="en-AU"/>
              </w:rPr>
              <w:t>NEPM 12-13 net imp./exp. (kt)</w:t>
            </w:r>
          </w:p>
        </w:tc>
        <w:tc>
          <w:tcPr>
            <w:tcW w:w="1039" w:type="dxa"/>
            <w:tcBorders>
              <w:top w:val="nil"/>
              <w:left w:val="nil"/>
              <w:bottom w:val="single" w:sz="4" w:space="0" w:color="BFBFBF"/>
              <w:right w:val="nil"/>
            </w:tcBorders>
            <w:shd w:val="clear" w:color="000000" w:fill="C5D9F1"/>
            <w:noWrap/>
            <w:hideMark/>
          </w:tcPr>
          <w:p w14:paraId="05B1905D" w14:textId="7A7DDB83" w:rsidR="00EE2A88" w:rsidRPr="00FD3200" w:rsidRDefault="00EE2A88" w:rsidP="00EE2A88">
            <w:pPr>
              <w:jc w:val="right"/>
              <w:rPr>
                <w:rFonts w:eastAsia="Times New Roman" w:cs="Calibri"/>
                <w:color w:val="000000"/>
                <w:sz w:val="20"/>
                <w:szCs w:val="20"/>
                <w:lang w:eastAsia="en-AU"/>
              </w:rPr>
            </w:pPr>
            <w:r>
              <w:rPr>
                <w:color w:val="000000"/>
                <w:sz w:val="20"/>
                <w:szCs w:val="20"/>
              </w:rPr>
              <w:t>35,623</w:t>
            </w:r>
          </w:p>
        </w:tc>
        <w:tc>
          <w:tcPr>
            <w:tcW w:w="963" w:type="dxa"/>
            <w:tcBorders>
              <w:top w:val="nil"/>
              <w:left w:val="nil"/>
              <w:bottom w:val="nil"/>
              <w:right w:val="nil"/>
            </w:tcBorders>
            <w:shd w:val="clear" w:color="000000" w:fill="F2F2F2"/>
            <w:noWrap/>
            <w:hideMark/>
          </w:tcPr>
          <w:p w14:paraId="07FBE866" w14:textId="495B24F4" w:rsidR="00EE2A88" w:rsidRPr="00FD3200" w:rsidRDefault="00EE2A88" w:rsidP="00EE2A88">
            <w:pPr>
              <w:rPr>
                <w:rFonts w:eastAsia="Times New Roman" w:cs="Calibri"/>
                <w:color w:val="000000"/>
                <w:sz w:val="20"/>
                <w:szCs w:val="20"/>
                <w:lang w:eastAsia="en-AU"/>
              </w:rPr>
            </w:pPr>
            <w:r>
              <w:rPr>
                <w:color w:val="000000"/>
                <w:sz w:val="20"/>
                <w:szCs w:val="20"/>
              </w:rPr>
              <w:t>(export)</w:t>
            </w:r>
          </w:p>
        </w:tc>
        <w:tc>
          <w:tcPr>
            <w:tcW w:w="1034" w:type="dxa"/>
            <w:tcBorders>
              <w:top w:val="nil"/>
              <w:left w:val="nil"/>
              <w:bottom w:val="nil"/>
              <w:right w:val="nil"/>
            </w:tcBorders>
            <w:shd w:val="clear" w:color="000000" w:fill="F2F2F2"/>
            <w:noWrap/>
            <w:hideMark/>
          </w:tcPr>
          <w:p w14:paraId="660F55C3" w14:textId="48A581ED" w:rsidR="00EE2A88" w:rsidRPr="00FD3200" w:rsidRDefault="00EE2A88" w:rsidP="00EE2A88">
            <w:pPr>
              <w:rPr>
                <w:rFonts w:eastAsia="Times New Roman" w:cs="Calibri"/>
                <w:color w:val="000000"/>
                <w:sz w:val="20"/>
                <w:szCs w:val="20"/>
                <w:lang w:eastAsia="en-AU"/>
              </w:rPr>
            </w:pPr>
            <w:r>
              <w:rPr>
                <w:color w:val="000000"/>
                <w:sz w:val="20"/>
                <w:szCs w:val="20"/>
              </w:rPr>
              <w:t> </w:t>
            </w:r>
          </w:p>
        </w:tc>
        <w:tc>
          <w:tcPr>
            <w:tcW w:w="969" w:type="dxa"/>
            <w:tcBorders>
              <w:top w:val="nil"/>
              <w:left w:val="nil"/>
              <w:bottom w:val="nil"/>
              <w:right w:val="nil"/>
            </w:tcBorders>
            <w:shd w:val="clear" w:color="000000" w:fill="F2F2F2"/>
            <w:noWrap/>
            <w:hideMark/>
          </w:tcPr>
          <w:p w14:paraId="755A0955" w14:textId="10764069" w:rsidR="00EE2A88" w:rsidRPr="00FD3200" w:rsidRDefault="00EE2A88" w:rsidP="00EE2A88">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nil"/>
            </w:tcBorders>
            <w:shd w:val="clear" w:color="000000" w:fill="F2F2F2"/>
            <w:noWrap/>
            <w:hideMark/>
          </w:tcPr>
          <w:p w14:paraId="1A24E683" w14:textId="2391B16C" w:rsidR="00EE2A88" w:rsidRPr="00FD3200" w:rsidRDefault="00EE2A88" w:rsidP="00EE2A88">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nil"/>
            </w:tcBorders>
            <w:shd w:val="clear" w:color="000000" w:fill="F2F2F2"/>
            <w:noWrap/>
            <w:hideMark/>
          </w:tcPr>
          <w:p w14:paraId="14ABE0F8" w14:textId="27503555" w:rsidR="00EE2A88" w:rsidRPr="00FD3200" w:rsidRDefault="00EE2A88" w:rsidP="00EE2A88">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nil"/>
            </w:tcBorders>
            <w:shd w:val="clear" w:color="000000" w:fill="F2F2F2"/>
            <w:noWrap/>
            <w:hideMark/>
          </w:tcPr>
          <w:p w14:paraId="20E25879" w14:textId="4B1AC117" w:rsidR="00EE2A88" w:rsidRPr="00FD3200" w:rsidRDefault="00EE2A88" w:rsidP="00EE2A88">
            <w:pPr>
              <w:rPr>
                <w:rFonts w:eastAsia="Times New Roman" w:cs="Calibri"/>
                <w:color w:val="000000"/>
                <w:sz w:val="20"/>
                <w:szCs w:val="20"/>
                <w:lang w:eastAsia="en-AU"/>
              </w:rPr>
            </w:pPr>
            <w:r>
              <w:rPr>
                <w:color w:val="000000"/>
                <w:sz w:val="20"/>
                <w:szCs w:val="20"/>
              </w:rPr>
              <w:t> </w:t>
            </w:r>
          </w:p>
        </w:tc>
        <w:tc>
          <w:tcPr>
            <w:tcW w:w="5257" w:type="dxa"/>
            <w:tcBorders>
              <w:top w:val="nil"/>
              <w:left w:val="nil"/>
              <w:bottom w:val="nil"/>
              <w:right w:val="nil"/>
            </w:tcBorders>
            <w:shd w:val="clear" w:color="000000" w:fill="F2F2F2"/>
            <w:noWrap/>
            <w:hideMark/>
          </w:tcPr>
          <w:p w14:paraId="2668CD49" w14:textId="77777777" w:rsidR="00EE2A88" w:rsidRPr="00FD3200" w:rsidRDefault="00EE2A88" w:rsidP="00EE2A88">
            <w:pPr>
              <w:rPr>
                <w:rFonts w:eastAsia="Times New Roman" w:cs="Calibri"/>
                <w:color w:val="000000"/>
                <w:sz w:val="20"/>
                <w:szCs w:val="20"/>
                <w:lang w:eastAsia="en-AU"/>
              </w:rPr>
            </w:pPr>
            <w:r w:rsidRPr="00FD3200">
              <w:rPr>
                <w:rFonts w:eastAsia="Times New Roman" w:cs="Calibri"/>
                <w:color w:val="000000"/>
                <w:sz w:val="20"/>
                <w:szCs w:val="20"/>
                <w:lang w:eastAsia="en-AU"/>
              </w:rPr>
              <w:t> </w:t>
            </w:r>
          </w:p>
        </w:tc>
      </w:tr>
    </w:tbl>
    <w:p w14:paraId="0D2938B1" w14:textId="0CCFD49B" w:rsidR="00FB5BB1" w:rsidRDefault="00FB5BB1" w:rsidP="00611DCF">
      <w:pPr>
        <w:pStyle w:val="BodyText"/>
      </w:pPr>
      <w:bookmarkStart w:id="421" w:name="_Toc425849346"/>
    </w:p>
    <w:p w14:paraId="1C1BEF04" w14:textId="76AD2279" w:rsidR="00E53115" w:rsidRDefault="00E53115" w:rsidP="00611DCF">
      <w:pPr>
        <w:pStyle w:val="BodyText"/>
      </w:pPr>
    </w:p>
    <w:p w14:paraId="6B107ABC" w14:textId="51A39C7E" w:rsidR="00E53115" w:rsidRDefault="00E53115" w:rsidP="00611DCF">
      <w:pPr>
        <w:pStyle w:val="BodyText"/>
      </w:pPr>
    </w:p>
    <w:p w14:paraId="0CB778ED" w14:textId="1AF84882" w:rsidR="00E53115" w:rsidRDefault="00E53115" w:rsidP="00611DCF">
      <w:pPr>
        <w:pStyle w:val="BodyText"/>
      </w:pPr>
    </w:p>
    <w:p w14:paraId="4202671D" w14:textId="77777777" w:rsidR="00E53115" w:rsidRDefault="00E53115" w:rsidP="00611DCF">
      <w:pPr>
        <w:pStyle w:val="BodyText"/>
      </w:pPr>
    </w:p>
    <w:p w14:paraId="7B9CBBC0" w14:textId="77EE68E7" w:rsidR="00B37084" w:rsidRPr="00100F0A" w:rsidRDefault="00B37084" w:rsidP="0095119F">
      <w:pPr>
        <w:pStyle w:val="Caption"/>
      </w:pPr>
      <w:bookmarkStart w:id="422" w:name="_Toc13225673"/>
      <w:r w:rsidRPr="00100F0A">
        <w:t xml:space="preserve">Table </w:t>
      </w:r>
      <w:r w:rsidR="00B404A6" w:rsidRPr="00100F0A">
        <w:rPr>
          <w:noProof/>
        </w:rPr>
        <w:fldChar w:fldCharType="begin"/>
      </w:r>
      <w:r w:rsidR="00B404A6" w:rsidRPr="00100F0A">
        <w:rPr>
          <w:noProof/>
        </w:rPr>
        <w:instrText xml:space="preserve"> SEQ Table \* ARABIC </w:instrText>
      </w:r>
      <w:r w:rsidR="00B404A6" w:rsidRPr="00100F0A">
        <w:rPr>
          <w:noProof/>
        </w:rPr>
        <w:fldChar w:fldCharType="separate"/>
      </w:r>
      <w:r w:rsidR="00EB634D">
        <w:rPr>
          <w:noProof/>
        </w:rPr>
        <w:t>54</w:t>
      </w:r>
      <w:r w:rsidR="00B404A6" w:rsidRPr="00100F0A">
        <w:rPr>
          <w:noProof/>
        </w:rPr>
        <w:fldChar w:fldCharType="end"/>
      </w:r>
      <w:r w:rsidR="00F142B1">
        <w:rPr>
          <w:noProof/>
        </w:rPr>
        <w:t>:</w:t>
      </w:r>
      <w:r w:rsidR="00D11FEE" w:rsidRPr="00100F0A">
        <w:tab/>
      </w:r>
      <w:r w:rsidRPr="00100F0A">
        <w:t>NT assessment of projected arisings vs infrastructure capacity</w:t>
      </w:r>
      <w:bookmarkEnd w:id="421"/>
      <w:bookmarkEnd w:id="422"/>
    </w:p>
    <w:tbl>
      <w:tblPr>
        <w:tblW w:w="14029" w:type="dxa"/>
        <w:tblLayout w:type="fixed"/>
        <w:tblLook w:val="04A0" w:firstRow="1" w:lastRow="0" w:firstColumn="1" w:lastColumn="0" w:noHBand="0" w:noVBand="1"/>
      </w:tblPr>
      <w:tblGrid>
        <w:gridCol w:w="2830"/>
        <w:gridCol w:w="870"/>
        <w:gridCol w:w="965"/>
        <w:gridCol w:w="1038"/>
        <w:gridCol w:w="972"/>
        <w:gridCol w:w="740"/>
        <w:gridCol w:w="740"/>
        <w:gridCol w:w="740"/>
        <w:gridCol w:w="5134"/>
      </w:tblGrid>
      <w:tr w:rsidR="008C1B89" w:rsidRPr="008C1B89" w14:paraId="09B1A7FB" w14:textId="77777777" w:rsidTr="008C1B89">
        <w:trPr>
          <w:trHeight w:val="765"/>
          <w:tblHeader/>
        </w:trPr>
        <w:tc>
          <w:tcPr>
            <w:tcW w:w="2830" w:type="dxa"/>
            <w:tcBorders>
              <w:top w:val="single" w:sz="4" w:space="0" w:color="BFBFBF"/>
              <w:left w:val="single" w:sz="4" w:space="0" w:color="BFBFBF"/>
              <w:bottom w:val="nil"/>
              <w:right w:val="nil"/>
            </w:tcBorders>
            <w:shd w:val="clear" w:color="000000" w:fill="C5D9F1"/>
            <w:vAlign w:val="center"/>
            <w:hideMark/>
          </w:tcPr>
          <w:p w14:paraId="24D3562B"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Infrastructure group</w:t>
            </w:r>
          </w:p>
        </w:tc>
        <w:tc>
          <w:tcPr>
            <w:tcW w:w="870" w:type="dxa"/>
            <w:tcBorders>
              <w:top w:val="single" w:sz="4" w:space="0" w:color="BFBFBF"/>
              <w:left w:val="single" w:sz="4" w:space="0" w:color="BFBFBF"/>
              <w:bottom w:val="nil"/>
              <w:right w:val="nil"/>
            </w:tcBorders>
            <w:shd w:val="clear" w:color="000000" w:fill="C5D9F1"/>
            <w:hideMark/>
          </w:tcPr>
          <w:p w14:paraId="5A9D73BB"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16-17 arisings</w:t>
            </w:r>
            <w:r w:rsidRPr="008C1B89">
              <w:rPr>
                <w:rFonts w:eastAsia="Times New Roman" w:cs="Calibri"/>
                <w:b/>
                <w:bCs/>
                <w:color w:val="000000"/>
                <w:sz w:val="20"/>
                <w:szCs w:val="20"/>
                <w:lang w:eastAsia="en-AU"/>
              </w:rPr>
              <w:br/>
              <w:t>(t/yr)</w:t>
            </w:r>
          </w:p>
        </w:tc>
        <w:tc>
          <w:tcPr>
            <w:tcW w:w="965" w:type="dxa"/>
            <w:tcBorders>
              <w:top w:val="single" w:sz="4" w:space="0" w:color="BFBFBF"/>
              <w:left w:val="nil"/>
              <w:bottom w:val="nil"/>
              <w:right w:val="nil"/>
            </w:tcBorders>
            <w:shd w:val="clear" w:color="000000" w:fill="C5D9F1"/>
            <w:hideMark/>
          </w:tcPr>
          <w:p w14:paraId="656DAB0B"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Installed capacity</w:t>
            </w:r>
            <w:r w:rsidRPr="008C1B89">
              <w:rPr>
                <w:rFonts w:eastAsia="Times New Roman" w:cs="Calibri"/>
                <w:b/>
                <w:bCs/>
                <w:color w:val="000000"/>
                <w:sz w:val="20"/>
                <w:szCs w:val="20"/>
                <w:lang w:eastAsia="en-AU"/>
              </w:rPr>
              <w:br/>
              <w:t>(t/yr)</w:t>
            </w:r>
          </w:p>
        </w:tc>
        <w:tc>
          <w:tcPr>
            <w:tcW w:w="1038" w:type="dxa"/>
            <w:tcBorders>
              <w:top w:val="single" w:sz="4" w:space="0" w:color="BFBFBF"/>
              <w:left w:val="nil"/>
              <w:bottom w:val="nil"/>
              <w:right w:val="nil"/>
            </w:tcBorders>
            <w:shd w:val="clear" w:color="000000" w:fill="C5D9F1"/>
            <w:hideMark/>
          </w:tcPr>
          <w:p w14:paraId="3B47A43B"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Expected capacity change</w:t>
            </w:r>
            <w:r w:rsidRPr="008C1B89">
              <w:rPr>
                <w:rFonts w:eastAsia="Times New Roman" w:cs="Calibri"/>
                <w:b/>
                <w:bCs/>
                <w:color w:val="000000"/>
                <w:sz w:val="20"/>
                <w:szCs w:val="20"/>
                <w:lang w:eastAsia="en-AU"/>
              </w:rPr>
              <w:br/>
              <w:t>(t/yr)</w:t>
            </w:r>
          </w:p>
        </w:tc>
        <w:tc>
          <w:tcPr>
            <w:tcW w:w="972" w:type="dxa"/>
            <w:tcBorders>
              <w:top w:val="single" w:sz="4" w:space="0" w:color="BFBFBF"/>
              <w:left w:val="nil"/>
              <w:bottom w:val="nil"/>
              <w:right w:val="single" w:sz="4" w:space="0" w:color="BFBFBF"/>
            </w:tcBorders>
            <w:shd w:val="clear" w:color="000000" w:fill="C5D9F1"/>
            <w:hideMark/>
          </w:tcPr>
          <w:p w14:paraId="4674401A"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Capacity data quality</w:t>
            </w:r>
            <w:r w:rsidRPr="008C1B89">
              <w:rPr>
                <w:rFonts w:eastAsia="Times New Roman" w:cs="Calibri"/>
                <w:b/>
                <w:bCs/>
                <w:color w:val="000000"/>
                <w:sz w:val="20"/>
                <w:szCs w:val="20"/>
                <w:lang w:eastAsia="en-AU"/>
              </w:rPr>
              <w:br/>
              <w:t>Good, ok, poor</w:t>
            </w:r>
          </w:p>
        </w:tc>
        <w:tc>
          <w:tcPr>
            <w:tcW w:w="2220" w:type="dxa"/>
            <w:gridSpan w:val="3"/>
            <w:tcBorders>
              <w:top w:val="single" w:sz="4" w:space="0" w:color="BFBFBF"/>
              <w:left w:val="nil"/>
              <w:bottom w:val="nil"/>
              <w:right w:val="single" w:sz="4" w:space="0" w:color="BFBFBF"/>
            </w:tcBorders>
            <w:shd w:val="clear" w:color="000000" w:fill="C5D9F1"/>
            <w:hideMark/>
          </w:tcPr>
          <w:p w14:paraId="74CC0906" w14:textId="340A0E74"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Est. year arisings &gt; capacity</w:t>
            </w:r>
            <w:r w:rsidRPr="008C1B89">
              <w:rPr>
                <w:rFonts w:eastAsia="Times New Roman" w:cs="Calibri"/>
                <w:b/>
                <w:bCs/>
                <w:color w:val="000000"/>
                <w:sz w:val="20"/>
                <w:szCs w:val="20"/>
                <w:lang w:eastAsia="en-AU"/>
              </w:rPr>
              <w:br/>
              <w:t xml:space="preserve">Best   </w:t>
            </w:r>
            <w:r>
              <w:rPr>
                <w:rFonts w:eastAsia="Times New Roman" w:cs="Calibri"/>
                <w:b/>
                <w:bCs/>
                <w:color w:val="000000"/>
                <w:sz w:val="20"/>
                <w:szCs w:val="20"/>
                <w:lang w:eastAsia="en-AU"/>
              </w:rPr>
              <w:t xml:space="preserve"> </w:t>
            </w:r>
            <w:r w:rsidRPr="008C1B89">
              <w:rPr>
                <w:rFonts w:eastAsia="Times New Roman" w:cs="Calibri"/>
                <w:b/>
                <w:bCs/>
                <w:color w:val="000000"/>
                <w:sz w:val="20"/>
                <w:szCs w:val="20"/>
                <w:lang w:eastAsia="en-AU"/>
              </w:rPr>
              <w:t xml:space="preserve">    High          Low</w:t>
            </w:r>
          </w:p>
        </w:tc>
        <w:tc>
          <w:tcPr>
            <w:tcW w:w="5134" w:type="dxa"/>
            <w:tcBorders>
              <w:top w:val="single" w:sz="4" w:space="0" w:color="BFBFBF"/>
              <w:left w:val="nil"/>
              <w:bottom w:val="nil"/>
              <w:right w:val="single" w:sz="4" w:space="0" w:color="BFBFBF"/>
            </w:tcBorders>
            <w:shd w:val="clear" w:color="000000" w:fill="C5D9F1"/>
            <w:hideMark/>
          </w:tcPr>
          <w:p w14:paraId="52831461"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Assessment discussion and recommendations</w:t>
            </w:r>
          </w:p>
        </w:tc>
      </w:tr>
      <w:tr w:rsidR="008C1B89" w:rsidRPr="008C1B89" w14:paraId="07B710EE" w14:textId="77777777" w:rsidTr="008C1B89">
        <w:trPr>
          <w:trHeight w:val="255"/>
        </w:trPr>
        <w:tc>
          <w:tcPr>
            <w:tcW w:w="2830" w:type="dxa"/>
            <w:tcBorders>
              <w:top w:val="single" w:sz="4" w:space="0" w:color="808080"/>
              <w:left w:val="single" w:sz="4" w:space="0" w:color="BFBFBF"/>
              <w:bottom w:val="single" w:sz="4" w:space="0" w:color="BFBFBF"/>
              <w:right w:val="nil"/>
            </w:tcBorders>
            <w:shd w:val="clear" w:color="000000" w:fill="C5D9F1"/>
            <w:noWrap/>
            <w:vAlign w:val="bottom"/>
            <w:hideMark/>
          </w:tcPr>
          <w:p w14:paraId="7F85FA62" w14:textId="77777777" w:rsidR="008C1B89" w:rsidRPr="008C1B89" w:rsidRDefault="008C1B89" w:rsidP="008C1B89">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Recycling and energy recovery</w:t>
            </w:r>
          </w:p>
        </w:tc>
        <w:tc>
          <w:tcPr>
            <w:tcW w:w="870" w:type="dxa"/>
            <w:tcBorders>
              <w:top w:val="single" w:sz="4" w:space="0" w:color="808080"/>
              <w:left w:val="nil"/>
              <w:bottom w:val="single" w:sz="4" w:space="0" w:color="BFBFBF"/>
              <w:right w:val="nil"/>
            </w:tcBorders>
            <w:shd w:val="clear" w:color="000000" w:fill="C5D9F1"/>
            <w:noWrap/>
            <w:vAlign w:val="bottom"/>
            <w:hideMark/>
          </w:tcPr>
          <w:p w14:paraId="51E37644" w14:textId="77777777" w:rsidR="008C1B89" w:rsidRPr="008C1B89" w:rsidRDefault="008C1B89" w:rsidP="008C1B89">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965" w:type="dxa"/>
            <w:tcBorders>
              <w:top w:val="single" w:sz="4" w:space="0" w:color="808080"/>
              <w:left w:val="nil"/>
              <w:bottom w:val="single" w:sz="4" w:space="0" w:color="BFBFBF"/>
              <w:right w:val="nil"/>
            </w:tcBorders>
            <w:shd w:val="clear" w:color="000000" w:fill="C5D9F1"/>
            <w:noWrap/>
            <w:vAlign w:val="bottom"/>
            <w:hideMark/>
          </w:tcPr>
          <w:p w14:paraId="1E3CE180" w14:textId="77777777" w:rsidR="008C1B89" w:rsidRPr="008C1B89" w:rsidRDefault="008C1B89" w:rsidP="008C1B89">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1038" w:type="dxa"/>
            <w:tcBorders>
              <w:top w:val="single" w:sz="4" w:space="0" w:color="808080"/>
              <w:left w:val="nil"/>
              <w:bottom w:val="single" w:sz="4" w:space="0" w:color="BFBFBF"/>
              <w:right w:val="nil"/>
            </w:tcBorders>
            <w:shd w:val="clear" w:color="000000" w:fill="C5D9F1"/>
            <w:noWrap/>
            <w:vAlign w:val="bottom"/>
            <w:hideMark/>
          </w:tcPr>
          <w:p w14:paraId="20A3BA54" w14:textId="77777777" w:rsidR="008C1B89" w:rsidRPr="008C1B89" w:rsidRDefault="008C1B89" w:rsidP="008C1B89">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972" w:type="dxa"/>
            <w:tcBorders>
              <w:top w:val="single" w:sz="4" w:space="0" w:color="808080"/>
              <w:left w:val="nil"/>
              <w:bottom w:val="single" w:sz="4" w:space="0" w:color="BFBFBF"/>
              <w:right w:val="nil"/>
            </w:tcBorders>
            <w:shd w:val="clear" w:color="000000" w:fill="C5D9F1"/>
            <w:noWrap/>
            <w:vAlign w:val="bottom"/>
            <w:hideMark/>
          </w:tcPr>
          <w:p w14:paraId="442FDF4A" w14:textId="77777777" w:rsidR="008C1B89" w:rsidRPr="008C1B89" w:rsidRDefault="008C1B89" w:rsidP="008C1B89">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740" w:type="dxa"/>
            <w:tcBorders>
              <w:top w:val="single" w:sz="4" w:space="0" w:color="808080"/>
              <w:left w:val="nil"/>
              <w:bottom w:val="single" w:sz="4" w:space="0" w:color="BFBFBF"/>
              <w:right w:val="nil"/>
            </w:tcBorders>
            <w:shd w:val="clear" w:color="000000" w:fill="C5D9F1"/>
            <w:noWrap/>
            <w:vAlign w:val="bottom"/>
            <w:hideMark/>
          </w:tcPr>
          <w:p w14:paraId="7B95EB40" w14:textId="77777777" w:rsidR="008C1B89" w:rsidRPr="008C1B89" w:rsidRDefault="008C1B89" w:rsidP="008C1B89">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740" w:type="dxa"/>
            <w:tcBorders>
              <w:top w:val="single" w:sz="4" w:space="0" w:color="808080"/>
              <w:left w:val="nil"/>
              <w:bottom w:val="single" w:sz="4" w:space="0" w:color="BFBFBF"/>
              <w:right w:val="nil"/>
            </w:tcBorders>
            <w:shd w:val="clear" w:color="000000" w:fill="C5D9F1"/>
            <w:noWrap/>
            <w:vAlign w:val="bottom"/>
            <w:hideMark/>
          </w:tcPr>
          <w:p w14:paraId="416F007E" w14:textId="77777777" w:rsidR="008C1B89" w:rsidRPr="008C1B89" w:rsidRDefault="008C1B89" w:rsidP="008C1B89">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740" w:type="dxa"/>
            <w:tcBorders>
              <w:top w:val="single" w:sz="4" w:space="0" w:color="808080"/>
              <w:left w:val="nil"/>
              <w:bottom w:val="single" w:sz="4" w:space="0" w:color="BFBFBF"/>
              <w:right w:val="single" w:sz="4" w:space="0" w:color="BFBFBF"/>
            </w:tcBorders>
            <w:shd w:val="clear" w:color="000000" w:fill="C5D9F1"/>
            <w:noWrap/>
            <w:vAlign w:val="bottom"/>
            <w:hideMark/>
          </w:tcPr>
          <w:p w14:paraId="5A72C08E" w14:textId="77777777" w:rsidR="008C1B89" w:rsidRPr="008C1B89" w:rsidRDefault="008C1B89" w:rsidP="008C1B89">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5134" w:type="dxa"/>
            <w:vMerge w:val="restart"/>
            <w:tcBorders>
              <w:top w:val="single" w:sz="4" w:space="0" w:color="808080"/>
              <w:left w:val="single" w:sz="4" w:space="0" w:color="BFBFBF"/>
              <w:bottom w:val="single" w:sz="4" w:space="0" w:color="BFBFBF"/>
              <w:right w:val="single" w:sz="4" w:space="0" w:color="BFBFBF"/>
            </w:tcBorders>
            <w:shd w:val="clear" w:color="000000" w:fill="FFFFFF"/>
            <w:hideMark/>
          </w:tcPr>
          <w:p w14:paraId="7F51FF2B" w14:textId="25F41471" w:rsidR="008C1B89" w:rsidRPr="008C1B89" w:rsidRDefault="00763475" w:rsidP="008C1B89">
            <w:pPr>
              <w:spacing w:after="240"/>
              <w:rPr>
                <w:rFonts w:eastAsia="Times New Roman" w:cs="Calibri"/>
                <w:color w:val="000000"/>
                <w:sz w:val="20"/>
                <w:szCs w:val="20"/>
                <w:lang w:eastAsia="en-AU"/>
              </w:rPr>
            </w:pPr>
            <w:r w:rsidRPr="00100F0A">
              <w:rPr>
                <w:rFonts w:asciiTheme="minorHAnsi" w:eastAsia="Times New Roman" w:hAnsiTheme="minorHAnsi" w:cstheme="minorHAnsi"/>
                <w:color w:val="000000"/>
                <w:sz w:val="20"/>
                <w:szCs w:val="20"/>
                <w:lang w:eastAsia="en-AU"/>
              </w:rPr>
              <w:t>This assessment is based on the national average (NSW, Vic, Qld, WA and SA) of waste management methods. This reduces accuracy and may result in arisings being mapped to infrastructure that does not exist in this jurisdiction.</w:t>
            </w:r>
            <w:r w:rsidRPr="00100F0A">
              <w:rPr>
                <w:rFonts w:asciiTheme="minorHAnsi" w:eastAsia="Times New Roman" w:hAnsiTheme="minorHAnsi" w:cstheme="minorHAnsi"/>
                <w:b/>
                <w:bCs/>
                <w:color w:val="000000"/>
                <w:sz w:val="20"/>
                <w:szCs w:val="20"/>
                <w:lang w:eastAsia="en-AU"/>
              </w:rPr>
              <w:br/>
            </w:r>
            <w:r w:rsidRPr="00100F0A">
              <w:rPr>
                <w:rFonts w:asciiTheme="minorHAnsi" w:eastAsia="Times New Roman" w:hAnsiTheme="minorHAnsi" w:cstheme="minorHAnsi"/>
                <w:b/>
                <w:bCs/>
                <w:color w:val="000000"/>
                <w:sz w:val="20"/>
                <w:szCs w:val="20"/>
                <w:lang w:eastAsia="en-AU"/>
              </w:rPr>
              <w:br/>
              <w:t>Recycling and energy recovery</w:t>
            </w:r>
            <w:r w:rsidRPr="00100F0A">
              <w:rPr>
                <w:rFonts w:asciiTheme="minorHAnsi" w:eastAsia="Times New Roman" w:hAnsiTheme="minorHAnsi" w:cstheme="minorHAnsi"/>
                <w:color w:val="000000"/>
                <w:sz w:val="20"/>
                <w:szCs w:val="20"/>
                <w:lang w:eastAsia="en-AU"/>
              </w:rPr>
              <w:br/>
              <w:t xml:space="preserve">- All recycling and energy recovery occurs interstate or at sites not covered or missing from the hazwaste infrastructure database. </w:t>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b/>
                <w:bCs/>
                <w:color w:val="000000"/>
                <w:sz w:val="20"/>
                <w:szCs w:val="20"/>
                <w:lang w:eastAsia="en-AU"/>
              </w:rPr>
              <w:t>Treatment</w:t>
            </w:r>
            <w:r w:rsidRPr="00100F0A">
              <w:rPr>
                <w:rFonts w:asciiTheme="minorHAnsi" w:eastAsia="Times New Roman" w:hAnsiTheme="minorHAnsi" w:cstheme="minorHAnsi"/>
                <w:color w:val="000000"/>
                <w:sz w:val="20"/>
                <w:szCs w:val="20"/>
                <w:lang w:eastAsia="en-AU"/>
              </w:rPr>
              <w:br/>
              <w:t>- All hazardous waste requiring treatment appear</w:t>
            </w:r>
            <w:r>
              <w:rPr>
                <w:rFonts w:asciiTheme="minorHAnsi" w:eastAsia="Times New Roman" w:hAnsiTheme="minorHAnsi" w:cstheme="minorHAnsi"/>
                <w:color w:val="000000"/>
                <w:sz w:val="20"/>
                <w:szCs w:val="20"/>
                <w:lang w:eastAsia="en-AU"/>
              </w:rPr>
              <w:t>s</w:t>
            </w:r>
            <w:r w:rsidRPr="00100F0A">
              <w:rPr>
                <w:rFonts w:asciiTheme="minorHAnsi" w:eastAsia="Times New Roman" w:hAnsiTheme="minorHAnsi" w:cstheme="minorHAnsi"/>
                <w:color w:val="000000"/>
                <w:sz w:val="20"/>
                <w:szCs w:val="20"/>
                <w:lang w:eastAsia="en-AU"/>
              </w:rPr>
              <w:t xml:space="preserve"> to be sent interstate for treatment, apart from clinical waste. </w:t>
            </w:r>
            <w:r w:rsidRPr="00100F0A">
              <w:rPr>
                <w:rFonts w:asciiTheme="minorHAnsi" w:eastAsia="Times New Roman" w:hAnsiTheme="minorHAnsi" w:cstheme="minorHAnsi"/>
                <w:color w:val="000000"/>
                <w:sz w:val="20"/>
                <w:szCs w:val="20"/>
                <w:lang w:eastAsia="en-AU"/>
              </w:rPr>
              <w:br/>
              <w:t>- Clinical waste treatment infrastructure capacity is likely to be sufficient under all scenarios.</w:t>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b/>
                <w:bCs/>
                <w:color w:val="000000"/>
                <w:sz w:val="20"/>
                <w:szCs w:val="20"/>
                <w:lang w:eastAsia="en-AU"/>
              </w:rPr>
              <w:t>Disposal (landfill and thermal destruction)</w:t>
            </w:r>
            <w:r w:rsidRPr="00100F0A">
              <w:rPr>
                <w:rFonts w:asciiTheme="minorHAnsi" w:eastAsia="Times New Roman" w:hAnsiTheme="minorHAnsi" w:cstheme="minorHAnsi"/>
                <w:color w:val="000000"/>
                <w:sz w:val="20"/>
                <w:szCs w:val="20"/>
                <w:lang w:eastAsia="en-AU"/>
              </w:rPr>
              <w:br/>
              <w:t xml:space="preserve">- Hazwaste landfill has sufficient annual disposal capacity over the projection </w:t>
            </w:r>
            <w:r w:rsidRPr="00977432">
              <w:rPr>
                <w:rFonts w:asciiTheme="minorHAnsi" w:eastAsia="Times New Roman" w:hAnsiTheme="minorHAnsi" w:cstheme="minorHAnsi"/>
                <w:color w:val="000000"/>
                <w:sz w:val="20"/>
                <w:szCs w:val="20"/>
                <w:lang w:eastAsia="en-AU"/>
              </w:rPr>
              <w:t xml:space="preserve">period. Note, this </w:t>
            </w:r>
            <w:r w:rsidRPr="00695292">
              <w:rPr>
                <w:rFonts w:asciiTheme="minorHAnsi" w:eastAsia="Times New Roman" w:hAnsiTheme="minorHAnsi" w:cstheme="minorHAnsi"/>
                <w:color w:val="000000"/>
                <w:sz w:val="20"/>
                <w:szCs w:val="20"/>
                <w:lang w:eastAsia="en-AU"/>
              </w:rPr>
              <w:t>does not mean</w:t>
            </w:r>
            <w:r w:rsidRPr="00977432">
              <w:rPr>
                <w:rFonts w:asciiTheme="minorHAnsi" w:eastAsia="Times New Roman" w:hAnsiTheme="minorHAnsi" w:cstheme="minorHAnsi"/>
                <w:color w:val="000000"/>
                <w:sz w:val="20"/>
                <w:szCs w:val="20"/>
                <w:lang w:eastAsia="en-AU"/>
              </w:rPr>
              <w:t xml:space="preserve"> that</w:t>
            </w:r>
            <w:r w:rsidRPr="00100F0A">
              <w:rPr>
                <w:rFonts w:asciiTheme="minorHAnsi" w:eastAsia="Times New Roman" w:hAnsiTheme="minorHAnsi" w:cstheme="minorHAnsi"/>
                <w:color w:val="000000"/>
                <w:sz w:val="20"/>
                <w:szCs w:val="20"/>
                <w:lang w:eastAsia="en-AU"/>
              </w:rPr>
              <w:t xml:space="preserve"> the landfill has over 20 years life remaining, see note 2. </w:t>
            </w:r>
            <w:r w:rsidRPr="00100F0A">
              <w:rPr>
                <w:rFonts w:asciiTheme="minorHAnsi" w:eastAsia="Times New Roman" w:hAnsiTheme="minorHAnsi" w:cstheme="minorHAnsi"/>
                <w:color w:val="000000"/>
                <w:sz w:val="20"/>
                <w:szCs w:val="20"/>
                <w:lang w:eastAsia="en-AU"/>
              </w:rPr>
              <w:br/>
              <w:t xml:space="preserve">- </w:t>
            </w:r>
            <w:r>
              <w:rPr>
                <w:rFonts w:asciiTheme="minorHAnsi" w:eastAsia="Times New Roman" w:hAnsiTheme="minorHAnsi" w:cstheme="minorHAnsi"/>
                <w:color w:val="000000"/>
                <w:sz w:val="20"/>
                <w:szCs w:val="20"/>
                <w:lang w:eastAsia="en-AU"/>
              </w:rPr>
              <w:t>POP</w:t>
            </w:r>
            <w:r w:rsidRPr="00100F0A">
              <w:rPr>
                <w:rFonts w:asciiTheme="minorHAnsi" w:eastAsia="Times New Roman" w:hAnsiTheme="minorHAnsi" w:cstheme="minorHAnsi"/>
                <w:color w:val="000000"/>
                <w:sz w:val="20"/>
                <w:szCs w:val="20"/>
                <w:lang w:eastAsia="en-AU"/>
              </w:rPr>
              <w:t xml:space="preserve"> (PFOS, BDEs, HBCD, HCB) will be sent interstate for thermal destruction where required.</w:t>
            </w:r>
            <w:r w:rsidRPr="00100F0A">
              <w:rPr>
                <w:rFonts w:asciiTheme="minorHAnsi" w:eastAsia="Times New Roman" w:hAnsiTheme="minorHAnsi" w:cstheme="minorHAnsi"/>
                <w:color w:val="000000"/>
                <w:sz w:val="20"/>
                <w:szCs w:val="20"/>
                <w:lang w:eastAsia="en-AU"/>
              </w:rPr>
              <w:br/>
              <w:t xml:space="preserve">- Clinical waste </w:t>
            </w:r>
            <w:r>
              <w:rPr>
                <w:rFonts w:asciiTheme="minorHAnsi" w:eastAsia="Times New Roman" w:hAnsiTheme="minorHAnsi" w:cstheme="minorHAnsi"/>
                <w:color w:val="000000"/>
                <w:sz w:val="20"/>
                <w:szCs w:val="20"/>
                <w:lang w:eastAsia="en-AU"/>
              </w:rPr>
              <w:t>is</w:t>
            </w:r>
            <w:r w:rsidRPr="00100F0A">
              <w:rPr>
                <w:rFonts w:asciiTheme="minorHAnsi" w:eastAsia="Times New Roman" w:hAnsiTheme="minorHAnsi" w:cstheme="minorHAnsi"/>
                <w:color w:val="000000"/>
                <w:sz w:val="20"/>
                <w:szCs w:val="20"/>
                <w:lang w:eastAsia="en-AU"/>
              </w:rPr>
              <w:t xml:space="preserve"> sent interstate for destruction where required.</w:t>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b/>
                <w:bCs/>
                <w:color w:val="000000"/>
                <w:sz w:val="20"/>
                <w:szCs w:val="20"/>
                <w:lang w:eastAsia="en-AU"/>
              </w:rPr>
              <w:t>Transfer station or temporary storage</w:t>
            </w:r>
            <w:r w:rsidRPr="00100F0A">
              <w:rPr>
                <w:rFonts w:asciiTheme="minorHAnsi" w:eastAsia="Times New Roman" w:hAnsiTheme="minorHAnsi" w:cstheme="minorHAnsi"/>
                <w:color w:val="000000"/>
                <w:sz w:val="20"/>
                <w:szCs w:val="20"/>
                <w:lang w:eastAsia="en-AU"/>
              </w:rPr>
              <w:br/>
              <w:t>- Capacity is likely to be sufficient under all scenarios.</w:t>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color w:val="000000"/>
                <w:sz w:val="20"/>
                <w:szCs w:val="20"/>
                <w:lang w:eastAsia="en-AU"/>
              </w:rPr>
              <w:br/>
              <w:t>The</w:t>
            </w:r>
            <w:r w:rsidRPr="00977432">
              <w:rPr>
                <w:rFonts w:asciiTheme="minorHAnsi" w:eastAsia="Times New Roman" w:hAnsiTheme="minorHAnsi" w:cstheme="minorHAnsi"/>
                <w:color w:val="000000"/>
                <w:sz w:val="20"/>
                <w:szCs w:val="20"/>
                <w:lang w:eastAsia="en-AU"/>
              </w:rPr>
              <w:t xml:space="preserve"> </w:t>
            </w:r>
            <w:r>
              <w:rPr>
                <w:rFonts w:asciiTheme="minorHAnsi" w:eastAsia="Times New Roman" w:hAnsiTheme="minorHAnsi" w:cstheme="minorHAnsi"/>
                <w:bCs/>
                <w:color w:val="000000"/>
                <w:sz w:val="20"/>
                <w:szCs w:val="20"/>
                <w:lang w:eastAsia="en-AU"/>
              </w:rPr>
              <w:t>l</w:t>
            </w:r>
            <w:r w:rsidRPr="00695292">
              <w:rPr>
                <w:rFonts w:asciiTheme="minorHAnsi" w:eastAsia="Times New Roman" w:hAnsiTheme="minorHAnsi" w:cstheme="minorHAnsi"/>
                <w:bCs/>
                <w:color w:val="000000"/>
                <w:sz w:val="20"/>
                <w:szCs w:val="20"/>
                <w:lang w:eastAsia="en-AU"/>
              </w:rPr>
              <w:t xml:space="preserve">ong-term isolation facility </w:t>
            </w:r>
            <w:r w:rsidRPr="00100F0A">
              <w:rPr>
                <w:rFonts w:asciiTheme="minorHAnsi" w:eastAsia="Times New Roman" w:hAnsiTheme="minorHAnsi" w:cstheme="minorHAnsi"/>
                <w:color w:val="000000"/>
                <w:sz w:val="20"/>
                <w:szCs w:val="20"/>
                <w:lang w:eastAsia="en-AU"/>
              </w:rPr>
              <w:t>that is planned for NT would provide a significant amount of additional capacity for NT and would also likely result in some hazardous waste being imported to NT in future.</w:t>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b/>
                <w:bCs/>
                <w:color w:val="000000"/>
                <w:sz w:val="20"/>
                <w:szCs w:val="20"/>
                <w:lang w:eastAsia="en-AU"/>
              </w:rPr>
              <w:t>NEPM 2016-17 data</w:t>
            </w:r>
            <w:r w:rsidRPr="00100F0A">
              <w:rPr>
                <w:rFonts w:asciiTheme="minorHAnsi" w:eastAsia="Times New Roman" w:hAnsiTheme="minorHAnsi" w:cstheme="minorHAnsi"/>
                <w:color w:val="000000"/>
                <w:sz w:val="20"/>
                <w:szCs w:val="20"/>
                <w:lang w:eastAsia="en-AU"/>
              </w:rPr>
              <w:t xml:space="preserve"> indicates that around 7 kt (of the estimated 12 kt of arisings in 2018, net of </w:t>
            </w:r>
            <w:r>
              <w:rPr>
                <w:rFonts w:asciiTheme="minorHAnsi" w:eastAsia="Times New Roman" w:hAnsiTheme="minorHAnsi" w:cstheme="minorHAnsi"/>
                <w:color w:val="000000"/>
                <w:sz w:val="20"/>
                <w:szCs w:val="20"/>
                <w:lang w:eastAsia="en-AU"/>
              </w:rPr>
              <w:t>l</w:t>
            </w:r>
            <w:r w:rsidRPr="00100F0A">
              <w:rPr>
                <w:rFonts w:asciiTheme="minorHAnsi" w:eastAsia="Times New Roman" w:hAnsiTheme="minorHAnsi" w:cstheme="minorHAnsi"/>
                <w:color w:val="000000"/>
                <w:sz w:val="20"/>
                <w:szCs w:val="20"/>
                <w:lang w:eastAsia="en-AU"/>
              </w:rPr>
              <w:t>andfill NEPM N,T wastes) is exported to other jurisdictions and NT imports no hazardous waste. This suggests that some of the remaining 5 kt of estimated waste arisings are managed by sites not covered/missing from the hazwaste infrastructure database or are sent to landfill in NT.</w:t>
            </w:r>
          </w:p>
        </w:tc>
      </w:tr>
      <w:tr w:rsidR="00F42A40" w:rsidRPr="008C1B89" w14:paraId="73D9D375"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15113B21"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Hazardous waste packaging facility</w:t>
            </w:r>
          </w:p>
        </w:tc>
        <w:tc>
          <w:tcPr>
            <w:tcW w:w="870" w:type="dxa"/>
            <w:tcBorders>
              <w:top w:val="nil"/>
              <w:left w:val="nil"/>
              <w:bottom w:val="single" w:sz="4" w:space="0" w:color="BFBFBF"/>
              <w:right w:val="single" w:sz="4" w:space="0" w:color="BFBFBF"/>
            </w:tcBorders>
            <w:shd w:val="clear" w:color="000000" w:fill="FFFFFF"/>
            <w:noWrap/>
            <w:hideMark/>
          </w:tcPr>
          <w:p w14:paraId="51160B19" w14:textId="0A0DDC9B" w:rsidR="00F42A40" w:rsidRPr="008C1B89" w:rsidRDefault="00F42A40" w:rsidP="00F42A40">
            <w:pPr>
              <w:jc w:val="right"/>
              <w:rPr>
                <w:rFonts w:eastAsia="Times New Roman" w:cs="Calibri"/>
                <w:color w:val="000000"/>
                <w:sz w:val="20"/>
                <w:szCs w:val="20"/>
                <w:lang w:eastAsia="en-AU"/>
              </w:rPr>
            </w:pPr>
            <w:r>
              <w:rPr>
                <w:color w:val="000000"/>
                <w:sz w:val="20"/>
                <w:szCs w:val="20"/>
              </w:rPr>
              <w:t>25</w:t>
            </w:r>
          </w:p>
        </w:tc>
        <w:tc>
          <w:tcPr>
            <w:tcW w:w="965" w:type="dxa"/>
            <w:tcBorders>
              <w:top w:val="nil"/>
              <w:left w:val="nil"/>
              <w:right w:val="single" w:sz="4" w:space="0" w:color="BFBFBF"/>
            </w:tcBorders>
            <w:shd w:val="clear" w:color="auto" w:fill="auto"/>
            <w:noWrap/>
            <w:vAlign w:val="center"/>
            <w:hideMark/>
          </w:tcPr>
          <w:p w14:paraId="55B49B11" w14:textId="686657C0"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38" w:type="dxa"/>
            <w:tcBorders>
              <w:top w:val="nil"/>
              <w:left w:val="nil"/>
              <w:right w:val="single" w:sz="4" w:space="0" w:color="BFBFBF"/>
            </w:tcBorders>
            <w:shd w:val="clear" w:color="auto" w:fill="auto"/>
            <w:noWrap/>
            <w:vAlign w:val="center"/>
            <w:hideMark/>
          </w:tcPr>
          <w:p w14:paraId="0CADC4FA" w14:textId="394150C5"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72" w:type="dxa"/>
            <w:tcBorders>
              <w:top w:val="nil"/>
              <w:left w:val="nil"/>
              <w:bottom w:val="single" w:sz="4" w:space="0" w:color="BFBFBF"/>
              <w:right w:val="single" w:sz="4" w:space="0" w:color="BFBFBF"/>
            </w:tcBorders>
            <w:shd w:val="clear" w:color="auto" w:fill="auto"/>
            <w:noWrap/>
            <w:hideMark/>
          </w:tcPr>
          <w:p w14:paraId="016A7095" w14:textId="59509833"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B6DBBB9" w14:textId="03EBB1F3"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BC79FDE" w14:textId="04166D74"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44CF02C" w14:textId="6B71BB21"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34" w:type="dxa"/>
            <w:vMerge/>
            <w:tcBorders>
              <w:top w:val="single" w:sz="4" w:space="0" w:color="808080"/>
              <w:left w:val="single" w:sz="4" w:space="0" w:color="BFBFBF"/>
              <w:bottom w:val="single" w:sz="4" w:space="0" w:color="BFBFBF"/>
              <w:right w:val="single" w:sz="4" w:space="0" w:color="BFBFBF"/>
            </w:tcBorders>
            <w:vAlign w:val="center"/>
            <w:hideMark/>
          </w:tcPr>
          <w:p w14:paraId="76A6B0CE" w14:textId="77777777" w:rsidR="00F42A40" w:rsidRPr="008C1B89" w:rsidRDefault="00F42A40" w:rsidP="00F42A40">
            <w:pPr>
              <w:rPr>
                <w:rFonts w:eastAsia="Times New Roman" w:cs="Calibri"/>
                <w:color w:val="000000"/>
                <w:sz w:val="20"/>
                <w:szCs w:val="20"/>
                <w:lang w:eastAsia="en-AU"/>
              </w:rPr>
            </w:pPr>
          </w:p>
        </w:tc>
      </w:tr>
      <w:tr w:rsidR="00F42A40" w:rsidRPr="008C1B89" w14:paraId="540662FF"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6921CD4"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E-waste facility</w:t>
            </w:r>
          </w:p>
        </w:tc>
        <w:tc>
          <w:tcPr>
            <w:tcW w:w="870" w:type="dxa"/>
            <w:tcBorders>
              <w:top w:val="nil"/>
              <w:left w:val="nil"/>
              <w:bottom w:val="single" w:sz="4" w:space="0" w:color="BFBFBF"/>
              <w:right w:val="single" w:sz="4" w:space="0" w:color="BFBFBF"/>
            </w:tcBorders>
            <w:shd w:val="clear" w:color="000000" w:fill="FFFFFF"/>
            <w:noWrap/>
            <w:hideMark/>
          </w:tcPr>
          <w:p w14:paraId="2E68A518" w14:textId="0524BF7A" w:rsidR="00F42A40" w:rsidRPr="008C1B89" w:rsidRDefault="00F42A40" w:rsidP="00F42A40">
            <w:pPr>
              <w:jc w:val="right"/>
              <w:rPr>
                <w:rFonts w:eastAsia="Times New Roman" w:cs="Calibri"/>
                <w:color w:val="000000"/>
                <w:sz w:val="20"/>
                <w:szCs w:val="20"/>
                <w:lang w:eastAsia="en-AU"/>
              </w:rPr>
            </w:pPr>
            <w:r>
              <w:rPr>
                <w:color w:val="000000"/>
                <w:sz w:val="20"/>
                <w:szCs w:val="20"/>
              </w:rPr>
              <w:t>39</w:t>
            </w:r>
          </w:p>
        </w:tc>
        <w:tc>
          <w:tcPr>
            <w:tcW w:w="965" w:type="dxa"/>
            <w:tcBorders>
              <w:left w:val="nil"/>
              <w:right w:val="single" w:sz="4" w:space="0" w:color="BFBFBF"/>
            </w:tcBorders>
            <w:shd w:val="clear" w:color="auto" w:fill="auto"/>
            <w:noWrap/>
            <w:vAlign w:val="center"/>
            <w:hideMark/>
          </w:tcPr>
          <w:p w14:paraId="7F924668" w14:textId="19C45E40" w:rsidR="00F42A40" w:rsidRPr="008C1B89" w:rsidRDefault="00F42A40" w:rsidP="009D734D">
            <w:pPr>
              <w:jc w:val="center"/>
              <w:rPr>
                <w:rFonts w:eastAsia="Times New Roman" w:cs="Calibri"/>
                <w:color w:val="000000"/>
                <w:sz w:val="20"/>
                <w:szCs w:val="20"/>
                <w:lang w:eastAsia="en-AU"/>
              </w:rPr>
            </w:pPr>
          </w:p>
        </w:tc>
        <w:tc>
          <w:tcPr>
            <w:tcW w:w="1038" w:type="dxa"/>
            <w:tcBorders>
              <w:left w:val="nil"/>
              <w:right w:val="single" w:sz="4" w:space="0" w:color="BFBFBF"/>
            </w:tcBorders>
            <w:shd w:val="clear" w:color="auto" w:fill="auto"/>
            <w:noWrap/>
            <w:vAlign w:val="center"/>
            <w:hideMark/>
          </w:tcPr>
          <w:p w14:paraId="29A408EE" w14:textId="1D607812" w:rsidR="00F42A40" w:rsidRPr="008C1B89" w:rsidRDefault="00F42A40" w:rsidP="009D734D">
            <w:pPr>
              <w:jc w:val="center"/>
              <w:rPr>
                <w:rFonts w:eastAsia="Times New Roman" w:cs="Calibri"/>
                <w:color w:val="000000"/>
                <w:sz w:val="20"/>
                <w:szCs w:val="20"/>
                <w:lang w:eastAsia="en-AU"/>
              </w:rPr>
            </w:pPr>
          </w:p>
        </w:tc>
        <w:tc>
          <w:tcPr>
            <w:tcW w:w="972" w:type="dxa"/>
            <w:tcBorders>
              <w:top w:val="nil"/>
              <w:left w:val="nil"/>
              <w:bottom w:val="single" w:sz="4" w:space="0" w:color="BFBFBF"/>
              <w:right w:val="single" w:sz="4" w:space="0" w:color="BFBFBF"/>
            </w:tcBorders>
            <w:shd w:val="clear" w:color="auto" w:fill="auto"/>
            <w:noWrap/>
            <w:hideMark/>
          </w:tcPr>
          <w:p w14:paraId="14F763C3" w14:textId="49585834"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71BAE663" w14:textId="790DA6D6"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A2546CC" w14:textId="1BC6536F"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7319CA10" w14:textId="227B8E2F"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34" w:type="dxa"/>
            <w:vMerge/>
            <w:tcBorders>
              <w:top w:val="single" w:sz="4" w:space="0" w:color="808080"/>
              <w:left w:val="single" w:sz="4" w:space="0" w:color="BFBFBF"/>
              <w:bottom w:val="single" w:sz="4" w:space="0" w:color="BFBFBF"/>
              <w:right w:val="single" w:sz="4" w:space="0" w:color="BFBFBF"/>
            </w:tcBorders>
            <w:vAlign w:val="center"/>
            <w:hideMark/>
          </w:tcPr>
          <w:p w14:paraId="3F69AC5E" w14:textId="77777777" w:rsidR="00F42A40" w:rsidRPr="008C1B89" w:rsidRDefault="00F42A40" w:rsidP="00F42A40">
            <w:pPr>
              <w:rPr>
                <w:rFonts w:eastAsia="Times New Roman" w:cs="Calibri"/>
                <w:color w:val="000000"/>
                <w:sz w:val="20"/>
                <w:szCs w:val="20"/>
                <w:lang w:eastAsia="en-AU"/>
              </w:rPr>
            </w:pPr>
          </w:p>
        </w:tc>
      </w:tr>
      <w:tr w:rsidR="00F42A40" w:rsidRPr="008C1B89" w14:paraId="04ED0406"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1410AA1B"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Oil re-refining facility</w:t>
            </w:r>
          </w:p>
        </w:tc>
        <w:tc>
          <w:tcPr>
            <w:tcW w:w="870" w:type="dxa"/>
            <w:tcBorders>
              <w:top w:val="nil"/>
              <w:left w:val="nil"/>
              <w:bottom w:val="single" w:sz="4" w:space="0" w:color="BFBFBF"/>
              <w:right w:val="single" w:sz="4" w:space="0" w:color="BFBFBF"/>
            </w:tcBorders>
            <w:shd w:val="clear" w:color="000000" w:fill="FFFFFF"/>
            <w:noWrap/>
            <w:hideMark/>
          </w:tcPr>
          <w:p w14:paraId="5E5A7CA3" w14:textId="790A7823" w:rsidR="00F42A40" w:rsidRPr="008C1B89" w:rsidRDefault="00F42A40" w:rsidP="00F42A40">
            <w:pPr>
              <w:jc w:val="right"/>
              <w:rPr>
                <w:rFonts w:eastAsia="Times New Roman" w:cs="Calibri"/>
                <w:color w:val="000000"/>
                <w:sz w:val="20"/>
                <w:szCs w:val="20"/>
                <w:lang w:eastAsia="en-AU"/>
              </w:rPr>
            </w:pPr>
            <w:r>
              <w:rPr>
                <w:color w:val="000000"/>
                <w:sz w:val="20"/>
                <w:szCs w:val="20"/>
              </w:rPr>
              <w:t>1,603</w:t>
            </w:r>
          </w:p>
        </w:tc>
        <w:tc>
          <w:tcPr>
            <w:tcW w:w="965" w:type="dxa"/>
            <w:tcBorders>
              <w:left w:val="nil"/>
              <w:right w:val="single" w:sz="4" w:space="0" w:color="BFBFBF"/>
            </w:tcBorders>
            <w:shd w:val="clear" w:color="auto" w:fill="auto"/>
            <w:noWrap/>
            <w:vAlign w:val="center"/>
            <w:hideMark/>
          </w:tcPr>
          <w:p w14:paraId="506C6735" w14:textId="18EB1492" w:rsidR="00F42A40" w:rsidRPr="008C1B89" w:rsidRDefault="00F42A40" w:rsidP="009D734D">
            <w:pPr>
              <w:jc w:val="center"/>
              <w:rPr>
                <w:rFonts w:eastAsia="Times New Roman" w:cs="Calibri"/>
                <w:color w:val="000000"/>
                <w:sz w:val="20"/>
                <w:szCs w:val="20"/>
                <w:lang w:eastAsia="en-AU"/>
              </w:rPr>
            </w:pPr>
          </w:p>
        </w:tc>
        <w:tc>
          <w:tcPr>
            <w:tcW w:w="1038" w:type="dxa"/>
            <w:tcBorders>
              <w:left w:val="nil"/>
              <w:right w:val="single" w:sz="4" w:space="0" w:color="BFBFBF"/>
            </w:tcBorders>
            <w:shd w:val="clear" w:color="auto" w:fill="auto"/>
            <w:noWrap/>
            <w:vAlign w:val="center"/>
            <w:hideMark/>
          </w:tcPr>
          <w:p w14:paraId="69C04EF8" w14:textId="0D80EA34" w:rsidR="00F42A40" w:rsidRPr="008C1B89" w:rsidRDefault="00F42A40" w:rsidP="009D734D">
            <w:pPr>
              <w:jc w:val="center"/>
              <w:rPr>
                <w:rFonts w:eastAsia="Times New Roman" w:cs="Calibri"/>
                <w:color w:val="000000"/>
                <w:sz w:val="20"/>
                <w:szCs w:val="20"/>
                <w:lang w:eastAsia="en-AU"/>
              </w:rPr>
            </w:pPr>
          </w:p>
        </w:tc>
        <w:tc>
          <w:tcPr>
            <w:tcW w:w="972" w:type="dxa"/>
            <w:tcBorders>
              <w:top w:val="nil"/>
              <w:left w:val="nil"/>
              <w:bottom w:val="single" w:sz="4" w:space="0" w:color="BFBFBF"/>
              <w:right w:val="single" w:sz="4" w:space="0" w:color="BFBFBF"/>
            </w:tcBorders>
            <w:shd w:val="clear" w:color="auto" w:fill="auto"/>
            <w:noWrap/>
            <w:hideMark/>
          </w:tcPr>
          <w:p w14:paraId="11A25D75" w14:textId="3041BA8A"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1CE8116C" w14:textId="649E16F9"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0DF10D64" w14:textId="1FE43C4E"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739B6ECC" w14:textId="11EA3AC1"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34" w:type="dxa"/>
            <w:vMerge/>
            <w:tcBorders>
              <w:top w:val="single" w:sz="4" w:space="0" w:color="808080"/>
              <w:left w:val="single" w:sz="4" w:space="0" w:color="BFBFBF"/>
              <w:bottom w:val="single" w:sz="4" w:space="0" w:color="BFBFBF"/>
              <w:right w:val="single" w:sz="4" w:space="0" w:color="BFBFBF"/>
            </w:tcBorders>
            <w:vAlign w:val="center"/>
            <w:hideMark/>
          </w:tcPr>
          <w:p w14:paraId="2CF66E2A" w14:textId="77777777" w:rsidR="00F42A40" w:rsidRPr="008C1B89" w:rsidRDefault="00F42A40" w:rsidP="00F42A40">
            <w:pPr>
              <w:rPr>
                <w:rFonts w:eastAsia="Times New Roman" w:cs="Calibri"/>
                <w:color w:val="000000"/>
                <w:sz w:val="20"/>
                <w:szCs w:val="20"/>
                <w:lang w:eastAsia="en-AU"/>
              </w:rPr>
            </w:pPr>
          </w:p>
        </w:tc>
      </w:tr>
      <w:tr w:rsidR="00F42A40" w:rsidRPr="008C1B89" w14:paraId="3EAD0D33"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13C00797"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Lead facility</w:t>
            </w:r>
          </w:p>
        </w:tc>
        <w:tc>
          <w:tcPr>
            <w:tcW w:w="870" w:type="dxa"/>
            <w:tcBorders>
              <w:top w:val="nil"/>
              <w:left w:val="nil"/>
              <w:bottom w:val="single" w:sz="4" w:space="0" w:color="BFBFBF"/>
              <w:right w:val="single" w:sz="4" w:space="0" w:color="BFBFBF"/>
            </w:tcBorders>
            <w:shd w:val="clear" w:color="000000" w:fill="FFFFFF"/>
            <w:noWrap/>
            <w:hideMark/>
          </w:tcPr>
          <w:p w14:paraId="48EFE22E" w14:textId="61DCBD5A" w:rsidR="00F42A40" w:rsidRPr="008C1B89" w:rsidRDefault="00F42A40" w:rsidP="00F42A40">
            <w:pPr>
              <w:jc w:val="right"/>
              <w:rPr>
                <w:rFonts w:eastAsia="Times New Roman" w:cs="Calibri"/>
                <w:color w:val="000000"/>
                <w:sz w:val="20"/>
                <w:szCs w:val="20"/>
                <w:lang w:eastAsia="en-AU"/>
              </w:rPr>
            </w:pPr>
            <w:r>
              <w:rPr>
                <w:color w:val="000000"/>
                <w:sz w:val="20"/>
                <w:szCs w:val="20"/>
              </w:rPr>
              <w:t>0</w:t>
            </w:r>
          </w:p>
        </w:tc>
        <w:tc>
          <w:tcPr>
            <w:tcW w:w="965" w:type="dxa"/>
            <w:tcBorders>
              <w:left w:val="nil"/>
              <w:right w:val="single" w:sz="4" w:space="0" w:color="BFBFBF"/>
            </w:tcBorders>
            <w:shd w:val="clear" w:color="auto" w:fill="auto"/>
            <w:noWrap/>
            <w:vAlign w:val="center"/>
            <w:hideMark/>
          </w:tcPr>
          <w:p w14:paraId="35C4CCA3" w14:textId="25A5731B" w:rsidR="00F42A40" w:rsidRPr="008C1B89" w:rsidRDefault="00F42A40" w:rsidP="009D734D">
            <w:pPr>
              <w:jc w:val="center"/>
              <w:rPr>
                <w:rFonts w:eastAsia="Times New Roman" w:cs="Calibri"/>
                <w:color w:val="000000"/>
                <w:sz w:val="20"/>
                <w:szCs w:val="20"/>
                <w:lang w:eastAsia="en-AU"/>
              </w:rPr>
            </w:pPr>
          </w:p>
        </w:tc>
        <w:tc>
          <w:tcPr>
            <w:tcW w:w="1038" w:type="dxa"/>
            <w:tcBorders>
              <w:left w:val="nil"/>
              <w:right w:val="single" w:sz="4" w:space="0" w:color="BFBFBF"/>
            </w:tcBorders>
            <w:shd w:val="clear" w:color="auto" w:fill="auto"/>
            <w:noWrap/>
            <w:vAlign w:val="center"/>
            <w:hideMark/>
          </w:tcPr>
          <w:p w14:paraId="59EB5F75" w14:textId="573D9EB6" w:rsidR="00F42A40" w:rsidRPr="008C1B89" w:rsidRDefault="00F42A40" w:rsidP="009D734D">
            <w:pPr>
              <w:jc w:val="center"/>
              <w:rPr>
                <w:rFonts w:eastAsia="Times New Roman" w:cs="Calibri"/>
                <w:color w:val="000000"/>
                <w:sz w:val="20"/>
                <w:szCs w:val="20"/>
                <w:lang w:eastAsia="en-AU"/>
              </w:rPr>
            </w:pPr>
          </w:p>
        </w:tc>
        <w:tc>
          <w:tcPr>
            <w:tcW w:w="972" w:type="dxa"/>
            <w:tcBorders>
              <w:top w:val="nil"/>
              <w:left w:val="nil"/>
              <w:bottom w:val="single" w:sz="4" w:space="0" w:color="BFBFBF"/>
              <w:right w:val="single" w:sz="4" w:space="0" w:color="BFBFBF"/>
            </w:tcBorders>
            <w:shd w:val="clear" w:color="auto" w:fill="auto"/>
            <w:noWrap/>
            <w:hideMark/>
          </w:tcPr>
          <w:p w14:paraId="35B9E7F7" w14:textId="237CDB89"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3804CE1D" w14:textId="07FEE0A7"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B641124" w14:textId="57FD1DE4"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38F26D6B" w14:textId="247088A6"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34" w:type="dxa"/>
            <w:vMerge/>
            <w:tcBorders>
              <w:top w:val="single" w:sz="4" w:space="0" w:color="808080"/>
              <w:left w:val="single" w:sz="4" w:space="0" w:color="BFBFBF"/>
              <w:bottom w:val="single" w:sz="4" w:space="0" w:color="BFBFBF"/>
              <w:right w:val="single" w:sz="4" w:space="0" w:color="BFBFBF"/>
            </w:tcBorders>
            <w:vAlign w:val="center"/>
            <w:hideMark/>
          </w:tcPr>
          <w:p w14:paraId="475C6575" w14:textId="77777777" w:rsidR="00F42A40" w:rsidRPr="008C1B89" w:rsidRDefault="00F42A40" w:rsidP="00F42A40">
            <w:pPr>
              <w:rPr>
                <w:rFonts w:eastAsia="Times New Roman" w:cs="Calibri"/>
                <w:color w:val="000000"/>
                <w:sz w:val="20"/>
                <w:szCs w:val="20"/>
                <w:lang w:eastAsia="en-AU"/>
              </w:rPr>
            </w:pPr>
          </w:p>
        </w:tc>
      </w:tr>
      <w:tr w:rsidR="00F42A40" w:rsidRPr="008C1B89" w14:paraId="30CA3F6E"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FE03340"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Mercury facility</w:t>
            </w:r>
          </w:p>
        </w:tc>
        <w:tc>
          <w:tcPr>
            <w:tcW w:w="870" w:type="dxa"/>
            <w:tcBorders>
              <w:top w:val="nil"/>
              <w:left w:val="nil"/>
              <w:bottom w:val="single" w:sz="4" w:space="0" w:color="BFBFBF"/>
              <w:right w:val="single" w:sz="4" w:space="0" w:color="BFBFBF"/>
            </w:tcBorders>
            <w:shd w:val="clear" w:color="000000" w:fill="FFFFFF"/>
            <w:noWrap/>
            <w:hideMark/>
          </w:tcPr>
          <w:p w14:paraId="271AC9EF" w14:textId="0C371376" w:rsidR="00F42A40" w:rsidRPr="008C1B89" w:rsidRDefault="00F42A40" w:rsidP="00F42A40">
            <w:pPr>
              <w:jc w:val="right"/>
              <w:rPr>
                <w:rFonts w:eastAsia="Times New Roman" w:cs="Calibri"/>
                <w:color w:val="000000"/>
                <w:sz w:val="20"/>
                <w:szCs w:val="20"/>
                <w:lang w:eastAsia="en-AU"/>
              </w:rPr>
            </w:pPr>
            <w:r>
              <w:rPr>
                <w:color w:val="000000"/>
                <w:sz w:val="20"/>
                <w:szCs w:val="20"/>
              </w:rPr>
              <w:t>3</w:t>
            </w:r>
          </w:p>
        </w:tc>
        <w:tc>
          <w:tcPr>
            <w:tcW w:w="965" w:type="dxa"/>
            <w:tcBorders>
              <w:left w:val="nil"/>
              <w:right w:val="single" w:sz="4" w:space="0" w:color="BFBFBF"/>
            </w:tcBorders>
            <w:shd w:val="clear" w:color="auto" w:fill="auto"/>
            <w:noWrap/>
            <w:vAlign w:val="center"/>
            <w:hideMark/>
          </w:tcPr>
          <w:p w14:paraId="49C1ABB1" w14:textId="71FE8607" w:rsidR="00F42A40" w:rsidRPr="008C1B89" w:rsidRDefault="00F42A40" w:rsidP="009D734D">
            <w:pPr>
              <w:jc w:val="center"/>
              <w:rPr>
                <w:rFonts w:eastAsia="Times New Roman" w:cs="Calibri"/>
                <w:color w:val="000000"/>
                <w:sz w:val="20"/>
                <w:szCs w:val="20"/>
                <w:lang w:eastAsia="en-AU"/>
              </w:rPr>
            </w:pPr>
          </w:p>
        </w:tc>
        <w:tc>
          <w:tcPr>
            <w:tcW w:w="1038" w:type="dxa"/>
            <w:tcBorders>
              <w:left w:val="nil"/>
              <w:right w:val="single" w:sz="4" w:space="0" w:color="BFBFBF"/>
            </w:tcBorders>
            <w:shd w:val="clear" w:color="auto" w:fill="auto"/>
            <w:noWrap/>
            <w:vAlign w:val="center"/>
            <w:hideMark/>
          </w:tcPr>
          <w:p w14:paraId="25E48549" w14:textId="4C68B98C" w:rsidR="00F42A40" w:rsidRPr="008C1B89" w:rsidRDefault="00F42A40" w:rsidP="009D734D">
            <w:pPr>
              <w:jc w:val="center"/>
              <w:rPr>
                <w:rFonts w:eastAsia="Times New Roman" w:cs="Calibri"/>
                <w:color w:val="000000"/>
                <w:sz w:val="20"/>
                <w:szCs w:val="20"/>
                <w:lang w:eastAsia="en-AU"/>
              </w:rPr>
            </w:pPr>
          </w:p>
        </w:tc>
        <w:tc>
          <w:tcPr>
            <w:tcW w:w="972" w:type="dxa"/>
            <w:tcBorders>
              <w:top w:val="nil"/>
              <w:left w:val="nil"/>
              <w:bottom w:val="single" w:sz="4" w:space="0" w:color="BFBFBF"/>
              <w:right w:val="single" w:sz="4" w:space="0" w:color="BFBFBF"/>
            </w:tcBorders>
            <w:shd w:val="clear" w:color="auto" w:fill="auto"/>
            <w:noWrap/>
            <w:hideMark/>
          </w:tcPr>
          <w:p w14:paraId="4ADA0F25" w14:textId="7FFF6694"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A83DF2D" w14:textId="040F2D96"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01587EF" w14:textId="555483AC"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750C9358" w14:textId="264C2F75"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34" w:type="dxa"/>
            <w:vMerge/>
            <w:tcBorders>
              <w:top w:val="single" w:sz="4" w:space="0" w:color="808080"/>
              <w:left w:val="single" w:sz="4" w:space="0" w:color="BFBFBF"/>
              <w:bottom w:val="single" w:sz="4" w:space="0" w:color="BFBFBF"/>
              <w:right w:val="single" w:sz="4" w:space="0" w:color="BFBFBF"/>
            </w:tcBorders>
            <w:vAlign w:val="center"/>
            <w:hideMark/>
          </w:tcPr>
          <w:p w14:paraId="7E7D87A8" w14:textId="77777777" w:rsidR="00F42A40" w:rsidRPr="008C1B89" w:rsidRDefault="00F42A40" w:rsidP="00F42A40">
            <w:pPr>
              <w:rPr>
                <w:rFonts w:eastAsia="Times New Roman" w:cs="Calibri"/>
                <w:color w:val="000000"/>
                <w:sz w:val="20"/>
                <w:szCs w:val="20"/>
                <w:lang w:eastAsia="en-AU"/>
              </w:rPr>
            </w:pPr>
          </w:p>
        </w:tc>
      </w:tr>
      <w:tr w:rsidR="00F42A40" w:rsidRPr="008C1B89" w14:paraId="6CC73CAA"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59F01B21"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Solvents/paints/organic chemicals facility</w:t>
            </w:r>
          </w:p>
        </w:tc>
        <w:tc>
          <w:tcPr>
            <w:tcW w:w="870" w:type="dxa"/>
            <w:tcBorders>
              <w:top w:val="nil"/>
              <w:left w:val="nil"/>
              <w:bottom w:val="single" w:sz="4" w:space="0" w:color="BFBFBF"/>
              <w:right w:val="single" w:sz="4" w:space="0" w:color="BFBFBF"/>
            </w:tcBorders>
            <w:shd w:val="clear" w:color="000000" w:fill="FFFFFF"/>
            <w:noWrap/>
            <w:hideMark/>
          </w:tcPr>
          <w:p w14:paraId="6B4D955B" w14:textId="53C56A67" w:rsidR="00F42A40" w:rsidRPr="008C1B89" w:rsidRDefault="00F42A40" w:rsidP="00F42A40">
            <w:pPr>
              <w:jc w:val="right"/>
              <w:rPr>
                <w:rFonts w:eastAsia="Times New Roman" w:cs="Calibri"/>
                <w:color w:val="000000"/>
                <w:sz w:val="20"/>
                <w:szCs w:val="20"/>
                <w:lang w:eastAsia="en-AU"/>
              </w:rPr>
            </w:pPr>
            <w:r>
              <w:rPr>
                <w:color w:val="000000"/>
                <w:sz w:val="20"/>
                <w:szCs w:val="20"/>
              </w:rPr>
              <w:t>32</w:t>
            </w:r>
          </w:p>
        </w:tc>
        <w:tc>
          <w:tcPr>
            <w:tcW w:w="965" w:type="dxa"/>
            <w:tcBorders>
              <w:left w:val="nil"/>
              <w:right w:val="single" w:sz="4" w:space="0" w:color="BFBFBF"/>
            </w:tcBorders>
            <w:shd w:val="clear" w:color="auto" w:fill="auto"/>
            <w:noWrap/>
            <w:vAlign w:val="center"/>
            <w:hideMark/>
          </w:tcPr>
          <w:p w14:paraId="1A67B222" w14:textId="68A30533" w:rsidR="00F42A40" w:rsidRPr="008C1B89" w:rsidRDefault="00F42A40" w:rsidP="009D734D">
            <w:pPr>
              <w:jc w:val="center"/>
              <w:rPr>
                <w:rFonts w:eastAsia="Times New Roman" w:cs="Calibri"/>
                <w:color w:val="000000"/>
                <w:sz w:val="20"/>
                <w:szCs w:val="20"/>
                <w:lang w:eastAsia="en-AU"/>
              </w:rPr>
            </w:pPr>
          </w:p>
        </w:tc>
        <w:tc>
          <w:tcPr>
            <w:tcW w:w="1038" w:type="dxa"/>
            <w:tcBorders>
              <w:left w:val="nil"/>
              <w:right w:val="single" w:sz="4" w:space="0" w:color="BFBFBF"/>
            </w:tcBorders>
            <w:shd w:val="clear" w:color="auto" w:fill="auto"/>
            <w:noWrap/>
            <w:vAlign w:val="center"/>
            <w:hideMark/>
          </w:tcPr>
          <w:p w14:paraId="17296F63" w14:textId="510B7175" w:rsidR="00F42A40" w:rsidRPr="008C1B89" w:rsidRDefault="00F42A40" w:rsidP="009D734D">
            <w:pPr>
              <w:jc w:val="center"/>
              <w:rPr>
                <w:rFonts w:eastAsia="Times New Roman" w:cs="Calibri"/>
                <w:color w:val="000000"/>
                <w:sz w:val="20"/>
                <w:szCs w:val="20"/>
                <w:lang w:eastAsia="en-AU"/>
              </w:rPr>
            </w:pPr>
          </w:p>
        </w:tc>
        <w:tc>
          <w:tcPr>
            <w:tcW w:w="972" w:type="dxa"/>
            <w:tcBorders>
              <w:top w:val="nil"/>
              <w:left w:val="nil"/>
              <w:bottom w:val="single" w:sz="4" w:space="0" w:color="BFBFBF"/>
              <w:right w:val="single" w:sz="4" w:space="0" w:color="BFBFBF"/>
            </w:tcBorders>
            <w:shd w:val="clear" w:color="auto" w:fill="auto"/>
            <w:noWrap/>
            <w:hideMark/>
          </w:tcPr>
          <w:p w14:paraId="2BA2E2D0" w14:textId="32B788B7"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2E401BB" w14:textId="3CD40F22"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023374E" w14:textId="2E55674A"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020D730C" w14:textId="1D6856DB"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34" w:type="dxa"/>
            <w:vMerge/>
            <w:tcBorders>
              <w:top w:val="single" w:sz="4" w:space="0" w:color="808080"/>
              <w:left w:val="single" w:sz="4" w:space="0" w:color="BFBFBF"/>
              <w:bottom w:val="single" w:sz="4" w:space="0" w:color="BFBFBF"/>
              <w:right w:val="single" w:sz="4" w:space="0" w:color="BFBFBF"/>
            </w:tcBorders>
            <w:vAlign w:val="center"/>
            <w:hideMark/>
          </w:tcPr>
          <w:p w14:paraId="59034051" w14:textId="77777777" w:rsidR="00F42A40" w:rsidRPr="008C1B89" w:rsidRDefault="00F42A40" w:rsidP="00F42A40">
            <w:pPr>
              <w:rPr>
                <w:rFonts w:eastAsia="Times New Roman" w:cs="Calibri"/>
                <w:color w:val="000000"/>
                <w:sz w:val="20"/>
                <w:szCs w:val="20"/>
                <w:lang w:eastAsia="en-AU"/>
              </w:rPr>
            </w:pPr>
          </w:p>
        </w:tc>
      </w:tr>
      <w:tr w:rsidR="00F42A40" w:rsidRPr="008C1B89" w14:paraId="478EB5E8"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326F436A"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Organics processing facility</w:t>
            </w:r>
          </w:p>
        </w:tc>
        <w:tc>
          <w:tcPr>
            <w:tcW w:w="870" w:type="dxa"/>
            <w:tcBorders>
              <w:top w:val="nil"/>
              <w:left w:val="nil"/>
              <w:bottom w:val="single" w:sz="4" w:space="0" w:color="BFBFBF"/>
              <w:right w:val="single" w:sz="4" w:space="0" w:color="BFBFBF"/>
            </w:tcBorders>
            <w:shd w:val="clear" w:color="000000" w:fill="FFFFFF"/>
            <w:noWrap/>
            <w:hideMark/>
          </w:tcPr>
          <w:p w14:paraId="717A0482" w14:textId="46D8C249" w:rsidR="00F42A40" w:rsidRPr="008C1B89" w:rsidRDefault="00F42A40" w:rsidP="00F42A40">
            <w:pPr>
              <w:jc w:val="right"/>
              <w:rPr>
                <w:rFonts w:eastAsia="Times New Roman" w:cs="Calibri"/>
                <w:color w:val="000000"/>
                <w:sz w:val="20"/>
                <w:szCs w:val="20"/>
                <w:lang w:eastAsia="en-AU"/>
              </w:rPr>
            </w:pPr>
            <w:r>
              <w:rPr>
                <w:color w:val="000000"/>
                <w:sz w:val="20"/>
                <w:szCs w:val="20"/>
              </w:rPr>
              <w:t>3,708</w:t>
            </w:r>
          </w:p>
        </w:tc>
        <w:tc>
          <w:tcPr>
            <w:tcW w:w="965" w:type="dxa"/>
            <w:tcBorders>
              <w:left w:val="nil"/>
              <w:right w:val="single" w:sz="4" w:space="0" w:color="BFBFBF"/>
            </w:tcBorders>
            <w:shd w:val="clear" w:color="auto" w:fill="auto"/>
            <w:noWrap/>
            <w:vAlign w:val="center"/>
            <w:hideMark/>
          </w:tcPr>
          <w:p w14:paraId="710BE89C" w14:textId="3F0C7FFA" w:rsidR="00F42A40" w:rsidRPr="008C1B89" w:rsidRDefault="00F42A40" w:rsidP="009D734D">
            <w:pPr>
              <w:jc w:val="center"/>
              <w:rPr>
                <w:rFonts w:eastAsia="Times New Roman" w:cs="Calibri"/>
                <w:color w:val="000000"/>
                <w:sz w:val="20"/>
                <w:szCs w:val="20"/>
                <w:lang w:eastAsia="en-AU"/>
              </w:rPr>
            </w:pPr>
          </w:p>
        </w:tc>
        <w:tc>
          <w:tcPr>
            <w:tcW w:w="1038" w:type="dxa"/>
            <w:tcBorders>
              <w:left w:val="nil"/>
              <w:right w:val="single" w:sz="4" w:space="0" w:color="BFBFBF"/>
            </w:tcBorders>
            <w:shd w:val="clear" w:color="auto" w:fill="auto"/>
            <w:noWrap/>
            <w:vAlign w:val="center"/>
            <w:hideMark/>
          </w:tcPr>
          <w:p w14:paraId="70E78C66" w14:textId="5D9677EE" w:rsidR="00F42A40" w:rsidRPr="008C1B89" w:rsidRDefault="00F42A40" w:rsidP="009D734D">
            <w:pPr>
              <w:jc w:val="center"/>
              <w:rPr>
                <w:rFonts w:eastAsia="Times New Roman" w:cs="Calibri"/>
                <w:color w:val="000000"/>
                <w:sz w:val="20"/>
                <w:szCs w:val="20"/>
                <w:lang w:eastAsia="en-AU"/>
              </w:rPr>
            </w:pPr>
          </w:p>
        </w:tc>
        <w:tc>
          <w:tcPr>
            <w:tcW w:w="972" w:type="dxa"/>
            <w:tcBorders>
              <w:top w:val="nil"/>
              <w:left w:val="nil"/>
              <w:bottom w:val="single" w:sz="4" w:space="0" w:color="BFBFBF"/>
              <w:right w:val="single" w:sz="4" w:space="0" w:color="BFBFBF"/>
            </w:tcBorders>
            <w:shd w:val="clear" w:color="auto" w:fill="auto"/>
            <w:noWrap/>
            <w:hideMark/>
          </w:tcPr>
          <w:p w14:paraId="7E021C43" w14:textId="1C37F0C0"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3203363E" w14:textId="28628346"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4044C4C3" w14:textId="6652E294"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93D3752" w14:textId="14CB32EB"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34" w:type="dxa"/>
            <w:vMerge/>
            <w:tcBorders>
              <w:top w:val="single" w:sz="4" w:space="0" w:color="808080"/>
              <w:left w:val="single" w:sz="4" w:space="0" w:color="BFBFBF"/>
              <w:bottom w:val="single" w:sz="4" w:space="0" w:color="BFBFBF"/>
              <w:right w:val="single" w:sz="4" w:space="0" w:color="BFBFBF"/>
            </w:tcBorders>
            <w:vAlign w:val="center"/>
            <w:hideMark/>
          </w:tcPr>
          <w:p w14:paraId="2C800D65" w14:textId="77777777" w:rsidR="00F42A40" w:rsidRPr="008C1B89" w:rsidRDefault="00F42A40" w:rsidP="00F42A40">
            <w:pPr>
              <w:rPr>
                <w:rFonts w:eastAsia="Times New Roman" w:cs="Calibri"/>
                <w:color w:val="000000"/>
                <w:sz w:val="20"/>
                <w:szCs w:val="20"/>
                <w:lang w:eastAsia="en-AU"/>
              </w:rPr>
            </w:pPr>
          </w:p>
        </w:tc>
      </w:tr>
      <w:tr w:rsidR="00F42A40" w:rsidRPr="008C1B89" w14:paraId="713C94A5"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48E5536E" w14:textId="4E91BFA9" w:rsidR="00F42A40" w:rsidRPr="008C1B89" w:rsidRDefault="00F42A40" w:rsidP="00F42A40">
            <w:pPr>
              <w:jc w:val="right"/>
              <w:rPr>
                <w:rFonts w:eastAsia="Times New Roman" w:cs="Calibri"/>
                <w:color w:val="000000"/>
                <w:sz w:val="20"/>
                <w:szCs w:val="20"/>
                <w:lang w:eastAsia="en-AU"/>
              </w:rPr>
            </w:pPr>
            <w:r>
              <w:rPr>
                <w:rFonts w:eastAsia="Times New Roman" w:cs="Calibri"/>
                <w:color w:val="000000"/>
                <w:sz w:val="20"/>
                <w:szCs w:val="20"/>
                <w:lang w:eastAsia="en-AU"/>
              </w:rPr>
              <w:t>EOLT</w:t>
            </w:r>
            <w:r w:rsidRPr="008C1B89">
              <w:rPr>
                <w:rFonts w:eastAsia="Times New Roman" w:cs="Calibri"/>
                <w:color w:val="000000"/>
                <w:sz w:val="20"/>
                <w:szCs w:val="20"/>
                <w:lang w:eastAsia="en-AU"/>
              </w:rPr>
              <w:t xml:space="preserve"> facility</w:t>
            </w:r>
          </w:p>
        </w:tc>
        <w:tc>
          <w:tcPr>
            <w:tcW w:w="870" w:type="dxa"/>
            <w:tcBorders>
              <w:top w:val="nil"/>
              <w:left w:val="nil"/>
              <w:bottom w:val="single" w:sz="4" w:space="0" w:color="BFBFBF"/>
              <w:right w:val="single" w:sz="4" w:space="0" w:color="BFBFBF"/>
            </w:tcBorders>
            <w:shd w:val="clear" w:color="000000" w:fill="FFFFFF"/>
            <w:noWrap/>
            <w:hideMark/>
          </w:tcPr>
          <w:p w14:paraId="20BE8E1C" w14:textId="3C4FEB51" w:rsidR="00F42A40" w:rsidRPr="008C1B89" w:rsidRDefault="00F42A40" w:rsidP="00F42A40">
            <w:pPr>
              <w:jc w:val="right"/>
              <w:rPr>
                <w:rFonts w:eastAsia="Times New Roman" w:cs="Calibri"/>
                <w:color w:val="000000"/>
                <w:sz w:val="20"/>
                <w:szCs w:val="20"/>
                <w:lang w:eastAsia="en-AU"/>
              </w:rPr>
            </w:pPr>
            <w:r>
              <w:rPr>
                <w:color w:val="000000"/>
                <w:sz w:val="20"/>
                <w:szCs w:val="20"/>
              </w:rPr>
              <w:t>508</w:t>
            </w:r>
          </w:p>
        </w:tc>
        <w:tc>
          <w:tcPr>
            <w:tcW w:w="965" w:type="dxa"/>
            <w:tcBorders>
              <w:left w:val="nil"/>
              <w:right w:val="single" w:sz="4" w:space="0" w:color="BFBFBF"/>
            </w:tcBorders>
            <w:shd w:val="clear" w:color="auto" w:fill="auto"/>
            <w:noWrap/>
            <w:vAlign w:val="center"/>
            <w:hideMark/>
          </w:tcPr>
          <w:p w14:paraId="495E9845" w14:textId="7083C4B1" w:rsidR="00F42A40" w:rsidRPr="008C1B89" w:rsidRDefault="00F42A40" w:rsidP="009D734D">
            <w:pPr>
              <w:jc w:val="center"/>
              <w:rPr>
                <w:rFonts w:eastAsia="Times New Roman" w:cs="Calibri"/>
                <w:color w:val="000000"/>
                <w:sz w:val="20"/>
                <w:szCs w:val="20"/>
                <w:lang w:eastAsia="en-AU"/>
              </w:rPr>
            </w:pPr>
          </w:p>
        </w:tc>
        <w:tc>
          <w:tcPr>
            <w:tcW w:w="1038" w:type="dxa"/>
            <w:tcBorders>
              <w:left w:val="nil"/>
              <w:right w:val="single" w:sz="4" w:space="0" w:color="BFBFBF"/>
            </w:tcBorders>
            <w:shd w:val="clear" w:color="auto" w:fill="auto"/>
            <w:noWrap/>
            <w:vAlign w:val="center"/>
            <w:hideMark/>
          </w:tcPr>
          <w:p w14:paraId="4D046F93" w14:textId="0A1DB556" w:rsidR="00F42A40" w:rsidRPr="008C1B89" w:rsidRDefault="00F42A40" w:rsidP="009D734D">
            <w:pPr>
              <w:jc w:val="center"/>
              <w:rPr>
                <w:rFonts w:eastAsia="Times New Roman" w:cs="Calibri"/>
                <w:color w:val="000000"/>
                <w:sz w:val="20"/>
                <w:szCs w:val="20"/>
                <w:lang w:eastAsia="en-AU"/>
              </w:rPr>
            </w:pPr>
          </w:p>
        </w:tc>
        <w:tc>
          <w:tcPr>
            <w:tcW w:w="972" w:type="dxa"/>
            <w:tcBorders>
              <w:top w:val="nil"/>
              <w:left w:val="nil"/>
              <w:bottom w:val="single" w:sz="4" w:space="0" w:color="BFBFBF"/>
              <w:right w:val="single" w:sz="4" w:space="0" w:color="BFBFBF"/>
            </w:tcBorders>
            <w:shd w:val="clear" w:color="auto" w:fill="auto"/>
            <w:noWrap/>
            <w:hideMark/>
          </w:tcPr>
          <w:p w14:paraId="3E393272" w14:textId="50B844E3"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3351034D" w14:textId="4837A410"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45F86A2D" w14:textId="199DCD5C"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60E2BF1" w14:textId="55DC0A34"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34" w:type="dxa"/>
            <w:vMerge/>
            <w:tcBorders>
              <w:top w:val="single" w:sz="4" w:space="0" w:color="808080"/>
              <w:left w:val="single" w:sz="4" w:space="0" w:color="BFBFBF"/>
              <w:bottom w:val="single" w:sz="4" w:space="0" w:color="BFBFBF"/>
              <w:right w:val="single" w:sz="4" w:space="0" w:color="BFBFBF"/>
            </w:tcBorders>
            <w:vAlign w:val="center"/>
            <w:hideMark/>
          </w:tcPr>
          <w:p w14:paraId="48B8B675" w14:textId="77777777" w:rsidR="00F42A40" w:rsidRPr="008C1B89" w:rsidRDefault="00F42A40" w:rsidP="00F42A40">
            <w:pPr>
              <w:rPr>
                <w:rFonts w:eastAsia="Times New Roman" w:cs="Calibri"/>
                <w:color w:val="000000"/>
                <w:sz w:val="20"/>
                <w:szCs w:val="20"/>
                <w:lang w:eastAsia="en-AU"/>
              </w:rPr>
            </w:pPr>
          </w:p>
        </w:tc>
      </w:tr>
      <w:tr w:rsidR="00F42A40" w:rsidRPr="008C1B89" w14:paraId="73B20DB0"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3C1F7E98" w14:textId="1855DDD4" w:rsidR="00F42A40" w:rsidRPr="008C1B89" w:rsidRDefault="00F42A40" w:rsidP="00F42A40">
            <w:pPr>
              <w:jc w:val="right"/>
              <w:rPr>
                <w:rFonts w:eastAsia="Times New Roman" w:cs="Calibri"/>
                <w:color w:val="000000"/>
                <w:sz w:val="20"/>
                <w:szCs w:val="20"/>
                <w:lang w:eastAsia="en-AU"/>
              </w:rPr>
            </w:pPr>
            <w:r>
              <w:rPr>
                <w:rFonts w:eastAsia="Times New Roman" w:cs="Calibri"/>
                <w:color w:val="000000"/>
                <w:sz w:val="20"/>
                <w:szCs w:val="20"/>
                <w:lang w:eastAsia="en-AU"/>
              </w:rPr>
              <w:t>SPL</w:t>
            </w:r>
            <w:r w:rsidRPr="008C1B89">
              <w:rPr>
                <w:rFonts w:eastAsia="Times New Roman" w:cs="Calibri"/>
                <w:color w:val="000000"/>
                <w:sz w:val="20"/>
                <w:szCs w:val="20"/>
                <w:lang w:eastAsia="en-AU"/>
              </w:rPr>
              <w:t xml:space="preserve"> facility</w:t>
            </w:r>
          </w:p>
        </w:tc>
        <w:tc>
          <w:tcPr>
            <w:tcW w:w="870" w:type="dxa"/>
            <w:tcBorders>
              <w:top w:val="nil"/>
              <w:left w:val="nil"/>
              <w:bottom w:val="single" w:sz="4" w:space="0" w:color="BFBFBF"/>
              <w:right w:val="single" w:sz="4" w:space="0" w:color="BFBFBF"/>
            </w:tcBorders>
            <w:shd w:val="clear" w:color="000000" w:fill="FFFFFF"/>
            <w:noWrap/>
            <w:hideMark/>
          </w:tcPr>
          <w:p w14:paraId="1F48626A" w14:textId="7580472D" w:rsidR="00F42A40" w:rsidRPr="008C1B89" w:rsidRDefault="00F42A40" w:rsidP="00F42A40">
            <w:pPr>
              <w:jc w:val="right"/>
              <w:rPr>
                <w:rFonts w:eastAsia="Times New Roman" w:cs="Calibri"/>
                <w:color w:val="000000"/>
                <w:sz w:val="20"/>
                <w:szCs w:val="20"/>
                <w:lang w:eastAsia="en-AU"/>
              </w:rPr>
            </w:pPr>
            <w:r>
              <w:rPr>
                <w:color w:val="000000"/>
                <w:sz w:val="20"/>
                <w:szCs w:val="20"/>
              </w:rPr>
              <w:t>0</w:t>
            </w:r>
          </w:p>
        </w:tc>
        <w:tc>
          <w:tcPr>
            <w:tcW w:w="965" w:type="dxa"/>
            <w:tcBorders>
              <w:left w:val="nil"/>
              <w:right w:val="single" w:sz="4" w:space="0" w:color="BFBFBF"/>
            </w:tcBorders>
            <w:shd w:val="clear" w:color="auto" w:fill="auto"/>
            <w:noWrap/>
            <w:vAlign w:val="center"/>
            <w:hideMark/>
          </w:tcPr>
          <w:p w14:paraId="36F44424" w14:textId="30C2619C" w:rsidR="00F42A40" w:rsidRPr="008C1B89" w:rsidRDefault="00F42A40" w:rsidP="009D734D">
            <w:pPr>
              <w:jc w:val="center"/>
              <w:rPr>
                <w:rFonts w:eastAsia="Times New Roman" w:cs="Calibri"/>
                <w:color w:val="000000"/>
                <w:sz w:val="20"/>
                <w:szCs w:val="20"/>
                <w:lang w:eastAsia="en-AU"/>
              </w:rPr>
            </w:pPr>
          </w:p>
        </w:tc>
        <w:tc>
          <w:tcPr>
            <w:tcW w:w="1038" w:type="dxa"/>
            <w:tcBorders>
              <w:left w:val="nil"/>
              <w:right w:val="single" w:sz="4" w:space="0" w:color="BFBFBF"/>
            </w:tcBorders>
            <w:shd w:val="clear" w:color="auto" w:fill="auto"/>
            <w:noWrap/>
            <w:vAlign w:val="center"/>
            <w:hideMark/>
          </w:tcPr>
          <w:p w14:paraId="53E6E56E" w14:textId="2C276E72" w:rsidR="00F42A40" w:rsidRPr="008C1B89" w:rsidRDefault="00F42A40" w:rsidP="009D734D">
            <w:pPr>
              <w:jc w:val="center"/>
              <w:rPr>
                <w:rFonts w:eastAsia="Times New Roman" w:cs="Calibri"/>
                <w:color w:val="000000"/>
                <w:sz w:val="20"/>
                <w:szCs w:val="20"/>
                <w:lang w:eastAsia="en-AU"/>
              </w:rPr>
            </w:pPr>
          </w:p>
        </w:tc>
        <w:tc>
          <w:tcPr>
            <w:tcW w:w="972" w:type="dxa"/>
            <w:tcBorders>
              <w:top w:val="nil"/>
              <w:left w:val="nil"/>
              <w:bottom w:val="single" w:sz="4" w:space="0" w:color="BFBFBF"/>
              <w:right w:val="single" w:sz="4" w:space="0" w:color="BFBFBF"/>
            </w:tcBorders>
            <w:shd w:val="clear" w:color="auto" w:fill="auto"/>
            <w:noWrap/>
            <w:hideMark/>
          </w:tcPr>
          <w:p w14:paraId="5BFC8A52" w14:textId="7CDB9677"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02535212" w14:textId="198E55A4"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51802DB1" w14:textId="0478414F"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3D65BF23" w14:textId="146E272E"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34" w:type="dxa"/>
            <w:vMerge/>
            <w:tcBorders>
              <w:top w:val="single" w:sz="4" w:space="0" w:color="808080"/>
              <w:left w:val="single" w:sz="4" w:space="0" w:color="BFBFBF"/>
              <w:bottom w:val="single" w:sz="4" w:space="0" w:color="BFBFBF"/>
              <w:right w:val="single" w:sz="4" w:space="0" w:color="BFBFBF"/>
            </w:tcBorders>
            <w:vAlign w:val="center"/>
            <w:hideMark/>
          </w:tcPr>
          <w:p w14:paraId="03627869" w14:textId="77777777" w:rsidR="00F42A40" w:rsidRPr="008C1B89" w:rsidRDefault="00F42A40" w:rsidP="00F42A40">
            <w:pPr>
              <w:rPr>
                <w:rFonts w:eastAsia="Times New Roman" w:cs="Calibri"/>
                <w:color w:val="000000"/>
                <w:sz w:val="20"/>
                <w:szCs w:val="20"/>
                <w:lang w:eastAsia="en-AU"/>
              </w:rPr>
            </w:pPr>
          </w:p>
        </w:tc>
      </w:tr>
      <w:tr w:rsidR="00F42A40" w:rsidRPr="008C1B89" w14:paraId="454EAA41"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10C405F6"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 xml:space="preserve">Energy recovery </w:t>
            </w:r>
          </w:p>
        </w:tc>
        <w:tc>
          <w:tcPr>
            <w:tcW w:w="870" w:type="dxa"/>
            <w:tcBorders>
              <w:top w:val="nil"/>
              <w:left w:val="nil"/>
              <w:bottom w:val="single" w:sz="4" w:space="0" w:color="BFBFBF"/>
              <w:right w:val="single" w:sz="4" w:space="0" w:color="BFBFBF"/>
            </w:tcBorders>
            <w:shd w:val="clear" w:color="000000" w:fill="FFFFFF"/>
            <w:noWrap/>
            <w:hideMark/>
          </w:tcPr>
          <w:p w14:paraId="4B256CEF" w14:textId="60E1BB05" w:rsidR="00F42A40" w:rsidRPr="008C1B89" w:rsidRDefault="00F42A40" w:rsidP="00F42A40">
            <w:pPr>
              <w:jc w:val="right"/>
              <w:rPr>
                <w:rFonts w:eastAsia="Times New Roman" w:cs="Calibri"/>
                <w:color w:val="000000"/>
                <w:sz w:val="20"/>
                <w:szCs w:val="20"/>
                <w:lang w:eastAsia="en-AU"/>
              </w:rPr>
            </w:pPr>
            <w:r>
              <w:rPr>
                <w:color w:val="000000"/>
                <w:sz w:val="20"/>
                <w:szCs w:val="20"/>
              </w:rPr>
              <w:t>8</w:t>
            </w:r>
          </w:p>
        </w:tc>
        <w:tc>
          <w:tcPr>
            <w:tcW w:w="965" w:type="dxa"/>
            <w:tcBorders>
              <w:left w:val="nil"/>
              <w:bottom w:val="single" w:sz="4" w:space="0" w:color="BFBFBF"/>
              <w:right w:val="single" w:sz="4" w:space="0" w:color="BFBFBF"/>
            </w:tcBorders>
            <w:shd w:val="clear" w:color="auto" w:fill="auto"/>
            <w:noWrap/>
            <w:vAlign w:val="center"/>
            <w:hideMark/>
          </w:tcPr>
          <w:p w14:paraId="75D0D9FF" w14:textId="7FC4DDE8" w:rsidR="00F42A40" w:rsidRPr="008C1B89" w:rsidRDefault="00F42A40" w:rsidP="009D734D">
            <w:pPr>
              <w:jc w:val="center"/>
              <w:rPr>
                <w:rFonts w:eastAsia="Times New Roman" w:cs="Calibri"/>
                <w:color w:val="000000"/>
                <w:sz w:val="20"/>
                <w:szCs w:val="20"/>
                <w:lang w:eastAsia="en-AU"/>
              </w:rPr>
            </w:pPr>
          </w:p>
        </w:tc>
        <w:tc>
          <w:tcPr>
            <w:tcW w:w="1038" w:type="dxa"/>
            <w:tcBorders>
              <w:left w:val="nil"/>
              <w:bottom w:val="single" w:sz="4" w:space="0" w:color="BFBFBF"/>
              <w:right w:val="single" w:sz="4" w:space="0" w:color="BFBFBF"/>
            </w:tcBorders>
            <w:shd w:val="clear" w:color="auto" w:fill="auto"/>
            <w:noWrap/>
            <w:vAlign w:val="center"/>
            <w:hideMark/>
          </w:tcPr>
          <w:p w14:paraId="68480F49" w14:textId="3E820CF6" w:rsidR="00F42A40" w:rsidRPr="008C1B89" w:rsidRDefault="00F42A40" w:rsidP="009D734D">
            <w:pPr>
              <w:jc w:val="center"/>
              <w:rPr>
                <w:rFonts w:eastAsia="Times New Roman" w:cs="Calibri"/>
                <w:color w:val="000000"/>
                <w:sz w:val="20"/>
                <w:szCs w:val="20"/>
                <w:lang w:eastAsia="en-AU"/>
              </w:rPr>
            </w:pPr>
          </w:p>
        </w:tc>
        <w:tc>
          <w:tcPr>
            <w:tcW w:w="972" w:type="dxa"/>
            <w:tcBorders>
              <w:top w:val="nil"/>
              <w:left w:val="nil"/>
              <w:bottom w:val="single" w:sz="4" w:space="0" w:color="BFBFBF"/>
              <w:right w:val="single" w:sz="4" w:space="0" w:color="BFBFBF"/>
            </w:tcBorders>
            <w:shd w:val="clear" w:color="auto" w:fill="auto"/>
            <w:noWrap/>
            <w:hideMark/>
          </w:tcPr>
          <w:p w14:paraId="2F7F42E8" w14:textId="5425656F"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40367A86" w14:textId="39B145AA"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05074205" w14:textId="50904719"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027C7D68" w14:textId="4A045FBA"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34" w:type="dxa"/>
            <w:vMerge/>
            <w:tcBorders>
              <w:top w:val="single" w:sz="4" w:space="0" w:color="808080"/>
              <w:left w:val="single" w:sz="4" w:space="0" w:color="BFBFBF"/>
              <w:bottom w:val="single" w:sz="4" w:space="0" w:color="BFBFBF"/>
              <w:right w:val="single" w:sz="4" w:space="0" w:color="BFBFBF"/>
            </w:tcBorders>
            <w:vAlign w:val="center"/>
            <w:hideMark/>
          </w:tcPr>
          <w:p w14:paraId="7CE3AC1C" w14:textId="77777777" w:rsidR="00F42A40" w:rsidRPr="008C1B89" w:rsidRDefault="00F42A40" w:rsidP="00F42A40">
            <w:pPr>
              <w:rPr>
                <w:rFonts w:eastAsia="Times New Roman" w:cs="Calibri"/>
                <w:color w:val="000000"/>
                <w:sz w:val="20"/>
                <w:szCs w:val="20"/>
                <w:lang w:eastAsia="en-AU"/>
              </w:rPr>
            </w:pPr>
          </w:p>
        </w:tc>
      </w:tr>
      <w:tr w:rsidR="009D734D" w:rsidRPr="008C1B89" w14:paraId="70F72D25" w14:textId="77777777" w:rsidTr="009D734D">
        <w:trPr>
          <w:trHeight w:val="255"/>
        </w:trPr>
        <w:tc>
          <w:tcPr>
            <w:tcW w:w="2830" w:type="dxa"/>
            <w:tcBorders>
              <w:top w:val="nil"/>
              <w:left w:val="single" w:sz="4" w:space="0" w:color="BFBFBF"/>
              <w:bottom w:val="nil"/>
              <w:right w:val="nil"/>
            </w:tcBorders>
            <w:shd w:val="clear" w:color="000000" w:fill="C5D9F1"/>
            <w:noWrap/>
            <w:vAlign w:val="bottom"/>
            <w:hideMark/>
          </w:tcPr>
          <w:p w14:paraId="75E668BC" w14:textId="77777777" w:rsidR="00F42A40" w:rsidRPr="008C1B89" w:rsidRDefault="00F42A40" w:rsidP="00F42A40">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 xml:space="preserve">Treatment </w:t>
            </w:r>
          </w:p>
        </w:tc>
        <w:tc>
          <w:tcPr>
            <w:tcW w:w="870" w:type="dxa"/>
            <w:tcBorders>
              <w:top w:val="nil"/>
              <w:left w:val="single" w:sz="4" w:space="0" w:color="BFBFBF"/>
              <w:bottom w:val="nil"/>
              <w:right w:val="single" w:sz="4" w:space="0" w:color="BFBFBF"/>
            </w:tcBorders>
            <w:shd w:val="clear" w:color="000000" w:fill="C5D9F1"/>
            <w:noWrap/>
            <w:hideMark/>
          </w:tcPr>
          <w:p w14:paraId="234CEE6F" w14:textId="24D92DA7"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965" w:type="dxa"/>
            <w:tcBorders>
              <w:top w:val="nil"/>
              <w:left w:val="nil"/>
              <w:bottom w:val="single" w:sz="4" w:space="0" w:color="BFBFBF"/>
              <w:right w:val="nil"/>
            </w:tcBorders>
            <w:shd w:val="clear" w:color="000000" w:fill="C5D9F1"/>
            <w:noWrap/>
            <w:vAlign w:val="center"/>
            <w:hideMark/>
          </w:tcPr>
          <w:p w14:paraId="5963CECC" w14:textId="0A5C1599" w:rsidR="00F42A40" w:rsidRPr="008C1B89" w:rsidRDefault="00F42A40" w:rsidP="009D734D">
            <w:pPr>
              <w:jc w:val="center"/>
              <w:rPr>
                <w:rFonts w:eastAsia="Times New Roman" w:cs="Calibri"/>
                <w:color w:val="000000"/>
                <w:sz w:val="20"/>
                <w:szCs w:val="20"/>
                <w:lang w:eastAsia="en-AU"/>
              </w:rPr>
            </w:pPr>
          </w:p>
        </w:tc>
        <w:tc>
          <w:tcPr>
            <w:tcW w:w="1038" w:type="dxa"/>
            <w:tcBorders>
              <w:top w:val="nil"/>
              <w:left w:val="nil"/>
              <w:bottom w:val="single" w:sz="4" w:space="0" w:color="BFBFBF"/>
              <w:right w:val="nil"/>
            </w:tcBorders>
            <w:shd w:val="clear" w:color="000000" w:fill="C5D9F1"/>
            <w:noWrap/>
            <w:vAlign w:val="center"/>
            <w:hideMark/>
          </w:tcPr>
          <w:p w14:paraId="650143F8" w14:textId="09B548A8" w:rsidR="00F42A40" w:rsidRPr="008C1B89" w:rsidRDefault="00F42A40" w:rsidP="009D734D">
            <w:pPr>
              <w:jc w:val="center"/>
              <w:rPr>
                <w:rFonts w:eastAsia="Times New Roman" w:cs="Calibri"/>
                <w:color w:val="000000"/>
                <w:sz w:val="20"/>
                <w:szCs w:val="20"/>
                <w:lang w:eastAsia="en-AU"/>
              </w:rPr>
            </w:pPr>
          </w:p>
        </w:tc>
        <w:tc>
          <w:tcPr>
            <w:tcW w:w="972" w:type="dxa"/>
            <w:tcBorders>
              <w:top w:val="nil"/>
              <w:left w:val="nil"/>
              <w:bottom w:val="nil"/>
              <w:right w:val="single" w:sz="4" w:space="0" w:color="BFBFBF"/>
            </w:tcBorders>
            <w:shd w:val="clear" w:color="000000" w:fill="C5D9F1"/>
            <w:noWrap/>
            <w:hideMark/>
          </w:tcPr>
          <w:p w14:paraId="7C997574" w14:textId="726EB9B4"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single" w:sz="4" w:space="0" w:color="BFBFBF"/>
            </w:tcBorders>
            <w:shd w:val="clear" w:color="000000" w:fill="C5D9F1"/>
            <w:noWrap/>
            <w:hideMark/>
          </w:tcPr>
          <w:p w14:paraId="263BE6B7" w14:textId="1CD723BB"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single" w:sz="4" w:space="0" w:color="BFBFBF"/>
            </w:tcBorders>
            <w:shd w:val="clear" w:color="000000" w:fill="C5D9F1"/>
            <w:noWrap/>
            <w:hideMark/>
          </w:tcPr>
          <w:p w14:paraId="630ED2D2" w14:textId="048281CC"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single" w:sz="4" w:space="0" w:color="BFBFBF"/>
            </w:tcBorders>
            <w:shd w:val="clear" w:color="000000" w:fill="C5D9F1"/>
            <w:noWrap/>
            <w:hideMark/>
          </w:tcPr>
          <w:p w14:paraId="4ABAA20C" w14:textId="1DBA1FD1"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5134" w:type="dxa"/>
            <w:vMerge/>
            <w:tcBorders>
              <w:top w:val="single" w:sz="4" w:space="0" w:color="808080"/>
              <w:left w:val="single" w:sz="4" w:space="0" w:color="BFBFBF"/>
              <w:bottom w:val="single" w:sz="4" w:space="0" w:color="BFBFBF"/>
              <w:right w:val="single" w:sz="4" w:space="0" w:color="BFBFBF"/>
            </w:tcBorders>
            <w:vAlign w:val="center"/>
            <w:hideMark/>
          </w:tcPr>
          <w:p w14:paraId="74E78571" w14:textId="77777777" w:rsidR="00F42A40" w:rsidRPr="008C1B89" w:rsidRDefault="00F42A40" w:rsidP="00F42A40">
            <w:pPr>
              <w:rPr>
                <w:rFonts w:eastAsia="Times New Roman" w:cs="Calibri"/>
                <w:color w:val="000000"/>
                <w:sz w:val="20"/>
                <w:szCs w:val="20"/>
                <w:lang w:eastAsia="en-AU"/>
              </w:rPr>
            </w:pPr>
          </w:p>
        </w:tc>
      </w:tr>
      <w:tr w:rsidR="00F42A40" w:rsidRPr="008C1B89" w14:paraId="4C6958F1" w14:textId="77777777" w:rsidTr="009D734D">
        <w:trPr>
          <w:trHeight w:val="255"/>
        </w:trPr>
        <w:tc>
          <w:tcPr>
            <w:tcW w:w="283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8BD043"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CPT plant</w:t>
            </w:r>
          </w:p>
        </w:tc>
        <w:tc>
          <w:tcPr>
            <w:tcW w:w="870" w:type="dxa"/>
            <w:tcBorders>
              <w:top w:val="single" w:sz="4" w:space="0" w:color="BFBFBF"/>
              <w:left w:val="nil"/>
              <w:bottom w:val="single" w:sz="4" w:space="0" w:color="BFBFBF"/>
              <w:right w:val="single" w:sz="4" w:space="0" w:color="BFBFBF"/>
            </w:tcBorders>
            <w:shd w:val="clear" w:color="000000" w:fill="FFFFFF"/>
            <w:noWrap/>
            <w:hideMark/>
          </w:tcPr>
          <w:p w14:paraId="6FC182DD" w14:textId="08634AF4" w:rsidR="00F42A40" w:rsidRPr="008C1B89" w:rsidRDefault="00F42A40" w:rsidP="00F42A40">
            <w:pPr>
              <w:jc w:val="right"/>
              <w:rPr>
                <w:rFonts w:eastAsia="Times New Roman" w:cs="Calibri"/>
                <w:color w:val="000000"/>
                <w:sz w:val="20"/>
                <w:szCs w:val="20"/>
                <w:lang w:eastAsia="en-AU"/>
              </w:rPr>
            </w:pPr>
            <w:r>
              <w:rPr>
                <w:color w:val="000000"/>
                <w:sz w:val="20"/>
                <w:szCs w:val="20"/>
              </w:rPr>
              <w:t>1,269</w:t>
            </w:r>
          </w:p>
        </w:tc>
        <w:tc>
          <w:tcPr>
            <w:tcW w:w="965" w:type="dxa"/>
            <w:tcBorders>
              <w:top w:val="nil"/>
              <w:left w:val="nil"/>
              <w:right w:val="single" w:sz="4" w:space="0" w:color="BFBFBF"/>
            </w:tcBorders>
            <w:shd w:val="clear" w:color="auto" w:fill="auto"/>
            <w:noWrap/>
            <w:vAlign w:val="center"/>
            <w:hideMark/>
          </w:tcPr>
          <w:p w14:paraId="6DC64108" w14:textId="1E3800A0"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38" w:type="dxa"/>
            <w:tcBorders>
              <w:top w:val="nil"/>
              <w:left w:val="nil"/>
              <w:right w:val="single" w:sz="4" w:space="0" w:color="BFBFBF"/>
            </w:tcBorders>
            <w:shd w:val="clear" w:color="auto" w:fill="auto"/>
            <w:noWrap/>
            <w:vAlign w:val="center"/>
            <w:hideMark/>
          </w:tcPr>
          <w:p w14:paraId="69B9CDB5" w14:textId="657CC9FF"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72" w:type="dxa"/>
            <w:tcBorders>
              <w:top w:val="single" w:sz="4" w:space="0" w:color="BFBFBF"/>
              <w:left w:val="nil"/>
              <w:bottom w:val="single" w:sz="4" w:space="0" w:color="BFBFBF"/>
              <w:right w:val="single" w:sz="4" w:space="0" w:color="BFBFBF"/>
            </w:tcBorders>
            <w:shd w:val="clear" w:color="auto" w:fill="auto"/>
            <w:noWrap/>
            <w:hideMark/>
          </w:tcPr>
          <w:p w14:paraId="1815980F" w14:textId="01B5C483"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0F77423B" w14:textId="35407656"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D348F8C" w14:textId="0508832F"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1473DDF5" w14:textId="329D668F"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34" w:type="dxa"/>
            <w:vMerge/>
            <w:tcBorders>
              <w:top w:val="single" w:sz="4" w:space="0" w:color="808080"/>
              <w:left w:val="single" w:sz="4" w:space="0" w:color="BFBFBF"/>
              <w:bottom w:val="single" w:sz="4" w:space="0" w:color="BFBFBF"/>
              <w:right w:val="single" w:sz="4" w:space="0" w:color="BFBFBF"/>
            </w:tcBorders>
            <w:vAlign w:val="center"/>
            <w:hideMark/>
          </w:tcPr>
          <w:p w14:paraId="3C16A94A" w14:textId="77777777" w:rsidR="00F42A40" w:rsidRPr="008C1B89" w:rsidRDefault="00F42A40" w:rsidP="00F42A40">
            <w:pPr>
              <w:rPr>
                <w:rFonts w:eastAsia="Times New Roman" w:cs="Calibri"/>
                <w:color w:val="000000"/>
                <w:sz w:val="20"/>
                <w:szCs w:val="20"/>
                <w:lang w:eastAsia="en-AU"/>
              </w:rPr>
            </w:pPr>
          </w:p>
        </w:tc>
      </w:tr>
      <w:tr w:rsidR="00F42A40" w:rsidRPr="008C1B89" w14:paraId="0DA0107C"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0860652"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 xml:space="preserve">Clinical waste treatment facility </w:t>
            </w:r>
          </w:p>
        </w:tc>
        <w:tc>
          <w:tcPr>
            <w:tcW w:w="870" w:type="dxa"/>
            <w:tcBorders>
              <w:top w:val="nil"/>
              <w:left w:val="nil"/>
              <w:bottom w:val="single" w:sz="4" w:space="0" w:color="BFBFBF"/>
              <w:right w:val="single" w:sz="4" w:space="0" w:color="BFBFBF"/>
            </w:tcBorders>
            <w:shd w:val="clear" w:color="000000" w:fill="FFFFFF"/>
            <w:noWrap/>
            <w:hideMark/>
          </w:tcPr>
          <w:p w14:paraId="30AD396D" w14:textId="5B745689" w:rsidR="00F42A40" w:rsidRPr="008C1B89" w:rsidRDefault="00F42A40" w:rsidP="00F42A40">
            <w:pPr>
              <w:jc w:val="right"/>
              <w:rPr>
                <w:rFonts w:eastAsia="Times New Roman" w:cs="Calibri"/>
                <w:color w:val="000000"/>
                <w:sz w:val="20"/>
                <w:szCs w:val="20"/>
                <w:lang w:eastAsia="en-AU"/>
              </w:rPr>
            </w:pPr>
            <w:r>
              <w:rPr>
                <w:color w:val="000000"/>
                <w:sz w:val="20"/>
                <w:szCs w:val="20"/>
              </w:rPr>
              <w:t>57</w:t>
            </w:r>
          </w:p>
        </w:tc>
        <w:tc>
          <w:tcPr>
            <w:tcW w:w="965" w:type="dxa"/>
            <w:tcBorders>
              <w:left w:val="nil"/>
              <w:right w:val="single" w:sz="4" w:space="0" w:color="BFBFBF"/>
            </w:tcBorders>
            <w:shd w:val="clear" w:color="auto" w:fill="auto"/>
            <w:noWrap/>
            <w:vAlign w:val="center"/>
            <w:hideMark/>
          </w:tcPr>
          <w:p w14:paraId="0080E8F0" w14:textId="7F5E2D99" w:rsidR="00F42A40" w:rsidRPr="008C1B89" w:rsidRDefault="00F42A40" w:rsidP="009D734D">
            <w:pPr>
              <w:jc w:val="center"/>
              <w:rPr>
                <w:rFonts w:eastAsia="Times New Roman" w:cs="Calibri"/>
                <w:color w:val="000000"/>
                <w:sz w:val="20"/>
                <w:szCs w:val="20"/>
                <w:lang w:eastAsia="en-AU"/>
              </w:rPr>
            </w:pPr>
          </w:p>
        </w:tc>
        <w:tc>
          <w:tcPr>
            <w:tcW w:w="1038" w:type="dxa"/>
            <w:tcBorders>
              <w:left w:val="nil"/>
              <w:right w:val="single" w:sz="4" w:space="0" w:color="BFBFBF"/>
            </w:tcBorders>
            <w:shd w:val="clear" w:color="auto" w:fill="auto"/>
            <w:noWrap/>
            <w:vAlign w:val="center"/>
            <w:hideMark/>
          </w:tcPr>
          <w:p w14:paraId="6C74F219" w14:textId="5B085159" w:rsidR="00F42A40" w:rsidRPr="008C1B89" w:rsidRDefault="00F42A40" w:rsidP="009D734D">
            <w:pPr>
              <w:jc w:val="center"/>
              <w:rPr>
                <w:rFonts w:eastAsia="Times New Roman" w:cs="Calibri"/>
                <w:color w:val="000000"/>
                <w:sz w:val="20"/>
                <w:szCs w:val="20"/>
                <w:lang w:eastAsia="en-AU"/>
              </w:rPr>
            </w:pPr>
          </w:p>
        </w:tc>
        <w:tc>
          <w:tcPr>
            <w:tcW w:w="972" w:type="dxa"/>
            <w:tcBorders>
              <w:top w:val="nil"/>
              <w:left w:val="nil"/>
              <w:bottom w:val="single" w:sz="4" w:space="0" w:color="BFBFBF"/>
              <w:right w:val="single" w:sz="4" w:space="0" w:color="BFBFBF"/>
            </w:tcBorders>
            <w:shd w:val="clear" w:color="auto" w:fill="auto"/>
            <w:noWrap/>
            <w:hideMark/>
          </w:tcPr>
          <w:p w14:paraId="5D78A666" w14:textId="50F1DA93"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789487AB" w14:textId="695B084D"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7525AB8C" w14:textId="645A5613"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41330096" w14:textId="78A50A83"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134" w:type="dxa"/>
            <w:vMerge/>
            <w:tcBorders>
              <w:top w:val="single" w:sz="4" w:space="0" w:color="808080"/>
              <w:left w:val="single" w:sz="4" w:space="0" w:color="BFBFBF"/>
              <w:bottom w:val="single" w:sz="4" w:space="0" w:color="BFBFBF"/>
              <w:right w:val="single" w:sz="4" w:space="0" w:color="BFBFBF"/>
            </w:tcBorders>
            <w:vAlign w:val="center"/>
            <w:hideMark/>
          </w:tcPr>
          <w:p w14:paraId="5CAA5587" w14:textId="77777777" w:rsidR="00F42A40" w:rsidRPr="008C1B89" w:rsidRDefault="00F42A40" w:rsidP="00F42A40">
            <w:pPr>
              <w:rPr>
                <w:rFonts w:eastAsia="Times New Roman" w:cs="Calibri"/>
                <w:color w:val="000000"/>
                <w:sz w:val="20"/>
                <w:szCs w:val="20"/>
                <w:lang w:eastAsia="en-AU"/>
              </w:rPr>
            </w:pPr>
          </w:p>
        </w:tc>
      </w:tr>
      <w:tr w:rsidR="00F42A40" w:rsidRPr="008C1B89" w14:paraId="204F819B"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50A522DD"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Bioremediation facility</w:t>
            </w:r>
          </w:p>
        </w:tc>
        <w:tc>
          <w:tcPr>
            <w:tcW w:w="870" w:type="dxa"/>
            <w:tcBorders>
              <w:top w:val="nil"/>
              <w:left w:val="nil"/>
              <w:bottom w:val="single" w:sz="4" w:space="0" w:color="BFBFBF"/>
              <w:right w:val="single" w:sz="4" w:space="0" w:color="BFBFBF"/>
            </w:tcBorders>
            <w:shd w:val="clear" w:color="000000" w:fill="FFFFFF"/>
            <w:noWrap/>
            <w:hideMark/>
          </w:tcPr>
          <w:p w14:paraId="6A374C81" w14:textId="6E914E34" w:rsidR="00F42A40" w:rsidRPr="008C1B89" w:rsidRDefault="00F42A40" w:rsidP="00F42A40">
            <w:pPr>
              <w:jc w:val="right"/>
              <w:rPr>
                <w:rFonts w:eastAsia="Times New Roman" w:cs="Calibri"/>
                <w:color w:val="000000"/>
                <w:sz w:val="20"/>
                <w:szCs w:val="20"/>
                <w:lang w:eastAsia="en-AU"/>
              </w:rPr>
            </w:pPr>
            <w:r>
              <w:rPr>
                <w:color w:val="000000"/>
                <w:sz w:val="20"/>
                <w:szCs w:val="20"/>
              </w:rPr>
              <w:t>352</w:t>
            </w:r>
          </w:p>
        </w:tc>
        <w:tc>
          <w:tcPr>
            <w:tcW w:w="965" w:type="dxa"/>
            <w:tcBorders>
              <w:left w:val="nil"/>
              <w:right w:val="single" w:sz="4" w:space="0" w:color="BFBFBF"/>
            </w:tcBorders>
            <w:shd w:val="clear" w:color="auto" w:fill="auto"/>
            <w:noWrap/>
            <w:vAlign w:val="center"/>
            <w:hideMark/>
          </w:tcPr>
          <w:p w14:paraId="667ED0FF" w14:textId="6925AC74" w:rsidR="00F42A40" w:rsidRPr="008C1B89" w:rsidRDefault="00F42A40" w:rsidP="009D734D">
            <w:pPr>
              <w:jc w:val="center"/>
              <w:rPr>
                <w:rFonts w:eastAsia="Times New Roman" w:cs="Calibri"/>
                <w:color w:val="000000"/>
                <w:sz w:val="20"/>
                <w:szCs w:val="20"/>
                <w:lang w:eastAsia="en-AU"/>
              </w:rPr>
            </w:pPr>
          </w:p>
        </w:tc>
        <w:tc>
          <w:tcPr>
            <w:tcW w:w="1038" w:type="dxa"/>
            <w:tcBorders>
              <w:left w:val="nil"/>
              <w:right w:val="single" w:sz="4" w:space="0" w:color="BFBFBF"/>
            </w:tcBorders>
            <w:shd w:val="clear" w:color="auto" w:fill="auto"/>
            <w:noWrap/>
            <w:vAlign w:val="center"/>
            <w:hideMark/>
          </w:tcPr>
          <w:p w14:paraId="2A24A233" w14:textId="6555D846" w:rsidR="00F42A40" w:rsidRPr="008C1B89" w:rsidRDefault="00F42A40" w:rsidP="009D734D">
            <w:pPr>
              <w:jc w:val="center"/>
              <w:rPr>
                <w:rFonts w:eastAsia="Times New Roman" w:cs="Calibri"/>
                <w:color w:val="000000"/>
                <w:sz w:val="20"/>
                <w:szCs w:val="20"/>
                <w:lang w:eastAsia="en-AU"/>
              </w:rPr>
            </w:pPr>
          </w:p>
        </w:tc>
        <w:tc>
          <w:tcPr>
            <w:tcW w:w="972" w:type="dxa"/>
            <w:tcBorders>
              <w:top w:val="nil"/>
              <w:left w:val="nil"/>
              <w:bottom w:val="single" w:sz="4" w:space="0" w:color="BFBFBF"/>
              <w:right w:val="single" w:sz="4" w:space="0" w:color="BFBFBF"/>
            </w:tcBorders>
            <w:shd w:val="clear" w:color="auto" w:fill="auto"/>
            <w:noWrap/>
            <w:hideMark/>
          </w:tcPr>
          <w:p w14:paraId="5A6F5704" w14:textId="074A6668"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7C6A2225" w14:textId="4C474F04"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0EACE2A6" w14:textId="66AF1EDF"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197FC1DD" w14:textId="674049B8"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34" w:type="dxa"/>
            <w:vMerge/>
            <w:tcBorders>
              <w:top w:val="single" w:sz="4" w:space="0" w:color="808080"/>
              <w:left w:val="single" w:sz="4" w:space="0" w:color="BFBFBF"/>
              <w:bottom w:val="single" w:sz="4" w:space="0" w:color="BFBFBF"/>
              <w:right w:val="single" w:sz="4" w:space="0" w:color="BFBFBF"/>
            </w:tcBorders>
            <w:vAlign w:val="center"/>
            <w:hideMark/>
          </w:tcPr>
          <w:p w14:paraId="553D00AB" w14:textId="77777777" w:rsidR="00F42A40" w:rsidRPr="008C1B89" w:rsidRDefault="00F42A40" w:rsidP="00F42A40">
            <w:pPr>
              <w:rPr>
                <w:rFonts w:eastAsia="Times New Roman" w:cs="Calibri"/>
                <w:color w:val="000000"/>
                <w:sz w:val="20"/>
                <w:szCs w:val="20"/>
                <w:lang w:eastAsia="en-AU"/>
              </w:rPr>
            </w:pPr>
          </w:p>
        </w:tc>
      </w:tr>
      <w:tr w:rsidR="00F42A40" w:rsidRPr="008C1B89" w14:paraId="38EC8C45"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252BD6DA" w14:textId="356D0F33" w:rsidR="00F42A40" w:rsidRPr="008C1B89" w:rsidRDefault="00F42A40" w:rsidP="00F42A40">
            <w:pPr>
              <w:jc w:val="right"/>
              <w:rPr>
                <w:rFonts w:eastAsia="Times New Roman" w:cs="Calibri"/>
                <w:color w:val="000000"/>
                <w:sz w:val="20"/>
                <w:szCs w:val="20"/>
                <w:lang w:eastAsia="en-AU"/>
              </w:rPr>
            </w:pPr>
            <w:r>
              <w:rPr>
                <w:rFonts w:eastAsia="Times New Roman" w:cs="Calibri"/>
                <w:color w:val="000000"/>
                <w:sz w:val="20"/>
                <w:szCs w:val="20"/>
                <w:lang w:eastAsia="en-AU"/>
              </w:rPr>
              <w:t>OWT</w:t>
            </w:r>
            <w:r w:rsidRPr="008C1B89">
              <w:rPr>
                <w:rFonts w:eastAsia="Times New Roman" w:cs="Calibri"/>
                <w:color w:val="000000"/>
                <w:sz w:val="20"/>
                <w:szCs w:val="20"/>
                <w:lang w:eastAsia="en-AU"/>
              </w:rPr>
              <w:t xml:space="preserve"> facility  </w:t>
            </w:r>
          </w:p>
        </w:tc>
        <w:tc>
          <w:tcPr>
            <w:tcW w:w="870" w:type="dxa"/>
            <w:tcBorders>
              <w:top w:val="nil"/>
              <w:left w:val="nil"/>
              <w:bottom w:val="single" w:sz="4" w:space="0" w:color="BFBFBF"/>
              <w:right w:val="single" w:sz="4" w:space="0" w:color="BFBFBF"/>
            </w:tcBorders>
            <w:shd w:val="clear" w:color="000000" w:fill="FFFFFF"/>
            <w:noWrap/>
            <w:hideMark/>
          </w:tcPr>
          <w:p w14:paraId="1DDE1DDF" w14:textId="28590996" w:rsidR="00F42A40" w:rsidRPr="008C1B89" w:rsidRDefault="00F42A40" w:rsidP="00F42A40">
            <w:pPr>
              <w:jc w:val="right"/>
              <w:rPr>
                <w:rFonts w:eastAsia="Times New Roman" w:cs="Calibri"/>
                <w:color w:val="000000"/>
                <w:sz w:val="20"/>
                <w:szCs w:val="20"/>
                <w:lang w:eastAsia="en-AU"/>
              </w:rPr>
            </w:pPr>
            <w:r>
              <w:rPr>
                <w:color w:val="000000"/>
                <w:sz w:val="20"/>
                <w:szCs w:val="20"/>
              </w:rPr>
              <w:t>944</w:t>
            </w:r>
          </w:p>
        </w:tc>
        <w:tc>
          <w:tcPr>
            <w:tcW w:w="965" w:type="dxa"/>
            <w:tcBorders>
              <w:left w:val="nil"/>
              <w:right w:val="single" w:sz="4" w:space="0" w:color="BFBFBF"/>
            </w:tcBorders>
            <w:shd w:val="clear" w:color="auto" w:fill="auto"/>
            <w:noWrap/>
            <w:vAlign w:val="center"/>
            <w:hideMark/>
          </w:tcPr>
          <w:p w14:paraId="6D2CC216" w14:textId="2956D21E" w:rsidR="00F42A40" w:rsidRPr="008C1B89" w:rsidRDefault="00F42A40" w:rsidP="009D734D">
            <w:pPr>
              <w:jc w:val="center"/>
              <w:rPr>
                <w:rFonts w:eastAsia="Times New Roman" w:cs="Calibri"/>
                <w:color w:val="000000"/>
                <w:sz w:val="20"/>
                <w:szCs w:val="20"/>
                <w:lang w:eastAsia="en-AU"/>
              </w:rPr>
            </w:pPr>
          </w:p>
        </w:tc>
        <w:tc>
          <w:tcPr>
            <w:tcW w:w="1038" w:type="dxa"/>
            <w:tcBorders>
              <w:left w:val="nil"/>
              <w:right w:val="single" w:sz="4" w:space="0" w:color="BFBFBF"/>
            </w:tcBorders>
            <w:shd w:val="clear" w:color="auto" w:fill="auto"/>
            <w:noWrap/>
            <w:vAlign w:val="center"/>
            <w:hideMark/>
          </w:tcPr>
          <w:p w14:paraId="691EAA2B" w14:textId="02C796D4" w:rsidR="00F42A40" w:rsidRPr="008C1B89" w:rsidRDefault="00F42A40" w:rsidP="009D734D">
            <w:pPr>
              <w:jc w:val="center"/>
              <w:rPr>
                <w:rFonts w:eastAsia="Times New Roman" w:cs="Calibri"/>
                <w:color w:val="000000"/>
                <w:sz w:val="20"/>
                <w:szCs w:val="20"/>
                <w:lang w:eastAsia="en-AU"/>
              </w:rPr>
            </w:pPr>
          </w:p>
        </w:tc>
        <w:tc>
          <w:tcPr>
            <w:tcW w:w="972" w:type="dxa"/>
            <w:tcBorders>
              <w:top w:val="nil"/>
              <w:left w:val="nil"/>
              <w:bottom w:val="single" w:sz="4" w:space="0" w:color="BFBFBF"/>
              <w:right w:val="single" w:sz="4" w:space="0" w:color="BFBFBF"/>
            </w:tcBorders>
            <w:shd w:val="clear" w:color="auto" w:fill="auto"/>
            <w:noWrap/>
            <w:hideMark/>
          </w:tcPr>
          <w:p w14:paraId="58732E47" w14:textId="200F9CB4"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55C340E5" w14:textId="11FB6648"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3E9D68A2" w14:textId="748F972B"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37C3E7B8" w14:textId="43A7439B"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34" w:type="dxa"/>
            <w:vMerge/>
            <w:tcBorders>
              <w:top w:val="single" w:sz="4" w:space="0" w:color="808080"/>
              <w:left w:val="single" w:sz="4" w:space="0" w:color="BFBFBF"/>
              <w:bottom w:val="single" w:sz="4" w:space="0" w:color="BFBFBF"/>
              <w:right w:val="single" w:sz="4" w:space="0" w:color="BFBFBF"/>
            </w:tcBorders>
            <w:vAlign w:val="center"/>
            <w:hideMark/>
          </w:tcPr>
          <w:p w14:paraId="719D41A7" w14:textId="77777777" w:rsidR="00F42A40" w:rsidRPr="008C1B89" w:rsidRDefault="00F42A40" w:rsidP="00F42A40">
            <w:pPr>
              <w:rPr>
                <w:rFonts w:eastAsia="Times New Roman" w:cs="Calibri"/>
                <w:color w:val="000000"/>
                <w:sz w:val="20"/>
                <w:szCs w:val="20"/>
                <w:lang w:eastAsia="en-AU"/>
              </w:rPr>
            </w:pPr>
          </w:p>
        </w:tc>
      </w:tr>
      <w:tr w:rsidR="00F42A40" w:rsidRPr="008C1B89" w14:paraId="551980BC"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65CDFC6B"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Soils treatment facility</w:t>
            </w:r>
          </w:p>
        </w:tc>
        <w:tc>
          <w:tcPr>
            <w:tcW w:w="870" w:type="dxa"/>
            <w:tcBorders>
              <w:top w:val="nil"/>
              <w:left w:val="nil"/>
              <w:bottom w:val="single" w:sz="4" w:space="0" w:color="BFBFBF"/>
              <w:right w:val="single" w:sz="4" w:space="0" w:color="BFBFBF"/>
            </w:tcBorders>
            <w:shd w:val="clear" w:color="000000" w:fill="FFFFFF"/>
            <w:noWrap/>
            <w:hideMark/>
          </w:tcPr>
          <w:p w14:paraId="2A598E68" w14:textId="02D97C3C" w:rsidR="00F42A40" w:rsidRPr="008C1B89" w:rsidRDefault="00F42A40" w:rsidP="00F42A40">
            <w:pPr>
              <w:jc w:val="right"/>
              <w:rPr>
                <w:rFonts w:eastAsia="Times New Roman" w:cs="Calibri"/>
                <w:color w:val="000000"/>
                <w:sz w:val="20"/>
                <w:szCs w:val="20"/>
                <w:lang w:eastAsia="en-AU"/>
              </w:rPr>
            </w:pPr>
            <w:r>
              <w:rPr>
                <w:color w:val="000000"/>
                <w:sz w:val="20"/>
                <w:szCs w:val="20"/>
              </w:rPr>
              <w:t>738</w:t>
            </w:r>
          </w:p>
        </w:tc>
        <w:tc>
          <w:tcPr>
            <w:tcW w:w="965" w:type="dxa"/>
            <w:tcBorders>
              <w:left w:val="nil"/>
              <w:bottom w:val="single" w:sz="4" w:space="0" w:color="BFBFBF"/>
              <w:right w:val="single" w:sz="4" w:space="0" w:color="BFBFBF"/>
            </w:tcBorders>
            <w:shd w:val="clear" w:color="auto" w:fill="auto"/>
            <w:noWrap/>
            <w:vAlign w:val="center"/>
            <w:hideMark/>
          </w:tcPr>
          <w:p w14:paraId="48B8F715" w14:textId="3DF1F2E5" w:rsidR="00F42A40" w:rsidRPr="008C1B89" w:rsidRDefault="00F42A40" w:rsidP="009D734D">
            <w:pPr>
              <w:jc w:val="center"/>
              <w:rPr>
                <w:rFonts w:eastAsia="Times New Roman" w:cs="Calibri"/>
                <w:color w:val="000000"/>
                <w:sz w:val="20"/>
                <w:szCs w:val="20"/>
                <w:lang w:eastAsia="en-AU"/>
              </w:rPr>
            </w:pPr>
          </w:p>
        </w:tc>
        <w:tc>
          <w:tcPr>
            <w:tcW w:w="1038" w:type="dxa"/>
            <w:tcBorders>
              <w:left w:val="nil"/>
              <w:bottom w:val="single" w:sz="4" w:space="0" w:color="BFBFBF"/>
              <w:right w:val="single" w:sz="4" w:space="0" w:color="BFBFBF"/>
            </w:tcBorders>
            <w:shd w:val="clear" w:color="auto" w:fill="auto"/>
            <w:noWrap/>
            <w:vAlign w:val="center"/>
            <w:hideMark/>
          </w:tcPr>
          <w:p w14:paraId="7AEBCF85" w14:textId="060017A9" w:rsidR="00F42A40" w:rsidRPr="008C1B89" w:rsidRDefault="00F42A40" w:rsidP="009D734D">
            <w:pPr>
              <w:jc w:val="center"/>
              <w:rPr>
                <w:rFonts w:eastAsia="Times New Roman" w:cs="Calibri"/>
                <w:color w:val="000000"/>
                <w:sz w:val="20"/>
                <w:szCs w:val="20"/>
                <w:lang w:eastAsia="en-AU"/>
              </w:rPr>
            </w:pPr>
          </w:p>
        </w:tc>
        <w:tc>
          <w:tcPr>
            <w:tcW w:w="972" w:type="dxa"/>
            <w:tcBorders>
              <w:top w:val="nil"/>
              <w:left w:val="nil"/>
              <w:bottom w:val="single" w:sz="4" w:space="0" w:color="BFBFBF"/>
              <w:right w:val="single" w:sz="4" w:space="0" w:color="BFBFBF"/>
            </w:tcBorders>
            <w:shd w:val="clear" w:color="auto" w:fill="auto"/>
            <w:noWrap/>
            <w:hideMark/>
          </w:tcPr>
          <w:p w14:paraId="43851AED" w14:textId="486B8893"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466C871" w14:textId="60635B39"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562488CA" w14:textId="5EAF8228"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52A0A33F" w14:textId="0E211A51"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34" w:type="dxa"/>
            <w:vMerge/>
            <w:tcBorders>
              <w:top w:val="single" w:sz="4" w:space="0" w:color="808080"/>
              <w:left w:val="single" w:sz="4" w:space="0" w:color="BFBFBF"/>
              <w:bottom w:val="single" w:sz="4" w:space="0" w:color="BFBFBF"/>
              <w:right w:val="single" w:sz="4" w:space="0" w:color="BFBFBF"/>
            </w:tcBorders>
            <w:vAlign w:val="center"/>
            <w:hideMark/>
          </w:tcPr>
          <w:p w14:paraId="77A37702" w14:textId="77777777" w:rsidR="00F42A40" w:rsidRPr="008C1B89" w:rsidRDefault="00F42A40" w:rsidP="00F42A40">
            <w:pPr>
              <w:rPr>
                <w:rFonts w:eastAsia="Times New Roman" w:cs="Calibri"/>
                <w:color w:val="000000"/>
                <w:sz w:val="20"/>
                <w:szCs w:val="20"/>
                <w:lang w:eastAsia="en-AU"/>
              </w:rPr>
            </w:pPr>
          </w:p>
        </w:tc>
      </w:tr>
      <w:tr w:rsidR="009D734D" w:rsidRPr="008C1B89" w14:paraId="480D6157"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4E6C939F" w14:textId="77777777" w:rsidR="00F42A40" w:rsidRPr="008C1B89" w:rsidRDefault="00F42A40" w:rsidP="00F42A40">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Disposal</w:t>
            </w:r>
          </w:p>
        </w:tc>
        <w:tc>
          <w:tcPr>
            <w:tcW w:w="870" w:type="dxa"/>
            <w:tcBorders>
              <w:top w:val="nil"/>
              <w:left w:val="nil"/>
              <w:bottom w:val="single" w:sz="4" w:space="0" w:color="BFBFBF"/>
              <w:right w:val="single" w:sz="4" w:space="0" w:color="BFBFBF"/>
            </w:tcBorders>
            <w:shd w:val="clear" w:color="000000" w:fill="C5D9F1"/>
            <w:noWrap/>
            <w:hideMark/>
          </w:tcPr>
          <w:p w14:paraId="3668271C" w14:textId="26FB4A7A"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965" w:type="dxa"/>
            <w:tcBorders>
              <w:top w:val="nil"/>
              <w:left w:val="nil"/>
              <w:bottom w:val="single" w:sz="4" w:space="0" w:color="BFBFBF"/>
              <w:right w:val="nil"/>
            </w:tcBorders>
            <w:shd w:val="clear" w:color="000000" w:fill="C5D9F1"/>
            <w:noWrap/>
            <w:vAlign w:val="center"/>
            <w:hideMark/>
          </w:tcPr>
          <w:p w14:paraId="54B129AC" w14:textId="0AB0FFBE" w:rsidR="00F42A40" w:rsidRPr="008C1B89" w:rsidRDefault="00F42A40" w:rsidP="009D734D">
            <w:pPr>
              <w:jc w:val="center"/>
              <w:rPr>
                <w:rFonts w:eastAsia="Times New Roman" w:cs="Calibri"/>
                <w:color w:val="000000"/>
                <w:sz w:val="20"/>
                <w:szCs w:val="20"/>
                <w:lang w:eastAsia="en-AU"/>
              </w:rPr>
            </w:pPr>
          </w:p>
        </w:tc>
        <w:tc>
          <w:tcPr>
            <w:tcW w:w="1038" w:type="dxa"/>
            <w:tcBorders>
              <w:top w:val="nil"/>
              <w:left w:val="nil"/>
              <w:bottom w:val="single" w:sz="4" w:space="0" w:color="BFBFBF"/>
              <w:right w:val="nil"/>
            </w:tcBorders>
            <w:shd w:val="clear" w:color="000000" w:fill="C5D9F1"/>
            <w:noWrap/>
            <w:vAlign w:val="center"/>
            <w:hideMark/>
          </w:tcPr>
          <w:p w14:paraId="2B9896C9" w14:textId="434FE408" w:rsidR="00F42A40" w:rsidRPr="008C1B89" w:rsidRDefault="00F42A40" w:rsidP="009D734D">
            <w:pPr>
              <w:jc w:val="center"/>
              <w:rPr>
                <w:rFonts w:eastAsia="Times New Roman" w:cs="Calibri"/>
                <w:color w:val="000000"/>
                <w:sz w:val="20"/>
                <w:szCs w:val="20"/>
                <w:lang w:eastAsia="en-AU"/>
              </w:rPr>
            </w:pPr>
          </w:p>
        </w:tc>
        <w:tc>
          <w:tcPr>
            <w:tcW w:w="972" w:type="dxa"/>
            <w:tcBorders>
              <w:top w:val="nil"/>
              <w:left w:val="nil"/>
              <w:bottom w:val="single" w:sz="4" w:space="0" w:color="BFBFBF"/>
              <w:right w:val="single" w:sz="4" w:space="0" w:color="BFBFBF"/>
            </w:tcBorders>
            <w:shd w:val="clear" w:color="000000" w:fill="C5D9F1"/>
            <w:noWrap/>
            <w:hideMark/>
          </w:tcPr>
          <w:p w14:paraId="17DD54B2" w14:textId="19B1B45F"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2106E292" w14:textId="51616F09"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202EAD78" w14:textId="21ED93E6"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39C19170" w14:textId="324F9A0D"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5134" w:type="dxa"/>
            <w:vMerge/>
            <w:tcBorders>
              <w:top w:val="single" w:sz="4" w:space="0" w:color="808080"/>
              <w:left w:val="single" w:sz="4" w:space="0" w:color="BFBFBF"/>
              <w:bottom w:val="single" w:sz="4" w:space="0" w:color="BFBFBF"/>
              <w:right w:val="single" w:sz="4" w:space="0" w:color="BFBFBF"/>
            </w:tcBorders>
            <w:vAlign w:val="center"/>
            <w:hideMark/>
          </w:tcPr>
          <w:p w14:paraId="51F53C0B" w14:textId="77777777" w:rsidR="00F42A40" w:rsidRPr="008C1B89" w:rsidRDefault="00F42A40" w:rsidP="00F42A40">
            <w:pPr>
              <w:rPr>
                <w:rFonts w:eastAsia="Times New Roman" w:cs="Calibri"/>
                <w:color w:val="000000"/>
                <w:sz w:val="20"/>
                <w:szCs w:val="20"/>
                <w:lang w:eastAsia="en-AU"/>
              </w:rPr>
            </w:pPr>
          </w:p>
        </w:tc>
      </w:tr>
      <w:tr w:rsidR="00F42A40" w:rsidRPr="008C1B89" w14:paraId="6AFABA43"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445C1D4C"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 xml:space="preserve">Hazardous waste landfill facility </w:t>
            </w:r>
          </w:p>
        </w:tc>
        <w:tc>
          <w:tcPr>
            <w:tcW w:w="870" w:type="dxa"/>
            <w:tcBorders>
              <w:top w:val="nil"/>
              <w:left w:val="nil"/>
              <w:bottom w:val="single" w:sz="4" w:space="0" w:color="BFBFBF"/>
              <w:right w:val="single" w:sz="4" w:space="0" w:color="BFBFBF"/>
            </w:tcBorders>
            <w:shd w:val="clear" w:color="000000" w:fill="FFFFFF"/>
            <w:noWrap/>
            <w:hideMark/>
          </w:tcPr>
          <w:p w14:paraId="1CDCCC85" w14:textId="32D5A0BE" w:rsidR="00F42A40" w:rsidRPr="008C1B89" w:rsidRDefault="00F42A40" w:rsidP="00F42A40">
            <w:pPr>
              <w:jc w:val="right"/>
              <w:rPr>
                <w:rFonts w:eastAsia="Times New Roman" w:cs="Calibri"/>
                <w:color w:val="000000"/>
                <w:sz w:val="20"/>
                <w:szCs w:val="20"/>
                <w:lang w:eastAsia="en-AU"/>
              </w:rPr>
            </w:pPr>
            <w:r>
              <w:rPr>
                <w:color w:val="000000"/>
                <w:sz w:val="20"/>
                <w:szCs w:val="20"/>
              </w:rPr>
              <w:t>601</w:t>
            </w:r>
          </w:p>
        </w:tc>
        <w:tc>
          <w:tcPr>
            <w:tcW w:w="965" w:type="dxa"/>
            <w:tcBorders>
              <w:top w:val="nil"/>
              <w:left w:val="nil"/>
              <w:right w:val="single" w:sz="4" w:space="0" w:color="BFBFBF"/>
            </w:tcBorders>
            <w:shd w:val="clear" w:color="auto" w:fill="auto"/>
            <w:noWrap/>
            <w:vAlign w:val="center"/>
            <w:hideMark/>
          </w:tcPr>
          <w:p w14:paraId="5D9ED0F9" w14:textId="4C98580E"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38" w:type="dxa"/>
            <w:tcBorders>
              <w:top w:val="nil"/>
              <w:left w:val="nil"/>
              <w:right w:val="single" w:sz="4" w:space="0" w:color="BFBFBF"/>
            </w:tcBorders>
            <w:shd w:val="clear" w:color="auto" w:fill="auto"/>
            <w:noWrap/>
            <w:vAlign w:val="center"/>
            <w:hideMark/>
          </w:tcPr>
          <w:p w14:paraId="30C3C550" w14:textId="0B76EAA1"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72" w:type="dxa"/>
            <w:tcBorders>
              <w:top w:val="nil"/>
              <w:left w:val="nil"/>
              <w:bottom w:val="single" w:sz="4" w:space="0" w:color="BFBFBF"/>
              <w:right w:val="single" w:sz="4" w:space="0" w:color="BFBFBF"/>
            </w:tcBorders>
            <w:shd w:val="clear" w:color="auto" w:fill="auto"/>
            <w:noWrap/>
            <w:hideMark/>
          </w:tcPr>
          <w:p w14:paraId="61755445" w14:textId="0145C3B7" w:rsidR="00F42A40" w:rsidRPr="008C1B89" w:rsidRDefault="00F42A40" w:rsidP="00F42A40">
            <w:pPr>
              <w:jc w:val="center"/>
              <w:rPr>
                <w:rFonts w:eastAsia="Times New Roman" w:cs="Calibri"/>
                <w:color w:val="000000"/>
                <w:sz w:val="20"/>
                <w:szCs w:val="20"/>
                <w:lang w:eastAsia="en-AU"/>
              </w:rPr>
            </w:pPr>
            <w:r>
              <w:rPr>
                <w:color w:val="000000"/>
                <w:sz w:val="20"/>
                <w:szCs w:val="20"/>
              </w:rPr>
              <w:t>Poor</w:t>
            </w:r>
          </w:p>
        </w:tc>
        <w:tc>
          <w:tcPr>
            <w:tcW w:w="740" w:type="dxa"/>
            <w:tcBorders>
              <w:top w:val="nil"/>
              <w:left w:val="nil"/>
              <w:bottom w:val="single" w:sz="4" w:space="0" w:color="BFBFBF"/>
              <w:right w:val="single" w:sz="4" w:space="0" w:color="BFBFBF"/>
            </w:tcBorders>
            <w:shd w:val="clear" w:color="000000" w:fill="FFFFFF"/>
            <w:noWrap/>
            <w:hideMark/>
          </w:tcPr>
          <w:p w14:paraId="6D2EBC79" w14:textId="6C71FD66"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35014CE4" w14:textId="6C131B8D"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0DEFA611" w14:textId="3414F260"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134" w:type="dxa"/>
            <w:vMerge/>
            <w:tcBorders>
              <w:top w:val="single" w:sz="4" w:space="0" w:color="808080"/>
              <w:left w:val="single" w:sz="4" w:space="0" w:color="BFBFBF"/>
              <w:bottom w:val="single" w:sz="4" w:space="0" w:color="BFBFBF"/>
              <w:right w:val="single" w:sz="4" w:space="0" w:color="BFBFBF"/>
            </w:tcBorders>
            <w:vAlign w:val="center"/>
            <w:hideMark/>
          </w:tcPr>
          <w:p w14:paraId="3DC2887B" w14:textId="77777777" w:rsidR="00F42A40" w:rsidRPr="008C1B89" w:rsidRDefault="00F42A40" w:rsidP="00F42A40">
            <w:pPr>
              <w:rPr>
                <w:rFonts w:eastAsia="Times New Roman" w:cs="Calibri"/>
                <w:color w:val="000000"/>
                <w:sz w:val="20"/>
                <w:szCs w:val="20"/>
                <w:lang w:eastAsia="en-AU"/>
              </w:rPr>
            </w:pPr>
          </w:p>
        </w:tc>
      </w:tr>
      <w:tr w:rsidR="00F42A40" w:rsidRPr="008C1B89" w14:paraId="34A81699"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2FC8858A"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Landfill facility (NEPM codes N, T)</w:t>
            </w:r>
          </w:p>
        </w:tc>
        <w:tc>
          <w:tcPr>
            <w:tcW w:w="870" w:type="dxa"/>
            <w:tcBorders>
              <w:top w:val="nil"/>
              <w:left w:val="nil"/>
              <w:bottom w:val="single" w:sz="4" w:space="0" w:color="BFBFBF"/>
              <w:right w:val="single" w:sz="4" w:space="0" w:color="BFBFBF"/>
            </w:tcBorders>
            <w:shd w:val="clear" w:color="000000" w:fill="FFFFFF"/>
            <w:noWrap/>
            <w:hideMark/>
          </w:tcPr>
          <w:p w14:paraId="3AB7D9DF" w14:textId="65426C7B" w:rsidR="00F42A40" w:rsidRPr="008C1B89" w:rsidRDefault="00F42A40" w:rsidP="00F42A40">
            <w:pPr>
              <w:jc w:val="right"/>
              <w:rPr>
                <w:rFonts w:eastAsia="Times New Roman" w:cs="Calibri"/>
                <w:color w:val="000000"/>
                <w:sz w:val="20"/>
                <w:szCs w:val="20"/>
                <w:lang w:eastAsia="en-AU"/>
              </w:rPr>
            </w:pPr>
            <w:r>
              <w:rPr>
                <w:color w:val="000000"/>
                <w:sz w:val="20"/>
                <w:szCs w:val="20"/>
              </w:rPr>
              <w:t>16,436</w:t>
            </w:r>
          </w:p>
        </w:tc>
        <w:tc>
          <w:tcPr>
            <w:tcW w:w="965" w:type="dxa"/>
            <w:tcBorders>
              <w:left w:val="nil"/>
              <w:right w:val="single" w:sz="4" w:space="0" w:color="BFBFBF"/>
            </w:tcBorders>
            <w:shd w:val="clear" w:color="auto" w:fill="auto"/>
            <w:noWrap/>
            <w:vAlign w:val="center"/>
            <w:hideMark/>
          </w:tcPr>
          <w:p w14:paraId="3A2E1894" w14:textId="6C13D849" w:rsidR="00F42A40" w:rsidRPr="008C1B89" w:rsidRDefault="00F42A40" w:rsidP="009D734D">
            <w:pPr>
              <w:jc w:val="center"/>
              <w:rPr>
                <w:rFonts w:eastAsia="Times New Roman" w:cs="Calibri"/>
                <w:color w:val="000000"/>
                <w:sz w:val="20"/>
                <w:szCs w:val="20"/>
                <w:lang w:eastAsia="en-AU"/>
              </w:rPr>
            </w:pPr>
          </w:p>
        </w:tc>
        <w:tc>
          <w:tcPr>
            <w:tcW w:w="1038" w:type="dxa"/>
            <w:tcBorders>
              <w:left w:val="nil"/>
              <w:right w:val="single" w:sz="4" w:space="0" w:color="BFBFBF"/>
            </w:tcBorders>
            <w:shd w:val="clear" w:color="auto" w:fill="auto"/>
            <w:noWrap/>
            <w:vAlign w:val="center"/>
            <w:hideMark/>
          </w:tcPr>
          <w:p w14:paraId="1571B412" w14:textId="505D5264" w:rsidR="00F42A40" w:rsidRPr="008C1B89" w:rsidRDefault="00F42A40" w:rsidP="009D734D">
            <w:pPr>
              <w:jc w:val="center"/>
              <w:rPr>
                <w:rFonts w:eastAsia="Times New Roman" w:cs="Calibri"/>
                <w:color w:val="000000"/>
                <w:sz w:val="20"/>
                <w:szCs w:val="20"/>
                <w:lang w:eastAsia="en-AU"/>
              </w:rPr>
            </w:pPr>
          </w:p>
        </w:tc>
        <w:tc>
          <w:tcPr>
            <w:tcW w:w="972" w:type="dxa"/>
            <w:tcBorders>
              <w:top w:val="nil"/>
              <w:left w:val="nil"/>
              <w:bottom w:val="single" w:sz="4" w:space="0" w:color="BFBFBF"/>
              <w:right w:val="single" w:sz="4" w:space="0" w:color="BFBFBF"/>
            </w:tcBorders>
            <w:shd w:val="clear" w:color="auto" w:fill="auto"/>
            <w:noWrap/>
            <w:hideMark/>
          </w:tcPr>
          <w:p w14:paraId="4615C2E6" w14:textId="6D6838D9"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4BE2B969" w14:textId="5259D9D0"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53EFD267" w14:textId="5C05D980"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32678A6B" w14:textId="33371C0F"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34" w:type="dxa"/>
            <w:vMerge/>
            <w:tcBorders>
              <w:top w:val="single" w:sz="4" w:space="0" w:color="808080"/>
              <w:left w:val="single" w:sz="4" w:space="0" w:color="BFBFBF"/>
              <w:bottom w:val="single" w:sz="4" w:space="0" w:color="BFBFBF"/>
              <w:right w:val="single" w:sz="4" w:space="0" w:color="BFBFBF"/>
            </w:tcBorders>
            <w:vAlign w:val="center"/>
            <w:hideMark/>
          </w:tcPr>
          <w:p w14:paraId="4935EBE9" w14:textId="77777777" w:rsidR="00F42A40" w:rsidRPr="008C1B89" w:rsidRDefault="00F42A40" w:rsidP="00F42A40">
            <w:pPr>
              <w:rPr>
                <w:rFonts w:eastAsia="Times New Roman" w:cs="Calibri"/>
                <w:color w:val="000000"/>
                <w:sz w:val="20"/>
                <w:szCs w:val="20"/>
                <w:lang w:eastAsia="en-AU"/>
              </w:rPr>
            </w:pPr>
          </w:p>
        </w:tc>
      </w:tr>
      <w:tr w:rsidR="00F42A40" w:rsidRPr="008C1B89" w14:paraId="6E68BFA3"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2F77B3F7"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 xml:space="preserve">Persistent organic pollutants thermal destruction facility </w:t>
            </w:r>
          </w:p>
        </w:tc>
        <w:tc>
          <w:tcPr>
            <w:tcW w:w="870" w:type="dxa"/>
            <w:tcBorders>
              <w:top w:val="nil"/>
              <w:left w:val="nil"/>
              <w:bottom w:val="single" w:sz="4" w:space="0" w:color="BFBFBF"/>
              <w:right w:val="single" w:sz="4" w:space="0" w:color="BFBFBF"/>
            </w:tcBorders>
            <w:shd w:val="clear" w:color="000000" w:fill="FFFFFF"/>
            <w:noWrap/>
            <w:hideMark/>
          </w:tcPr>
          <w:p w14:paraId="1E3FD00B" w14:textId="643C352D" w:rsidR="00F42A40" w:rsidRPr="008C1B89" w:rsidRDefault="00F42A40" w:rsidP="00F42A40">
            <w:pPr>
              <w:jc w:val="right"/>
              <w:rPr>
                <w:rFonts w:eastAsia="Times New Roman" w:cs="Calibri"/>
                <w:color w:val="000000"/>
                <w:sz w:val="20"/>
                <w:szCs w:val="20"/>
                <w:lang w:eastAsia="en-AU"/>
              </w:rPr>
            </w:pPr>
            <w:r>
              <w:rPr>
                <w:color w:val="000000"/>
                <w:sz w:val="20"/>
                <w:szCs w:val="20"/>
              </w:rPr>
              <w:t>0</w:t>
            </w:r>
          </w:p>
        </w:tc>
        <w:tc>
          <w:tcPr>
            <w:tcW w:w="965" w:type="dxa"/>
            <w:tcBorders>
              <w:left w:val="nil"/>
              <w:right w:val="single" w:sz="4" w:space="0" w:color="BFBFBF"/>
            </w:tcBorders>
            <w:shd w:val="clear" w:color="auto" w:fill="auto"/>
            <w:noWrap/>
            <w:vAlign w:val="center"/>
            <w:hideMark/>
          </w:tcPr>
          <w:p w14:paraId="111CEA26" w14:textId="272EB97F" w:rsidR="00F42A40" w:rsidRPr="008C1B89" w:rsidRDefault="00F42A40" w:rsidP="009D734D">
            <w:pPr>
              <w:jc w:val="center"/>
              <w:rPr>
                <w:rFonts w:eastAsia="Times New Roman" w:cs="Calibri"/>
                <w:color w:val="000000"/>
                <w:sz w:val="20"/>
                <w:szCs w:val="20"/>
                <w:lang w:eastAsia="en-AU"/>
              </w:rPr>
            </w:pPr>
          </w:p>
        </w:tc>
        <w:tc>
          <w:tcPr>
            <w:tcW w:w="1038" w:type="dxa"/>
            <w:tcBorders>
              <w:left w:val="nil"/>
              <w:right w:val="single" w:sz="4" w:space="0" w:color="BFBFBF"/>
            </w:tcBorders>
            <w:shd w:val="clear" w:color="auto" w:fill="auto"/>
            <w:noWrap/>
            <w:vAlign w:val="center"/>
            <w:hideMark/>
          </w:tcPr>
          <w:p w14:paraId="1D4F7778" w14:textId="468EF795" w:rsidR="00F42A40" w:rsidRPr="008C1B89" w:rsidRDefault="00F42A40" w:rsidP="009D734D">
            <w:pPr>
              <w:jc w:val="center"/>
              <w:rPr>
                <w:rFonts w:eastAsia="Times New Roman" w:cs="Calibri"/>
                <w:color w:val="000000"/>
                <w:sz w:val="20"/>
                <w:szCs w:val="20"/>
                <w:lang w:eastAsia="en-AU"/>
              </w:rPr>
            </w:pPr>
          </w:p>
        </w:tc>
        <w:tc>
          <w:tcPr>
            <w:tcW w:w="972" w:type="dxa"/>
            <w:tcBorders>
              <w:top w:val="nil"/>
              <w:left w:val="nil"/>
              <w:bottom w:val="single" w:sz="4" w:space="0" w:color="BFBFBF"/>
              <w:right w:val="single" w:sz="4" w:space="0" w:color="BFBFBF"/>
            </w:tcBorders>
            <w:shd w:val="clear" w:color="auto" w:fill="auto"/>
            <w:noWrap/>
            <w:hideMark/>
          </w:tcPr>
          <w:p w14:paraId="0CA6EAE6" w14:textId="30630A9A"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7A8E24C9" w14:textId="629A8584"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3A262BCE" w14:textId="5D011568"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56B502E" w14:textId="0D9F2BAC"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34" w:type="dxa"/>
            <w:vMerge/>
            <w:tcBorders>
              <w:top w:val="single" w:sz="4" w:space="0" w:color="808080"/>
              <w:left w:val="single" w:sz="4" w:space="0" w:color="BFBFBF"/>
              <w:bottom w:val="single" w:sz="4" w:space="0" w:color="BFBFBF"/>
              <w:right w:val="single" w:sz="4" w:space="0" w:color="BFBFBF"/>
            </w:tcBorders>
            <w:vAlign w:val="center"/>
            <w:hideMark/>
          </w:tcPr>
          <w:p w14:paraId="60EFE673" w14:textId="77777777" w:rsidR="00F42A40" w:rsidRPr="008C1B89" w:rsidRDefault="00F42A40" w:rsidP="00F42A40">
            <w:pPr>
              <w:rPr>
                <w:rFonts w:eastAsia="Times New Roman" w:cs="Calibri"/>
                <w:color w:val="000000"/>
                <w:sz w:val="20"/>
                <w:szCs w:val="20"/>
                <w:lang w:eastAsia="en-AU"/>
              </w:rPr>
            </w:pPr>
          </w:p>
        </w:tc>
      </w:tr>
      <w:tr w:rsidR="00F42A40" w:rsidRPr="008C1B89" w14:paraId="55B448CF"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438CC5B4"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Clinical waste facility thermal destruction</w:t>
            </w:r>
          </w:p>
        </w:tc>
        <w:tc>
          <w:tcPr>
            <w:tcW w:w="870" w:type="dxa"/>
            <w:tcBorders>
              <w:top w:val="nil"/>
              <w:left w:val="nil"/>
              <w:bottom w:val="single" w:sz="4" w:space="0" w:color="BFBFBF"/>
              <w:right w:val="single" w:sz="4" w:space="0" w:color="BFBFBF"/>
            </w:tcBorders>
            <w:shd w:val="clear" w:color="000000" w:fill="FFFFFF"/>
            <w:noWrap/>
            <w:hideMark/>
          </w:tcPr>
          <w:p w14:paraId="0A895D0A" w14:textId="2E5B26C0" w:rsidR="00F42A40" w:rsidRPr="008C1B89" w:rsidRDefault="00F42A40" w:rsidP="00F42A40">
            <w:pPr>
              <w:jc w:val="right"/>
              <w:rPr>
                <w:rFonts w:eastAsia="Times New Roman" w:cs="Calibri"/>
                <w:color w:val="000000"/>
                <w:sz w:val="20"/>
                <w:szCs w:val="20"/>
                <w:lang w:eastAsia="en-AU"/>
              </w:rPr>
            </w:pPr>
            <w:r>
              <w:rPr>
                <w:color w:val="000000"/>
                <w:sz w:val="20"/>
                <w:szCs w:val="20"/>
              </w:rPr>
              <w:t>75</w:t>
            </w:r>
          </w:p>
        </w:tc>
        <w:tc>
          <w:tcPr>
            <w:tcW w:w="965" w:type="dxa"/>
            <w:tcBorders>
              <w:left w:val="nil"/>
              <w:bottom w:val="single" w:sz="4" w:space="0" w:color="BFBFBF"/>
              <w:right w:val="single" w:sz="4" w:space="0" w:color="BFBFBF"/>
            </w:tcBorders>
            <w:shd w:val="clear" w:color="auto" w:fill="auto"/>
            <w:noWrap/>
            <w:vAlign w:val="center"/>
            <w:hideMark/>
          </w:tcPr>
          <w:p w14:paraId="52C30985" w14:textId="75BCDCAD" w:rsidR="00F42A40" w:rsidRPr="008C1B89" w:rsidRDefault="00F42A40" w:rsidP="009D734D">
            <w:pPr>
              <w:jc w:val="center"/>
              <w:rPr>
                <w:rFonts w:eastAsia="Times New Roman" w:cs="Calibri"/>
                <w:color w:val="000000"/>
                <w:sz w:val="20"/>
                <w:szCs w:val="20"/>
                <w:lang w:eastAsia="en-AU"/>
              </w:rPr>
            </w:pPr>
          </w:p>
        </w:tc>
        <w:tc>
          <w:tcPr>
            <w:tcW w:w="1038" w:type="dxa"/>
            <w:tcBorders>
              <w:left w:val="nil"/>
              <w:bottom w:val="single" w:sz="4" w:space="0" w:color="BFBFBF"/>
              <w:right w:val="single" w:sz="4" w:space="0" w:color="BFBFBF"/>
            </w:tcBorders>
            <w:shd w:val="clear" w:color="auto" w:fill="auto"/>
            <w:noWrap/>
            <w:vAlign w:val="center"/>
            <w:hideMark/>
          </w:tcPr>
          <w:p w14:paraId="1F5118B2" w14:textId="696AD8F9" w:rsidR="00F42A40" w:rsidRPr="008C1B89" w:rsidRDefault="00F42A40" w:rsidP="009D734D">
            <w:pPr>
              <w:jc w:val="center"/>
              <w:rPr>
                <w:rFonts w:eastAsia="Times New Roman" w:cs="Calibri"/>
                <w:color w:val="000000"/>
                <w:sz w:val="20"/>
                <w:szCs w:val="20"/>
                <w:lang w:eastAsia="en-AU"/>
              </w:rPr>
            </w:pPr>
          </w:p>
        </w:tc>
        <w:tc>
          <w:tcPr>
            <w:tcW w:w="972" w:type="dxa"/>
            <w:tcBorders>
              <w:top w:val="nil"/>
              <w:left w:val="nil"/>
              <w:bottom w:val="single" w:sz="4" w:space="0" w:color="BFBFBF"/>
              <w:right w:val="single" w:sz="4" w:space="0" w:color="BFBFBF"/>
            </w:tcBorders>
            <w:shd w:val="clear" w:color="auto" w:fill="auto"/>
            <w:noWrap/>
            <w:hideMark/>
          </w:tcPr>
          <w:p w14:paraId="052D354A" w14:textId="0D1C554E"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32621C71" w14:textId="1301396D"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78E9FC9B" w14:textId="3104C4E5"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438CB32E" w14:textId="1F0244CF"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34" w:type="dxa"/>
            <w:vMerge/>
            <w:tcBorders>
              <w:top w:val="single" w:sz="4" w:space="0" w:color="808080"/>
              <w:left w:val="single" w:sz="4" w:space="0" w:color="BFBFBF"/>
              <w:bottom w:val="single" w:sz="4" w:space="0" w:color="BFBFBF"/>
              <w:right w:val="single" w:sz="4" w:space="0" w:color="BFBFBF"/>
            </w:tcBorders>
            <w:vAlign w:val="center"/>
            <w:hideMark/>
          </w:tcPr>
          <w:p w14:paraId="07C2C2B5" w14:textId="77777777" w:rsidR="00F42A40" w:rsidRPr="008C1B89" w:rsidRDefault="00F42A40" w:rsidP="00F42A40">
            <w:pPr>
              <w:rPr>
                <w:rFonts w:eastAsia="Times New Roman" w:cs="Calibri"/>
                <w:color w:val="000000"/>
                <w:sz w:val="20"/>
                <w:szCs w:val="20"/>
                <w:lang w:eastAsia="en-AU"/>
              </w:rPr>
            </w:pPr>
          </w:p>
        </w:tc>
      </w:tr>
      <w:tr w:rsidR="009D734D" w:rsidRPr="008C1B89" w14:paraId="1A8B9923"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005A09BD" w14:textId="77777777" w:rsidR="00F42A40" w:rsidRPr="008C1B89" w:rsidRDefault="00F42A40" w:rsidP="00F42A40">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Short-term storage or transfer</w:t>
            </w:r>
          </w:p>
        </w:tc>
        <w:tc>
          <w:tcPr>
            <w:tcW w:w="870" w:type="dxa"/>
            <w:tcBorders>
              <w:top w:val="nil"/>
              <w:left w:val="nil"/>
              <w:bottom w:val="single" w:sz="4" w:space="0" w:color="BFBFBF"/>
              <w:right w:val="single" w:sz="4" w:space="0" w:color="BFBFBF"/>
            </w:tcBorders>
            <w:shd w:val="clear" w:color="000000" w:fill="C5D9F1"/>
            <w:noWrap/>
            <w:hideMark/>
          </w:tcPr>
          <w:p w14:paraId="193457A7" w14:textId="351674D8"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965" w:type="dxa"/>
            <w:tcBorders>
              <w:top w:val="nil"/>
              <w:left w:val="nil"/>
              <w:bottom w:val="single" w:sz="4" w:space="0" w:color="BFBFBF"/>
              <w:right w:val="nil"/>
            </w:tcBorders>
            <w:shd w:val="clear" w:color="000000" w:fill="C5D9F1"/>
            <w:noWrap/>
            <w:vAlign w:val="center"/>
            <w:hideMark/>
          </w:tcPr>
          <w:p w14:paraId="081359CB" w14:textId="6AEBCFBC" w:rsidR="00F42A40" w:rsidRPr="008C1B89" w:rsidRDefault="00F42A40" w:rsidP="009D734D">
            <w:pPr>
              <w:jc w:val="center"/>
              <w:rPr>
                <w:rFonts w:eastAsia="Times New Roman" w:cs="Calibri"/>
                <w:color w:val="000000"/>
                <w:sz w:val="20"/>
                <w:szCs w:val="20"/>
                <w:lang w:eastAsia="en-AU"/>
              </w:rPr>
            </w:pPr>
          </w:p>
        </w:tc>
        <w:tc>
          <w:tcPr>
            <w:tcW w:w="1038" w:type="dxa"/>
            <w:tcBorders>
              <w:top w:val="nil"/>
              <w:left w:val="nil"/>
              <w:bottom w:val="single" w:sz="4" w:space="0" w:color="BFBFBF"/>
              <w:right w:val="nil"/>
            </w:tcBorders>
            <w:shd w:val="clear" w:color="000000" w:fill="C5D9F1"/>
            <w:noWrap/>
            <w:vAlign w:val="center"/>
            <w:hideMark/>
          </w:tcPr>
          <w:p w14:paraId="69688476" w14:textId="738D4E6A" w:rsidR="00F42A40" w:rsidRPr="008C1B89" w:rsidRDefault="00F42A40" w:rsidP="009D734D">
            <w:pPr>
              <w:jc w:val="center"/>
              <w:rPr>
                <w:rFonts w:eastAsia="Times New Roman" w:cs="Calibri"/>
                <w:color w:val="000000"/>
                <w:sz w:val="20"/>
                <w:szCs w:val="20"/>
                <w:lang w:eastAsia="en-AU"/>
              </w:rPr>
            </w:pPr>
          </w:p>
        </w:tc>
        <w:tc>
          <w:tcPr>
            <w:tcW w:w="972" w:type="dxa"/>
            <w:tcBorders>
              <w:top w:val="nil"/>
              <w:left w:val="nil"/>
              <w:bottom w:val="single" w:sz="4" w:space="0" w:color="BFBFBF"/>
              <w:right w:val="single" w:sz="4" w:space="0" w:color="BFBFBF"/>
            </w:tcBorders>
            <w:shd w:val="clear" w:color="000000" w:fill="C5D9F1"/>
            <w:noWrap/>
            <w:hideMark/>
          </w:tcPr>
          <w:p w14:paraId="69AE8C58" w14:textId="7A99A914"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684B0A72" w14:textId="73F8563B"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21DCA8A2" w14:textId="1910F9EA"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293E13F0" w14:textId="3B504FD0"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5134" w:type="dxa"/>
            <w:vMerge/>
            <w:tcBorders>
              <w:top w:val="single" w:sz="4" w:space="0" w:color="808080"/>
              <w:left w:val="single" w:sz="4" w:space="0" w:color="BFBFBF"/>
              <w:bottom w:val="single" w:sz="4" w:space="0" w:color="BFBFBF"/>
              <w:right w:val="single" w:sz="4" w:space="0" w:color="BFBFBF"/>
            </w:tcBorders>
            <w:vAlign w:val="center"/>
            <w:hideMark/>
          </w:tcPr>
          <w:p w14:paraId="4D8FA3CC" w14:textId="77777777" w:rsidR="00F42A40" w:rsidRPr="008C1B89" w:rsidRDefault="00F42A40" w:rsidP="00F42A40">
            <w:pPr>
              <w:rPr>
                <w:rFonts w:eastAsia="Times New Roman" w:cs="Calibri"/>
                <w:color w:val="000000"/>
                <w:sz w:val="20"/>
                <w:szCs w:val="20"/>
                <w:lang w:eastAsia="en-AU"/>
              </w:rPr>
            </w:pPr>
          </w:p>
        </w:tc>
      </w:tr>
      <w:tr w:rsidR="00F42A40" w:rsidRPr="008C1B89" w14:paraId="58831D5C"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787E86E3"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Transfer facility</w:t>
            </w:r>
          </w:p>
        </w:tc>
        <w:tc>
          <w:tcPr>
            <w:tcW w:w="870" w:type="dxa"/>
            <w:tcBorders>
              <w:top w:val="nil"/>
              <w:left w:val="nil"/>
              <w:bottom w:val="single" w:sz="4" w:space="0" w:color="BFBFBF"/>
              <w:right w:val="single" w:sz="4" w:space="0" w:color="BFBFBF"/>
            </w:tcBorders>
            <w:shd w:val="clear" w:color="000000" w:fill="FFFFFF"/>
            <w:noWrap/>
            <w:hideMark/>
          </w:tcPr>
          <w:p w14:paraId="2909B4FE" w14:textId="4FBD7EA6" w:rsidR="00F42A40" w:rsidRPr="008C1B89" w:rsidRDefault="00F42A40" w:rsidP="00F42A40">
            <w:pPr>
              <w:jc w:val="right"/>
              <w:rPr>
                <w:rFonts w:eastAsia="Times New Roman" w:cs="Calibri"/>
                <w:color w:val="000000"/>
                <w:sz w:val="20"/>
                <w:szCs w:val="20"/>
                <w:lang w:eastAsia="en-AU"/>
              </w:rPr>
            </w:pPr>
            <w:r>
              <w:rPr>
                <w:color w:val="000000"/>
                <w:sz w:val="20"/>
                <w:szCs w:val="20"/>
              </w:rPr>
              <w:t>2,296</w:t>
            </w:r>
          </w:p>
        </w:tc>
        <w:tc>
          <w:tcPr>
            <w:tcW w:w="965" w:type="dxa"/>
            <w:tcBorders>
              <w:top w:val="nil"/>
              <w:left w:val="nil"/>
              <w:bottom w:val="single" w:sz="4" w:space="0" w:color="BFBFBF"/>
              <w:right w:val="single" w:sz="4" w:space="0" w:color="BFBFBF"/>
            </w:tcBorders>
            <w:shd w:val="clear" w:color="auto" w:fill="auto"/>
            <w:noWrap/>
            <w:vAlign w:val="center"/>
            <w:hideMark/>
          </w:tcPr>
          <w:p w14:paraId="747137EE" w14:textId="4312B9AC"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38" w:type="dxa"/>
            <w:tcBorders>
              <w:top w:val="nil"/>
              <w:left w:val="nil"/>
              <w:bottom w:val="single" w:sz="4" w:space="0" w:color="BFBFBF"/>
              <w:right w:val="single" w:sz="4" w:space="0" w:color="BFBFBF"/>
            </w:tcBorders>
            <w:shd w:val="clear" w:color="auto" w:fill="auto"/>
            <w:noWrap/>
            <w:vAlign w:val="center"/>
            <w:hideMark/>
          </w:tcPr>
          <w:p w14:paraId="367BA67D" w14:textId="4069E6EF"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72" w:type="dxa"/>
            <w:tcBorders>
              <w:top w:val="nil"/>
              <w:left w:val="nil"/>
              <w:bottom w:val="single" w:sz="4" w:space="0" w:color="BFBFBF"/>
              <w:right w:val="single" w:sz="4" w:space="0" w:color="BFBFBF"/>
            </w:tcBorders>
            <w:shd w:val="clear" w:color="auto" w:fill="auto"/>
            <w:noWrap/>
            <w:hideMark/>
          </w:tcPr>
          <w:p w14:paraId="40AEDB28" w14:textId="062A1EED"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0F1A6DE4" w14:textId="18F11363"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03F68DF0" w14:textId="738173A9"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24AFD5F4" w14:textId="483F0B29"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134" w:type="dxa"/>
            <w:vMerge/>
            <w:tcBorders>
              <w:top w:val="single" w:sz="4" w:space="0" w:color="808080"/>
              <w:left w:val="single" w:sz="4" w:space="0" w:color="BFBFBF"/>
              <w:bottom w:val="single" w:sz="4" w:space="0" w:color="BFBFBF"/>
              <w:right w:val="single" w:sz="4" w:space="0" w:color="BFBFBF"/>
            </w:tcBorders>
            <w:vAlign w:val="center"/>
            <w:hideMark/>
          </w:tcPr>
          <w:p w14:paraId="08AFBA1A" w14:textId="77777777" w:rsidR="00F42A40" w:rsidRPr="008C1B89" w:rsidRDefault="00F42A40" w:rsidP="00F42A40">
            <w:pPr>
              <w:rPr>
                <w:rFonts w:eastAsia="Times New Roman" w:cs="Calibri"/>
                <w:color w:val="000000"/>
                <w:sz w:val="20"/>
                <w:szCs w:val="20"/>
                <w:lang w:eastAsia="en-AU"/>
              </w:rPr>
            </w:pPr>
          </w:p>
        </w:tc>
      </w:tr>
      <w:tr w:rsidR="009D734D" w:rsidRPr="008C1B89" w14:paraId="2BA0D30B"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390A28D1" w14:textId="77777777" w:rsidR="00F42A40" w:rsidRPr="008C1B89" w:rsidRDefault="00F42A40" w:rsidP="00F42A40">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Long-term storage</w:t>
            </w:r>
          </w:p>
        </w:tc>
        <w:tc>
          <w:tcPr>
            <w:tcW w:w="870" w:type="dxa"/>
            <w:tcBorders>
              <w:top w:val="nil"/>
              <w:left w:val="nil"/>
              <w:bottom w:val="single" w:sz="4" w:space="0" w:color="BFBFBF"/>
              <w:right w:val="single" w:sz="4" w:space="0" w:color="BFBFBF"/>
            </w:tcBorders>
            <w:shd w:val="clear" w:color="000000" w:fill="C5D9F1"/>
            <w:noWrap/>
            <w:hideMark/>
          </w:tcPr>
          <w:p w14:paraId="55CC9DF6" w14:textId="359C0BF9"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965" w:type="dxa"/>
            <w:tcBorders>
              <w:top w:val="nil"/>
              <w:left w:val="nil"/>
              <w:bottom w:val="single" w:sz="4" w:space="0" w:color="BFBFBF"/>
              <w:right w:val="nil"/>
            </w:tcBorders>
            <w:shd w:val="clear" w:color="000000" w:fill="C5D9F1"/>
            <w:noWrap/>
            <w:vAlign w:val="center"/>
            <w:hideMark/>
          </w:tcPr>
          <w:p w14:paraId="25D4BD83" w14:textId="0F0620BD" w:rsidR="00F42A40" w:rsidRPr="008C1B89" w:rsidRDefault="00F42A40" w:rsidP="009D734D">
            <w:pPr>
              <w:jc w:val="center"/>
              <w:rPr>
                <w:rFonts w:eastAsia="Times New Roman" w:cs="Calibri"/>
                <w:color w:val="000000"/>
                <w:sz w:val="20"/>
                <w:szCs w:val="20"/>
                <w:lang w:eastAsia="en-AU"/>
              </w:rPr>
            </w:pPr>
          </w:p>
        </w:tc>
        <w:tc>
          <w:tcPr>
            <w:tcW w:w="1038" w:type="dxa"/>
            <w:tcBorders>
              <w:top w:val="nil"/>
              <w:left w:val="nil"/>
              <w:bottom w:val="single" w:sz="4" w:space="0" w:color="BFBFBF"/>
              <w:right w:val="nil"/>
            </w:tcBorders>
            <w:shd w:val="clear" w:color="000000" w:fill="C5D9F1"/>
            <w:noWrap/>
            <w:vAlign w:val="center"/>
            <w:hideMark/>
          </w:tcPr>
          <w:p w14:paraId="6D770794" w14:textId="7922993F" w:rsidR="00F42A40" w:rsidRPr="008C1B89" w:rsidRDefault="00F42A40" w:rsidP="009D734D">
            <w:pPr>
              <w:jc w:val="center"/>
              <w:rPr>
                <w:rFonts w:eastAsia="Times New Roman" w:cs="Calibri"/>
                <w:color w:val="000000"/>
                <w:sz w:val="20"/>
                <w:szCs w:val="20"/>
                <w:lang w:eastAsia="en-AU"/>
              </w:rPr>
            </w:pPr>
          </w:p>
        </w:tc>
        <w:tc>
          <w:tcPr>
            <w:tcW w:w="972" w:type="dxa"/>
            <w:tcBorders>
              <w:top w:val="nil"/>
              <w:left w:val="nil"/>
              <w:bottom w:val="single" w:sz="4" w:space="0" w:color="BFBFBF"/>
              <w:right w:val="single" w:sz="4" w:space="0" w:color="BFBFBF"/>
            </w:tcBorders>
            <w:shd w:val="clear" w:color="000000" w:fill="C5D9F1"/>
            <w:noWrap/>
            <w:hideMark/>
          </w:tcPr>
          <w:p w14:paraId="0A6AB36D" w14:textId="250B96CD"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3A721D69" w14:textId="48A4F171"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46DF238E" w14:textId="7ACF5403"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7963D354" w14:textId="7ED700BB"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5134" w:type="dxa"/>
            <w:vMerge/>
            <w:tcBorders>
              <w:top w:val="single" w:sz="4" w:space="0" w:color="808080"/>
              <w:left w:val="single" w:sz="4" w:space="0" w:color="BFBFBF"/>
              <w:bottom w:val="single" w:sz="4" w:space="0" w:color="BFBFBF"/>
              <w:right w:val="single" w:sz="4" w:space="0" w:color="BFBFBF"/>
            </w:tcBorders>
            <w:vAlign w:val="center"/>
            <w:hideMark/>
          </w:tcPr>
          <w:p w14:paraId="05AF2811" w14:textId="77777777" w:rsidR="00F42A40" w:rsidRPr="008C1B89" w:rsidRDefault="00F42A40" w:rsidP="00F42A40">
            <w:pPr>
              <w:rPr>
                <w:rFonts w:eastAsia="Times New Roman" w:cs="Calibri"/>
                <w:color w:val="000000"/>
                <w:sz w:val="20"/>
                <w:szCs w:val="20"/>
                <w:lang w:eastAsia="en-AU"/>
              </w:rPr>
            </w:pPr>
          </w:p>
        </w:tc>
      </w:tr>
      <w:tr w:rsidR="00F42A40" w:rsidRPr="008C1B89" w14:paraId="0350465D"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53CD0FAE"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Long-term on-site storage</w:t>
            </w:r>
          </w:p>
        </w:tc>
        <w:tc>
          <w:tcPr>
            <w:tcW w:w="870" w:type="dxa"/>
            <w:tcBorders>
              <w:top w:val="nil"/>
              <w:left w:val="nil"/>
              <w:bottom w:val="single" w:sz="4" w:space="0" w:color="BFBFBF"/>
              <w:right w:val="single" w:sz="4" w:space="0" w:color="BFBFBF"/>
            </w:tcBorders>
            <w:shd w:val="clear" w:color="000000" w:fill="FFFFFF"/>
            <w:noWrap/>
            <w:hideMark/>
          </w:tcPr>
          <w:p w14:paraId="7CDF795F" w14:textId="1943F9B3" w:rsidR="00F42A40" w:rsidRPr="008C1B89" w:rsidRDefault="00F42A40" w:rsidP="00F42A40">
            <w:pPr>
              <w:jc w:val="right"/>
              <w:rPr>
                <w:rFonts w:eastAsia="Times New Roman" w:cs="Calibri"/>
                <w:color w:val="000000"/>
                <w:sz w:val="20"/>
                <w:szCs w:val="20"/>
                <w:lang w:eastAsia="en-AU"/>
              </w:rPr>
            </w:pPr>
            <w:r>
              <w:rPr>
                <w:color w:val="000000"/>
                <w:sz w:val="20"/>
                <w:szCs w:val="20"/>
              </w:rPr>
              <w:t>0</w:t>
            </w:r>
          </w:p>
        </w:tc>
        <w:tc>
          <w:tcPr>
            <w:tcW w:w="965" w:type="dxa"/>
            <w:tcBorders>
              <w:top w:val="nil"/>
              <w:left w:val="nil"/>
              <w:right w:val="single" w:sz="4" w:space="0" w:color="BFBFBF"/>
            </w:tcBorders>
            <w:shd w:val="clear" w:color="auto" w:fill="auto"/>
            <w:noWrap/>
            <w:vAlign w:val="center"/>
            <w:hideMark/>
          </w:tcPr>
          <w:p w14:paraId="244038AF" w14:textId="39CD246F"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38" w:type="dxa"/>
            <w:tcBorders>
              <w:top w:val="nil"/>
              <w:left w:val="nil"/>
              <w:right w:val="single" w:sz="4" w:space="0" w:color="BFBFBF"/>
            </w:tcBorders>
            <w:shd w:val="clear" w:color="auto" w:fill="auto"/>
            <w:noWrap/>
            <w:vAlign w:val="center"/>
            <w:hideMark/>
          </w:tcPr>
          <w:p w14:paraId="4ECB5F20" w14:textId="0DFB865A"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72" w:type="dxa"/>
            <w:tcBorders>
              <w:top w:val="nil"/>
              <w:left w:val="nil"/>
              <w:bottom w:val="single" w:sz="4" w:space="0" w:color="BFBFBF"/>
              <w:right w:val="single" w:sz="4" w:space="0" w:color="BFBFBF"/>
            </w:tcBorders>
            <w:shd w:val="clear" w:color="auto" w:fill="auto"/>
            <w:noWrap/>
            <w:hideMark/>
          </w:tcPr>
          <w:p w14:paraId="6B0D2863" w14:textId="76F01A83"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72D34F07" w14:textId="74360F38"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F8BC37E" w14:textId="759A7ABE"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1FD78DAB" w14:textId="4263CDD9"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34" w:type="dxa"/>
            <w:vMerge/>
            <w:tcBorders>
              <w:top w:val="single" w:sz="4" w:space="0" w:color="808080"/>
              <w:left w:val="single" w:sz="4" w:space="0" w:color="BFBFBF"/>
              <w:bottom w:val="single" w:sz="4" w:space="0" w:color="BFBFBF"/>
              <w:right w:val="single" w:sz="4" w:space="0" w:color="BFBFBF"/>
            </w:tcBorders>
            <w:vAlign w:val="center"/>
            <w:hideMark/>
          </w:tcPr>
          <w:p w14:paraId="2B62AB3E" w14:textId="77777777" w:rsidR="00F42A40" w:rsidRPr="008C1B89" w:rsidRDefault="00F42A40" w:rsidP="00F42A40">
            <w:pPr>
              <w:rPr>
                <w:rFonts w:eastAsia="Times New Roman" w:cs="Calibri"/>
                <w:color w:val="000000"/>
                <w:sz w:val="20"/>
                <w:szCs w:val="20"/>
                <w:lang w:eastAsia="en-AU"/>
              </w:rPr>
            </w:pPr>
          </w:p>
        </w:tc>
      </w:tr>
      <w:tr w:rsidR="00F42A40" w:rsidRPr="008C1B89" w14:paraId="5AED9D61" w14:textId="77777777" w:rsidTr="009D734D">
        <w:trPr>
          <w:trHeight w:val="480"/>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39A81349"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Long-term isolation facility</w:t>
            </w:r>
          </w:p>
        </w:tc>
        <w:tc>
          <w:tcPr>
            <w:tcW w:w="870" w:type="dxa"/>
            <w:tcBorders>
              <w:top w:val="nil"/>
              <w:left w:val="nil"/>
              <w:bottom w:val="single" w:sz="4" w:space="0" w:color="BFBFBF"/>
              <w:right w:val="single" w:sz="4" w:space="0" w:color="BFBFBF"/>
            </w:tcBorders>
            <w:shd w:val="clear" w:color="000000" w:fill="FFFFFF"/>
            <w:noWrap/>
            <w:hideMark/>
          </w:tcPr>
          <w:p w14:paraId="7FF8A585" w14:textId="09DCDD5F" w:rsidR="00F42A40" w:rsidRPr="008C1B89" w:rsidRDefault="00F42A40" w:rsidP="00F42A40">
            <w:pPr>
              <w:jc w:val="right"/>
              <w:rPr>
                <w:rFonts w:eastAsia="Times New Roman" w:cs="Calibri"/>
                <w:color w:val="000000"/>
                <w:sz w:val="20"/>
                <w:szCs w:val="20"/>
                <w:lang w:eastAsia="en-AU"/>
              </w:rPr>
            </w:pPr>
            <w:r>
              <w:rPr>
                <w:color w:val="000000"/>
                <w:sz w:val="20"/>
                <w:szCs w:val="20"/>
              </w:rPr>
              <w:t>0</w:t>
            </w:r>
          </w:p>
        </w:tc>
        <w:tc>
          <w:tcPr>
            <w:tcW w:w="965" w:type="dxa"/>
            <w:tcBorders>
              <w:left w:val="nil"/>
              <w:bottom w:val="single" w:sz="4" w:space="0" w:color="BFBFBF"/>
              <w:right w:val="single" w:sz="4" w:space="0" w:color="BFBFBF"/>
            </w:tcBorders>
            <w:shd w:val="clear" w:color="auto" w:fill="auto"/>
            <w:noWrap/>
            <w:vAlign w:val="center"/>
            <w:hideMark/>
          </w:tcPr>
          <w:p w14:paraId="00F2D389" w14:textId="055DDDE0" w:rsidR="00F42A40" w:rsidRPr="008C1B89" w:rsidRDefault="00F42A40" w:rsidP="009D734D">
            <w:pPr>
              <w:jc w:val="center"/>
              <w:rPr>
                <w:rFonts w:eastAsia="Times New Roman" w:cs="Calibri"/>
                <w:color w:val="000000"/>
                <w:sz w:val="20"/>
                <w:szCs w:val="20"/>
                <w:lang w:eastAsia="en-AU"/>
              </w:rPr>
            </w:pPr>
          </w:p>
        </w:tc>
        <w:tc>
          <w:tcPr>
            <w:tcW w:w="1038" w:type="dxa"/>
            <w:tcBorders>
              <w:left w:val="nil"/>
              <w:bottom w:val="single" w:sz="4" w:space="0" w:color="BFBFBF"/>
              <w:right w:val="single" w:sz="4" w:space="0" w:color="BFBFBF"/>
            </w:tcBorders>
            <w:shd w:val="clear" w:color="auto" w:fill="auto"/>
            <w:noWrap/>
            <w:vAlign w:val="center"/>
            <w:hideMark/>
          </w:tcPr>
          <w:p w14:paraId="7EA9D7C0" w14:textId="7D15902C" w:rsidR="00F42A40" w:rsidRPr="008C1B89" w:rsidRDefault="00F42A40" w:rsidP="009D734D">
            <w:pPr>
              <w:jc w:val="center"/>
              <w:rPr>
                <w:rFonts w:eastAsia="Times New Roman" w:cs="Calibri"/>
                <w:color w:val="000000"/>
                <w:sz w:val="20"/>
                <w:szCs w:val="20"/>
                <w:lang w:eastAsia="en-AU"/>
              </w:rPr>
            </w:pPr>
          </w:p>
        </w:tc>
        <w:tc>
          <w:tcPr>
            <w:tcW w:w="972" w:type="dxa"/>
            <w:tcBorders>
              <w:top w:val="nil"/>
              <w:left w:val="nil"/>
              <w:bottom w:val="single" w:sz="4" w:space="0" w:color="BFBFBF"/>
              <w:right w:val="single" w:sz="4" w:space="0" w:color="BFBFBF"/>
            </w:tcBorders>
            <w:shd w:val="clear" w:color="auto" w:fill="auto"/>
            <w:noWrap/>
            <w:hideMark/>
          </w:tcPr>
          <w:p w14:paraId="54C6EEAA" w14:textId="5D67A171"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EBED62F" w14:textId="6BA96608"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A2BAE87" w14:textId="3B71340F"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8D348C8" w14:textId="00E6FFEA"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34" w:type="dxa"/>
            <w:vMerge/>
            <w:tcBorders>
              <w:top w:val="single" w:sz="4" w:space="0" w:color="808080"/>
              <w:left w:val="single" w:sz="4" w:space="0" w:color="BFBFBF"/>
              <w:bottom w:val="single" w:sz="4" w:space="0" w:color="BFBFBF"/>
              <w:right w:val="single" w:sz="4" w:space="0" w:color="BFBFBF"/>
            </w:tcBorders>
            <w:vAlign w:val="center"/>
            <w:hideMark/>
          </w:tcPr>
          <w:p w14:paraId="0C9C1566" w14:textId="77777777" w:rsidR="00F42A40" w:rsidRPr="008C1B89" w:rsidRDefault="00F42A40" w:rsidP="00F42A40">
            <w:pPr>
              <w:rPr>
                <w:rFonts w:eastAsia="Times New Roman" w:cs="Calibri"/>
                <w:color w:val="000000"/>
                <w:sz w:val="20"/>
                <w:szCs w:val="20"/>
                <w:lang w:eastAsia="en-AU"/>
              </w:rPr>
            </w:pPr>
          </w:p>
        </w:tc>
      </w:tr>
      <w:tr w:rsidR="00EE2A88" w:rsidRPr="008C1B89" w14:paraId="658A10D2" w14:textId="77777777" w:rsidTr="008C1B89">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68BB7C56" w14:textId="77777777" w:rsidR="00EE2A88" w:rsidRPr="008C1B89" w:rsidRDefault="00EE2A88" w:rsidP="00EE2A88">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Total net Landfill fac. (NEPM code N, T)</w:t>
            </w:r>
          </w:p>
        </w:tc>
        <w:tc>
          <w:tcPr>
            <w:tcW w:w="870" w:type="dxa"/>
            <w:tcBorders>
              <w:top w:val="nil"/>
              <w:left w:val="nil"/>
              <w:bottom w:val="single" w:sz="4" w:space="0" w:color="BFBFBF"/>
              <w:right w:val="nil"/>
            </w:tcBorders>
            <w:shd w:val="clear" w:color="000000" w:fill="C5D9F1"/>
            <w:noWrap/>
            <w:hideMark/>
          </w:tcPr>
          <w:p w14:paraId="7B9DD0DF" w14:textId="7FFF009A" w:rsidR="00EE2A88" w:rsidRPr="008C1B89" w:rsidRDefault="00EE2A88" w:rsidP="00EE2A88">
            <w:pPr>
              <w:jc w:val="right"/>
              <w:rPr>
                <w:rFonts w:eastAsia="Times New Roman" w:cs="Calibri"/>
                <w:color w:val="000000"/>
                <w:sz w:val="20"/>
                <w:szCs w:val="20"/>
                <w:lang w:eastAsia="en-AU"/>
              </w:rPr>
            </w:pPr>
            <w:r>
              <w:rPr>
                <w:color w:val="000000"/>
                <w:sz w:val="20"/>
                <w:szCs w:val="20"/>
              </w:rPr>
              <w:t>12,257</w:t>
            </w:r>
          </w:p>
        </w:tc>
        <w:tc>
          <w:tcPr>
            <w:tcW w:w="965" w:type="dxa"/>
            <w:tcBorders>
              <w:top w:val="nil"/>
              <w:left w:val="nil"/>
              <w:bottom w:val="nil"/>
              <w:right w:val="nil"/>
            </w:tcBorders>
            <w:shd w:val="clear" w:color="000000" w:fill="F2F2F2"/>
            <w:noWrap/>
            <w:hideMark/>
          </w:tcPr>
          <w:p w14:paraId="7062EED9" w14:textId="74C71C3D"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1038" w:type="dxa"/>
            <w:tcBorders>
              <w:top w:val="nil"/>
              <w:left w:val="nil"/>
              <w:bottom w:val="nil"/>
              <w:right w:val="nil"/>
            </w:tcBorders>
            <w:shd w:val="clear" w:color="000000" w:fill="F2F2F2"/>
            <w:noWrap/>
            <w:hideMark/>
          </w:tcPr>
          <w:p w14:paraId="1E71F425" w14:textId="15933996"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972" w:type="dxa"/>
            <w:tcBorders>
              <w:top w:val="nil"/>
              <w:left w:val="nil"/>
              <w:bottom w:val="nil"/>
              <w:right w:val="nil"/>
            </w:tcBorders>
            <w:shd w:val="clear" w:color="000000" w:fill="F2F2F2"/>
            <w:noWrap/>
            <w:hideMark/>
          </w:tcPr>
          <w:p w14:paraId="14AFE5EB" w14:textId="4C14F8D9"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nil"/>
            </w:tcBorders>
            <w:shd w:val="clear" w:color="000000" w:fill="F2F2F2"/>
            <w:noWrap/>
            <w:hideMark/>
          </w:tcPr>
          <w:p w14:paraId="3B141DDF" w14:textId="5B9B7000"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nil"/>
            </w:tcBorders>
            <w:shd w:val="clear" w:color="000000" w:fill="F2F2F2"/>
            <w:noWrap/>
            <w:hideMark/>
          </w:tcPr>
          <w:p w14:paraId="0DCAC204" w14:textId="7524A1AA"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nil"/>
            </w:tcBorders>
            <w:shd w:val="clear" w:color="000000" w:fill="F2F2F2"/>
            <w:noWrap/>
            <w:hideMark/>
          </w:tcPr>
          <w:p w14:paraId="3681CA4D" w14:textId="195AE5A8"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5134" w:type="dxa"/>
            <w:tcBorders>
              <w:top w:val="nil"/>
              <w:left w:val="nil"/>
              <w:bottom w:val="nil"/>
              <w:right w:val="single" w:sz="4" w:space="0" w:color="BFBFBF"/>
            </w:tcBorders>
            <w:shd w:val="clear" w:color="000000" w:fill="F2F2F2"/>
            <w:noWrap/>
            <w:hideMark/>
          </w:tcPr>
          <w:p w14:paraId="2C3AC451" w14:textId="77777777" w:rsidR="00EE2A88" w:rsidRPr="008C1B89" w:rsidRDefault="00EE2A88" w:rsidP="00EE2A88">
            <w:pPr>
              <w:rPr>
                <w:rFonts w:eastAsia="Times New Roman" w:cs="Calibri"/>
                <w:color w:val="000000"/>
                <w:sz w:val="20"/>
                <w:szCs w:val="20"/>
                <w:lang w:eastAsia="en-AU"/>
              </w:rPr>
            </w:pPr>
            <w:r w:rsidRPr="008C1B89">
              <w:rPr>
                <w:rFonts w:eastAsia="Times New Roman" w:cs="Calibri"/>
                <w:color w:val="000000"/>
                <w:sz w:val="20"/>
                <w:szCs w:val="20"/>
                <w:lang w:eastAsia="en-AU"/>
              </w:rPr>
              <w:t> </w:t>
            </w:r>
          </w:p>
        </w:tc>
      </w:tr>
      <w:tr w:rsidR="00EE2A88" w:rsidRPr="008C1B89" w14:paraId="3CAE6FC6" w14:textId="77777777" w:rsidTr="008C1B89">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7CB4275F" w14:textId="77777777" w:rsidR="00EE2A88" w:rsidRPr="008C1B89" w:rsidRDefault="00EE2A88" w:rsidP="00EE2A88">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NEPM 12-13 net imp./exp. (kt)</w:t>
            </w:r>
          </w:p>
        </w:tc>
        <w:tc>
          <w:tcPr>
            <w:tcW w:w="870" w:type="dxa"/>
            <w:tcBorders>
              <w:top w:val="nil"/>
              <w:left w:val="nil"/>
              <w:bottom w:val="single" w:sz="4" w:space="0" w:color="BFBFBF"/>
              <w:right w:val="nil"/>
            </w:tcBorders>
            <w:shd w:val="clear" w:color="000000" w:fill="C5D9F1"/>
            <w:noWrap/>
            <w:hideMark/>
          </w:tcPr>
          <w:p w14:paraId="2657549C" w14:textId="4F290AEA" w:rsidR="00EE2A88" w:rsidRPr="008C1B89" w:rsidRDefault="00EE2A88" w:rsidP="00EE2A88">
            <w:pPr>
              <w:jc w:val="right"/>
              <w:rPr>
                <w:rFonts w:eastAsia="Times New Roman" w:cs="Calibri"/>
                <w:color w:val="000000"/>
                <w:sz w:val="20"/>
                <w:szCs w:val="20"/>
                <w:lang w:eastAsia="en-AU"/>
              </w:rPr>
            </w:pPr>
            <w:r>
              <w:rPr>
                <w:color w:val="000000"/>
                <w:sz w:val="20"/>
                <w:szCs w:val="20"/>
              </w:rPr>
              <w:t>6,915</w:t>
            </w:r>
          </w:p>
        </w:tc>
        <w:tc>
          <w:tcPr>
            <w:tcW w:w="965" w:type="dxa"/>
            <w:tcBorders>
              <w:top w:val="nil"/>
              <w:left w:val="nil"/>
              <w:bottom w:val="single" w:sz="4" w:space="0" w:color="BFBFBF"/>
              <w:right w:val="nil"/>
            </w:tcBorders>
            <w:shd w:val="clear" w:color="000000" w:fill="F2F2F2"/>
            <w:noWrap/>
            <w:hideMark/>
          </w:tcPr>
          <w:p w14:paraId="7F55AA20" w14:textId="74948547" w:rsidR="00EE2A88" w:rsidRPr="008C1B89" w:rsidRDefault="00EE2A88" w:rsidP="00EE2A88">
            <w:pPr>
              <w:rPr>
                <w:rFonts w:eastAsia="Times New Roman" w:cs="Calibri"/>
                <w:color w:val="000000"/>
                <w:sz w:val="20"/>
                <w:szCs w:val="20"/>
                <w:lang w:eastAsia="en-AU"/>
              </w:rPr>
            </w:pPr>
            <w:r>
              <w:rPr>
                <w:color w:val="000000"/>
                <w:sz w:val="20"/>
                <w:szCs w:val="20"/>
              </w:rPr>
              <w:t>(export)</w:t>
            </w:r>
          </w:p>
        </w:tc>
        <w:tc>
          <w:tcPr>
            <w:tcW w:w="1038" w:type="dxa"/>
            <w:tcBorders>
              <w:top w:val="nil"/>
              <w:left w:val="nil"/>
              <w:bottom w:val="single" w:sz="4" w:space="0" w:color="BFBFBF"/>
              <w:right w:val="nil"/>
            </w:tcBorders>
            <w:shd w:val="clear" w:color="000000" w:fill="F2F2F2"/>
            <w:noWrap/>
            <w:hideMark/>
          </w:tcPr>
          <w:p w14:paraId="146C9C71" w14:textId="00C9DF92"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972" w:type="dxa"/>
            <w:tcBorders>
              <w:top w:val="nil"/>
              <w:left w:val="nil"/>
              <w:bottom w:val="single" w:sz="4" w:space="0" w:color="BFBFBF"/>
              <w:right w:val="nil"/>
            </w:tcBorders>
            <w:shd w:val="clear" w:color="000000" w:fill="F2F2F2"/>
            <w:noWrap/>
            <w:hideMark/>
          </w:tcPr>
          <w:p w14:paraId="25BA569F" w14:textId="5B92915F"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nil"/>
            </w:tcBorders>
            <w:shd w:val="clear" w:color="000000" w:fill="F2F2F2"/>
            <w:noWrap/>
            <w:hideMark/>
          </w:tcPr>
          <w:p w14:paraId="7899D4BF" w14:textId="20DFBF3C"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nil"/>
            </w:tcBorders>
            <w:shd w:val="clear" w:color="000000" w:fill="F2F2F2"/>
            <w:noWrap/>
            <w:hideMark/>
          </w:tcPr>
          <w:p w14:paraId="40838C10" w14:textId="42B817F2"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nil"/>
            </w:tcBorders>
            <w:shd w:val="clear" w:color="000000" w:fill="F2F2F2"/>
            <w:noWrap/>
            <w:hideMark/>
          </w:tcPr>
          <w:p w14:paraId="11A11237" w14:textId="2B7B6CC4"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5134" w:type="dxa"/>
            <w:tcBorders>
              <w:top w:val="nil"/>
              <w:left w:val="nil"/>
              <w:bottom w:val="single" w:sz="4" w:space="0" w:color="BFBFBF"/>
              <w:right w:val="single" w:sz="4" w:space="0" w:color="BFBFBF"/>
            </w:tcBorders>
            <w:shd w:val="clear" w:color="000000" w:fill="F2F2F2"/>
            <w:noWrap/>
            <w:hideMark/>
          </w:tcPr>
          <w:p w14:paraId="6B4477A2" w14:textId="77777777" w:rsidR="00EE2A88" w:rsidRPr="008C1B89" w:rsidRDefault="00EE2A88" w:rsidP="00EE2A88">
            <w:pPr>
              <w:rPr>
                <w:rFonts w:eastAsia="Times New Roman" w:cs="Calibri"/>
                <w:color w:val="000000"/>
                <w:sz w:val="20"/>
                <w:szCs w:val="20"/>
                <w:lang w:eastAsia="en-AU"/>
              </w:rPr>
            </w:pPr>
            <w:r w:rsidRPr="008C1B89">
              <w:rPr>
                <w:rFonts w:eastAsia="Times New Roman" w:cs="Calibri"/>
                <w:color w:val="000000"/>
                <w:sz w:val="20"/>
                <w:szCs w:val="20"/>
                <w:lang w:eastAsia="en-AU"/>
              </w:rPr>
              <w:t> </w:t>
            </w:r>
          </w:p>
        </w:tc>
      </w:tr>
    </w:tbl>
    <w:p w14:paraId="46DBB660" w14:textId="6386D91F" w:rsidR="00B37084" w:rsidRPr="00100F0A" w:rsidRDefault="00B37084" w:rsidP="00B37084">
      <w:pPr>
        <w:pStyle w:val="BodyText"/>
      </w:pPr>
    </w:p>
    <w:p w14:paraId="4744700D" w14:textId="278B6AE1" w:rsidR="0005355F" w:rsidRPr="00100F0A" w:rsidRDefault="0005355F" w:rsidP="00B37084">
      <w:pPr>
        <w:pStyle w:val="BodyText"/>
      </w:pPr>
    </w:p>
    <w:p w14:paraId="2A901082" w14:textId="60AE0DC4" w:rsidR="00CC2667" w:rsidRPr="00100F0A" w:rsidRDefault="00CC2667">
      <w:r w:rsidRPr="00100F0A">
        <w:br w:type="page"/>
      </w:r>
    </w:p>
    <w:p w14:paraId="75F06401" w14:textId="714658E3" w:rsidR="00B37084" w:rsidRDefault="00B37084" w:rsidP="0095119F">
      <w:pPr>
        <w:pStyle w:val="Caption"/>
      </w:pPr>
      <w:bookmarkStart w:id="423" w:name="_Toc425849347"/>
      <w:bookmarkStart w:id="424" w:name="_Toc13225674"/>
      <w:r w:rsidRPr="00100F0A">
        <w:t xml:space="preserve">Table </w:t>
      </w:r>
      <w:r w:rsidR="002F2488">
        <w:rPr>
          <w:noProof/>
        </w:rPr>
        <w:fldChar w:fldCharType="begin"/>
      </w:r>
      <w:r w:rsidR="002F2488">
        <w:rPr>
          <w:noProof/>
        </w:rPr>
        <w:instrText xml:space="preserve"> SEQ Table \* ARABIC </w:instrText>
      </w:r>
      <w:r w:rsidR="002F2488">
        <w:rPr>
          <w:noProof/>
        </w:rPr>
        <w:fldChar w:fldCharType="separate"/>
      </w:r>
      <w:r w:rsidR="00EB634D">
        <w:rPr>
          <w:noProof/>
        </w:rPr>
        <w:t>55</w:t>
      </w:r>
      <w:r w:rsidR="002F2488">
        <w:rPr>
          <w:noProof/>
        </w:rPr>
        <w:fldChar w:fldCharType="end"/>
      </w:r>
      <w:r w:rsidR="00D11FEE" w:rsidRPr="00100F0A">
        <w:tab/>
      </w:r>
      <w:r w:rsidRPr="00100F0A">
        <w:t>Qld assessment of projected arisings vs infrastructure capacity</w:t>
      </w:r>
      <w:bookmarkEnd w:id="423"/>
      <w:bookmarkEnd w:id="424"/>
    </w:p>
    <w:tbl>
      <w:tblPr>
        <w:tblW w:w="14170" w:type="dxa"/>
        <w:tblLayout w:type="fixed"/>
        <w:tblLook w:val="04A0" w:firstRow="1" w:lastRow="0" w:firstColumn="1" w:lastColumn="0" w:noHBand="0" w:noVBand="1"/>
      </w:tblPr>
      <w:tblGrid>
        <w:gridCol w:w="2830"/>
        <w:gridCol w:w="896"/>
        <w:gridCol w:w="963"/>
        <w:gridCol w:w="1036"/>
        <w:gridCol w:w="971"/>
        <w:gridCol w:w="740"/>
        <w:gridCol w:w="740"/>
        <w:gridCol w:w="740"/>
        <w:gridCol w:w="5254"/>
      </w:tblGrid>
      <w:tr w:rsidR="008C1B89" w:rsidRPr="008C1B89" w14:paraId="0561A922" w14:textId="77777777" w:rsidTr="008C1B89">
        <w:trPr>
          <w:trHeight w:val="1020"/>
          <w:tblHeader/>
        </w:trPr>
        <w:tc>
          <w:tcPr>
            <w:tcW w:w="2830" w:type="dxa"/>
            <w:tcBorders>
              <w:top w:val="single" w:sz="4" w:space="0" w:color="BFBFBF"/>
              <w:left w:val="single" w:sz="4" w:space="0" w:color="BFBFBF"/>
              <w:bottom w:val="nil"/>
              <w:right w:val="nil"/>
            </w:tcBorders>
            <w:shd w:val="clear" w:color="000000" w:fill="C5D9F1"/>
            <w:vAlign w:val="center"/>
            <w:hideMark/>
          </w:tcPr>
          <w:p w14:paraId="20A27CFA"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Infrastructure group</w:t>
            </w:r>
          </w:p>
        </w:tc>
        <w:tc>
          <w:tcPr>
            <w:tcW w:w="896" w:type="dxa"/>
            <w:tcBorders>
              <w:top w:val="single" w:sz="4" w:space="0" w:color="BFBFBF"/>
              <w:left w:val="single" w:sz="4" w:space="0" w:color="BFBFBF"/>
              <w:bottom w:val="nil"/>
              <w:right w:val="nil"/>
            </w:tcBorders>
            <w:shd w:val="clear" w:color="000000" w:fill="C5D9F1"/>
            <w:hideMark/>
          </w:tcPr>
          <w:p w14:paraId="14A13FBD"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16-17 arisings</w:t>
            </w:r>
            <w:r w:rsidRPr="008C1B89">
              <w:rPr>
                <w:rFonts w:eastAsia="Times New Roman" w:cs="Calibri"/>
                <w:b/>
                <w:bCs/>
                <w:color w:val="000000"/>
                <w:sz w:val="20"/>
                <w:szCs w:val="20"/>
                <w:lang w:eastAsia="en-AU"/>
              </w:rPr>
              <w:br/>
              <w:t>(t/yr)</w:t>
            </w:r>
          </w:p>
        </w:tc>
        <w:tc>
          <w:tcPr>
            <w:tcW w:w="963" w:type="dxa"/>
            <w:tcBorders>
              <w:top w:val="single" w:sz="4" w:space="0" w:color="BFBFBF"/>
              <w:left w:val="nil"/>
              <w:bottom w:val="nil"/>
              <w:right w:val="nil"/>
            </w:tcBorders>
            <w:shd w:val="clear" w:color="000000" w:fill="C5D9F1"/>
            <w:hideMark/>
          </w:tcPr>
          <w:p w14:paraId="091702FD"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Installed capacity</w:t>
            </w:r>
            <w:r w:rsidRPr="008C1B89">
              <w:rPr>
                <w:rFonts w:eastAsia="Times New Roman" w:cs="Calibri"/>
                <w:b/>
                <w:bCs/>
                <w:color w:val="000000"/>
                <w:sz w:val="20"/>
                <w:szCs w:val="20"/>
                <w:lang w:eastAsia="en-AU"/>
              </w:rPr>
              <w:br/>
              <w:t>(t/yr)</w:t>
            </w:r>
          </w:p>
        </w:tc>
        <w:tc>
          <w:tcPr>
            <w:tcW w:w="1036" w:type="dxa"/>
            <w:tcBorders>
              <w:top w:val="single" w:sz="4" w:space="0" w:color="BFBFBF"/>
              <w:left w:val="nil"/>
              <w:bottom w:val="nil"/>
              <w:right w:val="nil"/>
            </w:tcBorders>
            <w:shd w:val="clear" w:color="000000" w:fill="C5D9F1"/>
            <w:hideMark/>
          </w:tcPr>
          <w:p w14:paraId="52DA68C5"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Expected capacity change</w:t>
            </w:r>
            <w:r w:rsidRPr="008C1B89">
              <w:rPr>
                <w:rFonts w:eastAsia="Times New Roman" w:cs="Calibri"/>
                <w:b/>
                <w:bCs/>
                <w:color w:val="000000"/>
                <w:sz w:val="20"/>
                <w:szCs w:val="20"/>
                <w:lang w:eastAsia="en-AU"/>
              </w:rPr>
              <w:br/>
              <w:t>(t/yr)</w:t>
            </w:r>
          </w:p>
        </w:tc>
        <w:tc>
          <w:tcPr>
            <w:tcW w:w="971" w:type="dxa"/>
            <w:tcBorders>
              <w:top w:val="single" w:sz="4" w:space="0" w:color="BFBFBF"/>
              <w:left w:val="nil"/>
              <w:bottom w:val="nil"/>
              <w:right w:val="single" w:sz="4" w:space="0" w:color="BFBFBF"/>
            </w:tcBorders>
            <w:shd w:val="clear" w:color="000000" w:fill="C5D9F1"/>
            <w:hideMark/>
          </w:tcPr>
          <w:p w14:paraId="1FF224A3"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Capacity data quality</w:t>
            </w:r>
            <w:r w:rsidRPr="008C1B89">
              <w:rPr>
                <w:rFonts w:eastAsia="Times New Roman" w:cs="Calibri"/>
                <w:b/>
                <w:bCs/>
                <w:color w:val="000000"/>
                <w:sz w:val="20"/>
                <w:szCs w:val="20"/>
                <w:lang w:eastAsia="en-AU"/>
              </w:rPr>
              <w:br/>
              <w:t>Good, ok, poor</w:t>
            </w:r>
          </w:p>
        </w:tc>
        <w:tc>
          <w:tcPr>
            <w:tcW w:w="2220" w:type="dxa"/>
            <w:gridSpan w:val="3"/>
            <w:tcBorders>
              <w:top w:val="single" w:sz="4" w:space="0" w:color="BFBFBF"/>
              <w:left w:val="nil"/>
              <w:bottom w:val="nil"/>
              <w:right w:val="single" w:sz="4" w:space="0" w:color="BFBFBF"/>
            </w:tcBorders>
            <w:shd w:val="clear" w:color="000000" w:fill="C5D9F1"/>
            <w:hideMark/>
          </w:tcPr>
          <w:p w14:paraId="2774373D" w14:textId="1216610F"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Est. year arisings &gt; capacity</w:t>
            </w:r>
            <w:r w:rsidRPr="008C1B89">
              <w:rPr>
                <w:rFonts w:eastAsia="Times New Roman" w:cs="Calibri"/>
                <w:b/>
                <w:bCs/>
                <w:color w:val="000000"/>
                <w:sz w:val="20"/>
                <w:szCs w:val="20"/>
                <w:lang w:eastAsia="en-AU"/>
              </w:rPr>
              <w:br/>
              <w:t>Best        High         Low</w:t>
            </w:r>
          </w:p>
        </w:tc>
        <w:tc>
          <w:tcPr>
            <w:tcW w:w="5254" w:type="dxa"/>
            <w:tcBorders>
              <w:top w:val="single" w:sz="4" w:space="0" w:color="BFBFBF"/>
              <w:left w:val="nil"/>
              <w:bottom w:val="nil"/>
              <w:right w:val="single" w:sz="4" w:space="0" w:color="BFBFBF"/>
            </w:tcBorders>
            <w:shd w:val="clear" w:color="000000" w:fill="C5D9F1"/>
            <w:hideMark/>
          </w:tcPr>
          <w:p w14:paraId="3077F794"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Assessment discussion and recommendations</w:t>
            </w:r>
          </w:p>
        </w:tc>
      </w:tr>
      <w:tr w:rsidR="008C1B89" w:rsidRPr="008C1B89" w14:paraId="264B0753" w14:textId="77777777" w:rsidTr="008C1B89">
        <w:trPr>
          <w:trHeight w:val="255"/>
        </w:trPr>
        <w:tc>
          <w:tcPr>
            <w:tcW w:w="2830" w:type="dxa"/>
            <w:tcBorders>
              <w:top w:val="single" w:sz="4" w:space="0" w:color="808080"/>
              <w:left w:val="single" w:sz="4" w:space="0" w:color="BFBFBF"/>
              <w:bottom w:val="single" w:sz="4" w:space="0" w:color="BFBFBF"/>
              <w:right w:val="nil"/>
            </w:tcBorders>
            <w:shd w:val="clear" w:color="000000" w:fill="C5D9F1"/>
            <w:noWrap/>
            <w:vAlign w:val="bottom"/>
            <w:hideMark/>
          </w:tcPr>
          <w:p w14:paraId="0EA231F4" w14:textId="77777777" w:rsidR="008C1B89" w:rsidRPr="008C1B89" w:rsidRDefault="008C1B89" w:rsidP="008C1B89">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Recycling and energy recovery</w:t>
            </w:r>
          </w:p>
        </w:tc>
        <w:tc>
          <w:tcPr>
            <w:tcW w:w="896" w:type="dxa"/>
            <w:tcBorders>
              <w:top w:val="single" w:sz="4" w:space="0" w:color="808080"/>
              <w:left w:val="nil"/>
              <w:bottom w:val="single" w:sz="4" w:space="0" w:color="BFBFBF"/>
              <w:right w:val="nil"/>
            </w:tcBorders>
            <w:shd w:val="clear" w:color="000000" w:fill="C5D9F1"/>
            <w:noWrap/>
            <w:vAlign w:val="bottom"/>
            <w:hideMark/>
          </w:tcPr>
          <w:p w14:paraId="7F6324BE" w14:textId="77777777" w:rsidR="008C1B89" w:rsidRPr="008C1B89" w:rsidRDefault="008C1B89" w:rsidP="008C1B89">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963" w:type="dxa"/>
            <w:tcBorders>
              <w:top w:val="single" w:sz="4" w:space="0" w:color="808080"/>
              <w:left w:val="nil"/>
              <w:bottom w:val="single" w:sz="4" w:space="0" w:color="BFBFBF"/>
              <w:right w:val="nil"/>
            </w:tcBorders>
            <w:shd w:val="clear" w:color="000000" w:fill="C5D9F1"/>
            <w:noWrap/>
            <w:vAlign w:val="bottom"/>
            <w:hideMark/>
          </w:tcPr>
          <w:p w14:paraId="19859BB1" w14:textId="77777777" w:rsidR="008C1B89" w:rsidRPr="008C1B89" w:rsidRDefault="008C1B89" w:rsidP="008C1B89">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1036" w:type="dxa"/>
            <w:tcBorders>
              <w:top w:val="single" w:sz="4" w:space="0" w:color="808080"/>
              <w:left w:val="nil"/>
              <w:bottom w:val="single" w:sz="4" w:space="0" w:color="BFBFBF"/>
              <w:right w:val="nil"/>
            </w:tcBorders>
            <w:shd w:val="clear" w:color="000000" w:fill="C5D9F1"/>
            <w:noWrap/>
            <w:vAlign w:val="bottom"/>
            <w:hideMark/>
          </w:tcPr>
          <w:p w14:paraId="35B282C9" w14:textId="77777777" w:rsidR="008C1B89" w:rsidRPr="008C1B89" w:rsidRDefault="008C1B89" w:rsidP="008C1B89">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971" w:type="dxa"/>
            <w:tcBorders>
              <w:top w:val="single" w:sz="4" w:space="0" w:color="808080"/>
              <w:left w:val="nil"/>
              <w:bottom w:val="single" w:sz="4" w:space="0" w:color="BFBFBF"/>
              <w:right w:val="nil"/>
            </w:tcBorders>
            <w:shd w:val="clear" w:color="000000" w:fill="C5D9F1"/>
            <w:noWrap/>
            <w:vAlign w:val="bottom"/>
            <w:hideMark/>
          </w:tcPr>
          <w:p w14:paraId="1C501650" w14:textId="77777777" w:rsidR="008C1B89" w:rsidRPr="008C1B89" w:rsidRDefault="008C1B89" w:rsidP="008C1B89">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740" w:type="dxa"/>
            <w:tcBorders>
              <w:top w:val="single" w:sz="4" w:space="0" w:color="808080"/>
              <w:left w:val="nil"/>
              <w:bottom w:val="single" w:sz="4" w:space="0" w:color="BFBFBF"/>
              <w:right w:val="nil"/>
            </w:tcBorders>
            <w:shd w:val="clear" w:color="000000" w:fill="C5D9F1"/>
            <w:noWrap/>
            <w:vAlign w:val="bottom"/>
            <w:hideMark/>
          </w:tcPr>
          <w:p w14:paraId="4774C4DE" w14:textId="77777777" w:rsidR="008C1B89" w:rsidRPr="008C1B89" w:rsidRDefault="008C1B89" w:rsidP="008C1B89">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740" w:type="dxa"/>
            <w:tcBorders>
              <w:top w:val="single" w:sz="4" w:space="0" w:color="808080"/>
              <w:left w:val="nil"/>
              <w:bottom w:val="single" w:sz="4" w:space="0" w:color="BFBFBF"/>
              <w:right w:val="nil"/>
            </w:tcBorders>
            <w:shd w:val="clear" w:color="000000" w:fill="C5D9F1"/>
            <w:noWrap/>
            <w:vAlign w:val="bottom"/>
            <w:hideMark/>
          </w:tcPr>
          <w:p w14:paraId="65B14F43" w14:textId="77777777" w:rsidR="008C1B89" w:rsidRPr="008C1B89" w:rsidRDefault="008C1B89" w:rsidP="008C1B89">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740" w:type="dxa"/>
            <w:tcBorders>
              <w:top w:val="single" w:sz="4" w:space="0" w:color="808080"/>
              <w:left w:val="nil"/>
              <w:bottom w:val="single" w:sz="4" w:space="0" w:color="BFBFBF"/>
              <w:right w:val="single" w:sz="4" w:space="0" w:color="BFBFBF"/>
            </w:tcBorders>
            <w:shd w:val="clear" w:color="000000" w:fill="C5D9F1"/>
            <w:noWrap/>
            <w:vAlign w:val="bottom"/>
            <w:hideMark/>
          </w:tcPr>
          <w:p w14:paraId="5E3ABCA4" w14:textId="77777777" w:rsidR="008C1B89" w:rsidRPr="008C1B89" w:rsidRDefault="008C1B89" w:rsidP="008C1B89">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5254" w:type="dxa"/>
            <w:vMerge w:val="restart"/>
            <w:tcBorders>
              <w:top w:val="single" w:sz="4" w:space="0" w:color="808080"/>
              <w:left w:val="single" w:sz="4" w:space="0" w:color="BFBFBF"/>
              <w:bottom w:val="single" w:sz="4" w:space="0" w:color="BFBFBF"/>
              <w:right w:val="single" w:sz="4" w:space="0" w:color="BFBFBF"/>
            </w:tcBorders>
            <w:shd w:val="clear" w:color="000000" w:fill="FFFFFF"/>
            <w:hideMark/>
          </w:tcPr>
          <w:p w14:paraId="68716276" w14:textId="12E9AAE8" w:rsidR="00F040EC" w:rsidRDefault="00763475" w:rsidP="008C1B89">
            <w:pPr>
              <w:rPr>
                <w:rFonts w:eastAsia="Times New Roman" w:cs="Calibri"/>
                <w:color w:val="000000"/>
                <w:sz w:val="20"/>
                <w:szCs w:val="20"/>
                <w:lang w:eastAsia="en-AU"/>
              </w:rPr>
            </w:pPr>
            <w:r w:rsidRPr="00100F0A">
              <w:rPr>
                <w:rFonts w:eastAsia="Times New Roman" w:cs="Calibri"/>
                <w:b/>
                <w:bCs/>
                <w:color w:val="000000"/>
                <w:sz w:val="20"/>
                <w:szCs w:val="20"/>
                <w:lang w:eastAsia="en-AU"/>
              </w:rPr>
              <w:t>Recycling and energy recovery</w:t>
            </w:r>
            <w:r w:rsidRPr="00100F0A">
              <w:rPr>
                <w:rFonts w:eastAsia="Times New Roman" w:cs="Calibri"/>
                <w:color w:val="000000"/>
                <w:sz w:val="20"/>
                <w:szCs w:val="20"/>
                <w:lang w:eastAsia="en-AU"/>
              </w:rPr>
              <w:br/>
              <w:t>- Hazwaste packaging infrastructure capacity appears constrained in Qld currently.</w:t>
            </w:r>
            <w:r w:rsidRPr="00100F0A">
              <w:rPr>
                <w:rFonts w:eastAsia="Times New Roman" w:cs="Calibri"/>
                <w:color w:val="000000"/>
                <w:sz w:val="20"/>
                <w:szCs w:val="20"/>
                <w:lang w:eastAsia="en-AU"/>
              </w:rPr>
              <w:br/>
              <w:t>- E-waste capacity is likely to be sufficient assuming no change in recovery rate until around 2030.</w:t>
            </w:r>
            <w:r w:rsidRPr="00100F0A">
              <w:rPr>
                <w:rFonts w:eastAsia="Times New Roman" w:cs="Calibri"/>
                <w:color w:val="000000"/>
                <w:sz w:val="20"/>
                <w:szCs w:val="20"/>
                <w:lang w:eastAsia="en-AU"/>
              </w:rPr>
              <w:br/>
              <w:t xml:space="preserve">- Oil re-refining capacity could be constrained locally by 2025 or by 2031 under the best estimate projection. However, if oil arisings do not increase the current capacity should be sufficient over the next 20 years. </w:t>
            </w:r>
            <w:r w:rsidRPr="00100F0A">
              <w:rPr>
                <w:rFonts w:eastAsia="Times New Roman" w:cs="Calibri"/>
                <w:color w:val="000000"/>
                <w:sz w:val="20"/>
                <w:szCs w:val="20"/>
                <w:lang w:eastAsia="en-AU"/>
              </w:rPr>
              <w:br/>
              <w:t>- Organics recycling infrastructure for Qld is missing from hazwaste capacity database. Qld has significant arisings of NEPM K code wastes and was a net importer of NEPM K code wastes in 2016-17. The missing infrastructure capacity is likely to be composting facilities, which are out of scope of this assessment.</w:t>
            </w:r>
            <w:r w:rsidRPr="00100F0A">
              <w:rPr>
                <w:rFonts w:eastAsia="Times New Roman" w:cs="Calibri"/>
                <w:color w:val="000000"/>
                <w:sz w:val="20"/>
                <w:szCs w:val="20"/>
                <w:lang w:eastAsia="en-AU"/>
              </w:rPr>
              <w:br/>
              <w:t xml:space="preserve">- Qld's annual SPL processing capacity could be exceeded under the high scenario (all SPL current arisings and stockpiles processed over </w:t>
            </w:r>
            <w:r>
              <w:rPr>
                <w:rFonts w:eastAsia="Times New Roman" w:cs="Calibri"/>
                <w:color w:val="000000"/>
                <w:sz w:val="20"/>
                <w:szCs w:val="20"/>
                <w:lang w:eastAsia="en-AU"/>
              </w:rPr>
              <w:t>10</w:t>
            </w:r>
            <w:r w:rsidRPr="00100F0A">
              <w:rPr>
                <w:rFonts w:eastAsia="Times New Roman" w:cs="Calibri"/>
                <w:color w:val="000000"/>
                <w:sz w:val="20"/>
                <w:szCs w:val="20"/>
                <w:lang w:eastAsia="en-AU"/>
              </w:rPr>
              <w:t xml:space="preserve"> years), projections show it would take more like 15 years to process the Qld stockpile of SPL whilst processing current arisings.</w:t>
            </w:r>
            <w:r w:rsidRPr="00100F0A">
              <w:rPr>
                <w:rFonts w:eastAsia="Times New Roman" w:cs="Calibri"/>
                <w:color w:val="000000"/>
                <w:sz w:val="20"/>
                <w:szCs w:val="20"/>
                <w:lang w:eastAsia="en-AU"/>
              </w:rPr>
              <w:br/>
            </w:r>
            <w:r w:rsidRPr="00100F0A">
              <w:rPr>
                <w:rFonts w:eastAsia="Times New Roman" w:cs="Calibri"/>
                <w:color w:val="000000"/>
                <w:sz w:val="20"/>
                <w:szCs w:val="20"/>
                <w:lang w:eastAsia="en-AU"/>
              </w:rPr>
              <w:br/>
            </w:r>
            <w:r w:rsidRPr="00100F0A">
              <w:rPr>
                <w:rFonts w:eastAsia="Times New Roman" w:cs="Calibri"/>
                <w:b/>
                <w:bCs/>
                <w:color w:val="000000"/>
                <w:sz w:val="20"/>
                <w:szCs w:val="20"/>
                <w:lang w:eastAsia="en-AU"/>
              </w:rPr>
              <w:t>Treatment</w:t>
            </w:r>
            <w:r w:rsidRPr="00100F0A">
              <w:rPr>
                <w:rFonts w:eastAsia="Times New Roman" w:cs="Calibri"/>
                <w:color w:val="000000"/>
                <w:sz w:val="20"/>
                <w:szCs w:val="20"/>
                <w:lang w:eastAsia="en-AU"/>
              </w:rPr>
              <w:br/>
              <w:t>- Clinical waste treatment capacity appears limited in Qld under all scenarios. NEPM data shows Qld exports clinical wastes.</w:t>
            </w:r>
            <w:r w:rsidRPr="00100F0A">
              <w:rPr>
                <w:rFonts w:eastAsia="Times New Roman" w:cs="Calibri"/>
                <w:color w:val="000000"/>
                <w:sz w:val="20"/>
                <w:szCs w:val="20"/>
                <w:lang w:eastAsia="en-AU"/>
              </w:rPr>
              <w:br/>
              <w:t xml:space="preserve">- Dedicated soils treatment capacity in Qld now appears to be a capacity constraint under all scenarios. Toxfree Narangba site capacity has been dedicated to </w:t>
            </w:r>
            <w:r>
              <w:rPr>
                <w:rFonts w:eastAsia="Times New Roman" w:cs="Calibri"/>
                <w:color w:val="000000"/>
                <w:sz w:val="20"/>
                <w:szCs w:val="20"/>
                <w:lang w:eastAsia="en-AU"/>
              </w:rPr>
              <w:t>POP</w:t>
            </w:r>
            <w:r w:rsidRPr="00100F0A">
              <w:rPr>
                <w:rFonts w:eastAsia="Times New Roman" w:cs="Calibri"/>
                <w:color w:val="000000"/>
                <w:sz w:val="20"/>
                <w:szCs w:val="20"/>
                <w:lang w:eastAsia="en-AU"/>
              </w:rPr>
              <w:t xml:space="preserve"> destruction and OWT. NEPM data shows Qld as a net exporter of soils. With limited soils treatment capacity in NSW and none in NT, additional soil treatment capacity in Qld may be required, unless the wastes are to be transported to </w:t>
            </w:r>
            <w:r>
              <w:rPr>
                <w:rFonts w:eastAsia="Times New Roman" w:cs="Calibri"/>
                <w:color w:val="000000"/>
                <w:sz w:val="20"/>
                <w:szCs w:val="20"/>
                <w:lang w:eastAsia="en-AU"/>
              </w:rPr>
              <w:t>Vic</w:t>
            </w:r>
            <w:r w:rsidRPr="00100F0A">
              <w:rPr>
                <w:rFonts w:eastAsia="Times New Roman" w:cs="Calibri"/>
                <w:color w:val="000000"/>
                <w:sz w:val="20"/>
                <w:szCs w:val="20"/>
                <w:lang w:eastAsia="en-AU"/>
              </w:rPr>
              <w:t xml:space="preserve"> for treatment.</w:t>
            </w:r>
            <w:r w:rsidRPr="00100F0A">
              <w:rPr>
                <w:rFonts w:eastAsia="Times New Roman" w:cs="Calibri"/>
                <w:color w:val="000000"/>
                <w:sz w:val="20"/>
                <w:szCs w:val="20"/>
                <w:lang w:eastAsia="en-AU"/>
              </w:rPr>
              <w:br/>
              <w:t>- Around 130 kt of hazardous waste in Qld was sent to biodegradation facilities, which are understood to be mostly commercial composting facilities (capacity assessment beyond scope).</w:t>
            </w:r>
            <w:r w:rsidRPr="00100F0A">
              <w:rPr>
                <w:rFonts w:eastAsia="Times New Roman" w:cs="Calibri"/>
                <w:color w:val="000000"/>
                <w:sz w:val="20"/>
                <w:szCs w:val="20"/>
                <w:lang w:eastAsia="en-AU"/>
              </w:rPr>
              <w:br/>
            </w:r>
            <w:r w:rsidRPr="00100F0A">
              <w:rPr>
                <w:rFonts w:eastAsia="Times New Roman" w:cs="Calibri"/>
                <w:b/>
                <w:bCs/>
                <w:color w:val="000000"/>
                <w:sz w:val="20"/>
                <w:szCs w:val="20"/>
                <w:lang w:eastAsia="en-AU"/>
              </w:rPr>
              <w:t>Disposal (landfill and thermal destruction)</w:t>
            </w:r>
            <w:r w:rsidRPr="00100F0A">
              <w:rPr>
                <w:rFonts w:eastAsia="Times New Roman" w:cs="Calibri"/>
                <w:color w:val="000000"/>
                <w:sz w:val="20"/>
                <w:szCs w:val="20"/>
                <w:lang w:eastAsia="en-AU"/>
              </w:rPr>
              <w:br/>
              <w:t xml:space="preserve">- Hazwaste landfill capacity in Qld may be insufficient to manage annual disposal tonnages currently and into the future which could require a licence amendment or changes in site management to take more tonnages per year. </w:t>
            </w:r>
            <w:r w:rsidRPr="00100F0A">
              <w:rPr>
                <w:rFonts w:eastAsia="Times New Roman" w:cs="Calibri"/>
                <w:color w:val="000000"/>
                <w:sz w:val="20"/>
                <w:szCs w:val="20"/>
                <w:lang w:eastAsia="en-AU"/>
              </w:rPr>
              <w:br/>
              <w:t xml:space="preserve">- </w:t>
            </w:r>
            <w:r>
              <w:rPr>
                <w:rFonts w:eastAsia="Times New Roman" w:cs="Calibri"/>
                <w:color w:val="000000"/>
                <w:sz w:val="20"/>
                <w:szCs w:val="20"/>
                <w:lang w:eastAsia="en-AU"/>
              </w:rPr>
              <w:t>POP</w:t>
            </w:r>
            <w:r w:rsidRPr="00100F0A">
              <w:rPr>
                <w:rFonts w:eastAsia="Times New Roman" w:cs="Calibri"/>
                <w:color w:val="000000"/>
                <w:sz w:val="20"/>
                <w:szCs w:val="20"/>
                <w:lang w:eastAsia="en-AU"/>
              </w:rPr>
              <w:t xml:space="preserve"> TD capacity could be constrained by 2020 under all scenarios, servicing Qld's </w:t>
            </w:r>
            <w:r>
              <w:rPr>
                <w:rFonts w:eastAsia="Times New Roman" w:cs="Calibri"/>
                <w:color w:val="000000"/>
                <w:sz w:val="20"/>
                <w:szCs w:val="20"/>
                <w:lang w:eastAsia="en-AU"/>
              </w:rPr>
              <w:t>POP</w:t>
            </w:r>
            <w:r w:rsidRPr="00100F0A">
              <w:rPr>
                <w:rFonts w:eastAsia="Times New Roman" w:cs="Calibri"/>
                <w:color w:val="000000"/>
                <w:sz w:val="20"/>
                <w:szCs w:val="20"/>
                <w:lang w:eastAsia="en-AU"/>
              </w:rPr>
              <w:t xml:space="preserve"> wastes, alone. </w:t>
            </w:r>
            <w:r w:rsidRPr="00100F0A">
              <w:rPr>
                <w:rFonts w:eastAsia="Times New Roman" w:cs="Calibri"/>
                <w:color w:val="000000"/>
                <w:sz w:val="20"/>
                <w:szCs w:val="20"/>
                <w:lang w:eastAsia="en-AU"/>
              </w:rPr>
              <w:br/>
            </w:r>
            <w:r w:rsidRPr="00100F0A">
              <w:rPr>
                <w:rFonts w:eastAsia="Times New Roman" w:cs="Calibri"/>
                <w:b/>
                <w:bCs/>
                <w:color w:val="000000"/>
                <w:sz w:val="20"/>
                <w:szCs w:val="20"/>
                <w:lang w:eastAsia="en-AU"/>
              </w:rPr>
              <w:t>Transfer station or temporary storage</w:t>
            </w:r>
            <w:r w:rsidRPr="00100F0A">
              <w:rPr>
                <w:rFonts w:eastAsia="Times New Roman" w:cs="Calibri"/>
                <w:color w:val="000000"/>
                <w:sz w:val="20"/>
                <w:szCs w:val="20"/>
                <w:lang w:eastAsia="en-AU"/>
              </w:rPr>
              <w:br/>
              <w:t>- Qld's transfer capacity may already be exceeded; however, capacity estimates are incomplete due to limited infrastructure coverage and some capacity being provided within other infrastructure groups. The capacity of transfer infrastructure is also not fixed (i.e. capacity can be scaled up and down by simply increas</w:t>
            </w:r>
            <w:r>
              <w:rPr>
                <w:rFonts w:eastAsia="Times New Roman" w:cs="Calibri"/>
                <w:color w:val="000000"/>
                <w:sz w:val="20"/>
                <w:szCs w:val="20"/>
                <w:lang w:eastAsia="en-AU"/>
              </w:rPr>
              <w:t>ing</w:t>
            </w:r>
            <w:r w:rsidRPr="00100F0A">
              <w:rPr>
                <w:rFonts w:eastAsia="Times New Roman" w:cs="Calibri"/>
                <w:color w:val="000000"/>
                <w:sz w:val="20"/>
                <w:szCs w:val="20"/>
                <w:lang w:eastAsia="en-AU"/>
              </w:rPr>
              <w:t xml:space="preserve"> the rate of loads transfe</w:t>
            </w:r>
            <w:r>
              <w:rPr>
                <w:rFonts w:eastAsia="Times New Roman" w:cs="Calibri"/>
                <w:color w:val="000000"/>
                <w:sz w:val="20"/>
                <w:szCs w:val="20"/>
                <w:lang w:eastAsia="en-AU"/>
              </w:rPr>
              <w:t>rred</w:t>
            </w:r>
            <w:r w:rsidRPr="00100F0A">
              <w:rPr>
                <w:rFonts w:eastAsia="Times New Roman" w:cs="Calibri"/>
                <w:color w:val="000000"/>
                <w:sz w:val="20"/>
                <w:szCs w:val="20"/>
                <w:lang w:eastAsia="en-AU"/>
              </w:rPr>
              <w:t xml:space="preserve">). </w:t>
            </w:r>
          </w:p>
          <w:p w14:paraId="33FE1EA0" w14:textId="77777777" w:rsidR="00CB7AE8" w:rsidRDefault="00F040EC" w:rsidP="00F040EC">
            <w:pPr>
              <w:rPr>
                <w:rFonts w:eastAsia="Times New Roman" w:cs="Calibri"/>
                <w:color w:val="000000"/>
                <w:sz w:val="20"/>
                <w:szCs w:val="20"/>
                <w:lang w:eastAsia="en-AU"/>
              </w:rPr>
            </w:pPr>
            <w:r w:rsidRPr="00611DCF">
              <w:rPr>
                <w:rFonts w:eastAsia="Times New Roman" w:cs="Calibri"/>
                <w:b/>
                <w:color w:val="000000"/>
                <w:sz w:val="20"/>
                <w:szCs w:val="20"/>
                <w:lang w:eastAsia="en-AU"/>
              </w:rPr>
              <w:t>Long-term isolation capacity</w:t>
            </w:r>
            <w:r w:rsidRPr="00F040EC">
              <w:rPr>
                <w:rFonts w:eastAsia="Times New Roman" w:cs="Calibri"/>
                <w:color w:val="000000"/>
                <w:sz w:val="20"/>
                <w:szCs w:val="20"/>
                <w:lang w:eastAsia="en-AU"/>
              </w:rPr>
              <w:t>:</w:t>
            </w:r>
          </w:p>
          <w:p w14:paraId="62E3E044" w14:textId="3A3FCF6F" w:rsidR="00CB7AE8" w:rsidRDefault="00CB7AE8" w:rsidP="00F040EC">
            <w:pPr>
              <w:rPr>
                <w:rFonts w:eastAsia="Times New Roman" w:cs="Calibri"/>
                <w:color w:val="000000"/>
                <w:sz w:val="20"/>
                <w:szCs w:val="20"/>
                <w:lang w:eastAsia="en-AU"/>
              </w:rPr>
            </w:pPr>
            <w:r>
              <w:rPr>
                <w:rFonts w:eastAsia="Times New Roman" w:cs="Calibri"/>
                <w:color w:val="000000"/>
                <w:sz w:val="20"/>
                <w:szCs w:val="20"/>
                <w:lang w:eastAsia="en-AU"/>
              </w:rPr>
              <w:t>U</w:t>
            </w:r>
            <w:r w:rsidR="00F040EC" w:rsidRPr="00F040EC">
              <w:rPr>
                <w:rFonts w:eastAsia="Times New Roman" w:cs="Calibri"/>
                <w:color w:val="000000"/>
                <w:sz w:val="20"/>
                <w:szCs w:val="20"/>
                <w:lang w:eastAsia="en-AU"/>
              </w:rPr>
              <w:t>nder the high projection scenario</w:t>
            </w:r>
            <w:r>
              <w:rPr>
                <w:rFonts w:eastAsia="Times New Roman" w:cs="Calibri"/>
                <w:color w:val="000000"/>
                <w:sz w:val="20"/>
                <w:szCs w:val="20"/>
                <w:lang w:eastAsia="en-AU"/>
              </w:rPr>
              <w:t xml:space="preserve">, </w:t>
            </w:r>
            <w:r w:rsidR="00F040EC" w:rsidRPr="00F040EC">
              <w:rPr>
                <w:rFonts w:eastAsia="Times New Roman" w:cs="Calibri"/>
                <w:color w:val="000000"/>
                <w:sz w:val="20"/>
                <w:szCs w:val="20"/>
                <w:lang w:eastAsia="en-AU"/>
              </w:rPr>
              <w:t xml:space="preserve">CSG reverse osmosis brine wastes will be required to be managed offsite </w:t>
            </w:r>
            <w:r w:rsidR="00C64C90">
              <w:rPr>
                <w:rFonts w:eastAsia="Times New Roman" w:cs="Calibri"/>
                <w:color w:val="000000"/>
                <w:sz w:val="20"/>
                <w:szCs w:val="20"/>
                <w:lang w:eastAsia="en-AU"/>
              </w:rPr>
              <w:t xml:space="preserve">at </w:t>
            </w:r>
            <w:r w:rsidR="00F040EC" w:rsidRPr="00F040EC">
              <w:rPr>
                <w:rFonts w:eastAsia="Times New Roman" w:cs="Calibri"/>
                <w:color w:val="000000"/>
                <w:sz w:val="20"/>
                <w:szCs w:val="20"/>
                <w:lang w:eastAsia="en-AU"/>
              </w:rPr>
              <w:t>long-term isolation. This results in a very large increase</w:t>
            </w:r>
            <w:r w:rsidR="00C64C90">
              <w:rPr>
                <w:rFonts w:eastAsia="Times New Roman" w:cs="Calibri"/>
                <w:color w:val="000000"/>
                <w:sz w:val="20"/>
                <w:szCs w:val="20"/>
                <w:lang w:eastAsia="en-AU"/>
              </w:rPr>
              <w:t xml:space="preserve"> and </w:t>
            </w:r>
            <w:r w:rsidR="00F040EC" w:rsidRPr="00F040EC">
              <w:rPr>
                <w:rFonts w:eastAsia="Times New Roman" w:cs="Calibri"/>
                <w:color w:val="000000"/>
                <w:sz w:val="20"/>
                <w:szCs w:val="20"/>
                <w:lang w:eastAsia="en-AU"/>
              </w:rPr>
              <w:t>a shortfall of 2.0 Mt of capacity in 2023, even when the currently planned facilities are built</w:t>
            </w:r>
            <w:r>
              <w:rPr>
                <w:rFonts w:eastAsia="Times New Roman" w:cs="Calibri"/>
                <w:color w:val="000000"/>
                <w:sz w:val="20"/>
                <w:szCs w:val="20"/>
                <w:lang w:eastAsia="en-AU"/>
              </w:rPr>
              <w:t xml:space="preserve"> in NT and WA</w:t>
            </w:r>
            <w:r w:rsidR="00C64C90">
              <w:rPr>
                <w:rFonts w:eastAsia="Times New Roman" w:cs="Calibri"/>
                <w:color w:val="000000"/>
                <w:sz w:val="20"/>
                <w:szCs w:val="20"/>
                <w:lang w:eastAsia="en-AU"/>
              </w:rPr>
              <w:t>.</w:t>
            </w:r>
          </w:p>
          <w:p w14:paraId="0E63D0B9" w14:textId="39D0F03A" w:rsidR="008C1B89" w:rsidRPr="008C1B89" w:rsidRDefault="00763475">
            <w:pPr>
              <w:rPr>
                <w:rFonts w:eastAsia="Times New Roman" w:cs="Calibri"/>
                <w:color w:val="000000"/>
                <w:sz w:val="20"/>
                <w:szCs w:val="20"/>
                <w:lang w:eastAsia="en-AU"/>
              </w:rPr>
            </w:pPr>
            <w:r w:rsidRPr="00100F0A">
              <w:rPr>
                <w:rFonts w:eastAsia="Times New Roman" w:cs="Calibri"/>
                <w:b/>
                <w:bCs/>
                <w:color w:val="000000"/>
                <w:sz w:val="20"/>
                <w:szCs w:val="20"/>
                <w:lang w:eastAsia="en-AU"/>
              </w:rPr>
              <w:t>NEPM 2016-17</w:t>
            </w:r>
            <w:r w:rsidRPr="00100F0A">
              <w:rPr>
                <w:rFonts w:eastAsia="Times New Roman" w:cs="Calibri"/>
                <w:color w:val="000000"/>
                <w:sz w:val="20"/>
                <w:szCs w:val="20"/>
                <w:lang w:eastAsia="en-AU"/>
              </w:rPr>
              <w:t xml:space="preserve"> data showed a net import of 70 kt of hazwaste into Qld. Major imports were organic chemicals, oils, organic solvents, industrial wash waters and organics.</w:t>
            </w:r>
          </w:p>
        </w:tc>
      </w:tr>
      <w:tr w:rsidR="00F42A40" w:rsidRPr="008C1B89" w14:paraId="6708AD64"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2764C4E2"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Hazardous waste packaging facility</w:t>
            </w:r>
          </w:p>
        </w:tc>
        <w:tc>
          <w:tcPr>
            <w:tcW w:w="896" w:type="dxa"/>
            <w:tcBorders>
              <w:top w:val="nil"/>
              <w:left w:val="nil"/>
              <w:bottom w:val="single" w:sz="4" w:space="0" w:color="BFBFBF"/>
              <w:right w:val="single" w:sz="4" w:space="0" w:color="BFBFBF"/>
            </w:tcBorders>
            <w:shd w:val="clear" w:color="000000" w:fill="FFFFFF"/>
            <w:noWrap/>
            <w:hideMark/>
          </w:tcPr>
          <w:p w14:paraId="5FE1E1C0" w14:textId="1F9CAAA7" w:rsidR="00F42A40" w:rsidRPr="008C1B89" w:rsidRDefault="00F42A40" w:rsidP="00F42A40">
            <w:pPr>
              <w:jc w:val="right"/>
              <w:rPr>
                <w:rFonts w:eastAsia="Times New Roman" w:cs="Calibri"/>
                <w:color w:val="000000"/>
                <w:sz w:val="20"/>
                <w:szCs w:val="20"/>
                <w:lang w:eastAsia="en-AU"/>
              </w:rPr>
            </w:pPr>
            <w:r>
              <w:rPr>
                <w:color w:val="000000"/>
                <w:sz w:val="20"/>
                <w:szCs w:val="20"/>
              </w:rPr>
              <w:t>3,799</w:t>
            </w:r>
          </w:p>
        </w:tc>
        <w:tc>
          <w:tcPr>
            <w:tcW w:w="963" w:type="dxa"/>
            <w:tcBorders>
              <w:top w:val="nil"/>
              <w:left w:val="nil"/>
              <w:right w:val="single" w:sz="4" w:space="0" w:color="BFBFBF"/>
            </w:tcBorders>
            <w:shd w:val="clear" w:color="auto" w:fill="auto"/>
            <w:noWrap/>
            <w:vAlign w:val="center"/>
            <w:hideMark/>
          </w:tcPr>
          <w:p w14:paraId="779E5FCF" w14:textId="3F48D1DC"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36" w:type="dxa"/>
            <w:tcBorders>
              <w:top w:val="nil"/>
              <w:left w:val="nil"/>
              <w:right w:val="single" w:sz="4" w:space="0" w:color="BFBFBF"/>
            </w:tcBorders>
            <w:shd w:val="clear" w:color="auto" w:fill="auto"/>
            <w:noWrap/>
            <w:vAlign w:val="center"/>
            <w:hideMark/>
          </w:tcPr>
          <w:p w14:paraId="11CE78F8" w14:textId="67A7B1B9"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71" w:type="dxa"/>
            <w:tcBorders>
              <w:top w:val="nil"/>
              <w:left w:val="nil"/>
              <w:bottom w:val="single" w:sz="4" w:space="0" w:color="BFBFBF"/>
              <w:right w:val="single" w:sz="4" w:space="0" w:color="BFBFBF"/>
            </w:tcBorders>
            <w:shd w:val="clear" w:color="auto" w:fill="auto"/>
            <w:noWrap/>
            <w:hideMark/>
          </w:tcPr>
          <w:p w14:paraId="390383CE" w14:textId="149DEE27"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56E45B23" w14:textId="09C616DA"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740" w:type="dxa"/>
            <w:tcBorders>
              <w:top w:val="nil"/>
              <w:left w:val="nil"/>
              <w:bottom w:val="single" w:sz="4" w:space="0" w:color="BFBFBF"/>
              <w:right w:val="single" w:sz="4" w:space="0" w:color="BFBFBF"/>
            </w:tcBorders>
            <w:shd w:val="clear" w:color="000000" w:fill="FFFFFF"/>
            <w:noWrap/>
            <w:hideMark/>
          </w:tcPr>
          <w:p w14:paraId="11893DBC" w14:textId="0F676404"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740" w:type="dxa"/>
            <w:tcBorders>
              <w:top w:val="nil"/>
              <w:left w:val="nil"/>
              <w:bottom w:val="single" w:sz="4" w:space="0" w:color="BFBFBF"/>
              <w:right w:val="single" w:sz="4" w:space="0" w:color="BFBFBF"/>
            </w:tcBorders>
            <w:shd w:val="clear" w:color="000000" w:fill="FFFFFF"/>
            <w:noWrap/>
            <w:hideMark/>
          </w:tcPr>
          <w:p w14:paraId="59121DFA" w14:textId="0C74B77C"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5254" w:type="dxa"/>
            <w:vMerge/>
            <w:tcBorders>
              <w:top w:val="single" w:sz="4" w:space="0" w:color="808080"/>
              <w:left w:val="single" w:sz="4" w:space="0" w:color="BFBFBF"/>
              <w:bottom w:val="single" w:sz="4" w:space="0" w:color="BFBFBF"/>
              <w:right w:val="single" w:sz="4" w:space="0" w:color="BFBFBF"/>
            </w:tcBorders>
            <w:vAlign w:val="center"/>
            <w:hideMark/>
          </w:tcPr>
          <w:p w14:paraId="2714E101" w14:textId="77777777" w:rsidR="00F42A40" w:rsidRPr="008C1B89" w:rsidRDefault="00F42A40" w:rsidP="00F42A40">
            <w:pPr>
              <w:rPr>
                <w:rFonts w:eastAsia="Times New Roman" w:cs="Calibri"/>
                <w:color w:val="000000"/>
                <w:sz w:val="20"/>
                <w:szCs w:val="20"/>
                <w:lang w:eastAsia="en-AU"/>
              </w:rPr>
            </w:pPr>
          </w:p>
        </w:tc>
      </w:tr>
      <w:tr w:rsidR="00F42A40" w:rsidRPr="008C1B89" w14:paraId="1973A507"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52F0C0D9"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E-waste facility</w:t>
            </w:r>
          </w:p>
        </w:tc>
        <w:tc>
          <w:tcPr>
            <w:tcW w:w="896" w:type="dxa"/>
            <w:tcBorders>
              <w:top w:val="nil"/>
              <w:left w:val="nil"/>
              <w:bottom w:val="single" w:sz="4" w:space="0" w:color="BFBFBF"/>
              <w:right w:val="single" w:sz="4" w:space="0" w:color="BFBFBF"/>
            </w:tcBorders>
            <w:shd w:val="clear" w:color="000000" w:fill="FFFFFF"/>
            <w:noWrap/>
            <w:hideMark/>
          </w:tcPr>
          <w:p w14:paraId="792337C5" w14:textId="74AFD534" w:rsidR="00F42A40" w:rsidRPr="008C1B89" w:rsidRDefault="00F42A40" w:rsidP="00F42A40">
            <w:pPr>
              <w:jc w:val="right"/>
              <w:rPr>
                <w:rFonts w:eastAsia="Times New Roman" w:cs="Calibri"/>
                <w:color w:val="000000"/>
                <w:sz w:val="20"/>
                <w:szCs w:val="20"/>
                <w:lang w:eastAsia="en-AU"/>
              </w:rPr>
            </w:pPr>
            <w:r>
              <w:rPr>
                <w:color w:val="000000"/>
                <w:sz w:val="20"/>
                <w:szCs w:val="20"/>
              </w:rPr>
              <w:t>799</w:t>
            </w:r>
          </w:p>
        </w:tc>
        <w:tc>
          <w:tcPr>
            <w:tcW w:w="963" w:type="dxa"/>
            <w:tcBorders>
              <w:left w:val="nil"/>
              <w:right w:val="single" w:sz="4" w:space="0" w:color="BFBFBF"/>
            </w:tcBorders>
            <w:shd w:val="clear" w:color="auto" w:fill="auto"/>
            <w:noWrap/>
            <w:vAlign w:val="center"/>
            <w:hideMark/>
          </w:tcPr>
          <w:p w14:paraId="571F72D5" w14:textId="2759E704" w:rsidR="00F42A40" w:rsidRPr="008C1B89" w:rsidRDefault="00F42A40" w:rsidP="009D734D">
            <w:pPr>
              <w:jc w:val="center"/>
              <w:rPr>
                <w:rFonts w:eastAsia="Times New Roman" w:cs="Calibri"/>
                <w:color w:val="000000"/>
                <w:sz w:val="20"/>
                <w:szCs w:val="20"/>
                <w:lang w:eastAsia="en-AU"/>
              </w:rPr>
            </w:pPr>
          </w:p>
        </w:tc>
        <w:tc>
          <w:tcPr>
            <w:tcW w:w="1036" w:type="dxa"/>
            <w:tcBorders>
              <w:left w:val="nil"/>
              <w:right w:val="single" w:sz="4" w:space="0" w:color="BFBFBF"/>
            </w:tcBorders>
            <w:shd w:val="clear" w:color="auto" w:fill="auto"/>
            <w:noWrap/>
            <w:vAlign w:val="center"/>
            <w:hideMark/>
          </w:tcPr>
          <w:p w14:paraId="6C852F5E" w14:textId="3F005201" w:rsidR="00F42A40" w:rsidRPr="008C1B89" w:rsidRDefault="00F42A40" w:rsidP="009D734D">
            <w:pPr>
              <w:jc w:val="center"/>
              <w:rPr>
                <w:rFonts w:eastAsia="Times New Roman" w:cs="Calibri"/>
                <w:color w:val="000000"/>
                <w:sz w:val="20"/>
                <w:szCs w:val="20"/>
                <w:lang w:eastAsia="en-AU"/>
              </w:rPr>
            </w:pPr>
          </w:p>
        </w:tc>
        <w:tc>
          <w:tcPr>
            <w:tcW w:w="971" w:type="dxa"/>
            <w:tcBorders>
              <w:top w:val="nil"/>
              <w:left w:val="nil"/>
              <w:bottom w:val="single" w:sz="4" w:space="0" w:color="BFBFBF"/>
              <w:right w:val="single" w:sz="4" w:space="0" w:color="BFBFBF"/>
            </w:tcBorders>
            <w:shd w:val="clear" w:color="auto" w:fill="auto"/>
            <w:noWrap/>
            <w:hideMark/>
          </w:tcPr>
          <w:p w14:paraId="4C7708C2" w14:textId="682E6CCF"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0D97CBA1" w14:textId="581137F6" w:rsidR="00F42A40" w:rsidRPr="008C1B89" w:rsidRDefault="00F42A40" w:rsidP="00F42A40">
            <w:pPr>
              <w:jc w:val="center"/>
              <w:rPr>
                <w:rFonts w:eastAsia="Times New Roman" w:cs="Calibri"/>
                <w:color w:val="000000"/>
                <w:sz w:val="20"/>
                <w:szCs w:val="20"/>
                <w:lang w:eastAsia="en-AU"/>
              </w:rPr>
            </w:pPr>
            <w:r>
              <w:rPr>
                <w:color w:val="000000"/>
                <w:sz w:val="20"/>
                <w:szCs w:val="20"/>
              </w:rPr>
              <w:t>2031</w:t>
            </w:r>
          </w:p>
        </w:tc>
        <w:tc>
          <w:tcPr>
            <w:tcW w:w="740" w:type="dxa"/>
            <w:tcBorders>
              <w:top w:val="nil"/>
              <w:left w:val="nil"/>
              <w:bottom w:val="single" w:sz="4" w:space="0" w:color="BFBFBF"/>
              <w:right w:val="single" w:sz="4" w:space="0" w:color="BFBFBF"/>
            </w:tcBorders>
            <w:shd w:val="clear" w:color="000000" w:fill="FFFFFF"/>
            <w:noWrap/>
            <w:hideMark/>
          </w:tcPr>
          <w:p w14:paraId="136B881A" w14:textId="279CAE63" w:rsidR="00F42A40" w:rsidRPr="008C1B89" w:rsidRDefault="00F42A40" w:rsidP="00F42A40">
            <w:pPr>
              <w:jc w:val="center"/>
              <w:rPr>
                <w:rFonts w:eastAsia="Times New Roman" w:cs="Calibri"/>
                <w:color w:val="000000"/>
                <w:sz w:val="20"/>
                <w:szCs w:val="20"/>
                <w:lang w:eastAsia="en-AU"/>
              </w:rPr>
            </w:pPr>
            <w:r>
              <w:rPr>
                <w:color w:val="000000"/>
                <w:sz w:val="20"/>
                <w:szCs w:val="20"/>
              </w:rPr>
              <w:t>2030</w:t>
            </w:r>
          </w:p>
        </w:tc>
        <w:tc>
          <w:tcPr>
            <w:tcW w:w="740" w:type="dxa"/>
            <w:tcBorders>
              <w:top w:val="nil"/>
              <w:left w:val="nil"/>
              <w:bottom w:val="single" w:sz="4" w:space="0" w:color="BFBFBF"/>
              <w:right w:val="single" w:sz="4" w:space="0" w:color="BFBFBF"/>
            </w:tcBorders>
            <w:shd w:val="clear" w:color="000000" w:fill="FFFFFF"/>
            <w:noWrap/>
            <w:hideMark/>
          </w:tcPr>
          <w:p w14:paraId="1F511228" w14:textId="40DAD386" w:rsidR="00F42A40" w:rsidRPr="008C1B89" w:rsidRDefault="00F42A40" w:rsidP="00F42A40">
            <w:pPr>
              <w:jc w:val="center"/>
              <w:rPr>
                <w:rFonts w:eastAsia="Times New Roman" w:cs="Calibri"/>
                <w:color w:val="000000"/>
                <w:sz w:val="20"/>
                <w:szCs w:val="20"/>
                <w:lang w:eastAsia="en-AU"/>
              </w:rPr>
            </w:pPr>
            <w:r>
              <w:rPr>
                <w:color w:val="000000"/>
                <w:sz w:val="20"/>
                <w:szCs w:val="20"/>
              </w:rPr>
              <w:t>2033</w:t>
            </w:r>
          </w:p>
        </w:tc>
        <w:tc>
          <w:tcPr>
            <w:tcW w:w="5254" w:type="dxa"/>
            <w:vMerge/>
            <w:tcBorders>
              <w:top w:val="single" w:sz="4" w:space="0" w:color="808080"/>
              <w:left w:val="single" w:sz="4" w:space="0" w:color="BFBFBF"/>
              <w:bottom w:val="single" w:sz="4" w:space="0" w:color="BFBFBF"/>
              <w:right w:val="single" w:sz="4" w:space="0" w:color="BFBFBF"/>
            </w:tcBorders>
            <w:vAlign w:val="center"/>
            <w:hideMark/>
          </w:tcPr>
          <w:p w14:paraId="043251AA" w14:textId="77777777" w:rsidR="00F42A40" w:rsidRPr="008C1B89" w:rsidRDefault="00F42A40" w:rsidP="00F42A40">
            <w:pPr>
              <w:rPr>
                <w:rFonts w:eastAsia="Times New Roman" w:cs="Calibri"/>
                <w:color w:val="000000"/>
                <w:sz w:val="20"/>
                <w:szCs w:val="20"/>
                <w:lang w:eastAsia="en-AU"/>
              </w:rPr>
            </w:pPr>
          </w:p>
        </w:tc>
      </w:tr>
      <w:tr w:rsidR="00F42A40" w:rsidRPr="008C1B89" w14:paraId="555CD53C"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48EAEDA"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Oil re-refining facility</w:t>
            </w:r>
          </w:p>
        </w:tc>
        <w:tc>
          <w:tcPr>
            <w:tcW w:w="896" w:type="dxa"/>
            <w:tcBorders>
              <w:top w:val="nil"/>
              <w:left w:val="nil"/>
              <w:bottom w:val="single" w:sz="4" w:space="0" w:color="BFBFBF"/>
              <w:right w:val="single" w:sz="4" w:space="0" w:color="BFBFBF"/>
            </w:tcBorders>
            <w:shd w:val="clear" w:color="000000" w:fill="FFFFFF"/>
            <w:noWrap/>
            <w:hideMark/>
          </w:tcPr>
          <w:p w14:paraId="70D6823C" w14:textId="25F18111" w:rsidR="00F42A40" w:rsidRPr="008C1B89" w:rsidRDefault="00F42A40" w:rsidP="00F42A40">
            <w:pPr>
              <w:jc w:val="right"/>
              <w:rPr>
                <w:rFonts w:eastAsia="Times New Roman" w:cs="Calibri"/>
                <w:color w:val="000000"/>
                <w:sz w:val="20"/>
                <w:szCs w:val="20"/>
                <w:lang w:eastAsia="en-AU"/>
              </w:rPr>
            </w:pPr>
            <w:r>
              <w:rPr>
                <w:color w:val="000000"/>
                <w:sz w:val="20"/>
                <w:szCs w:val="20"/>
              </w:rPr>
              <w:t>82,445</w:t>
            </w:r>
          </w:p>
        </w:tc>
        <w:tc>
          <w:tcPr>
            <w:tcW w:w="963" w:type="dxa"/>
            <w:tcBorders>
              <w:left w:val="nil"/>
              <w:right w:val="single" w:sz="4" w:space="0" w:color="BFBFBF"/>
            </w:tcBorders>
            <w:shd w:val="clear" w:color="auto" w:fill="auto"/>
            <w:noWrap/>
            <w:vAlign w:val="center"/>
            <w:hideMark/>
          </w:tcPr>
          <w:p w14:paraId="704F3BF8" w14:textId="0A56CA22" w:rsidR="00F42A40" w:rsidRPr="008C1B89" w:rsidRDefault="00F42A40" w:rsidP="009D734D">
            <w:pPr>
              <w:jc w:val="center"/>
              <w:rPr>
                <w:rFonts w:eastAsia="Times New Roman" w:cs="Calibri"/>
                <w:color w:val="000000"/>
                <w:sz w:val="20"/>
                <w:szCs w:val="20"/>
                <w:lang w:eastAsia="en-AU"/>
              </w:rPr>
            </w:pPr>
          </w:p>
        </w:tc>
        <w:tc>
          <w:tcPr>
            <w:tcW w:w="1036" w:type="dxa"/>
            <w:tcBorders>
              <w:left w:val="nil"/>
              <w:right w:val="single" w:sz="4" w:space="0" w:color="BFBFBF"/>
            </w:tcBorders>
            <w:shd w:val="clear" w:color="auto" w:fill="auto"/>
            <w:noWrap/>
            <w:vAlign w:val="center"/>
            <w:hideMark/>
          </w:tcPr>
          <w:p w14:paraId="2ABC82D2" w14:textId="3E951EB1" w:rsidR="00F42A40" w:rsidRPr="008C1B89" w:rsidRDefault="00F42A40" w:rsidP="009D734D">
            <w:pPr>
              <w:jc w:val="center"/>
              <w:rPr>
                <w:rFonts w:eastAsia="Times New Roman" w:cs="Calibri"/>
                <w:color w:val="000000"/>
                <w:sz w:val="20"/>
                <w:szCs w:val="20"/>
                <w:lang w:eastAsia="en-AU"/>
              </w:rPr>
            </w:pPr>
          </w:p>
        </w:tc>
        <w:tc>
          <w:tcPr>
            <w:tcW w:w="971" w:type="dxa"/>
            <w:tcBorders>
              <w:top w:val="nil"/>
              <w:left w:val="nil"/>
              <w:bottom w:val="single" w:sz="4" w:space="0" w:color="BFBFBF"/>
              <w:right w:val="single" w:sz="4" w:space="0" w:color="BFBFBF"/>
            </w:tcBorders>
            <w:shd w:val="clear" w:color="auto" w:fill="auto"/>
            <w:noWrap/>
            <w:hideMark/>
          </w:tcPr>
          <w:p w14:paraId="1CF37128" w14:textId="44F287D8"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4248CE38" w14:textId="2752378C" w:rsidR="00F42A40" w:rsidRPr="008C1B89" w:rsidRDefault="00F42A40" w:rsidP="00F42A40">
            <w:pPr>
              <w:jc w:val="center"/>
              <w:rPr>
                <w:rFonts w:eastAsia="Times New Roman" w:cs="Calibri"/>
                <w:color w:val="000000"/>
                <w:sz w:val="20"/>
                <w:szCs w:val="20"/>
                <w:lang w:eastAsia="en-AU"/>
              </w:rPr>
            </w:pPr>
            <w:r>
              <w:rPr>
                <w:color w:val="000000"/>
                <w:sz w:val="20"/>
                <w:szCs w:val="20"/>
              </w:rPr>
              <w:t>2031</w:t>
            </w:r>
          </w:p>
        </w:tc>
        <w:tc>
          <w:tcPr>
            <w:tcW w:w="740" w:type="dxa"/>
            <w:tcBorders>
              <w:top w:val="nil"/>
              <w:left w:val="nil"/>
              <w:bottom w:val="single" w:sz="4" w:space="0" w:color="BFBFBF"/>
              <w:right w:val="single" w:sz="4" w:space="0" w:color="BFBFBF"/>
            </w:tcBorders>
            <w:shd w:val="clear" w:color="000000" w:fill="FFFFFF"/>
            <w:noWrap/>
            <w:hideMark/>
          </w:tcPr>
          <w:p w14:paraId="7E1C0724" w14:textId="1829B3AE" w:rsidR="00F42A40" w:rsidRPr="008C1B89" w:rsidRDefault="00F42A40" w:rsidP="00F42A40">
            <w:pPr>
              <w:jc w:val="center"/>
              <w:rPr>
                <w:rFonts w:eastAsia="Times New Roman" w:cs="Calibri"/>
                <w:color w:val="000000"/>
                <w:sz w:val="20"/>
                <w:szCs w:val="20"/>
                <w:lang w:eastAsia="en-AU"/>
              </w:rPr>
            </w:pPr>
            <w:r>
              <w:rPr>
                <w:color w:val="000000"/>
                <w:sz w:val="20"/>
                <w:szCs w:val="20"/>
              </w:rPr>
              <w:t>2025</w:t>
            </w:r>
          </w:p>
        </w:tc>
        <w:tc>
          <w:tcPr>
            <w:tcW w:w="740" w:type="dxa"/>
            <w:tcBorders>
              <w:top w:val="nil"/>
              <w:left w:val="nil"/>
              <w:bottom w:val="single" w:sz="4" w:space="0" w:color="BFBFBF"/>
              <w:right w:val="single" w:sz="4" w:space="0" w:color="BFBFBF"/>
            </w:tcBorders>
            <w:shd w:val="clear" w:color="000000" w:fill="FFFFFF"/>
            <w:noWrap/>
            <w:hideMark/>
          </w:tcPr>
          <w:p w14:paraId="144AF740" w14:textId="12DEC812"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254" w:type="dxa"/>
            <w:vMerge/>
            <w:tcBorders>
              <w:top w:val="single" w:sz="4" w:space="0" w:color="808080"/>
              <w:left w:val="single" w:sz="4" w:space="0" w:color="BFBFBF"/>
              <w:bottom w:val="single" w:sz="4" w:space="0" w:color="BFBFBF"/>
              <w:right w:val="single" w:sz="4" w:space="0" w:color="BFBFBF"/>
            </w:tcBorders>
            <w:vAlign w:val="center"/>
            <w:hideMark/>
          </w:tcPr>
          <w:p w14:paraId="1AFC1FCE" w14:textId="77777777" w:rsidR="00F42A40" w:rsidRPr="008C1B89" w:rsidRDefault="00F42A40" w:rsidP="00F42A40">
            <w:pPr>
              <w:rPr>
                <w:rFonts w:eastAsia="Times New Roman" w:cs="Calibri"/>
                <w:color w:val="000000"/>
                <w:sz w:val="20"/>
                <w:szCs w:val="20"/>
                <w:lang w:eastAsia="en-AU"/>
              </w:rPr>
            </w:pPr>
          </w:p>
        </w:tc>
      </w:tr>
      <w:tr w:rsidR="00F42A40" w:rsidRPr="008C1B89" w14:paraId="351F3703"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656D4FDD"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Lead facility</w:t>
            </w:r>
          </w:p>
        </w:tc>
        <w:tc>
          <w:tcPr>
            <w:tcW w:w="896" w:type="dxa"/>
            <w:tcBorders>
              <w:top w:val="nil"/>
              <w:left w:val="nil"/>
              <w:bottom w:val="single" w:sz="4" w:space="0" w:color="BFBFBF"/>
              <w:right w:val="single" w:sz="4" w:space="0" w:color="BFBFBF"/>
            </w:tcBorders>
            <w:shd w:val="clear" w:color="000000" w:fill="FFFFFF"/>
            <w:noWrap/>
            <w:hideMark/>
          </w:tcPr>
          <w:p w14:paraId="2D9DAECC" w14:textId="07AE1450" w:rsidR="00F42A40" w:rsidRPr="008C1B89" w:rsidRDefault="00F42A40" w:rsidP="00F42A40">
            <w:pPr>
              <w:jc w:val="right"/>
              <w:rPr>
                <w:rFonts w:eastAsia="Times New Roman" w:cs="Calibri"/>
                <w:color w:val="000000"/>
                <w:sz w:val="20"/>
                <w:szCs w:val="20"/>
                <w:lang w:eastAsia="en-AU"/>
              </w:rPr>
            </w:pPr>
            <w:r>
              <w:rPr>
                <w:color w:val="000000"/>
                <w:sz w:val="20"/>
                <w:szCs w:val="20"/>
              </w:rPr>
              <w:t>10,169</w:t>
            </w:r>
          </w:p>
        </w:tc>
        <w:tc>
          <w:tcPr>
            <w:tcW w:w="963" w:type="dxa"/>
            <w:tcBorders>
              <w:left w:val="nil"/>
              <w:right w:val="single" w:sz="4" w:space="0" w:color="BFBFBF"/>
            </w:tcBorders>
            <w:shd w:val="clear" w:color="auto" w:fill="auto"/>
            <w:noWrap/>
            <w:vAlign w:val="center"/>
            <w:hideMark/>
          </w:tcPr>
          <w:p w14:paraId="154795F6" w14:textId="79C749CF" w:rsidR="00F42A40" w:rsidRPr="008C1B89" w:rsidRDefault="00F42A40" w:rsidP="009D734D">
            <w:pPr>
              <w:jc w:val="center"/>
              <w:rPr>
                <w:rFonts w:eastAsia="Times New Roman" w:cs="Calibri"/>
                <w:color w:val="000000"/>
                <w:sz w:val="20"/>
                <w:szCs w:val="20"/>
                <w:lang w:eastAsia="en-AU"/>
              </w:rPr>
            </w:pPr>
          </w:p>
        </w:tc>
        <w:tc>
          <w:tcPr>
            <w:tcW w:w="1036" w:type="dxa"/>
            <w:tcBorders>
              <w:left w:val="nil"/>
              <w:right w:val="single" w:sz="4" w:space="0" w:color="BFBFBF"/>
            </w:tcBorders>
            <w:shd w:val="clear" w:color="auto" w:fill="auto"/>
            <w:noWrap/>
            <w:vAlign w:val="center"/>
            <w:hideMark/>
          </w:tcPr>
          <w:p w14:paraId="7650CDA3" w14:textId="6D677E69" w:rsidR="00F42A40" w:rsidRPr="008C1B89" w:rsidRDefault="00F42A40" w:rsidP="009D734D">
            <w:pPr>
              <w:jc w:val="center"/>
              <w:rPr>
                <w:rFonts w:eastAsia="Times New Roman" w:cs="Calibri"/>
                <w:color w:val="000000"/>
                <w:sz w:val="20"/>
                <w:szCs w:val="20"/>
                <w:lang w:eastAsia="en-AU"/>
              </w:rPr>
            </w:pPr>
          </w:p>
        </w:tc>
        <w:tc>
          <w:tcPr>
            <w:tcW w:w="971" w:type="dxa"/>
            <w:tcBorders>
              <w:top w:val="nil"/>
              <w:left w:val="nil"/>
              <w:bottom w:val="single" w:sz="4" w:space="0" w:color="BFBFBF"/>
              <w:right w:val="single" w:sz="4" w:space="0" w:color="BFBFBF"/>
            </w:tcBorders>
            <w:shd w:val="clear" w:color="auto" w:fill="auto"/>
            <w:noWrap/>
            <w:hideMark/>
          </w:tcPr>
          <w:p w14:paraId="14EDED2A" w14:textId="49DCF2B6"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06B01CFB" w14:textId="3C5806F6"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2D548FEB" w14:textId="180FD2DA"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2021EFD5" w14:textId="3218B39D"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254" w:type="dxa"/>
            <w:vMerge/>
            <w:tcBorders>
              <w:top w:val="single" w:sz="4" w:space="0" w:color="808080"/>
              <w:left w:val="single" w:sz="4" w:space="0" w:color="BFBFBF"/>
              <w:bottom w:val="single" w:sz="4" w:space="0" w:color="BFBFBF"/>
              <w:right w:val="single" w:sz="4" w:space="0" w:color="BFBFBF"/>
            </w:tcBorders>
            <w:vAlign w:val="center"/>
            <w:hideMark/>
          </w:tcPr>
          <w:p w14:paraId="50FA8077" w14:textId="77777777" w:rsidR="00F42A40" w:rsidRPr="008C1B89" w:rsidRDefault="00F42A40" w:rsidP="00F42A40">
            <w:pPr>
              <w:rPr>
                <w:rFonts w:eastAsia="Times New Roman" w:cs="Calibri"/>
                <w:color w:val="000000"/>
                <w:sz w:val="20"/>
                <w:szCs w:val="20"/>
                <w:lang w:eastAsia="en-AU"/>
              </w:rPr>
            </w:pPr>
          </w:p>
        </w:tc>
      </w:tr>
      <w:tr w:rsidR="00F42A40" w:rsidRPr="008C1B89" w14:paraId="3DA143F7"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98E4982"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Mercury facility</w:t>
            </w:r>
          </w:p>
        </w:tc>
        <w:tc>
          <w:tcPr>
            <w:tcW w:w="896" w:type="dxa"/>
            <w:tcBorders>
              <w:top w:val="nil"/>
              <w:left w:val="nil"/>
              <w:bottom w:val="single" w:sz="4" w:space="0" w:color="BFBFBF"/>
              <w:right w:val="single" w:sz="4" w:space="0" w:color="BFBFBF"/>
            </w:tcBorders>
            <w:shd w:val="clear" w:color="000000" w:fill="FFFFFF"/>
            <w:noWrap/>
            <w:hideMark/>
          </w:tcPr>
          <w:p w14:paraId="32A6A46B" w14:textId="78AF4D46" w:rsidR="00F42A40" w:rsidRPr="008C1B89" w:rsidRDefault="00F42A40" w:rsidP="00F42A40">
            <w:pPr>
              <w:jc w:val="right"/>
              <w:rPr>
                <w:rFonts w:eastAsia="Times New Roman" w:cs="Calibri"/>
                <w:color w:val="000000"/>
                <w:sz w:val="20"/>
                <w:szCs w:val="20"/>
                <w:lang w:eastAsia="en-AU"/>
              </w:rPr>
            </w:pPr>
            <w:r>
              <w:rPr>
                <w:color w:val="000000"/>
                <w:sz w:val="20"/>
                <w:szCs w:val="20"/>
              </w:rPr>
              <w:t>10</w:t>
            </w:r>
          </w:p>
        </w:tc>
        <w:tc>
          <w:tcPr>
            <w:tcW w:w="963" w:type="dxa"/>
            <w:tcBorders>
              <w:left w:val="nil"/>
              <w:right w:val="single" w:sz="4" w:space="0" w:color="BFBFBF"/>
            </w:tcBorders>
            <w:shd w:val="clear" w:color="auto" w:fill="auto"/>
            <w:noWrap/>
            <w:vAlign w:val="center"/>
            <w:hideMark/>
          </w:tcPr>
          <w:p w14:paraId="3DFE6C72" w14:textId="366977DC" w:rsidR="00F42A40" w:rsidRPr="008C1B89" w:rsidRDefault="00F42A40" w:rsidP="009D734D">
            <w:pPr>
              <w:jc w:val="center"/>
              <w:rPr>
                <w:rFonts w:eastAsia="Times New Roman" w:cs="Calibri"/>
                <w:color w:val="000000"/>
                <w:sz w:val="20"/>
                <w:szCs w:val="20"/>
                <w:lang w:eastAsia="en-AU"/>
              </w:rPr>
            </w:pPr>
          </w:p>
        </w:tc>
        <w:tc>
          <w:tcPr>
            <w:tcW w:w="1036" w:type="dxa"/>
            <w:tcBorders>
              <w:left w:val="nil"/>
              <w:right w:val="single" w:sz="4" w:space="0" w:color="BFBFBF"/>
            </w:tcBorders>
            <w:shd w:val="clear" w:color="auto" w:fill="auto"/>
            <w:noWrap/>
            <w:vAlign w:val="center"/>
            <w:hideMark/>
          </w:tcPr>
          <w:p w14:paraId="64932781" w14:textId="0727F430" w:rsidR="00F42A40" w:rsidRPr="008C1B89" w:rsidRDefault="00F42A40" w:rsidP="009D734D">
            <w:pPr>
              <w:jc w:val="center"/>
              <w:rPr>
                <w:rFonts w:eastAsia="Times New Roman" w:cs="Calibri"/>
                <w:color w:val="000000"/>
                <w:sz w:val="20"/>
                <w:szCs w:val="20"/>
                <w:lang w:eastAsia="en-AU"/>
              </w:rPr>
            </w:pPr>
          </w:p>
        </w:tc>
        <w:tc>
          <w:tcPr>
            <w:tcW w:w="971" w:type="dxa"/>
            <w:tcBorders>
              <w:top w:val="nil"/>
              <w:left w:val="nil"/>
              <w:bottom w:val="single" w:sz="4" w:space="0" w:color="BFBFBF"/>
              <w:right w:val="single" w:sz="4" w:space="0" w:color="BFBFBF"/>
            </w:tcBorders>
            <w:shd w:val="clear" w:color="auto" w:fill="auto"/>
            <w:noWrap/>
            <w:hideMark/>
          </w:tcPr>
          <w:p w14:paraId="7C5F74C0" w14:textId="4590EAF0"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750ED15F" w14:textId="6391DE57"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548331CE" w14:textId="6E0B91AF"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481A9543" w14:textId="4CE0DDDC"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254" w:type="dxa"/>
            <w:vMerge/>
            <w:tcBorders>
              <w:top w:val="single" w:sz="4" w:space="0" w:color="808080"/>
              <w:left w:val="single" w:sz="4" w:space="0" w:color="BFBFBF"/>
              <w:bottom w:val="single" w:sz="4" w:space="0" w:color="BFBFBF"/>
              <w:right w:val="single" w:sz="4" w:space="0" w:color="BFBFBF"/>
            </w:tcBorders>
            <w:vAlign w:val="center"/>
            <w:hideMark/>
          </w:tcPr>
          <w:p w14:paraId="3EDCF49F" w14:textId="77777777" w:rsidR="00F42A40" w:rsidRPr="008C1B89" w:rsidRDefault="00F42A40" w:rsidP="00F42A40">
            <w:pPr>
              <w:rPr>
                <w:rFonts w:eastAsia="Times New Roman" w:cs="Calibri"/>
                <w:color w:val="000000"/>
                <w:sz w:val="20"/>
                <w:szCs w:val="20"/>
                <w:lang w:eastAsia="en-AU"/>
              </w:rPr>
            </w:pPr>
          </w:p>
        </w:tc>
      </w:tr>
      <w:tr w:rsidR="00F42A40" w:rsidRPr="008C1B89" w14:paraId="3A4156CE"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6EB92A27"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Solvents/paints/organic chemicals facility</w:t>
            </w:r>
          </w:p>
        </w:tc>
        <w:tc>
          <w:tcPr>
            <w:tcW w:w="896" w:type="dxa"/>
            <w:tcBorders>
              <w:top w:val="nil"/>
              <w:left w:val="nil"/>
              <w:bottom w:val="single" w:sz="4" w:space="0" w:color="BFBFBF"/>
              <w:right w:val="single" w:sz="4" w:space="0" w:color="BFBFBF"/>
            </w:tcBorders>
            <w:shd w:val="clear" w:color="000000" w:fill="FFFFFF"/>
            <w:noWrap/>
            <w:hideMark/>
          </w:tcPr>
          <w:p w14:paraId="509308B0" w14:textId="69AC215A" w:rsidR="00F42A40" w:rsidRPr="008C1B89" w:rsidRDefault="00F42A40" w:rsidP="00F42A40">
            <w:pPr>
              <w:jc w:val="right"/>
              <w:rPr>
                <w:rFonts w:eastAsia="Times New Roman" w:cs="Calibri"/>
                <w:color w:val="000000"/>
                <w:sz w:val="20"/>
                <w:szCs w:val="20"/>
                <w:lang w:eastAsia="en-AU"/>
              </w:rPr>
            </w:pPr>
            <w:r>
              <w:rPr>
                <w:color w:val="000000"/>
                <w:sz w:val="20"/>
                <w:szCs w:val="20"/>
              </w:rPr>
              <w:t>1,370</w:t>
            </w:r>
          </w:p>
        </w:tc>
        <w:tc>
          <w:tcPr>
            <w:tcW w:w="963" w:type="dxa"/>
            <w:tcBorders>
              <w:left w:val="nil"/>
              <w:right w:val="single" w:sz="4" w:space="0" w:color="BFBFBF"/>
            </w:tcBorders>
            <w:shd w:val="clear" w:color="auto" w:fill="auto"/>
            <w:noWrap/>
            <w:vAlign w:val="center"/>
            <w:hideMark/>
          </w:tcPr>
          <w:p w14:paraId="33C11EC8" w14:textId="22CF90EF" w:rsidR="00F42A40" w:rsidRPr="008C1B89" w:rsidRDefault="00F42A40" w:rsidP="009D734D">
            <w:pPr>
              <w:jc w:val="center"/>
              <w:rPr>
                <w:rFonts w:eastAsia="Times New Roman" w:cs="Calibri"/>
                <w:color w:val="000000"/>
                <w:sz w:val="20"/>
                <w:szCs w:val="20"/>
                <w:lang w:eastAsia="en-AU"/>
              </w:rPr>
            </w:pPr>
          </w:p>
        </w:tc>
        <w:tc>
          <w:tcPr>
            <w:tcW w:w="1036" w:type="dxa"/>
            <w:tcBorders>
              <w:left w:val="nil"/>
              <w:right w:val="single" w:sz="4" w:space="0" w:color="BFBFBF"/>
            </w:tcBorders>
            <w:shd w:val="clear" w:color="auto" w:fill="auto"/>
            <w:noWrap/>
            <w:vAlign w:val="center"/>
            <w:hideMark/>
          </w:tcPr>
          <w:p w14:paraId="12C6A624" w14:textId="0FF7DCD8" w:rsidR="00F42A40" w:rsidRPr="008C1B89" w:rsidRDefault="00F42A40" w:rsidP="009D734D">
            <w:pPr>
              <w:jc w:val="center"/>
              <w:rPr>
                <w:rFonts w:eastAsia="Times New Roman" w:cs="Calibri"/>
                <w:color w:val="000000"/>
                <w:sz w:val="20"/>
                <w:szCs w:val="20"/>
                <w:lang w:eastAsia="en-AU"/>
              </w:rPr>
            </w:pPr>
          </w:p>
        </w:tc>
        <w:tc>
          <w:tcPr>
            <w:tcW w:w="971" w:type="dxa"/>
            <w:tcBorders>
              <w:top w:val="nil"/>
              <w:left w:val="nil"/>
              <w:bottom w:val="single" w:sz="4" w:space="0" w:color="BFBFBF"/>
              <w:right w:val="single" w:sz="4" w:space="0" w:color="BFBFBF"/>
            </w:tcBorders>
            <w:shd w:val="clear" w:color="auto" w:fill="auto"/>
            <w:noWrap/>
            <w:hideMark/>
          </w:tcPr>
          <w:p w14:paraId="69E0717E" w14:textId="3066AB41" w:rsidR="00F42A40" w:rsidRPr="008C1B89" w:rsidRDefault="00F42A40" w:rsidP="00F42A40">
            <w:pPr>
              <w:jc w:val="center"/>
              <w:rPr>
                <w:rFonts w:eastAsia="Times New Roman" w:cs="Calibri"/>
                <w:color w:val="000000"/>
                <w:sz w:val="20"/>
                <w:szCs w:val="20"/>
                <w:lang w:eastAsia="en-AU"/>
              </w:rPr>
            </w:pPr>
            <w:r>
              <w:rPr>
                <w:color w:val="000000"/>
                <w:sz w:val="20"/>
                <w:szCs w:val="20"/>
              </w:rPr>
              <w:t>Poor</w:t>
            </w:r>
          </w:p>
        </w:tc>
        <w:tc>
          <w:tcPr>
            <w:tcW w:w="740" w:type="dxa"/>
            <w:tcBorders>
              <w:top w:val="nil"/>
              <w:left w:val="nil"/>
              <w:bottom w:val="single" w:sz="4" w:space="0" w:color="BFBFBF"/>
              <w:right w:val="single" w:sz="4" w:space="0" w:color="BFBFBF"/>
            </w:tcBorders>
            <w:shd w:val="clear" w:color="000000" w:fill="FFFFFF"/>
            <w:noWrap/>
            <w:hideMark/>
          </w:tcPr>
          <w:p w14:paraId="626ED460" w14:textId="6DC4A55E"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50D64C67" w14:textId="2C08EF4D"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483DE9FA" w14:textId="6DD12307"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254" w:type="dxa"/>
            <w:vMerge/>
            <w:tcBorders>
              <w:top w:val="single" w:sz="4" w:space="0" w:color="808080"/>
              <w:left w:val="single" w:sz="4" w:space="0" w:color="BFBFBF"/>
              <w:bottom w:val="single" w:sz="4" w:space="0" w:color="BFBFBF"/>
              <w:right w:val="single" w:sz="4" w:space="0" w:color="BFBFBF"/>
            </w:tcBorders>
            <w:vAlign w:val="center"/>
            <w:hideMark/>
          </w:tcPr>
          <w:p w14:paraId="0A45FE81" w14:textId="77777777" w:rsidR="00F42A40" w:rsidRPr="008C1B89" w:rsidRDefault="00F42A40" w:rsidP="00F42A40">
            <w:pPr>
              <w:rPr>
                <w:rFonts w:eastAsia="Times New Roman" w:cs="Calibri"/>
                <w:color w:val="000000"/>
                <w:sz w:val="20"/>
                <w:szCs w:val="20"/>
                <w:lang w:eastAsia="en-AU"/>
              </w:rPr>
            </w:pPr>
          </w:p>
        </w:tc>
      </w:tr>
      <w:tr w:rsidR="00F42A40" w:rsidRPr="008C1B89" w14:paraId="4FD69415"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77AC02A9"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Organics processing facility</w:t>
            </w:r>
          </w:p>
        </w:tc>
        <w:tc>
          <w:tcPr>
            <w:tcW w:w="896" w:type="dxa"/>
            <w:tcBorders>
              <w:top w:val="nil"/>
              <w:left w:val="nil"/>
              <w:bottom w:val="single" w:sz="4" w:space="0" w:color="BFBFBF"/>
              <w:right w:val="single" w:sz="4" w:space="0" w:color="BFBFBF"/>
            </w:tcBorders>
            <w:shd w:val="clear" w:color="000000" w:fill="FFFFFF"/>
            <w:noWrap/>
            <w:hideMark/>
          </w:tcPr>
          <w:p w14:paraId="1CEF07D4" w14:textId="0B39BD61" w:rsidR="00F42A40" w:rsidRPr="008C1B89" w:rsidRDefault="00F42A40" w:rsidP="00F42A40">
            <w:pPr>
              <w:jc w:val="right"/>
              <w:rPr>
                <w:rFonts w:eastAsia="Times New Roman" w:cs="Calibri"/>
                <w:color w:val="000000"/>
                <w:sz w:val="20"/>
                <w:szCs w:val="20"/>
                <w:lang w:eastAsia="en-AU"/>
              </w:rPr>
            </w:pPr>
            <w:r>
              <w:rPr>
                <w:color w:val="000000"/>
                <w:sz w:val="20"/>
                <w:szCs w:val="20"/>
              </w:rPr>
              <w:t>146,022</w:t>
            </w:r>
          </w:p>
        </w:tc>
        <w:tc>
          <w:tcPr>
            <w:tcW w:w="963" w:type="dxa"/>
            <w:tcBorders>
              <w:left w:val="nil"/>
              <w:right w:val="single" w:sz="4" w:space="0" w:color="BFBFBF"/>
            </w:tcBorders>
            <w:shd w:val="clear" w:color="auto" w:fill="auto"/>
            <w:noWrap/>
            <w:vAlign w:val="center"/>
            <w:hideMark/>
          </w:tcPr>
          <w:p w14:paraId="190C225D" w14:textId="32E010E7" w:rsidR="00F42A40" w:rsidRPr="008C1B89" w:rsidRDefault="00F42A40" w:rsidP="009D734D">
            <w:pPr>
              <w:jc w:val="center"/>
              <w:rPr>
                <w:rFonts w:eastAsia="Times New Roman" w:cs="Calibri"/>
                <w:color w:val="000000"/>
                <w:sz w:val="20"/>
                <w:szCs w:val="20"/>
                <w:lang w:eastAsia="en-AU"/>
              </w:rPr>
            </w:pPr>
          </w:p>
        </w:tc>
        <w:tc>
          <w:tcPr>
            <w:tcW w:w="1036" w:type="dxa"/>
            <w:tcBorders>
              <w:left w:val="nil"/>
              <w:right w:val="single" w:sz="4" w:space="0" w:color="BFBFBF"/>
            </w:tcBorders>
            <w:shd w:val="clear" w:color="auto" w:fill="auto"/>
            <w:noWrap/>
            <w:vAlign w:val="center"/>
            <w:hideMark/>
          </w:tcPr>
          <w:p w14:paraId="018F152B" w14:textId="58F53DDE" w:rsidR="00F42A40" w:rsidRPr="008C1B89" w:rsidRDefault="00F42A40" w:rsidP="009D734D">
            <w:pPr>
              <w:jc w:val="center"/>
              <w:rPr>
                <w:rFonts w:eastAsia="Times New Roman" w:cs="Calibri"/>
                <w:color w:val="000000"/>
                <w:sz w:val="20"/>
                <w:szCs w:val="20"/>
                <w:lang w:eastAsia="en-AU"/>
              </w:rPr>
            </w:pPr>
          </w:p>
        </w:tc>
        <w:tc>
          <w:tcPr>
            <w:tcW w:w="971" w:type="dxa"/>
            <w:tcBorders>
              <w:top w:val="nil"/>
              <w:left w:val="nil"/>
              <w:bottom w:val="single" w:sz="4" w:space="0" w:color="BFBFBF"/>
              <w:right w:val="single" w:sz="4" w:space="0" w:color="BFBFBF"/>
            </w:tcBorders>
            <w:shd w:val="clear" w:color="auto" w:fill="auto"/>
            <w:noWrap/>
            <w:hideMark/>
          </w:tcPr>
          <w:p w14:paraId="692BBBC1" w14:textId="3DDE78E1"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4DCED09A" w14:textId="1AD014C0"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1225820F" w14:textId="3BB8C864"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43FB3252" w14:textId="3AEC7879"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254" w:type="dxa"/>
            <w:vMerge/>
            <w:tcBorders>
              <w:top w:val="single" w:sz="4" w:space="0" w:color="808080"/>
              <w:left w:val="single" w:sz="4" w:space="0" w:color="BFBFBF"/>
              <w:bottom w:val="single" w:sz="4" w:space="0" w:color="BFBFBF"/>
              <w:right w:val="single" w:sz="4" w:space="0" w:color="BFBFBF"/>
            </w:tcBorders>
            <w:vAlign w:val="center"/>
            <w:hideMark/>
          </w:tcPr>
          <w:p w14:paraId="16C64876" w14:textId="77777777" w:rsidR="00F42A40" w:rsidRPr="008C1B89" w:rsidRDefault="00F42A40" w:rsidP="00F42A40">
            <w:pPr>
              <w:rPr>
                <w:rFonts w:eastAsia="Times New Roman" w:cs="Calibri"/>
                <w:color w:val="000000"/>
                <w:sz w:val="20"/>
                <w:szCs w:val="20"/>
                <w:lang w:eastAsia="en-AU"/>
              </w:rPr>
            </w:pPr>
          </w:p>
        </w:tc>
      </w:tr>
      <w:tr w:rsidR="00F42A40" w:rsidRPr="008C1B89" w14:paraId="005670A8"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75FBD2D3" w14:textId="704D45DC" w:rsidR="00F42A40" w:rsidRPr="008C1B89" w:rsidRDefault="00F42A40" w:rsidP="00F42A40">
            <w:pPr>
              <w:jc w:val="right"/>
              <w:rPr>
                <w:rFonts w:eastAsia="Times New Roman" w:cs="Calibri"/>
                <w:color w:val="000000"/>
                <w:sz w:val="20"/>
                <w:szCs w:val="20"/>
                <w:lang w:eastAsia="en-AU"/>
              </w:rPr>
            </w:pPr>
            <w:r>
              <w:rPr>
                <w:rFonts w:eastAsia="Times New Roman" w:cs="Calibri"/>
                <w:color w:val="000000"/>
                <w:sz w:val="20"/>
                <w:szCs w:val="20"/>
                <w:lang w:eastAsia="en-AU"/>
              </w:rPr>
              <w:t>EOLT</w:t>
            </w:r>
            <w:r w:rsidRPr="008C1B89">
              <w:rPr>
                <w:rFonts w:eastAsia="Times New Roman" w:cs="Calibri"/>
                <w:color w:val="000000"/>
                <w:sz w:val="20"/>
                <w:szCs w:val="20"/>
                <w:lang w:eastAsia="en-AU"/>
              </w:rPr>
              <w:t xml:space="preserve"> facility</w:t>
            </w:r>
          </w:p>
        </w:tc>
        <w:tc>
          <w:tcPr>
            <w:tcW w:w="896" w:type="dxa"/>
            <w:tcBorders>
              <w:top w:val="nil"/>
              <w:left w:val="nil"/>
              <w:bottom w:val="single" w:sz="4" w:space="0" w:color="BFBFBF"/>
              <w:right w:val="single" w:sz="4" w:space="0" w:color="BFBFBF"/>
            </w:tcBorders>
            <w:shd w:val="clear" w:color="000000" w:fill="FFFFFF"/>
            <w:noWrap/>
            <w:hideMark/>
          </w:tcPr>
          <w:p w14:paraId="58D3E9C1" w14:textId="6ED6EBF1" w:rsidR="00F42A40" w:rsidRPr="008C1B89" w:rsidRDefault="00F42A40" w:rsidP="00F42A40">
            <w:pPr>
              <w:jc w:val="right"/>
              <w:rPr>
                <w:rFonts w:eastAsia="Times New Roman" w:cs="Calibri"/>
                <w:color w:val="000000"/>
                <w:sz w:val="20"/>
                <w:szCs w:val="20"/>
                <w:lang w:eastAsia="en-AU"/>
              </w:rPr>
            </w:pPr>
            <w:r>
              <w:rPr>
                <w:color w:val="000000"/>
                <w:sz w:val="20"/>
                <w:szCs w:val="20"/>
              </w:rPr>
              <w:t>13,535</w:t>
            </w:r>
          </w:p>
        </w:tc>
        <w:tc>
          <w:tcPr>
            <w:tcW w:w="963" w:type="dxa"/>
            <w:tcBorders>
              <w:left w:val="nil"/>
              <w:right w:val="single" w:sz="4" w:space="0" w:color="BFBFBF"/>
            </w:tcBorders>
            <w:shd w:val="clear" w:color="auto" w:fill="auto"/>
            <w:noWrap/>
            <w:vAlign w:val="center"/>
            <w:hideMark/>
          </w:tcPr>
          <w:p w14:paraId="54BB69C1" w14:textId="53534038" w:rsidR="00F42A40" w:rsidRPr="008C1B89" w:rsidRDefault="00F42A40" w:rsidP="009D734D">
            <w:pPr>
              <w:jc w:val="center"/>
              <w:rPr>
                <w:rFonts w:eastAsia="Times New Roman" w:cs="Calibri"/>
                <w:color w:val="000000"/>
                <w:sz w:val="20"/>
                <w:szCs w:val="20"/>
                <w:lang w:eastAsia="en-AU"/>
              </w:rPr>
            </w:pPr>
          </w:p>
        </w:tc>
        <w:tc>
          <w:tcPr>
            <w:tcW w:w="1036" w:type="dxa"/>
            <w:tcBorders>
              <w:left w:val="nil"/>
              <w:right w:val="single" w:sz="4" w:space="0" w:color="BFBFBF"/>
            </w:tcBorders>
            <w:shd w:val="clear" w:color="auto" w:fill="auto"/>
            <w:noWrap/>
            <w:vAlign w:val="center"/>
            <w:hideMark/>
          </w:tcPr>
          <w:p w14:paraId="34D4E662" w14:textId="3BD384A1" w:rsidR="00F42A40" w:rsidRPr="008C1B89" w:rsidRDefault="00F42A40" w:rsidP="009D734D">
            <w:pPr>
              <w:jc w:val="center"/>
              <w:rPr>
                <w:rFonts w:eastAsia="Times New Roman" w:cs="Calibri"/>
                <w:color w:val="000000"/>
                <w:sz w:val="20"/>
                <w:szCs w:val="20"/>
                <w:lang w:eastAsia="en-AU"/>
              </w:rPr>
            </w:pPr>
          </w:p>
        </w:tc>
        <w:tc>
          <w:tcPr>
            <w:tcW w:w="971" w:type="dxa"/>
            <w:tcBorders>
              <w:top w:val="nil"/>
              <w:left w:val="nil"/>
              <w:bottom w:val="single" w:sz="4" w:space="0" w:color="BFBFBF"/>
              <w:right w:val="single" w:sz="4" w:space="0" w:color="BFBFBF"/>
            </w:tcBorders>
            <w:shd w:val="clear" w:color="auto" w:fill="auto"/>
            <w:noWrap/>
            <w:hideMark/>
          </w:tcPr>
          <w:p w14:paraId="66970C33" w14:textId="44D279EC"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4BBBEF1F" w14:textId="599C3EB4"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03D15600" w14:textId="5D992CD5" w:rsidR="00F42A40" w:rsidRPr="008C1B89" w:rsidRDefault="00F42A40" w:rsidP="00F42A40">
            <w:pPr>
              <w:jc w:val="center"/>
              <w:rPr>
                <w:rFonts w:eastAsia="Times New Roman" w:cs="Calibri"/>
                <w:color w:val="000000"/>
                <w:sz w:val="20"/>
                <w:szCs w:val="20"/>
                <w:lang w:eastAsia="en-AU"/>
              </w:rPr>
            </w:pPr>
            <w:r>
              <w:rPr>
                <w:color w:val="000000"/>
                <w:sz w:val="20"/>
                <w:szCs w:val="20"/>
              </w:rPr>
              <w:t>2025</w:t>
            </w:r>
          </w:p>
        </w:tc>
        <w:tc>
          <w:tcPr>
            <w:tcW w:w="740" w:type="dxa"/>
            <w:tcBorders>
              <w:top w:val="nil"/>
              <w:left w:val="nil"/>
              <w:bottom w:val="single" w:sz="4" w:space="0" w:color="BFBFBF"/>
              <w:right w:val="single" w:sz="4" w:space="0" w:color="BFBFBF"/>
            </w:tcBorders>
            <w:shd w:val="clear" w:color="000000" w:fill="FFFFFF"/>
            <w:noWrap/>
            <w:hideMark/>
          </w:tcPr>
          <w:p w14:paraId="10DCFA65" w14:textId="5859C38A"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254" w:type="dxa"/>
            <w:vMerge/>
            <w:tcBorders>
              <w:top w:val="single" w:sz="4" w:space="0" w:color="808080"/>
              <w:left w:val="single" w:sz="4" w:space="0" w:color="BFBFBF"/>
              <w:bottom w:val="single" w:sz="4" w:space="0" w:color="BFBFBF"/>
              <w:right w:val="single" w:sz="4" w:space="0" w:color="BFBFBF"/>
            </w:tcBorders>
            <w:vAlign w:val="center"/>
            <w:hideMark/>
          </w:tcPr>
          <w:p w14:paraId="087EB79B" w14:textId="77777777" w:rsidR="00F42A40" w:rsidRPr="008C1B89" w:rsidRDefault="00F42A40" w:rsidP="00F42A40">
            <w:pPr>
              <w:rPr>
                <w:rFonts w:eastAsia="Times New Roman" w:cs="Calibri"/>
                <w:color w:val="000000"/>
                <w:sz w:val="20"/>
                <w:szCs w:val="20"/>
                <w:lang w:eastAsia="en-AU"/>
              </w:rPr>
            </w:pPr>
          </w:p>
        </w:tc>
      </w:tr>
      <w:tr w:rsidR="00F42A40" w:rsidRPr="008C1B89" w14:paraId="2E6234C4"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F2C8B1E" w14:textId="7A680560" w:rsidR="00F42A40" w:rsidRPr="008C1B89" w:rsidRDefault="00F42A40" w:rsidP="00F42A40">
            <w:pPr>
              <w:jc w:val="right"/>
              <w:rPr>
                <w:rFonts w:eastAsia="Times New Roman" w:cs="Calibri"/>
                <w:color w:val="000000"/>
                <w:sz w:val="20"/>
                <w:szCs w:val="20"/>
                <w:lang w:eastAsia="en-AU"/>
              </w:rPr>
            </w:pPr>
            <w:r>
              <w:rPr>
                <w:rFonts w:eastAsia="Times New Roman" w:cs="Calibri"/>
                <w:color w:val="000000"/>
                <w:sz w:val="20"/>
                <w:szCs w:val="20"/>
                <w:lang w:eastAsia="en-AU"/>
              </w:rPr>
              <w:t>SPL</w:t>
            </w:r>
            <w:r w:rsidRPr="008C1B89">
              <w:rPr>
                <w:rFonts w:eastAsia="Times New Roman" w:cs="Calibri"/>
                <w:color w:val="000000"/>
                <w:sz w:val="20"/>
                <w:szCs w:val="20"/>
                <w:lang w:eastAsia="en-AU"/>
              </w:rPr>
              <w:t xml:space="preserve"> facility</w:t>
            </w:r>
          </w:p>
        </w:tc>
        <w:tc>
          <w:tcPr>
            <w:tcW w:w="896" w:type="dxa"/>
            <w:tcBorders>
              <w:top w:val="nil"/>
              <w:left w:val="nil"/>
              <w:bottom w:val="single" w:sz="4" w:space="0" w:color="BFBFBF"/>
              <w:right w:val="single" w:sz="4" w:space="0" w:color="BFBFBF"/>
            </w:tcBorders>
            <w:shd w:val="clear" w:color="000000" w:fill="FFFFFF"/>
            <w:noWrap/>
            <w:hideMark/>
          </w:tcPr>
          <w:p w14:paraId="3AE1A636" w14:textId="06AF6F03" w:rsidR="00F42A40" w:rsidRPr="008C1B89" w:rsidRDefault="00F42A40" w:rsidP="00F42A40">
            <w:pPr>
              <w:jc w:val="right"/>
              <w:rPr>
                <w:rFonts w:eastAsia="Times New Roman" w:cs="Calibri"/>
                <w:color w:val="000000"/>
                <w:sz w:val="20"/>
                <w:szCs w:val="20"/>
                <w:lang w:eastAsia="en-AU"/>
              </w:rPr>
            </w:pPr>
            <w:r>
              <w:rPr>
                <w:color w:val="000000"/>
                <w:sz w:val="20"/>
                <w:szCs w:val="20"/>
              </w:rPr>
              <w:t>12,832</w:t>
            </w:r>
          </w:p>
        </w:tc>
        <w:tc>
          <w:tcPr>
            <w:tcW w:w="963" w:type="dxa"/>
            <w:tcBorders>
              <w:left w:val="nil"/>
              <w:right w:val="single" w:sz="4" w:space="0" w:color="BFBFBF"/>
            </w:tcBorders>
            <w:shd w:val="clear" w:color="auto" w:fill="auto"/>
            <w:noWrap/>
            <w:vAlign w:val="center"/>
            <w:hideMark/>
          </w:tcPr>
          <w:p w14:paraId="7DB2432E" w14:textId="3C93D7A0" w:rsidR="00F42A40" w:rsidRPr="008C1B89" w:rsidRDefault="00F42A40" w:rsidP="009D734D">
            <w:pPr>
              <w:jc w:val="center"/>
              <w:rPr>
                <w:rFonts w:eastAsia="Times New Roman" w:cs="Calibri"/>
                <w:color w:val="000000"/>
                <w:sz w:val="20"/>
                <w:szCs w:val="20"/>
                <w:lang w:eastAsia="en-AU"/>
              </w:rPr>
            </w:pPr>
          </w:p>
        </w:tc>
        <w:tc>
          <w:tcPr>
            <w:tcW w:w="1036" w:type="dxa"/>
            <w:tcBorders>
              <w:left w:val="nil"/>
              <w:right w:val="single" w:sz="4" w:space="0" w:color="BFBFBF"/>
            </w:tcBorders>
            <w:shd w:val="clear" w:color="auto" w:fill="auto"/>
            <w:noWrap/>
            <w:vAlign w:val="center"/>
            <w:hideMark/>
          </w:tcPr>
          <w:p w14:paraId="3AC83EC3" w14:textId="0EC3E560" w:rsidR="00F42A40" w:rsidRPr="008C1B89" w:rsidRDefault="00F42A40" w:rsidP="009D734D">
            <w:pPr>
              <w:jc w:val="center"/>
              <w:rPr>
                <w:rFonts w:eastAsia="Times New Roman" w:cs="Calibri"/>
                <w:color w:val="000000"/>
                <w:sz w:val="20"/>
                <w:szCs w:val="20"/>
                <w:lang w:eastAsia="en-AU"/>
              </w:rPr>
            </w:pPr>
          </w:p>
        </w:tc>
        <w:tc>
          <w:tcPr>
            <w:tcW w:w="971" w:type="dxa"/>
            <w:tcBorders>
              <w:top w:val="nil"/>
              <w:left w:val="nil"/>
              <w:bottom w:val="single" w:sz="4" w:space="0" w:color="BFBFBF"/>
              <w:right w:val="single" w:sz="4" w:space="0" w:color="BFBFBF"/>
            </w:tcBorders>
            <w:shd w:val="clear" w:color="auto" w:fill="auto"/>
            <w:noWrap/>
            <w:hideMark/>
          </w:tcPr>
          <w:p w14:paraId="2F1C8CD7" w14:textId="2ED2A9DB"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7553F150" w14:textId="62CB1019"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305D88C4" w14:textId="23356B3F" w:rsidR="00F42A40" w:rsidRPr="008C1B89" w:rsidRDefault="00F42A40" w:rsidP="00F42A40">
            <w:pPr>
              <w:jc w:val="center"/>
              <w:rPr>
                <w:rFonts w:eastAsia="Times New Roman" w:cs="Calibri"/>
                <w:color w:val="000000"/>
                <w:sz w:val="20"/>
                <w:szCs w:val="20"/>
                <w:lang w:eastAsia="en-AU"/>
              </w:rPr>
            </w:pPr>
            <w:r>
              <w:rPr>
                <w:color w:val="000000"/>
                <w:sz w:val="20"/>
                <w:szCs w:val="20"/>
              </w:rPr>
              <w:t>2020</w:t>
            </w:r>
          </w:p>
        </w:tc>
        <w:tc>
          <w:tcPr>
            <w:tcW w:w="740" w:type="dxa"/>
            <w:tcBorders>
              <w:top w:val="nil"/>
              <w:left w:val="nil"/>
              <w:bottom w:val="single" w:sz="4" w:space="0" w:color="BFBFBF"/>
              <w:right w:val="single" w:sz="4" w:space="0" w:color="BFBFBF"/>
            </w:tcBorders>
            <w:shd w:val="clear" w:color="000000" w:fill="FFFFFF"/>
            <w:noWrap/>
            <w:hideMark/>
          </w:tcPr>
          <w:p w14:paraId="0F54A70A" w14:textId="53601365"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254" w:type="dxa"/>
            <w:vMerge/>
            <w:tcBorders>
              <w:top w:val="single" w:sz="4" w:space="0" w:color="808080"/>
              <w:left w:val="single" w:sz="4" w:space="0" w:color="BFBFBF"/>
              <w:bottom w:val="single" w:sz="4" w:space="0" w:color="BFBFBF"/>
              <w:right w:val="single" w:sz="4" w:space="0" w:color="BFBFBF"/>
            </w:tcBorders>
            <w:vAlign w:val="center"/>
            <w:hideMark/>
          </w:tcPr>
          <w:p w14:paraId="3D98EA53" w14:textId="77777777" w:rsidR="00F42A40" w:rsidRPr="008C1B89" w:rsidRDefault="00F42A40" w:rsidP="00F42A40">
            <w:pPr>
              <w:rPr>
                <w:rFonts w:eastAsia="Times New Roman" w:cs="Calibri"/>
                <w:color w:val="000000"/>
                <w:sz w:val="20"/>
                <w:szCs w:val="20"/>
                <w:lang w:eastAsia="en-AU"/>
              </w:rPr>
            </w:pPr>
          </w:p>
        </w:tc>
      </w:tr>
      <w:tr w:rsidR="00F42A40" w:rsidRPr="008C1B89" w14:paraId="632E989F" w14:textId="77777777" w:rsidTr="009D734D">
        <w:trPr>
          <w:trHeight w:val="255"/>
        </w:trPr>
        <w:tc>
          <w:tcPr>
            <w:tcW w:w="2830" w:type="dxa"/>
            <w:tcBorders>
              <w:top w:val="nil"/>
              <w:left w:val="single" w:sz="4" w:space="0" w:color="BFBFBF"/>
              <w:bottom w:val="nil"/>
              <w:right w:val="single" w:sz="4" w:space="0" w:color="BFBFBF"/>
            </w:tcBorders>
            <w:shd w:val="clear" w:color="auto" w:fill="auto"/>
            <w:noWrap/>
            <w:vAlign w:val="center"/>
            <w:hideMark/>
          </w:tcPr>
          <w:p w14:paraId="088F090A"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 xml:space="preserve">Energy recovery </w:t>
            </w:r>
          </w:p>
        </w:tc>
        <w:tc>
          <w:tcPr>
            <w:tcW w:w="896" w:type="dxa"/>
            <w:tcBorders>
              <w:top w:val="nil"/>
              <w:left w:val="nil"/>
              <w:bottom w:val="single" w:sz="4" w:space="0" w:color="BFBFBF"/>
              <w:right w:val="single" w:sz="4" w:space="0" w:color="BFBFBF"/>
            </w:tcBorders>
            <w:shd w:val="clear" w:color="000000" w:fill="FFFFFF"/>
            <w:noWrap/>
            <w:hideMark/>
          </w:tcPr>
          <w:p w14:paraId="725A8332" w14:textId="27D4FCC8" w:rsidR="00F42A40" w:rsidRPr="008C1B89" w:rsidRDefault="00F42A40" w:rsidP="00F42A40">
            <w:pPr>
              <w:jc w:val="right"/>
              <w:rPr>
                <w:rFonts w:eastAsia="Times New Roman" w:cs="Calibri"/>
                <w:color w:val="000000"/>
                <w:sz w:val="20"/>
                <w:szCs w:val="20"/>
                <w:lang w:eastAsia="en-AU"/>
              </w:rPr>
            </w:pPr>
            <w:r>
              <w:rPr>
                <w:color w:val="000000"/>
                <w:sz w:val="20"/>
                <w:szCs w:val="20"/>
              </w:rPr>
              <w:t>572</w:t>
            </w:r>
          </w:p>
        </w:tc>
        <w:tc>
          <w:tcPr>
            <w:tcW w:w="963" w:type="dxa"/>
            <w:tcBorders>
              <w:left w:val="nil"/>
              <w:bottom w:val="single" w:sz="4" w:space="0" w:color="BFBFBF"/>
              <w:right w:val="single" w:sz="4" w:space="0" w:color="BFBFBF"/>
            </w:tcBorders>
            <w:shd w:val="clear" w:color="auto" w:fill="auto"/>
            <w:noWrap/>
            <w:vAlign w:val="center"/>
            <w:hideMark/>
          </w:tcPr>
          <w:p w14:paraId="156808B5" w14:textId="0C435BF6" w:rsidR="00F42A40" w:rsidRPr="008C1B89" w:rsidRDefault="00F42A40" w:rsidP="009D734D">
            <w:pPr>
              <w:jc w:val="center"/>
              <w:rPr>
                <w:rFonts w:eastAsia="Times New Roman" w:cs="Calibri"/>
                <w:color w:val="000000"/>
                <w:sz w:val="20"/>
                <w:szCs w:val="20"/>
                <w:lang w:eastAsia="en-AU"/>
              </w:rPr>
            </w:pPr>
          </w:p>
        </w:tc>
        <w:tc>
          <w:tcPr>
            <w:tcW w:w="1036" w:type="dxa"/>
            <w:tcBorders>
              <w:left w:val="nil"/>
              <w:bottom w:val="single" w:sz="4" w:space="0" w:color="BFBFBF"/>
              <w:right w:val="single" w:sz="4" w:space="0" w:color="BFBFBF"/>
            </w:tcBorders>
            <w:shd w:val="clear" w:color="auto" w:fill="auto"/>
            <w:noWrap/>
            <w:vAlign w:val="center"/>
            <w:hideMark/>
          </w:tcPr>
          <w:p w14:paraId="5322BED3" w14:textId="0F2B95CE" w:rsidR="00F42A40" w:rsidRPr="008C1B89" w:rsidRDefault="00F42A40" w:rsidP="009D734D">
            <w:pPr>
              <w:jc w:val="center"/>
              <w:rPr>
                <w:rFonts w:eastAsia="Times New Roman" w:cs="Calibri"/>
                <w:color w:val="000000"/>
                <w:sz w:val="20"/>
                <w:szCs w:val="20"/>
                <w:lang w:eastAsia="en-AU"/>
              </w:rPr>
            </w:pPr>
          </w:p>
        </w:tc>
        <w:tc>
          <w:tcPr>
            <w:tcW w:w="971" w:type="dxa"/>
            <w:tcBorders>
              <w:top w:val="nil"/>
              <w:left w:val="nil"/>
              <w:bottom w:val="single" w:sz="4" w:space="0" w:color="BFBFBF"/>
              <w:right w:val="single" w:sz="4" w:space="0" w:color="BFBFBF"/>
            </w:tcBorders>
            <w:shd w:val="clear" w:color="auto" w:fill="auto"/>
            <w:noWrap/>
            <w:hideMark/>
          </w:tcPr>
          <w:p w14:paraId="76FF91E5" w14:textId="2FA58197"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458CF7F3" w14:textId="7B694C14"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4C11058F" w14:textId="2474B4A8"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440F2873" w14:textId="2C435285"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254" w:type="dxa"/>
            <w:vMerge/>
            <w:tcBorders>
              <w:top w:val="single" w:sz="4" w:space="0" w:color="808080"/>
              <w:left w:val="single" w:sz="4" w:space="0" w:color="BFBFBF"/>
              <w:bottom w:val="single" w:sz="4" w:space="0" w:color="BFBFBF"/>
              <w:right w:val="single" w:sz="4" w:space="0" w:color="BFBFBF"/>
            </w:tcBorders>
            <w:vAlign w:val="center"/>
            <w:hideMark/>
          </w:tcPr>
          <w:p w14:paraId="148F9407" w14:textId="77777777" w:rsidR="00F42A40" w:rsidRPr="008C1B89" w:rsidRDefault="00F42A40" w:rsidP="00F42A40">
            <w:pPr>
              <w:rPr>
                <w:rFonts w:eastAsia="Times New Roman" w:cs="Calibri"/>
                <w:color w:val="000000"/>
                <w:sz w:val="20"/>
                <w:szCs w:val="20"/>
                <w:lang w:eastAsia="en-AU"/>
              </w:rPr>
            </w:pPr>
          </w:p>
        </w:tc>
      </w:tr>
      <w:tr w:rsidR="009D734D" w:rsidRPr="008C1B89" w14:paraId="326F3678" w14:textId="77777777" w:rsidTr="009D734D">
        <w:trPr>
          <w:trHeight w:val="255"/>
        </w:trPr>
        <w:tc>
          <w:tcPr>
            <w:tcW w:w="2830" w:type="dxa"/>
            <w:tcBorders>
              <w:top w:val="nil"/>
              <w:left w:val="single" w:sz="4" w:space="0" w:color="BFBFBF"/>
              <w:bottom w:val="nil"/>
              <w:right w:val="nil"/>
            </w:tcBorders>
            <w:shd w:val="clear" w:color="000000" w:fill="C5D9F1"/>
            <w:noWrap/>
            <w:vAlign w:val="bottom"/>
            <w:hideMark/>
          </w:tcPr>
          <w:p w14:paraId="0DA201ED" w14:textId="77777777" w:rsidR="00F42A40" w:rsidRPr="008C1B89" w:rsidRDefault="00F42A40" w:rsidP="00F42A40">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 xml:space="preserve">Treatment </w:t>
            </w:r>
          </w:p>
        </w:tc>
        <w:tc>
          <w:tcPr>
            <w:tcW w:w="896" w:type="dxa"/>
            <w:tcBorders>
              <w:top w:val="nil"/>
              <w:left w:val="single" w:sz="4" w:space="0" w:color="BFBFBF"/>
              <w:bottom w:val="nil"/>
              <w:right w:val="single" w:sz="4" w:space="0" w:color="BFBFBF"/>
            </w:tcBorders>
            <w:shd w:val="clear" w:color="000000" w:fill="C5D9F1"/>
            <w:noWrap/>
            <w:hideMark/>
          </w:tcPr>
          <w:p w14:paraId="1B30A5BC" w14:textId="2DC188B7"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963" w:type="dxa"/>
            <w:tcBorders>
              <w:top w:val="nil"/>
              <w:left w:val="nil"/>
              <w:bottom w:val="single" w:sz="4" w:space="0" w:color="BFBFBF"/>
              <w:right w:val="nil"/>
            </w:tcBorders>
            <w:shd w:val="clear" w:color="000000" w:fill="C5D9F1"/>
            <w:noWrap/>
            <w:vAlign w:val="center"/>
            <w:hideMark/>
          </w:tcPr>
          <w:p w14:paraId="3452DF76" w14:textId="53DB445D" w:rsidR="00F42A40" w:rsidRPr="008C1B89" w:rsidRDefault="00F42A40" w:rsidP="009D734D">
            <w:pPr>
              <w:jc w:val="center"/>
              <w:rPr>
                <w:rFonts w:eastAsia="Times New Roman" w:cs="Calibri"/>
                <w:color w:val="000000"/>
                <w:sz w:val="20"/>
                <w:szCs w:val="20"/>
                <w:lang w:eastAsia="en-AU"/>
              </w:rPr>
            </w:pPr>
          </w:p>
        </w:tc>
        <w:tc>
          <w:tcPr>
            <w:tcW w:w="1036" w:type="dxa"/>
            <w:tcBorders>
              <w:top w:val="nil"/>
              <w:left w:val="nil"/>
              <w:bottom w:val="single" w:sz="4" w:space="0" w:color="BFBFBF"/>
              <w:right w:val="nil"/>
            </w:tcBorders>
            <w:shd w:val="clear" w:color="000000" w:fill="C5D9F1"/>
            <w:noWrap/>
            <w:vAlign w:val="center"/>
            <w:hideMark/>
          </w:tcPr>
          <w:p w14:paraId="6A537440" w14:textId="1DDA8678" w:rsidR="00F42A40" w:rsidRPr="008C1B89" w:rsidRDefault="00F42A40" w:rsidP="009D734D">
            <w:pPr>
              <w:jc w:val="center"/>
              <w:rPr>
                <w:rFonts w:eastAsia="Times New Roman" w:cs="Calibri"/>
                <w:color w:val="000000"/>
                <w:sz w:val="20"/>
                <w:szCs w:val="20"/>
                <w:lang w:eastAsia="en-AU"/>
              </w:rPr>
            </w:pPr>
          </w:p>
        </w:tc>
        <w:tc>
          <w:tcPr>
            <w:tcW w:w="971" w:type="dxa"/>
            <w:tcBorders>
              <w:top w:val="nil"/>
              <w:left w:val="nil"/>
              <w:bottom w:val="nil"/>
              <w:right w:val="single" w:sz="4" w:space="0" w:color="BFBFBF"/>
            </w:tcBorders>
            <w:shd w:val="clear" w:color="000000" w:fill="C5D9F1"/>
            <w:noWrap/>
            <w:hideMark/>
          </w:tcPr>
          <w:p w14:paraId="1E9FB8E8" w14:textId="2C8CDCE9"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single" w:sz="4" w:space="0" w:color="BFBFBF"/>
            </w:tcBorders>
            <w:shd w:val="clear" w:color="000000" w:fill="C5D9F1"/>
            <w:noWrap/>
            <w:hideMark/>
          </w:tcPr>
          <w:p w14:paraId="70856735" w14:textId="330398BB"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single" w:sz="4" w:space="0" w:color="BFBFBF"/>
            </w:tcBorders>
            <w:shd w:val="clear" w:color="000000" w:fill="C5D9F1"/>
            <w:noWrap/>
            <w:hideMark/>
          </w:tcPr>
          <w:p w14:paraId="48D54EAB" w14:textId="2C071FB7"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single" w:sz="4" w:space="0" w:color="BFBFBF"/>
            </w:tcBorders>
            <w:shd w:val="clear" w:color="000000" w:fill="C5D9F1"/>
            <w:noWrap/>
            <w:hideMark/>
          </w:tcPr>
          <w:p w14:paraId="3A37DE0C" w14:textId="28588AE5"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5254" w:type="dxa"/>
            <w:vMerge/>
            <w:tcBorders>
              <w:top w:val="single" w:sz="4" w:space="0" w:color="808080"/>
              <w:left w:val="single" w:sz="4" w:space="0" w:color="BFBFBF"/>
              <w:bottom w:val="single" w:sz="4" w:space="0" w:color="BFBFBF"/>
              <w:right w:val="single" w:sz="4" w:space="0" w:color="BFBFBF"/>
            </w:tcBorders>
            <w:vAlign w:val="center"/>
            <w:hideMark/>
          </w:tcPr>
          <w:p w14:paraId="0C4E49BB" w14:textId="77777777" w:rsidR="00F42A40" w:rsidRPr="008C1B89" w:rsidRDefault="00F42A40" w:rsidP="00F42A40">
            <w:pPr>
              <w:rPr>
                <w:rFonts w:eastAsia="Times New Roman" w:cs="Calibri"/>
                <w:color w:val="000000"/>
                <w:sz w:val="20"/>
                <w:szCs w:val="20"/>
                <w:lang w:eastAsia="en-AU"/>
              </w:rPr>
            </w:pPr>
          </w:p>
        </w:tc>
      </w:tr>
      <w:tr w:rsidR="00F42A40" w:rsidRPr="008C1B89" w14:paraId="51A6612D" w14:textId="77777777" w:rsidTr="009D734D">
        <w:trPr>
          <w:trHeight w:val="255"/>
        </w:trPr>
        <w:tc>
          <w:tcPr>
            <w:tcW w:w="283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F896186"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CPT plant</w:t>
            </w:r>
          </w:p>
        </w:tc>
        <w:tc>
          <w:tcPr>
            <w:tcW w:w="896" w:type="dxa"/>
            <w:tcBorders>
              <w:top w:val="single" w:sz="4" w:space="0" w:color="BFBFBF"/>
              <w:left w:val="nil"/>
              <w:bottom w:val="single" w:sz="4" w:space="0" w:color="BFBFBF"/>
              <w:right w:val="single" w:sz="4" w:space="0" w:color="BFBFBF"/>
            </w:tcBorders>
            <w:shd w:val="clear" w:color="000000" w:fill="FFFFFF"/>
            <w:noWrap/>
            <w:hideMark/>
          </w:tcPr>
          <w:p w14:paraId="046F39E9" w14:textId="67D53DBE" w:rsidR="00F42A40" w:rsidRPr="008C1B89" w:rsidRDefault="00F42A40" w:rsidP="00F42A40">
            <w:pPr>
              <w:jc w:val="right"/>
              <w:rPr>
                <w:rFonts w:eastAsia="Times New Roman" w:cs="Calibri"/>
                <w:color w:val="000000"/>
                <w:sz w:val="20"/>
                <w:szCs w:val="20"/>
                <w:lang w:eastAsia="en-AU"/>
              </w:rPr>
            </w:pPr>
            <w:r>
              <w:rPr>
                <w:color w:val="000000"/>
                <w:sz w:val="20"/>
                <w:szCs w:val="20"/>
              </w:rPr>
              <w:t>78,358</w:t>
            </w:r>
          </w:p>
        </w:tc>
        <w:tc>
          <w:tcPr>
            <w:tcW w:w="963" w:type="dxa"/>
            <w:tcBorders>
              <w:top w:val="nil"/>
              <w:left w:val="nil"/>
              <w:right w:val="single" w:sz="4" w:space="0" w:color="BFBFBF"/>
            </w:tcBorders>
            <w:shd w:val="clear" w:color="auto" w:fill="auto"/>
            <w:noWrap/>
            <w:vAlign w:val="center"/>
            <w:hideMark/>
          </w:tcPr>
          <w:p w14:paraId="3A0D463C" w14:textId="161EC479"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36" w:type="dxa"/>
            <w:tcBorders>
              <w:top w:val="nil"/>
              <w:left w:val="nil"/>
              <w:right w:val="single" w:sz="4" w:space="0" w:color="BFBFBF"/>
            </w:tcBorders>
            <w:shd w:val="clear" w:color="auto" w:fill="auto"/>
            <w:noWrap/>
            <w:vAlign w:val="center"/>
            <w:hideMark/>
          </w:tcPr>
          <w:p w14:paraId="2A4C342E" w14:textId="3564181F"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71" w:type="dxa"/>
            <w:tcBorders>
              <w:top w:val="single" w:sz="4" w:space="0" w:color="BFBFBF"/>
              <w:left w:val="nil"/>
              <w:bottom w:val="single" w:sz="4" w:space="0" w:color="BFBFBF"/>
              <w:right w:val="single" w:sz="4" w:space="0" w:color="BFBFBF"/>
            </w:tcBorders>
            <w:shd w:val="clear" w:color="auto" w:fill="auto"/>
            <w:noWrap/>
            <w:hideMark/>
          </w:tcPr>
          <w:p w14:paraId="487A8E05" w14:textId="3E4E1378"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single" w:sz="4" w:space="0" w:color="BFBFBF"/>
              <w:left w:val="nil"/>
              <w:bottom w:val="single" w:sz="4" w:space="0" w:color="BFBFBF"/>
              <w:right w:val="single" w:sz="4" w:space="0" w:color="BFBFBF"/>
            </w:tcBorders>
            <w:shd w:val="clear" w:color="000000" w:fill="FFFFFF"/>
            <w:noWrap/>
            <w:hideMark/>
          </w:tcPr>
          <w:p w14:paraId="20A73055" w14:textId="544DAAD3"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single" w:sz="4" w:space="0" w:color="BFBFBF"/>
              <w:left w:val="nil"/>
              <w:bottom w:val="single" w:sz="4" w:space="0" w:color="BFBFBF"/>
              <w:right w:val="single" w:sz="4" w:space="0" w:color="BFBFBF"/>
            </w:tcBorders>
            <w:shd w:val="clear" w:color="000000" w:fill="FFFFFF"/>
            <w:noWrap/>
            <w:hideMark/>
          </w:tcPr>
          <w:p w14:paraId="48F5F08A" w14:textId="429F3E63"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single" w:sz="4" w:space="0" w:color="BFBFBF"/>
              <w:left w:val="nil"/>
              <w:bottom w:val="single" w:sz="4" w:space="0" w:color="BFBFBF"/>
              <w:right w:val="single" w:sz="4" w:space="0" w:color="BFBFBF"/>
            </w:tcBorders>
            <w:shd w:val="clear" w:color="000000" w:fill="FFFFFF"/>
            <w:noWrap/>
            <w:hideMark/>
          </w:tcPr>
          <w:p w14:paraId="1E19B8CC" w14:textId="72293EB8"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254" w:type="dxa"/>
            <w:vMerge/>
            <w:tcBorders>
              <w:top w:val="single" w:sz="4" w:space="0" w:color="808080"/>
              <w:left w:val="single" w:sz="4" w:space="0" w:color="BFBFBF"/>
              <w:bottom w:val="single" w:sz="4" w:space="0" w:color="BFBFBF"/>
              <w:right w:val="single" w:sz="4" w:space="0" w:color="BFBFBF"/>
            </w:tcBorders>
            <w:vAlign w:val="center"/>
            <w:hideMark/>
          </w:tcPr>
          <w:p w14:paraId="5BD33BB4" w14:textId="77777777" w:rsidR="00F42A40" w:rsidRPr="008C1B89" w:rsidRDefault="00F42A40" w:rsidP="00F42A40">
            <w:pPr>
              <w:rPr>
                <w:rFonts w:eastAsia="Times New Roman" w:cs="Calibri"/>
                <w:color w:val="000000"/>
                <w:sz w:val="20"/>
                <w:szCs w:val="20"/>
                <w:lang w:eastAsia="en-AU"/>
              </w:rPr>
            </w:pPr>
          </w:p>
        </w:tc>
      </w:tr>
      <w:tr w:rsidR="00F42A40" w:rsidRPr="008C1B89" w14:paraId="0F7CED3C"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76EACDB1"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 xml:space="preserve">Clinical waste treatment facility </w:t>
            </w:r>
          </w:p>
        </w:tc>
        <w:tc>
          <w:tcPr>
            <w:tcW w:w="896" w:type="dxa"/>
            <w:tcBorders>
              <w:top w:val="nil"/>
              <w:left w:val="nil"/>
              <w:bottom w:val="single" w:sz="4" w:space="0" w:color="BFBFBF"/>
              <w:right w:val="single" w:sz="4" w:space="0" w:color="BFBFBF"/>
            </w:tcBorders>
            <w:shd w:val="clear" w:color="000000" w:fill="FFFFFF"/>
            <w:noWrap/>
            <w:hideMark/>
          </w:tcPr>
          <w:p w14:paraId="28E1F10B" w14:textId="3358021E" w:rsidR="00F42A40" w:rsidRPr="008C1B89" w:rsidRDefault="00F42A40" w:rsidP="00F42A40">
            <w:pPr>
              <w:jc w:val="right"/>
              <w:rPr>
                <w:rFonts w:eastAsia="Times New Roman" w:cs="Calibri"/>
                <w:color w:val="000000"/>
                <w:sz w:val="20"/>
                <w:szCs w:val="20"/>
                <w:lang w:eastAsia="en-AU"/>
              </w:rPr>
            </w:pPr>
            <w:r>
              <w:rPr>
                <w:color w:val="000000"/>
                <w:sz w:val="20"/>
                <w:szCs w:val="20"/>
              </w:rPr>
              <w:t>4,639</w:t>
            </w:r>
          </w:p>
        </w:tc>
        <w:tc>
          <w:tcPr>
            <w:tcW w:w="963" w:type="dxa"/>
            <w:tcBorders>
              <w:left w:val="nil"/>
              <w:right w:val="single" w:sz="4" w:space="0" w:color="BFBFBF"/>
            </w:tcBorders>
            <w:shd w:val="clear" w:color="auto" w:fill="auto"/>
            <w:noWrap/>
            <w:vAlign w:val="center"/>
            <w:hideMark/>
          </w:tcPr>
          <w:p w14:paraId="7EE902A4" w14:textId="5BFE1FA6" w:rsidR="00F42A40" w:rsidRPr="008C1B89" w:rsidRDefault="00F42A40" w:rsidP="009D734D">
            <w:pPr>
              <w:jc w:val="center"/>
              <w:rPr>
                <w:rFonts w:eastAsia="Times New Roman" w:cs="Calibri"/>
                <w:color w:val="000000"/>
                <w:sz w:val="20"/>
                <w:szCs w:val="20"/>
                <w:lang w:eastAsia="en-AU"/>
              </w:rPr>
            </w:pPr>
          </w:p>
        </w:tc>
        <w:tc>
          <w:tcPr>
            <w:tcW w:w="1036" w:type="dxa"/>
            <w:tcBorders>
              <w:left w:val="nil"/>
              <w:right w:val="single" w:sz="4" w:space="0" w:color="BFBFBF"/>
            </w:tcBorders>
            <w:shd w:val="clear" w:color="auto" w:fill="auto"/>
            <w:noWrap/>
            <w:vAlign w:val="center"/>
            <w:hideMark/>
          </w:tcPr>
          <w:p w14:paraId="4C175100" w14:textId="3F10FA99" w:rsidR="00F42A40" w:rsidRPr="008C1B89" w:rsidRDefault="00F42A40" w:rsidP="009D734D">
            <w:pPr>
              <w:jc w:val="center"/>
              <w:rPr>
                <w:rFonts w:eastAsia="Times New Roman" w:cs="Calibri"/>
                <w:color w:val="000000"/>
                <w:sz w:val="20"/>
                <w:szCs w:val="20"/>
                <w:lang w:eastAsia="en-AU"/>
              </w:rPr>
            </w:pPr>
          </w:p>
        </w:tc>
        <w:tc>
          <w:tcPr>
            <w:tcW w:w="971" w:type="dxa"/>
            <w:tcBorders>
              <w:top w:val="nil"/>
              <w:left w:val="nil"/>
              <w:bottom w:val="single" w:sz="4" w:space="0" w:color="BFBFBF"/>
              <w:right w:val="single" w:sz="4" w:space="0" w:color="BFBFBF"/>
            </w:tcBorders>
            <w:shd w:val="clear" w:color="auto" w:fill="auto"/>
            <w:noWrap/>
            <w:hideMark/>
          </w:tcPr>
          <w:p w14:paraId="358B5DEB" w14:textId="5C69A4AD" w:rsidR="00F42A40" w:rsidRPr="008C1B89" w:rsidRDefault="00F42A40" w:rsidP="00F42A40">
            <w:pPr>
              <w:jc w:val="center"/>
              <w:rPr>
                <w:rFonts w:eastAsia="Times New Roman" w:cs="Calibri"/>
                <w:color w:val="000000"/>
                <w:sz w:val="20"/>
                <w:szCs w:val="20"/>
                <w:lang w:eastAsia="en-AU"/>
              </w:rPr>
            </w:pPr>
            <w:r>
              <w:rPr>
                <w:color w:val="000000"/>
                <w:sz w:val="20"/>
                <w:szCs w:val="20"/>
              </w:rPr>
              <w:t>Poor</w:t>
            </w:r>
          </w:p>
        </w:tc>
        <w:tc>
          <w:tcPr>
            <w:tcW w:w="740" w:type="dxa"/>
            <w:tcBorders>
              <w:top w:val="nil"/>
              <w:left w:val="nil"/>
              <w:bottom w:val="single" w:sz="4" w:space="0" w:color="BFBFBF"/>
              <w:right w:val="single" w:sz="4" w:space="0" w:color="BFBFBF"/>
            </w:tcBorders>
            <w:shd w:val="clear" w:color="000000" w:fill="FFFFFF"/>
            <w:noWrap/>
            <w:hideMark/>
          </w:tcPr>
          <w:p w14:paraId="3E9ECFF2" w14:textId="5BDF76C9"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740" w:type="dxa"/>
            <w:tcBorders>
              <w:top w:val="nil"/>
              <w:left w:val="nil"/>
              <w:bottom w:val="single" w:sz="4" w:space="0" w:color="BFBFBF"/>
              <w:right w:val="single" w:sz="4" w:space="0" w:color="BFBFBF"/>
            </w:tcBorders>
            <w:shd w:val="clear" w:color="000000" w:fill="FFFFFF"/>
            <w:noWrap/>
            <w:hideMark/>
          </w:tcPr>
          <w:p w14:paraId="6D9C4D01" w14:textId="26DCD31D"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740" w:type="dxa"/>
            <w:tcBorders>
              <w:top w:val="nil"/>
              <w:left w:val="nil"/>
              <w:bottom w:val="single" w:sz="4" w:space="0" w:color="BFBFBF"/>
              <w:right w:val="single" w:sz="4" w:space="0" w:color="BFBFBF"/>
            </w:tcBorders>
            <w:shd w:val="clear" w:color="000000" w:fill="FFFFFF"/>
            <w:noWrap/>
            <w:hideMark/>
          </w:tcPr>
          <w:p w14:paraId="20431441" w14:textId="009BCE10"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5254" w:type="dxa"/>
            <w:vMerge/>
            <w:tcBorders>
              <w:top w:val="single" w:sz="4" w:space="0" w:color="808080"/>
              <w:left w:val="single" w:sz="4" w:space="0" w:color="BFBFBF"/>
              <w:bottom w:val="single" w:sz="4" w:space="0" w:color="BFBFBF"/>
              <w:right w:val="single" w:sz="4" w:space="0" w:color="BFBFBF"/>
            </w:tcBorders>
            <w:vAlign w:val="center"/>
            <w:hideMark/>
          </w:tcPr>
          <w:p w14:paraId="486CC2E0" w14:textId="77777777" w:rsidR="00F42A40" w:rsidRPr="008C1B89" w:rsidRDefault="00F42A40" w:rsidP="00F42A40">
            <w:pPr>
              <w:rPr>
                <w:rFonts w:eastAsia="Times New Roman" w:cs="Calibri"/>
                <w:color w:val="000000"/>
                <w:sz w:val="20"/>
                <w:szCs w:val="20"/>
                <w:lang w:eastAsia="en-AU"/>
              </w:rPr>
            </w:pPr>
          </w:p>
        </w:tc>
      </w:tr>
      <w:tr w:rsidR="00F42A40" w:rsidRPr="008C1B89" w14:paraId="109476CC"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46A5D2D0"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Bioremediation facility</w:t>
            </w:r>
          </w:p>
        </w:tc>
        <w:tc>
          <w:tcPr>
            <w:tcW w:w="896" w:type="dxa"/>
            <w:tcBorders>
              <w:top w:val="nil"/>
              <w:left w:val="nil"/>
              <w:bottom w:val="single" w:sz="4" w:space="0" w:color="BFBFBF"/>
              <w:right w:val="single" w:sz="4" w:space="0" w:color="BFBFBF"/>
            </w:tcBorders>
            <w:shd w:val="clear" w:color="000000" w:fill="FFFFFF"/>
            <w:noWrap/>
            <w:hideMark/>
          </w:tcPr>
          <w:p w14:paraId="6295625B" w14:textId="743CFD12" w:rsidR="00F42A40" w:rsidRPr="008C1B89" w:rsidRDefault="00F42A40" w:rsidP="00F42A40">
            <w:pPr>
              <w:jc w:val="right"/>
              <w:rPr>
                <w:rFonts w:eastAsia="Times New Roman" w:cs="Calibri"/>
                <w:color w:val="000000"/>
                <w:sz w:val="20"/>
                <w:szCs w:val="20"/>
                <w:lang w:eastAsia="en-AU"/>
              </w:rPr>
            </w:pPr>
            <w:r>
              <w:rPr>
                <w:color w:val="000000"/>
                <w:sz w:val="20"/>
                <w:szCs w:val="20"/>
              </w:rPr>
              <w:t>133,977</w:t>
            </w:r>
          </w:p>
        </w:tc>
        <w:tc>
          <w:tcPr>
            <w:tcW w:w="963" w:type="dxa"/>
            <w:tcBorders>
              <w:left w:val="nil"/>
              <w:right w:val="single" w:sz="4" w:space="0" w:color="BFBFBF"/>
            </w:tcBorders>
            <w:shd w:val="clear" w:color="auto" w:fill="auto"/>
            <w:noWrap/>
            <w:vAlign w:val="center"/>
            <w:hideMark/>
          </w:tcPr>
          <w:p w14:paraId="17EB3360" w14:textId="096A8A84" w:rsidR="00F42A40" w:rsidRPr="008C1B89" w:rsidRDefault="00F42A40" w:rsidP="009D734D">
            <w:pPr>
              <w:jc w:val="center"/>
              <w:rPr>
                <w:rFonts w:eastAsia="Times New Roman" w:cs="Calibri"/>
                <w:color w:val="000000"/>
                <w:sz w:val="20"/>
                <w:szCs w:val="20"/>
                <w:lang w:eastAsia="en-AU"/>
              </w:rPr>
            </w:pPr>
          </w:p>
        </w:tc>
        <w:tc>
          <w:tcPr>
            <w:tcW w:w="1036" w:type="dxa"/>
            <w:tcBorders>
              <w:left w:val="nil"/>
              <w:right w:val="single" w:sz="4" w:space="0" w:color="BFBFBF"/>
            </w:tcBorders>
            <w:shd w:val="clear" w:color="auto" w:fill="auto"/>
            <w:noWrap/>
            <w:vAlign w:val="center"/>
            <w:hideMark/>
          </w:tcPr>
          <w:p w14:paraId="351E9615" w14:textId="57508FA4" w:rsidR="00F42A40" w:rsidRPr="008C1B89" w:rsidRDefault="00F42A40" w:rsidP="009D734D">
            <w:pPr>
              <w:jc w:val="center"/>
              <w:rPr>
                <w:rFonts w:eastAsia="Times New Roman" w:cs="Calibri"/>
                <w:color w:val="000000"/>
                <w:sz w:val="20"/>
                <w:szCs w:val="20"/>
                <w:lang w:eastAsia="en-AU"/>
              </w:rPr>
            </w:pPr>
          </w:p>
        </w:tc>
        <w:tc>
          <w:tcPr>
            <w:tcW w:w="971" w:type="dxa"/>
            <w:tcBorders>
              <w:top w:val="nil"/>
              <w:left w:val="nil"/>
              <w:bottom w:val="single" w:sz="4" w:space="0" w:color="BFBFBF"/>
              <w:right w:val="single" w:sz="4" w:space="0" w:color="BFBFBF"/>
            </w:tcBorders>
            <w:shd w:val="clear" w:color="auto" w:fill="auto"/>
            <w:noWrap/>
            <w:hideMark/>
          </w:tcPr>
          <w:p w14:paraId="717083E9" w14:textId="48E20970"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04816B26" w14:textId="2290EF2C"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73F83AB0" w14:textId="2D342A86"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14F06063" w14:textId="455031B8"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254" w:type="dxa"/>
            <w:vMerge/>
            <w:tcBorders>
              <w:top w:val="single" w:sz="4" w:space="0" w:color="808080"/>
              <w:left w:val="single" w:sz="4" w:space="0" w:color="BFBFBF"/>
              <w:bottom w:val="single" w:sz="4" w:space="0" w:color="BFBFBF"/>
              <w:right w:val="single" w:sz="4" w:space="0" w:color="BFBFBF"/>
            </w:tcBorders>
            <w:vAlign w:val="center"/>
            <w:hideMark/>
          </w:tcPr>
          <w:p w14:paraId="64AE5F8C" w14:textId="77777777" w:rsidR="00F42A40" w:rsidRPr="008C1B89" w:rsidRDefault="00F42A40" w:rsidP="00F42A40">
            <w:pPr>
              <w:rPr>
                <w:rFonts w:eastAsia="Times New Roman" w:cs="Calibri"/>
                <w:color w:val="000000"/>
                <w:sz w:val="20"/>
                <w:szCs w:val="20"/>
                <w:lang w:eastAsia="en-AU"/>
              </w:rPr>
            </w:pPr>
          </w:p>
        </w:tc>
      </w:tr>
      <w:tr w:rsidR="00F42A40" w:rsidRPr="008C1B89" w14:paraId="0C3F75CF"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2A9E2A08" w14:textId="20EC57BE" w:rsidR="00F42A40" w:rsidRPr="008C1B89" w:rsidRDefault="00F42A40" w:rsidP="00F42A40">
            <w:pPr>
              <w:jc w:val="right"/>
              <w:rPr>
                <w:rFonts w:eastAsia="Times New Roman" w:cs="Calibri"/>
                <w:color w:val="000000"/>
                <w:sz w:val="20"/>
                <w:szCs w:val="20"/>
                <w:lang w:eastAsia="en-AU"/>
              </w:rPr>
            </w:pPr>
            <w:r>
              <w:rPr>
                <w:rFonts w:eastAsia="Times New Roman" w:cs="Calibri"/>
                <w:color w:val="000000"/>
                <w:sz w:val="20"/>
                <w:szCs w:val="20"/>
                <w:lang w:eastAsia="en-AU"/>
              </w:rPr>
              <w:t>OWT</w:t>
            </w:r>
            <w:r w:rsidRPr="008C1B89">
              <w:rPr>
                <w:rFonts w:eastAsia="Times New Roman" w:cs="Calibri"/>
                <w:color w:val="000000"/>
                <w:sz w:val="20"/>
                <w:szCs w:val="20"/>
                <w:lang w:eastAsia="en-AU"/>
              </w:rPr>
              <w:t xml:space="preserve"> facility  </w:t>
            </w:r>
          </w:p>
        </w:tc>
        <w:tc>
          <w:tcPr>
            <w:tcW w:w="896" w:type="dxa"/>
            <w:tcBorders>
              <w:top w:val="nil"/>
              <w:left w:val="nil"/>
              <w:bottom w:val="single" w:sz="4" w:space="0" w:color="BFBFBF"/>
              <w:right w:val="single" w:sz="4" w:space="0" w:color="BFBFBF"/>
            </w:tcBorders>
            <w:shd w:val="clear" w:color="000000" w:fill="FFFFFF"/>
            <w:noWrap/>
            <w:hideMark/>
          </w:tcPr>
          <w:p w14:paraId="10BF380C" w14:textId="30902DEC" w:rsidR="00F42A40" w:rsidRPr="008C1B89" w:rsidRDefault="00F42A40" w:rsidP="00F42A40">
            <w:pPr>
              <w:jc w:val="right"/>
              <w:rPr>
                <w:rFonts w:eastAsia="Times New Roman" w:cs="Calibri"/>
                <w:color w:val="000000"/>
                <w:sz w:val="20"/>
                <w:szCs w:val="20"/>
                <w:lang w:eastAsia="en-AU"/>
              </w:rPr>
            </w:pPr>
            <w:r>
              <w:rPr>
                <w:color w:val="000000"/>
                <w:sz w:val="20"/>
                <w:szCs w:val="20"/>
              </w:rPr>
              <w:t>44,702</w:t>
            </w:r>
          </w:p>
        </w:tc>
        <w:tc>
          <w:tcPr>
            <w:tcW w:w="963" w:type="dxa"/>
            <w:tcBorders>
              <w:left w:val="nil"/>
              <w:right w:val="single" w:sz="4" w:space="0" w:color="BFBFBF"/>
            </w:tcBorders>
            <w:shd w:val="clear" w:color="auto" w:fill="auto"/>
            <w:noWrap/>
            <w:vAlign w:val="center"/>
            <w:hideMark/>
          </w:tcPr>
          <w:p w14:paraId="12D5CE3F" w14:textId="48A36E6E" w:rsidR="00F42A40" w:rsidRPr="008C1B89" w:rsidRDefault="00F42A40" w:rsidP="009D734D">
            <w:pPr>
              <w:jc w:val="center"/>
              <w:rPr>
                <w:rFonts w:eastAsia="Times New Roman" w:cs="Calibri"/>
                <w:color w:val="000000"/>
                <w:sz w:val="20"/>
                <w:szCs w:val="20"/>
                <w:lang w:eastAsia="en-AU"/>
              </w:rPr>
            </w:pPr>
          </w:p>
        </w:tc>
        <w:tc>
          <w:tcPr>
            <w:tcW w:w="1036" w:type="dxa"/>
            <w:tcBorders>
              <w:left w:val="nil"/>
              <w:right w:val="single" w:sz="4" w:space="0" w:color="BFBFBF"/>
            </w:tcBorders>
            <w:shd w:val="clear" w:color="auto" w:fill="auto"/>
            <w:noWrap/>
            <w:vAlign w:val="center"/>
            <w:hideMark/>
          </w:tcPr>
          <w:p w14:paraId="2F560EF8" w14:textId="40D0425C" w:rsidR="00F42A40" w:rsidRPr="008C1B89" w:rsidRDefault="00F42A40" w:rsidP="009D734D">
            <w:pPr>
              <w:jc w:val="center"/>
              <w:rPr>
                <w:rFonts w:eastAsia="Times New Roman" w:cs="Calibri"/>
                <w:color w:val="000000"/>
                <w:sz w:val="20"/>
                <w:szCs w:val="20"/>
                <w:lang w:eastAsia="en-AU"/>
              </w:rPr>
            </w:pPr>
          </w:p>
        </w:tc>
        <w:tc>
          <w:tcPr>
            <w:tcW w:w="971" w:type="dxa"/>
            <w:tcBorders>
              <w:top w:val="nil"/>
              <w:left w:val="nil"/>
              <w:bottom w:val="single" w:sz="4" w:space="0" w:color="BFBFBF"/>
              <w:right w:val="single" w:sz="4" w:space="0" w:color="BFBFBF"/>
            </w:tcBorders>
            <w:shd w:val="clear" w:color="auto" w:fill="auto"/>
            <w:noWrap/>
            <w:hideMark/>
          </w:tcPr>
          <w:p w14:paraId="13890FE5" w14:textId="2F7EE42F"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0C3388D4" w14:textId="3204BAA3"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3014EF2E" w14:textId="08F80217" w:rsidR="00F42A40" w:rsidRPr="008C1B89" w:rsidRDefault="00F42A40" w:rsidP="00F42A40">
            <w:pPr>
              <w:jc w:val="center"/>
              <w:rPr>
                <w:rFonts w:eastAsia="Times New Roman" w:cs="Calibri"/>
                <w:color w:val="000000"/>
                <w:sz w:val="20"/>
                <w:szCs w:val="20"/>
                <w:lang w:eastAsia="en-AU"/>
              </w:rPr>
            </w:pPr>
            <w:r>
              <w:rPr>
                <w:color w:val="000000"/>
                <w:sz w:val="20"/>
                <w:szCs w:val="20"/>
              </w:rPr>
              <w:t>2032</w:t>
            </w:r>
          </w:p>
        </w:tc>
        <w:tc>
          <w:tcPr>
            <w:tcW w:w="740" w:type="dxa"/>
            <w:tcBorders>
              <w:top w:val="nil"/>
              <w:left w:val="nil"/>
              <w:bottom w:val="single" w:sz="4" w:space="0" w:color="BFBFBF"/>
              <w:right w:val="single" w:sz="4" w:space="0" w:color="BFBFBF"/>
            </w:tcBorders>
            <w:shd w:val="clear" w:color="000000" w:fill="FFFFFF"/>
            <w:noWrap/>
            <w:hideMark/>
          </w:tcPr>
          <w:p w14:paraId="2E287A19" w14:textId="2D74DCD6"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254" w:type="dxa"/>
            <w:vMerge/>
            <w:tcBorders>
              <w:top w:val="single" w:sz="4" w:space="0" w:color="808080"/>
              <w:left w:val="single" w:sz="4" w:space="0" w:color="BFBFBF"/>
              <w:bottom w:val="single" w:sz="4" w:space="0" w:color="BFBFBF"/>
              <w:right w:val="single" w:sz="4" w:space="0" w:color="BFBFBF"/>
            </w:tcBorders>
            <w:vAlign w:val="center"/>
            <w:hideMark/>
          </w:tcPr>
          <w:p w14:paraId="61E0E85F" w14:textId="77777777" w:rsidR="00F42A40" w:rsidRPr="008C1B89" w:rsidRDefault="00F42A40" w:rsidP="00F42A40">
            <w:pPr>
              <w:rPr>
                <w:rFonts w:eastAsia="Times New Roman" w:cs="Calibri"/>
                <w:color w:val="000000"/>
                <w:sz w:val="20"/>
                <w:szCs w:val="20"/>
                <w:lang w:eastAsia="en-AU"/>
              </w:rPr>
            </w:pPr>
          </w:p>
        </w:tc>
      </w:tr>
      <w:tr w:rsidR="00F42A40" w:rsidRPr="008C1B89" w14:paraId="68879884"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79972BE3"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Soils treatment facility</w:t>
            </w:r>
          </w:p>
        </w:tc>
        <w:tc>
          <w:tcPr>
            <w:tcW w:w="896" w:type="dxa"/>
            <w:tcBorders>
              <w:top w:val="nil"/>
              <w:left w:val="nil"/>
              <w:bottom w:val="single" w:sz="4" w:space="0" w:color="BFBFBF"/>
              <w:right w:val="single" w:sz="4" w:space="0" w:color="BFBFBF"/>
            </w:tcBorders>
            <w:shd w:val="clear" w:color="000000" w:fill="FFFFFF"/>
            <w:noWrap/>
            <w:hideMark/>
          </w:tcPr>
          <w:p w14:paraId="377B8B51" w14:textId="7748C539" w:rsidR="00F42A40" w:rsidRPr="008C1B89" w:rsidRDefault="00F42A40" w:rsidP="00F42A40">
            <w:pPr>
              <w:jc w:val="right"/>
              <w:rPr>
                <w:rFonts w:eastAsia="Times New Roman" w:cs="Calibri"/>
                <w:color w:val="000000"/>
                <w:sz w:val="20"/>
                <w:szCs w:val="20"/>
                <w:lang w:eastAsia="en-AU"/>
              </w:rPr>
            </w:pPr>
            <w:r>
              <w:rPr>
                <w:color w:val="000000"/>
                <w:sz w:val="20"/>
                <w:szCs w:val="20"/>
              </w:rPr>
              <w:t>17,021</w:t>
            </w:r>
          </w:p>
        </w:tc>
        <w:tc>
          <w:tcPr>
            <w:tcW w:w="963" w:type="dxa"/>
            <w:tcBorders>
              <w:left w:val="nil"/>
              <w:bottom w:val="single" w:sz="4" w:space="0" w:color="BFBFBF"/>
              <w:right w:val="single" w:sz="4" w:space="0" w:color="BFBFBF"/>
            </w:tcBorders>
            <w:shd w:val="clear" w:color="auto" w:fill="auto"/>
            <w:noWrap/>
            <w:vAlign w:val="center"/>
            <w:hideMark/>
          </w:tcPr>
          <w:p w14:paraId="199C72FA" w14:textId="108E9971" w:rsidR="00F42A40" w:rsidRPr="008C1B89" w:rsidRDefault="00F42A40" w:rsidP="009D734D">
            <w:pPr>
              <w:jc w:val="center"/>
              <w:rPr>
                <w:rFonts w:eastAsia="Times New Roman" w:cs="Calibri"/>
                <w:color w:val="000000"/>
                <w:sz w:val="20"/>
                <w:szCs w:val="20"/>
                <w:lang w:eastAsia="en-AU"/>
              </w:rPr>
            </w:pPr>
          </w:p>
        </w:tc>
        <w:tc>
          <w:tcPr>
            <w:tcW w:w="1036" w:type="dxa"/>
            <w:tcBorders>
              <w:left w:val="nil"/>
              <w:bottom w:val="single" w:sz="4" w:space="0" w:color="BFBFBF"/>
              <w:right w:val="single" w:sz="4" w:space="0" w:color="BFBFBF"/>
            </w:tcBorders>
            <w:shd w:val="clear" w:color="auto" w:fill="auto"/>
            <w:noWrap/>
            <w:vAlign w:val="center"/>
            <w:hideMark/>
          </w:tcPr>
          <w:p w14:paraId="21F39E6A" w14:textId="49A14B9B" w:rsidR="00F42A40" w:rsidRPr="008C1B89" w:rsidRDefault="00F42A40" w:rsidP="009D734D">
            <w:pPr>
              <w:jc w:val="center"/>
              <w:rPr>
                <w:rFonts w:eastAsia="Times New Roman" w:cs="Calibri"/>
                <w:color w:val="000000"/>
                <w:sz w:val="20"/>
                <w:szCs w:val="20"/>
                <w:lang w:eastAsia="en-AU"/>
              </w:rPr>
            </w:pPr>
          </w:p>
        </w:tc>
        <w:tc>
          <w:tcPr>
            <w:tcW w:w="971" w:type="dxa"/>
            <w:tcBorders>
              <w:top w:val="nil"/>
              <w:left w:val="nil"/>
              <w:bottom w:val="single" w:sz="4" w:space="0" w:color="BFBFBF"/>
              <w:right w:val="single" w:sz="4" w:space="0" w:color="BFBFBF"/>
            </w:tcBorders>
            <w:shd w:val="clear" w:color="auto" w:fill="auto"/>
            <w:noWrap/>
            <w:hideMark/>
          </w:tcPr>
          <w:p w14:paraId="1A1107D3" w14:textId="16CEF7B5"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1A65EFCA" w14:textId="1D018ED5"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53ACCC75" w14:textId="5FD13E12"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72C8790" w14:textId="37569C60"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254" w:type="dxa"/>
            <w:vMerge/>
            <w:tcBorders>
              <w:top w:val="single" w:sz="4" w:space="0" w:color="808080"/>
              <w:left w:val="single" w:sz="4" w:space="0" w:color="BFBFBF"/>
              <w:bottom w:val="single" w:sz="4" w:space="0" w:color="BFBFBF"/>
              <w:right w:val="single" w:sz="4" w:space="0" w:color="BFBFBF"/>
            </w:tcBorders>
            <w:vAlign w:val="center"/>
            <w:hideMark/>
          </w:tcPr>
          <w:p w14:paraId="725957BB" w14:textId="77777777" w:rsidR="00F42A40" w:rsidRPr="008C1B89" w:rsidRDefault="00F42A40" w:rsidP="00F42A40">
            <w:pPr>
              <w:rPr>
                <w:rFonts w:eastAsia="Times New Roman" w:cs="Calibri"/>
                <w:color w:val="000000"/>
                <w:sz w:val="20"/>
                <w:szCs w:val="20"/>
                <w:lang w:eastAsia="en-AU"/>
              </w:rPr>
            </w:pPr>
          </w:p>
        </w:tc>
      </w:tr>
      <w:tr w:rsidR="009D734D" w:rsidRPr="008C1B89" w14:paraId="0FEF9F90"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34F2FC43" w14:textId="77777777" w:rsidR="00F42A40" w:rsidRPr="008C1B89" w:rsidRDefault="00F42A40" w:rsidP="00F42A40">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Disposal</w:t>
            </w:r>
          </w:p>
        </w:tc>
        <w:tc>
          <w:tcPr>
            <w:tcW w:w="896" w:type="dxa"/>
            <w:tcBorders>
              <w:top w:val="nil"/>
              <w:left w:val="nil"/>
              <w:bottom w:val="single" w:sz="4" w:space="0" w:color="BFBFBF"/>
              <w:right w:val="single" w:sz="4" w:space="0" w:color="BFBFBF"/>
            </w:tcBorders>
            <w:shd w:val="clear" w:color="000000" w:fill="C5D9F1"/>
            <w:noWrap/>
            <w:hideMark/>
          </w:tcPr>
          <w:p w14:paraId="68C456ED" w14:textId="10B9E4D2"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963" w:type="dxa"/>
            <w:tcBorders>
              <w:top w:val="nil"/>
              <w:left w:val="nil"/>
              <w:bottom w:val="single" w:sz="4" w:space="0" w:color="BFBFBF"/>
              <w:right w:val="nil"/>
            </w:tcBorders>
            <w:shd w:val="clear" w:color="000000" w:fill="C5D9F1"/>
            <w:noWrap/>
            <w:vAlign w:val="center"/>
            <w:hideMark/>
          </w:tcPr>
          <w:p w14:paraId="4F47B1F7" w14:textId="63656589" w:rsidR="00F42A40" w:rsidRPr="008C1B89" w:rsidRDefault="00F42A40" w:rsidP="009D734D">
            <w:pPr>
              <w:jc w:val="center"/>
              <w:rPr>
                <w:rFonts w:eastAsia="Times New Roman" w:cs="Calibri"/>
                <w:color w:val="000000"/>
                <w:sz w:val="20"/>
                <w:szCs w:val="20"/>
                <w:lang w:eastAsia="en-AU"/>
              </w:rPr>
            </w:pPr>
          </w:p>
        </w:tc>
        <w:tc>
          <w:tcPr>
            <w:tcW w:w="1036" w:type="dxa"/>
            <w:tcBorders>
              <w:top w:val="nil"/>
              <w:left w:val="nil"/>
              <w:bottom w:val="single" w:sz="4" w:space="0" w:color="BFBFBF"/>
              <w:right w:val="nil"/>
            </w:tcBorders>
            <w:shd w:val="clear" w:color="000000" w:fill="C5D9F1"/>
            <w:noWrap/>
            <w:vAlign w:val="center"/>
            <w:hideMark/>
          </w:tcPr>
          <w:p w14:paraId="0C8331D7" w14:textId="43F51E99" w:rsidR="00F42A40" w:rsidRPr="008C1B89" w:rsidRDefault="00F42A40" w:rsidP="009D734D">
            <w:pPr>
              <w:jc w:val="center"/>
              <w:rPr>
                <w:rFonts w:eastAsia="Times New Roman" w:cs="Calibri"/>
                <w:color w:val="000000"/>
                <w:sz w:val="20"/>
                <w:szCs w:val="20"/>
                <w:lang w:eastAsia="en-AU"/>
              </w:rPr>
            </w:pPr>
          </w:p>
        </w:tc>
        <w:tc>
          <w:tcPr>
            <w:tcW w:w="971" w:type="dxa"/>
            <w:tcBorders>
              <w:top w:val="nil"/>
              <w:left w:val="nil"/>
              <w:bottom w:val="single" w:sz="4" w:space="0" w:color="BFBFBF"/>
              <w:right w:val="single" w:sz="4" w:space="0" w:color="BFBFBF"/>
            </w:tcBorders>
            <w:shd w:val="clear" w:color="000000" w:fill="C5D9F1"/>
            <w:noWrap/>
            <w:hideMark/>
          </w:tcPr>
          <w:p w14:paraId="201BC82B" w14:textId="1EF274A2"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64DAE2E6" w14:textId="56712DE9"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3C3F841F" w14:textId="4EFB3349"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6BBC68AF" w14:textId="15EB6A16"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5254" w:type="dxa"/>
            <w:vMerge/>
            <w:tcBorders>
              <w:top w:val="single" w:sz="4" w:space="0" w:color="808080"/>
              <w:left w:val="single" w:sz="4" w:space="0" w:color="BFBFBF"/>
              <w:bottom w:val="single" w:sz="4" w:space="0" w:color="BFBFBF"/>
              <w:right w:val="single" w:sz="4" w:space="0" w:color="BFBFBF"/>
            </w:tcBorders>
            <w:vAlign w:val="center"/>
            <w:hideMark/>
          </w:tcPr>
          <w:p w14:paraId="3608F018" w14:textId="77777777" w:rsidR="00F42A40" w:rsidRPr="008C1B89" w:rsidRDefault="00F42A40" w:rsidP="00F42A40">
            <w:pPr>
              <w:rPr>
                <w:rFonts w:eastAsia="Times New Roman" w:cs="Calibri"/>
                <w:color w:val="000000"/>
                <w:sz w:val="20"/>
                <w:szCs w:val="20"/>
                <w:lang w:eastAsia="en-AU"/>
              </w:rPr>
            </w:pPr>
          </w:p>
        </w:tc>
      </w:tr>
      <w:tr w:rsidR="00F42A40" w:rsidRPr="008C1B89" w14:paraId="462C793E"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76C91ECB"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 xml:space="preserve">Hazardous waste landfill facility </w:t>
            </w:r>
          </w:p>
        </w:tc>
        <w:tc>
          <w:tcPr>
            <w:tcW w:w="896" w:type="dxa"/>
            <w:tcBorders>
              <w:top w:val="nil"/>
              <w:left w:val="nil"/>
              <w:bottom w:val="single" w:sz="4" w:space="0" w:color="BFBFBF"/>
              <w:right w:val="single" w:sz="4" w:space="0" w:color="BFBFBF"/>
            </w:tcBorders>
            <w:shd w:val="clear" w:color="000000" w:fill="FFFFFF"/>
            <w:noWrap/>
            <w:hideMark/>
          </w:tcPr>
          <w:p w14:paraId="1CAF3687" w14:textId="03519D6C" w:rsidR="00F42A40" w:rsidRPr="008C1B89" w:rsidRDefault="00F42A40" w:rsidP="00F42A40">
            <w:pPr>
              <w:jc w:val="right"/>
              <w:rPr>
                <w:rFonts w:eastAsia="Times New Roman" w:cs="Calibri"/>
                <w:color w:val="000000"/>
                <w:sz w:val="20"/>
                <w:szCs w:val="20"/>
                <w:lang w:eastAsia="en-AU"/>
              </w:rPr>
            </w:pPr>
            <w:r>
              <w:rPr>
                <w:color w:val="000000"/>
                <w:sz w:val="20"/>
                <w:szCs w:val="20"/>
              </w:rPr>
              <w:t>96,393</w:t>
            </w:r>
          </w:p>
        </w:tc>
        <w:tc>
          <w:tcPr>
            <w:tcW w:w="963" w:type="dxa"/>
            <w:tcBorders>
              <w:top w:val="nil"/>
              <w:left w:val="nil"/>
              <w:right w:val="single" w:sz="4" w:space="0" w:color="BFBFBF"/>
            </w:tcBorders>
            <w:shd w:val="clear" w:color="auto" w:fill="auto"/>
            <w:noWrap/>
            <w:vAlign w:val="center"/>
            <w:hideMark/>
          </w:tcPr>
          <w:p w14:paraId="08CB985C" w14:textId="4BDE650E"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36" w:type="dxa"/>
            <w:tcBorders>
              <w:top w:val="nil"/>
              <w:left w:val="nil"/>
              <w:right w:val="single" w:sz="4" w:space="0" w:color="BFBFBF"/>
            </w:tcBorders>
            <w:shd w:val="clear" w:color="auto" w:fill="auto"/>
            <w:noWrap/>
            <w:vAlign w:val="center"/>
            <w:hideMark/>
          </w:tcPr>
          <w:p w14:paraId="05A0C78F" w14:textId="2DD7AB92"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71" w:type="dxa"/>
            <w:tcBorders>
              <w:top w:val="nil"/>
              <w:left w:val="nil"/>
              <w:bottom w:val="single" w:sz="4" w:space="0" w:color="BFBFBF"/>
              <w:right w:val="single" w:sz="4" w:space="0" w:color="BFBFBF"/>
            </w:tcBorders>
            <w:shd w:val="clear" w:color="auto" w:fill="auto"/>
            <w:noWrap/>
            <w:hideMark/>
          </w:tcPr>
          <w:p w14:paraId="04146D07" w14:textId="380375A8" w:rsidR="00F42A40" w:rsidRPr="008C1B89" w:rsidRDefault="00F42A40" w:rsidP="00F42A40">
            <w:pPr>
              <w:jc w:val="center"/>
              <w:rPr>
                <w:rFonts w:eastAsia="Times New Roman" w:cs="Calibri"/>
                <w:color w:val="000000"/>
                <w:sz w:val="20"/>
                <w:szCs w:val="20"/>
                <w:lang w:eastAsia="en-AU"/>
              </w:rPr>
            </w:pPr>
            <w:r>
              <w:rPr>
                <w:color w:val="000000"/>
                <w:sz w:val="20"/>
                <w:szCs w:val="20"/>
              </w:rPr>
              <w:t>Poor</w:t>
            </w:r>
          </w:p>
        </w:tc>
        <w:tc>
          <w:tcPr>
            <w:tcW w:w="740" w:type="dxa"/>
            <w:tcBorders>
              <w:top w:val="nil"/>
              <w:left w:val="nil"/>
              <w:bottom w:val="single" w:sz="4" w:space="0" w:color="BFBFBF"/>
              <w:right w:val="single" w:sz="4" w:space="0" w:color="BFBFBF"/>
            </w:tcBorders>
            <w:shd w:val="clear" w:color="000000" w:fill="FFFFFF"/>
            <w:noWrap/>
            <w:hideMark/>
          </w:tcPr>
          <w:p w14:paraId="1EA7623D" w14:textId="77C56E77"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740" w:type="dxa"/>
            <w:tcBorders>
              <w:top w:val="nil"/>
              <w:left w:val="nil"/>
              <w:bottom w:val="single" w:sz="4" w:space="0" w:color="BFBFBF"/>
              <w:right w:val="single" w:sz="4" w:space="0" w:color="BFBFBF"/>
            </w:tcBorders>
            <w:shd w:val="clear" w:color="000000" w:fill="FFFFFF"/>
            <w:noWrap/>
            <w:hideMark/>
          </w:tcPr>
          <w:p w14:paraId="16707696" w14:textId="6C2BD386"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740" w:type="dxa"/>
            <w:tcBorders>
              <w:top w:val="nil"/>
              <w:left w:val="nil"/>
              <w:bottom w:val="single" w:sz="4" w:space="0" w:color="BFBFBF"/>
              <w:right w:val="single" w:sz="4" w:space="0" w:color="BFBFBF"/>
            </w:tcBorders>
            <w:shd w:val="clear" w:color="000000" w:fill="FFFFFF"/>
            <w:noWrap/>
            <w:hideMark/>
          </w:tcPr>
          <w:p w14:paraId="73820359" w14:textId="685EA51A"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5254" w:type="dxa"/>
            <w:vMerge/>
            <w:tcBorders>
              <w:top w:val="single" w:sz="4" w:space="0" w:color="808080"/>
              <w:left w:val="single" w:sz="4" w:space="0" w:color="BFBFBF"/>
              <w:bottom w:val="single" w:sz="4" w:space="0" w:color="BFBFBF"/>
              <w:right w:val="single" w:sz="4" w:space="0" w:color="BFBFBF"/>
            </w:tcBorders>
            <w:vAlign w:val="center"/>
            <w:hideMark/>
          </w:tcPr>
          <w:p w14:paraId="5DC769A3" w14:textId="77777777" w:rsidR="00F42A40" w:rsidRPr="008C1B89" w:rsidRDefault="00F42A40" w:rsidP="00F42A40">
            <w:pPr>
              <w:rPr>
                <w:rFonts w:eastAsia="Times New Roman" w:cs="Calibri"/>
                <w:color w:val="000000"/>
                <w:sz w:val="20"/>
                <w:szCs w:val="20"/>
                <w:lang w:eastAsia="en-AU"/>
              </w:rPr>
            </w:pPr>
          </w:p>
        </w:tc>
      </w:tr>
      <w:tr w:rsidR="00F42A40" w:rsidRPr="008C1B89" w14:paraId="6D0A17A8"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33340FFF"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Landfill facility (NEPM codes N, T)</w:t>
            </w:r>
          </w:p>
        </w:tc>
        <w:tc>
          <w:tcPr>
            <w:tcW w:w="896" w:type="dxa"/>
            <w:tcBorders>
              <w:top w:val="nil"/>
              <w:left w:val="nil"/>
              <w:bottom w:val="single" w:sz="4" w:space="0" w:color="BFBFBF"/>
              <w:right w:val="single" w:sz="4" w:space="0" w:color="BFBFBF"/>
            </w:tcBorders>
            <w:shd w:val="clear" w:color="000000" w:fill="FFFFFF"/>
            <w:noWrap/>
            <w:hideMark/>
          </w:tcPr>
          <w:p w14:paraId="6F56869F" w14:textId="31D7410B" w:rsidR="00F42A40" w:rsidRPr="008C1B89" w:rsidRDefault="00F42A40" w:rsidP="00F42A40">
            <w:pPr>
              <w:jc w:val="right"/>
              <w:rPr>
                <w:rFonts w:eastAsia="Times New Roman" w:cs="Calibri"/>
                <w:color w:val="000000"/>
                <w:sz w:val="20"/>
                <w:szCs w:val="20"/>
                <w:lang w:eastAsia="en-AU"/>
              </w:rPr>
            </w:pPr>
            <w:r>
              <w:rPr>
                <w:color w:val="000000"/>
                <w:sz w:val="20"/>
                <w:szCs w:val="20"/>
              </w:rPr>
              <w:t>754,462</w:t>
            </w:r>
          </w:p>
        </w:tc>
        <w:tc>
          <w:tcPr>
            <w:tcW w:w="963" w:type="dxa"/>
            <w:tcBorders>
              <w:left w:val="nil"/>
              <w:right w:val="single" w:sz="4" w:space="0" w:color="BFBFBF"/>
            </w:tcBorders>
            <w:shd w:val="clear" w:color="auto" w:fill="auto"/>
            <w:noWrap/>
            <w:vAlign w:val="center"/>
            <w:hideMark/>
          </w:tcPr>
          <w:p w14:paraId="65776B8F" w14:textId="45DDBF94" w:rsidR="00F42A40" w:rsidRPr="008C1B89" w:rsidRDefault="00F42A40" w:rsidP="009D734D">
            <w:pPr>
              <w:jc w:val="center"/>
              <w:rPr>
                <w:rFonts w:eastAsia="Times New Roman" w:cs="Calibri"/>
                <w:color w:val="000000"/>
                <w:sz w:val="20"/>
                <w:szCs w:val="20"/>
                <w:lang w:eastAsia="en-AU"/>
              </w:rPr>
            </w:pPr>
          </w:p>
        </w:tc>
        <w:tc>
          <w:tcPr>
            <w:tcW w:w="1036" w:type="dxa"/>
            <w:tcBorders>
              <w:left w:val="nil"/>
              <w:right w:val="single" w:sz="4" w:space="0" w:color="BFBFBF"/>
            </w:tcBorders>
            <w:shd w:val="clear" w:color="auto" w:fill="auto"/>
            <w:noWrap/>
            <w:vAlign w:val="center"/>
            <w:hideMark/>
          </w:tcPr>
          <w:p w14:paraId="31663912" w14:textId="670B6BCD" w:rsidR="00F42A40" w:rsidRPr="008C1B89" w:rsidRDefault="00F42A40" w:rsidP="009D734D">
            <w:pPr>
              <w:jc w:val="center"/>
              <w:rPr>
                <w:rFonts w:eastAsia="Times New Roman" w:cs="Calibri"/>
                <w:color w:val="000000"/>
                <w:sz w:val="20"/>
                <w:szCs w:val="20"/>
                <w:lang w:eastAsia="en-AU"/>
              </w:rPr>
            </w:pPr>
          </w:p>
        </w:tc>
        <w:tc>
          <w:tcPr>
            <w:tcW w:w="971" w:type="dxa"/>
            <w:tcBorders>
              <w:top w:val="nil"/>
              <w:left w:val="nil"/>
              <w:bottom w:val="single" w:sz="4" w:space="0" w:color="BFBFBF"/>
              <w:right w:val="single" w:sz="4" w:space="0" w:color="BFBFBF"/>
            </w:tcBorders>
            <w:shd w:val="clear" w:color="auto" w:fill="auto"/>
            <w:noWrap/>
            <w:hideMark/>
          </w:tcPr>
          <w:p w14:paraId="39A84580" w14:textId="0C7667F2"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077F10CD" w14:textId="357E574D"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30B43F06" w14:textId="4AE7FB24"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0DE285A6" w14:textId="409A6992"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254" w:type="dxa"/>
            <w:vMerge/>
            <w:tcBorders>
              <w:top w:val="single" w:sz="4" w:space="0" w:color="808080"/>
              <w:left w:val="single" w:sz="4" w:space="0" w:color="BFBFBF"/>
              <w:bottom w:val="single" w:sz="4" w:space="0" w:color="BFBFBF"/>
              <w:right w:val="single" w:sz="4" w:space="0" w:color="BFBFBF"/>
            </w:tcBorders>
            <w:vAlign w:val="center"/>
            <w:hideMark/>
          </w:tcPr>
          <w:p w14:paraId="462DFB2F" w14:textId="77777777" w:rsidR="00F42A40" w:rsidRPr="008C1B89" w:rsidRDefault="00F42A40" w:rsidP="00F42A40">
            <w:pPr>
              <w:rPr>
                <w:rFonts w:eastAsia="Times New Roman" w:cs="Calibri"/>
                <w:color w:val="000000"/>
                <w:sz w:val="20"/>
                <w:szCs w:val="20"/>
                <w:lang w:eastAsia="en-AU"/>
              </w:rPr>
            </w:pPr>
          </w:p>
        </w:tc>
      </w:tr>
      <w:tr w:rsidR="00F42A40" w:rsidRPr="008C1B89" w14:paraId="67A6D5FD"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373A8337"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 xml:space="preserve">Persistent organic pollutants thermal destruction facility </w:t>
            </w:r>
          </w:p>
        </w:tc>
        <w:tc>
          <w:tcPr>
            <w:tcW w:w="896" w:type="dxa"/>
            <w:tcBorders>
              <w:top w:val="nil"/>
              <w:left w:val="nil"/>
              <w:bottom w:val="single" w:sz="4" w:space="0" w:color="BFBFBF"/>
              <w:right w:val="single" w:sz="4" w:space="0" w:color="BFBFBF"/>
            </w:tcBorders>
            <w:shd w:val="clear" w:color="000000" w:fill="FFFFFF"/>
            <w:noWrap/>
            <w:hideMark/>
          </w:tcPr>
          <w:p w14:paraId="5AC8A022" w14:textId="7ED0E98A" w:rsidR="00F42A40" w:rsidRPr="008C1B89" w:rsidRDefault="00F42A40" w:rsidP="00F42A40">
            <w:pPr>
              <w:jc w:val="right"/>
              <w:rPr>
                <w:rFonts w:eastAsia="Times New Roman" w:cs="Calibri"/>
                <w:color w:val="000000"/>
                <w:sz w:val="20"/>
                <w:szCs w:val="20"/>
                <w:lang w:eastAsia="en-AU"/>
              </w:rPr>
            </w:pPr>
            <w:r>
              <w:rPr>
                <w:color w:val="000000"/>
                <w:sz w:val="20"/>
                <w:szCs w:val="20"/>
              </w:rPr>
              <w:t>2,329</w:t>
            </w:r>
          </w:p>
        </w:tc>
        <w:tc>
          <w:tcPr>
            <w:tcW w:w="963" w:type="dxa"/>
            <w:tcBorders>
              <w:left w:val="nil"/>
              <w:right w:val="single" w:sz="4" w:space="0" w:color="BFBFBF"/>
            </w:tcBorders>
            <w:shd w:val="clear" w:color="auto" w:fill="auto"/>
            <w:noWrap/>
            <w:vAlign w:val="center"/>
            <w:hideMark/>
          </w:tcPr>
          <w:p w14:paraId="5DB4194F" w14:textId="3C338BE9" w:rsidR="00F42A40" w:rsidRPr="008C1B89" w:rsidRDefault="00F42A40" w:rsidP="009D734D">
            <w:pPr>
              <w:jc w:val="center"/>
              <w:rPr>
                <w:rFonts w:eastAsia="Times New Roman" w:cs="Calibri"/>
                <w:color w:val="000000"/>
                <w:sz w:val="20"/>
                <w:szCs w:val="20"/>
                <w:lang w:eastAsia="en-AU"/>
              </w:rPr>
            </w:pPr>
          </w:p>
        </w:tc>
        <w:tc>
          <w:tcPr>
            <w:tcW w:w="1036" w:type="dxa"/>
            <w:tcBorders>
              <w:left w:val="nil"/>
              <w:right w:val="single" w:sz="4" w:space="0" w:color="BFBFBF"/>
            </w:tcBorders>
            <w:shd w:val="clear" w:color="auto" w:fill="auto"/>
            <w:noWrap/>
            <w:vAlign w:val="center"/>
            <w:hideMark/>
          </w:tcPr>
          <w:p w14:paraId="613BC72F" w14:textId="208B4DD3" w:rsidR="00F42A40" w:rsidRPr="008C1B89" w:rsidRDefault="00F42A40" w:rsidP="009D734D">
            <w:pPr>
              <w:jc w:val="center"/>
              <w:rPr>
                <w:rFonts w:eastAsia="Times New Roman" w:cs="Calibri"/>
                <w:color w:val="000000"/>
                <w:sz w:val="20"/>
                <w:szCs w:val="20"/>
                <w:lang w:eastAsia="en-AU"/>
              </w:rPr>
            </w:pPr>
          </w:p>
        </w:tc>
        <w:tc>
          <w:tcPr>
            <w:tcW w:w="971" w:type="dxa"/>
            <w:tcBorders>
              <w:top w:val="nil"/>
              <w:left w:val="nil"/>
              <w:bottom w:val="single" w:sz="4" w:space="0" w:color="BFBFBF"/>
              <w:right w:val="single" w:sz="4" w:space="0" w:color="BFBFBF"/>
            </w:tcBorders>
            <w:shd w:val="clear" w:color="auto" w:fill="auto"/>
            <w:noWrap/>
            <w:hideMark/>
          </w:tcPr>
          <w:p w14:paraId="4D554DF6" w14:textId="3B13AD06"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5C9CA1D2" w14:textId="7CE18CE0" w:rsidR="00F42A40" w:rsidRPr="008C1B89" w:rsidRDefault="00F42A40" w:rsidP="00F42A40">
            <w:pPr>
              <w:jc w:val="center"/>
              <w:rPr>
                <w:rFonts w:eastAsia="Times New Roman" w:cs="Calibri"/>
                <w:color w:val="000000"/>
                <w:sz w:val="20"/>
                <w:szCs w:val="20"/>
                <w:lang w:eastAsia="en-AU"/>
              </w:rPr>
            </w:pPr>
            <w:r>
              <w:rPr>
                <w:color w:val="000000"/>
                <w:sz w:val="20"/>
                <w:szCs w:val="20"/>
              </w:rPr>
              <w:t>2020</w:t>
            </w:r>
          </w:p>
        </w:tc>
        <w:tc>
          <w:tcPr>
            <w:tcW w:w="740" w:type="dxa"/>
            <w:tcBorders>
              <w:top w:val="nil"/>
              <w:left w:val="nil"/>
              <w:bottom w:val="single" w:sz="4" w:space="0" w:color="BFBFBF"/>
              <w:right w:val="single" w:sz="4" w:space="0" w:color="BFBFBF"/>
            </w:tcBorders>
            <w:shd w:val="clear" w:color="000000" w:fill="FFFFFF"/>
            <w:noWrap/>
            <w:hideMark/>
          </w:tcPr>
          <w:p w14:paraId="7FF8CBC1" w14:textId="73E67B70" w:rsidR="00F42A40" w:rsidRPr="008C1B89" w:rsidRDefault="00F42A40" w:rsidP="00F42A40">
            <w:pPr>
              <w:jc w:val="center"/>
              <w:rPr>
                <w:rFonts w:eastAsia="Times New Roman" w:cs="Calibri"/>
                <w:color w:val="000000"/>
                <w:sz w:val="20"/>
                <w:szCs w:val="20"/>
                <w:lang w:eastAsia="en-AU"/>
              </w:rPr>
            </w:pPr>
            <w:r>
              <w:rPr>
                <w:color w:val="000000"/>
                <w:sz w:val="20"/>
                <w:szCs w:val="20"/>
              </w:rPr>
              <w:t>2020</w:t>
            </w:r>
          </w:p>
        </w:tc>
        <w:tc>
          <w:tcPr>
            <w:tcW w:w="740" w:type="dxa"/>
            <w:tcBorders>
              <w:top w:val="nil"/>
              <w:left w:val="nil"/>
              <w:bottom w:val="single" w:sz="4" w:space="0" w:color="BFBFBF"/>
              <w:right w:val="single" w:sz="4" w:space="0" w:color="BFBFBF"/>
            </w:tcBorders>
            <w:shd w:val="clear" w:color="000000" w:fill="FFFFFF"/>
            <w:noWrap/>
            <w:hideMark/>
          </w:tcPr>
          <w:p w14:paraId="06AD9C7C" w14:textId="6C1A6083" w:rsidR="00F42A40" w:rsidRPr="008C1B89" w:rsidRDefault="00F42A40" w:rsidP="00F42A40">
            <w:pPr>
              <w:jc w:val="center"/>
              <w:rPr>
                <w:rFonts w:eastAsia="Times New Roman" w:cs="Calibri"/>
                <w:color w:val="000000"/>
                <w:sz w:val="20"/>
                <w:szCs w:val="20"/>
                <w:lang w:eastAsia="en-AU"/>
              </w:rPr>
            </w:pPr>
            <w:r>
              <w:rPr>
                <w:color w:val="000000"/>
                <w:sz w:val="20"/>
                <w:szCs w:val="20"/>
              </w:rPr>
              <w:t>2020</w:t>
            </w:r>
          </w:p>
        </w:tc>
        <w:tc>
          <w:tcPr>
            <w:tcW w:w="5254" w:type="dxa"/>
            <w:vMerge/>
            <w:tcBorders>
              <w:top w:val="single" w:sz="4" w:space="0" w:color="808080"/>
              <w:left w:val="single" w:sz="4" w:space="0" w:color="BFBFBF"/>
              <w:bottom w:val="single" w:sz="4" w:space="0" w:color="BFBFBF"/>
              <w:right w:val="single" w:sz="4" w:space="0" w:color="BFBFBF"/>
            </w:tcBorders>
            <w:vAlign w:val="center"/>
            <w:hideMark/>
          </w:tcPr>
          <w:p w14:paraId="4D58EDC7" w14:textId="77777777" w:rsidR="00F42A40" w:rsidRPr="008C1B89" w:rsidRDefault="00F42A40" w:rsidP="00F42A40">
            <w:pPr>
              <w:rPr>
                <w:rFonts w:eastAsia="Times New Roman" w:cs="Calibri"/>
                <w:color w:val="000000"/>
                <w:sz w:val="20"/>
                <w:szCs w:val="20"/>
                <w:lang w:eastAsia="en-AU"/>
              </w:rPr>
            </w:pPr>
          </w:p>
        </w:tc>
      </w:tr>
      <w:tr w:rsidR="00F42A40" w:rsidRPr="008C1B89" w14:paraId="0A384303"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66C3DEE"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Clinical waste facility thermal destruction</w:t>
            </w:r>
          </w:p>
        </w:tc>
        <w:tc>
          <w:tcPr>
            <w:tcW w:w="896" w:type="dxa"/>
            <w:tcBorders>
              <w:top w:val="nil"/>
              <w:left w:val="nil"/>
              <w:bottom w:val="single" w:sz="4" w:space="0" w:color="BFBFBF"/>
              <w:right w:val="single" w:sz="4" w:space="0" w:color="BFBFBF"/>
            </w:tcBorders>
            <w:shd w:val="clear" w:color="000000" w:fill="FFFFFF"/>
            <w:noWrap/>
            <w:hideMark/>
          </w:tcPr>
          <w:p w14:paraId="01907FF9" w14:textId="4AF55FED" w:rsidR="00F42A40" w:rsidRPr="008C1B89" w:rsidRDefault="00F42A40" w:rsidP="00F42A40">
            <w:pPr>
              <w:jc w:val="right"/>
              <w:rPr>
                <w:rFonts w:eastAsia="Times New Roman" w:cs="Calibri"/>
                <w:color w:val="000000"/>
                <w:sz w:val="20"/>
                <w:szCs w:val="20"/>
                <w:lang w:eastAsia="en-AU"/>
              </w:rPr>
            </w:pPr>
            <w:r>
              <w:rPr>
                <w:color w:val="000000"/>
                <w:sz w:val="20"/>
                <w:szCs w:val="20"/>
              </w:rPr>
              <w:t>7,619</w:t>
            </w:r>
          </w:p>
        </w:tc>
        <w:tc>
          <w:tcPr>
            <w:tcW w:w="963" w:type="dxa"/>
            <w:tcBorders>
              <w:left w:val="nil"/>
              <w:bottom w:val="single" w:sz="4" w:space="0" w:color="BFBFBF"/>
              <w:right w:val="single" w:sz="4" w:space="0" w:color="BFBFBF"/>
            </w:tcBorders>
            <w:shd w:val="clear" w:color="auto" w:fill="auto"/>
            <w:noWrap/>
            <w:vAlign w:val="center"/>
            <w:hideMark/>
          </w:tcPr>
          <w:p w14:paraId="1F8A22E4" w14:textId="1B356BE0" w:rsidR="00F42A40" w:rsidRPr="008C1B89" w:rsidRDefault="00F42A40" w:rsidP="009D734D">
            <w:pPr>
              <w:jc w:val="center"/>
              <w:rPr>
                <w:rFonts w:eastAsia="Times New Roman" w:cs="Calibri"/>
                <w:color w:val="000000"/>
                <w:sz w:val="20"/>
                <w:szCs w:val="20"/>
                <w:lang w:eastAsia="en-AU"/>
              </w:rPr>
            </w:pPr>
          </w:p>
        </w:tc>
        <w:tc>
          <w:tcPr>
            <w:tcW w:w="1036" w:type="dxa"/>
            <w:tcBorders>
              <w:left w:val="nil"/>
              <w:bottom w:val="single" w:sz="4" w:space="0" w:color="BFBFBF"/>
              <w:right w:val="single" w:sz="4" w:space="0" w:color="BFBFBF"/>
            </w:tcBorders>
            <w:shd w:val="clear" w:color="auto" w:fill="auto"/>
            <w:noWrap/>
            <w:vAlign w:val="center"/>
            <w:hideMark/>
          </w:tcPr>
          <w:p w14:paraId="1169377C" w14:textId="6B782A24" w:rsidR="00F42A40" w:rsidRPr="008C1B89" w:rsidRDefault="00F42A40" w:rsidP="009D734D">
            <w:pPr>
              <w:jc w:val="center"/>
              <w:rPr>
                <w:rFonts w:eastAsia="Times New Roman" w:cs="Calibri"/>
                <w:color w:val="000000"/>
                <w:sz w:val="20"/>
                <w:szCs w:val="20"/>
                <w:lang w:eastAsia="en-AU"/>
              </w:rPr>
            </w:pPr>
          </w:p>
        </w:tc>
        <w:tc>
          <w:tcPr>
            <w:tcW w:w="971" w:type="dxa"/>
            <w:tcBorders>
              <w:top w:val="nil"/>
              <w:left w:val="nil"/>
              <w:bottom w:val="single" w:sz="4" w:space="0" w:color="BFBFBF"/>
              <w:right w:val="single" w:sz="4" w:space="0" w:color="BFBFBF"/>
            </w:tcBorders>
            <w:shd w:val="clear" w:color="auto" w:fill="auto"/>
            <w:noWrap/>
            <w:hideMark/>
          </w:tcPr>
          <w:p w14:paraId="0C8246EF" w14:textId="34392ACE"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7CE80777" w14:textId="102BFFD9" w:rsidR="00F42A40" w:rsidRPr="008C1B89" w:rsidRDefault="00F42A40" w:rsidP="00F42A40">
            <w:pPr>
              <w:jc w:val="center"/>
              <w:rPr>
                <w:rFonts w:eastAsia="Times New Roman" w:cs="Calibri"/>
                <w:color w:val="000000"/>
                <w:sz w:val="20"/>
                <w:szCs w:val="20"/>
                <w:lang w:eastAsia="en-AU"/>
              </w:rPr>
            </w:pPr>
            <w:r>
              <w:rPr>
                <w:color w:val="000000"/>
                <w:sz w:val="20"/>
                <w:szCs w:val="20"/>
              </w:rPr>
              <w:t>2036</w:t>
            </w:r>
          </w:p>
        </w:tc>
        <w:tc>
          <w:tcPr>
            <w:tcW w:w="740" w:type="dxa"/>
            <w:tcBorders>
              <w:top w:val="nil"/>
              <w:left w:val="nil"/>
              <w:bottom w:val="single" w:sz="4" w:space="0" w:color="BFBFBF"/>
              <w:right w:val="single" w:sz="4" w:space="0" w:color="BFBFBF"/>
            </w:tcBorders>
            <w:shd w:val="clear" w:color="000000" w:fill="FFFFFF"/>
            <w:noWrap/>
            <w:hideMark/>
          </w:tcPr>
          <w:p w14:paraId="6C73511C" w14:textId="0302E79A" w:rsidR="00F42A40" w:rsidRPr="008C1B89" w:rsidRDefault="00F42A40" w:rsidP="00F42A40">
            <w:pPr>
              <w:jc w:val="center"/>
              <w:rPr>
                <w:rFonts w:eastAsia="Times New Roman" w:cs="Calibri"/>
                <w:color w:val="000000"/>
                <w:sz w:val="20"/>
                <w:szCs w:val="20"/>
                <w:lang w:eastAsia="en-AU"/>
              </w:rPr>
            </w:pPr>
            <w:r>
              <w:rPr>
                <w:color w:val="000000"/>
                <w:sz w:val="20"/>
                <w:szCs w:val="20"/>
              </w:rPr>
              <w:t>2030</w:t>
            </w:r>
          </w:p>
        </w:tc>
        <w:tc>
          <w:tcPr>
            <w:tcW w:w="740" w:type="dxa"/>
            <w:tcBorders>
              <w:top w:val="nil"/>
              <w:left w:val="nil"/>
              <w:bottom w:val="single" w:sz="4" w:space="0" w:color="BFBFBF"/>
              <w:right w:val="single" w:sz="4" w:space="0" w:color="BFBFBF"/>
            </w:tcBorders>
            <w:shd w:val="clear" w:color="000000" w:fill="FFFFFF"/>
            <w:noWrap/>
            <w:hideMark/>
          </w:tcPr>
          <w:p w14:paraId="1EFB7E8F" w14:textId="217BA22A"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254" w:type="dxa"/>
            <w:vMerge/>
            <w:tcBorders>
              <w:top w:val="single" w:sz="4" w:space="0" w:color="808080"/>
              <w:left w:val="single" w:sz="4" w:space="0" w:color="BFBFBF"/>
              <w:bottom w:val="single" w:sz="4" w:space="0" w:color="BFBFBF"/>
              <w:right w:val="single" w:sz="4" w:space="0" w:color="BFBFBF"/>
            </w:tcBorders>
            <w:vAlign w:val="center"/>
            <w:hideMark/>
          </w:tcPr>
          <w:p w14:paraId="3132F045" w14:textId="77777777" w:rsidR="00F42A40" w:rsidRPr="008C1B89" w:rsidRDefault="00F42A40" w:rsidP="00F42A40">
            <w:pPr>
              <w:rPr>
                <w:rFonts w:eastAsia="Times New Roman" w:cs="Calibri"/>
                <w:color w:val="000000"/>
                <w:sz w:val="20"/>
                <w:szCs w:val="20"/>
                <w:lang w:eastAsia="en-AU"/>
              </w:rPr>
            </w:pPr>
          </w:p>
        </w:tc>
      </w:tr>
      <w:tr w:rsidR="009D734D" w:rsidRPr="008C1B89" w14:paraId="558C48B2"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2B6F898E" w14:textId="77777777" w:rsidR="00F42A40" w:rsidRPr="008C1B89" w:rsidRDefault="00F42A40" w:rsidP="00F42A40">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Short-term storage or transfer</w:t>
            </w:r>
          </w:p>
        </w:tc>
        <w:tc>
          <w:tcPr>
            <w:tcW w:w="896" w:type="dxa"/>
            <w:tcBorders>
              <w:top w:val="nil"/>
              <w:left w:val="nil"/>
              <w:bottom w:val="single" w:sz="4" w:space="0" w:color="BFBFBF"/>
              <w:right w:val="single" w:sz="4" w:space="0" w:color="BFBFBF"/>
            </w:tcBorders>
            <w:shd w:val="clear" w:color="000000" w:fill="C5D9F1"/>
            <w:noWrap/>
            <w:hideMark/>
          </w:tcPr>
          <w:p w14:paraId="70FCE0A7" w14:textId="1F08E6F9"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963" w:type="dxa"/>
            <w:tcBorders>
              <w:top w:val="nil"/>
              <w:left w:val="nil"/>
              <w:bottom w:val="single" w:sz="4" w:space="0" w:color="BFBFBF"/>
              <w:right w:val="nil"/>
            </w:tcBorders>
            <w:shd w:val="clear" w:color="000000" w:fill="C5D9F1"/>
            <w:noWrap/>
            <w:vAlign w:val="center"/>
            <w:hideMark/>
          </w:tcPr>
          <w:p w14:paraId="30435F3B" w14:textId="2DA3A7A7" w:rsidR="00F42A40" w:rsidRPr="008C1B89" w:rsidRDefault="00F42A40" w:rsidP="009D734D">
            <w:pPr>
              <w:jc w:val="center"/>
              <w:rPr>
                <w:rFonts w:eastAsia="Times New Roman" w:cs="Calibri"/>
                <w:color w:val="000000"/>
                <w:sz w:val="20"/>
                <w:szCs w:val="20"/>
                <w:lang w:eastAsia="en-AU"/>
              </w:rPr>
            </w:pPr>
          </w:p>
        </w:tc>
        <w:tc>
          <w:tcPr>
            <w:tcW w:w="1036" w:type="dxa"/>
            <w:tcBorders>
              <w:top w:val="nil"/>
              <w:left w:val="nil"/>
              <w:bottom w:val="single" w:sz="4" w:space="0" w:color="BFBFBF"/>
              <w:right w:val="nil"/>
            </w:tcBorders>
            <w:shd w:val="clear" w:color="000000" w:fill="C5D9F1"/>
            <w:noWrap/>
            <w:vAlign w:val="center"/>
            <w:hideMark/>
          </w:tcPr>
          <w:p w14:paraId="23A917F4" w14:textId="7A6383DC" w:rsidR="00F42A40" w:rsidRPr="008C1B89" w:rsidRDefault="00F42A40" w:rsidP="009D734D">
            <w:pPr>
              <w:jc w:val="center"/>
              <w:rPr>
                <w:rFonts w:eastAsia="Times New Roman" w:cs="Calibri"/>
                <w:color w:val="000000"/>
                <w:sz w:val="20"/>
                <w:szCs w:val="20"/>
                <w:lang w:eastAsia="en-AU"/>
              </w:rPr>
            </w:pPr>
          </w:p>
        </w:tc>
        <w:tc>
          <w:tcPr>
            <w:tcW w:w="971" w:type="dxa"/>
            <w:tcBorders>
              <w:top w:val="nil"/>
              <w:left w:val="nil"/>
              <w:bottom w:val="single" w:sz="4" w:space="0" w:color="BFBFBF"/>
              <w:right w:val="single" w:sz="4" w:space="0" w:color="BFBFBF"/>
            </w:tcBorders>
            <w:shd w:val="clear" w:color="000000" w:fill="C5D9F1"/>
            <w:noWrap/>
            <w:hideMark/>
          </w:tcPr>
          <w:p w14:paraId="2908A3FD" w14:textId="7EB4DA3A"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4B87EB2A" w14:textId="7B24EA9D"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38558453" w14:textId="52497980"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43C2245E" w14:textId="67C71610"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5254" w:type="dxa"/>
            <w:vMerge/>
            <w:tcBorders>
              <w:top w:val="single" w:sz="4" w:space="0" w:color="808080"/>
              <w:left w:val="single" w:sz="4" w:space="0" w:color="BFBFBF"/>
              <w:bottom w:val="single" w:sz="4" w:space="0" w:color="BFBFBF"/>
              <w:right w:val="single" w:sz="4" w:space="0" w:color="BFBFBF"/>
            </w:tcBorders>
            <w:vAlign w:val="center"/>
            <w:hideMark/>
          </w:tcPr>
          <w:p w14:paraId="09F9F72E" w14:textId="77777777" w:rsidR="00F42A40" w:rsidRPr="008C1B89" w:rsidRDefault="00F42A40" w:rsidP="00F42A40">
            <w:pPr>
              <w:rPr>
                <w:rFonts w:eastAsia="Times New Roman" w:cs="Calibri"/>
                <w:color w:val="000000"/>
                <w:sz w:val="20"/>
                <w:szCs w:val="20"/>
                <w:lang w:eastAsia="en-AU"/>
              </w:rPr>
            </w:pPr>
          </w:p>
        </w:tc>
      </w:tr>
      <w:tr w:rsidR="00F42A40" w:rsidRPr="008C1B89" w14:paraId="72BC261F"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1CDBC38"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Transfer facility</w:t>
            </w:r>
          </w:p>
        </w:tc>
        <w:tc>
          <w:tcPr>
            <w:tcW w:w="896" w:type="dxa"/>
            <w:tcBorders>
              <w:top w:val="nil"/>
              <w:left w:val="nil"/>
              <w:bottom w:val="single" w:sz="4" w:space="0" w:color="BFBFBF"/>
              <w:right w:val="nil"/>
            </w:tcBorders>
            <w:shd w:val="clear" w:color="000000" w:fill="FFFFFF"/>
            <w:noWrap/>
            <w:hideMark/>
          </w:tcPr>
          <w:p w14:paraId="4CBA64DE" w14:textId="17C8311B" w:rsidR="00F42A40" w:rsidRPr="008C1B89" w:rsidRDefault="00F42A40" w:rsidP="00F42A40">
            <w:pPr>
              <w:jc w:val="right"/>
              <w:rPr>
                <w:rFonts w:eastAsia="Times New Roman" w:cs="Calibri"/>
                <w:color w:val="000000"/>
                <w:sz w:val="20"/>
                <w:szCs w:val="20"/>
                <w:lang w:eastAsia="en-AU"/>
              </w:rPr>
            </w:pPr>
            <w:r>
              <w:rPr>
                <w:color w:val="000000"/>
                <w:sz w:val="20"/>
                <w:szCs w:val="20"/>
              </w:rPr>
              <w:t>197,990</w:t>
            </w:r>
          </w:p>
        </w:tc>
        <w:tc>
          <w:tcPr>
            <w:tcW w:w="963" w:type="dxa"/>
            <w:tcBorders>
              <w:top w:val="nil"/>
              <w:left w:val="nil"/>
              <w:bottom w:val="single" w:sz="4" w:space="0" w:color="BFBFBF"/>
              <w:right w:val="single" w:sz="4" w:space="0" w:color="BFBFBF"/>
            </w:tcBorders>
            <w:shd w:val="clear" w:color="auto" w:fill="auto"/>
            <w:noWrap/>
            <w:vAlign w:val="center"/>
            <w:hideMark/>
          </w:tcPr>
          <w:p w14:paraId="25BC7F28" w14:textId="7BF5A900"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36" w:type="dxa"/>
            <w:tcBorders>
              <w:top w:val="nil"/>
              <w:left w:val="nil"/>
              <w:bottom w:val="single" w:sz="4" w:space="0" w:color="BFBFBF"/>
              <w:right w:val="single" w:sz="4" w:space="0" w:color="BFBFBF"/>
            </w:tcBorders>
            <w:shd w:val="clear" w:color="auto" w:fill="auto"/>
            <w:noWrap/>
            <w:vAlign w:val="center"/>
            <w:hideMark/>
          </w:tcPr>
          <w:p w14:paraId="4B66D83B" w14:textId="1A616402"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71" w:type="dxa"/>
            <w:tcBorders>
              <w:top w:val="nil"/>
              <w:left w:val="nil"/>
              <w:bottom w:val="single" w:sz="4" w:space="0" w:color="BFBFBF"/>
              <w:right w:val="single" w:sz="4" w:space="0" w:color="BFBFBF"/>
            </w:tcBorders>
            <w:shd w:val="clear" w:color="auto" w:fill="auto"/>
            <w:noWrap/>
            <w:hideMark/>
          </w:tcPr>
          <w:p w14:paraId="438219D6" w14:textId="2E94A1C0"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71260EBD" w14:textId="170E08A9"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740" w:type="dxa"/>
            <w:tcBorders>
              <w:top w:val="nil"/>
              <w:left w:val="nil"/>
              <w:bottom w:val="single" w:sz="4" w:space="0" w:color="BFBFBF"/>
              <w:right w:val="single" w:sz="4" w:space="0" w:color="BFBFBF"/>
            </w:tcBorders>
            <w:shd w:val="clear" w:color="000000" w:fill="FFFFFF"/>
            <w:noWrap/>
            <w:hideMark/>
          </w:tcPr>
          <w:p w14:paraId="5C106D5B" w14:textId="106F00EE"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740" w:type="dxa"/>
            <w:tcBorders>
              <w:top w:val="nil"/>
              <w:left w:val="nil"/>
              <w:bottom w:val="single" w:sz="4" w:space="0" w:color="BFBFBF"/>
              <w:right w:val="single" w:sz="4" w:space="0" w:color="BFBFBF"/>
            </w:tcBorders>
            <w:shd w:val="clear" w:color="000000" w:fill="FFFFFF"/>
            <w:noWrap/>
            <w:hideMark/>
          </w:tcPr>
          <w:p w14:paraId="7D403045" w14:textId="0D837385"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5254" w:type="dxa"/>
            <w:vMerge/>
            <w:tcBorders>
              <w:top w:val="single" w:sz="4" w:space="0" w:color="808080"/>
              <w:left w:val="single" w:sz="4" w:space="0" w:color="BFBFBF"/>
              <w:bottom w:val="single" w:sz="4" w:space="0" w:color="BFBFBF"/>
              <w:right w:val="single" w:sz="4" w:space="0" w:color="BFBFBF"/>
            </w:tcBorders>
            <w:vAlign w:val="center"/>
            <w:hideMark/>
          </w:tcPr>
          <w:p w14:paraId="2288BCB5" w14:textId="77777777" w:rsidR="00F42A40" w:rsidRPr="008C1B89" w:rsidRDefault="00F42A40" w:rsidP="00F42A40">
            <w:pPr>
              <w:rPr>
                <w:rFonts w:eastAsia="Times New Roman" w:cs="Calibri"/>
                <w:color w:val="000000"/>
                <w:sz w:val="20"/>
                <w:szCs w:val="20"/>
                <w:lang w:eastAsia="en-AU"/>
              </w:rPr>
            </w:pPr>
          </w:p>
        </w:tc>
      </w:tr>
      <w:tr w:rsidR="009D734D" w:rsidRPr="008C1B89" w14:paraId="7FF8F323"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370F6035" w14:textId="77777777" w:rsidR="00F42A40" w:rsidRPr="008C1B89" w:rsidRDefault="00F42A40" w:rsidP="00F42A40">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Long-term storage</w:t>
            </w:r>
          </w:p>
        </w:tc>
        <w:tc>
          <w:tcPr>
            <w:tcW w:w="896" w:type="dxa"/>
            <w:tcBorders>
              <w:top w:val="nil"/>
              <w:left w:val="nil"/>
              <w:bottom w:val="single" w:sz="4" w:space="0" w:color="BFBFBF"/>
              <w:right w:val="single" w:sz="4" w:space="0" w:color="BFBFBF"/>
            </w:tcBorders>
            <w:shd w:val="clear" w:color="000000" w:fill="C5D9F1"/>
            <w:noWrap/>
            <w:hideMark/>
          </w:tcPr>
          <w:p w14:paraId="63EAAF49" w14:textId="06F36C9E"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963" w:type="dxa"/>
            <w:tcBorders>
              <w:top w:val="nil"/>
              <w:left w:val="nil"/>
              <w:bottom w:val="single" w:sz="4" w:space="0" w:color="BFBFBF"/>
              <w:right w:val="nil"/>
            </w:tcBorders>
            <w:shd w:val="clear" w:color="000000" w:fill="C5D9F1"/>
            <w:noWrap/>
            <w:vAlign w:val="center"/>
            <w:hideMark/>
          </w:tcPr>
          <w:p w14:paraId="3D538226" w14:textId="56C69917" w:rsidR="00F42A40" w:rsidRPr="008C1B89" w:rsidRDefault="00F42A40" w:rsidP="009D734D">
            <w:pPr>
              <w:jc w:val="center"/>
              <w:rPr>
                <w:rFonts w:eastAsia="Times New Roman" w:cs="Calibri"/>
                <w:color w:val="000000"/>
                <w:sz w:val="20"/>
                <w:szCs w:val="20"/>
                <w:lang w:eastAsia="en-AU"/>
              </w:rPr>
            </w:pPr>
          </w:p>
        </w:tc>
        <w:tc>
          <w:tcPr>
            <w:tcW w:w="1036" w:type="dxa"/>
            <w:tcBorders>
              <w:top w:val="nil"/>
              <w:left w:val="nil"/>
              <w:bottom w:val="single" w:sz="4" w:space="0" w:color="BFBFBF"/>
              <w:right w:val="nil"/>
            </w:tcBorders>
            <w:shd w:val="clear" w:color="000000" w:fill="C5D9F1"/>
            <w:noWrap/>
            <w:vAlign w:val="center"/>
            <w:hideMark/>
          </w:tcPr>
          <w:p w14:paraId="47B4C498" w14:textId="1BEBDF19" w:rsidR="00F42A40" w:rsidRPr="008C1B89" w:rsidRDefault="00F42A40" w:rsidP="009D734D">
            <w:pPr>
              <w:jc w:val="center"/>
              <w:rPr>
                <w:rFonts w:eastAsia="Times New Roman" w:cs="Calibri"/>
                <w:color w:val="000000"/>
                <w:sz w:val="20"/>
                <w:szCs w:val="20"/>
                <w:lang w:eastAsia="en-AU"/>
              </w:rPr>
            </w:pPr>
          </w:p>
        </w:tc>
        <w:tc>
          <w:tcPr>
            <w:tcW w:w="971" w:type="dxa"/>
            <w:tcBorders>
              <w:top w:val="nil"/>
              <w:left w:val="nil"/>
              <w:bottom w:val="single" w:sz="4" w:space="0" w:color="BFBFBF"/>
              <w:right w:val="single" w:sz="4" w:space="0" w:color="BFBFBF"/>
            </w:tcBorders>
            <w:shd w:val="clear" w:color="000000" w:fill="C5D9F1"/>
            <w:noWrap/>
            <w:hideMark/>
          </w:tcPr>
          <w:p w14:paraId="7CE6DE6C" w14:textId="2E51D9E8"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3FEFC1F5" w14:textId="15217140"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6BF09D0E" w14:textId="3F02612B"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08C6261D" w14:textId="59567BF2"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5254" w:type="dxa"/>
            <w:vMerge/>
            <w:tcBorders>
              <w:top w:val="single" w:sz="4" w:space="0" w:color="808080"/>
              <w:left w:val="single" w:sz="4" w:space="0" w:color="BFBFBF"/>
              <w:bottom w:val="single" w:sz="4" w:space="0" w:color="BFBFBF"/>
              <w:right w:val="single" w:sz="4" w:space="0" w:color="BFBFBF"/>
            </w:tcBorders>
            <w:vAlign w:val="center"/>
            <w:hideMark/>
          </w:tcPr>
          <w:p w14:paraId="34B0DC1C" w14:textId="77777777" w:rsidR="00F42A40" w:rsidRPr="008C1B89" w:rsidRDefault="00F42A40" w:rsidP="00F42A40">
            <w:pPr>
              <w:rPr>
                <w:rFonts w:eastAsia="Times New Roman" w:cs="Calibri"/>
                <w:color w:val="000000"/>
                <w:sz w:val="20"/>
                <w:szCs w:val="20"/>
                <w:lang w:eastAsia="en-AU"/>
              </w:rPr>
            </w:pPr>
          </w:p>
        </w:tc>
      </w:tr>
      <w:tr w:rsidR="00F42A40" w:rsidRPr="008C1B89" w14:paraId="38472977"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C94852C"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Long-term on-site storage</w:t>
            </w:r>
          </w:p>
        </w:tc>
        <w:tc>
          <w:tcPr>
            <w:tcW w:w="896" w:type="dxa"/>
            <w:tcBorders>
              <w:top w:val="nil"/>
              <w:left w:val="nil"/>
              <w:bottom w:val="single" w:sz="4" w:space="0" w:color="BFBFBF"/>
              <w:right w:val="single" w:sz="4" w:space="0" w:color="BFBFBF"/>
            </w:tcBorders>
            <w:shd w:val="clear" w:color="000000" w:fill="FFFFFF"/>
            <w:noWrap/>
            <w:hideMark/>
          </w:tcPr>
          <w:p w14:paraId="38C59B69" w14:textId="65DDDE22" w:rsidR="00F42A40" w:rsidRPr="008C1B89" w:rsidRDefault="00F42A40" w:rsidP="00F42A40">
            <w:pPr>
              <w:jc w:val="right"/>
              <w:rPr>
                <w:rFonts w:eastAsia="Times New Roman" w:cs="Calibri"/>
                <w:color w:val="000000"/>
                <w:sz w:val="20"/>
                <w:szCs w:val="20"/>
                <w:lang w:eastAsia="en-AU"/>
              </w:rPr>
            </w:pPr>
            <w:r>
              <w:rPr>
                <w:color w:val="000000"/>
                <w:sz w:val="20"/>
                <w:szCs w:val="20"/>
              </w:rPr>
              <w:t>0</w:t>
            </w:r>
          </w:p>
        </w:tc>
        <w:tc>
          <w:tcPr>
            <w:tcW w:w="963" w:type="dxa"/>
            <w:tcBorders>
              <w:top w:val="nil"/>
              <w:left w:val="nil"/>
              <w:right w:val="single" w:sz="4" w:space="0" w:color="BFBFBF"/>
            </w:tcBorders>
            <w:shd w:val="clear" w:color="auto" w:fill="auto"/>
            <w:noWrap/>
            <w:vAlign w:val="center"/>
            <w:hideMark/>
          </w:tcPr>
          <w:p w14:paraId="0FE7EE5A" w14:textId="25464FB5"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36" w:type="dxa"/>
            <w:tcBorders>
              <w:top w:val="nil"/>
              <w:left w:val="nil"/>
              <w:right w:val="single" w:sz="4" w:space="0" w:color="BFBFBF"/>
            </w:tcBorders>
            <w:shd w:val="clear" w:color="auto" w:fill="auto"/>
            <w:noWrap/>
            <w:vAlign w:val="center"/>
            <w:hideMark/>
          </w:tcPr>
          <w:p w14:paraId="4FAFB90D" w14:textId="156CA853"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71" w:type="dxa"/>
            <w:tcBorders>
              <w:top w:val="nil"/>
              <w:left w:val="nil"/>
              <w:bottom w:val="single" w:sz="4" w:space="0" w:color="BFBFBF"/>
              <w:right w:val="single" w:sz="4" w:space="0" w:color="BFBFBF"/>
            </w:tcBorders>
            <w:shd w:val="clear" w:color="auto" w:fill="auto"/>
            <w:noWrap/>
            <w:hideMark/>
          </w:tcPr>
          <w:p w14:paraId="235B1711" w14:textId="67B4B269"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7890BDDD" w14:textId="1A2D4CE0"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3D0CD8E" w14:textId="56EAE1F9"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5C6AAD9B" w14:textId="0BEBFAEE"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254" w:type="dxa"/>
            <w:vMerge/>
            <w:tcBorders>
              <w:top w:val="single" w:sz="4" w:space="0" w:color="808080"/>
              <w:left w:val="single" w:sz="4" w:space="0" w:color="BFBFBF"/>
              <w:bottom w:val="single" w:sz="4" w:space="0" w:color="BFBFBF"/>
              <w:right w:val="single" w:sz="4" w:space="0" w:color="BFBFBF"/>
            </w:tcBorders>
            <w:vAlign w:val="center"/>
            <w:hideMark/>
          </w:tcPr>
          <w:p w14:paraId="0392F82B" w14:textId="77777777" w:rsidR="00F42A40" w:rsidRPr="008C1B89" w:rsidRDefault="00F42A40" w:rsidP="00F42A40">
            <w:pPr>
              <w:rPr>
                <w:rFonts w:eastAsia="Times New Roman" w:cs="Calibri"/>
                <w:color w:val="000000"/>
                <w:sz w:val="20"/>
                <w:szCs w:val="20"/>
                <w:lang w:eastAsia="en-AU"/>
              </w:rPr>
            </w:pPr>
          </w:p>
        </w:tc>
      </w:tr>
      <w:tr w:rsidR="00F42A40" w:rsidRPr="008C1B89" w14:paraId="1824FD7C" w14:textId="77777777" w:rsidTr="009D734D">
        <w:trPr>
          <w:trHeight w:val="2340"/>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1D0E9BA4"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Long-term isolation facility</w:t>
            </w:r>
          </w:p>
        </w:tc>
        <w:tc>
          <w:tcPr>
            <w:tcW w:w="896" w:type="dxa"/>
            <w:tcBorders>
              <w:top w:val="nil"/>
              <w:left w:val="nil"/>
              <w:bottom w:val="single" w:sz="4" w:space="0" w:color="BFBFBF"/>
              <w:right w:val="single" w:sz="4" w:space="0" w:color="BFBFBF"/>
            </w:tcBorders>
            <w:shd w:val="clear" w:color="000000" w:fill="FFFFFF"/>
            <w:noWrap/>
            <w:hideMark/>
          </w:tcPr>
          <w:p w14:paraId="54759B26" w14:textId="77063E65" w:rsidR="00F42A40" w:rsidRPr="008C1B89" w:rsidRDefault="00F42A40" w:rsidP="00F42A40">
            <w:pPr>
              <w:jc w:val="right"/>
              <w:rPr>
                <w:rFonts w:eastAsia="Times New Roman" w:cs="Calibri"/>
                <w:color w:val="000000"/>
                <w:sz w:val="20"/>
                <w:szCs w:val="20"/>
                <w:lang w:eastAsia="en-AU"/>
              </w:rPr>
            </w:pPr>
            <w:r>
              <w:rPr>
                <w:color w:val="000000"/>
                <w:sz w:val="20"/>
                <w:szCs w:val="20"/>
              </w:rPr>
              <w:t>0</w:t>
            </w:r>
          </w:p>
        </w:tc>
        <w:tc>
          <w:tcPr>
            <w:tcW w:w="963" w:type="dxa"/>
            <w:tcBorders>
              <w:left w:val="nil"/>
              <w:bottom w:val="single" w:sz="4" w:space="0" w:color="BFBFBF"/>
              <w:right w:val="single" w:sz="4" w:space="0" w:color="BFBFBF"/>
            </w:tcBorders>
            <w:shd w:val="clear" w:color="auto" w:fill="auto"/>
            <w:noWrap/>
            <w:vAlign w:val="center"/>
            <w:hideMark/>
          </w:tcPr>
          <w:p w14:paraId="3ECDDFF7" w14:textId="04823C44" w:rsidR="00F42A40" w:rsidRPr="008C1B89" w:rsidRDefault="00F42A40" w:rsidP="009D734D">
            <w:pPr>
              <w:jc w:val="center"/>
              <w:rPr>
                <w:rFonts w:eastAsia="Times New Roman" w:cs="Calibri"/>
                <w:color w:val="000000"/>
                <w:sz w:val="20"/>
                <w:szCs w:val="20"/>
                <w:lang w:eastAsia="en-AU"/>
              </w:rPr>
            </w:pPr>
          </w:p>
        </w:tc>
        <w:tc>
          <w:tcPr>
            <w:tcW w:w="1036" w:type="dxa"/>
            <w:tcBorders>
              <w:left w:val="nil"/>
              <w:bottom w:val="single" w:sz="4" w:space="0" w:color="BFBFBF"/>
              <w:right w:val="single" w:sz="4" w:space="0" w:color="BFBFBF"/>
            </w:tcBorders>
            <w:shd w:val="clear" w:color="auto" w:fill="auto"/>
            <w:noWrap/>
            <w:vAlign w:val="center"/>
            <w:hideMark/>
          </w:tcPr>
          <w:p w14:paraId="7B15D46E" w14:textId="134EB474" w:rsidR="00F42A40" w:rsidRPr="008C1B89" w:rsidRDefault="00F42A40" w:rsidP="009D734D">
            <w:pPr>
              <w:jc w:val="center"/>
              <w:rPr>
                <w:rFonts w:eastAsia="Times New Roman" w:cs="Calibri"/>
                <w:color w:val="000000"/>
                <w:sz w:val="20"/>
                <w:szCs w:val="20"/>
                <w:lang w:eastAsia="en-AU"/>
              </w:rPr>
            </w:pPr>
          </w:p>
        </w:tc>
        <w:tc>
          <w:tcPr>
            <w:tcW w:w="971" w:type="dxa"/>
            <w:tcBorders>
              <w:top w:val="nil"/>
              <w:left w:val="nil"/>
              <w:bottom w:val="single" w:sz="4" w:space="0" w:color="BFBFBF"/>
              <w:right w:val="single" w:sz="4" w:space="0" w:color="BFBFBF"/>
            </w:tcBorders>
            <w:shd w:val="clear" w:color="auto" w:fill="auto"/>
            <w:noWrap/>
            <w:hideMark/>
          </w:tcPr>
          <w:p w14:paraId="0F8367AA" w14:textId="3E1B024B"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3F2CA738" w14:textId="2D33C9E5"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F17ED9B" w14:textId="36D51715"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44031A1E" w14:textId="27E33FA5"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254" w:type="dxa"/>
            <w:vMerge/>
            <w:tcBorders>
              <w:top w:val="single" w:sz="4" w:space="0" w:color="808080"/>
              <w:left w:val="single" w:sz="4" w:space="0" w:color="BFBFBF"/>
              <w:bottom w:val="single" w:sz="4" w:space="0" w:color="BFBFBF"/>
              <w:right w:val="single" w:sz="4" w:space="0" w:color="BFBFBF"/>
            </w:tcBorders>
            <w:vAlign w:val="center"/>
            <w:hideMark/>
          </w:tcPr>
          <w:p w14:paraId="460DBD53" w14:textId="77777777" w:rsidR="00F42A40" w:rsidRPr="008C1B89" w:rsidRDefault="00F42A40" w:rsidP="00F42A40">
            <w:pPr>
              <w:rPr>
                <w:rFonts w:eastAsia="Times New Roman" w:cs="Calibri"/>
                <w:color w:val="000000"/>
                <w:sz w:val="20"/>
                <w:szCs w:val="20"/>
                <w:lang w:eastAsia="en-AU"/>
              </w:rPr>
            </w:pPr>
          </w:p>
        </w:tc>
      </w:tr>
      <w:tr w:rsidR="00EE2A88" w:rsidRPr="008C1B89" w14:paraId="1750424C" w14:textId="77777777" w:rsidTr="008C1B89">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5E1D39D7" w14:textId="77777777" w:rsidR="00EE2A88" w:rsidRPr="008C1B89" w:rsidRDefault="00EE2A88" w:rsidP="00EE2A88">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Total net Landfill fac. (NEPM code N, T)</w:t>
            </w:r>
          </w:p>
        </w:tc>
        <w:tc>
          <w:tcPr>
            <w:tcW w:w="896" w:type="dxa"/>
            <w:tcBorders>
              <w:top w:val="nil"/>
              <w:left w:val="nil"/>
              <w:bottom w:val="single" w:sz="4" w:space="0" w:color="BFBFBF"/>
              <w:right w:val="nil"/>
            </w:tcBorders>
            <w:shd w:val="clear" w:color="000000" w:fill="C5D9F1"/>
            <w:noWrap/>
            <w:hideMark/>
          </w:tcPr>
          <w:p w14:paraId="2240C500" w14:textId="306A4491" w:rsidR="00EE2A88" w:rsidRPr="008C1B89" w:rsidRDefault="00EE2A88" w:rsidP="00EE2A88">
            <w:pPr>
              <w:jc w:val="right"/>
              <w:rPr>
                <w:rFonts w:eastAsia="Times New Roman" w:cs="Calibri"/>
                <w:color w:val="000000"/>
                <w:sz w:val="20"/>
                <w:szCs w:val="20"/>
                <w:lang w:eastAsia="en-AU"/>
              </w:rPr>
            </w:pPr>
            <w:r>
              <w:rPr>
                <w:color w:val="000000"/>
                <w:sz w:val="20"/>
                <w:szCs w:val="20"/>
              </w:rPr>
              <w:t>854,581</w:t>
            </w:r>
          </w:p>
        </w:tc>
        <w:tc>
          <w:tcPr>
            <w:tcW w:w="963" w:type="dxa"/>
            <w:tcBorders>
              <w:top w:val="nil"/>
              <w:left w:val="nil"/>
              <w:bottom w:val="nil"/>
              <w:right w:val="nil"/>
            </w:tcBorders>
            <w:shd w:val="clear" w:color="000000" w:fill="F2F2F2"/>
            <w:noWrap/>
            <w:hideMark/>
          </w:tcPr>
          <w:p w14:paraId="29D246F3" w14:textId="77D54597"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1036" w:type="dxa"/>
            <w:tcBorders>
              <w:top w:val="nil"/>
              <w:left w:val="nil"/>
              <w:bottom w:val="nil"/>
              <w:right w:val="nil"/>
            </w:tcBorders>
            <w:shd w:val="clear" w:color="000000" w:fill="F2F2F2"/>
            <w:noWrap/>
            <w:hideMark/>
          </w:tcPr>
          <w:p w14:paraId="02F8A9BA" w14:textId="4BDBA6AB"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971" w:type="dxa"/>
            <w:tcBorders>
              <w:top w:val="nil"/>
              <w:left w:val="nil"/>
              <w:bottom w:val="nil"/>
              <w:right w:val="nil"/>
            </w:tcBorders>
            <w:shd w:val="clear" w:color="000000" w:fill="F2F2F2"/>
            <w:noWrap/>
            <w:hideMark/>
          </w:tcPr>
          <w:p w14:paraId="1894090F" w14:textId="4495CEDB"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nil"/>
            </w:tcBorders>
            <w:shd w:val="clear" w:color="000000" w:fill="F2F2F2"/>
            <w:noWrap/>
            <w:hideMark/>
          </w:tcPr>
          <w:p w14:paraId="022C38AE" w14:textId="422D6E24"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nil"/>
            </w:tcBorders>
            <w:shd w:val="clear" w:color="000000" w:fill="F2F2F2"/>
            <w:noWrap/>
            <w:hideMark/>
          </w:tcPr>
          <w:p w14:paraId="7587267A" w14:textId="63E738F6"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nil"/>
            </w:tcBorders>
            <w:shd w:val="clear" w:color="000000" w:fill="F2F2F2"/>
            <w:noWrap/>
            <w:hideMark/>
          </w:tcPr>
          <w:p w14:paraId="5CDC0A29" w14:textId="3881260F"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5254" w:type="dxa"/>
            <w:tcBorders>
              <w:top w:val="nil"/>
              <w:left w:val="nil"/>
              <w:bottom w:val="nil"/>
              <w:right w:val="single" w:sz="4" w:space="0" w:color="BFBFBF"/>
            </w:tcBorders>
            <w:shd w:val="clear" w:color="000000" w:fill="F2F2F2"/>
            <w:noWrap/>
            <w:hideMark/>
          </w:tcPr>
          <w:p w14:paraId="007EB0C6" w14:textId="77777777" w:rsidR="00EE2A88" w:rsidRPr="008C1B89" w:rsidRDefault="00EE2A88" w:rsidP="00EE2A88">
            <w:pPr>
              <w:rPr>
                <w:rFonts w:eastAsia="Times New Roman" w:cs="Calibri"/>
                <w:color w:val="000000"/>
                <w:sz w:val="20"/>
                <w:szCs w:val="20"/>
                <w:lang w:eastAsia="en-AU"/>
              </w:rPr>
            </w:pPr>
            <w:r w:rsidRPr="008C1B89">
              <w:rPr>
                <w:rFonts w:eastAsia="Times New Roman" w:cs="Calibri"/>
                <w:color w:val="000000"/>
                <w:sz w:val="20"/>
                <w:szCs w:val="20"/>
                <w:lang w:eastAsia="en-AU"/>
              </w:rPr>
              <w:t> </w:t>
            </w:r>
          </w:p>
        </w:tc>
      </w:tr>
      <w:tr w:rsidR="00EE2A88" w:rsidRPr="008C1B89" w14:paraId="3E0307FF" w14:textId="77777777" w:rsidTr="008C1B89">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7D0C1115" w14:textId="77777777" w:rsidR="00EE2A88" w:rsidRPr="008C1B89" w:rsidRDefault="00EE2A88" w:rsidP="00EE2A88">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NEPM 12-13 net imp./exp. (kt)</w:t>
            </w:r>
          </w:p>
        </w:tc>
        <w:tc>
          <w:tcPr>
            <w:tcW w:w="896" w:type="dxa"/>
            <w:tcBorders>
              <w:top w:val="nil"/>
              <w:left w:val="nil"/>
              <w:bottom w:val="single" w:sz="4" w:space="0" w:color="BFBFBF"/>
              <w:right w:val="nil"/>
            </w:tcBorders>
            <w:shd w:val="clear" w:color="000000" w:fill="C5D9F1"/>
            <w:noWrap/>
            <w:hideMark/>
          </w:tcPr>
          <w:p w14:paraId="52F8562A" w14:textId="4D9DEE7B" w:rsidR="00EE2A88" w:rsidRPr="008C1B89" w:rsidRDefault="00EE2A88" w:rsidP="00EE2A88">
            <w:pPr>
              <w:jc w:val="right"/>
              <w:rPr>
                <w:rFonts w:eastAsia="Times New Roman" w:cs="Calibri"/>
                <w:color w:val="000000"/>
                <w:sz w:val="20"/>
                <w:szCs w:val="20"/>
                <w:lang w:eastAsia="en-AU"/>
              </w:rPr>
            </w:pPr>
            <w:r>
              <w:rPr>
                <w:color w:val="000000"/>
                <w:sz w:val="20"/>
                <w:szCs w:val="20"/>
              </w:rPr>
              <w:t>-70,722</w:t>
            </w:r>
          </w:p>
        </w:tc>
        <w:tc>
          <w:tcPr>
            <w:tcW w:w="963" w:type="dxa"/>
            <w:tcBorders>
              <w:top w:val="nil"/>
              <w:left w:val="nil"/>
              <w:bottom w:val="single" w:sz="4" w:space="0" w:color="BFBFBF"/>
              <w:right w:val="nil"/>
            </w:tcBorders>
            <w:shd w:val="clear" w:color="000000" w:fill="F2F2F2"/>
            <w:noWrap/>
            <w:hideMark/>
          </w:tcPr>
          <w:p w14:paraId="1C0E7156" w14:textId="3ED2C724" w:rsidR="00EE2A88" w:rsidRPr="008C1B89" w:rsidRDefault="00EE2A88" w:rsidP="00EE2A88">
            <w:pPr>
              <w:rPr>
                <w:rFonts w:eastAsia="Times New Roman" w:cs="Calibri"/>
                <w:color w:val="000000"/>
                <w:sz w:val="20"/>
                <w:szCs w:val="20"/>
                <w:lang w:eastAsia="en-AU"/>
              </w:rPr>
            </w:pPr>
            <w:r>
              <w:rPr>
                <w:color w:val="000000"/>
                <w:sz w:val="20"/>
                <w:szCs w:val="20"/>
              </w:rPr>
              <w:t>(import)</w:t>
            </w:r>
          </w:p>
        </w:tc>
        <w:tc>
          <w:tcPr>
            <w:tcW w:w="1036" w:type="dxa"/>
            <w:tcBorders>
              <w:top w:val="nil"/>
              <w:left w:val="nil"/>
              <w:bottom w:val="single" w:sz="4" w:space="0" w:color="BFBFBF"/>
              <w:right w:val="nil"/>
            </w:tcBorders>
            <w:shd w:val="clear" w:color="000000" w:fill="F2F2F2"/>
            <w:noWrap/>
            <w:hideMark/>
          </w:tcPr>
          <w:p w14:paraId="711EAF2E" w14:textId="372E7D7B"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971" w:type="dxa"/>
            <w:tcBorders>
              <w:top w:val="nil"/>
              <w:left w:val="nil"/>
              <w:bottom w:val="single" w:sz="4" w:space="0" w:color="BFBFBF"/>
              <w:right w:val="nil"/>
            </w:tcBorders>
            <w:shd w:val="clear" w:color="000000" w:fill="F2F2F2"/>
            <w:noWrap/>
            <w:hideMark/>
          </w:tcPr>
          <w:p w14:paraId="413367BB" w14:textId="0D90A384"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nil"/>
            </w:tcBorders>
            <w:shd w:val="clear" w:color="000000" w:fill="F2F2F2"/>
            <w:noWrap/>
            <w:hideMark/>
          </w:tcPr>
          <w:p w14:paraId="6C1F39B0" w14:textId="00DDAB8A"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nil"/>
            </w:tcBorders>
            <w:shd w:val="clear" w:color="000000" w:fill="F2F2F2"/>
            <w:noWrap/>
            <w:hideMark/>
          </w:tcPr>
          <w:p w14:paraId="04F4FD17" w14:textId="530A8388"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nil"/>
            </w:tcBorders>
            <w:shd w:val="clear" w:color="000000" w:fill="F2F2F2"/>
            <w:noWrap/>
            <w:hideMark/>
          </w:tcPr>
          <w:p w14:paraId="459E216A" w14:textId="5564CD4D"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5254" w:type="dxa"/>
            <w:tcBorders>
              <w:top w:val="nil"/>
              <w:left w:val="nil"/>
              <w:bottom w:val="single" w:sz="4" w:space="0" w:color="BFBFBF"/>
              <w:right w:val="single" w:sz="4" w:space="0" w:color="BFBFBF"/>
            </w:tcBorders>
            <w:shd w:val="clear" w:color="000000" w:fill="F2F2F2"/>
            <w:noWrap/>
            <w:hideMark/>
          </w:tcPr>
          <w:p w14:paraId="5E74B2FA" w14:textId="77777777" w:rsidR="00EE2A88" w:rsidRPr="008C1B89" w:rsidRDefault="00EE2A88" w:rsidP="00EE2A88">
            <w:pPr>
              <w:rPr>
                <w:rFonts w:eastAsia="Times New Roman" w:cs="Calibri"/>
                <w:color w:val="000000"/>
                <w:sz w:val="20"/>
                <w:szCs w:val="20"/>
                <w:lang w:eastAsia="en-AU"/>
              </w:rPr>
            </w:pPr>
            <w:r w:rsidRPr="008C1B89">
              <w:rPr>
                <w:rFonts w:eastAsia="Times New Roman" w:cs="Calibri"/>
                <w:color w:val="000000"/>
                <w:sz w:val="20"/>
                <w:szCs w:val="20"/>
                <w:lang w:eastAsia="en-AU"/>
              </w:rPr>
              <w:t> </w:t>
            </w:r>
          </w:p>
        </w:tc>
      </w:tr>
    </w:tbl>
    <w:p w14:paraId="0E292C27" w14:textId="04269E1E" w:rsidR="00B37084" w:rsidRPr="00100F0A" w:rsidRDefault="00B37084" w:rsidP="0095119F">
      <w:pPr>
        <w:pStyle w:val="Caption"/>
      </w:pPr>
      <w:bookmarkStart w:id="425" w:name="_Ref421054015"/>
      <w:bookmarkStart w:id="426" w:name="_Toc425849348"/>
      <w:bookmarkStart w:id="427" w:name="_Toc13225675"/>
      <w:r w:rsidRPr="00100F0A">
        <w:t xml:space="preserve">Table </w:t>
      </w:r>
      <w:r w:rsidR="002F2488">
        <w:rPr>
          <w:noProof/>
        </w:rPr>
        <w:fldChar w:fldCharType="begin"/>
      </w:r>
      <w:r w:rsidR="002F2488">
        <w:rPr>
          <w:noProof/>
        </w:rPr>
        <w:instrText xml:space="preserve"> SEQ Table \* ARABIC </w:instrText>
      </w:r>
      <w:r w:rsidR="002F2488">
        <w:rPr>
          <w:noProof/>
        </w:rPr>
        <w:fldChar w:fldCharType="separate"/>
      </w:r>
      <w:r w:rsidR="00EB634D">
        <w:rPr>
          <w:noProof/>
        </w:rPr>
        <w:t>56</w:t>
      </w:r>
      <w:r w:rsidR="002F2488">
        <w:rPr>
          <w:noProof/>
        </w:rPr>
        <w:fldChar w:fldCharType="end"/>
      </w:r>
      <w:bookmarkEnd w:id="425"/>
      <w:r w:rsidR="00D11FEE" w:rsidRPr="00100F0A">
        <w:tab/>
      </w:r>
      <w:r w:rsidRPr="00100F0A">
        <w:t>SA assessment of projected arisings vs</w:t>
      </w:r>
      <w:r w:rsidR="003E1544">
        <w:t xml:space="preserve"> </w:t>
      </w:r>
      <w:r w:rsidRPr="00100F0A">
        <w:t>infrastructure capacity</w:t>
      </w:r>
      <w:bookmarkEnd w:id="426"/>
      <w:bookmarkEnd w:id="427"/>
    </w:p>
    <w:tbl>
      <w:tblPr>
        <w:tblW w:w="14170" w:type="dxa"/>
        <w:tblLayout w:type="fixed"/>
        <w:tblLook w:val="04A0" w:firstRow="1" w:lastRow="0" w:firstColumn="1" w:lastColumn="0" w:noHBand="0" w:noVBand="1"/>
      </w:tblPr>
      <w:tblGrid>
        <w:gridCol w:w="2830"/>
        <w:gridCol w:w="956"/>
        <w:gridCol w:w="966"/>
        <w:gridCol w:w="1040"/>
        <w:gridCol w:w="974"/>
        <w:gridCol w:w="740"/>
        <w:gridCol w:w="740"/>
        <w:gridCol w:w="740"/>
        <w:gridCol w:w="5184"/>
      </w:tblGrid>
      <w:tr w:rsidR="008C1B89" w:rsidRPr="008C1B89" w14:paraId="52F14810" w14:textId="77777777" w:rsidTr="008C1B89">
        <w:trPr>
          <w:trHeight w:val="1020"/>
          <w:tblHeader/>
        </w:trPr>
        <w:tc>
          <w:tcPr>
            <w:tcW w:w="2830" w:type="dxa"/>
            <w:tcBorders>
              <w:top w:val="single" w:sz="4" w:space="0" w:color="BFBFBF"/>
              <w:left w:val="single" w:sz="4" w:space="0" w:color="BFBFBF"/>
              <w:bottom w:val="nil"/>
              <w:right w:val="nil"/>
            </w:tcBorders>
            <w:shd w:val="clear" w:color="000000" w:fill="C5D9F1"/>
            <w:vAlign w:val="center"/>
            <w:hideMark/>
          </w:tcPr>
          <w:p w14:paraId="535B52DF" w14:textId="77777777" w:rsidR="008C1B89" w:rsidRPr="008C1B89" w:rsidRDefault="008C1B89" w:rsidP="008C1B89">
            <w:pPr>
              <w:jc w:val="center"/>
              <w:rPr>
                <w:rFonts w:eastAsia="Times New Roman" w:cs="Calibri"/>
                <w:b/>
                <w:bCs/>
                <w:color w:val="000000"/>
                <w:sz w:val="20"/>
                <w:szCs w:val="20"/>
                <w:lang w:eastAsia="en-AU"/>
              </w:rPr>
            </w:pPr>
            <w:bookmarkStart w:id="428" w:name="_Toc425849349"/>
            <w:r w:rsidRPr="008C1B89">
              <w:rPr>
                <w:rFonts w:eastAsia="Times New Roman" w:cs="Calibri"/>
                <w:b/>
                <w:bCs/>
                <w:color w:val="000000"/>
                <w:sz w:val="20"/>
                <w:szCs w:val="20"/>
                <w:lang w:eastAsia="en-AU"/>
              </w:rPr>
              <w:t>Infrastructure group</w:t>
            </w:r>
          </w:p>
        </w:tc>
        <w:tc>
          <w:tcPr>
            <w:tcW w:w="956" w:type="dxa"/>
            <w:tcBorders>
              <w:top w:val="single" w:sz="4" w:space="0" w:color="BFBFBF"/>
              <w:left w:val="single" w:sz="4" w:space="0" w:color="BFBFBF"/>
              <w:bottom w:val="nil"/>
              <w:right w:val="nil"/>
            </w:tcBorders>
            <w:shd w:val="clear" w:color="000000" w:fill="C5D9F1"/>
            <w:hideMark/>
          </w:tcPr>
          <w:p w14:paraId="718728B3"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16-17 arisings</w:t>
            </w:r>
            <w:r w:rsidRPr="008C1B89">
              <w:rPr>
                <w:rFonts w:eastAsia="Times New Roman" w:cs="Calibri"/>
                <w:b/>
                <w:bCs/>
                <w:color w:val="000000"/>
                <w:sz w:val="20"/>
                <w:szCs w:val="20"/>
                <w:lang w:eastAsia="en-AU"/>
              </w:rPr>
              <w:br/>
              <w:t>(t/yr)</w:t>
            </w:r>
          </w:p>
        </w:tc>
        <w:tc>
          <w:tcPr>
            <w:tcW w:w="966" w:type="dxa"/>
            <w:tcBorders>
              <w:top w:val="single" w:sz="4" w:space="0" w:color="BFBFBF"/>
              <w:left w:val="nil"/>
              <w:bottom w:val="nil"/>
              <w:right w:val="nil"/>
            </w:tcBorders>
            <w:shd w:val="clear" w:color="000000" w:fill="C5D9F1"/>
            <w:hideMark/>
          </w:tcPr>
          <w:p w14:paraId="6931463F"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Installed capacity</w:t>
            </w:r>
            <w:r w:rsidRPr="008C1B89">
              <w:rPr>
                <w:rFonts w:eastAsia="Times New Roman" w:cs="Calibri"/>
                <w:b/>
                <w:bCs/>
                <w:color w:val="000000"/>
                <w:sz w:val="20"/>
                <w:szCs w:val="20"/>
                <w:lang w:eastAsia="en-AU"/>
              </w:rPr>
              <w:br/>
              <w:t>(t/yr)</w:t>
            </w:r>
          </w:p>
        </w:tc>
        <w:tc>
          <w:tcPr>
            <w:tcW w:w="1040" w:type="dxa"/>
            <w:tcBorders>
              <w:top w:val="single" w:sz="4" w:space="0" w:color="BFBFBF"/>
              <w:left w:val="nil"/>
              <w:bottom w:val="nil"/>
              <w:right w:val="nil"/>
            </w:tcBorders>
            <w:shd w:val="clear" w:color="000000" w:fill="C5D9F1"/>
            <w:hideMark/>
          </w:tcPr>
          <w:p w14:paraId="2260DC65"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Expected capacity change</w:t>
            </w:r>
            <w:r w:rsidRPr="008C1B89">
              <w:rPr>
                <w:rFonts w:eastAsia="Times New Roman" w:cs="Calibri"/>
                <w:b/>
                <w:bCs/>
                <w:color w:val="000000"/>
                <w:sz w:val="20"/>
                <w:szCs w:val="20"/>
                <w:lang w:eastAsia="en-AU"/>
              </w:rPr>
              <w:br/>
              <w:t>(t/yr)</w:t>
            </w:r>
          </w:p>
        </w:tc>
        <w:tc>
          <w:tcPr>
            <w:tcW w:w="974" w:type="dxa"/>
            <w:tcBorders>
              <w:top w:val="single" w:sz="4" w:space="0" w:color="BFBFBF"/>
              <w:left w:val="nil"/>
              <w:bottom w:val="nil"/>
              <w:right w:val="single" w:sz="4" w:space="0" w:color="BFBFBF"/>
            </w:tcBorders>
            <w:shd w:val="clear" w:color="000000" w:fill="C5D9F1"/>
            <w:hideMark/>
          </w:tcPr>
          <w:p w14:paraId="78F3CBAE"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Capacity data quality</w:t>
            </w:r>
            <w:r w:rsidRPr="008C1B89">
              <w:rPr>
                <w:rFonts w:eastAsia="Times New Roman" w:cs="Calibri"/>
                <w:b/>
                <w:bCs/>
                <w:color w:val="000000"/>
                <w:sz w:val="20"/>
                <w:szCs w:val="20"/>
                <w:lang w:eastAsia="en-AU"/>
              </w:rPr>
              <w:br/>
              <w:t>Good, ok, poor</w:t>
            </w:r>
          </w:p>
        </w:tc>
        <w:tc>
          <w:tcPr>
            <w:tcW w:w="2220" w:type="dxa"/>
            <w:gridSpan w:val="3"/>
            <w:tcBorders>
              <w:top w:val="single" w:sz="4" w:space="0" w:color="BFBFBF"/>
              <w:left w:val="nil"/>
              <w:bottom w:val="nil"/>
              <w:right w:val="single" w:sz="4" w:space="0" w:color="BFBFBF"/>
            </w:tcBorders>
            <w:shd w:val="clear" w:color="000000" w:fill="C5D9F1"/>
            <w:hideMark/>
          </w:tcPr>
          <w:p w14:paraId="3BD9CCDE" w14:textId="3E85228F"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Est. year arisings &gt; capacity</w:t>
            </w:r>
            <w:r w:rsidRPr="008C1B89">
              <w:rPr>
                <w:rFonts w:eastAsia="Times New Roman" w:cs="Calibri"/>
                <w:b/>
                <w:bCs/>
                <w:color w:val="000000"/>
                <w:sz w:val="20"/>
                <w:szCs w:val="20"/>
                <w:lang w:eastAsia="en-AU"/>
              </w:rPr>
              <w:br/>
              <w:t xml:space="preserve">Best     </w:t>
            </w:r>
            <w:r>
              <w:rPr>
                <w:rFonts w:eastAsia="Times New Roman" w:cs="Calibri"/>
                <w:b/>
                <w:bCs/>
                <w:color w:val="000000"/>
                <w:sz w:val="20"/>
                <w:szCs w:val="20"/>
                <w:lang w:eastAsia="en-AU"/>
              </w:rPr>
              <w:t xml:space="preserve"> </w:t>
            </w:r>
            <w:r w:rsidRPr="008C1B89">
              <w:rPr>
                <w:rFonts w:eastAsia="Times New Roman" w:cs="Calibri"/>
                <w:b/>
                <w:bCs/>
                <w:color w:val="000000"/>
                <w:sz w:val="20"/>
                <w:szCs w:val="20"/>
                <w:lang w:eastAsia="en-AU"/>
              </w:rPr>
              <w:t xml:space="preserve">  High        Low</w:t>
            </w:r>
          </w:p>
        </w:tc>
        <w:tc>
          <w:tcPr>
            <w:tcW w:w="5184" w:type="dxa"/>
            <w:tcBorders>
              <w:top w:val="single" w:sz="4" w:space="0" w:color="BFBFBF"/>
              <w:left w:val="nil"/>
              <w:bottom w:val="nil"/>
              <w:right w:val="single" w:sz="4" w:space="0" w:color="BFBFBF"/>
            </w:tcBorders>
            <w:shd w:val="clear" w:color="000000" w:fill="C5D9F1"/>
            <w:hideMark/>
          </w:tcPr>
          <w:p w14:paraId="2D9547D3"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Assessment discussion and recommendations</w:t>
            </w:r>
          </w:p>
        </w:tc>
      </w:tr>
      <w:tr w:rsidR="00763475" w:rsidRPr="008C1B89" w14:paraId="6AA7B034" w14:textId="77777777" w:rsidTr="008C1B89">
        <w:trPr>
          <w:trHeight w:val="255"/>
        </w:trPr>
        <w:tc>
          <w:tcPr>
            <w:tcW w:w="2830" w:type="dxa"/>
            <w:tcBorders>
              <w:top w:val="single" w:sz="4" w:space="0" w:color="808080"/>
              <w:left w:val="single" w:sz="4" w:space="0" w:color="BFBFBF"/>
              <w:bottom w:val="single" w:sz="4" w:space="0" w:color="BFBFBF"/>
              <w:right w:val="nil"/>
            </w:tcBorders>
            <w:shd w:val="clear" w:color="000000" w:fill="C5D9F1"/>
            <w:noWrap/>
            <w:vAlign w:val="bottom"/>
            <w:hideMark/>
          </w:tcPr>
          <w:p w14:paraId="0D66628F" w14:textId="77777777" w:rsidR="00763475" w:rsidRPr="008C1B89" w:rsidRDefault="00763475" w:rsidP="00763475">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Recycling and energy recovery</w:t>
            </w:r>
          </w:p>
        </w:tc>
        <w:tc>
          <w:tcPr>
            <w:tcW w:w="956" w:type="dxa"/>
            <w:tcBorders>
              <w:top w:val="single" w:sz="4" w:space="0" w:color="808080"/>
              <w:left w:val="nil"/>
              <w:bottom w:val="single" w:sz="4" w:space="0" w:color="BFBFBF"/>
              <w:right w:val="nil"/>
            </w:tcBorders>
            <w:shd w:val="clear" w:color="000000" w:fill="C5D9F1"/>
            <w:noWrap/>
            <w:vAlign w:val="bottom"/>
            <w:hideMark/>
          </w:tcPr>
          <w:p w14:paraId="2BDFCC23" w14:textId="77777777" w:rsidR="00763475" w:rsidRPr="008C1B89" w:rsidRDefault="00763475" w:rsidP="00763475">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966" w:type="dxa"/>
            <w:tcBorders>
              <w:top w:val="single" w:sz="4" w:space="0" w:color="808080"/>
              <w:left w:val="nil"/>
              <w:bottom w:val="single" w:sz="4" w:space="0" w:color="BFBFBF"/>
              <w:right w:val="nil"/>
            </w:tcBorders>
            <w:shd w:val="clear" w:color="000000" w:fill="C5D9F1"/>
            <w:noWrap/>
            <w:vAlign w:val="bottom"/>
            <w:hideMark/>
          </w:tcPr>
          <w:p w14:paraId="43A7196E" w14:textId="77777777" w:rsidR="00763475" w:rsidRPr="008C1B89" w:rsidRDefault="00763475" w:rsidP="00763475">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1040" w:type="dxa"/>
            <w:tcBorders>
              <w:top w:val="single" w:sz="4" w:space="0" w:color="808080"/>
              <w:left w:val="nil"/>
              <w:bottom w:val="single" w:sz="4" w:space="0" w:color="BFBFBF"/>
              <w:right w:val="nil"/>
            </w:tcBorders>
            <w:shd w:val="clear" w:color="000000" w:fill="C5D9F1"/>
            <w:noWrap/>
            <w:vAlign w:val="bottom"/>
            <w:hideMark/>
          </w:tcPr>
          <w:p w14:paraId="7C876C12" w14:textId="77777777" w:rsidR="00763475" w:rsidRPr="008C1B89" w:rsidRDefault="00763475" w:rsidP="00763475">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974" w:type="dxa"/>
            <w:tcBorders>
              <w:top w:val="single" w:sz="4" w:space="0" w:color="808080"/>
              <w:left w:val="nil"/>
              <w:bottom w:val="single" w:sz="4" w:space="0" w:color="BFBFBF"/>
              <w:right w:val="nil"/>
            </w:tcBorders>
            <w:shd w:val="clear" w:color="000000" w:fill="C5D9F1"/>
            <w:noWrap/>
            <w:vAlign w:val="bottom"/>
            <w:hideMark/>
          </w:tcPr>
          <w:p w14:paraId="7249E9F1" w14:textId="77777777" w:rsidR="00763475" w:rsidRPr="008C1B89" w:rsidRDefault="00763475" w:rsidP="00763475">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740" w:type="dxa"/>
            <w:tcBorders>
              <w:top w:val="single" w:sz="4" w:space="0" w:color="808080"/>
              <w:left w:val="nil"/>
              <w:bottom w:val="single" w:sz="4" w:space="0" w:color="BFBFBF"/>
              <w:right w:val="nil"/>
            </w:tcBorders>
            <w:shd w:val="clear" w:color="000000" w:fill="C5D9F1"/>
            <w:noWrap/>
            <w:vAlign w:val="bottom"/>
            <w:hideMark/>
          </w:tcPr>
          <w:p w14:paraId="18A0C90D" w14:textId="77777777" w:rsidR="00763475" w:rsidRPr="008C1B89" w:rsidRDefault="00763475" w:rsidP="00763475">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740" w:type="dxa"/>
            <w:tcBorders>
              <w:top w:val="single" w:sz="4" w:space="0" w:color="808080"/>
              <w:left w:val="nil"/>
              <w:bottom w:val="single" w:sz="4" w:space="0" w:color="BFBFBF"/>
              <w:right w:val="nil"/>
            </w:tcBorders>
            <w:shd w:val="clear" w:color="000000" w:fill="C5D9F1"/>
            <w:noWrap/>
            <w:vAlign w:val="bottom"/>
            <w:hideMark/>
          </w:tcPr>
          <w:p w14:paraId="6B4DACFF" w14:textId="77777777" w:rsidR="00763475" w:rsidRPr="008C1B89" w:rsidRDefault="00763475" w:rsidP="00763475">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740" w:type="dxa"/>
            <w:tcBorders>
              <w:top w:val="single" w:sz="4" w:space="0" w:color="808080"/>
              <w:left w:val="nil"/>
              <w:bottom w:val="single" w:sz="4" w:space="0" w:color="BFBFBF"/>
              <w:right w:val="single" w:sz="4" w:space="0" w:color="BFBFBF"/>
            </w:tcBorders>
            <w:shd w:val="clear" w:color="000000" w:fill="C5D9F1"/>
            <w:noWrap/>
            <w:vAlign w:val="bottom"/>
            <w:hideMark/>
          </w:tcPr>
          <w:p w14:paraId="1DF29219" w14:textId="77777777" w:rsidR="00763475" w:rsidRPr="008C1B89" w:rsidRDefault="00763475" w:rsidP="00763475">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5184" w:type="dxa"/>
            <w:vMerge w:val="restart"/>
            <w:tcBorders>
              <w:top w:val="single" w:sz="4" w:space="0" w:color="808080"/>
              <w:left w:val="single" w:sz="4" w:space="0" w:color="BFBFBF"/>
              <w:bottom w:val="single" w:sz="4" w:space="0" w:color="BFBFBF"/>
              <w:right w:val="single" w:sz="4" w:space="0" w:color="BFBFBF"/>
            </w:tcBorders>
            <w:shd w:val="clear" w:color="000000" w:fill="FFFFFF"/>
            <w:hideMark/>
          </w:tcPr>
          <w:p w14:paraId="7DDB8C70" w14:textId="4D6D7F03" w:rsidR="00763475" w:rsidRPr="008C1B89" w:rsidRDefault="00763475" w:rsidP="00763475">
            <w:pPr>
              <w:rPr>
                <w:rFonts w:eastAsia="Times New Roman" w:cs="Calibri"/>
                <w:b/>
                <w:bCs/>
                <w:color w:val="000000"/>
                <w:sz w:val="20"/>
                <w:szCs w:val="20"/>
                <w:lang w:eastAsia="en-AU"/>
              </w:rPr>
            </w:pPr>
            <w:r w:rsidRPr="00100F0A">
              <w:rPr>
                <w:rFonts w:asciiTheme="minorHAnsi" w:eastAsia="Times New Roman" w:hAnsiTheme="minorHAnsi" w:cstheme="minorHAnsi"/>
                <w:b/>
                <w:bCs/>
                <w:color w:val="000000"/>
                <w:sz w:val="20"/>
                <w:szCs w:val="20"/>
                <w:lang w:eastAsia="en-AU"/>
              </w:rPr>
              <w:t>Recycling and energy recovery</w:t>
            </w:r>
            <w:r w:rsidRPr="00100F0A">
              <w:rPr>
                <w:rFonts w:asciiTheme="minorHAnsi" w:eastAsia="Times New Roman" w:hAnsiTheme="minorHAnsi" w:cstheme="minorHAnsi"/>
                <w:b/>
                <w:bCs/>
                <w:color w:val="000000"/>
                <w:sz w:val="20"/>
                <w:szCs w:val="20"/>
                <w:lang w:eastAsia="en-AU"/>
              </w:rPr>
              <w:br/>
            </w:r>
            <w:r w:rsidRPr="00100F0A">
              <w:rPr>
                <w:rFonts w:asciiTheme="minorHAnsi" w:eastAsia="Times New Roman" w:hAnsiTheme="minorHAnsi" w:cstheme="minorHAnsi"/>
                <w:color w:val="000000"/>
                <w:sz w:val="20"/>
                <w:szCs w:val="20"/>
                <w:lang w:eastAsia="en-AU"/>
              </w:rPr>
              <w:t xml:space="preserve">- Hazwaste packaging, oil re-refining, e-waste, mercury, EOLT recycling capacity is likely to be sufficient over the projection period. </w:t>
            </w:r>
            <w:r w:rsidRPr="00100F0A">
              <w:rPr>
                <w:rFonts w:asciiTheme="minorHAnsi" w:eastAsia="Times New Roman" w:hAnsiTheme="minorHAnsi" w:cstheme="minorHAnsi"/>
                <w:color w:val="000000"/>
                <w:sz w:val="20"/>
                <w:szCs w:val="20"/>
                <w:lang w:eastAsia="en-AU"/>
              </w:rPr>
              <w:br/>
              <w:t>- Lead acid batteries, solvent wastes are likely being sent interstate for recycling. It is unclear if Nyrstar lead smelter is able to process lead acid batteries currently.</w:t>
            </w:r>
            <w:r w:rsidRPr="00100F0A">
              <w:rPr>
                <w:rFonts w:asciiTheme="minorHAnsi" w:eastAsia="Times New Roman" w:hAnsiTheme="minorHAnsi" w:cstheme="minorHAnsi"/>
                <w:color w:val="000000"/>
                <w:sz w:val="20"/>
                <w:szCs w:val="20"/>
                <w:lang w:eastAsia="en-AU"/>
              </w:rPr>
              <w:br/>
              <w:t xml:space="preserve">- SPL would not be generated in SA (this is likely inorganic </w:t>
            </w:r>
            <w:r>
              <w:rPr>
                <w:rFonts w:asciiTheme="minorHAnsi" w:eastAsia="Times New Roman" w:hAnsiTheme="minorHAnsi" w:cstheme="minorHAnsi"/>
                <w:color w:val="000000"/>
                <w:sz w:val="20"/>
                <w:szCs w:val="20"/>
                <w:lang w:eastAsia="en-AU"/>
              </w:rPr>
              <w:t>f</w:t>
            </w:r>
            <w:r w:rsidRPr="00100F0A">
              <w:rPr>
                <w:rFonts w:asciiTheme="minorHAnsi" w:eastAsia="Times New Roman" w:hAnsiTheme="minorHAnsi" w:cstheme="minorHAnsi"/>
                <w:color w:val="000000"/>
                <w:sz w:val="20"/>
                <w:szCs w:val="20"/>
                <w:lang w:eastAsia="en-AU"/>
              </w:rPr>
              <w:t>l</w:t>
            </w:r>
            <w:r>
              <w:rPr>
                <w:rFonts w:asciiTheme="minorHAnsi" w:eastAsia="Times New Roman" w:hAnsiTheme="minorHAnsi" w:cstheme="minorHAnsi"/>
                <w:color w:val="000000"/>
                <w:sz w:val="20"/>
                <w:szCs w:val="20"/>
                <w:lang w:eastAsia="en-AU"/>
              </w:rPr>
              <w:t>u</w:t>
            </w:r>
            <w:r w:rsidRPr="00100F0A">
              <w:rPr>
                <w:rFonts w:asciiTheme="minorHAnsi" w:eastAsia="Times New Roman" w:hAnsiTheme="minorHAnsi" w:cstheme="minorHAnsi"/>
                <w:color w:val="000000"/>
                <w:sz w:val="20"/>
                <w:szCs w:val="20"/>
                <w:lang w:eastAsia="en-AU"/>
              </w:rPr>
              <w:t xml:space="preserve">orine waste from another source, not SPL). </w:t>
            </w:r>
            <w:r w:rsidRPr="00100F0A">
              <w:rPr>
                <w:rFonts w:asciiTheme="minorHAnsi" w:eastAsia="Times New Roman" w:hAnsiTheme="minorHAnsi" w:cstheme="minorHAnsi"/>
                <w:color w:val="000000"/>
                <w:sz w:val="20"/>
                <w:szCs w:val="20"/>
                <w:lang w:eastAsia="en-AU"/>
              </w:rPr>
              <w:br/>
              <w:t xml:space="preserve">- Solvents/paints infrastructure capacity may be missing from the database or capacity is provided by SA's CPT or energy recovery facilities. NEPM 2016-17 data indicates SA is a net importer of solvents/paints wastes. </w:t>
            </w:r>
            <w:r w:rsidRPr="00100F0A">
              <w:rPr>
                <w:rFonts w:asciiTheme="minorHAnsi" w:eastAsia="Times New Roman" w:hAnsiTheme="minorHAnsi" w:cstheme="minorHAnsi"/>
                <w:color w:val="000000"/>
                <w:sz w:val="20"/>
                <w:szCs w:val="20"/>
                <w:lang w:eastAsia="en-AU"/>
              </w:rPr>
              <w:br/>
              <w:t>- Organics processing infrastructure capacity is incomplete as it excludes composting facilities</w:t>
            </w:r>
            <w:r w:rsidRPr="00100F0A">
              <w:rPr>
                <w:rFonts w:asciiTheme="minorHAnsi" w:eastAsia="Times New Roman" w:hAnsiTheme="minorHAnsi" w:cstheme="minorHAnsi"/>
                <w:b/>
                <w:bCs/>
                <w:color w:val="000000"/>
                <w:sz w:val="20"/>
                <w:szCs w:val="20"/>
                <w:lang w:eastAsia="en-AU"/>
              </w:rPr>
              <w:t>.</w:t>
            </w:r>
            <w:r w:rsidRPr="00100F0A">
              <w:rPr>
                <w:rFonts w:asciiTheme="minorHAnsi" w:eastAsia="Times New Roman" w:hAnsiTheme="minorHAnsi" w:cstheme="minorHAnsi"/>
                <w:b/>
                <w:bCs/>
                <w:color w:val="000000"/>
                <w:sz w:val="20"/>
                <w:szCs w:val="20"/>
                <w:lang w:eastAsia="en-AU"/>
              </w:rPr>
              <w:br/>
            </w:r>
            <w:r w:rsidRPr="00100F0A">
              <w:rPr>
                <w:rFonts w:asciiTheme="minorHAnsi" w:eastAsia="Times New Roman" w:hAnsiTheme="minorHAnsi" w:cstheme="minorHAnsi"/>
                <w:b/>
                <w:bCs/>
                <w:color w:val="000000"/>
                <w:sz w:val="20"/>
                <w:szCs w:val="20"/>
                <w:lang w:eastAsia="en-AU"/>
              </w:rPr>
              <w:br/>
              <w:t>Treatment</w:t>
            </w:r>
            <w:r w:rsidRPr="00100F0A">
              <w:rPr>
                <w:rFonts w:asciiTheme="minorHAnsi" w:eastAsia="Times New Roman" w:hAnsiTheme="minorHAnsi" w:cstheme="minorHAnsi"/>
                <w:b/>
                <w:bCs/>
                <w:color w:val="000000"/>
                <w:sz w:val="20"/>
                <w:szCs w:val="20"/>
                <w:lang w:eastAsia="en-AU"/>
              </w:rPr>
              <w:br/>
            </w:r>
            <w:r w:rsidRPr="00100F0A">
              <w:rPr>
                <w:rFonts w:asciiTheme="minorHAnsi" w:eastAsia="Times New Roman" w:hAnsiTheme="minorHAnsi" w:cstheme="minorHAnsi"/>
                <w:color w:val="000000"/>
                <w:sz w:val="20"/>
                <w:szCs w:val="20"/>
                <w:lang w:eastAsia="en-AU"/>
              </w:rPr>
              <w:t>- CPT, clinical waste and OWT capacity appear to be sufficient to manage arisings over the projection period.</w:t>
            </w:r>
            <w:r w:rsidRPr="00100F0A">
              <w:rPr>
                <w:rFonts w:asciiTheme="minorHAnsi" w:eastAsia="Times New Roman" w:hAnsiTheme="minorHAnsi" w:cstheme="minorHAnsi"/>
                <w:color w:val="000000"/>
                <w:sz w:val="20"/>
                <w:szCs w:val="20"/>
                <w:lang w:eastAsia="en-AU"/>
              </w:rPr>
              <w:br/>
              <w:t xml:space="preserve">- Soil treatment facility capacity in SA appears to be insufficient currently and into the future and additional soil treatment capacity may be required, unless the soils are to be transported to sites in </w:t>
            </w:r>
            <w:r>
              <w:rPr>
                <w:rFonts w:asciiTheme="minorHAnsi" w:eastAsia="Times New Roman" w:hAnsiTheme="minorHAnsi" w:cstheme="minorHAnsi"/>
                <w:color w:val="000000"/>
                <w:sz w:val="20"/>
                <w:szCs w:val="20"/>
                <w:lang w:eastAsia="en-AU"/>
              </w:rPr>
              <w:t>Vic</w:t>
            </w:r>
            <w:r w:rsidRPr="00100F0A">
              <w:rPr>
                <w:rFonts w:asciiTheme="minorHAnsi" w:eastAsia="Times New Roman" w:hAnsiTheme="minorHAnsi" w:cstheme="minorHAnsi"/>
                <w:color w:val="000000"/>
                <w:sz w:val="20"/>
                <w:szCs w:val="20"/>
                <w:lang w:eastAsia="en-AU"/>
              </w:rPr>
              <w:t xml:space="preserve"> (approval required). </w:t>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b/>
                <w:bCs/>
                <w:color w:val="000000"/>
                <w:sz w:val="20"/>
                <w:szCs w:val="20"/>
                <w:lang w:eastAsia="en-AU"/>
              </w:rPr>
              <w:br/>
              <w:t>Disposal (landfill and thermal destruction)</w:t>
            </w:r>
            <w:r w:rsidRPr="00100F0A">
              <w:rPr>
                <w:rFonts w:asciiTheme="minorHAnsi" w:eastAsia="Times New Roman" w:hAnsiTheme="minorHAnsi" w:cstheme="minorHAnsi"/>
                <w:b/>
                <w:bCs/>
                <w:color w:val="000000"/>
                <w:sz w:val="20"/>
                <w:szCs w:val="20"/>
                <w:lang w:eastAsia="en-AU"/>
              </w:rPr>
              <w:br/>
            </w:r>
            <w:r w:rsidRPr="00100F0A">
              <w:rPr>
                <w:rFonts w:asciiTheme="minorHAnsi" w:eastAsia="Times New Roman" w:hAnsiTheme="minorHAnsi" w:cstheme="minorHAnsi"/>
                <w:color w:val="000000"/>
                <w:sz w:val="20"/>
                <w:szCs w:val="20"/>
                <w:lang w:eastAsia="en-AU"/>
              </w:rPr>
              <w:t>- No Hazwaste landfill fac. capacity was included in the capacity database for SA. The landfills listed were only listed as receiving NEPM code N wastes. It is not clear which SA landfills would receive the 42 kt of waste this assessment has mapped to hazardous waste landfills.</w:t>
            </w:r>
            <w:r w:rsidRPr="00100F0A">
              <w:rPr>
                <w:rFonts w:asciiTheme="minorHAnsi" w:eastAsia="Times New Roman" w:hAnsiTheme="minorHAnsi" w:cstheme="minorHAnsi"/>
                <w:color w:val="000000"/>
                <w:sz w:val="20"/>
                <w:szCs w:val="20"/>
                <w:lang w:eastAsia="en-AU"/>
              </w:rPr>
              <w:br/>
              <w:t xml:space="preserve">- Clinical TD capacity appears to be currently constrained. In 2015, industry commented that there </w:t>
            </w:r>
            <w:r>
              <w:rPr>
                <w:rFonts w:asciiTheme="minorHAnsi" w:eastAsia="Times New Roman" w:hAnsiTheme="minorHAnsi" w:cstheme="minorHAnsi"/>
                <w:color w:val="000000"/>
                <w:sz w:val="20"/>
                <w:szCs w:val="20"/>
                <w:lang w:eastAsia="en-AU"/>
              </w:rPr>
              <w:t>wa</w:t>
            </w:r>
            <w:r w:rsidRPr="00100F0A">
              <w:rPr>
                <w:rFonts w:asciiTheme="minorHAnsi" w:eastAsia="Times New Roman" w:hAnsiTheme="minorHAnsi" w:cstheme="minorHAnsi"/>
                <w:color w:val="000000"/>
                <w:sz w:val="20"/>
                <w:szCs w:val="20"/>
                <w:lang w:eastAsia="en-AU"/>
              </w:rPr>
              <w:t xml:space="preserve">s spare capacity for clinical waste thermal destruction in SA. The listed installed capacity of </w:t>
            </w:r>
            <w:r w:rsidR="00052ED1" w:rsidRPr="009D734D">
              <w:rPr>
                <w:rFonts w:asciiTheme="minorHAnsi" w:eastAsia="Times New Roman" w:hAnsiTheme="minorHAnsi" w:cstheme="minorHAnsi"/>
                <w:color w:val="000000"/>
                <w:sz w:val="20"/>
                <w:szCs w:val="20"/>
                <w:highlight w:val="red"/>
                <w:lang w:eastAsia="en-AU"/>
              </w:rPr>
              <w:t>CIC</w:t>
            </w:r>
            <w:r w:rsidR="00052ED1">
              <w:rPr>
                <w:rFonts w:asciiTheme="minorHAnsi" w:eastAsia="Times New Roman" w:hAnsiTheme="minorHAnsi" w:cstheme="minorHAnsi"/>
                <w:color w:val="000000"/>
                <w:sz w:val="20"/>
                <w:szCs w:val="20"/>
                <w:lang w:eastAsia="en-AU"/>
              </w:rPr>
              <w:t xml:space="preserve"> </w:t>
            </w:r>
            <w:r w:rsidRPr="00100F0A">
              <w:rPr>
                <w:rFonts w:asciiTheme="minorHAnsi" w:eastAsia="Times New Roman" w:hAnsiTheme="minorHAnsi" w:cstheme="minorHAnsi"/>
                <w:color w:val="000000"/>
                <w:sz w:val="20"/>
                <w:szCs w:val="20"/>
                <w:lang w:eastAsia="en-AU"/>
              </w:rPr>
              <w:t>t</w:t>
            </w:r>
            <w:r>
              <w:rPr>
                <w:rFonts w:asciiTheme="minorHAnsi" w:eastAsia="Times New Roman" w:hAnsiTheme="minorHAnsi" w:cstheme="minorHAnsi"/>
                <w:color w:val="000000"/>
                <w:sz w:val="20"/>
                <w:szCs w:val="20"/>
                <w:lang w:eastAsia="en-AU"/>
              </w:rPr>
              <w:t>pa</w:t>
            </w:r>
            <w:r w:rsidRPr="00100F0A">
              <w:rPr>
                <w:rFonts w:asciiTheme="minorHAnsi" w:eastAsia="Times New Roman" w:hAnsiTheme="minorHAnsi" w:cstheme="minorHAnsi"/>
                <w:color w:val="000000"/>
                <w:sz w:val="20"/>
                <w:szCs w:val="20"/>
                <w:lang w:eastAsia="en-AU"/>
              </w:rPr>
              <w:t xml:space="preserve"> may be too low as it appears SA is destroying around 3.5 kt of clinical waste currently.</w:t>
            </w:r>
            <w:r w:rsidRPr="00100F0A">
              <w:rPr>
                <w:rFonts w:asciiTheme="minorHAnsi" w:eastAsia="Times New Roman" w:hAnsiTheme="minorHAnsi" w:cstheme="minorHAnsi"/>
                <w:color w:val="000000"/>
                <w:sz w:val="20"/>
                <w:szCs w:val="20"/>
                <w:lang w:eastAsia="en-AU"/>
              </w:rPr>
              <w:br/>
              <w:t xml:space="preserve">- </w:t>
            </w:r>
            <w:r>
              <w:rPr>
                <w:rFonts w:asciiTheme="minorHAnsi" w:eastAsia="Times New Roman" w:hAnsiTheme="minorHAnsi" w:cstheme="minorHAnsi"/>
                <w:color w:val="000000"/>
                <w:sz w:val="20"/>
                <w:szCs w:val="20"/>
                <w:lang w:eastAsia="en-AU"/>
              </w:rPr>
              <w:t>POP</w:t>
            </w:r>
            <w:r w:rsidRPr="00100F0A">
              <w:rPr>
                <w:rFonts w:asciiTheme="minorHAnsi" w:eastAsia="Times New Roman" w:hAnsiTheme="minorHAnsi" w:cstheme="minorHAnsi"/>
                <w:color w:val="000000"/>
                <w:sz w:val="20"/>
                <w:szCs w:val="20"/>
                <w:lang w:eastAsia="en-AU"/>
              </w:rPr>
              <w:t xml:space="preserve"> (PFOS, BDEs, HBCD, HCB) will be sent interstate for thermal destruction where required.</w:t>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b/>
                <w:bCs/>
                <w:color w:val="000000"/>
                <w:sz w:val="20"/>
                <w:szCs w:val="20"/>
                <w:lang w:eastAsia="en-AU"/>
              </w:rPr>
              <w:br/>
              <w:t>Transfer station or temporary storage</w:t>
            </w:r>
            <w:r w:rsidRPr="00100F0A">
              <w:rPr>
                <w:rFonts w:asciiTheme="minorHAnsi" w:eastAsia="Times New Roman" w:hAnsiTheme="minorHAnsi" w:cstheme="minorHAnsi"/>
                <w:b/>
                <w:bCs/>
                <w:color w:val="000000"/>
                <w:sz w:val="20"/>
                <w:szCs w:val="20"/>
                <w:lang w:eastAsia="en-AU"/>
              </w:rPr>
              <w:br/>
            </w:r>
            <w:r w:rsidRPr="00100F0A">
              <w:rPr>
                <w:rFonts w:asciiTheme="minorHAnsi" w:eastAsia="Times New Roman" w:hAnsiTheme="minorHAnsi" w:cstheme="minorHAnsi"/>
                <w:color w:val="000000"/>
                <w:sz w:val="20"/>
                <w:szCs w:val="20"/>
                <w:lang w:eastAsia="en-AU"/>
              </w:rPr>
              <w:t>- SA's transfer capacity may already be exceeded, however, capacity estimates are incomplete due to limited infrastructure coverage and some capacity being provided within other infrastructure groups. The capacity of transfer infrastructure is also not fixed (i.e. capacity can be scaled up and down by simply increas</w:t>
            </w:r>
            <w:r>
              <w:rPr>
                <w:rFonts w:asciiTheme="minorHAnsi" w:eastAsia="Times New Roman" w:hAnsiTheme="minorHAnsi" w:cstheme="minorHAnsi"/>
                <w:color w:val="000000"/>
                <w:sz w:val="20"/>
                <w:szCs w:val="20"/>
                <w:lang w:eastAsia="en-AU"/>
              </w:rPr>
              <w:t>ing</w:t>
            </w:r>
            <w:r w:rsidRPr="00100F0A">
              <w:rPr>
                <w:rFonts w:asciiTheme="minorHAnsi" w:eastAsia="Times New Roman" w:hAnsiTheme="minorHAnsi" w:cstheme="minorHAnsi"/>
                <w:color w:val="000000"/>
                <w:sz w:val="20"/>
                <w:szCs w:val="20"/>
                <w:lang w:eastAsia="en-AU"/>
              </w:rPr>
              <w:t xml:space="preserve"> the rate of loads transfer</w:t>
            </w:r>
            <w:r>
              <w:rPr>
                <w:rFonts w:asciiTheme="minorHAnsi" w:eastAsia="Times New Roman" w:hAnsiTheme="minorHAnsi" w:cstheme="minorHAnsi"/>
                <w:color w:val="000000"/>
                <w:sz w:val="20"/>
                <w:szCs w:val="20"/>
                <w:lang w:eastAsia="en-AU"/>
              </w:rPr>
              <w:t>red</w:t>
            </w:r>
            <w:r w:rsidRPr="00100F0A">
              <w:rPr>
                <w:rFonts w:asciiTheme="minorHAnsi" w:eastAsia="Times New Roman" w:hAnsiTheme="minorHAnsi" w:cstheme="minorHAnsi"/>
                <w:color w:val="000000"/>
                <w:sz w:val="20"/>
                <w:szCs w:val="20"/>
                <w:lang w:eastAsia="en-AU"/>
              </w:rPr>
              <w:t xml:space="preserve">). </w:t>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b/>
                <w:bCs/>
                <w:color w:val="000000"/>
                <w:sz w:val="20"/>
                <w:szCs w:val="20"/>
                <w:lang w:eastAsia="en-AU"/>
              </w:rPr>
              <w:br/>
              <w:t xml:space="preserve">NEPM 2016-17 </w:t>
            </w:r>
            <w:r w:rsidRPr="00100F0A">
              <w:rPr>
                <w:rFonts w:asciiTheme="minorHAnsi" w:eastAsia="Times New Roman" w:hAnsiTheme="minorHAnsi" w:cstheme="minorHAnsi"/>
                <w:color w:val="000000"/>
                <w:sz w:val="20"/>
                <w:szCs w:val="20"/>
                <w:lang w:eastAsia="en-AU"/>
              </w:rPr>
              <w:t>showed a net import of around 180 kt of hazwaste into SA. The main imports were NEPM D Inorganic chemicals (175 kt) which is mostly a lead rich zinc waste from the Nyrstar Zinc smelter in Hobart being sent to Nyrstar Port Pirie.</w:t>
            </w:r>
          </w:p>
        </w:tc>
      </w:tr>
      <w:tr w:rsidR="00F42A40" w:rsidRPr="008C1B89" w14:paraId="0DE411A4"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3E1F9D1F"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Hazardous waste packaging facility</w:t>
            </w:r>
          </w:p>
        </w:tc>
        <w:tc>
          <w:tcPr>
            <w:tcW w:w="956" w:type="dxa"/>
            <w:tcBorders>
              <w:top w:val="nil"/>
              <w:left w:val="nil"/>
              <w:bottom w:val="single" w:sz="4" w:space="0" w:color="BFBFBF"/>
              <w:right w:val="single" w:sz="4" w:space="0" w:color="BFBFBF"/>
            </w:tcBorders>
            <w:shd w:val="clear" w:color="000000" w:fill="FFFFFF"/>
            <w:noWrap/>
            <w:hideMark/>
          </w:tcPr>
          <w:p w14:paraId="5DDB8D1F" w14:textId="1724E090" w:rsidR="00F42A40" w:rsidRPr="008C1B89" w:rsidRDefault="00F42A40" w:rsidP="00F42A40">
            <w:pPr>
              <w:jc w:val="right"/>
              <w:rPr>
                <w:rFonts w:eastAsia="Times New Roman" w:cs="Calibri"/>
                <w:color w:val="000000"/>
                <w:sz w:val="20"/>
                <w:szCs w:val="20"/>
                <w:lang w:eastAsia="en-AU"/>
              </w:rPr>
            </w:pPr>
            <w:r>
              <w:rPr>
                <w:color w:val="000000"/>
                <w:sz w:val="20"/>
                <w:szCs w:val="20"/>
              </w:rPr>
              <w:t>309</w:t>
            </w:r>
          </w:p>
        </w:tc>
        <w:tc>
          <w:tcPr>
            <w:tcW w:w="966" w:type="dxa"/>
            <w:tcBorders>
              <w:top w:val="nil"/>
              <w:left w:val="nil"/>
              <w:right w:val="single" w:sz="4" w:space="0" w:color="BFBFBF"/>
            </w:tcBorders>
            <w:shd w:val="clear" w:color="auto" w:fill="auto"/>
            <w:noWrap/>
            <w:vAlign w:val="center"/>
            <w:hideMark/>
          </w:tcPr>
          <w:p w14:paraId="4AC1B674" w14:textId="7CAE6AC1"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40" w:type="dxa"/>
            <w:tcBorders>
              <w:top w:val="nil"/>
              <w:left w:val="nil"/>
              <w:right w:val="single" w:sz="4" w:space="0" w:color="BFBFBF"/>
            </w:tcBorders>
            <w:shd w:val="clear" w:color="auto" w:fill="auto"/>
            <w:noWrap/>
            <w:vAlign w:val="center"/>
            <w:hideMark/>
          </w:tcPr>
          <w:p w14:paraId="048151F7" w14:textId="4A42780E"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74" w:type="dxa"/>
            <w:tcBorders>
              <w:top w:val="nil"/>
              <w:left w:val="nil"/>
              <w:bottom w:val="single" w:sz="4" w:space="0" w:color="BFBFBF"/>
              <w:right w:val="single" w:sz="4" w:space="0" w:color="BFBFBF"/>
            </w:tcBorders>
            <w:shd w:val="clear" w:color="auto" w:fill="auto"/>
            <w:noWrap/>
            <w:hideMark/>
          </w:tcPr>
          <w:p w14:paraId="703231B1" w14:textId="7ABFB5DF" w:rsidR="00F42A40" w:rsidRPr="008C1B89" w:rsidRDefault="00F42A40" w:rsidP="00F42A40">
            <w:pPr>
              <w:jc w:val="center"/>
              <w:rPr>
                <w:rFonts w:eastAsia="Times New Roman" w:cs="Calibri"/>
                <w:color w:val="000000"/>
                <w:sz w:val="20"/>
                <w:szCs w:val="20"/>
                <w:lang w:eastAsia="en-AU"/>
              </w:rPr>
            </w:pPr>
            <w:r>
              <w:rPr>
                <w:color w:val="000000"/>
                <w:sz w:val="20"/>
                <w:szCs w:val="20"/>
              </w:rPr>
              <w:t>Poor</w:t>
            </w:r>
          </w:p>
        </w:tc>
        <w:tc>
          <w:tcPr>
            <w:tcW w:w="740" w:type="dxa"/>
            <w:tcBorders>
              <w:top w:val="nil"/>
              <w:left w:val="nil"/>
              <w:bottom w:val="single" w:sz="4" w:space="0" w:color="BFBFBF"/>
              <w:right w:val="single" w:sz="4" w:space="0" w:color="BFBFBF"/>
            </w:tcBorders>
            <w:shd w:val="clear" w:color="000000" w:fill="FFFFFF"/>
            <w:noWrap/>
            <w:hideMark/>
          </w:tcPr>
          <w:p w14:paraId="50A93FA5" w14:textId="27B134D5"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07FB8FF6" w14:textId="54449CEE"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58CE7CE0" w14:textId="67453039"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184" w:type="dxa"/>
            <w:vMerge/>
            <w:tcBorders>
              <w:top w:val="single" w:sz="4" w:space="0" w:color="808080"/>
              <w:left w:val="single" w:sz="4" w:space="0" w:color="BFBFBF"/>
              <w:bottom w:val="single" w:sz="4" w:space="0" w:color="BFBFBF"/>
              <w:right w:val="single" w:sz="4" w:space="0" w:color="BFBFBF"/>
            </w:tcBorders>
            <w:vAlign w:val="center"/>
            <w:hideMark/>
          </w:tcPr>
          <w:p w14:paraId="0499732C" w14:textId="77777777" w:rsidR="00F42A40" w:rsidRPr="008C1B89" w:rsidRDefault="00F42A40" w:rsidP="00F42A40">
            <w:pPr>
              <w:rPr>
                <w:rFonts w:eastAsia="Times New Roman" w:cs="Calibri"/>
                <w:b/>
                <w:bCs/>
                <w:color w:val="000000"/>
                <w:sz w:val="20"/>
                <w:szCs w:val="20"/>
                <w:lang w:eastAsia="en-AU"/>
              </w:rPr>
            </w:pPr>
          </w:p>
        </w:tc>
      </w:tr>
      <w:tr w:rsidR="00F42A40" w:rsidRPr="008C1B89" w14:paraId="3320641C"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1856BF7"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E-waste facility</w:t>
            </w:r>
          </w:p>
        </w:tc>
        <w:tc>
          <w:tcPr>
            <w:tcW w:w="956" w:type="dxa"/>
            <w:tcBorders>
              <w:top w:val="nil"/>
              <w:left w:val="nil"/>
              <w:bottom w:val="single" w:sz="4" w:space="0" w:color="BFBFBF"/>
              <w:right w:val="single" w:sz="4" w:space="0" w:color="BFBFBF"/>
            </w:tcBorders>
            <w:shd w:val="clear" w:color="000000" w:fill="FFFFFF"/>
            <w:noWrap/>
            <w:hideMark/>
          </w:tcPr>
          <w:p w14:paraId="768B9CB9" w14:textId="6457EBC6" w:rsidR="00F42A40" w:rsidRPr="008C1B89" w:rsidRDefault="00F42A40" w:rsidP="00F42A40">
            <w:pPr>
              <w:jc w:val="right"/>
              <w:rPr>
                <w:rFonts w:eastAsia="Times New Roman" w:cs="Calibri"/>
                <w:color w:val="000000"/>
                <w:sz w:val="20"/>
                <w:szCs w:val="20"/>
                <w:lang w:eastAsia="en-AU"/>
              </w:rPr>
            </w:pPr>
            <w:r>
              <w:rPr>
                <w:color w:val="000000"/>
                <w:sz w:val="20"/>
                <w:szCs w:val="20"/>
              </w:rPr>
              <w:t>285</w:t>
            </w:r>
          </w:p>
        </w:tc>
        <w:tc>
          <w:tcPr>
            <w:tcW w:w="966" w:type="dxa"/>
            <w:tcBorders>
              <w:left w:val="nil"/>
              <w:right w:val="single" w:sz="4" w:space="0" w:color="BFBFBF"/>
            </w:tcBorders>
            <w:shd w:val="clear" w:color="auto" w:fill="auto"/>
            <w:noWrap/>
            <w:vAlign w:val="center"/>
            <w:hideMark/>
          </w:tcPr>
          <w:p w14:paraId="650855AC" w14:textId="73049A5B" w:rsidR="00F42A40" w:rsidRPr="008C1B89" w:rsidRDefault="00F42A40" w:rsidP="009D734D">
            <w:pPr>
              <w:jc w:val="center"/>
              <w:rPr>
                <w:rFonts w:eastAsia="Times New Roman" w:cs="Calibri"/>
                <w:color w:val="000000"/>
                <w:sz w:val="20"/>
                <w:szCs w:val="20"/>
                <w:lang w:eastAsia="en-AU"/>
              </w:rPr>
            </w:pPr>
          </w:p>
        </w:tc>
        <w:tc>
          <w:tcPr>
            <w:tcW w:w="1040" w:type="dxa"/>
            <w:tcBorders>
              <w:left w:val="nil"/>
              <w:right w:val="single" w:sz="4" w:space="0" w:color="BFBFBF"/>
            </w:tcBorders>
            <w:shd w:val="clear" w:color="auto" w:fill="auto"/>
            <w:noWrap/>
            <w:vAlign w:val="center"/>
            <w:hideMark/>
          </w:tcPr>
          <w:p w14:paraId="0BCBA598" w14:textId="12A29D22" w:rsidR="00F42A40" w:rsidRPr="008C1B89" w:rsidRDefault="00F42A40" w:rsidP="009D734D">
            <w:pPr>
              <w:jc w:val="center"/>
              <w:rPr>
                <w:rFonts w:eastAsia="Times New Roman" w:cs="Calibri"/>
                <w:color w:val="000000"/>
                <w:sz w:val="20"/>
                <w:szCs w:val="20"/>
                <w:lang w:eastAsia="en-AU"/>
              </w:rPr>
            </w:pPr>
          </w:p>
        </w:tc>
        <w:tc>
          <w:tcPr>
            <w:tcW w:w="974" w:type="dxa"/>
            <w:tcBorders>
              <w:top w:val="nil"/>
              <w:left w:val="nil"/>
              <w:bottom w:val="single" w:sz="4" w:space="0" w:color="BFBFBF"/>
              <w:right w:val="single" w:sz="4" w:space="0" w:color="BFBFBF"/>
            </w:tcBorders>
            <w:shd w:val="clear" w:color="auto" w:fill="auto"/>
            <w:noWrap/>
            <w:hideMark/>
          </w:tcPr>
          <w:p w14:paraId="1E9C603C" w14:textId="27BEE132"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7024911F" w14:textId="60D1F562"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45E03C5C" w14:textId="71BF8F9C"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4678770E" w14:textId="5CF539CC"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184" w:type="dxa"/>
            <w:vMerge/>
            <w:tcBorders>
              <w:top w:val="single" w:sz="4" w:space="0" w:color="808080"/>
              <w:left w:val="single" w:sz="4" w:space="0" w:color="BFBFBF"/>
              <w:bottom w:val="single" w:sz="4" w:space="0" w:color="BFBFBF"/>
              <w:right w:val="single" w:sz="4" w:space="0" w:color="BFBFBF"/>
            </w:tcBorders>
            <w:vAlign w:val="center"/>
            <w:hideMark/>
          </w:tcPr>
          <w:p w14:paraId="167C2191" w14:textId="77777777" w:rsidR="00F42A40" w:rsidRPr="008C1B89" w:rsidRDefault="00F42A40" w:rsidP="00F42A40">
            <w:pPr>
              <w:rPr>
                <w:rFonts w:eastAsia="Times New Roman" w:cs="Calibri"/>
                <w:b/>
                <w:bCs/>
                <w:color w:val="000000"/>
                <w:sz w:val="20"/>
                <w:szCs w:val="20"/>
                <w:lang w:eastAsia="en-AU"/>
              </w:rPr>
            </w:pPr>
          </w:p>
        </w:tc>
      </w:tr>
      <w:tr w:rsidR="00F42A40" w:rsidRPr="008C1B89" w14:paraId="0102412F"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7CAD54FE"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Oil re-refining facility</w:t>
            </w:r>
          </w:p>
        </w:tc>
        <w:tc>
          <w:tcPr>
            <w:tcW w:w="956" w:type="dxa"/>
            <w:tcBorders>
              <w:top w:val="nil"/>
              <w:left w:val="nil"/>
              <w:bottom w:val="single" w:sz="4" w:space="0" w:color="BFBFBF"/>
              <w:right w:val="single" w:sz="4" w:space="0" w:color="BFBFBF"/>
            </w:tcBorders>
            <w:shd w:val="clear" w:color="000000" w:fill="FFFFFF"/>
            <w:noWrap/>
            <w:hideMark/>
          </w:tcPr>
          <w:p w14:paraId="20A297C6" w14:textId="46B73721" w:rsidR="00F42A40" w:rsidRPr="008C1B89" w:rsidRDefault="00F42A40" w:rsidP="00F42A40">
            <w:pPr>
              <w:jc w:val="right"/>
              <w:rPr>
                <w:rFonts w:eastAsia="Times New Roman" w:cs="Calibri"/>
                <w:color w:val="000000"/>
                <w:sz w:val="20"/>
                <w:szCs w:val="20"/>
                <w:lang w:eastAsia="en-AU"/>
              </w:rPr>
            </w:pPr>
            <w:r>
              <w:rPr>
                <w:color w:val="000000"/>
                <w:sz w:val="20"/>
                <w:szCs w:val="20"/>
              </w:rPr>
              <w:t>12,534</w:t>
            </w:r>
          </w:p>
        </w:tc>
        <w:tc>
          <w:tcPr>
            <w:tcW w:w="966" w:type="dxa"/>
            <w:tcBorders>
              <w:left w:val="nil"/>
              <w:right w:val="single" w:sz="4" w:space="0" w:color="BFBFBF"/>
            </w:tcBorders>
            <w:shd w:val="clear" w:color="auto" w:fill="auto"/>
            <w:noWrap/>
            <w:vAlign w:val="center"/>
            <w:hideMark/>
          </w:tcPr>
          <w:p w14:paraId="18A55861" w14:textId="0372CF70" w:rsidR="00F42A40" w:rsidRPr="008C1B89" w:rsidRDefault="00F42A40" w:rsidP="009D734D">
            <w:pPr>
              <w:jc w:val="center"/>
              <w:rPr>
                <w:rFonts w:eastAsia="Times New Roman" w:cs="Calibri"/>
                <w:color w:val="000000"/>
                <w:sz w:val="20"/>
                <w:szCs w:val="20"/>
                <w:lang w:eastAsia="en-AU"/>
              </w:rPr>
            </w:pPr>
          </w:p>
        </w:tc>
        <w:tc>
          <w:tcPr>
            <w:tcW w:w="1040" w:type="dxa"/>
            <w:tcBorders>
              <w:left w:val="nil"/>
              <w:right w:val="single" w:sz="4" w:space="0" w:color="BFBFBF"/>
            </w:tcBorders>
            <w:shd w:val="clear" w:color="auto" w:fill="auto"/>
            <w:noWrap/>
            <w:vAlign w:val="center"/>
            <w:hideMark/>
          </w:tcPr>
          <w:p w14:paraId="1A3C45BA" w14:textId="668CA3FF" w:rsidR="00F42A40" w:rsidRPr="008C1B89" w:rsidRDefault="00F42A40" w:rsidP="009D734D">
            <w:pPr>
              <w:jc w:val="center"/>
              <w:rPr>
                <w:rFonts w:eastAsia="Times New Roman" w:cs="Calibri"/>
                <w:color w:val="000000"/>
                <w:sz w:val="20"/>
                <w:szCs w:val="20"/>
                <w:lang w:eastAsia="en-AU"/>
              </w:rPr>
            </w:pPr>
          </w:p>
        </w:tc>
        <w:tc>
          <w:tcPr>
            <w:tcW w:w="974" w:type="dxa"/>
            <w:tcBorders>
              <w:top w:val="nil"/>
              <w:left w:val="nil"/>
              <w:bottom w:val="single" w:sz="4" w:space="0" w:color="BFBFBF"/>
              <w:right w:val="single" w:sz="4" w:space="0" w:color="BFBFBF"/>
            </w:tcBorders>
            <w:shd w:val="clear" w:color="auto" w:fill="auto"/>
            <w:noWrap/>
            <w:hideMark/>
          </w:tcPr>
          <w:p w14:paraId="154BA4CC" w14:textId="26047471" w:rsidR="00F42A40" w:rsidRPr="008C1B89" w:rsidRDefault="00F42A40" w:rsidP="00F42A40">
            <w:pPr>
              <w:jc w:val="center"/>
              <w:rPr>
                <w:rFonts w:eastAsia="Times New Roman" w:cs="Calibri"/>
                <w:color w:val="000000"/>
                <w:sz w:val="20"/>
                <w:szCs w:val="20"/>
                <w:lang w:eastAsia="en-AU"/>
              </w:rPr>
            </w:pPr>
            <w:r>
              <w:rPr>
                <w:color w:val="000000"/>
                <w:sz w:val="20"/>
                <w:szCs w:val="20"/>
              </w:rPr>
              <w:t>Poor</w:t>
            </w:r>
          </w:p>
        </w:tc>
        <w:tc>
          <w:tcPr>
            <w:tcW w:w="740" w:type="dxa"/>
            <w:tcBorders>
              <w:top w:val="nil"/>
              <w:left w:val="nil"/>
              <w:bottom w:val="single" w:sz="4" w:space="0" w:color="BFBFBF"/>
              <w:right w:val="single" w:sz="4" w:space="0" w:color="BFBFBF"/>
            </w:tcBorders>
            <w:shd w:val="clear" w:color="000000" w:fill="FFFFFF"/>
            <w:noWrap/>
            <w:hideMark/>
          </w:tcPr>
          <w:p w14:paraId="11FDF0BE" w14:textId="13F3DF2E"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56095934" w14:textId="0DC5B02C"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3FAFF1DD" w14:textId="74042DE5"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184" w:type="dxa"/>
            <w:vMerge/>
            <w:tcBorders>
              <w:top w:val="single" w:sz="4" w:space="0" w:color="808080"/>
              <w:left w:val="single" w:sz="4" w:space="0" w:color="BFBFBF"/>
              <w:bottom w:val="single" w:sz="4" w:space="0" w:color="BFBFBF"/>
              <w:right w:val="single" w:sz="4" w:space="0" w:color="BFBFBF"/>
            </w:tcBorders>
            <w:vAlign w:val="center"/>
            <w:hideMark/>
          </w:tcPr>
          <w:p w14:paraId="5BDE7A2F" w14:textId="77777777" w:rsidR="00F42A40" w:rsidRPr="008C1B89" w:rsidRDefault="00F42A40" w:rsidP="00F42A40">
            <w:pPr>
              <w:rPr>
                <w:rFonts w:eastAsia="Times New Roman" w:cs="Calibri"/>
                <w:b/>
                <w:bCs/>
                <w:color w:val="000000"/>
                <w:sz w:val="20"/>
                <w:szCs w:val="20"/>
                <w:lang w:eastAsia="en-AU"/>
              </w:rPr>
            </w:pPr>
          </w:p>
        </w:tc>
      </w:tr>
      <w:tr w:rsidR="00F42A40" w:rsidRPr="008C1B89" w14:paraId="1874E9E4"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4E8B4EF6"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Lead facility</w:t>
            </w:r>
          </w:p>
        </w:tc>
        <w:tc>
          <w:tcPr>
            <w:tcW w:w="956" w:type="dxa"/>
            <w:tcBorders>
              <w:top w:val="nil"/>
              <w:left w:val="nil"/>
              <w:bottom w:val="single" w:sz="4" w:space="0" w:color="BFBFBF"/>
              <w:right w:val="single" w:sz="4" w:space="0" w:color="BFBFBF"/>
            </w:tcBorders>
            <w:shd w:val="clear" w:color="000000" w:fill="FFFFFF"/>
            <w:noWrap/>
            <w:hideMark/>
          </w:tcPr>
          <w:p w14:paraId="5161179F" w14:textId="5F61A6F2" w:rsidR="00F42A40" w:rsidRPr="008C1B89" w:rsidRDefault="00F42A40" w:rsidP="00F42A40">
            <w:pPr>
              <w:jc w:val="right"/>
              <w:rPr>
                <w:rFonts w:eastAsia="Times New Roman" w:cs="Calibri"/>
                <w:color w:val="000000"/>
                <w:sz w:val="20"/>
                <w:szCs w:val="20"/>
                <w:lang w:eastAsia="en-AU"/>
              </w:rPr>
            </w:pPr>
            <w:r>
              <w:rPr>
                <w:color w:val="000000"/>
                <w:sz w:val="20"/>
                <w:szCs w:val="20"/>
              </w:rPr>
              <w:t>43,439</w:t>
            </w:r>
          </w:p>
        </w:tc>
        <w:tc>
          <w:tcPr>
            <w:tcW w:w="966" w:type="dxa"/>
            <w:tcBorders>
              <w:left w:val="nil"/>
              <w:right w:val="single" w:sz="4" w:space="0" w:color="BFBFBF"/>
            </w:tcBorders>
            <w:shd w:val="clear" w:color="auto" w:fill="auto"/>
            <w:noWrap/>
            <w:vAlign w:val="center"/>
            <w:hideMark/>
          </w:tcPr>
          <w:p w14:paraId="14D4156B" w14:textId="3C7C6333" w:rsidR="00F42A40" w:rsidRPr="008C1B89" w:rsidRDefault="00F42A40" w:rsidP="009D734D">
            <w:pPr>
              <w:jc w:val="center"/>
              <w:rPr>
                <w:rFonts w:eastAsia="Times New Roman" w:cs="Calibri"/>
                <w:color w:val="000000"/>
                <w:sz w:val="20"/>
                <w:szCs w:val="20"/>
                <w:lang w:eastAsia="en-AU"/>
              </w:rPr>
            </w:pPr>
          </w:p>
        </w:tc>
        <w:tc>
          <w:tcPr>
            <w:tcW w:w="1040" w:type="dxa"/>
            <w:tcBorders>
              <w:left w:val="nil"/>
              <w:right w:val="single" w:sz="4" w:space="0" w:color="BFBFBF"/>
            </w:tcBorders>
            <w:shd w:val="clear" w:color="auto" w:fill="auto"/>
            <w:noWrap/>
            <w:vAlign w:val="center"/>
            <w:hideMark/>
          </w:tcPr>
          <w:p w14:paraId="27465781" w14:textId="0AF67525" w:rsidR="00F42A40" w:rsidRPr="008C1B89" w:rsidRDefault="00F42A40" w:rsidP="009D734D">
            <w:pPr>
              <w:jc w:val="center"/>
              <w:rPr>
                <w:rFonts w:eastAsia="Times New Roman" w:cs="Calibri"/>
                <w:color w:val="000000"/>
                <w:sz w:val="20"/>
                <w:szCs w:val="20"/>
                <w:lang w:eastAsia="en-AU"/>
              </w:rPr>
            </w:pPr>
          </w:p>
        </w:tc>
        <w:tc>
          <w:tcPr>
            <w:tcW w:w="974" w:type="dxa"/>
            <w:tcBorders>
              <w:top w:val="nil"/>
              <w:left w:val="nil"/>
              <w:bottom w:val="single" w:sz="4" w:space="0" w:color="BFBFBF"/>
              <w:right w:val="single" w:sz="4" w:space="0" w:color="BFBFBF"/>
            </w:tcBorders>
            <w:shd w:val="clear" w:color="auto" w:fill="auto"/>
            <w:noWrap/>
            <w:hideMark/>
          </w:tcPr>
          <w:p w14:paraId="5097BB17" w14:textId="04037824"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7F14947" w14:textId="1424AB63"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E952686" w14:textId="5DCFB22E"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AF3B494" w14:textId="03F377EA"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84" w:type="dxa"/>
            <w:vMerge/>
            <w:tcBorders>
              <w:top w:val="single" w:sz="4" w:space="0" w:color="808080"/>
              <w:left w:val="single" w:sz="4" w:space="0" w:color="BFBFBF"/>
              <w:bottom w:val="single" w:sz="4" w:space="0" w:color="BFBFBF"/>
              <w:right w:val="single" w:sz="4" w:space="0" w:color="BFBFBF"/>
            </w:tcBorders>
            <w:vAlign w:val="center"/>
            <w:hideMark/>
          </w:tcPr>
          <w:p w14:paraId="626359B2" w14:textId="77777777" w:rsidR="00F42A40" w:rsidRPr="008C1B89" w:rsidRDefault="00F42A40" w:rsidP="00F42A40">
            <w:pPr>
              <w:rPr>
                <w:rFonts w:eastAsia="Times New Roman" w:cs="Calibri"/>
                <w:b/>
                <w:bCs/>
                <w:color w:val="000000"/>
                <w:sz w:val="20"/>
                <w:szCs w:val="20"/>
                <w:lang w:eastAsia="en-AU"/>
              </w:rPr>
            </w:pPr>
          </w:p>
        </w:tc>
      </w:tr>
      <w:tr w:rsidR="00F42A40" w:rsidRPr="008C1B89" w14:paraId="430786ED"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583D9CB4"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Mercury facility</w:t>
            </w:r>
          </w:p>
        </w:tc>
        <w:tc>
          <w:tcPr>
            <w:tcW w:w="956" w:type="dxa"/>
            <w:tcBorders>
              <w:top w:val="nil"/>
              <w:left w:val="nil"/>
              <w:bottom w:val="single" w:sz="4" w:space="0" w:color="BFBFBF"/>
              <w:right w:val="single" w:sz="4" w:space="0" w:color="BFBFBF"/>
            </w:tcBorders>
            <w:shd w:val="clear" w:color="000000" w:fill="FFFFFF"/>
            <w:noWrap/>
            <w:hideMark/>
          </w:tcPr>
          <w:p w14:paraId="4EB18D2A" w14:textId="2E4C0062" w:rsidR="00F42A40" w:rsidRPr="008C1B89" w:rsidRDefault="00F42A40" w:rsidP="00F42A40">
            <w:pPr>
              <w:jc w:val="right"/>
              <w:rPr>
                <w:rFonts w:eastAsia="Times New Roman" w:cs="Calibri"/>
                <w:color w:val="000000"/>
                <w:sz w:val="20"/>
                <w:szCs w:val="20"/>
                <w:lang w:eastAsia="en-AU"/>
              </w:rPr>
            </w:pPr>
            <w:r>
              <w:rPr>
                <w:color w:val="000000"/>
                <w:sz w:val="20"/>
                <w:szCs w:val="20"/>
              </w:rPr>
              <w:t>45</w:t>
            </w:r>
          </w:p>
        </w:tc>
        <w:tc>
          <w:tcPr>
            <w:tcW w:w="966" w:type="dxa"/>
            <w:tcBorders>
              <w:left w:val="nil"/>
              <w:right w:val="single" w:sz="4" w:space="0" w:color="BFBFBF"/>
            </w:tcBorders>
            <w:shd w:val="clear" w:color="auto" w:fill="auto"/>
            <w:noWrap/>
            <w:vAlign w:val="center"/>
            <w:hideMark/>
          </w:tcPr>
          <w:p w14:paraId="0C81740E" w14:textId="2BF8C936" w:rsidR="00F42A40" w:rsidRPr="008C1B89" w:rsidRDefault="00F42A40" w:rsidP="009D734D">
            <w:pPr>
              <w:jc w:val="center"/>
              <w:rPr>
                <w:rFonts w:eastAsia="Times New Roman" w:cs="Calibri"/>
                <w:color w:val="000000"/>
                <w:sz w:val="20"/>
                <w:szCs w:val="20"/>
                <w:lang w:eastAsia="en-AU"/>
              </w:rPr>
            </w:pPr>
          </w:p>
        </w:tc>
        <w:tc>
          <w:tcPr>
            <w:tcW w:w="1040" w:type="dxa"/>
            <w:tcBorders>
              <w:left w:val="nil"/>
              <w:right w:val="single" w:sz="4" w:space="0" w:color="BFBFBF"/>
            </w:tcBorders>
            <w:shd w:val="clear" w:color="auto" w:fill="auto"/>
            <w:noWrap/>
            <w:vAlign w:val="center"/>
            <w:hideMark/>
          </w:tcPr>
          <w:p w14:paraId="5D4DF0DC" w14:textId="024BDC03" w:rsidR="00F42A40" w:rsidRPr="008C1B89" w:rsidRDefault="00F42A40" w:rsidP="009D734D">
            <w:pPr>
              <w:jc w:val="center"/>
              <w:rPr>
                <w:rFonts w:eastAsia="Times New Roman" w:cs="Calibri"/>
                <w:color w:val="000000"/>
                <w:sz w:val="20"/>
                <w:szCs w:val="20"/>
                <w:lang w:eastAsia="en-AU"/>
              </w:rPr>
            </w:pPr>
          </w:p>
        </w:tc>
        <w:tc>
          <w:tcPr>
            <w:tcW w:w="974" w:type="dxa"/>
            <w:tcBorders>
              <w:top w:val="nil"/>
              <w:left w:val="nil"/>
              <w:bottom w:val="single" w:sz="4" w:space="0" w:color="BFBFBF"/>
              <w:right w:val="single" w:sz="4" w:space="0" w:color="BFBFBF"/>
            </w:tcBorders>
            <w:shd w:val="clear" w:color="auto" w:fill="auto"/>
            <w:noWrap/>
            <w:hideMark/>
          </w:tcPr>
          <w:p w14:paraId="121E1578" w14:textId="2809DB75"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272A6580" w14:textId="1D34DF5D"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2084AF3A" w14:textId="1069ADAF"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1D4301BD" w14:textId="4138BD35"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184" w:type="dxa"/>
            <w:vMerge/>
            <w:tcBorders>
              <w:top w:val="single" w:sz="4" w:space="0" w:color="808080"/>
              <w:left w:val="single" w:sz="4" w:space="0" w:color="BFBFBF"/>
              <w:bottom w:val="single" w:sz="4" w:space="0" w:color="BFBFBF"/>
              <w:right w:val="single" w:sz="4" w:space="0" w:color="BFBFBF"/>
            </w:tcBorders>
            <w:vAlign w:val="center"/>
            <w:hideMark/>
          </w:tcPr>
          <w:p w14:paraId="2EA675F2" w14:textId="77777777" w:rsidR="00F42A40" w:rsidRPr="008C1B89" w:rsidRDefault="00F42A40" w:rsidP="00F42A40">
            <w:pPr>
              <w:rPr>
                <w:rFonts w:eastAsia="Times New Roman" w:cs="Calibri"/>
                <w:b/>
                <w:bCs/>
                <w:color w:val="000000"/>
                <w:sz w:val="20"/>
                <w:szCs w:val="20"/>
                <w:lang w:eastAsia="en-AU"/>
              </w:rPr>
            </w:pPr>
          </w:p>
        </w:tc>
      </w:tr>
      <w:tr w:rsidR="00F42A40" w:rsidRPr="008C1B89" w14:paraId="21905B40"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12D00CEA"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Solvents/paints/organic chemicals facility</w:t>
            </w:r>
          </w:p>
        </w:tc>
        <w:tc>
          <w:tcPr>
            <w:tcW w:w="956" w:type="dxa"/>
            <w:tcBorders>
              <w:top w:val="nil"/>
              <w:left w:val="nil"/>
              <w:bottom w:val="single" w:sz="4" w:space="0" w:color="BFBFBF"/>
              <w:right w:val="single" w:sz="4" w:space="0" w:color="BFBFBF"/>
            </w:tcBorders>
            <w:shd w:val="clear" w:color="000000" w:fill="FFFFFF"/>
            <w:noWrap/>
            <w:hideMark/>
          </w:tcPr>
          <w:p w14:paraId="528C262D" w14:textId="38BF81A8" w:rsidR="00F42A40" w:rsidRPr="008C1B89" w:rsidRDefault="00F42A40" w:rsidP="00F42A40">
            <w:pPr>
              <w:jc w:val="right"/>
              <w:rPr>
                <w:rFonts w:eastAsia="Times New Roman" w:cs="Calibri"/>
                <w:color w:val="000000"/>
                <w:sz w:val="20"/>
                <w:szCs w:val="20"/>
                <w:lang w:eastAsia="en-AU"/>
              </w:rPr>
            </w:pPr>
            <w:r>
              <w:rPr>
                <w:color w:val="000000"/>
                <w:sz w:val="20"/>
                <w:szCs w:val="20"/>
              </w:rPr>
              <w:t>1,366</w:t>
            </w:r>
          </w:p>
        </w:tc>
        <w:tc>
          <w:tcPr>
            <w:tcW w:w="966" w:type="dxa"/>
            <w:tcBorders>
              <w:left w:val="nil"/>
              <w:right w:val="single" w:sz="4" w:space="0" w:color="BFBFBF"/>
            </w:tcBorders>
            <w:shd w:val="clear" w:color="auto" w:fill="auto"/>
            <w:noWrap/>
            <w:vAlign w:val="center"/>
            <w:hideMark/>
          </w:tcPr>
          <w:p w14:paraId="65A17CE3" w14:textId="334405D4" w:rsidR="00F42A40" w:rsidRPr="008C1B89" w:rsidRDefault="00F42A40" w:rsidP="009D734D">
            <w:pPr>
              <w:jc w:val="center"/>
              <w:rPr>
                <w:rFonts w:eastAsia="Times New Roman" w:cs="Calibri"/>
                <w:color w:val="000000"/>
                <w:sz w:val="20"/>
                <w:szCs w:val="20"/>
                <w:lang w:eastAsia="en-AU"/>
              </w:rPr>
            </w:pPr>
          </w:p>
        </w:tc>
        <w:tc>
          <w:tcPr>
            <w:tcW w:w="1040" w:type="dxa"/>
            <w:tcBorders>
              <w:left w:val="nil"/>
              <w:right w:val="single" w:sz="4" w:space="0" w:color="BFBFBF"/>
            </w:tcBorders>
            <w:shd w:val="clear" w:color="auto" w:fill="auto"/>
            <w:noWrap/>
            <w:vAlign w:val="center"/>
            <w:hideMark/>
          </w:tcPr>
          <w:p w14:paraId="7F4109EC" w14:textId="53A06C56" w:rsidR="00F42A40" w:rsidRPr="008C1B89" w:rsidRDefault="00F42A40" w:rsidP="009D734D">
            <w:pPr>
              <w:jc w:val="center"/>
              <w:rPr>
                <w:rFonts w:eastAsia="Times New Roman" w:cs="Calibri"/>
                <w:color w:val="000000"/>
                <w:sz w:val="20"/>
                <w:szCs w:val="20"/>
                <w:lang w:eastAsia="en-AU"/>
              </w:rPr>
            </w:pPr>
          </w:p>
        </w:tc>
        <w:tc>
          <w:tcPr>
            <w:tcW w:w="974" w:type="dxa"/>
            <w:tcBorders>
              <w:top w:val="nil"/>
              <w:left w:val="nil"/>
              <w:bottom w:val="single" w:sz="4" w:space="0" w:color="BFBFBF"/>
              <w:right w:val="single" w:sz="4" w:space="0" w:color="BFBFBF"/>
            </w:tcBorders>
            <w:shd w:val="clear" w:color="auto" w:fill="auto"/>
            <w:noWrap/>
            <w:hideMark/>
          </w:tcPr>
          <w:p w14:paraId="7D268D6E" w14:textId="2959F4C5"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4B0CA7FA" w14:textId="7B100414"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3F94F4C4" w14:textId="30795D4A"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507EDFF7" w14:textId="3AFCBA9F"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84" w:type="dxa"/>
            <w:vMerge/>
            <w:tcBorders>
              <w:top w:val="single" w:sz="4" w:space="0" w:color="808080"/>
              <w:left w:val="single" w:sz="4" w:space="0" w:color="BFBFBF"/>
              <w:bottom w:val="single" w:sz="4" w:space="0" w:color="BFBFBF"/>
              <w:right w:val="single" w:sz="4" w:space="0" w:color="BFBFBF"/>
            </w:tcBorders>
            <w:vAlign w:val="center"/>
            <w:hideMark/>
          </w:tcPr>
          <w:p w14:paraId="2E62DBA0" w14:textId="77777777" w:rsidR="00F42A40" w:rsidRPr="008C1B89" w:rsidRDefault="00F42A40" w:rsidP="00F42A40">
            <w:pPr>
              <w:rPr>
                <w:rFonts w:eastAsia="Times New Roman" w:cs="Calibri"/>
                <w:b/>
                <w:bCs/>
                <w:color w:val="000000"/>
                <w:sz w:val="20"/>
                <w:szCs w:val="20"/>
                <w:lang w:eastAsia="en-AU"/>
              </w:rPr>
            </w:pPr>
          </w:p>
        </w:tc>
      </w:tr>
      <w:tr w:rsidR="00F42A40" w:rsidRPr="008C1B89" w14:paraId="1FF93E21"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3A095CB9"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Organics processing facility</w:t>
            </w:r>
          </w:p>
        </w:tc>
        <w:tc>
          <w:tcPr>
            <w:tcW w:w="956" w:type="dxa"/>
            <w:tcBorders>
              <w:top w:val="nil"/>
              <w:left w:val="nil"/>
              <w:bottom w:val="single" w:sz="4" w:space="0" w:color="BFBFBF"/>
              <w:right w:val="single" w:sz="4" w:space="0" w:color="BFBFBF"/>
            </w:tcBorders>
            <w:shd w:val="clear" w:color="000000" w:fill="FFFFFF"/>
            <w:noWrap/>
            <w:hideMark/>
          </w:tcPr>
          <w:p w14:paraId="14370112" w14:textId="0C903E55" w:rsidR="00F42A40" w:rsidRPr="008C1B89" w:rsidRDefault="00F42A40" w:rsidP="00F42A40">
            <w:pPr>
              <w:jc w:val="right"/>
              <w:rPr>
                <w:rFonts w:eastAsia="Times New Roman" w:cs="Calibri"/>
                <w:color w:val="000000"/>
                <w:sz w:val="20"/>
                <w:szCs w:val="20"/>
                <w:lang w:eastAsia="en-AU"/>
              </w:rPr>
            </w:pPr>
            <w:r>
              <w:rPr>
                <w:color w:val="000000"/>
                <w:sz w:val="20"/>
                <w:szCs w:val="20"/>
              </w:rPr>
              <w:t>71,659</w:t>
            </w:r>
          </w:p>
        </w:tc>
        <w:tc>
          <w:tcPr>
            <w:tcW w:w="966" w:type="dxa"/>
            <w:tcBorders>
              <w:left w:val="nil"/>
              <w:right w:val="single" w:sz="4" w:space="0" w:color="BFBFBF"/>
            </w:tcBorders>
            <w:shd w:val="clear" w:color="auto" w:fill="auto"/>
            <w:noWrap/>
            <w:vAlign w:val="center"/>
            <w:hideMark/>
          </w:tcPr>
          <w:p w14:paraId="1D30DD8B" w14:textId="4C68F350" w:rsidR="00F42A40" w:rsidRPr="008C1B89" w:rsidRDefault="00F42A40" w:rsidP="009D734D">
            <w:pPr>
              <w:jc w:val="center"/>
              <w:rPr>
                <w:rFonts w:eastAsia="Times New Roman" w:cs="Calibri"/>
                <w:color w:val="000000"/>
                <w:sz w:val="20"/>
                <w:szCs w:val="20"/>
                <w:lang w:eastAsia="en-AU"/>
              </w:rPr>
            </w:pPr>
          </w:p>
        </w:tc>
        <w:tc>
          <w:tcPr>
            <w:tcW w:w="1040" w:type="dxa"/>
            <w:tcBorders>
              <w:left w:val="nil"/>
              <w:right w:val="single" w:sz="4" w:space="0" w:color="BFBFBF"/>
            </w:tcBorders>
            <w:shd w:val="clear" w:color="auto" w:fill="auto"/>
            <w:noWrap/>
            <w:vAlign w:val="center"/>
            <w:hideMark/>
          </w:tcPr>
          <w:p w14:paraId="76AFD457" w14:textId="714B1642" w:rsidR="00F42A40" w:rsidRPr="008C1B89" w:rsidRDefault="00F42A40" w:rsidP="009D734D">
            <w:pPr>
              <w:jc w:val="center"/>
              <w:rPr>
                <w:rFonts w:eastAsia="Times New Roman" w:cs="Calibri"/>
                <w:color w:val="000000"/>
                <w:sz w:val="20"/>
                <w:szCs w:val="20"/>
                <w:lang w:eastAsia="en-AU"/>
              </w:rPr>
            </w:pPr>
          </w:p>
        </w:tc>
        <w:tc>
          <w:tcPr>
            <w:tcW w:w="974" w:type="dxa"/>
            <w:tcBorders>
              <w:top w:val="nil"/>
              <w:left w:val="nil"/>
              <w:bottom w:val="single" w:sz="4" w:space="0" w:color="BFBFBF"/>
              <w:right w:val="single" w:sz="4" w:space="0" w:color="BFBFBF"/>
            </w:tcBorders>
            <w:shd w:val="clear" w:color="auto" w:fill="auto"/>
            <w:noWrap/>
            <w:hideMark/>
          </w:tcPr>
          <w:p w14:paraId="52720C4F" w14:textId="328B7629"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7C4F1287" w14:textId="737D7D2A"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0086D176" w14:textId="30379BA9"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4F1E5EA1" w14:textId="605B6F58"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84" w:type="dxa"/>
            <w:vMerge/>
            <w:tcBorders>
              <w:top w:val="single" w:sz="4" w:space="0" w:color="808080"/>
              <w:left w:val="single" w:sz="4" w:space="0" w:color="BFBFBF"/>
              <w:bottom w:val="single" w:sz="4" w:space="0" w:color="BFBFBF"/>
              <w:right w:val="single" w:sz="4" w:space="0" w:color="BFBFBF"/>
            </w:tcBorders>
            <w:vAlign w:val="center"/>
            <w:hideMark/>
          </w:tcPr>
          <w:p w14:paraId="5B211A42" w14:textId="77777777" w:rsidR="00F42A40" w:rsidRPr="008C1B89" w:rsidRDefault="00F42A40" w:rsidP="00F42A40">
            <w:pPr>
              <w:rPr>
                <w:rFonts w:eastAsia="Times New Roman" w:cs="Calibri"/>
                <w:b/>
                <w:bCs/>
                <w:color w:val="000000"/>
                <w:sz w:val="20"/>
                <w:szCs w:val="20"/>
                <w:lang w:eastAsia="en-AU"/>
              </w:rPr>
            </w:pPr>
          </w:p>
        </w:tc>
      </w:tr>
      <w:tr w:rsidR="00F42A40" w:rsidRPr="008C1B89" w14:paraId="07B7730A"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37D13DE6" w14:textId="7F92F4FE" w:rsidR="00F42A40" w:rsidRPr="008C1B89" w:rsidRDefault="00F42A40" w:rsidP="00F42A40">
            <w:pPr>
              <w:jc w:val="right"/>
              <w:rPr>
                <w:rFonts w:eastAsia="Times New Roman" w:cs="Calibri"/>
                <w:color w:val="000000"/>
                <w:sz w:val="20"/>
                <w:szCs w:val="20"/>
                <w:lang w:eastAsia="en-AU"/>
              </w:rPr>
            </w:pPr>
            <w:r>
              <w:rPr>
                <w:rFonts w:eastAsia="Times New Roman" w:cs="Calibri"/>
                <w:color w:val="000000"/>
                <w:sz w:val="20"/>
                <w:szCs w:val="20"/>
                <w:lang w:eastAsia="en-AU"/>
              </w:rPr>
              <w:t>EOLT</w:t>
            </w:r>
            <w:r w:rsidRPr="008C1B89">
              <w:rPr>
                <w:rFonts w:eastAsia="Times New Roman" w:cs="Calibri"/>
                <w:color w:val="000000"/>
                <w:sz w:val="20"/>
                <w:szCs w:val="20"/>
                <w:lang w:eastAsia="en-AU"/>
              </w:rPr>
              <w:t xml:space="preserve"> facility</w:t>
            </w:r>
          </w:p>
        </w:tc>
        <w:tc>
          <w:tcPr>
            <w:tcW w:w="956" w:type="dxa"/>
            <w:tcBorders>
              <w:top w:val="nil"/>
              <w:left w:val="nil"/>
              <w:bottom w:val="single" w:sz="4" w:space="0" w:color="BFBFBF"/>
              <w:right w:val="single" w:sz="4" w:space="0" w:color="BFBFBF"/>
            </w:tcBorders>
            <w:shd w:val="clear" w:color="000000" w:fill="FFFFFF"/>
            <w:noWrap/>
            <w:hideMark/>
          </w:tcPr>
          <w:p w14:paraId="71406616" w14:textId="2ECB71B7" w:rsidR="00F42A40" w:rsidRPr="008C1B89" w:rsidRDefault="00F42A40" w:rsidP="00F42A40">
            <w:pPr>
              <w:jc w:val="right"/>
              <w:rPr>
                <w:rFonts w:eastAsia="Times New Roman" w:cs="Calibri"/>
                <w:color w:val="000000"/>
                <w:sz w:val="20"/>
                <w:szCs w:val="20"/>
                <w:lang w:eastAsia="en-AU"/>
              </w:rPr>
            </w:pPr>
            <w:r>
              <w:rPr>
                <w:color w:val="000000"/>
                <w:sz w:val="20"/>
                <w:szCs w:val="20"/>
              </w:rPr>
              <w:t>1,923</w:t>
            </w:r>
          </w:p>
        </w:tc>
        <w:tc>
          <w:tcPr>
            <w:tcW w:w="966" w:type="dxa"/>
            <w:tcBorders>
              <w:left w:val="nil"/>
              <w:right w:val="single" w:sz="4" w:space="0" w:color="BFBFBF"/>
            </w:tcBorders>
            <w:shd w:val="clear" w:color="auto" w:fill="auto"/>
            <w:noWrap/>
            <w:vAlign w:val="center"/>
            <w:hideMark/>
          </w:tcPr>
          <w:p w14:paraId="4E994969" w14:textId="68A1C5C7" w:rsidR="00F42A40" w:rsidRPr="008C1B89" w:rsidRDefault="00F42A40" w:rsidP="009D734D">
            <w:pPr>
              <w:jc w:val="center"/>
              <w:rPr>
                <w:rFonts w:eastAsia="Times New Roman" w:cs="Calibri"/>
                <w:color w:val="000000"/>
                <w:sz w:val="20"/>
                <w:szCs w:val="20"/>
                <w:lang w:eastAsia="en-AU"/>
              </w:rPr>
            </w:pPr>
          </w:p>
        </w:tc>
        <w:tc>
          <w:tcPr>
            <w:tcW w:w="1040" w:type="dxa"/>
            <w:tcBorders>
              <w:left w:val="nil"/>
              <w:right w:val="single" w:sz="4" w:space="0" w:color="BFBFBF"/>
            </w:tcBorders>
            <w:shd w:val="clear" w:color="auto" w:fill="auto"/>
            <w:noWrap/>
            <w:vAlign w:val="center"/>
            <w:hideMark/>
          </w:tcPr>
          <w:p w14:paraId="69A21EE1" w14:textId="212D6166" w:rsidR="00F42A40" w:rsidRPr="008C1B89" w:rsidRDefault="00F42A40" w:rsidP="009D734D">
            <w:pPr>
              <w:jc w:val="center"/>
              <w:rPr>
                <w:rFonts w:eastAsia="Times New Roman" w:cs="Calibri"/>
                <w:color w:val="000000"/>
                <w:sz w:val="20"/>
                <w:szCs w:val="20"/>
                <w:lang w:eastAsia="en-AU"/>
              </w:rPr>
            </w:pPr>
          </w:p>
        </w:tc>
        <w:tc>
          <w:tcPr>
            <w:tcW w:w="974" w:type="dxa"/>
            <w:tcBorders>
              <w:top w:val="nil"/>
              <w:left w:val="nil"/>
              <w:bottom w:val="single" w:sz="4" w:space="0" w:color="BFBFBF"/>
              <w:right w:val="single" w:sz="4" w:space="0" w:color="BFBFBF"/>
            </w:tcBorders>
            <w:shd w:val="clear" w:color="auto" w:fill="auto"/>
            <w:noWrap/>
            <w:hideMark/>
          </w:tcPr>
          <w:p w14:paraId="0B87807F" w14:textId="6B702C36"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68594B0C" w14:textId="495D14A5"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44A0ED11" w14:textId="12EDCFB1"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6CB3799E" w14:textId="4845734C"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184" w:type="dxa"/>
            <w:vMerge/>
            <w:tcBorders>
              <w:top w:val="single" w:sz="4" w:space="0" w:color="808080"/>
              <w:left w:val="single" w:sz="4" w:space="0" w:color="BFBFBF"/>
              <w:bottom w:val="single" w:sz="4" w:space="0" w:color="BFBFBF"/>
              <w:right w:val="single" w:sz="4" w:space="0" w:color="BFBFBF"/>
            </w:tcBorders>
            <w:vAlign w:val="center"/>
            <w:hideMark/>
          </w:tcPr>
          <w:p w14:paraId="3C4D9770" w14:textId="77777777" w:rsidR="00F42A40" w:rsidRPr="008C1B89" w:rsidRDefault="00F42A40" w:rsidP="00F42A40">
            <w:pPr>
              <w:rPr>
                <w:rFonts w:eastAsia="Times New Roman" w:cs="Calibri"/>
                <w:b/>
                <w:bCs/>
                <w:color w:val="000000"/>
                <w:sz w:val="20"/>
                <w:szCs w:val="20"/>
                <w:lang w:eastAsia="en-AU"/>
              </w:rPr>
            </w:pPr>
          </w:p>
        </w:tc>
      </w:tr>
      <w:tr w:rsidR="00F42A40" w:rsidRPr="008C1B89" w14:paraId="4C231F38"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23C507D3" w14:textId="2850C6BC" w:rsidR="00F42A40" w:rsidRPr="008C1B89" w:rsidRDefault="00F42A40" w:rsidP="00F42A40">
            <w:pPr>
              <w:jc w:val="right"/>
              <w:rPr>
                <w:rFonts w:eastAsia="Times New Roman" w:cs="Calibri"/>
                <w:color w:val="000000"/>
                <w:sz w:val="20"/>
                <w:szCs w:val="20"/>
                <w:lang w:eastAsia="en-AU"/>
              </w:rPr>
            </w:pPr>
            <w:r>
              <w:rPr>
                <w:rFonts w:eastAsia="Times New Roman" w:cs="Calibri"/>
                <w:color w:val="000000"/>
                <w:sz w:val="20"/>
                <w:szCs w:val="20"/>
                <w:lang w:eastAsia="en-AU"/>
              </w:rPr>
              <w:t>SPL</w:t>
            </w:r>
            <w:r w:rsidRPr="008C1B89">
              <w:rPr>
                <w:rFonts w:eastAsia="Times New Roman" w:cs="Calibri"/>
                <w:color w:val="000000"/>
                <w:sz w:val="20"/>
                <w:szCs w:val="20"/>
                <w:lang w:eastAsia="en-AU"/>
              </w:rPr>
              <w:t xml:space="preserve"> facility</w:t>
            </w:r>
          </w:p>
        </w:tc>
        <w:tc>
          <w:tcPr>
            <w:tcW w:w="956" w:type="dxa"/>
            <w:tcBorders>
              <w:top w:val="nil"/>
              <w:left w:val="nil"/>
              <w:bottom w:val="single" w:sz="4" w:space="0" w:color="BFBFBF"/>
              <w:right w:val="single" w:sz="4" w:space="0" w:color="BFBFBF"/>
            </w:tcBorders>
            <w:shd w:val="clear" w:color="000000" w:fill="FFFFFF"/>
            <w:noWrap/>
            <w:hideMark/>
          </w:tcPr>
          <w:p w14:paraId="58C9DE2D" w14:textId="2B64F4B7" w:rsidR="00F42A40" w:rsidRPr="008C1B89" w:rsidRDefault="00F42A40" w:rsidP="00F42A40">
            <w:pPr>
              <w:jc w:val="right"/>
              <w:rPr>
                <w:rFonts w:eastAsia="Times New Roman" w:cs="Calibri"/>
                <w:color w:val="000000"/>
                <w:sz w:val="20"/>
                <w:szCs w:val="20"/>
                <w:lang w:eastAsia="en-AU"/>
              </w:rPr>
            </w:pPr>
            <w:r>
              <w:rPr>
                <w:color w:val="000000"/>
                <w:sz w:val="20"/>
                <w:szCs w:val="20"/>
              </w:rPr>
              <w:t>2</w:t>
            </w:r>
          </w:p>
        </w:tc>
        <w:tc>
          <w:tcPr>
            <w:tcW w:w="966" w:type="dxa"/>
            <w:tcBorders>
              <w:left w:val="nil"/>
              <w:right w:val="single" w:sz="4" w:space="0" w:color="BFBFBF"/>
            </w:tcBorders>
            <w:shd w:val="clear" w:color="auto" w:fill="auto"/>
            <w:noWrap/>
            <w:vAlign w:val="center"/>
            <w:hideMark/>
          </w:tcPr>
          <w:p w14:paraId="535D4AD9" w14:textId="64FE546E" w:rsidR="00F42A40" w:rsidRPr="008C1B89" w:rsidRDefault="00F42A40" w:rsidP="009D734D">
            <w:pPr>
              <w:jc w:val="center"/>
              <w:rPr>
                <w:rFonts w:eastAsia="Times New Roman" w:cs="Calibri"/>
                <w:color w:val="000000"/>
                <w:sz w:val="20"/>
                <w:szCs w:val="20"/>
                <w:lang w:eastAsia="en-AU"/>
              </w:rPr>
            </w:pPr>
          </w:p>
        </w:tc>
        <w:tc>
          <w:tcPr>
            <w:tcW w:w="1040" w:type="dxa"/>
            <w:tcBorders>
              <w:left w:val="nil"/>
              <w:right w:val="single" w:sz="4" w:space="0" w:color="BFBFBF"/>
            </w:tcBorders>
            <w:shd w:val="clear" w:color="auto" w:fill="auto"/>
            <w:noWrap/>
            <w:vAlign w:val="center"/>
            <w:hideMark/>
          </w:tcPr>
          <w:p w14:paraId="3D0D5341" w14:textId="0BF9D9A7" w:rsidR="00F42A40" w:rsidRPr="008C1B89" w:rsidRDefault="00F42A40" w:rsidP="009D734D">
            <w:pPr>
              <w:jc w:val="center"/>
              <w:rPr>
                <w:rFonts w:eastAsia="Times New Roman" w:cs="Calibri"/>
                <w:color w:val="000000"/>
                <w:sz w:val="20"/>
                <w:szCs w:val="20"/>
                <w:lang w:eastAsia="en-AU"/>
              </w:rPr>
            </w:pPr>
          </w:p>
        </w:tc>
        <w:tc>
          <w:tcPr>
            <w:tcW w:w="974" w:type="dxa"/>
            <w:tcBorders>
              <w:top w:val="nil"/>
              <w:left w:val="nil"/>
              <w:bottom w:val="single" w:sz="4" w:space="0" w:color="BFBFBF"/>
              <w:right w:val="single" w:sz="4" w:space="0" w:color="BFBFBF"/>
            </w:tcBorders>
            <w:shd w:val="clear" w:color="auto" w:fill="auto"/>
            <w:noWrap/>
            <w:hideMark/>
          </w:tcPr>
          <w:p w14:paraId="433FB815" w14:textId="74CF5F43"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7E85E4CD" w14:textId="52868A18"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71A7913E" w14:textId="0E6CA532"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447BF2A1" w14:textId="790A26E8"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84" w:type="dxa"/>
            <w:vMerge/>
            <w:tcBorders>
              <w:top w:val="single" w:sz="4" w:space="0" w:color="808080"/>
              <w:left w:val="single" w:sz="4" w:space="0" w:color="BFBFBF"/>
              <w:bottom w:val="single" w:sz="4" w:space="0" w:color="BFBFBF"/>
              <w:right w:val="single" w:sz="4" w:space="0" w:color="BFBFBF"/>
            </w:tcBorders>
            <w:vAlign w:val="center"/>
            <w:hideMark/>
          </w:tcPr>
          <w:p w14:paraId="6217F51C" w14:textId="77777777" w:rsidR="00F42A40" w:rsidRPr="008C1B89" w:rsidRDefault="00F42A40" w:rsidP="00F42A40">
            <w:pPr>
              <w:rPr>
                <w:rFonts w:eastAsia="Times New Roman" w:cs="Calibri"/>
                <w:b/>
                <w:bCs/>
                <w:color w:val="000000"/>
                <w:sz w:val="20"/>
                <w:szCs w:val="20"/>
                <w:lang w:eastAsia="en-AU"/>
              </w:rPr>
            </w:pPr>
          </w:p>
        </w:tc>
      </w:tr>
      <w:tr w:rsidR="00F42A40" w:rsidRPr="008C1B89" w14:paraId="5D8A70CE"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7A717E55"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 xml:space="preserve">Energy recovery </w:t>
            </w:r>
          </w:p>
        </w:tc>
        <w:tc>
          <w:tcPr>
            <w:tcW w:w="956" w:type="dxa"/>
            <w:tcBorders>
              <w:top w:val="nil"/>
              <w:left w:val="nil"/>
              <w:bottom w:val="single" w:sz="4" w:space="0" w:color="BFBFBF"/>
              <w:right w:val="single" w:sz="4" w:space="0" w:color="BFBFBF"/>
            </w:tcBorders>
            <w:shd w:val="clear" w:color="000000" w:fill="FFFFFF"/>
            <w:noWrap/>
            <w:hideMark/>
          </w:tcPr>
          <w:p w14:paraId="6F087EA8" w14:textId="158397E2" w:rsidR="00F42A40" w:rsidRPr="008C1B89" w:rsidRDefault="00F42A40" w:rsidP="00F42A40">
            <w:pPr>
              <w:jc w:val="right"/>
              <w:rPr>
                <w:rFonts w:eastAsia="Times New Roman" w:cs="Calibri"/>
                <w:color w:val="000000"/>
                <w:sz w:val="20"/>
                <w:szCs w:val="20"/>
                <w:lang w:eastAsia="en-AU"/>
              </w:rPr>
            </w:pPr>
            <w:r>
              <w:rPr>
                <w:color w:val="000000"/>
                <w:sz w:val="20"/>
                <w:szCs w:val="20"/>
              </w:rPr>
              <w:t>54</w:t>
            </w:r>
          </w:p>
        </w:tc>
        <w:tc>
          <w:tcPr>
            <w:tcW w:w="966" w:type="dxa"/>
            <w:tcBorders>
              <w:left w:val="nil"/>
              <w:bottom w:val="single" w:sz="4" w:space="0" w:color="BFBFBF"/>
              <w:right w:val="single" w:sz="4" w:space="0" w:color="BFBFBF"/>
            </w:tcBorders>
            <w:shd w:val="clear" w:color="auto" w:fill="auto"/>
            <w:noWrap/>
            <w:vAlign w:val="center"/>
            <w:hideMark/>
          </w:tcPr>
          <w:p w14:paraId="33EFF5EF" w14:textId="0B1F9F68" w:rsidR="00F42A40" w:rsidRPr="008C1B89" w:rsidRDefault="00F42A40" w:rsidP="009D734D">
            <w:pPr>
              <w:jc w:val="center"/>
              <w:rPr>
                <w:rFonts w:eastAsia="Times New Roman" w:cs="Calibri"/>
                <w:color w:val="000000"/>
                <w:sz w:val="20"/>
                <w:szCs w:val="20"/>
                <w:lang w:eastAsia="en-AU"/>
              </w:rPr>
            </w:pPr>
          </w:p>
        </w:tc>
        <w:tc>
          <w:tcPr>
            <w:tcW w:w="1040" w:type="dxa"/>
            <w:tcBorders>
              <w:left w:val="nil"/>
              <w:bottom w:val="single" w:sz="4" w:space="0" w:color="BFBFBF"/>
              <w:right w:val="single" w:sz="4" w:space="0" w:color="BFBFBF"/>
            </w:tcBorders>
            <w:shd w:val="clear" w:color="auto" w:fill="auto"/>
            <w:noWrap/>
            <w:vAlign w:val="center"/>
            <w:hideMark/>
          </w:tcPr>
          <w:p w14:paraId="17BA91E4" w14:textId="5733140C" w:rsidR="00F42A40" w:rsidRPr="008C1B89" w:rsidRDefault="00F42A40" w:rsidP="009D734D">
            <w:pPr>
              <w:jc w:val="center"/>
              <w:rPr>
                <w:rFonts w:eastAsia="Times New Roman" w:cs="Calibri"/>
                <w:color w:val="000000"/>
                <w:sz w:val="20"/>
                <w:szCs w:val="20"/>
                <w:lang w:eastAsia="en-AU"/>
              </w:rPr>
            </w:pPr>
          </w:p>
        </w:tc>
        <w:tc>
          <w:tcPr>
            <w:tcW w:w="974" w:type="dxa"/>
            <w:tcBorders>
              <w:top w:val="nil"/>
              <w:left w:val="nil"/>
              <w:bottom w:val="single" w:sz="4" w:space="0" w:color="BFBFBF"/>
              <w:right w:val="single" w:sz="4" w:space="0" w:color="BFBFBF"/>
            </w:tcBorders>
            <w:shd w:val="clear" w:color="auto" w:fill="auto"/>
            <w:noWrap/>
            <w:hideMark/>
          </w:tcPr>
          <w:p w14:paraId="6B7B96EA" w14:textId="7420F0A9"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7F598CF5" w14:textId="2EBD6C72"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2981A03F" w14:textId="33F61E5E"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6CED537F" w14:textId="03F7C488"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184" w:type="dxa"/>
            <w:vMerge/>
            <w:tcBorders>
              <w:top w:val="single" w:sz="4" w:space="0" w:color="808080"/>
              <w:left w:val="single" w:sz="4" w:space="0" w:color="BFBFBF"/>
              <w:bottom w:val="single" w:sz="4" w:space="0" w:color="BFBFBF"/>
              <w:right w:val="single" w:sz="4" w:space="0" w:color="BFBFBF"/>
            </w:tcBorders>
            <w:vAlign w:val="center"/>
            <w:hideMark/>
          </w:tcPr>
          <w:p w14:paraId="67A91B55" w14:textId="77777777" w:rsidR="00F42A40" w:rsidRPr="008C1B89" w:rsidRDefault="00F42A40" w:rsidP="00F42A40">
            <w:pPr>
              <w:rPr>
                <w:rFonts w:eastAsia="Times New Roman" w:cs="Calibri"/>
                <w:b/>
                <w:bCs/>
                <w:color w:val="000000"/>
                <w:sz w:val="20"/>
                <w:szCs w:val="20"/>
                <w:lang w:eastAsia="en-AU"/>
              </w:rPr>
            </w:pPr>
          </w:p>
        </w:tc>
      </w:tr>
      <w:tr w:rsidR="009D734D" w:rsidRPr="008C1B89" w14:paraId="2FE70016" w14:textId="77777777" w:rsidTr="009D734D">
        <w:trPr>
          <w:trHeight w:val="255"/>
        </w:trPr>
        <w:tc>
          <w:tcPr>
            <w:tcW w:w="2830" w:type="dxa"/>
            <w:tcBorders>
              <w:top w:val="nil"/>
              <w:left w:val="single" w:sz="4" w:space="0" w:color="BFBFBF"/>
              <w:bottom w:val="nil"/>
              <w:right w:val="nil"/>
            </w:tcBorders>
            <w:shd w:val="clear" w:color="000000" w:fill="C5D9F1"/>
            <w:noWrap/>
            <w:vAlign w:val="bottom"/>
            <w:hideMark/>
          </w:tcPr>
          <w:p w14:paraId="23168261" w14:textId="77777777" w:rsidR="00F42A40" w:rsidRPr="008C1B89" w:rsidRDefault="00F42A40" w:rsidP="00F42A40">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 xml:space="preserve">Treatment </w:t>
            </w:r>
          </w:p>
        </w:tc>
        <w:tc>
          <w:tcPr>
            <w:tcW w:w="956" w:type="dxa"/>
            <w:tcBorders>
              <w:top w:val="nil"/>
              <w:left w:val="single" w:sz="4" w:space="0" w:color="BFBFBF"/>
              <w:bottom w:val="nil"/>
              <w:right w:val="single" w:sz="4" w:space="0" w:color="BFBFBF"/>
            </w:tcBorders>
            <w:shd w:val="clear" w:color="000000" w:fill="C5D9F1"/>
            <w:noWrap/>
            <w:hideMark/>
          </w:tcPr>
          <w:p w14:paraId="31947A29" w14:textId="533B5AB7"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966" w:type="dxa"/>
            <w:tcBorders>
              <w:top w:val="nil"/>
              <w:left w:val="nil"/>
              <w:bottom w:val="single" w:sz="4" w:space="0" w:color="BFBFBF"/>
              <w:right w:val="nil"/>
            </w:tcBorders>
            <w:shd w:val="clear" w:color="000000" w:fill="C5D9F1"/>
            <w:noWrap/>
            <w:vAlign w:val="center"/>
            <w:hideMark/>
          </w:tcPr>
          <w:p w14:paraId="281F5635" w14:textId="06125AA9" w:rsidR="00F42A40" w:rsidRPr="008C1B89" w:rsidRDefault="00F42A40" w:rsidP="009D734D">
            <w:pPr>
              <w:jc w:val="center"/>
              <w:rPr>
                <w:rFonts w:eastAsia="Times New Roman" w:cs="Calibri"/>
                <w:color w:val="000000"/>
                <w:sz w:val="20"/>
                <w:szCs w:val="20"/>
                <w:lang w:eastAsia="en-AU"/>
              </w:rPr>
            </w:pPr>
          </w:p>
        </w:tc>
        <w:tc>
          <w:tcPr>
            <w:tcW w:w="1040" w:type="dxa"/>
            <w:tcBorders>
              <w:top w:val="nil"/>
              <w:left w:val="nil"/>
              <w:bottom w:val="single" w:sz="4" w:space="0" w:color="BFBFBF"/>
              <w:right w:val="nil"/>
            </w:tcBorders>
            <w:shd w:val="clear" w:color="000000" w:fill="C5D9F1"/>
            <w:noWrap/>
            <w:vAlign w:val="center"/>
            <w:hideMark/>
          </w:tcPr>
          <w:p w14:paraId="553AE487" w14:textId="092CAE16" w:rsidR="00F42A40" w:rsidRPr="008C1B89" w:rsidRDefault="00F42A40" w:rsidP="009D734D">
            <w:pPr>
              <w:jc w:val="center"/>
              <w:rPr>
                <w:rFonts w:eastAsia="Times New Roman" w:cs="Calibri"/>
                <w:color w:val="000000"/>
                <w:sz w:val="20"/>
                <w:szCs w:val="20"/>
                <w:lang w:eastAsia="en-AU"/>
              </w:rPr>
            </w:pPr>
          </w:p>
        </w:tc>
        <w:tc>
          <w:tcPr>
            <w:tcW w:w="974" w:type="dxa"/>
            <w:tcBorders>
              <w:top w:val="nil"/>
              <w:left w:val="nil"/>
              <w:bottom w:val="nil"/>
              <w:right w:val="single" w:sz="4" w:space="0" w:color="BFBFBF"/>
            </w:tcBorders>
            <w:shd w:val="clear" w:color="000000" w:fill="C5D9F1"/>
            <w:noWrap/>
            <w:hideMark/>
          </w:tcPr>
          <w:p w14:paraId="4F5DEE80" w14:textId="027EC847"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single" w:sz="4" w:space="0" w:color="BFBFBF"/>
            </w:tcBorders>
            <w:shd w:val="clear" w:color="000000" w:fill="C5D9F1"/>
            <w:noWrap/>
            <w:hideMark/>
          </w:tcPr>
          <w:p w14:paraId="61938E12" w14:textId="54D5F707"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single" w:sz="4" w:space="0" w:color="BFBFBF"/>
            </w:tcBorders>
            <w:shd w:val="clear" w:color="000000" w:fill="C5D9F1"/>
            <w:noWrap/>
            <w:hideMark/>
          </w:tcPr>
          <w:p w14:paraId="74BE461E" w14:textId="2F7299F8"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single" w:sz="4" w:space="0" w:color="BFBFBF"/>
            </w:tcBorders>
            <w:shd w:val="clear" w:color="000000" w:fill="C5D9F1"/>
            <w:noWrap/>
            <w:hideMark/>
          </w:tcPr>
          <w:p w14:paraId="4294D739" w14:textId="5A898214"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5184" w:type="dxa"/>
            <w:vMerge/>
            <w:tcBorders>
              <w:top w:val="single" w:sz="4" w:space="0" w:color="808080"/>
              <w:left w:val="single" w:sz="4" w:space="0" w:color="BFBFBF"/>
              <w:bottom w:val="single" w:sz="4" w:space="0" w:color="BFBFBF"/>
              <w:right w:val="single" w:sz="4" w:space="0" w:color="BFBFBF"/>
            </w:tcBorders>
            <w:vAlign w:val="center"/>
            <w:hideMark/>
          </w:tcPr>
          <w:p w14:paraId="631175F4" w14:textId="77777777" w:rsidR="00F42A40" w:rsidRPr="008C1B89" w:rsidRDefault="00F42A40" w:rsidP="00F42A40">
            <w:pPr>
              <w:rPr>
                <w:rFonts w:eastAsia="Times New Roman" w:cs="Calibri"/>
                <w:b/>
                <w:bCs/>
                <w:color w:val="000000"/>
                <w:sz w:val="20"/>
                <w:szCs w:val="20"/>
                <w:lang w:eastAsia="en-AU"/>
              </w:rPr>
            </w:pPr>
          </w:p>
        </w:tc>
      </w:tr>
      <w:tr w:rsidR="00F42A40" w:rsidRPr="008C1B89" w14:paraId="72F380A5" w14:textId="77777777" w:rsidTr="009D734D">
        <w:trPr>
          <w:trHeight w:val="255"/>
        </w:trPr>
        <w:tc>
          <w:tcPr>
            <w:tcW w:w="283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FB1BCA"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CPT plant</w:t>
            </w:r>
          </w:p>
        </w:tc>
        <w:tc>
          <w:tcPr>
            <w:tcW w:w="956" w:type="dxa"/>
            <w:tcBorders>
              <w:top w:val="single" w:sz="4" w:space="0" w:color="BFBFBF"/>
              <w:left w:val="nil"/>
              <w:bottom w:val="single" w:sz="4" w:space="0" w:color="BFBFBF"/>
              <w:right w:val="single" w:sz="4" w:space="0" w:color="BFBFBF"/>
            </w:tcBorders>
            <w:shd w:val="clear" w:color="000000" w:fill="FFFFFF"/>
            <w:noWrap/>
            <w:hideMark/>
          </w:tcPr>
          <w:p w14:paraId="7B65FF61" w14:textId="685021F0" w:rsidR="00F42A40" w:rsidRPr="008C1B89" w:rsidRDefault="00F42A40" w:rsidP="00F42A40">
            <w:pPr>
              <w:jc w:val="right"/>
              <w:rPr>
                <w:rFonts w:eastAsia="Times New Roman" w:cs="Calibri"/>
                <w:color w:val="000000"/>
                <w:sz w:val="20"/>
                <w:szCs w:val="20"/>
                <w:lang w:eastAsia="en-AU"/>
              </w:rPr>
            </w:pPr>
            <w:r>
              <w:rPr>
                <w:color w:val="000000"/>
                <w:sz w:val="20"/>
                <w:szCs w:val="20"/>
              </w:rPr>
              <w:t>42,045</w:t>
            </w:r>
          </w:p>
        </w:tc>
        <w:tc>
          <w:tcPr>
            <w:tcW w:w="966" w:type="dxa"/>
            <w:tcBorders>
              <w:top w:val="nil"/>
              <w:left w:val="nil"/>
              <w:right w:val="single" w:sz="4" w:space="0" w:color="BFBFBF"/>
            </w:tcBorders>
            <w:shd w:val="clear" w:color="auto" w:fill="auto"/>
            <w:noWrap/>
            <w:vAlign w:val="center"/>
            <w:hideMark/>
          </w:tcPr>
          <w:p w14:paraId="130314C4" w14:textId="5D950432"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40" w:type="dxa"/>
            <w:tcBorders>
              <w:top w:val="nil"/>
              <w:left w:val="nil"/>
              <w:right w:val="single" w:sz="4" w:space="0" w:color="BFBFBF"/>
            </w:tcBorders>
            <w:shd w:val="clear" w:color="auto" w:fill="auto"/>
            <w:noWrap/>
            <w:vAlign w:val="center"/>
            <w:hideMark/>
          </w:tcPr>
          <w:p w14:paraId="784065A9" w14:textId="38CEEB53"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74" w:type="dxa"/>
            <w:tcBorders>
              <w:top w:val="single" w:sz="4" w:space="0" w:color="BFBFBF"/>
              <w:left w:val="nil"/>
              <w:bottom w:val="single" w:sz="4" w:space="0" w:color="BFBFBF"/>
              <w:right w:val="single" w:sz="4" w:space="0" w:color="BFBFBF"/>
            </w:tcBorders>
            <w:shd w:val="clear" w:color="auto" w:fill="auto"/>
            <w:noWrap/>
            <w:hideMark/>
          </w:tcPr>
          <w:p w14:paraId="59890904" w14:textId="7EF1BB46"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single" w:sz="4" w:space="0" w:color="BFBFBF"/>
              <w:left w:val="nil"/>
              <w:bottom w:val="single" w:sz="4" w:space="0" w:color="BFBFBF"/>
              <w:right w:val="single" w:sz="4" w:space="0" w:color="BFBFBF"/>
            </w:tcBorders>
            <w:shd w:val="clear" w:color="000000" w:fill="FFFFFF"/>
            <w:noWrap/>
            <w:hideMark/>
          </w:tcPr>
          <w:p w14:paraId="792BCBC5" w14:textId="13FCF84C"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single" w:sz="4" w:space="0" w:color="BFBFBF"/>
              <w:left w:val="nil"/>
              <w:bottom w:val="single" w:sz="4" w:space="0" w:color="BFBFBF"/>
              <w:right w:val="single" w:sz="4" w:space="0" w:color="BFBFBF"/>
            </w:tcBorders>
            <w:shd w:val="clear" w:color="000000" w:fill="FFFFFF"/>
            <w:noWrap/>
            <w:hideMark/>
          </w:tcPr>
          <w:p w14:paraId="2035454C" w14:textId="6ACE281D"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single" w:sz="4" w:space="0" w:color="BFBFBF"/>
              <w:left w:val="nil"/>
              <w:bottom w:val="single" w:sz="4" w:space="0" w:color="BFBFBF"/>
              <w:right w:val="single" w:sz="4" w:space="0" w:color="BFBFBF"/>
            </w:tcBorders>
            <w:shd w:val="clear" w:color="000000" w:fill="FFFFFF"/>
            <w:noWrap/>
            <w:hideMark/>
          </w:tcPr>
          <w:p w14:paraId="36B02A7C" w14:textId="01E5DCB2"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184" w:type="dxa"/>
            <w:vMerge/>
            <w:tcBorders>
              <w:top w:val="single" w:sz="4" w:space="0" w:color="808080"/>
              <w:left w:val="single" w:sz="4" w:space="0" w:color="BFBFBF"/>
              <w:bottom w:val="single" w:sz="4" w:space="0" w:color="BFBFBF"/>
              <w:right w:val="single" w:sz="4" w:space="0" w:color="BFBFBF"/>
            </w:tcBorders>
            <w:vAlign w:val="center"/>
            <w:hideMark/>
          </w:tcPr>
          <w:p w14:paraId="1F5AA187" w14:textId="77777777" w:rsidR="00F42A40" w:rsidRPr="008C1B89" w:rsidRDefault="00F42A40" w:rsidP="00F42A40">
            <w:pPr>
              <w:rPr>
                <w:rFonts w:eastAsia="Times New Roman" w:cs="Calibri"/>
                <w:b/>
                <w:bCs/>
                <w:color w:val="000000"/>
                <w:sz w:val="20"/>
                <w:szCs w:val="20"/>
                <w:lang w:eastAsia="en-AU"/>
              </w:rPr>
            </w:pPr>
          </w:p>
        </w:tc>
      </w:tr>
      <w:tr w:rsidR="00F42A40" w:rsidRPr="008C1B89" w14:paraId="43F41E8A"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29B3A86"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 xml:space="preserve">Clinical waste treatment facility </w:t>
            </w:r>
          </w:p>
        </w:tc>
        <w:tc>
          <w:tcPr>
            <w:tcW w:w="956" w:type="dxa"/>
            <w:tcBorders>
              <w:top w:val="nil"/>
              <w:left w:val="nil"/>
              <w:bottom w:val="single" w:sz="4" w:space="0" w:color="BFBFBF"/>
              <w:right w:val="single" w:sz="4" w:space="0" w:color="BFBFBF"/>
            </w:tcBorders>
            <w:shd w:val="clear" w:color="000000" w:fill="FFFFFF"/>
            <w:noWrap/>
            <w:hideMark/>
          </w:tcPr>
          <w:p w14:paraId="1820CE78" w14:textId="6A504B63" w:rsidR="00F42A40" w:rsidRPr="008C1B89" w:rsidRDefault="00F42A40" w:rsidP="00F42A40">
            <w:pPr>
              <w:jc w:val="right"/>
              <w:rPr>
                <w:rFonts w:eastAsia="Times New Roman" w:cs="Calibri"/>
                <w:color w:val="000000"/>
                <w:sz w:val="20"/>
                <w:szCs w:val="20"/>
                <w:lang w:eastAsia="en-AU"/>
              </w:rPr>
            </w:pPr>
            <w:r>
              <w:rPr>
                <w:color w:val="000000"/>
                <w:sz w:val="20"/>
                <w:szCs w:val="20"/>
              </w:rPr>
              <w:t>436</w:t>
            </w:r>
          </w:p>
        </w:tc>
        <w:tc>
          <w:tcPr>
            <w:tcW w:w="966" w:type="dxa"/>
            <w:tcBorders>
              <w:left w:val="nil"/>
              <w:right w:val="single" w:sz="4" w:space="0" w:color="BFBFBF"/>
            </w:tcBorders>
            <w:shd w:val="clear" w:color="auto" w:fill="auto"/>
            <w:noWrap/>
            <w:vAlign w:val="center"/>
            <w:hideMark/>
          </w:tcPr>
          <w:p w14:paraId="3D9D9661" w14:textId="75269DF9" w:rsidR="00F42A40" w:rsidRPr="008C1B89" w:rsidRDefault="00F42A40" w:rsidP="009D734D">
            <w:pPr>
              <w:jc w:val="center"/>
              <w:rPr>
                <w:rFonts w:eastAsia="Times New Roman" w:cs="Calibri"/>
                <w:color w:val="000000"/>
                <w:sz w:val="20"/>
                <w:szCs w:val="20"/>
                <w:lang w:eastAsia="en-AU"/>
              </w:rPr>
            </w:pPr>
          </w:p>
        </w:tc>
        <w:tc>
          <w:tcPr>
            <w:tcW w:w="1040" w:type="dxa"/>
            <w:tcBorders>
              <w:left w:val="nil"/>
              <w:right w:val="single" w:sz="4" w:space="0" w:color="BFBFBF"/>
            </w:tcBorders>
            <w:shd w:val="clear" w:color="auto" w:fill="auto"/>
            <w:noWrap/>
            <w:vAlign w:val="center"/>
            <w:hideMark/>
          </w:tcPr>
          <w:p w14:paraId="619EEE56" w14:textId="65875CF4" w:rsidR="00F42A40" w:rsidRPr="008C1B89" w:rsidRDefault="00F42A40" w:rsidP="009D734D">
            <w:pPr>
              <w:jc w:val="center"/>
              <w:rPr>
                <w:rFonts w:eastAsia="Times New Roman" w:cs="Calibri"/>
                <w:color w:val="000000"/>
                <w:sz w:val="20"/>
                <w:szCs w:val="20"/>
                <w:lang w:eastAsia="en-AU"/>
              </w:rPr>
            </w:pPr>
          </w:p>
        </w:tc>
        <w:tc>
          <w:tcPr>
            <w:tcW w:w="974" w:type="dxa"/>
            <w:tcBorders>
              <w:top w:val="nil"/>
              <w:left w:val="nil"/>
              <w:bottom w:val="single" w:sz="4" w:space="0" w:color="BFBFBF"/>
              <w:right w:val="single" w:sz="4" w:space="0" w:color="BFBFBF"/>
            </w:tcBorders>
            <w:shd w:val="clear" w:color="auto" w:fill="auto"/>
            <w:noWrap/>
            <w:hideMark/>
          </w:tcPr>
          <w:p w14:paraId="292A570C" w14:textId="795E2E92"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585A4039" w14:textId="2D2D86D5"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195EB4E2" w14:textId="469A7384"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614E0456" w14:textId="2E4E7C80"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184" w:type="dxa"/>
            <w:vMerge/>
            <w:tcBorders>
              <w:top w:val="single" w:sz="4" w:space="0" w:color="808080"/>
              <w:left w:val="single" w:sz="4" w:space="0" w:color="BFBFBF"/>
              <w:bottom w:val="single" w:sz="4" w:space="0" w:color="BFBFBF"/>
              <w:right w:val="single" w:sz="4" w:space="0" w:color="BFBFBF"/>
            </w:tcBorders>
            <w:vAlign w:val="center"/>
            <w:hideMark/>
          </w:tcPr>
          <w:p w14:paraId="090946F7" w14:textId="77777777" w:rsidR="00F42A40" w:rsidRPr="008C1B89" w:rsidRDefault="00F42A40" w:rsidP="00F42A40">
            <w:pPr>
              <w:rPr>
                <w:rFonts w:eastAsia="Times New Roman" w:cs="Calibri"/>
                <w:b/>
                <w:bCs/>
                <w:color w:val="000000"/>
                <w:sz w:val="20"/>
                <w:szCs w:val="20"/>
                <w:lang w:eastAsia="en-AU"/>
              </w:rPr>
            </w:pPr>
          </w:p>
        </w:tc>
      </w:tr>
      <w:tr w:rsidR="00F42A40" w:rsidRPr="008C1B89" w14:paraId="42FC54EB"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7445F71"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Bioremediation facility</w:t>
            </w:r>
          </w:p>
        </w:tc>
        <w:tc>
          <w:tcPr>
            <w:tcW w:w="956" w:type="dxa"/>
            <w:tcBorders>
              <w:top w:val="nil"/>
              <w:left w:val="nil"/>
              <w:bottom w:val="single" w:sz="4" w:space="0" w:color="BFBFBF"/>
              <w:right w:val="single" w:sz="4" w:space="0" w:color="BFBFBF"/>
            </w:tcBorders>
            <w:shd w:val="clear" w:color="000000" w:fill="FFFFFF"/>
            <w:noWrap/>
            <w:hideMark/>
          </w:tcPr>
          <w:p w14:paraId="650E1437" w14:textId="140B0369" w:rsidR="00F42A40" w:rsidRPr="008C1B89" w:rsidRDefault="00F42A40" w:rsidP="00F42A40">
            <w:pPr>
              <w:jc w:val="right"/>
              <w:rPr>
                <w:rFonts w:eastAsia="Times New Roman" w:cs="Calibri"/>
                <w:color w:val="000000"/>
                <w:sz w:val="20"/>
                <w:szCs w:val="20"/>
                <w:lang w:eastAsia="en-AU"/>
              </w:rPr>
            </w:pPr>
            <w:r>
              <w:rPr>
                <w:color w:val="000000"/>
                <w:sz w:val="20"/>
                <w:szCs w:val="20"/>
              </w:rPr>
              <w:t>5</w:t>
            </w:r>
          </w:p>
        </w:tc>
        <w:tc>
          <w:tcPr>
            <w:tcW w:w="966" w:type="dxa"/>
            <w:tcBorders>
              <w:left w:val="nil"/>
              <w:right w:val="single" w:sz="4" w:space="0" w:color="BFBFBF"/>
            </w:tcBorders>
            <w:shd w:val="clear" w:color="auto" w:fill="auto"/>
            <w:noWrap/>
            <w:vAlign w:val="center"/>
            <w:hideMark/>
          </w:tcPr>
          <w:p w14:paraId="682A7B96" w14:textId="1505F474" w:rsidR="00F42A40" w:rsidRPr="008C1B89" w:rsidRDefault="00F42A40" w:rsidP="009D734D">
            <w:pPr>
              <w:jc w:val="center"/>
              <w:rPr>
                <w:rFonts w:eastAsia="Times New Roman" w:cs="Calibri"/>
                <w:color w:val="000000"/>
                <w:sz w:val="20"/>
                <w:szCs w:val="20"/>
                <w:lang w:eastAsia="en-AU"/>
              </w:rPr>
            </w:pPr>
          </w:p>
        </w:tc>
        <w:tc>
          <w:tcPr>
            <w:tcW w:w="1040" w:type="dxa"/>
            <w:tcBorders>
              <w:left w:val="nil"/>
              <w:right w:val="single" w:sz="4" w:space="0" w:color="BFBFBF"/>
            </w:tcBorders>
            <w:shd w:val="clear" w:color="auto" w:fill="auto"/>
            <w:noWrap/>
            <w:vAlign w:val="center"/>
            <w:hideMark/>
          </w:tcPr>
          <w:p w14:paraId="40D42221" w14:textId="207FCAA1" w:rsidR="00F42A40" w:rsidRPr="008C1B89" w:rsidRDefault="00F42A40" w:rsidP="009D734D">
            <w:pPr>
              <w:jc w:val="center"/>
              <w:rPr>
                <w:rFonts w:eastAsia="Times New Roman" w:cs="Calibri"/>
                <w:color w:val="000000"/>
                <w:sz w:val="20"/>
                <w:szCs w:val="20"/>
                <w:lang w:eastAsia="en-AU"/>
              </w:rPr>
            </w:pPr>
          </w:p>
        </w:tc>
        <w:tc>
          <w:tcPr>
            <w:tcW w:w="974" w:type="dxa"/>
            <w:tcBorders>
              <w:top w:val="nil"/>
              <w:left w:val="nil"/>
              <w:bottom w:val="single" w:sz="4" w:space="0" w:color="BFBFBF"/>
              <w:right w:val="single" w:sz="4" w:space="0" w:color="BFBFBF"/>
            </w:tcBorders>
            <w:shd w:val="clear" w:color="auto" w:fill="auto"/>
            <w:noWrap/>
            <w:hideMark/>
          </w:tcPr>
          <w:p w14:paraId="252E1066" w14:textId="509ECB79"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7337ECAC" w14:textId="76F0C954"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437F7799" w14:textId="0E689CB2"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0C1BFED4" w14:textId="5E5011D5"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84" w:type="dxa"/>
            <w:vMerge/>
            <w:tcBorders>
              <w:top w:val="single" w:sz="4" w:space="0" w:color="808080"/>
              <w:left w:val="single" w:sz="4" w:space="0" w:color="BFBFBF"/>
              <w:bottom w:val="single" w:sz="4" w:space="0" w:color="BFBFBF"/>
              <w:right w:val="single" w:sz="4" w:space="0" w:color="BFBFBF"/>
            </w:tcBorders>
            <w:vAlign w:val="center"/>
            <w:hideMark/>
          </w:tcPr>
          <w:p w14:paraId="290BC11E" w14:textId="77777777" w:rsidR="00F42A40" w:rsidRPr="008C1B89" w:rsidRDefault="00F42A40" w:rsidP="00F42A40">
            <w:pPr>
              <w:rPr>
                <w:rFonts w:eastAsia="Times New Roman" w:cs="Calibri"/>
                <w:b/>
                <w:bCs/>
                <w:color w:val="000000"/>
                <w:sz w:val="20"/>
                <w:szCs w:val="20"/>
                <w:lang w:eastAsia="en-AU"/>
              </w:rPr>
            </w:pPr>
          </w:p>
        </w:tc>
      </w:tr>
      <w:tr w:rsidR="00F42A40" w:rsidRPr="008C1B89" w14:paraId="6EA1C39C"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65529DFA" w14:textId="545CCBB0" w:rsidR="00F42A40" w:rsidRPr="008C1B89" w:rsidRDefault="00F42A40" w:rsidP="00F42A40">
            <w:pPr>
              <w:jc w:val="right"/>
              <w:rPr>
                <w:rFonts w:eastAsia="Times New Roman" w:cs="Calibri"/>
                <w:color w:val="000000"/>
                <w:sz w:val="20"/>
                <w:szCs w:val="20"/>
                <w:lang w:eastAsia="en-AU"/>
              </w:rPr>
            </w:pPr>
            <w:r>
              <w:rPr>
                <w:rFonts w:eastAsia="Times New Roman" w:cs="Calibri"/>
                <w:color w:val="000000"/>
                <w:sz w:val="20"/>
                <w:szCs w:val="20"/>
                <w:lang w:eastAsia="en-AU"/>
              </w:rPr>
              <w:t>OWT</w:t>
            </w:r>
            <w:r w:rsidRPr="008C1B89">
              <w:rPr>
                <w:rFonts w:eastAsia="Times New Roman" w:cs="Calibri"/>
                <w:color w:val="000000"/>
                <w:sz w:val="20"/>
                <w:szCs w:val="20"/>
                <w:lang w:eastAsia="en-AU"/>
              </w:rPr>
              <w:t xml:space="preserve"> facility  </w:t>
            </w:r>
          </w:p>
        </w:tc>
        <w:tc>
          <w:tcPr>
            <w:tcW w:w="956" w:type="dxa"/>
            <w:tcBorders>
              <w:top w:val="nil"/>
              <w:left w:val="nil"/>
              <w:bottom w:val="single" w:sz="4" w:space="0" w:color="BFBFBF"/>
              <w:right w:val="single" w:sz="4" w:space="0" w:color="BFBFBF"/>
            </w:tcBorders>
            <w:shd w:val="clear" w:color="000000" w:fill="FFFFFF"/>
            <w:noWrap/>
            <w:hideMark/>
          </w:tcPr>
          <w:p w14:paraId="2D835B29" w14:textId="40C908EC" w:rsidR="00F42A40" w:rsidRPr="008C1B89" w:rsidRDefault="00F42A40" w:rsidP="00F42A40">
            <w:pPr>
              <w:jc w:val="right"/>
              <w:rPr>
                <w:rFonts w:eastAsia="Times New Roman" w:cs="Calibri"/>
                <w:color w:val="000000"/>
                <w:sz w:val="20"/>
                <w:szCs w:val="20"/>
                <w:lang w:eastAsia="en-AU"/>
              </w:rPr>
            </w:pPr>
            <w:r>
              <w:rPr>
                <w:color w:val="000000"/>
                <w:sz w:val="20"/>
                <w:szCs w:val="20"/>
              </w:rPr>
              <w:t>23,291</w:t>
            </w:r>
          </w:p>
        </w:tc>
        <w:tc>
          <w:tcPr>
            <w:tcW w:w="966" w:type="dxa"/>
            <w:tcBorders>
              <w:left w:val="nil"/>
              <w:right w:val="single" w:sz="4" w:space="0" w:color="BFBFBF"/>
            </w:tcBorders>
            <w:shd w:val="clear" w:color="auto" w:fill="auto"/>
            <w:noWrap/>
            <w:vAlign w:val="center"/>
            <w:hideMark/>
          </w:tcPr>
          <w:p w14:paraId="234CF77B" w14:textId="618D36B6" w:rsidR="00F42A40" w:rsidRPr="008C1B89" w:rsidRDefault="00F42A40" w:rsidP="009D734D">
            <w:pPr>
              <w:jc w:val="center"/>
              <w:rPr>
                <w:rFonts w:eastAsia="Times New Roman" w:cs="Calibri"/>
                <w:color w:val="000000"/>
                <w:sz w:val="20"/>
                <w:szCs w:val="20"/>
                <w:lang w:eastAsia="en-AU"/>
              </w:rPr>
            </w:pPr>
          </w:p>
        </w:tc>
        <w:tc>
          <w:tcPr>
            <w:tcW w:w="1040" w:type="dxa"/>
            <w:tcBorders>
              <w:left w:val="nil"/>
              <w:right w:val="single" w:sz="4" w:space="0" w:color="BFBFBF"/>
            </w:tcBorders>
            <w:shd w:val="clear" w:color="auto" w:fill="auto"/>
            <w:noWrap/>
            <w:vAlign w:val="center"/>
            <w:hideMark/>
          </w:tcPr>
          <w:p w14:paraId="5ABEFD61" w14:textId="0178D51D" w:rsidR="00F42A40" w:rsidRPr="008C1B89" w:rsidRDefault="00F42A40" w:rsidP="009D734D">
            <w:pPr>
              <w:jc w:val="center"/>
              <w:rPr>
                <w:rFonts w:eastAsia="Times New Roman" w:cs="Calibri"/>
                <w:color w:val="000000"/>
                <w:sz w:val="20"/>
                <w:szCs w:val="20"/>
                <w:lang w:eastAsia="en-AU"/>
              </w:rPr>
            </w:pPr>
          </w:p>
        </w:tc>
        <w:tc>
          <w:tcPr>
            <w:tcW w:w="974" w:type="dxa"/>
            <w:tcBorders>
              <w:top w:val="nil"/>
              <w:left w:val="nil"/>
              <w:bottom w:val="single" w:sz="4" w:space="0" w:color="BFBFBF"/>
              <w:right w:val="single" w:sz="4" w:space="0" w:color="BFBFBF"/>
            </w:tcBorders>
            <w:shd w:val="clear" w:color="auto" w:fill="auto"/>
            <w:noWrap/>
            <w:hideMark/>
          </w:tcPr>
          <w:p w14:paraId="6C0B47F4" w14:textId="42D0A422"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07D4540E" w14:textId="59357F39"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740" w:type="dxa"/>
            <w:tcBorders>
              <w:top w:val="nil"/>
              <w:left w:val="nil"/>
              <w:bottom w:val="single" w:sz="4" w:space="0" w:color="BFBFBF"/>
              <w:right w:val="single" w:sz="4" w:space="0" w:color="BFBFBF"/>
            </w:tcBorders>
            <w:shd w:val="clear" w:color="000000" w:fill="FFFFFF"/>
            <w:noWrap/>
            <w:hideMark/>
          </w:tcPr>
          <w:p w14:paraId="77A94CAA" w14:textId="745E837F"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740" w:type="dxa"/>
            <w:tcBorders>
              <w:top w:val="nil"/>
              <w:left w:val="nil"/>
              <w:bottom w:val="single" w:sz="4" w:space="0" w:color="BFBFBF"/>
              <w:right w:val="single" w:sz="4" w:space="0" w:color="BFBFBF"/>
            </w:tcBorders>
            <w:shd w:val="clear" w:color="000000" w:fill="FFFFFF"/>
            <w:noWrap/>
            <w:hideMark/>
          </w:tcPr>
          <w:p w14:paraId="34EEFCB6" w14:textId="68E79E83"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5184" w:type="dxa"/>
            <w:vMerge/>
            <w:tcBorders>
              <w:top w:val="single" w:sz="4" w:space="0" w:color="808080"/>
              <w:left w:val="single" w:sz="4" w:space="0" w:color="BFBFBF"/>
              <w:bottom w:val="single" w:sz="4" w:space="0" w:color="BFBFBF"/>
              <w:right w:val="single" w:sz="4" w:space="0" w:color="BFBFBF"/>
            </w:tcBorders>
            <w:vAlign w:val="center"/>
            <w:hideMark/>
          </w:tcPr>
          <w:p w14:paraId="4F619BC5" w14:textId="77777777" w:rsidR="00F42A40" w:rsidRPr="008C1B89" w:rsidRDefault="00F42A40" w:rsidP="00F42A40">
            <w:pPr>
              <w:rPr>
                <w:rFonts w:eastAsia="Times New Roman" w:cs="Calibri"/>
                <w:b/>
                <w:bCs/>
                <w:color w:val="000000"/>
                <w:sz w:val="20"/>
                <w:szCs w:val="20"/>
                <w:lang w:eastAsia="en-AU"/>
              </w:rPr>
            </w:pPr>
          </w:p>
        </w:tc>
      </w:tr>
      <w:tr w:rsidR="00F42A40" w:rsidRPr="008C1B89" w14:paraId="0426D24A"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4EDA18DA"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Soils treatment facility</w:t>
            </w:r>
          </w:p>
        </w:tc>
        <w:tc>
          <w:tcPr>
            <w:tcW w:w="956" w:type="dxa"/>
            <w:tcBorders>
              <w:top w:val="nil"/>
              <w:left w:val="nil"/>
              <w:bottom w:val="single" w:sz="4" w:space="0" w:color="BFBFBF"/>
              <w:right w:val="single" w:sz="4" w:space="0" w:color="BFBFBF"/>
            </w:tcBorders>
            <w:shd w:val="clear" w:color="000000" w:fill="FFFFFF"/>
            <w:noWrap/>
            <w:hideMark/>
          </w:tcPr>
          <w:p w14:paraId="1FF853AA" w14:textId="18B8FFB4" w:rsidR="00F42A40" w:rsidRPr="008C1B89" w:rsidRDefault="00F42A40" w:rsidP="00F42A40">
            <w:pPr>
              <w:jc w:val="right"/>
              <w:rPr>
                <w:rFonts w:eastAsia="Times New Roman" w:cs="Calibri"/>
                <w:color w:val="000000"/>
                <w:sz w:val="20"/>
                <w:szCs w:val="20"/>
                <w:lang w:eastAsia="en-AU"/>
              </w:rPr>
            </w:pPr>
            <w:r>
              <w:rPr>
                <w:color w:val="000000"/>
                <w:sz w:val="20"/>
                <w:szCs w:val="20"/>
              </w:rPr>
              <w:t>65,956</w:t>
            </w:r>
          </w:p>
        </w:tc>
        <w:tc>
          <w:tcPr>
            <w:tcW w:w="966" w:type="dxa"/>
            <w:tcBorders>
              <w:left w:val="nil"/>
              <w:bottom w:val="single" w:sz="4" w:space="0" w:color="BFBFBF"/>
              <w:right w:val="single" w:sz="4" w:space="0" w:color="BFBFBF"/>
            </w:tcBorders>
            <w:shd w:val="clear" w:color="auto" w:fill="auto"/>
            <w:noWrap/>
            <w:vAlign w:val="center"/>
            <w:hideMark/>
          </w:tcPr>
          <w:p w14:paraId="14AE6CE3" w14:textId="139469B8" w:rsidR="00F42A40" w:rsidRPr="008C1B89" w:rsidRDefault="00F42A40" w:rsidP="009D734D">
            <w:pPr>
              <w:jc w:val="center"/>
              <w:rPr>
                <w:rFonts w:eastAsia="Times New Roman" w:cs="Calibri"/>
                <w:color w:val="000000"/>
                <w:sz w:val="20"/>
                <w:szCs w:val="20"/>
                <w:lang w:eastAsia="en-AU"/>
              </w:rPr>
            </w:pPr>
          </w:p>
        </w:tc>
        <w:tc>
          <w:tcPr>
            <w:tcW w:w="1040" w:type="dxa"/>
            <w:tcBorders>
              <w:left w:val="nil"/>
              <w:bottom w:val="single" w:sz="4" w:space="0" w:color="BFBFBF"/>
              <w:right w:val="single" w:sz="4" w:space="0" w:color="BFBFBF"/>
            </w:tcBorders>
            <w:shd w:val="clear" w:color="auto" w:fill="auto"/>
            <w:noWrap/>
            <w:vAlign w:val="center"/>
            <w:hideMark/>
          </w:tcPr>
          <w:p w14:paraId="029408ED" w14:textId="3FA86374" w:rsidR="00F42A40" w:rsidRPr="008C1B89" w:rsidRDefault="00F42A40" w:rsidP="009D734D">
            <w:pPr>
              <w:jc w:val="center"/>
              <w:rPr>
                <w:rFonts w:eastAsia="Times New Roman" w:cs="Calibri"/>
                <w:color w:val="000000"/>
                <w:sz w:val="20"/>
                <w:szCs w:val="20"/>
                <w:lang w:eastAsia="en-AU"/>
              </w:rPr>
            </w:pPr>
          </w:p>
        </w:tc>
        <w:tc>
          <w:tcPr>
            <w:tcW w:w="974" w:type="dxa"/>
            <w:tcBorders>
              <w:top w:val="nil"/>
              <w:left w:val="nil"/>
              <w:bottom w:val="single" w:sz="4" w:space="0" w:color="BFBFBF"/>
              <w:right w:val="single" w:sz="4" w:space="0" w:color="BFBFBF"/>
            </w:tcBorders>
            <w:shd w:val="clear" w:color="auto" w:fill="auto"/>
            <w:noWrap/>
            <w:hideMark/>
          </w:tcPr>
          <w:p w14:paraId="04271204" w14:textId="6C0024AA"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9EAD37B" w14:textId="5C8B7C93"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70C01713" w14:textId="6E37061D"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1442190F" w14:textId="4FF28A42"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84" w:type="dxa"/>
            <w:vMerge/>
            <w:tcBorders>
              <w:top w:val="single" w:sz="4" w:space="0" w:color="808080"/>
              <w:left w:val="single" w:sz="4" w:space="0" w:color="BFBFBF"/>
              <w:bottom w:val="single" w:sz="4" w:space="0" w:color="BFBFBF"/>
              <w:right w:val="single" w:sz="4" w:space="0" w:color="BFBFBF"/>
            </w:tcBorders>
            <w:vAlign w:val="center"/>
            <w:hideMark/>
          </w:tcPr>
          <w:p w14:paraId="46C81051" w14:textId="77777777" w:rsidR="00F42A40" w:rsidRPr="008C1B89" w:rsidRDefault="00F42A40" w:rsidP="00F42A40">
            <w:pPr>
              <w:rPr>
                <w:rFonts w:eastAsia="Times New Roman" w:cs="Calibri"/>
                <w:b/>
                <w:bCs/>
                <w:color w:val="000000"/>
                <w:sz w:val="20"/>
                <w:szCs w:val="20"/>
                <w:lang w:eastAsia="en-AU"/>
              </w:rPr>
            </w:pPr>
          </w:p>
        </w:tc>
      </w:tr>
      <w:tr w:rsidR="009D734D" w:rsidRPr="008C1B89" w14:paraId="3B9A795C"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605E12B5" w14:textId="77777777" w:rsidR="00F42A40" w:rsidRPr="008C1B89" w:rsidRDefault="00F42A40" w:rsidP="00F42A40">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Disposal</w:t>
            </w:r>
          </w:p>
        </w:tc>
        <w:tc>
          <w:tcPr>
            <w:tcW w:w="956" w:type="dxa"/>
            <w:tcBorders>
              <w:top w:val="nil"/>
              <w:left w:val="nil"/>
              <w:bottom w:val="single" w:sz="4" w:space="0" w:color="BFBFBF"/>
              <w:right w:val="single" w:sz="4" w:space="0" w:color="BFBFBF"/>
            </w:tcBorders>
            <w:shd w:val="clear" w:color="000000" w:fill="C5D9F1"/>
            <w:noWrap/>
            <w:hideMark/>
          </w:tcPr>
          <w:p w14:paraId="1400A1F1" w14:textId="26AEEC68"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966" w:type="dxa"/>
            <w:tcBorders>
              <w:top w:val="nil"/>
              <w:left w:val="nil"/>
              <w:bottom w:val="single" w:sz="4" w:space="0" w:color="BFBFBF"/>
              <w:right w:val="nil"/>
            </w:tcBorders>
            <w:shd w:val="clear" w:color="000000" w:fill="C5D9F1"/>
            <w:noWrap/>
            <w:vAlign w:val="center"/>
            <w:hideMark/>
          </w:tcPr>
          <w:p w14:paraId="77515B83" w14:textId="121F274F" w:rsidR="00F42A40" w:rsidRPr="008C1B89" w:rsidRDefault="00F42A40" w:rsidP="009D734D">
            <w:pPr>
              <w:jc w:val="center"/>
              <w:rPr>
                <w:rFonts w:eastAsia="Times New Roman" w:cs="Calibri"/>
                <w:color w:val="000000"/>
                <w:sz w:val="20"/>
                <w:szCs w:val="20"/>
                <w:lang w:eastAsia="en-AU"/>
              </w:rPr>
            </w:pPr>
          </w:p>
        </w:tc>
        <w:tc>
          <w:tcPr>
            <w:tcW w:w="1040" w:type="dxa"/>
            <w:tcBorders>
              <w:top w:val="nil"/>
              <w:left w:val="nil"/>
              <w:bottom w:val="single" w:sz="4" w:space="0" w:color="BFBFBF"/>
              <w:right w:val="nil"/>
            </w:tcBorders>
            <w:shd w:val="clear" w:color="000000" w:fill="C5D9F1"/>
            <w:noWrap/>
            <w:vAlign w:val="center"/>
            <w:hideMark/>
          </w:tcPr>
          <w:p w14:paraId="07309CF1" w14:textId="5033C6B5" w:rsidR="00F42A40" w:rsidRPr="008C1B89" w:rsidRDefault="00F42A40" w:rsidP="009D734D">
            <w:pPr>
              <w:jc w:val="center"/>
              <w:rPr>
                <w:rFonts w:eastAsia="Times New Roman" w:cs="Calibri"/>
                <w:color w:val="000000"/>
                <w:sz w:val="20"/>
                <w:szCs w:val="20"/>
                <w:lang w:eastAsia="en-AU"/>
              </w:rPr>
            </w:pPr>
          </w:p>
        </w:tc>
        <w:tc>
          <w:tcPr>
            <w:tcW w:w="974" w:type="dxa"/>
            <w:tcBorders>
              <w:top w:val="nil"/>
              <w:left w:val="nil"/>
              <w:bottom w:val="single" w:sz="4" w:space="0" w:color="BFBFBF"/>
              <w:right w:val="single" w:sz="4" w:space="0" w:color="BFBFBF"/>
            </w:tcBorders>
            <w:shd w:val="clear" w:color="000000" w:fill="C5D9F1"/>
            <w:noWrap/>
            <w:hideMark/>
          </w:tcPr>
          <w:p w14:paraId="6F016FD6" w14:textId="25CA84C0"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252C5DFA" w14:textId="65537551"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321E15C4" w14:textId="4DC88DC6"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4735C0CB" w14:textId="21F3CD9B"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5184" w:type="dxa"/>
            <w:vMerge/>
            <w:tcBorders>
              <w:top w:val="single" w:sz="4" w:space="0" w:color="808080"/>
              <w:left w:val="single" w:sz="4" w:space="0" w:color="BFBFBF"/>
              <w:bottom w:val="single" w:sz="4" w:space="0" w:color="BFBFBF"/>
              <w:right w:val="single" w:sz="4" w:space="0" w:color="BFBFBF"/>
            </w:tcBorders>
            <w:vAlign w:val="center"/>
            <w:hideMark/>
          </w:tcPr>
          <w:p w14:paraId="7431F53F" w14:textId="77777777" w:rsidR="00F42A40" w:rsidRPr="008C1B89" w:rsidRDefault="00F42A40" w:rsidP="00F42A40">
            <w:pPr>
              <w:rPr>
                <w:rFonts w:eastAsia="Times New Roman" w:cs="Calibri"/>
                <w:b/>
                <w:bCs/>
                <w:color w:val="000000"/>
                <w:sz w:val="20"/>
                <w:szCs w:val="20"/>
                <w:lang w:eastAsia="en-AU"/>
              </w:rPr>
            </w:pPr>
          </w:p>
        </w:tc>
      </w:tr>
      <w:tr w:rsidR="00F42A40" w:rsidRPr="008C1B89" w14:paraId="797DC803"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302E817C"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 xml:space="preserve">Hazardous waste landfill facility </w:t>
            </w:r>
          </w:p>
        </w:tc>
        <w:tc>
          <w:tcPr>
            <w:tcW w:w="956" w:type="dxa"/>
            <w:tcBorders>
              <w:top w:val="nil"/>
              <w:left w:val="nil"/>
              <w:bottom w:val="single" w:sz="4" w:space="0" w:color="BFBFBF"/>
              <w:right w:val="single" w:sz="4" w:space="0" w:color="BFBFBF"/>
            </w:tcBorders>
            <w:shd w:val="clear" w:color="000000" w:fill="FFFFFF"/>
            <w:noWrap/>
            <w:hideMark/>
          </w:tcPr>
          <w:p w14:paraId="032A3B55" w14:textId="212383A2" w:rsidR="00F42A40" w:rsidRPr="008C1B89" w:rsidRDefault="00F42A40" w:rsidP="00F42A40">
            <w:pPr>
              <w:jc w:val="right"/>
              <w:rPr>
                <w:rFonts w:eastAsia="Times New Roman" w:cs="Calibri"/>
                <w:color w:val="000000"/>
                <w:sz w:val="20"/>
                <w:szCs w:val="20"/>
                <w:lang w:eastAsia="en-AU"/>
              </w:rPr>
            </w:pPr>
            <w:r>
              <w:rPr>
                <w:color w:val="000000"/>
                <w:sz w:val="20"/>
                <w:szCs w:val="20"/>
              </w:rPr>
              <w:t>41,499</w:t>
            </w:r>
          </w:p>
        </w:tc>
        <w:tc>
          <w:tcPr>
            <w:tcW w:w="966" w:type="dxa"/>
            <w:tcBorders>
              <w:top w:val="nil"/>
              <w:left w:val="nil"/>
              <w:right w:val="single" w:sz="4" w:space="0" w:color="BFBFBF"/>
            </w:tcBorders>
            <w:shd w:val="clear" w:color="auto" w:fill="auto"/>
            <w:noWrap/>
            <w:vAlign w:val="center"/>
            <w:hideMark/>
          </w:tcPr>
          <w:p w14:paraId="0632D1B9" w14:textId="39FC338B"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40" w:type="dxa"/>
            <w:tcBorders>
              <w:top w:val="nil"/>
              <w:left w:val="nil"/>
              <w:right w:val="single" w:sz="4" w:space="0" w:color="BFBFBF"/>
            </w:tcBorders>
            <w:shd w:val="clear" w:color="auto" w:fill="auto"/>
            <w:noWrap/>
            <w:vAlign w:val="center"/>
            <w:hideMark/>
          </w:tcPr>
          <w:p w14:paraId="66A44F45" w14:textId="1B5227ED"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74" w:type="dxa"/>
            <w:tcBorders>
              <w:top w:val="nil"/>
              <w:left w:val="nil"/>
              <w:bottom w:val="single" w:sz="4" w:space="0" w:color="BFBFBF"/>
              <w:right w:val="single" w:sz="4" w:space="0" w:color="BFBFBF"/>
            </w:tcBorders>
            <w:shd w:val="clear" w:color="auto" w:fill="auto"/>
            <w:noWrap/>
            <w:hideMark/>
          </w:tcPr>
          <w:p w14:paraId="4881E937" w14:textId="3D9AE397"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3ADCC7C2" w14:textId="7A19FCEE"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42E84314" w14:textId="46B3C73B"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3623BCB" w14:textId="79EF027D"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84" w:type="dxa"/>
            <w:vMerge/>
            <w:tcBorders>
              <w:top w:val="single" w:sz="4" w:space="0" w:color="808080"/>
              <w:left w:val="single" w:sz="4" w:space="0" w:color="BFBFBF"/>
              <w:bottom w:val="single" w:sz="4" w:space="0" w:color="BFBFBF"/>
              <w:right w:val="single" w:sz="4" w:space="0" w:color="BFBFBF"/>
            </w:tcBorders>
            <w:vAlign w:val="center"/>
            <w:hideMark/>
          </w:tcPr>
          <w:p w14:paraId="4A9CB94E" w14:textId="77777777" w:rsidR="00F42A40" w:rsidRPr="008C1B89" w:rsidRDefault="00F42A40" w:rsidP="00F42A40">
            <w:pPr>
              <w:rPr>
                <w:rFonts w:eastAsia="Times New Roman" w:cs="Calibri"/>
                <w:b/>
                <w:bCs/>
                <w:color w:val="000000"/>
                <w:sz w:val="20"/>
                <w:szCs w:val="20"/>
                <w:lang w:eastAsia="en-AU"/>
              </w:rPr>
            </w:pPr>
          </w:p>
        </w:tc>
      </w:tr>
      <w:tr w:rsidR="00F42A40" w:rsidRPr="008C1B89" w14:paraId="505DC238"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696F23C2"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Landfill facility (NEPM codes N, T)</w:t>
            </w:r>
          </w:p>
        </w:tc>
        <w:tc>
          <w:tcPr>
            <w:tcW w:w="956" w:type="dxa"/>
            <w:tcBorders>
              <w:top w:val="nil"/>
              <w:left w:val="nil"/>
              <w:bottom w:val="single" w:sz="4" w:space="0" w:color="BFBFBF"/>
              <w:right w:val="single" w:sz="4" w:space="0" w:color="BFBFBF"/>
            </w:tcBorders>
            <w:shd w:val="clear" w:color="000000" w:fill="FFFFFF"/>
            <w:noWrap/>
            <w:hideMark/>
          </w:tcPr>
          <w:p w14:paraId="67BBAF4D" w14:textId="613F705E" w:rsidR="00F42A40" w:rsidRPr="008C1B89" w:rsidRDefault="00F42A40" w:rsidP="00F42A40">
            <w:pPr>
              <w:jc w:val="right"/>
              <w:rPr>
                <w:rFonts w:eastAsia="Times New Roman" w:cs="Calibri"/>
                <w:color w:val="000000"/>
                <w:sz w:val="20"/>
                <w:szCs w:val="20"/>
                <w:lang w:eastAsia="en-AU"/>
              </w:rPr>
            </w:pPr>
            <w:r>
              <w:rPr>
                <w:color w:val="000000"/>
                <w:sz w:val="20"/>
                <w:szCs w:val="20"/>
              </w:rPr>
              <w:t>108,500</w:t>
            </w:r>
          </w:p>
        </w:tc>
        <w:tc>
          <w:tcPr>
            <w:tcW w:w="966" w:type="dxa"/>
            <w:tcBorders>
              <w:left w:val="nil"/>
              <w:right w:val="single" w:sz="4" w:space="0" w:color="BFBFBF"/>
            </w:tcBorders>
            <w:shd w:val="clear" w:color="auto" w:fill="auto"/>
            <w:noWrap/>
            <w:vAlign w:val="center"/>
            <w:hideMark/>
          </w:tcPr>
          <w:p w14:paraId="26411768" w14:textId="39D26D10" w:rsidR="00F42A40" w:rsidRPr="008C1B89" w:rsidRDefault="00F42A40" w:rsidP="009D734D">
            <w:pPr>
              <w:jc w:val="center"/>
              <w:rPr>
                <w:rFonts w:eastAsia="Times New Roman" w:cs="Calibri"/>
                <w:color w:val="000000"/>
                <w:sz w:val="20"/>
                <w:szCs w:val="20"/>
                <w:lang w:eastAsia="en-AU"/>
              </w:rPr>
            </w:pPr>
          </w:p>
        </w:tc>
        <w:tc>
          <w:tcPr>
            <w:tcW w:w="1040" w:type="dxa"/>
            <w:tcBorders>
              <w:left w:val="nil"/>
              <w:right w:val="single" w:sz="4" w:space="0" w:color="BFBFBF"/>
            </w:tcBorders>
            <w:shd w:val="clear" w:color="auto" w:fill="auto"/>
            <w:noWrap/>
            <w:vAlign w:val="center"/>
            <w:hideMark/>
          </w:tcPr>
          <w:p w14:paraId="2A2BC2FB" w14:textId="58AEE0F8" w:rsidR="00F42A40" w:rsidRPr="008C1B89" w:rsidRDefault="00F42A40" w:rsidP="009D734D">
            <w:pPr>
              <w:jc w:val="center"/>
              <w:rPr>
                <w:rFonts w:eastAsia="Times New Roman" w:cs="Calibri"/>
                <w:color w:val="000000"/>
                <w:sz w:val="20"/>
                <w:szCs w:val="20"/>
                <w:lang w:eastAsia="en-AU"/>
              </w:rPr>
            </w:pPr>
          </w:p>
        </w:tc>
        <w:tc>
          <w:tcPr>
            <w:tcW w:w="974" w:type="dxa"/>
            <w:tcBorders>
              <w:top w:val="nil"/>
              <w:left w:val="nil"/>
              <w:bottom w:val="single" w:sz="4" w:space="0" w:color="BFBFBF"/>
              <w:right w:val="single" w:sz="4" w:space="0" w:color="BFBFBF"/>
            </w:tcBorders>
            <w:shd w:val="clear" w:color="auto" w:fill="auto"/>
            <w:noWrap/>
            <w:hideMark/>
          </w:tcPr>
          <w:p w14:paraId="6BE3D49F" w14:textId="241CAB5E"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1E60D5DE" w14:textId="7AE6EB3E"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03F9741A" w14:textId="07DBAF46"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13E7C3BE" w14:textId="11DFCCC0"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84" w:type="dxa"/>
            <w:vMerge/>
            <w:tcBorders>
              <w:top w:val="single" w:sz="4" w:space="0" w:color="808080"/>
              <w:left w:val="single" w:sz="4" w:space="0" w:color="BFBFBF"/>
              <w:bottom w:val="single" w:sz="4" w:space="0" w:color="BFBFBF"/>
              <w:right w:val="single" w:sz="4" w:space="0" w:color="BFBFBF"/>
            </w:tcBorders>
            <w:vAlign w:val="center"/>
            <w:hideMark/>
          </w:tcPr>
          <w:p w14:paraId="3D4D0FA3" w14:textId="77777777" w:rsidR="00F42A40" w:rsidRPr="008C1B89" w:rsidRDefault="00F42A40" w:rsidP="00F42A40">
            <w:pPr>
              <w:rPr>
                <w:rFonts w:eastAsia="Times New Roman" w:cs="Calibri"/>
                <w:b/>
                <w:bCs/>
                <w:color w:val="000000"/>
                <w:sz w:val="20"/>
                <w:szCs w:val="20"/>
                <w:lang w:eastAsia="en-AU"/>
              </w:rPr>
            </w:pPr>
          </w:p>
        </w:tc>
      </w:tr>
      <w:tr w:rsidR="00F42A40" w:rsidRPr="008C1B89" w14:paraId="7C756AA6"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37F0CEA9"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 xml:space="preserve">Persistent organic pollutants thermal destruction facility </w:t>
            </w:r>
          </w:p>
        </w:tc>
        <w:tc>
          <w:tcPr>
            <w:tcW w:w="956" w:type="dxa"/>
            <w:tcBorders>
              <w:top w:val="nil"/>
              <w:left w:val="nil"/>
              <w:bottom w:val="single" w:sz="4" w:space="0" w:color="BFBFBF"/>
              <w:right w:val="single" w:sz="4" w:space="0" w:color="BFBFBF"/>
            </w:tcBorders>
            <w:shd w:val="clear" w:color="000000" w:fill="FFFFFF"/>
            <w:noWrap/>
            <w:hideMark/>
          </w:tcPr>
          <w:p w14:paraId="2C350DF3" w14:textId="51BE9DB1" w:rsidR="00F42A40" w:rsidRPr="008C1B89" w:rsidRDefault="00F42A40" w:rsidP="00F42A40">
            <w:pPr>
              <w:jc w:val="right"/>
              <w:rPr>
                <w:rFonts w:eastAsia="Times New Roman" w:cs="Calibri"/>
                <w:color w:val="000000"/>
                <w:sz w:val="20"/>
                <w:szCs w:val="20"/>
                <w:lang w:eastAsia="en-AU"/>
              </w:rPr>
            </w:pPr>
            <w:r>
              <w:rPr>
                <w:color w:val="000000"/>
                <w:sz w:val="20"/>
                <w:szCs w:val="20"/>
              </w:rPr>
              <w:t>36</w:t>
            </w:r>
          </w:p>
        </w:tc>
        <w:tc>
          <w:tcPr>
            <w:tcW w:w="966" w:type="dxa"/>
            <w:tcBorders>
              <w:left w:val="nil"/>
              <w:right w:val="single" w:sz="4" w:space="0" w:color="BFBFBF"/>
            </w:tcBorders>
            <w:shd w:val="clear" w:color="auto" w:fill="auto"/>
            <w:noWrap/>
            <w:vAlign w:val="center"/>
            <w:hideMark/>
          </w:tcPr>
          <w:p w14:paraId="0A64F3FB" w14:textId="47F961FC" w:rsidR="00F42A40" w:rsidRPr="008C1B89" w:rsidRDefault="00F42A40" w:rsidP="009D734D">
            <w:pPr>
              <w:jc w:val="center"/>
              <w:rPr>
                <w:rFonts w:eastAsia="Times New Roman" w:cs="Calibri"/>
                <w:color w:val="000000"/>
                <w:sz w:val="20"/>
                <w:szCs w:val="20"/>
                <w:lang w:eastAsia="en-AU"/>
              </w:rPr>
            </w:pPr>
          </w:p>
        </w:tc>
        <w:tc>
          <w:tcPr>
            <w:tcW w:w="1040" w:type="dxa"/>
            <w:tcBorders>
              <w:left w:val="nil"/>
              <w:right w:val="single" w:sz="4" w:space="0" w:color="BFBFBF"/>
            </w:tcBorders>
            <w:shd w:val="clear" w:color="auto" w:fill="auto"/>
            <w:noWrap/>
            <w:vAlign w:val="center"/>
            <w:hideMark/>
          </w:tcPr>
          <w:p w14:paraId="5DF08959" w14:textId="4530DCDC" w:rsidR="00F42A40" w:rsidRPr="008C1B89" w:rsidRDefault="00F42A40" w:rsidP="009D734D">
            <w:pPr>
              <w:jc w:val="center"/>
              <w:rPr>
                <w:rFonts w:eastAsia="Times New Roman" w:cs="Calibri"/>
                <w:color w:val="000000"/>
                <w:sz w:val="20"/>
                <w:szCs w:val="20"/>
                <w:lang w:eastAsia="en-AU"/>
              </w:rPr>
            </w:pPr>
          </w:p>
        </w:tc>
        <w:tc>
          <w:tcPr>
            <w:tcW w:w="974" w:type="dxa"/>
            <w:tcBorders>
              <w:top w:val="nil"/>
              <w:left w:val="nil"/>
              <w:bottom w:val="single" w:sz="4" w:space="0" w:color="BFBFBF"/>
              <w:right w:val="single" w:sz="4" w:space="0" w:color="BFBFBF"/>
            </w:tcBorders>
            <w:shd w:val="clear" w:color="auto" w:fill="auto"/>
            <w:noWrap/>
            <w:hideMark/>
          </w:tcPr>
          <w:p w14:paraId="6FD1F8C4" w14:textId="7EF8DCA4"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5416472" w14:textId="2C3589BF"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18B76353" w14:textId="1CF23C21"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4E6A2EEF" w14:textId="13F98C5E"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84" w:type="dxa"/>
            <w:vMerge/>
            <w:tcBorders>
              <w:top w:val="single" w:sz="4" w:space="0" w:color="808080"/>
              <w:left w:val="single" w:sz="4" w:space="0" w:color="BFBFBF"/>
              <w:bottom w:val="single" w:sz="4" w:space="0" w:color="BFBFBF"/>
              <w:right w:val="single" w:sz="4" w:space="0" w:color="BFBFBF"/>
            </w:tcBorders>
            <w:vAlign w:val="center"/>
            <w:hideMark/>
          </w:tcPr>
          <w:p w14:paraId="5A97611D" w14:textId="77777777" w:rsidR="00F42A40" w:rsidRPr="008C1B89" w:rsidRDefault="00F42A40" w:rsidP="00F42A40">
            <w:pPr>
              <w:rPr>
                <w:rFonts w:eastAsia="Times New Roman" w:cs="Calibri"/>
                <w:b/>
                <w:bCs/>
                <w:color w:val="000000"/>
                <w:sz w:val="20"/>
                <w:szCs w:val="20"/>
                <w:lang w:eastAsia="en-AU"/>
              </w:rPr>
            </w:pPr>
          </w:p>
        </w:tc>
      </w:tr>
      <w:tr w:rsidR="00F42A40" w:rsidRPr="008C1B89" w14:paraId="5DA65A87"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3F896FB2"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Clinical waste facility thermal destruction</w:t>
            </w:r>
          </w:p>
        </w:tc>
        <w:tc>
          <w:tcPr>
            <w:tcW w:w="956" w:type="dxa"/>
            <w:tcBorders>
              <w:top w:val="nil"/>
              <w:left w:val="nil"/>
              <w:bottom w:val="single" w:sz="4" w:space="0" w:color="BFBFBF"/>
              <w:right w:val="single" w:sz="4" w:space="0" w:color="BFBFBF"/>
            </w:tcBorders>
            <w:shd w:val="clear" w:color="000000" w:fill="FFFFFF"/>
            <w:noWrap/>
            <w:hideMark/>
          </w:tcPr>
          <w:p w14:paraId="168ED037" w14:textId="678AA579" w:rsidR="00F42A40" w:rsidRPr="008C1B89" w:rsidRDefault="00F42A40" w:rsidP="00F42A40">
            <w:pPr>
              <w:jc w:val="right"/>
              <w:rPr>
                <w:rFonts w:eastAsia="Times New Roman" w:cs="Calibri"/>
                <w:color w:val="000000"/>
                <w:sz w:val="20"/>
                <w:szCs w:val="20"/>
                <w:lang w:eastAsia="en-AU"/>
              </w:rPr>
            </w:pPr>
            <w:r>
              <w:rPr>
                <w:color w:val="000000"/>
                <w:sz w:val="20"/>
                <w:szCs w:val="20"/>
              </w:rPr>
              <w:t>3,538</w:t>
            </w:r>
          </w:p>
        </w:tc>
        <w:tc>
          <w:tcPr>
            <w:tcW w:w="966" w:type="dxa"/>
            <w:tcBorders>
              <w:left w:val="nil"/>
              <w:bottom w:val="single" w:sz="4" w:space="0" w:color="BFBFBF"/>
              <w:right w:val="single" w:sz="4" w:space="0" w:color="BFBFBF"/>
            </w:tcBorders>
            <w:shd w:val="clear" w:color="auto" w:fill="auto"/>
            <w:noWrap/>
            <w:vAlign w:val="center"/>
            <w:hideMark/>
          </w:tcPr>
          <w:p w14:paraId="7FD68B91" w14:textId="7E95B55E" w:rsidR="00F42A40" w:rsidRPr="008C1B89" w:rsidRDefault="00F42A40" w:rsidP="009D734D">
            <w:pPr>
              <w:jc w:val="center"/>
              <w:rPr>
                <w:rFonts w:eastAsia="Times New Roman" w:cs="Calibri"/>
                <w:color w:val="000000"/>
                <w:sz w:val="20"/>
                <w:szCs w:val="20"/>
                <w:lang w:eastAsia="en-AU"/>
              </w:rPr>
            </w:pPr>
          </w:p>
        </w:tc>
        <w:tc>
          <w:tcPr>
            <w:tcW w:w="1040" w:type="dxa"/>
            <w:tcBorders>
              <w:left w:val="nil"/>
              <w:bottom w:val="single" w:sz="4" w:space="0" w:color="BFBFBF"/>
              <w:right w:val="single" w:sz="4" w:space="0" w:color="BFBFBF"/>
            </w:tcBorders>
            <w:shd w:val="clear" w:color="auto" w:fill="auto"/>
            <w:noWrap/>
            <w:vAlign w:val="center"/>
            <w:hideMark/>
          </w:tcPr>
          <w:p w14:paraId="64B545B7" w14:textId="505BC1FF" w:rsidR="00F42A40" w:rsidRPr="008C1B89" w:rsidRDefault="00F42A40" w:rsidP="009D734D">
            <w:pPr>
              <w:jc w:val="center"/>
              <w:rPr>
                <w:rFonts w:eastAsia="Times New Roman" w:cs="Calibri"/>
                <w:color w:val="000000"/>
                <w:sz w:val="20"/>
                <w:szCs w:val="20"/>
                <w:lang w:eastAsia="en-AU"/>
              </w:rPr>
            </w:pPr>
          </w:p>
        </w:tc>
        <w:tc>
          <w:tcPr>
            <w:tcW w:w="974" w:type="dxa"/>
            <w:tcBorders>
              <w:top w:val="nil"/>
              <w:left w:val="nil"/>
              <w:bottom w:val="single" w:sz="4" w:space="0" w:color="BFBFBF"/>
              <w:right w:val="single" w:sz="4" w:space="0" w:color="BFBFBF"/>
            </w:tcBorders>
            <w:shd w:val="clear" w:color="auto" w:fill="auto"/>
            <w:noWrap/>
            <w:hideMark/>
          </w:tcPr>
          <w:p w14:paraId="19406A0E" w14:textId="298ED752"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57315621" w14:textId="67E73795"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740" w:type="dxa"/>
            <w:tcBorders>
              <w:top w:val="nil"/>
              <w:left w:val="nil"/>
              <w:bottom w:val="single" w:sz="4" w:space="0" w:color="BFBFBF"/>
              <w:right w:val="single" w:sz="4" w:space="0" w:color="BFBFBF"/>
            </w:tcBorders>
            <w:shd w:val="clear" w:color="000000" w:fill="FFFFFF"/>
            <w:noWrap/>
            <w:hideMark/>
          </w:tcPr>
          <w:p w14:paraId="1AC20EED" w14:textId="2C4C4451"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740" w:type="dxa"/>
            <w:tcBorders>
              <w:top w:val="nil"/>
              <w:left w:val="nil"/>
              <w:bottom w:val="single" w:sz="4" w:space="0" w:color="BFBFBF"/>
              <w:right w:val="single" w:sz="4" w:space="0" w:color="BFBFBF"/>
            </w:tcBorders>
            <w:shd w:val="clear" w:color="000000" w:fill="FFFFFF"/>
            <w:noWrap/>
            <w:hideMark/>
          </w:tcPr>
          <w:p w14:paraId="21C352E5" w14:textId="04E5B491"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5184" w:type="dxa"/>
            <w:vMerge/>
            <w:tcBorders>
              <w:top w:val="single" w:sz="4" w:space="0" w:color="808080"/>
              <w:left w:val="single" w:sz="4" w:space="0" w:color="BFBFBF"/>
              <w:bottom w:val="single" w:sz="4" w:space="0" w:color="BFBFBF"/>
              <w:right w:val="single" w:sz="4" w:space="0" w:color="BFBFBF"/>
            </w:tcBorders>
            <w:vAlign w:val="center"/>
            <w:hideMark/>
          </w:tcPr>
          <w:p w14:paraId="5D4FE8E4" w14:textId="77777777" w:rsidR="00F42A40" w:rsidRPr="008C1B89" w:rsidRDefault="00F42A40" w:rsidP="00F42A40">
            <w:pPr>
              <w:rPr>
                <w:rFonts w:eastAsia="Times New Roman" w:cs="Calibri"/>
                <w:b/>
                <w:bCs/>
                <w:color w:val="000000"/>
                <w:sz w:val="20"/>
                <w:szCs w:val="20"/>
                <w:lang w:eastAsia="en-AU"/>
              </w:rPr>
            </w:pPr>
          </w:p>
        </w:tc>
      </w:tr>
      <w:tr w:rsidR="009D734D" w:rsidRPr="008C1B89" w14:paraId="2588CA01"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51EBD5DE" w14:textId="77777777" w:rsidR="00F42A40" w:rsidRPr="008C1B89" w:rsidRDefault="00F42A40" w:rsidP="00F42A40">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Short-term storage or transfer</w:t>
            </w:r>
          </w:p>
        </w:tc>
        <w:tc>
          <w:tcPr>
            <w:tcW w:w="956" w:type="dxa"/>
            <w:tcBorders>
              <w:top w:val="nil"/>
              <w:left w:val="nil"/>
              <w:bottom w:val="single" w:sz="4" w:space="0" w:color="BFBFBF"/>
              <w:right w:val="single" w:sz="4" w:space="0" w:color="BFBFBF"/>
            </w:tcBorders>
            <w:shd w:val="clear" w:color="000000" w:fill="C5D9F1"/>
            <w:noWrap/>
            <w:hideMark/>
          </w:tcPr>
          <w:p w14:paraId="5F7883E8" w14:textId="7B4CC9AE"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966" w:type="dxa"/>
            <w:tcBorders>
              <w:top w:val="nil"/>
              <w:left w:val="nil"/>
              <w:bottom w:val="single" w:sz="4" w:space="0" w:color="BFBFBF"/>
              <w:right w:val="nil"/>
            </w:tcBorders>
            <w:shd w:val="clear" w:color="000000" w:fill="C5D9F1"/>
            <w:noWrap/>
            <w:vAlign w:val="center"/>
            <w:hideMark/>
          </w:tcPr>
          <w:p w14:paraId="2D694874" w14:textId="6D5AF2C1" w:rsidR="00F42A40" w:rsidRPr="008C1B89" w:rsidRDefault="00F42A40" w:rsidP="009D734D">
            <w:pPr>
              <w:jc w:val="center"/>
              <w:rPr>
                <w:rFonts w:eastAsia="Times New Roman" w:cs="Calibri"/>
                <w:color w:val="000000"/>
                <w:sz w:val="20"/>
                <w:szCs w:val="20"/>
                <w:lang w:eastAsia="en-AU"/>
              </w:rPr>
            </w:pPr>
          </w:p>
        </w:tc>
        <w:tc>
          <w:tcPr>
            <w:tcW w:w="1040" w:type="dxa"/>
            <w:tcBorders>
              <w:top w:val="nil"/>
              <w:left w:val="nil"/>
              <w:bottom w:val="single" w:sz="4" w:space="0" w:color="BFBFBF"/>
              <w:right w:val="nil"/>
            </w:tcBorders>
            <w:shd w:val="clear" w:color="000000" w:fill="C5D9F1"/>
            <w:noWrap/>
            <w:vAlign w:val="center"/>
            <w:hideMark/>
          </w:tcPr>
          <w:p w14:paraId="3B0D5691" w14:textId="551FD09F" w:rsidR="00F42A40" w:rsidRPr="008C1B89" w:rsidRDefault="00F42A40" w:rsidP="009D734D">
            <w:pPr>
              <w:jc w:val="center"/>
              <w:rPr>
                <w:rFonts w:eastAsia="Times New Roman" w:cs="Calibri"/>
                <w:color w:val="000000"/>
                <w:sz w:val="20"/>
                <w:szCs w:val="20"/>
                <w:lang w:eastAsia="en-AU"/>
              </w:rPr>
            </w:pPr>
          </w:p>
        </w:tc>
        <w:tc>
          <w:tcPr>
            <w:tcW w:w="974" w:type="dxa"/>
            <w:tcBorders>
              <w:top w:val="nil"/>
              <w:left w:val="nil"/>
              <w:bottom w:val="single" w:sz="4" w:space="0" w:color="BFBFBF"/>
              <w:right w:val="single" w:sz="4" w:space="0" w:color="BFBFBF"/>
            </w:tcBorders>
            <w:shd w:val="clear" w:color="000000" w:fill="C5D9F1"/>
            <w:noWrap/>
            <w:hideMark/>
          </w:tcPr>
          <w:p w14:paraId="09BEDD02" w14:textId="58544752"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7A315184" w14:textId="3440EABC"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51113335" w14:textId="3979EEE3"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1BE654A5" w14:textId="15CE43F9"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5184" w:type="dxa"/>
            <w:vMerge/>
            <w:tcBorders>
              <w:top w:val="single" w:sz="4" w:space="0" w:color="808080"/>
              <w:left w:val="single" w:sz="4" w:space="0" w:color="BFBFBF"/>
              <w:bottom w:val="single" w:sz="4" w:space="0" w:color="BFBFBF"/>
              <w:right w:val="single" w:sz="4" w:space="0" w:color="BFBFBF"/>
            </w:tcBorders>
            <w:vAlign w:val="center"/>
            <w:hideMark/>
          </w:tcPr>
          <w:p w14:paraId="6E49EFFE" w14:textId="77777777" w:rsidR="00F42A40" w:rsidRPr="008C1B89" w:rsidRDefault="00F42A40" w:rsidP="00F42A40">
            <w:pPr>
              <w:rPr>
                <w:rFonts w:eastAsia="Times New Roman" w:cs="Calibri"/>
                <w:b/>
                <w:bCs/>
                <w:color w:val="000000"/>
                <w:sz w:val="20"/>
                <w:szCs w:val="20"/>
                <w:lang w:eastAsia="en-AU"/>
              </w:rPr>
            </w:pPr>
          </w:p>
        </w:tc>
      </w:tr>
      <w:tr w:rsidR="00F42A40" w:rsidRPr="008C1B89" w14:paraId="5E741869"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BBA3D0B"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Transfer facility</w:t>
            </w:r>
          </w:p>
        </w:tc>
        <w:tc>
          <w:tcPr>
            <w:tcW w:w="956" w:type="dxa"/>
            <w:tcBorders>
              <w:top w:val="nil"/>
              <w:left w:val="nil"/>
              <w:bottom w:val="single" w:sz="4" w:space="0" w:color="BFBFBF"/>
              <w:right w:val="nil"/>
            </w:tcBorders>
            <w:shd w:val="clear" w:color="000000" w:fill="FFFFFF"/>
            <w:noWrap/>
            <w:hideMark/>
          </w:tcPr>
          <w:p w14:paraId="02C476B6" w14:textId="25126234" w:rsidR="00F42A40" w:rsidRPr="008C1B89" w:rsidRDefault="00F42A40" w:rsidP="00F42A40">
            <w:pPr>
              <w:jc w:val="right"/>
              <w:rPr>
                <w:rFonts w:eastAsia="Times New Roman" w:cs="Calibri"/>
                <w:color w:val="000000"/>
                <w:sz w:val="20"/>
                <w:szCs w:val="20"/>
                <w:lang w:eastAsia="en-AU"/>
              </w:rPr>
            </w:pPr>
            <w:r>
              <w:rPr>
                <w:color w:val="000000"/>
                <w:sz w:val="20"/>
                <w:szCs w:val="20"/>
              </w:rPr>
              <w:t>84,631</w:t>
            </w:r>
          </w:p>
        </w:tc>
        <w:tc>
          <w:tcPr>
            <w:tcW w:w="966" w:type="dxa"/>
            <w:tcBorders>
              <w:top w:val="nil"/>
              <w:left w:val="nil"/>
              <w:bottom w:val="single" w:sz="4" w:space="0" w:color="BFBFBF"/>
              <w:right w:val="single" w:sz="4" w:space="0" w:color="BFBFBF"/>
            </w:tcBorders>
            <w:shd w:val="clear" w:color="auto" w:fill="auto"/>
            <w:noWrap/>
            <w:vAlign w:val="center"/>
            <w:hideMark/>
          </w:tcPr>
          <w:p w14:paraId="460AE1EF" w14:textId="6B2E2E5F"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40" w:type="dxa"/>
            <w:tcBorders>
              <w:top w:val="nil"/>
              <w:left w:val="nil"/>
              <w:bottom w:val="single" w:sz="4" w:space="0" w:color="BFBFBF"/>
              <w:right w:val="single" w:sz="4" w:space="0" w:color="BFBFBF"/>
            </w:tcBorders>
            <w:shd w:val="clear" w:color="auto" w:fill="auto"/>
            <w:noWrap/>
            <w:vAlign w:val="center"/>
            <w:hideMark/>
          </w:tcPr>
          <w:p w14:paraId="2A8A620C" w14:textId="65B5F170"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74" w:type="dxa"/>
            <w:tcBorders>
              <w:top w:val="nil"/>
              <w:left w:val="nil"/>
              <w:bottom w:val="single" w:sz="4" w:space="0" w:color="BFBFBF"/>
              <w:right w:val="single" w:sz="4" w:space="0" w:color="BFBFBF"/>
            </w:tcBorders>
            <w:shd w:val="clear" w:color="auto" w:fill="auto"/>
            <w:noWrap/>
            <w:hideMark/>
          </w:tcPr>
          <w:p w14:paraId="19E03722" w14:textId="4D7B1DF0"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49AFE5D9" w14:textId="07384F9E"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740" w:type="dxa"/>
            <w:tcBorders>
              <w:top w:val="nil"/>
              <w:left w:val="nil"/>
              <w:bottom w:val="single" w:sz="4" w:space="0" w:color="BFBFBF"/>
              <w:right w:val="single" w:sz="4" w:space="0" w:color="BFBFBF"/>
            </w:tcBorders>
            <w:shd w:val="clear" w:color="000000" w:fill="FFFFFF"/>
            <w:noWrap/>
            <w:hideMark/>
          </w:tcPr>
          <w:p w14:paraId="7C118F25" w14:textId="16530232"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740" w:type="dxa"/>
            <w:tcBorders>
              <w:top w:val="nil"/>
              <w:left w:val="nil"/>
              <w:bottom w:val="single" w:sz="4" w:space="0" w:color="BFBFBF"/>
              <w:right w:val="single" w:sz="4" w:space="0" w:color="BFBFBF"/>
            </w:tcBorders>
            <w:shd w:val="clear" w:color="000000" w:fill="FFFFFF"/>
            <w:noWrap/>
            <w:hideMark/>
          </w:tcPr>
          <w:p w14:paraId="48AD6C10" w14:textId="0987E892"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5184" w:type="dxa"/>
            <w:vMerge/>
            <w:tcBorders>
              <w:top w:val="single" w:sz="4" w:space="0" w:color="808080"/>
              <w:left w:val="single" w:sz="4" w:space="0" w:color="BFBFBF"/>
              <w:bottom w:val="single" w:sz="4" w:space="0" w:color="BFBFBF"/>
              <w:right w:val="single" w:sz="4" w:space="0" w:color="BFBFBF"/>
            </w:tcBorders>
            <w:vAlign w:val="center"/>
            <w:hideMark/>
          </w:tcPr>
          <w:p w14:paraId="401771C3" w14:textId="77777777" w:rsidR="00F42A40" w:rsidRPr="008C1B89" w:rsidRDefault="00F42A40" w:rsidP="00F42A40">
            <w:pPr>
              <w:rPr>
                <w:rFonts w:eastAsia="Times New Roman" w:cs="Calibri"/>
                <w:b/>
                <w:bCs/>
                <w:color w:val="000000"/>
                <w:sz w:val="20"/>
                <w:szCs w:val="20"/>
                <w:lang w:eastAsia="en-AU"/>
              </w:rPr>
            </w:pPr>
          </w:p>
        </w:tc>
      </w:tr>
      <w:tr w:rsidR="009D734D" w:rsidRPr="008C1B89" w14:paraId="6EACBCAB"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26D9546E" w14:textId="77777777" w:rsidR="00F42A40" w:rsidRPr="008C1B89" w:rsidRDefault="00F42A40" w:rsidP="00F42A40">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Long-term storage</w:t>
            </w:r>
          </w:p>
        </w:tc>
        <w:tc>
          <w:tcPr>
            <w:tcW w:w="956" w:type="dxa"/>
            <w:tcBorders>
              <w:top w:val="nil"/>
              <w:left w:val="nil"/>
              <w:bottom w:val="single" w:sz="4" w:space="0" w:color="BFBFBF"/>
              <w:right w:val="single" w:sz="4" w:space="0" w:color="BFBFBF"/>
            </w:tcBorders>
            <w:shd w:val="clear" w:color="000000" w:fill="C5D9F1"/>
            <w:noWrap/>
            <w:hideMark/>
          </w:tcPr>
          <w:p w14:paraId="7A88C318" w14:textId="3DF1E98E"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966" w:type="dxa"/>
            <w:tcBorders>
              <w:top w:val="nil"/>
              <w:left w:val="nil"/>
              <w:bottom w:val="single" w:sz="4" w:space="0" w:color="BFBFBF"/>
              <w:right w:val="nil"/>
            </w:tcBorders>
            <w:shd w:val="clear" w:color="000000" w:fill="C5D9F1"/>
            <w:noWrap/>
            <w:vAlign w:val="center"/>
            <w:hideMark/>
          </w:tcPr>
          <w:p w14:paraId="6BB16654" w14:textId="40933D00" w:rsidR="00F42A40" w:rsidRPr="008C1B89" w:rsidRDefault="00F42A40" w:rsidP="009D734D">
            <w:pPr>
              <w:jc w:val="center"/>
              <w:rPr>
                <w:rFonts w:eastAsia="Times New Roman" w:cs="Calibri"/>
                <w:color w:val="000000"/>
                <w:sz w:val="20"/>
                <w:szCs w:val="20"/>
                <w:lang w:eastAsia="en-AU"/>
              </w:rPr>
            </w:pPr>
          </w:p>
        </w:tc>
        <w:tc>
          <w:tcPr>
            <w:tcW w:w="1040" w:type="dxa"/>
            <w:tcBorders>
              <w:top w:val="nil"/>
              <w:left w:val="nil"/>
              <w:bottom w:val="single" w:sz="4" w:space="0" w:color="BFBFBF"/>
              <w:right w:val="nil"/>
            </w:tcBorders>
            <w:shd w:val="clear" w:color="000000" w:fill="C5D9F1"/>
            <w:noWrap/>
            <w:vAlign w:val="center"/>
            <w:hideMark/>
          </w:tcPr>
          <w:p w14:paraId="0FAF930A" w14:textId="6B980FA6" w:rsidR="00F42A40" w:rsidRPr="008C1B89" w:rsidRDefault="00F42A40" w:rsidP="009D734D">
            <w:pPr>
              <w:jc w:val="center"/>
              <w:rPr>
                <w:rFonts w:eastAsia="Times New Roman" w:cs="Calibri"/>
                <w:color w:val="000000"/>
                <w:sz w:val="20"/>
                <w:szCs w:val="20"/>
                <w:lang w:eastAsia="en-AU"/>
              </w:rPr>
            </w:pPr>
          </w:p>
        </w:tc>
        <w:tc>
          <w:tcPr>
            <w:tcW w:w="974" w:type="dxa"/>
            <w:tcBorders>
              <w:top w:val="nil"/>
              <w:left w:val="nil"/>
              <w:bottom w:val="single" w:sz="4" w:space="0" w:color="BFBFBF"/>
              <w:right w:val="single" w:sz="4" w:space="0" w:color="BFBFBF"/>
            </w:tcBorders>
            <w:shd w:val="clear" w:color="000000" w:fill="C5D9F1"/>
            <w:noWrap/>
            <w:hideMark/>
          </w:tcPr>
          <w:p w14:paraId="5DA8971C" w14:textId="2ED82D76"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27B9FB05" w14:textId="3654D4AB"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24DFAD3C" w14:textId="6F6F84ED"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3405960A" w14:textId="244B6C04"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5184" w:type="dxa"/>
            <w:vMerge/>
            <w:tcBorders>
              <w:top w:val="single" w:sz="4" w:space="0" w:color="808080"/>
              <w:left w:val="single" w:sz="4" w:space="0" w:color="BFBFBF"/>
              <w:bottom w:val="single" w:sz="4" w:space="0" w:color="BFBFBF"/>
              <w:right w:val="single" w:sz="4" w:space="0" w:color="BFBFBF"/>
            </w:tcBorders>
            <w:vAlign w:val="center"/>
            <w:hideMark/>
          </w:tcPr>
          <w:p w14:paraId="5559BCCC" w14:textId="77777777" w:rsidR="00F42A40" w:rsidRPr="008C1B89" w:rsidRDefault="00F42A40" w:rsidP="00F42A40">
            <w:pPr>
              <w:rPr>
                <w:rFonts w:eastAsia="Times New Roman" w:cs="Calibri"/>
                <w:b/>
                <w:bCs/>
                <w:color w:val="000000"/>
                <w:sz w:val="20"/>
                <w:szCs w:val="20"/>
                <w:lang w:eastAsia="en-AU"/>
              </w:rPr>
            </w:pPr>
          </w:p>
        </w:tc>
      </w:tr>
      <w:tr w:rsidR="00F42A40" w:rsidRPr="008C1B89" w14:paraId="2A6DE09D"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73CECECC"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Long-term on-site storage</w:t>
            </w:r>
          </w:p>
        </w:tc>
        <w:tc>
          <w:tcPr>
            <w:tcW w:w="956" w:type="dxa"/>
            <w:tcBorders>
              <w:top w:val="nil"/>
              <w:left w:val="nil"/>
              <w:bottom w:val="single" w:sz="4" w:space="0" w:color="BFBFBF"/>
              <w:right w:val="nil"/>
            </w:tcBorders>
            <w:shd w:val="clear" w:color="000000" w:fill="FFFFFF"/>
            <w:noWrap/>
            <w:hideMark/>
          </w:tcPr>
          <w:p w14:paraId="5FE070DA" w14:textId="7C7B88ED" w:rsidR="00F42A40" w:rsidRPr="008C1B89" w:rsidRDefault="00F42A40" w:rsidP="00F42A40">
            <w:pPr>
              <w:jc w:val="right"/>
              <w:rPr>
                <w:rFonts w:eastAsia="Times New Roman" w:cs="Calibri"/>
                <w:color w:val="000000"/>
                <w:sz w:val="20"/>
                <w:szCs w:val="20"/>
                <w:lang w:eastAsia="en-AU"/>
              </w:rPr>
            </w:pPr>
            <w:r>
              <w:rPr>
                <w:color w:val="000000"/>
                <w:sz w:val="20"/>
                <w:szCs w:val="20"/>
              </w:rPr>
              <w:t>0</w:t>
            </w:r>
          </w:p>
        </w:tc>
        <w:tc>
          <w:tcPr>
            <w:tcW w:w="966" w:type="dxa"/>
            <w:tcBorders>
              <w:top w:val="nil"/>
              <w:left w:val="nil"/>
              <w:right w:val="single" w:sz="4" w:space="0" w:color="BFBFBF"/>
            </w:tcBorders>
            <w:shd w:val="clear" w:color="auto" w:fill="auto"/>
            <w:noWrap/>
            <w:vAlign w:val="center"/>
            <w:hideMark/>
          </w:tcPr>
          <w:p w14:paraId="40564811" w14:textId="0FFC4A81"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40" w:type="dxa"/>
            <w:tcBorders>
              <w:top w:val="nil"/>
              <w:left w:val="nil"/>
              <w:right w:val="single" w:sz="4" w:space="0" w:color="BFBFBF"/>
            </w:tcBorders>
            <w:shd w:val="clear" w:color="auto" w:fill="auto"/>
            <w:noWrap/>
            <w:vAlign w:val="center"/>
            <w:hideMark/>
          </w:tcPr>
          <w:p w14:paraId="49178B18" w14:textId="5CC2F128"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74" w:type="dxa"/>
            <w:tcBorders>
              <w:top w:val="nil"/>
              <w:left w:val="nil"/>
              <w:bottom w:val="single" w:sz="4" w:space="0" w:color="BFBFBF"/>
              <w:right w:val="single" w:sz="4" w:space="0" w:color="BFBFBF"/>
            </w:tcBorders>
            <w:shd w:val="clear" w:color="auto" w:fill="auto"/>
            <w:noWrap/>
            <w:hideMark/>
          </w:tcPr>
          <w:p w14:paraId="273FE62C" w14:textId="4BC097FD"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596DE047" w14:textId="3693AEC9"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741E9C5" w14:textId="5AA521BF"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6B20C92" w14:textId="0C0C763B"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84" w:type="dxa"/>
            <w:vMerge/>
            <w:tcBorders>
              <w:top w:val="single" w:sz="4" w:space="0" w:color="808080"/>
              <w:left w:val="single" w:sz="4" w:space="0" w:color="BFBFBF"/>
              <w:bottom w:val="single" w:sz="4" w:space="0" w:color="BFBFBF"/>
              <w:right w:val="single" w:sz="4" w:space="0" w:color="BFBFBF"/>
            </w:tcBorders>
            <w:vAlign w:val="center"/>
            <w:hideMark/>
          </w:tcPr>
          <w:p w14:paraId="57992D5B" w14:textId="77777777" w:rsidR="00F42A40" w:rsidRPr="008C1B89" w:rsidRDefault="00F42A40" w:rsidP="00F42A40">
            <w:pPr>
              <w:rPr>
                <w:rFonts w:eastAsia="Times New Roman" w:cs="Calibri"/>
                <w:b/>
                <w:bCs/>
                <w:color w:val="000000"/>
                <w:sz w:val="20"/>
                <w:szCs w:val="20"/>
                <w:lang w:eastAsia="en-AU"/>
              </w:rPr>
            </w:pPr>
          </w:p>
        </w:tc>
      </w:tr>
      <w:tr w:rsidR="00F42A40" w:rsidRPr="008C1B89" w14:paraId="510FB013" w14:textId="77777777" w:rsidTr="009D734D">
        <w:trPr>
          <w:trHeight w:val="196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544EB7BB"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Long-term isolation facility</w:t>
            </w:r>
          </w:p>
        </w:tc>
        <w:tc>
          <w:tcPr>
            <w:tcW w:w="956" w:type="dxa"/>
            <w:tcBorders>
              <w:top w:val="nil"/>
              <w:left w:val="nil"/>
              <w:bottom w:val="single" w:sz="4" w:space="0" w:color="BFBFBF"/>
              <w:right w:val="nil"/>
            </w:tcBorders>
            <w:shd w:val="clear" w:color="000000" w:fill="FFFFFF"/>
            <w:noWrap/>
            <w:hideMark/>
          </w:tcPr>
          <w:p w14:paraId="6AEB72D3" w14:textId="552060BE" w:rsidR="00F42A40" w:rsidRPr="008C1B89" w:rsidRDefault="00F42A40" w:rsidP="00F42A40">
            <w:pPr>
              <w:jc w:val="right"/>
              <w:rPr>
                <w:rFonts w:eastAsia="Times New Roman" w:cs="Calibri"/>
                <w:color w:val="000000"/>
                <w:sz w:val="20"/>
                <w:szCs w:val="20"/>
                <w:lang w:eastAsia="en-AU"/>
              </w:rPr>
            </w:pPr>
            <w:r>
              <w:rPr>
                <w:color w:val="000000"/>
                <w:sz w:val="20"/>
                <w:szCs w:val="20"/>
              </w:rPr>
              <w:t>0</w:t>
            </w:r>
          </w:p>
        </w:tc>
        <w:tc>
          <w:tcPr>
            <w:tcW w:w="966" w:type="dxa"/>
            <w:tcBorders>
              <w:left w:val="nil"/>
              <w:bottom w:val="single" w:sz="4" w:space="0" w:color="BFBFBF"/>
              <w:right w:val="single" w:sz="4" w:space="0" w:color="BFBFBF"/>
            </w:tcBorders>
            <w:shd w:val="clear" w:color="auto" w:fill="auto"/>
            <w:noWrap/>
            <w:vAlign w:val="center"/>
            <w:hideMark/>
          </w:tcPr>
          <w:p w14:paraId="65A0E616" w14:textId="3DAA7182" w:rsidR="00F42A40" w:rsidRPr="008C1B89" w:rsidRDefault="00F42A40" w:rsidP="009D734D">
            <w:pPr>
              <w:jc w:val="center"/>
              <w:rPr>
                <w:rFonts w:eastAsia="Times New Roman" w:cs="Calibri"/>
                <w:color w:val="000000"/>
                <w:sz w:val="20"/>
                <w:szCs w:val="20"/>
                <w:lang w:eastAsia="en-AU"/>
              </w:rPr>
            </w:pPr>
          </w:p>
        </w:tc>
        <w:tc>
          <w:tcPr>
            <w:tcW w:w="1040" w:type="dxa"/>
            <w:tcBorders>
              <w:left w:val="nil"/>
              <w:bottom w:val="single" w:sz="4" w:space="0" w:color="BFBFBF"/>
              <w:right w:val="single" w:sz="4" w:space="0" w:color="BFBFBF"/>
            </w:tcBorders>
            <w:shd w:val="clear" w:color="auto" w:fill="auto"/>
            <w:noWrap/>
            <w:vAlign w:val="center"/>
            <w:hideMark/>
          </w:tcPr>
          <w:p w14:paraId="68A7C74F" w14:textId="4ED16A3B" w:rsidR="00F42A40" w:rsidRPr="008C1B89" w:rsidRDefault="00F42A40" w:rsidP="009D734D">
            <w:pPr>
              <w:jc w:val="center"/>
              <w:rPr>
                <w:rFonts w:eastAsia="Times New Roman" w:cs="Calibri"/>
                <w:color w:val="000000"/>
                <w:sz w:val="20"/>
                <w:szCs w:val="20"/>
                <w:lang w:eastAsia="en-AU"/>
              </w:rPr>
            </w:pPr>
          </w:p>
        </w:tc>
        <w:tc>
          <w:tcPr>
            <w:tcW w:w="974" w:type="dxa"/>
            <w:tcBorders>
              <w:top w:val="nil"/>
              <w:left w:val="nil"/>
              <w:bottom w:val="single" w:sz="4" w:space="0" w:color="BFBFBF"/>
              <w:right w:val="single" w:sz="4" w:space="0" w:color="BFBFBF"/>
            </w:tcBorders>
            <w:shd w:val="clear" w:color="auto" w:fill="auto"/>
            <w:noWrap/>
            <w:hideMark/>
          </w:tcPr>
          <w:p w14:paraId="0796226E" w14:textId="4E522A0D"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5B38BB0" w14:textId="412400C6"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74029B7A" w14:textId="1D3E93C8"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3138E89" w14:textId="04B8300F"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84" w:type="dxa"/>
            <w:vMerge/>
            <w:tcBorders>
              <w:top w:val="single" w:sz="4" w:space="0" w:color="808080"/>
              <w:left w:val="single" w:sz="4" w:space="0" w:color="BFBFBF"/>
              <w:bottom w:val="single" w:sz="4" w:space="0" w:color="BFBFBF"/>
              <w:right w:val="single" w:sz="4" w:space="0" w:color="BFBFBF"/>
            </w:tcBorders>
            <w:vAlign w:val="center"/>
            <w:hideMark/>
          </w:tcPr>
          <w:p w14:paraId="404FD0F2" w14:textId="77777777" w:rsidR="00F42A40" w:rsidRPr="008C1B89" w:rsidRDefault="00F42A40" w:rsidP="00F42A40">
            <w:pPr>
              <w:rPr>
                <w:rFonts w:eastAsia="Times New Roman" w:cs="Calibri"/>
                <w:b/>
                <w:bCs/>
                <w:color w:val="000000"/>
                <w:sz w:val="20"/>
                <w:szCs w:val="20"/>
                <w:lang w:eastAsia="en-AU"/>
              </w:rPr>
            </w:pPr>
          </w:p>
        </w:tc>
      </w:tr>
      <w:tr w:rsidR="00EE2A88" w:rsidRPr="008C1B89" w14:paraId="5ECF892F" w14:textId="77777777" w:rsidTr="008C1B89">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61E2B2C6" w14:textId="77777777" w:rsidR="00EE2A88" w:rsidRPr="008C1B89" w:rsidRDefault="00EE2A88" w:rsidP="00EE2A88">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Total net Landfill fac. (NEPM code N, T)</w:t>
            </w:r>
          </w:p>
        </w:tc>
        <w:tc>
          <w:tcPr>
            <w:tcW w:w="956" w:type="dxa"/>
            <w:tcBorders>
              <w:top w:val="nil"/>
              <w:left w:val="nil"/>
              <w:bottom w:val="single" w:sz="4" w:space="0" w:color="BFBFBF"/>
              <w:right w:val="nil"/>
            </w:tcBorders>
            <w:shd w:val="clear" w:color="000000" w:fill="C5D9F1"/>
            <w:noWrap/>
            <w:hideMark/>
          </w:tcPr>
          <w:p w14:paraId="50F14905" w14:textId="29185F1B" w:rsidR="00EE2A88" w:rsidRPr="008C1B89" w:rsidRDefault="00EE2A88" w:rsidP="00EE2A88">
            <w:pPr>
              <w:jc w:val="right"/>
              <w:rPr>
                <w:rFonts w:eastAsia="Times New Roman" w:cs="Calibri"/>
                <w:color w:val="000000"/>
                <w:sz w:val="20"/>
                <w:szCs w:val="20"/>
                <w:lang w:eastAsia="en-AU"/>
              </w:rPr>
            </w:pPr>
            <w:r>
              <w:rPr>
                <w:color w:val="000000"/>
                <w:sz w:val="20"/>
                <w:szCs w:val="20"/>
              </w:rPr>
              <w:t>393,054</w:t>
            </w:r>
          </w:p>
        </w:tc>
        <w:tc>
          <w:tcPr>
            <w:tcW w:w="966" w:type="dxa"/>
            <w:tcBorders>
              <w:top w:val="nil"/>
              <w:left w:val="nil"/>
              <w:bottom w:val="nil"/>
              <w:right w:val="nil"/>
            </w:tcBorders>
            <w:shd w:val="clear" w:color="000000" w:fill="F2F2F2"/>
            <w:noWrap/>
            <w:hideMark/>
          </w:tcPr>
          <w:p w14:paraId="538B1EA8" w14:textId="2705565E"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1040" w:type="dxa"/>
            <w:tcBorders>
              <w:top w:val="nil"/>
              <w:left w:val="nil"/>
              <w:bottom w:val="nil"/>
              <w:right w:val="nil"/>
            </w:tcBorders>
            <w:shd w:val="clear" w:color="000000" w:fill="F2F2F2"/>
            <w:noWrap/>
            <w:hideMark/>
          </w:tcPr>
          <w:p w14:paraId="1B23E4B5" w14:textId="12CF1989"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974" w:type="dxa"/>
            <w:tcBorders>
              <w:top w:val="nil"/>
              <w:left w:val="nil"/>
              <w:bottom w:val="nil"/>
              <w:right w:val="nil"/>
            </w:tcBorders>
            <w:shd w:val="clear" w:color="000000" w:fill="F2F2F2"/>
            <w:noWrap/>
            <w:hideMark/>
          </w:tcPr>
          <w:p w14:paraId="4B09A6C8" w14:textId="2E1357E4"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nil"/>
            </w:tcBorders>
            <w:shd w:val="clear" w:color="000000" w:fill="F2F2F2"/>
            <w:noWrap/>
            <w:hideMark/>
          </w:tcPr>
          <w:p w14:paraId="4C5014E2" w14:textId="371F855E"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nil"/>
            </w:tcBorders>
            <w:shd w:val="clear" w:color="000000" w:fill="F2F2F2"/>
            <w:noWrap/>
            <w:hideMark/>
          </w:tcPr>
          <w:p w14:paraId="373DEDDB" w14:textId="4F4C4230"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nil"/>
            </w:tcBorders>
            <w:shd w:val="clear" w:color="000000" w:fill="F2F2F2"/>
            <w:noWrap/>
            <w:hideMark/>
          </w:tcPr>
          <w:p w14:paraId="5DDAB689" w14:textId="3B93F983"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5184" w:type="dxa"/>
            <w:tcBorders>
              <w:top w:val="nil"/>
              <w:left w:val="nil"/>
              <w:bottom w:val="nil"/>
              <w:right w:val="single" w:sz="4" w:space="0" w:color="BFBFBF"/>
            </w:tcBorders>
            <w:shd w:val="clear" w:color="000000" w:fill="F2F2F2"/>
            <w:noWrap/>
            <w:hideMark/>
          </w:tcPr>
          <w:p w14:paraId="2A9986A7" w14:textId="77777777" w:rsidR="00EE2A88" w:rsidRPr="008C1B89" w:rsidRDefault="00EE2A88" w:rsidP="00EE2A88">
            <w:pPr>
              <w:rPr>
                <w:rFonts w:eastAsia="Times New Roman" w:cs="Calibri"/>
                <w:color w:val="000000"/>
                <w:sz w:val="20"/>
                <w:szCs w:val="20"/>
                <w:lang w:eastAsia="en-AU"/>
              </w:rPr>
            </w:pPr>
            <w:r w:rsidRPr="008C1B89">
              <w:rPr>
                <w:rFonts w:eastAsia="Times New Roman" w:cs="Calibri"/>
                <w:color w:val="000000"/>
                <w:sz w:val="20"/>
                <w:szCs w:val="20"/>
                <w:lang w:eastAsia="en-AU"/>
              </w:rPr>
              <w:t> </w:t>
            </w:r>
          </w:p>
        </w:tc>
      </w:tr>
      <w:tr w:rsidR="00EE2A88" w:rsidRPr="008C1B89" w14:paraId="76A02BF5" w14:textId="77777777" w:rsidTr="008C1B89">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5ACECC14" w14:textId="77777777" w:rsidR="00EE2A88" w:rsidRPr="008C1B89" w:rsidRDefault="00EE2A88" w:rsidP="00EE2A88">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NEPM 12-13 net imp./exp. (kt)</w:t>
            </w:r>
          </w:p>
        </w:tc>
        <w:tc>
          <w:tcPr>
            <w:tcW w:w="956" w:type="dxa"/>
            <w:tcBorders>
              <w:top w:val="nil"/>
              <w:left w:val="nil"/>
              <w:bottom w:val="single" w:sz="4" w:space="0" w:color="BFBFBF"/>
              <w:right w:val="nil"/>
            </w:tcBorders>
            <w:shd w:val="clear" w:color="000000" w:fill="C5D9F1"/>
            <w:noWrap/>
            <w:hideMark/>
          </w:tcPr>
          <w:p w14:paraId="4A780CB5" w14:textId="36D7FAC5" w:rsidR="00EE2A88" w:rsidRPr="008C1B89" w:rsidRDefault="00EE2A88" w:rsidP="00EE2A88">
            <w:pPr>
              <w:jc w:val="right"/>
              <w:rPr>
                <w:rFonts w:eastAsia="Times New Roman" w:cs="Calibri"/>
                <w:color w:val="000000"/>
                <w:sz w:val="20"/>
                <w:szCs w:val="20"/>
                <w:lang w:eastAsia="en-AU"/>
              </w:rPr>
            </w:pPr>
            <w:r>
              <w:rPr>
                <w:color w:val="000000"/>
                <w:sz w:val="20"/>
                <w:szCs w:val="20"/>
              </w:rPr>
              <w:t>-179,930</w:t>
            </w:r>
          </w:p>
        </w:tc>
        <w:tc>
          <w:tcPr>
            <w:tcW w:w="966" w:type="dxa"/>
            <w:tcBorders>
              <w:top w:val="nil"/>
              <w:left w:val="nil"/>
              <w:bottom w:val="single" w:sz="4" w:space="0" w:color="BFBFBF"/>
              <w:right w:val="nil"/>
            </w:tcBorders>
            <w:shd w:val="clear" w:color="000000" w:fill="F2F2F2"/>
            <w:noWrap/>
            <w:hideMark/>
          </w:tcPr>
          <w:p w14:paraId="7A8C55BD" w14:textId="16BC2BCA" w:rsidR="00EE2A88" w:rsidRPr="008C1B89" w:rsidRDefault="00EE2A88" w:rsidP="00EE2A88">
            <w:pPr>
              <w:rPr>
                <w:rFonts w:eastAsia="Times New Roman" w:cs="Calibri"/>
                <w:color w:val="000000"/>
                <w:sz w:val="20"/>
                <w:szCs w:val="20"/>
                <w:lang w:eastAsia="en-AU"/>
              </w:rPr>
            </w:pPr>
            <w:r>
              <w:rPr>
                <w:color w:val="000000"/>
                <w:sz w:val="20"/>
                <w:szCs w:val="20"/>
              </w:rPr>
              <w:t>(import)</w:t>
            </w:r>
          </w:p>
        </w:tc>
        <w:tc>
          <w:tcPr>
            <w:tcW w:w="1040" w:type="dxa"/>
            <w:tcBorders>
              <w:top w:val="nil"/>
              <w:left w:val="nil"/>
              <w:bottom w:val="single" w:sz="4" w:space="0" w:color="BFBFBF"/>
              <w:right w:val="nil"/>
            </w:tcBorders>
            <w:shd w:val="clear" w:color="000000" w:fill="F2F2F2"/>
            <w:noWrap/>
            <w:hideMark/>
          </w:tcPr>
          <w:p w14:paraId="74C239A1" w14:textId="4BE89E27"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974" w:type="dxa"/>
            <w:tcBorders>
              <w:top w:val="nil"/>
              <w:left w:val="nil"/>
              <w:bottom w:val="single" w:sz="4" w:space="0" w:color="BFBFBF"/>
              <w:right w:val="nil"/>
            </w:tcBorders>
            <w:shd w:val="clear" w:color="000000" w:fill="F2F2F2"/>
            <w:noWrap/>
            <w:hideMark/>
          </w:tcPr>
          <w:p w14:paraId="5A29CCFF" w14:textId="360819BB"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nil"/>
            </w:tcBorders>
            <w:shd w:val="clear" w:color="000000" w:fill="F2F2F2"/>
            <w:noWrap/>
            <w:hideMark/>
          </w:tcPr>
          <w:p w14:paraId="10AA480D" w14:textId="6FCFF36C"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nil"/>
            </w:tcBorders>
            <w:shd w:val="clear" w:color="000000" w:fill="F2F2F2"/>
            <w:noWrap/>
            <w:hideMark/>
          </w:tcPr>
          <w:p w14:paraId="6F9AE666" w14:textId="17BA63EF"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nil"/>
            </w:tcBorders>
            <w:shd w:val="clear" w:color="000000" w:fill="F2F2F2"/>
            <w:noWrap/>
            <w:hideMark/>
          </w:tcPr>
          <w:p w14:paraId="2485C26E" w14:textId="6498784D"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5184" w:type="dxa"/>
            <w:tcBorders>
              <w:top w:val="nil"/>
              <w:left w:val="nil"/>
              <w:bottom w:val="single" w:sz="4" w:space="0" w:color="BFBFBF"/>
              <w:right w:val="single" w:sz="4" w:space="0" w:color="BFBFBF"/>
            </w:tcBorders>
            <w:shd w:val="clear" w:color="000000" w:fill="F2F2F2"/>
            <w:noWrap/>
            <w:hideMark/>
          </w:tcPr>
          <w:p w14:paraId="3A80B4AD" w14:textId="77777777" w:rsidR="00EE2A88" w:rsidRPr="008C1B89" w:rsidRDefault="00EE2A88" w:rsidP="00EE2A88">
            <w:pPr>
              <w:rPr>
                <w:rFonts w:eastAsia="Times New Roman" w:cs="Calibri"/>
                <w:color w:val="000000"/>
                <w:sz w:val="20"/>
                <w:szCs w:val="20"/>
                <w:lang w:eastAsia="en-AU"/>
              </w:rPr>
            </w:pPr>
            <w:r w:rsidRPr="008C1B89">
              <w:rPr>
                <w:rFonts w:eastAsia="Times New Roman" w:cs="Calibri"/>
                <w:color w:val="000000"/>
                <w:sz w:val="20"/>
                <w:szCs w:val="20"/>
                <w:lang w:eastAsia="en-AU"/>
              </w:rPr>
              <w:t> </w:t>
            </w:r>
          </w:p>
        </w:tc>
      </w:tr>
    </w:tbl>
    <w:p w14:paraId="4995655F" w14:textId="77777777" w:rsidR="00CC2667" w:rsidRPr="00100F0A" w:rsidRDefault="00CC2667" w:rsidP="008C1B89">
      <w:pPr>
        <w:pStyle w:val="BodyText"/>
      </w:pPr>
    </w:p>
    <w:p w14:paraId="666315BE" w14:textId="77777777" w:rsidR="00CC2667" w:rsidRPr="00100F0A" w:rsidRDefault="00CC2667">
      <w:pPr>
        <w:rPr>
          <w:i/>
          <w:iCs/>
          <w:color w:val="4D4DB8"/>
          <w:szCs w:val="18"/>
        </w:rPr>
      </w:pPr>
      <w:r w:rsidRPr="00100F0A">
        <w:br w:type="page"/>
      </w:r>
    </w:p>
    <w:p w14:paraId="0AE324A4" w14:textId="135615F0" w:rsidR="00B37084" w:rsidRDefault="00B37084" w:rsidP="0095119F">
      <w:pPr>
        <w:pStyle w:val="Caption"/>
      </w:pPr>
      <w:bookmarkStart w:id="429" w:name="_Toc13225676"/>
      <w:r w:rsidRPr="00100F0A">
        <w:t xml:space="preserve">Table </w:t>
      </w:r>
      <w:r w:rsidR="002F2488">
        <w:rPr>
          <w:noProof/>
        </w:rPr>
        <w:fldChar w:fldCharType="begin"/>
      </w:r>
      <w:r w:rsidR="002F2488">
        <w:rPr>
          <w:noProof/>
        </w:rPr>
        <w:instrText xml:space="preserve"> SEQ Table \* ARABIC </w:instrText>
      </w:r>
      <w:r w:rsidR="002F2488">
        <w:rPr>
          <w:noProof/>
        </w:rPr>
        <w:fldChar w:fldCharType="separate"/>
      </w:r>
      <w:r w:rsidR="00EB634D">
        <w:rPr>
          <w:noProof/>
        </w:rPr>
        <w:t>57</w:t>
      </w:r>
      <w:r w:rsidR="002F2488">
        <w:rPr>
          <w:noProof/>
        </w:rPr>
        <w:fldChar w:fldCharType="end"/>
      </w:r>
      <w:r w:rsidR="00D11FEE" w:rsidRPr="00100F0A">
        <w:tab/>
      </w:r>
      <w:r w:rsidRPr="00100F0A">
        <w:t>Tas assessment of projected arisings vs infrastructure capacity</w:t>
      </w:r>
      <w:bookmarkEnd w:id="428"/>
      <w:bookmarkEnd w:id="429"/>
    </w:p>
    <w:tbl>
      <w:tblPr>
        <w:tblW w:w="14454" w:type="dxa"/>
        <w:tblLayout w:type="fixed"/>
        <w:tblLook w:val="04A0" w:firstRow="1" w:lastRow="0" w:firstColumn="1" w:lastColumn="0" w:noHBand="0" w:noVBand="1"/>
      </w:tblPr>
      <w:tblGrid>
        <w:gridCol w:w="2830"/>
        <w:gridCol w:w="897"/>
        <w:gridCol w:w="965"/>
        <w:gridCol w:w="1039"/>
        <w:gridCol w:w="973"/>
        <w:gridCol w:w="740"/>
        <w:gridCol w:w="740"/>
        <w:gridCol w:w="740"/>
        <w:gridCol w:w="5530"/>
      </w:tblGrid>
      <w:tr w:rsidR="008C1B89" w:rsidRPr="008C1B89" w14:paraId="4473DF25" w14:textId="77777777" w:rsidTr="008C1B89">
        <w:trPr>
          <w:trHeight w:val="1020"/>
          <w:tblHeader/>
        </w:trPr>
        <w:tc>
          <w:tcPr>
            <w:tcW w:w="2830" w:type="dxa"/>
            <w:tcBorders>
              <w:top w:val="single" w:sz="4" w:space="0" w:color="BFBFBF"/>
              <w:left w:val="single" w:sz="4" w:space="0" w:color="BFBFBF"/>
              <w:bottom w:val="nil"/>
              <w:right w:val="nil"/>
            </w:tcBorders>
            <w:shd w:val="clear" w:color="000000" w:fill="C5D9F1"/>
            <w:vAlign w:val="center"/>
            <w:hideMark/>
          </w:tcPr>
          <w:p w14:paraId="55016E9E"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Infrastructure group</w:t>
            </w:r>
          </w:p>
        </w:tc>
        <w:tc>
          <w:tcPr>
            <w:tcW w:w="897" w:type="dxa"/>
            <w:tcBorders>
              <w:top w:val="single" w:sz="4" w:space="0" w:color="BFBFBF"/>
              <w:left w:val="single" w:sz="4" w:space="0" w:color="BFBFBF"/>
              <w:bottom w:val="nil"/>
              <w:right w:val="nil"/>
            </w:tcBorders>
            <w:shd w:val="clear" w:color="000000" w:fill="C5D9F1"/>
            <w:hideMark/>
          </w:tcPr>
          <w:p w14:paraId="32FD8328"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16-17 arisings</w:t>
            </w:r>
            <w:r w:rsidRPr="008C1B89">
              <w:rPr>
                <w:rFonts w:eastAsia="Times New Roman" w:cs="Calibri"/>
                <w:b/>
                <w:bCs/>
                <w:color w:val="000000"/>
                <w:sz w:val="20"/>
                <w:szCs w:val="20"/>
                <w:lang w:eastAsia="en-AU"/>
              </w:rPr>
              <w:br/>
              <w:t>(t/yr)</w:t>
            </w:r>
          </w:p>
        </w:tc>
        <w:tc>
          <w:tcPr>
            <w:tcW w:w="965" w:type="dxa"/>
            <w:tcBorders>
              <w:top w:val="single" w:sz="4" w:space="0" w:color="BFBFBF"/>
              <w:left w:val="nil"/>
              <w:bottom w:val="nil"/>
              <w:right w:val="nil"/>
            </w:tcBorders>
            <w:shd w:val="clear" w:color="000000" w:fill="C5D9F1"/>
            <w:hideMark/>
          </w:tcPr>
          <w:p w14:paraId="429D749E"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Installed capacity</w:t>
            </w:r>
            <w:r w:rsidRPr="008C1B89">
              <w:rPr>
                <w:rFonts w:eastAsia="Times New Roman" w:cs="Calibri"/>
                <w:b/>
                <w:bCs/>
                <w:color w:val="000000"/>
                <w:sz w:val="20"/>
                <w:szCs w:val="20"/>
                <w:lang w:eastAsia="en-AU"/>
              </w:rPr>
              <w:br/>
              <w:t>(t/yr)</w:t>
            </w:r>
          </w:p>
        </w:tc>
        <w:tc>
          <w:tcPr>
            <w:tcW w:w="1039" w:type="dxa"/>
            <w:tcBorders>
              <w:top w:val="single" w:sz="4" w:space="0" w:color="BFBFBF"/>
              <w:left w:val="nil"/>
              <w:bottom w:val="nil"/>
              <w:right w:val="nil"/>
            </w:tcBorders>
            <w:shd w:val="clear" w:color="000000" w:fill="C5D9F1"/>
            <w:hideMark/>
          </w:tcPr>
          <w:p w14:paraId="2D8F9822"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Expected capacity change</w:t>
            </w:r>
            <w:r w:rsidRPr="008C1B89">
              <w:rPr>
                <w:rFonts w:eastAsia="Times New Roman" w:cs="Calibri"/>
                <w:b/>
                <w:bCs/>
                <w:color w:val="000000"/>
                <w:sz w:val="20"/>
                <w:szCs w:val="20"/>
                <w:lang w:eastAsia="en-AU"/>
              </w:rPr>
              <w:br/>
              <w:t>(t/yr)</w:t>
            </w:r>
          </w:p>
        </w:tc>
        <w:tc>
          <w:tcPr>
            <w:tcW w:w="973" w:type="dxa"/>
            <w:tcBorders>
              <w:top w:val="single" w:sz="4" w:space="0" w:color="BFBFBF"/>
              <w:left w:val="nil"/>
              <w:bottom w:val="nil"/>
              <w:right w:val="single" w:sz="4" w:space="0" w:color="BFBFBF"/>
            </w:tcBorders>
            <w:shd w:val="clear" w:color="000000" w:fill="C5D9F1"/>
            <w:hideMark/>
          </w:tcPr>
          <w:p w14:paraId="78CC15CF"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Capacity data quality</w:t>
            </w:r>
            <w:r w:rsidRPr="008C1B89">
              <w:rPr>
                <w:rFonts w:eastAsia="Times New Roman" w:cs="Calibri"/>
                <w:b/>
                <w:bCs/>
                <w:color w:val="000000"/>
                <w:sz w:val="20"/>
                <w:szCs w:val="20"/>
                <w:lang w:eastAsia="en-AU"/>
              </w:rPr>
              <w:br/>
              <w:t>Good, ok, poor</w:t>
            </w:r>
          </w:p>
        </w:tc>
        <w:tc>
          <w:tcPr>
            <w:tcW w:w="2220" w:type="dxa"/>
            <w:gridSpan w:val="3"/>
            <w:tcBorders>
              <w:top w:val="single" w:sz="4" w:space="0" w:color="BFBFBF"/>
              <w:left w:val="nil"/>
              <w:bottom w:val="nil"/>
              <w:right w:val="single" w:sz="4" w:space="0" w:color="BFBFBF"/>
            </w:tcBorders>
            <w:shd w:val="clear" w:color="000000" w:fill="C5D9F1"/>
            <w:hideMark/>
          </w:tcPr>
          <w:p w14:paraId="486D8EA6" w14:textId="532003E5"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Est. year arisings &gt; capacity</w:t>
            </w:r>
            <w:r w:rsidRPr="008C1B89">
              <w:rPr>
                <w:rFonts w:eastAsia="Times New Roman" w:cs="Calibri"/>
                <w:b/>
                <w:bCs/>
                <w:color w:val="000000"/>
                <w:sz w:val="20"/>
                <w:szCs w:val="20"/>
                <w:lang w:eastAsia="en-AU"/>
              </w:rPr>
              <w:br/>
              <w:t>Best        High        Low</w:t>
            </w:r>
          </w:p>
        </w:tc>
        <w:tc>
          <w:tcPr>
            <w:tcW w:w="5530" w:type="dxa"/>
            <w:tcBorders>
              <w:top w:val="single" w:sz="4" w:space="0" w:color="BFBFBF"/>
              <w:left w:val="nil"/>
              <w:bottom w:val="nil"/>
              <w:right w:val="single" w:sz="4" w:space="0" w:color="BFBFBF"/>
            </w:tcBorders>
            <w:shd w:val="clear" w:color="000000" w:fill="C5D9F1"/>
            <w:hideMark/>
          </w:tcPr>
          <w:p w14:paraId="2E06583D"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Assessment discussion and recommendations</w:t>
            </w:r>
          </w:p>
        </w:tc>
      </w:tr>
      <w:tr w:rsidR="008C1B89" w:rsidRPr="008C1B89" w14:paraId="5E8825F6" w14:textId="77777777" w:rsidTr="00763475">
        <w:trPr>
          <w:trHeight w:val="255"/>
        </w:trPr>
        <w:tc>
          <w:tcPr>
            <w:tcW w:w="2830" w:type="dxa"/>
            <w:tcBorders>
              <w:top w:val="single" w:sz="4" w:space="0" w:color="808080"/>
              <w:left w:val="single" w:sz="4" w:space="0" w:color="BFBFBF"/>
              <w:bottom w:val="single" w:sz="4" w:space="0" w:color="BFBFBF"/>
              <w:right w:val="nil"/>
            </w:tcBorders>
            <w:shd w:val="clear" w:color="000000" w:fill="C5D9F1"/>
            <w:noWrap/>
            <w:vAlign w:val="bottom"/>
            <w:hideMark/>
          </w:tcPr>
          <w:p w14:paraId="2C44771E" w14:textId="77777777" w:rsidR="008C1B89" w:rsidRPr="008C1B89" w:rsidRDefault="008C1B89" w:rsidP="008C1B89">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Recycling and energy recovery</w:t>
            </w:r>
          </w:p>
        </w:tc>
        <w:tc>
          <w:tcPr>
            <w:tcW w:w="897" w:type="dxa"/>
            <w:tcBorders>
              <w:top w:val="single" w:sz="4" w:space="0" w:color="808080"/>
              <w:left w:val="nil"/>
              <w:bottom w:val="single" w:sz="4" w:space="0" w:color="BFBFBF"/>
              <w:right w:val="nil"/>
            </w:tcBorders>
            <w:shd w:val="clear" w:color="000000" w:fill="C5D9F1"/>
            <w:noWrap/>
            <w:vAlign w:val="bottom"/>
            <w:hideMark/>
          </w:tcPr>
          <w:p w14:paraId="599A8A38" w14:textId="77777777" w:rsidR="008C1B89" w:rsidRPr="008C1B89" w:rsidRDefault="008C1B89" w:rsidP="008C1B89">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965" w:type="dxa"/>
            <w:tcBorders>
              <w:top w:val="single" w:sz="4" w:space="0" w:color="808080"/>
              <w:left w:val="nil"/>
              <w:bottom w:val="single" w:sz="4" w:space="0" w:color="BFBFBF"/>
              <w:right w:val="nil"/>
            </w:tcBorders>
            <w:shd w:val="clear" w:color="000000" w:fill="C5D9F1"/>
            <w:noWrap/>
            <w:vAlign w:val="bottom"/>
            <w:hideMark/>
          </w:tcPr>
          <w:p w14:paraId="18B57BC2" w14:textId="77777777" w:rsidR="008C1B89" w:rsidRPr="008C1B89" w:rsidRDefault="008C1B89" w:rsidP="008C1B89">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1039" w:type="dxa"/>
            <w:tcBorders>
              <w:top w:val="single" w:sz="4" w:space="0" w:color="808080"/>
              <w:left w:val="nil"/>
              <w:bottom w:val="single" w:sz="4" w:space="0" w:color="BFBFBF"/>
              <w:right w:val="nil"/>
            </w:tcBorders>
            <w:shd w:val="clear" w:color="000000" w:fill="C5D9F1"/>
            <w:noWrap/>
            <w:vAlign w:val="bottom"/>
            <w:hideMark/>
          </w:tcPr>
          <w:p w14:paraId="05598D28" w14:textId="77777777" w:rsidR="008C1B89" w:rsidRPr="008C1B89" w:rsidRDefault="008C1B89" w:rsidP="008C1B89">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973" w:type="dxa"/>
            <w:tcBorders>
              <w:top w:val="single" w:sz="4" w:space="0" w:color="808080"/>
              <w:left w:val="nil"/>
              <w:bottom w:val="single" w:sz="4" w:space="0" w:color="BFBFBF"/>
              <w:right w:val="nil"/>
            </w:tcBorders>
            <w:shd w:val="clear" w:color="000000" w:fill="C5D9F1"/>
            <w:noWrap/>
            <w:vAlign w:val="bottom"/>
            <w:hideMark/>
          </w:tcPr>
          <w:p w14:paraId="5788FC8A" w14:textId="77777777" w:rsidR="008C1B89" w:rsidRPr="008C1B89" w:rsidRDefault="008C1B89" w:rsidP="008C1B89">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740" w:type="dxa"/>
            <w:tcBorders>
              <w:top w:val="single" w:sz="4" w:space="0" w:color="808080"/>
              <w:left w:val="nil"/>
              <w:bottom w:val="single" w:sz="4" w:space="0" w:color="BFBFBF"/>
              <w:right w:val="nil"/>
            </w:tcBorders>
            <w:shd w:val="clear" w:color="000000" w:fill="C5D9F1"/>
            <w:noWrap/>
            <w:vAlign w:val="bottom"/>
            <w:hideMark/>
          </w:tcPr>
          <w:p w14:paraId="3D4D1F23" w14:textId="77777777" w:rsidR="008C1B89" w:rsidRPr="008C1B89" w:rsidRDefault="008C1B89" w:rsidP="008C1B89">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740" w:type="dxa"/>
            <w:tcBorders>
              <w:top w:val="single" w:sz="4" w:space="0" w:color="808080"/>
              <w:left w:val="nil"/>
              <w:bottom w:val="single" w:sz="4" w:space="0" w:color="BFBFBF"/>
              <w:right w:val="nil"/>
            </w:tcBorders>
            <w:shd w:val="clear" w:color="000000" w:fill="C5D9F1"/>
            <w:noWrap/>
            <w:vAlign w:val="bottom"/>
            <w:hideMark/>
          </w:tcPr>
          <w:p w14:paraId="52B055DC" w14:textId="77777777" w:rsidR="008C1B89" w:rsidRPr="008C1B89" w:rsidRDefault="008C1B89" w:rsidP="008C1B89">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740" w:type="dxa"/>
            <w:tcBorders>
              <w:top w:val="single" w:sz="4" w:space="0" w:color="808080"/>
              <w:left w:val="nil"/>
              <w:bottom w:val="single" w:sz="4" w:space="0" w:color="BFBFBF"/>
              <w:right w:val="single" w:sz="4" w:space="0" w:color="BFBFBF"/>
            </w:tcBorders>
            <w:shd w:val="clear" w:color="000000" w:fill="C5D9F1"/>
            <w:noWrap/>
            <w:vAlign w:val="bottom"/>
            <w:hideMark/>
          </w:tcPr>
          <w:p w14:paraId="51DAB216" w14:textId="77777777" w:rsidR="008C1B89" w:rsidRPr="008C1B89" w:rsidRDefault="008C1B89" w:rsidP="008C1B89">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5530" w:type="dxa"/>
            <w:vMerge w:val="restart"/>
            <w:tcBorders>
              <w:top w:val="single" w:sz="4" w:space="0" w:color="808080"/>
              <w:left w:val="single" w:sz="4" w:space="0" w:color="BFBFBF"/>
              <w:bottom w:val="single" w:sz="4" w:space="0" w:color="BFBFBF"/>
              <w:right w:val="single" w:sz="4" w:space="0" w:color="BFBFBF"/>
            </w:tcBorders>
            <w:shd w:val="clear" w:color="000000" w:fill="FFFFFF"/>
          </w:tcPr>
          <w:p w14:paraId="4DEED5AD" w14:textId="63735FB9" w:rsidR="008C1B89" w:rsidRPr="008C1B89" w:rsidRDefault="00763475" w:rsidP="008C1B89">
            <w:pPr>
              <w:rPr>
                <w:rFonts w:eastAsia="Times New Roman" w:cs="Calibri"/>
                <w:color w:val="000000"/>
                <w:sz w:val="20"/>
                <w:szCs w:val="20"/>
                <w:lang w:eastAsia="en-AU"/>
              </w:rPr>
            </w:pPr>
            <w:r w:rsidRPr="00100F0A">
              <w:rPr>
                <w:rFonts w:asciiTheme="minorHAnsi" w:eastAsia="Times New Roman" w:hAnsiTheme="minorHAnsi" w:cstheme="minorHAnsi"/>
                <w:color w:val="000000"/>
                <w:sz w:val="20"/>
                <w:szCs w:val="20"/>
                <w:lang w:eastAsia="en-AU"/>
              </w:rPr>
              <w:t>This assessment is based on the national average (NSW, Vic, Qld, WA and SA) of waste management methods. This reduces the accuracy and may result in arisings being mapped to infrastructure that does not exist in this jurisdiction.</w:t>
            </w:r>
            <w:r w:rsidRPr="00100F0A">
              <w:rPr>
                <w:rFonts w:asciiTheme="minorHAnsi" w:eastAsia="Times New Roman" w:hAnsiTheme="minorHAnsi" w:cstheme="minorHAnsi"/>
                <w:b/>
                <w:bCs/>
                <w:color w:val="000000"/>
                <w:sz w:val="20"/>
                <w:szCs w:val="20"/>
                <w:lang w:eastAsia="en-AU"/>
              </w:rPr>
              <w:br/>
            </w:r>
            <w:r w:rsidRPr="00100F0A">
              <w:rPr>
                <w:rFonts w:asciiTheme="minorHAnsi" w:eastAsia="Times New Roman" w:hAnsiTheme="minorHAnsi" w:cstheme="minorHAnsi"/>
                <w:b/>
                <w:bCs/>
                <w:color w:val="000000"/>
                <w:sz w:val="20"/>
                <w:szCs w:val="20"/>
                <w:lang w:eastAsia="en-AU"/>
              </w:rPr>
              <w:br/>
              <w:t>Recycling and energy recovery</w:t>
            </w:r>
            <w:r w:rsidRPr="00100F0A">
              <w:rPr>
                <w:rFonts w:asciiTheme="minorHAnsi" w:eastAsia="Times New Roman" w:hAnsiTheme="minorHAnsi" w:cstheme="minorHAnsi"/>
                <w:color w:val="000000"/>
                <w:sz w:val="20"/>
                <w:szCs w:val="20"/>
                <w:lang w:eastAsia="en-AU"/>
              </w:rPr>
              <w:br/>
              <w:t>- Hazardous waste recycling and energy recovery occurs interstate for all waste streams except mercury, EOLT and SPL and there appears to be sufficient capacity for these waste streams. Organics are also likely to be processed locally, however this capacity is not captured by the database. NEPM 2016-17 data indicates organics are not exported interstate for recovery.</w:t>
            </w:r>
            <w:r w:rsidRPr="00100F0A">
              <w:rPr>
                <w:rFonts w:asciiTheme="minorHAnsi" w:eastAsia="Times New Roman" w:hAnsiTheme="minorHAnsi" w:cstheme="minorHAnsi"/>
                <w:color w:val="000000"/>
                <w:sz w:val="20"/>
                <w:szCs w:val="20"/>
                <w:lang w:eastAsia="en-AU"/>
              </w:rPr>
              <w:br/>
              <w:t xml:space="preserve">  </w:t>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b/>
                <w:bCs/>
                <w:color w:val="000000"/>
                <w:sz w:val="20"/>
                <w:szCs w:val="20"/>
                <w:lang w:eastAsia="en-AU"/>
              </w:rPr>
              <w:t>Treatment</w:t>
            </w:r>
            <w:r w:rsidRPr="00100F0A">
              <w:rPr>
                <w:rFonts w:asciiTheme="minorHAnsi" w:eastAsia="Times New Roman" w:hAnsiTheme="minorHAnsi" w:cstheme="minorHAnsi"/>
                <w:color w:val="000000"/>
                <w:sz w:val="20"/>
                <w:szCs w:val="20"/>
                <w:lang w:eastAsia="en-AU"/>
              </w:rPr>
              <w:br/>
              <w:t>- CPT plant waste capacity could be constrained currently. This is based on the national average of the percentage of arisings sent to CPT for treatment. However, with no CPT capacity identified</w:t>
            </w:r>
            <w:r>
              <w:rPr>
                <w:rFonts w:asciiTheme="minorHAnsi" w:eastAsia="Times New Roman" w:hAnsiTheme="minorHAnsi" w:cstheme="minorHAnsi"/>
                <w:color w:val="000000"/>
                <w:sz w:val="20"/>
                <w:szCs w:val="20"/>
                <w:lang w:eastAsia="en-AU"/>
              </w:rPr>
              <w:t xml:space="preserve"> and</w:t>
            </w:r>
            <w:r w:rsidRPr="00100F0A">
              <w:rPr>
                <w:rFonts w:asciiTheme="minorHAnsi" w:eastAsia="Times New Roman" w:hAnsiTheme="minorHAnsi" w:cstheme="minorHAnsi"/>
                <w:color w:val="000000"/>
                <w:sz w:val="20"/>
                <w:szCs w:val="20"/>
                <w:lang w:eastAsia="en-AU"/>
              </w:rPr>
              <w:t xml:space="preserve"> estimated arisings of 16 kt there appears to be a lack of CPT capacity in Tas.</w:t>
            </w:r>
            <w:r w:rsidRPr="00100F0A">
              <w:rPr>
                <w:rFonts w:asciiTheme="minorHAnsi" w:eastAsia="Times New Roman" w:hAnsiTheme="minorHAnsi" w:cstheme="minorHAnsi"/>
                <w:color w:val="000000"/>
                <w:sz w:val="20"/>
                <w:szCs w:val="20"/>
                <w:lang w:eastAsia="en-AU"/>
              </w:rPr>
              <w:br/>
              <w:t>- All hazardous waste except for oil/water mixtures are sent to the mainland for treatment. The OWT capacity is sufficient.</w:t>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b/>
                <w:bCs/>
                <w:color w:val="000000"/>
                <w:sz w:val="20"/>
                <w:szCs w:val="20"/>
                <w:lang w:eastAsia="en-AU"/>
              </w:rPr>
              <w:t>Disposal (landfill and thermal destruction)</w:t>
            </w:r>
            <w:r w:rsidRPr="00100F0A">
              <w:rPr>
                <w:rFonts w:asciiTheme="minorHAnsi" w:eastAsia="Times New Roman" w:hAnsiTheme="minorHAnsi" w:cstheme="minorHAnsi"/>
                <w:color w:val="000000"/>
                <w:sz w:val="20"/>
                <w:szCs w:val="20"/>
                <w:lang w:eastAsia="en-AU"/>
              </w:rPr>
              <w:br/>
              <w:t xml:space="preserve">- Hazwaste landfill could be constrained currently or by 2020, under the best estimate projection, for annual disposal capacity, which could require a licence amendment or changes in site management to take more tonnages per year. </w:t>
            </w:r>
            <w:r w:rsidRPr="00100F0A">
              <w:rPr>
                <w:rFonts w:asciiTheme="minorHAnsi" w:eastAsia="Times New Roman" w:hAnsiTheme="minorHAnsi" w:cstheme="minorHAnsi"/>
                <w:color w:val="000000"/>
                <w:sz w:val="20"/>
                <w:szCs w:val="20"/>
                <w:lang w:eastAsia="en-AU"/>
              </w:rPr>
              <w:br/>
              <w:t xml:space="preserve">- </w:t>
            </w:r>
            <w:r>
              <w:rPr>
                <w:rFonts w:asciiTheme="minorHAnsi" w:eastAsia="Times New Roman" w:hAnsiTheme="minorHAnsi" w:cstheme="minorHAnsi"/>
                <w:color w:val="000000"/>
                <w:sz w:val="20"/>
                <w:szCs w:val="20"/>
                <w:lang w:eastAsia="en-AU"/>
              </w:rPr>
              <w:t>POP</w:t>
            </w:r>
            <w:r w:rsidRPr="00100F0A">
              <w:rPr>
                <w:rFonts w:asciiTheme="minorHAnsi" w:eastAsia="Times New Roman" w:hAnsiTheme="minorHAnsi" w:cstheme="minorHAnsi"/>
                <w:color w:val="000000"/>
                <w:sz w:val="20"/>
                <w:szCs w:val="20"/>
                <w:lang w:eastAsia="en-AU"/>
              </w:rPr>
              <w:t xml:space="preserve"> (PFOS, BDEs, HBCD, HCB) will be sent interstate for thermal destruction where required.</w:t>
            </w:r>
            <w:r w:rsidRPr="00100F0A">
              <w:rPr>
                <w:rFonts w:asciiTheme="minorHAnsi" w:eastAsia="Times New Roman" w:hAnsiTheme="minorHAnsi" w:cstheme="minorHAnsi"/>
                <w:color w:val="000000"/>
                <w:sz w:val="20"/>
                <w:szCs w:val="20"/>
                <w:lang w:eastAsia="en-AU"/>
              </w:rPr>
              <w:br/>
              <w:t>- Clinical waste likely to be sent interstate for thermal destruction where required.</w:t>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b/>
                <w:bCs/>
                <w:color w:val="000000"/>
                <w:sz w:val="20"/>
                <w:szCs w:val="20"/>
                <w:lang w:eastAsia="en-AU"/>
              </w:rPr>
              <w:t>Transfer station or temporary storage</w:t>
            </w:r>
            <w:r w:rsidRPr="00100F0A">
              <w:rPr>
                <w:rFonts w:asciiTheme="minorHAnsi" w:eastAsia="Times New Roman" w:hAnsiTheme="minorHAnsi" w:cstheme="minorHAnsi"/>
                <w:b/>
                <w:bCs/>
                <w:color w:val="000000"/>
                <w:sz w:val="20"/>
                <w:szCs w:val="20"/>
                <w:lang w:eastAsia="en-AU"/>
              </w:rPr>
              <w:br/>
            </w:r>
            <w:r w:rsidRPr="00100F0A">
              <w:rPr>
                <w:rFonts w:asciiTheme="minorHAnsi" w:eastAsia="Times New Roman" w:hAnsiTheme="minorHAnsi" w:cstheme="minorHAnsi"/>
                <w:color w:val="000000"/>
                <w:sz w:val="20"/>
                <w:szCs w:val="20"/>
                <w:lang w:eastAsia="en-AU"/>
              </w:rPr>
              <w:t>- Tas’s transfer capacity may already be exceeded, however, capacity estimates are incomplete due to limited infrastructure coverage and some capacity being provided within other infrastructure groups. The capacity of transfer infrastructure is also not fixed (i.e. capacity can be scaled up and down by simply increases the rate of loads transfers).</w:t>
            </w:r>
            <w:r w:rsidRPr="00100F0A">
              <w:rPr>
                <w:rFonts w:asciiTheme="minorHAnsi" w:eastAsia="Times New Roman" w:hAnsiTheme="minorHAnsi" w:cstheme="minorHAnsi"/>
                <w:b/>
                <w:bCs/>
                <w:color w:val="000000"/>
                <w:sz w:val="20"/>
                <w:szCs w:val="20"/>
                <w:lang w:eastAsia="en-AU"/>
              </w:rPr>
              <w:t xml:space="preserve"> </w:t>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b/>
                <w:bCs/>
                <w:color w:val="000000"/>
                <w:sz w:val="20"/>
                <w:szCs w:val="20"/>
                <w:lang w:eastAsia="en-AU"/>
              </w:rPr>
              <w:t>NEPM 2016-17</w:t>
            </w:r>
            <w:r w:rsidRPr="00100F0A">
              <w:rPr>
                <w:rFonts w:asciiTheme="minorHAnsi" w:eastAsia="Times New Roman" w:hAnsiTheme="minorHAnsi" w:cstheme="minorHAnsi"/>
                <w:color w:val="000000"/>
                <w:sz w:val="20"/>
                <w:szCs w:val="20"/>
                <w:lang w:eastAsia="en-AU"/>
              </w:rPr>
              <w:t xml:space="preserve"> showed a net export of 143 kt of hazwaste from Tas. This is mostly NEPM code D wastes which are lead</w:t>
            </w:r>
            <w:r w:rsidR="00C34F48">
              <w:rPr>
                <w:rFonts w:asciiTheme="minorHAnsi" w:eastAsia="Times New Roman" w:hAnsiTheme="minorHAnsi" w:cstheme="minorHAnsi"/>
                <w:color w:val="000000"/>
                <w:sz w:val="20"/>
                <w:szCs w:val="20"/>
                <w:lang w:eastAsia="en-AU"/>
              </w:rPr>
              <w:t>-</w:t>
            </w:r>
            <w:r w:rsidRPr="00100F0A">
              <w:rPr>
                <w:rFonts w:asciiTheme="minorHAnsi" w:eastAsia="Times New Roman" w:hAnsiTheme="minorHAnsi" w:cstheme="minorHAnsi"/>
                <w:color w:val="000000"/>
                <w:sz w:val="20"/>
                <w:szCs w:val="20"/>
                <w:lang w:eastAsia="en-AU"/>
              </w:rPr>
              <w:t>rich zinc waste</w:t>
            </w:r>
            <w:r w:rsidR="00C34F48">
              <w:rPr>
                <w:rFonts w:asciiTheme="minorHAnsi" w:eastAsia="Times New Roman" w:hAnsiTheme="minorHAnsi" w:cstheme="minorHAnsi"/>
                <w:color w:val="000000"/>
                <w:sz w:val="20"/>
                <w:szCs w:val="20"/>
                <w:lang w:eastAsia="en-AU"/>
              </w:rPr>
              <w:t>s</w:t>
            </w:r>
            <w:r w:rsidRPr="00100F0A">
              <w:rPr>
                <w:rFonts w:asciiTheme="minorHAnsi" w:eastAsia="Times New Roman" w:hAnsiTheme="minorHAnsi" w:cstheme="minorHAnsi"/>
                <w:color w:val="000000"/>
                <w:sz w:val="20"/>
                <w:szCs w:val="20"/>
                <w:lang w:eastAsia="en-AU"/>
              </w:rPr>
              <w:t xml:space="preserve"> from the Nyrstar zinc smelter in Hobart that is shipped to Nyrstar Port Pirie for recovery in the lead smelter.</w:t>
            </w:r>
          </w:p>
        </w:tc>
      </w:tr>
      <w:tr w:rsidR="00F42A40" w:rsidRPr="008C1B89" w14:paraId="3B0AA2E2"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28253F96"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Hazardous waste packaging facility</w:t>
            </w:r>
          </w:p>
        </w:tc>
        <w:tc>
          <w:tcPr>
            <w:tcW w:w="897" w:type="dxa"/>
            <w:tcBorders>
              <w:top w:val="nil"/>
              <w:left w:val="nil"/>
              <w:bottom w:val="single" w:sz="4" w:space="0" w:color="BFBFBF"/>
              <w:right w:val="single" w:sz="4" w:space="0" w:color="BFBFBF"/>
            </w:tcBorders>
            <w:shd w:val="clear" w:color="000000" w:fill="FFFFFF"/>
            <w:noWrap/>
            <w:hideMark/>
          </w:tcPr>
          <w:p w14:paraId="38052294" w14:textId="046E3309" w:rsidR="00F42A40" w:rsidRPr="008C1B89" w:rsidRDefault="00F42A40" w:rsidP="00F42A40">
            <w:pPr>
              <w:jc w:val="right"/>
              <w:rPr>
                <w:rFonts w:eastAsia="Times New Roman" w:cs="Calibri"/>
                <w:color w:val="000000"/>
                <w:sz w:val="20"/>
                <w:szCs w:val="20"/>
                <w:lang w:eastAsia="en-AU"/>
              </w:rPr>
            </w:pPr>
            <w:r>
              <w:rPr>
                <w:color w:val="000000"/>
                <w:sz w:val="20"/>
                <w:szCs w:val="20"/>
              </w:rPr>
              <w:t>0</w:t>
            </w:r>
          </w:p>
        </w:tc>
        <w:tc>
          <w:tcPr>
            <w:tcW w:w="965" w:type="dxa"/>
            <w:tcBorders>
              <w:top w:val="nil"/>
              <w:left w:val="nil"/>
              <w:right w:val="single" w:sz="4" w:space="0" w:color="BFBFBF"/>
            </w:tcBorders>
            <w:shd w:val="clear" w:color="auto" w:fill="auto"/>
            <w:noWrap/>
            <w:vAlign w:val="center"/>
            <w:hideMark/>
          </w:tcPr>
          <w:p w14:paraId="380C4D60" w14:textId="6550B78B"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39" w:type="dxa"/>
            <w:tcBorders>
              <w:top w:val="nil"/>
              <w:left w:val="nil"/>
              <w:right w:val="single" w:sz="4" w:space="0" w:color="BFBFBF"/>
            </w:tcBorders>
            <w:shd w:val="clear" w:color="auto" w:fill="auto"/>
            <w:noWrap/>
            <w:vAlign w:val="center"/>
            <w:hideMark/>
          </w:tcPr>
          <w:p w14:paraId="4B012BE6" w14:textId="649E3CD1"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73" w:type="dxa"/>
            <w:tcBorders>
              <w:top w:val="nil"/>
              <w:left w:val="nil"/>
              <w:bottom w:val="single" w:sz="4" w:space="0" w:color="BFBFBF"/>
              <w:right w:val="single" w:sz="4" w:space="0" w:color="BFBFBF"/>
            </w:tcBorders>
            <w:shd w:val="clear" w:color="auto" w:fill="auto"/>
            <w:noWrap/>
            <w:hideMark/>
          </w:tcPr>
          <w:p w14:paraId="06FDF019" w14:textId="3C3A5FF0"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56F0A4E1" w14:textId="267F4E42"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8F2359C" w14:textId="7CEA0C2B"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EFF94C3" w14:textId="39E1D7CA"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530" w:type="dxa"/>
            <w:vMerge/>
            <w:tcBorders>
              <w:top w:val="single" w:sz="4" w:space="0" w:color="808080"/>
              <w:left w:val="single" w:sz="4" w:space="0" w:color="BFBFBF"/>
              <w:bottom w:val="single" w:sz="4" w:space="0" w:color="BFBFBF"/>
              <w:right w:val="single" w:sz="4" w:space="0" w:color="BFBFBF"/>
            </w:tcBorders>
            <w:vAlign w:val="center"/>
            <w:hideMark/>
          </w:tcPr>
          <w:p w14:paraId="1DFAD6AE" w14:textId="77777777" w:rsidR="00F42A40" w:rsidRPr="008C1B89" w:rsidRDefault="00F42A40" w:rsidP="00F42A40">
            <w:pPr>
              <w:rPr>
                <w:rFonts w:eastAsia="Times New Roman" w:cs="Calibri"/>
                <w:color w:val="000000"/>
                <w:sz w:val="20"/>
                <w:szCs w:val="20"/>
                <w:lang w:eastAsia="en-AU"/>
              </w:rPr>
            </w:pPr>
          </w:p>
        </w:tc>
      </w:tr>
      <w:tr w:rsidR="00F42A40" w:rsidRPr="008C1B89" w14:paraId="52D3C274"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2217917E"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E-waste facility</w:t>
            </w:r>
          </w:p>
        </w:tc>
        <w:tc>
          <w:tcPr>
            <w:tcW w:w="897" w:type="dxa"/>
            <w:tcBorders>
              <w:top w:val="nil"/>
              <w:left w:val="nil"/>
              <w:bottom w:val="single" w:sz="4" w:space="0" w:color="BFBFBF"/>
              <w:right w:val="single" w:sz="4" w:space="0" w:color="BFBFBF"/>
            </w:tcBorders>
            <w:shd w:val="clear" w:color="000000" w:fill="FFFFFF"/>
            <w:noWrap/>
            <w:hideMark/>
          </w:tcPr>
          <w:p w14:paraId="7D355CFF" w14:textId="28203820" w:rsidR="00F42A40" w:rsidRPr="008C1B89" w:rsidRDefault="00F42A40" w:rsidP="00F42A40">
            <w:pPr>
              <w:jc w:val="right"/>
              <w:rPr>
                <w:rFonts w:eastAsia="Times New Roman" w:cs="Calibri"/>
                <w:color w:val="000000"/>
                <w:sz w:val="20"/>
                <w:szCs w:val="20"/>
                <w:lang w:eastAsia="en-AU"/>
              </w:rPr>
            </w:pPr>
            <w:r>
              <w:rPr>
                <w:color w:val="000000"/>
                <w:sz w:val="20"/>
                <w:szCs w:val="20"/>
              </w:rPr>
              <w:t>81</w:t>
            </w:r>
          </w:p>
        </w:tc>
        <w:tc>
          <w:tcPr>
            <w:tcW w:w="965" w:type="dxa"/>
            <w:tcBorders>
              <w:left w:val="nil"/>
              <w:right w:val="single" w:sz="4" w:space="0" w:color="BFBFBF"/>
            </w:tcBorders>
            <w:shd w:val="clear" w:color="auto" w:fill="auto"/>
            <w:noWrap/>
            <w:vAlign w:val="center"/>
            <w:hideMark/>
          </w:tcPr>
          <w:p w14:paraId="033D94C2" w14:textId="258FF84B" w:rsidR="00F42A40" w:rsidRPr="008C1B89" w:rsidRDefault="00F42A40" w:rsidP="009D734D">
            <w:pPr>
              <w:jc w:val="center"/>
              <w:rPr>
                <w:rFonts w:eastAsia="Times New Roman" w:cs="Calibri"/>
                <w:color w:val="000000"/>
                <w:sz w:val="20"/>
                <w:szCs w:val="20"/>
                <w:lang w:eastAsia="en-AU"/>
              </w:rPr>
            </w:pPr>
          </w:p>
        </w:tc>
        <w:tc>
          <w:tcPr>
            <w:tcW w:w="1039" w:type="dxa"/>
            <w:tcBorders>
              <w:left w:val="nil"/>
              <w:right w:val="single" w:sz="4" w:space="0" w:color="BFBFBF"/>
            </w:tcBorders>
            <w:shd w:val="clear" w:color="auto" w:fill="auto"/>
            <w:noWrap/>
            <w:vAlign w:val="center"/>
            <w:hideMark/>
          </w:tcPr>
          <w:p w14:paraId="6C807C2A" w14:textId="1F350AF9" w:rsidR="00F42A40" w:rsidRPr="008C1B89" w:rsidRDefault="00F42A40" w:rsidP="009D734D">
            <w:pPr>
              <w:jc w:val="center"/>
              <w:rPr>
                <w:rFonts w:eastAsia="Times New Roman" w:cs="Calibri"/>
                <w:color w:val="000000"/>
                <w:sz w:val="20"/>
                <w:szCs w:val="20"/>
                <w:lang w:eastAsia="en-AU"/>
              </w:rPr>
            </w:pPr>
          </w:p>
        </w:tc>
        <w:tc>
          <w:tcPr>
            <w:tcW w:w="973" w:type="dxa"/>
            <w:tcBorders>
              <w:top w:val="nil"/>
              <w:left w:val="nil"/>
              <w:bottom w:val="single" w:sz="4" w:space="0" w:color="BFBFBF"/>
              <w:right w:val="single" w:sz="4" w:space="0" w:color="BFBFBF"/>
            </w:tcBorders>
            <w:shd w:val="clear" w:color="auto" w:fill="auto"/>
            <w:noWrap/>
            <w:hideMark/>
          </w:tcPr>
          <w:p w14:paraId="18283F1D" w14:textId="18ED211D"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5B09FCA6" w14:textId="5C1C17C5"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92E403A" w14:textId="3CC8D049"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E62B554" w14:textId="7EEB53B0"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530" w:type="dxa"/>
            <w:vMerge/>
            <w:tcBorders>
              <w:top w:val="single" w:sz="4" w:space="0" w:color="808080"/>
              <w:left w:val="single" w:sz="4" w:space="0" w:color="BFBFBF"/>
              <w:bottom w:val="single" w:sz="4" w:space="0" w:color="BFBFBF"/>
              <w:right w:val="single" w:sz="4" w:space="0" w:color="BFBFBF"/>
            </w:tcBorders>
            <w:vAlign w:val="center"/>
            <w:hideMark/>
          </w:tcPr>
          <w:p w14:paraId="5BD34390" w14:textId="77777777" w:rsidR="00F42A40" w:rsidRPr="008C1B89" w:rsidRDefault="00F42A40" w:rsidP="00F42A40">
            <w:pPr>
              <w:rPr>
                <w:rFonts w:eastAsia="Times New Roman" w:cs="Calibri"/>
                <w:color w:val="000000"/>
                <w:sz w:val="20"/>
                <w:szCs w:val="20"/>
                <w:lang w:eastAsia="en-AU"/>
              </w:rPr>
            </w:pPr>
          </w:p>
        </w:tc>
      </w:tr>
      <w:tr w:rsidR="00F42A40" w:rsidRPr="008C1B89" w14:paraId="4692A89D"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20D7BF7F"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Oil re-refining facility</w:t>
            </w:r>
          </w:p>
        </w:tc>
        <w:tc>
          <w:tcPr>
            <w:tcW w:w="897" w:type="dxa"/>
            <w:tcBorders>
              <w:top w:val="nil"/>
              <w:left w:val="nil"/>
              <w:bottom w:val="single" w:sz="4" w:space="0" w:color="BFBFBF"/>
              <w:right w:val="single" w:sz="4" w:space="0" w:color="BFBFBF"/>
            </w:tcBorders>
            <w:shd w:val="clear" w:color="000000" w:fill="FFFFFF"/>
            <w:noWrap/>
            <w:hideMark/>
          </w:tcPr>
          <w:p w14:paraId="0FDA3F6F" w14:textId="24F6789B" w:rsidR="00F42A40" w:rsidRPr="008C1B89" w:rsidRDefault="00F42A40" w:rsidP="00F42A40">
            <w:pPr>
              <w:jc w:val="right"/>
              <w:rPr>
                <w:rFonts w:eastAsia="Times New Roman" w:cs="Calibri"/>
                <w:color w:val="000000"/>
                <w:sz w:val="20"/>
                <w:szCs w:val="20"/>
                <w:lang w:eastAsia="en-AU"/>
              </w:rPr>
            </w:pPr>
            <w:r>
              <w:rPr>
                <w:color w:val="000000"/>
                <w:sz w:val="20"/>
                <w:szCs w:val="20"/>
              </w:rPr>
              <w:t>68</w:t>
            </w:r>
          </w:p>
        </w:tc>
        <w:tc>
          <w:tcPr>
            <w:tcW w:w="965" w:type="dxa"/>
            <w:tcBorders>
              <w:left w:val="nil"/>
              <w:right w:val="single" w:sz="4" w:space="0" w:color="BFBFBF"/>
            </w:tcBorders>
            <w:shd w:val="clear" w:color="auto" w:fill="auto"/>
            <w:noWrap/>
            <w:vAlign w:val="center"/>
            <w:hideMark/>
          </w:tcPr>
          <w:p w14:paraId="42C04610" w14:textId="50F2AF00" w:rsidR="00F42A40" w:rsidRPr="008C1B89" w:rsidRDefault="00F42A40" w:rsidP="009D734D">
            <w:pPr>
              <w:jc w:val="center"/>
              <w:rPr>
                <w:rFonts w:eastAsia="Times New Roman" w:cs="Calibri"/>
                <w:color w:val="000000"/>
                <w:sz w:val="20"/>
                <w:szCs w:val="20"/>
                <w:lang w:eastAsia="en-AU"/>
              </w:rPr>
            </w:pPr>
          </w:p>
        </w:tc>
        <w:tc>
          <w:tcPr>
            <w:tcW w:w="1039" w:type="dxa"/>
            <w:tcBorders>
              <w:left w:val="nil"/>
              <w:right w:val="single" w:sz="4" w:space="0" w:color="BFBFBF"/>
            </w:tcBorders>
            <w:shd w:val="clear" w:color="auto" w:fill="auto"/>
            <w:noWrap/>
            <w:vAlign w:val="center"/>
            <w:hideMark/>
          </w:tcPr>
          <w:p w14:paraId="654CAB40" w14:textId="093063DA" w:rsidR="00F42A40" w:rsidRPr="008C1B89" w:rsidRDefault="00F42A40" w:rsidP="009D734D">
            <w:pPr>
              <w:jc w:val="center"/>
              <w:rPr>
                <w:rFonts w:eastAsia="Times New Roman" w:cs="Calibri"/>
                <w:color w:val="000000"/>
                <w:sz w:val="20"/>
                <w:szCs w:val="20"/>
                <w:lang w:eastAsia="en-AU"/>
              </w:rPr>
            </w:pPr>
          </w:p>
        </w:tc>
        <w:tc>
          <w:tcPr>
            <w:tcW w:w="973" w:type="dxa"/>
            <w:tcBorders>
              <w:top w:val="nil"/>
              <w:left w:val="nil"/>
              <w:bottom w:val="single" w:sz="4" w:space="0" w:color="BFBFBF"/>
              <w:right w:val="single" w:sz="4" w:space="0" w:color="BFBFBF"/>
            </w:tcBorders>
            <w:shd w:val="clear" w:color="auto" w:fill="auto"/>
            <w:noWrap/>
            <w:hideMark/>
          </w:tcPr>
          <w:p w14:paraId="4952B57A" w14:textId="29AFA1DC"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0508F37F" w14:textId="51E139B5"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43721160" w14:textId="486FA4DA"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0A11593C" w14:textId="7E141FB3"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530" w:type="dxa"/>
            <w:vMerge/>
            <w:tcBorders>
              <w:top w:val="single" w:sz="4" w:space="0" w:color="808080"/>
              <w:left w:val="single" w:sz="4" w:space="0" w:color="BFBFBF"/>
              <w:bottom w:val="single" w:sz="4" w:space="0" w:color="BFBFBF"/>
              <w:right w:val="single" w:sz="4" w:space="0" w:color="BFBFBF"/>
            </w:tcBorders>
            <w:vAlign w:val="center"/>
            <w:hideMark/>
          </w:tcPr>
          <w:p w14:paraId="5698FF9A" w14:textId="77777777" w:rsidR="00F42A40" w:rsidRPr="008C1B89" w:rsidRDefault="00F42A40" w:rsidP="00F42A40">
            <w:pPr>
              <w:rPr>
                <w:rFonts w:eastAsia="Times New Roman" w:cs="Calibri"/>
                <w:color w:val="000000"/>
                <w:sz w:val="20"/>
                <w:szCs w:val="20"/>
                <w:lang w:eastAsia="en-AU"/>
              </w:rPr>
            </w:pPr>
          </w:p>
        </w:tc>
      </w:tr>
      <w:tr w:rsidR="00F42A40" w:rsidRPr="008C1B89" w14:paraId="22DCDC04"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35B5792"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Lead facility</w:t>
            </w:r>
          </w:p>
        </w:tc>
        <w:tc>
          <w:tcPr>
            <w:tcW w:w="897" w:type="dxa"/>
            <w:tcBorders>
              <w:top w:val="nil"/>
              <w:left w:val="nil"/>
              <w:bottom w:val="single" w:sz="4" w:space="0" w:color="BFBFBF"/>
              <w:right w:val="single" w:sz="4" w:space="0" w:color="BFBFBF"/>
            </w:tcBorders>
            <w:shd w:val="clear" w:color="000000" w:fill="FFFFFF"/>
            <w:noWrap/>
            <w:hideMark/>
          </w:tcPr>
          <w:p w14:paraId="623B28EB" w14:textId="6511146E" w:rsidR="00F42A40" w:rsidRPr="008C1B89" w:rsidRDefault="00F42A40" w:rsidP="00F42A40">
            <w:pPr>
              <w:jc w:val="right"/>
              <w:rPr>
                <w:rFonts w:eastAsia="Times New Roman" w:cs="Calibri"/>
                <w:color w:val="000000"/>
                <w:sz w:val="20"/>
                <w:szCs w:val="20"/>
                <w:lang w:eastAsia="en-AU"/>
              </w:rPr>
            </w:pPr>
            <w:r>
              <w:rPr>
                <w:color w:val="000000"/>
                <w:sz w:val="20"/>
                <w:szCs w:val="20"/>
              </w:rPr>
              <w:t>21,865</w:t>
            </w:r>
          </w:p>
        </w:tc>
        <w:tc>
          <w:tcPr>
            <w:tcW w:w="965" w:type="dxa"/>
            <w:tcBorders>
              <w:left w:val="nil"/>
              <w:right w:val="single" w:sz="4" w:space="0" w:color="BFBFBF"/>
            </w:tcBorders>
            <w:shd w:val="clear" w:color="auto" w:fill="auto"/>
            <w:noWrap/>
            <w:vAlign w:val="center"/>
            <w:hideMark/>
          </w:tcPr>
          <w:p w14:paraId="129DB802" w14:textId="2073554C" w:rsidR="00F42A40" w:rsidRPr="008C1B89" w:rsidRDefault="00F42A40" w:rsidP="009D734D">
            <w:pPr>
              <w:jc w:val="center"/>
              <w:rPr>
                <w:rFonts w:eastAsia="Times New Roman" w:cs="Calibri"/>
                <w:color w:val="000000"/>
                <w:sz w:val="20"/>
                <w:szCs w:val="20"/>
                <w:lang w:eastAsia="en-AU"/>
              </w:rPr>
            </w:pPr>
          </w:p>
        </w:tc>
        <w:tc>
          <w:tcPr>
            <w:tcW w:w="1039" w:type="dxa"/>
            <w:tcBorders>
              <w:left w:val="nil"/>
              <w:right w:val="single" w:sz="4" w:space="0" w:color="BFBFBF"/>
            </w:tcBorders>
            <w:shd w:val="clear" w:color="auto" w:fill="auto"/>
            <w:noWrap/>
            <w:vAlign w:val="center"/>
            <w:hideMark/>
          </w:tcPr>
          <w:p w14:paraId="47A8E923" w14:textId="039C19CF" w:rsidR="00F42A40" w:rsidRPr="008C1B89" w:rsidRDefault="00F42A40" w:rsidP="009D734D">
            <w:pPr>
              <w:jc w:val="center"/>
              <w:rPr>
                <w:rFonts w:eastAsia="Times New Roman" w:cs="Calibri"/>
                <w:color w:val="000000"/>
                <w:sz w:val="20"/>
                <w:szCs w:val="20"/>
                <w:lang w:eastAsia="en-AU"/>
              </w:rPr>
            </w:pPr>
          </w:p>
        </w:tc>
        <w:tc>
          <w:tcPr>
            <w:tcW w:w="973" w:type="dxa"/>
            <w:tcBorders>
              <w:top w:val="nil"/>
              <w:left w:val="nil"/>
              <w:bottom w:val="single" w:sz="4" w:space="0" w:color="BFBFBF"/>
              <w:right w:val="single" w:sz="4" w:space="0" w:color="BFBFBF"/>
            </w:tcBorders>
            <w:shd w:val="clear" w:color="auto" w:fill="auto"/>
            <w:noWrap/>
            <w:hideMark/>
          </w:tcPr>
          <w:p w14:paraId="3604B756" w14:textId="5EA0A7C6"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DFA2CFD" w14:textId="4EA56F3D"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319CE271" w14:textId="3BA96335"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AA7DEB1" w14:textId="6C4FBF3E"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530" w:type="dxa"/>
            <w:vMerge/>
            <w:tcBorders>
              <w:top w:val="single" w:sz="4" w:space="0" w:color="808080"/>
              <w:left w:val="single" w:sz="4" w:space="0" w:color="BFBFBF"/>
              <w:bottom w:val="single" w:sz="4" w:space="0" w:color="BFBFBF"/>
              <w:right w:val="single" w:sz="4" w:space="0" w:color="BFBFBF"/>
            </w:tcBorders>
            <w:vAlign w:val="center"/>
            <w:hideMark/>
          </w:tcPr>
          <w:p w14:paraId="45171DBE" w14:textId="77777777" w:rsidR="00F42A40" w:rsidRPr="008C1B89" w:rsidRDefault="00F42A40" w:rsidP="00F42A40">
            <w:pPr>
              <w:rPr>
                <w:rFonts w:eastAsia="Times New Roman" w:cs="Calibri"/>
                <w:color w:val="000000"/>
                <w:sz w:val="20"/>
                <w:szCs w:val="20"/>
                <w:lang w:eastAsia="en-AU"/>
              </w:rPr>
            </w:pPr>
          </w:p>
        </w:tc>
      </w:tr>
      <w:tr w:rsidR="00F42A40" w:rsidRPr="008C1B89" w14:paraId="1C00C202"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DF13EB4"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Mercury facility</w:t>
            </w:r>
          </w:p>
        </w:tc>
        <w:tc>
          <w:tcPr>
            <w:tcW w:w="897" w:type="dxa"/>
            <w:tcBorders>
              <w:top w:val="nil"/>
              <w:left w:val="nil"/>
              <w:bottom w:val="single" w:sz="4" w:space="0" w:color="BFBFBF"/>
              <w:right w:val="single" w:sz="4" w:space="0" w:color="BFBFBF"/>
            </w:tcBorders>
            <w:shd w:val="clear" w:color="000000" w:fill="FFFFFF"/>
            <w:noWrap/>
            <w:hideMark/>
          </w:tcPr>
          <w:p w14:paraId="7AFF2A2C" w14:textId="4A68A94E" w:rsidR="00F42A40" w:rsidRPr="008C1B89" w:rsidRDefault="00F42A40" w:rsidP="00F42A40">
            <w:pPr>
              <w:jc w:val="right"/>
              <w:rPr>
                <w:rFonts w:eastAsia="Times New Roman" w:cs="Calibri"/>
                <w:color w:val="000000"/>
                <w:sz w:val="20"/>
                <w:szCs w:val="20"/>
                <w:lang w:eastAsia="en-AU"/>
              </w:rPr>
            </w:pPr>
            <w:r>
              <w:rPr>
                <w:color w:val="000000"/>
                <w:sz w:val="20"/>
                <w:szCs w:val="20"/>
              </w:rPr>
              <w:t>0</w:t>
            </w:r>
          </w:p>
        </w:tc>
        <w:tc>
          <w:tcPr>
            <w:tcW w:w="965" w:type="dxa"/>
            <w:tcBorders>
              <w:left w:val="nil"/>
              <w:right w:val="single" w:sz="4" w:space="0" w:color="BFBFBF"/>
            </w:tcBorders>
            <w:shd w:val="clear" w:color="auto" w:fill="auto"/>
            <w:noWrap/>
            <w:vAlign w:val="center"/>
            <w:hideMark/>
          </w:tcPr>
          <w:p w14:paraId="2A01CF53" w14:textId="1696BB78" w:rsidR="00F42A40" w:rsidRPr="008C1B89" w:rsidRDefault="00F42A40" w:rsidP="009D734D">
            <w:pPr>
              <w:jc w:val="center"/>
              <w:rPr>
                <w:rFonts w:eastAsia="Times New Roman" w:cs="Calibri"/>
                <w:color w:val="000000"/>
                <w:sz w:val="20"/>
                <w:szCs w:val="20"/>
                <w:lang w:eastAsia="en-AU"/>
              </w:rPr>
            </w:pPr>
          </w:p>
        </w:tc>
        <w:tc>
          <w:tcPr>
            <w:tcW w:w="1039" w:type="dxa"/>
            <w:tcBorders>
              <w:left w:val="nil"/>
              <w:right w:val="single" w:sz="4" w:space="0" w:color="BFBFBF"/>
            </w:tcBorders>
            <w:shd w:val="clear" w:color="auto" w:fill="auto"/>
            <w:noWrap/>
            <w:vAlign w:val="center"/>
            <w:hideMark/>
          </w:tcPr>
          <w:p w14:paraId="227B6803" w14:textId="2FA2B6F2" w:rsidR="00F42A40" w:rsidRPr="008C1B89" w:rsidRDefault="00F42A40" w:rsidP="009D734D">
            <w:pPr>
              <w:jc w:val="center"/>
              <w:rPr>
                <w:rFonts w:eastAsia="Times New Roman" w:cs="Calibri"/>
                <w:color w:val="000000"/>
                <w:sz w:val="20"/>
                <w:szCs w:val="20"/>
                <w:lang w:eastAsia="en-AU"/>
              </w:rPr>
            </w:pPr>
          </w:p>
        </w:tc>
        <w:tc>
          <w:tcPr>
            <w:tcW w:w="973" w:type="dxa"/>
            <w:tcBorders>
              <w:top w:val="nil"/>
              <w:left w:val="nil"/>
              <w:bottom w:val="single" w:sz="4" w:space="0" w:color="BFBFBF"/>
              <w:right w:val="single" w:sz="4" w:space="0" w:color="BFBFBF"/>
            </w:tcBorders>
            <w:shd w:val="clear" w:color="auto" w:fill="auto"/>
            <w:noWrap/>
            <w:hideMark/>
          </w:tcPr>
          <w:p w14:paraId="73521227" w14:textId="37A97445"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2E8F64EB" w14:textId="7ADE56C6"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4E1F63DC" w14:textId="3EB3F6B8"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2546DC9E" w14:textId="190CD660"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530" w:type="dxa"/>
            <w:vMerge/>
            <w:tcBorders>
              <w:top w:val="single" w:sz="4" w:space="0" w:color="808080"/>
              <w:left w:val="single" w:sz="4" w:space="0" w:color="BFBFBF"/>
              <w:bottom w:val="single" w:sz="4" w:space="0" w:color="BFBFBF"/>
              <w:right w:val="single" w:sz="4" w:space="0" w:color="BFBFBF"/>
            </w:tcBorders>
            <w:vAlign w:val="center"/>
            <w:hideMark/>
          </w:tcPr>
          <w:p w14:paraId="2A8A703E" w14:textId="77777777" w:rsidR="00F42A40" w:rsidRPr="008C1B89" w:rsidRDefault="00F42A40" w:rsidP="00F42A40">
            <w:pPr>
              <w:rPr>
                <w:rFonts w:eastAsia="Times New Roman" w:cs="Calibri"/>
                <w:color w:val="000000"/>
                <w:sz w:val="20"/>
                <w:szCs w:val="20"/>
                <w:lang w:eastAsia="en-AU"/>
              </w:rPr>
            </w:pPr>
          </w:p>
        </w:tc>
      </w:tr>
      <w:tr w:rsidR="00F42A40" w:rsidRPr="008C1B89" w14:paraId="374354FF"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641F8524"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Solvents/paints/organic chemicals facility</w:t>
            </w:r>
          </w:p>
        </w:tc>
        <w:tc>
          <w:tcPr>
            <w:tcW w:w="897" w:type="dxa"/>
            <w:tcBorders>
              <w:top w:val="nil"/>
              <w:left w:val="nil"/>
              <w:bottom w:val="single" w:sz="4" w:space="0" w:color="BFBFBF"/>
              <w:right w:val="single" w:sz="4" w:space="0" w:color="BFBFBF"/>
            </w:tcBorders>
            <w:shd w:val="clear" w:color="000000" w:fill="FFFFFF"/>
            <w:noWrap/>
            <w:hideMark/>
          </w:tcPr>
          <w:p w14:paraId="28439BAF" w14:textId="1C88D913" w:rsidR="00F42A40" w:rsidRPr="008C1B89" w:rsidRDefault="00F42A40" w:rsidP="00F42A40">
            <w:pPr>
              <w:jc w:val="right"/>
              <w:rPr>
                <w:rFonts w:eastAsia="Times New Roman" w:cs="Calibri"/>
                <w:color w:val="000000"/>
                <w:sz w:val="20"/>
                <w:szCs w:val="20"/>
                <w:lang w:eastAsia="en-AU"/>
              </w:rPr>
            </w:pPr>
            <w:r>
              <w:rPr>
                <w:color w:val="000000"/>
                <w:sz w:val="20"/>
                <w:szCs w:val="20"/>
              </w:rPr>
              <w:t>8</w:t>
            </w:r>
          </w:p>
        </w:tc>
        <w:tc>
          <w:tcPr>
            <w:tcW w:w="965" w:type="dxa"/>
            <w:tcBorders>
              <w:left w:val="nil"/>
              <w:right w:val="single" w:sz="4" w:space="0" w:color="BFBFBF"/>
            </w:tcBorders>
            <w:shd w:val="clear" w:color="auto" w:fill="auto"/>
            <w:noWrap/>
            <w:vAlign w:val="center"/>
            <w:hideMark/>
          </w:tcPr>
          <w:p w14:paraId="44B847BD" w14:textId="10513F47" w:rsidR="00F42A40" w:rsidRPr="008C1B89" w:rsidRDefault="00F42A40" w:rsidP="009D734D">
            <w:pPr>
              <w:jc w:val="center"/>
              <w:rPr>
                <w:rFonts w:eastAsia="Times New Roman" w:cs="Calibri"/>
                <w:color w:val="000000"/>
                <w:sz w:val="20"/>
                <w:szCs w:val="20"/>
                <w:lang w:eastAsia="en-AU"/>
              </w:rPr>
            </w:pPr>
          </w:p>
        </w:tc>
        <w:tc>
          <w:tcPr>
            <w:tcW w:w="1039" w:type="dxa"/>
            <w:tcBorders>
              <w:left w:val="nil"/>
              <w:right w:val="single" w:sz="4" w:space="0" w:color="BFBFBF"/>
            </w:tcBorders>
            <w:shd w:val="clear" w:color="auto" w:fill="auto"/>
            <w:noWrap/>
            <w:vAlign w:val="center"/>
            <w:hideMark/>
          </w:tcPr>
          <w:p w14:paraId="6CA4FC38" w14:textId="17F546B6" w:rsidR="00F42A40" w:rsidRPr="008C1B89" w:rsidRDefault="00F42A40" w:rsidP="009D734D">
            <w:pPr>
              <w:jc w:val="center"/>
              <w:rPr>
                <w:rFonts w:eastAsia="Times New Roman" w:cs="Calibri"/>
                <w:color w:val="000000"/>
                <w:sz w:val="20"/>
                <w:szCs w:val="20"/>
                <w:lang w:eastAsia="en-AU"/>
              </w:rPr>
            </w:pPr>
          </w:p>
        </w:tc>
        <w:tc>
          <w:tcPr>
            <w:tcW w:w="973" w:type="dxa"/>
            <w:tcBorders>
              <w:top w:val="nil"/>
              <w:left w:val="nil"/>
              <w:bottom w:val="single" w:sz="4" w:space="0" w:color="BFBFBF"/>
              <w:right w:val="single" w:sz="4" w:space="0" w:color="BFBFBF"/>
            </w:tcBorders>
            <w:shd w:val="clear" w:color="auto" w:fill="auto"/>
            <w:noWrap/>
            <w:hideMark/>
          </w:tcPr>
          <w:p w14:paraId="106CD307" w14:textId="58B56E22"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39E86F90" w14:textId="434EE26C"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50CADBF" w14:textId="44511B6E"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72724855" w14:textId="76962EC3"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530" w:type="dxa"/>
            <w:vMerge/>
            <w:tcBorders>
              <w:top w:val="single" w:sz="4" w:space="0" w:color="808080"/>
              <w:left w:val="single" w:sz="4" w:space="0" w:color="BFBFBF"/>
              <w:bottom w:val="single" w:sz="4" w:space="0" w:color="BFBFBF"/>
              <w:right w:val="single" w:sz="4" w:space="0" w:color="BFBFBF"/>
            </w:tcBorders>
            <w:vAlign w:val="center"/>
            <w:hideMark/>
          </w:tcPr>
          <w:p w14:paraId="254DDDD1" w14:textId="77777777" w:rsidR="00F42A40" w:rsidRPr="008C1B89" w:rsidRDefault="00F42A40" w:rsidP="00F42A40">
            <w:pPr>
              <w:rPr>
                <w:rFonts w:eastAsia="Times New Roman" w:cs="Calibri"/>
                <w:color w:val="000000"/>
                <w:sz w:val="20"/>
                <w:szCs w:val="20"/>
                <w:lang w:eastAsia="en-AU"/>
              </w:rPr>
            </w:pPr>
          </w:p>
        </w:tc>
      </w:tr>
      <w:tr w:rsidR="00F42A40" w:rsidRPr="008C1B89" w14:paraId="1278D0A0"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2D208BB6"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Organics processing facility</w:t>
            </w:r>
          </w:p>
        </w:tc>
        <w:tc>
          <w:tcPr>
            <w:tcW w:w="897" w:type="dxa"/>
            <w:tcBorders>
              <w:top w:val="nil"/>
              <w:left w:val="nil"/>
              <w:bottom w:val="single" w:sz="4" w:space="0" w:color="BFBFBF"/>
              <w:right w:val="single" w:sz="4" w:space="0" w:color="BFBFBF"/>
            </w:tcBorders>
            <w:shd w:val="clear" w:color="000000" w:fill="FFFFFF"/>
            <w:noWrap/>
            <w:hideMark/>
          </w:tcPr>
          <w:p w14:paraId="549C8D1F" w14:textId="7A8CECF1" w:rsidR="00F42A40" w:rsidRPr="008C1B89" w:rsidRDefault="00F42A40" w:rsidP="00F42A40">
            <w:pPr>
              <w:jc w:val="right"/>
              <w:rPr>
                <w:rFonts w:eastAsia="Times New Roman" w:cs="Calibri"/>
                <w:color w:val="000000"/>
                <w:sz w:val="20"/>
                <w:szCs w:val="20"/>
                <w:lang w:eastAsia="en-AU"/>
              </w:rPr>
            </w:pPr>
            <w:r>
              <w:rPr>
                <w:color w:val="000000"/>
                <w:sz w:val="20"/>
                <w:szCs w:val="20"/>
              </w:rPr>
              <w:t>7,830</w:t>
            </w:r>
          </w:p>
        </w:tc>
        <w:tc>
          <w:tcPr>
            <w:tcW w:w="965" w:type="dxa"/>
            <w:tcBorders>
              <w:left w:val="nil"/>
              <w:right w:val="single" w:sz="4" w:space="0" w:color="BFBFBF"/>
            </w:tcBorders>
            <w:shd w:val="clear" w:color="auto" w:fill="auto"/>
            <w:noWrap/>
            <w:vAlign w:val="center"/>
            <w:hideMark/>
          </w:tcPr>
          <w:p w14:paraId="14DECD75" w14:textId="37A66545" w:rsidR="00F42A40" w:rsidRPr="008C1B89" w:rsidRDefault="00F42A40" w:rsidP="009D734D">
            <w:pPr>
              <w:jc w:val="center"/>
              <w:rPr>
                <w:rFonts w:eastAsia="Times New Roman" w:cs="Calibri"/>
                <w:color w:val="000000"/>
                <w:sz w:val="20"/>
                <w:szCs w:val="20"/>
                <w:lang w:eastAsia="en-AU"/>
              </w:rPr>
            </w:pPr>
          </w:p>
        </w:tc>
        <w:tc>
          <w:tcPr>
            <w:tcW w:w="1039" w:type="dxa"/>
            <w:tcBorders>
              <w:left w:val="nil"/>
              <w:right w:val="single" w:sz="4" w:space="0" w:color="BFBFBF"/>
            </w:tcBorders>
            <w:shd w:val="clear" w:color="auto" w:fill="auto"/>
            <w:noWrap/>
            <w:vAlign w:val="center"/>
            <w:hideMark/>
          </w:tcPr>
          <w:p w14:paraId="427CCA42" w14:textId="0587E7E7" w:rsidR="00F42A40" w:rsidRPr="008C1B89" w:rsidRDefault="00F42A40" w:rsidP="009D734D">
            <w:pPr>
              <w:jc w:val="center"/>
              <w:rPr>
                <w:rFonts w:eastAsia="Times New Roman" w:cs="Calibri"/>
                <w:color w:val="000000"/>
                <w:sz w:val="20"/>
                <w:szCs w:val="20"/>
                <w:lang w:eastAsia="en-AU"/>
              </w:rPr>
            </w:pPr>
          </w:p>
        </w:tc>
        <w:tc>
          <w:tcPr>
            <w:tcW w:w="973" w:type="dxa"/>
            <w:tcBorders>
              <w:top w:val="nil"/>
              <w:left w:val="nil"/>
              <w:bottom w:val="single" w:sz="4" w:space="0" w:color="BFBFBF"/>
              <w:right w:val="single" w:sz="4" w:space="0" w:color="BFBFBF"/>
            </w:tcBorders>
            <w:shd w:val="clear" w:color="auto" w:fill="auto"/>
            <w:noWrap/>
            <w:hideMark/>
          </w:tcPr>
          <w:p w14:paraId="48682E20" w14:textId="71B002E5"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5FBE6DE5" w14:textId="086C0F72"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78AD617" w14:textId="34992C75"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1443F96A" w14:textId="734B4623"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530" w:type="dxa"/>
            <w:vMerge/>
            <w:tcBorders>
              <w:top w:val="single" w:sz="4" w:space="0" w:color="808080"/>
              <w:left w:val="single" w:sz="4" w:space="0" w:color="BFBFBF"/>
              <w:bottom w:val="single" w:sz="4" w:space="0" w:color="BFBFBF"/>
              <w:right w:val="single" w:sz="4" w:space="0" w:color="BFBFBF"/>
            </w:tcBorders>
            <w:vAlign w:val="center"/>
            <w:hideMark/>
          </w:tcPr>
          <w:p w14:paraId="0EC40ECF" w14:textId="77777777" w:rsidR="00F42A40" w:rsidRPr="008C1B89" w:rsidRDefault="00F42A40" w:rsidP="00F42A40">
            <w:pPr>
              <w:rPr>
                <w:rFonts w:eastAsia="Times New Roman" w:cs="Calibri"/>
                <w:color w:val="000000"/>
                <w:sz w:val="20"/>
                <w:szCs w:val="20"/>
                <w:lang w:eastAsia="en-AU"/>
              </w:rPr>
            </w:pPr>
          </w:p>
        </w:tc>
      </w:tr>
      <w:tr w:rsidR="00F42A40" w:rsidRPr="008C1B89" w14:paraId="7C99A127"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3FE85128" w14:textId="437DB611" w:rsidR="00F42A40" w:rsidRPr="008C1B89" w:rsidRDefault="00F42A40" w:rsidP="00F42A40">
            <w:pPr>
              <w:jc w:val="right"/>
              <w:rPr>
                <w:rFonts w:eastAsia="Times New Roman" w:cs="Calibri"/>
                <w:color w:val="000000"/>
                <w:sz w:val="20"/>
                <w:szCs w:val="20"/>
                <w:lang w:eastAsia="en-AU"/>
              </w:rPr>
            </w:pPr>
            <w:r>
              <w:rPr>
                <w:rFonts w:eastAsia="Times New Roman" w:cs="Calibri"/>
                <w:color w:val="000000"/>
                <w:sz w:val="20"/>
                <w:szCs w:val="20"/>
                <w:lang w:eastAsia="en-AU"/>
              </w:rPr>
              <w:t>EOLT</w:t>
            </w:r>
            <w:r w:rsidRPr="008C1B89">
              <w:rPr>
                <w:rFonts w:eastAsia="Times New Roman" w:cs="Calibri"/>
                <w:color w:val="000000"/>
                <w:sz w:val="20"/>
                <w:szCs w:val="20"/>
                <w:lang w:eastAsia="en-AU"/>
              </w:rPr>
              <w:t xml:space="preserve"> facility</w:t>
            </w:r>
          </w:p>
        </w:tc>
        <w:tc>
          <w:tcPr>
            <w:tcW w:w="897" w:type="dxa"/>
            <w:tcBorders>
              <w:top w:val="nil"/>
              <w:left w:val="nil"/>
              <w:bottom w:val="single" w:sz="4" w:space="0" w:color="BFBFBF"/>
              <w:right w:val="single" w:sz="4" w:space="0" w:color="BFBFBF"/>
            </w:tcBorders>
            <w:shd w:val="clear" w:color="000000" w:fill="FFFFFF"/>
            <w:noWrap/>
            <w:hideMark/>
          </w:tcPr>
          <w:p w14:paraId="4E7E4CDD" w14:textId="29CEB16A" w:rsidR="00F42A40" w:rsidRPr="008C1B89" w:rsidRDefault="00F42A40" w:rsidP="00F42A40">
            <w:pPr>
              <w:jc w:val="right"/>
              <w:rPr>
                <w:rFonts w:eastAsia="Times New Roman" w:cs="Calibri"/>
                <w:color w:val="000000"/>
                <w:sz w:val="20"/>
                <w:szCs w:val="20"/>
                <w:lang w:eastAsia="en-AU"/>
              </w:rPr>
            </w:pPr>
            <w:r>
              <w:rPr>
                <w:color w:val="000000"/>
                <w:sz w:val="20"/>
                <w:szCs w:val="20"/>
              </w:rPr>
              <w:t>1,034</w:t>
            </w:r>
          </w:p>
        </w:tc>
        <w:tc>
          <w:tcPr>
            <w:tcW w:w="965" w:type="dxa"/>
            <w:tcBorders>
              <w:left w:val="nil"/>
              <w:right w:val="single" w:sz="4" w:space="0" w:color="BFBFBF"/>
            </w:tcBorders>
            <w:shd w:val="clear" w:color="auto" w:fill="auto"/>
            <w:noWrap/>
            <w:vAlign w:val="center"/>
            <w:hideMark/>
          </w:tcPr>
          <w:p w14:paraId="5E579240" w14:textId="49D8489B" w:rsidR="00F42A40" w:rsidRPr="008C1B89" w:rsidRDefault="00F42A40" w:rsidP="009D734D">
            <w:pPr>
              <w:jc w:val="center"/>
              <w:rPr>
                <w:rFonts w:eastAsia="Times New Roman" w:cs="Calibri"/>
                <w:color w:val="000000"/>
                <w:sz w:val="20"/>
                <w:szCs w:val="20"/>
                <w:lang w:eastAsia="en-AU"/>
              </w:rPr>
            </w:pPr>
          </w:p>
        </w:tc>
        <w:tc>
          <w:tcPr>
            <w:tcW w:w="1039" w:type="dxa"/>
            <w:tcBorders>
              <w:left w:val="nil"/>
              <w:right w:val="single" w:sz="4" w:space="0" w:color="BFBFBF"/>
            </w:tcBorders>
            <w:shd w:val="clear" w:color="auto" w:fill="auto"/>
            <w:noWrap/>
            <w:vAlign w:val="center"/>
            <w:hideMark/>
          </w:tcPr>
          <w:p w14:paraId="60928487" w14:textId="09664B49" w:rsidR="00F42A40" w:rsidRPr="008C1B89" w:rsidRDefault="00F42A40" w:rsidP="009D734D">
            <w:pPr>
              <w:jc w:val="center"/>
              <w:rPr>
                <w:rFonts w:eastAsia="Times New Roman" w:cs="Calibri"/>
                <w:color w:val="000000"/>
                <w:sz w:val="20"/>
                <w:szCs w:val="20"/>
                <w:lang w:eastAsia="en-AU"/>
              </w:rPr>
            </w:pPr>
          </w:p>
        </w:tc>
        <w:tc>
          <w:tcPr>
            <w:tcW w:w="973" w:type="dxa"/>
            <w:tcBorders>
              <w:top w:val="nil"/>
              <w:left w:val="nil"/>
              <w:bottom w:val="single" w:sz="4" w:space="0" w:color="BFBFBF"/>
              <w:right w:val="single" w:sz="4" w:space="0" w:color="BFBFBF"/>
            </w:tcBorders>
            <w:shd w:val="clear" w:color="auto" w:fill="auto"/>
            <w:noWrap/>
            <w:hideMark/>
          </w:tcPr>
          <w:p w14:paraId="6FF322BB" w14:textId="5C286A65"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5D884B28" w14:textId="668DF819"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50B814AC" w14:textId="6F73C7C6"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40FDEDD7" w14:textId="47C3D7F6"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530" w:type="dxa"/>
            <w:vMerge/>
            <w:tcBorders>
              <w:top w:val="single" w:sz="4" w:space="0" w:color="808080"/>
              <w:left w:val="single" w:sz="4" w:space="0" w:color="BFBFBF"/>
              <w:bottom w:val="single" w:sz="4" w:space="0" w:color="BFBFBF"/>
              <w:right w:val="single" w:sz="4" w:space="0" w:color="BFBFBF"/>
            </w:tcBorders>
            <w:vAlign w:val="center"/>
            <w:hideMark/>
          </w:tcPr>
          <w:p w14:paraId="689A2566" w14:textId="77777777" w:rsidR="00F42A40" w:rsidRPr="008C1B89" w:rsidRDefault="00F42A40" w:rsidP="00F42A40">
            <w:pPr>
              <w:rPr>
                <w:rFonts w:eastAsia="Times New Roman" w:cs="Calibri"/>
                <w:color w:val="000000"/>
                <w:sz w:val="20"/>
                <w:szCs w:val="20"/>
                <w:lang w:eastAsia="en-AU"/>
              </w:rPr>
            </w:pPr>
          </w:p>
        </w:tc>
      </w:tr>
      <w:tr w:rsidR="00F42A40" w:rsidRPr="008C1B89" w14:paraId="74D8C2A5"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2CC852F9" w14:textId="102C7A48" w:rsidR="00F42A40" w:rsidRPr="008C1B89" w:rsidRDefault="00F42A40" w:rsidP="00F42A40">
            <w:pPr>
              <w:jc w:val="right"/>
              <w:rPr>
                <w:rFonts w:eastAsia="Times New Roman" w:cs="Calibri"/>
                <w:color w:val="000000"/>
                <w:sz w:val="20"/>
                <w:szCs w:val="20"/>
                <w:lang w:eastAsia="en-AU"/>
              </w:rPr>
            </w:pPr>
            <w:r>
              <w:rPr>
                <w:rFonts w:eastAsia="Times New Roman" w:cs="Calibri"/>
                <w:color w:val="000000"/>
                <w:sz w:val="20"/>
                <w:szCs w:val="20"/>
                <w:lang w:eastAsia="en-AU"/>
              </w:rPr>
              <w:t>SPL</w:t>
            </w:r>
            <w:r w:rsidRPr="008C1B89">
              <w:rPr>
                <w:rFonts w:eastAsia="Times New Roman" w:cs="Calibri"/>
                <w:color w:val="000000"/>
                <w:sz w:val="20"/>
                <w:szCs w:val="20"/>
                <w:lang w:eastAsia="en-AU"/>
              </w:rPr>
              <w:t xml:space="preserve"> facility</w:t>
            </w:r>
          </w:p>
        </w:tc>
        <w:tc>
          <w:tcPr>
            <w:tcW w:w="897" w:type="dxa"/>
            <w:tcBorders>
              <w:top w:val="nil"/>
              <w:left w:val="nil"/>
              <w:bottom w:val="single" w:sz="4" w:space="0" w:color="BFBFBF"/>
              <w:right w:val="single" w:sz="4" w:space="0" w:color="BFBFBF"/>
            </w:tcBorders>
            <w:shd w:val="clear" w:color="000000" w:fill="FFFFFF"/>
            <w:noWrap/>
            <w:hideMark/>
          </w:tcPr>
          <w:p w14:paraId="1C23F366" w14:textId="3F40DAE6" w:rsidR="00F42A40" w:rsidRPr="008C1B89" w:rsidRDefault="00F42A40" w:rsidP="00F42A40">
            <w:pPr>
              <w:jc w:val="right"/>
              <w:rPr>
                <w:rFonts w:eastAsia="Times New Roman" w:cs="Calibri"/>
                <w:color w:val="000000"/>
                <w:sz w:val="20"/>
                <w:szCs w:val="20"/>
                <w:lang w:eastAsia="en-AU"/>
              </w:rPr>
            </w:pPr>
            <w:r>
              <w:rPr>
                <w:color w:val="000000"/>
                <w:sz w:val="20"/>
                <w:szCs w:val="20"/>
              </w:rPr>
              <w:t>3,826</w:t>
            </w:r>
          </w:p>
        </w:tc>
        <w:tc>
          <w:tcPr>
            <w:tcW w:w="965" w:type="dxa"/>
            <w:tcBorders>
              <w:left w:val="nil"/>
              <w:right w:val="single" w:sz="4" w:space="0" w:color="BFBFBF"/>
            </w:tcBorders>
            <w:shd w:val="clear" w:color="auto" w:fill="auto"/>
            <w:noWrap/>
            <w:vAlign w:val="center"/>
            <w:hideMark/>
          </w:tcPr>
          <w:p w14:paraId="2A3D5AD6" w14:textId="3462F55B" w:rsidR="00F42A40" w:rsidRPr="008C1B89" w:rsidRDefault="00F42A40" w:rsidP="009D734D">
            <w:pPr>
              <w:jc w:val="center"/>
              <w:rPr>
                <w:rFonts w:eastAsia="Times New Roman" w:cs="Calibri"/>
                <w:color w:val="000000"/>
                <w:sz w:val="20"/>
                <w:szCs w:val="20"/>
                <w:lang w:eastAsia="en-AU"/>
              </w:rPr>
            </w:pPr>
          </w:p>
        </w:tc>
        <w:tc>
          <w:tcPr>
            <w:tcW w:w="1039" w:type="dxa"/>
            <w:tcBorders>
              <w:left w:val="nil"/>
              <w:right w:val="single" w:sz="4" w:space="0" w:color="BFBFBF"/>
            </w:tcBorders>
            <w:shd w:val="clear" w:color="auto" w:fill="auto"/>
            <w:noWrap/>
            <w:vAlign w:val="center"/>
            <w:hideMark/>
          </w:tcPr>
          <w:p w14:paraId="0ED281DC" w14:textId="536B629F" w:rsidR="00F42A40" w:rsidRPr="008C1B89" w:rsidRDefault="00F42A40" w:rsidP="009D734D">
            <w:pPr>
              <w:jc w:val="center"/>
              <w:rPr>
                <w:rFonts w:eastAsia="Times New Roman" w:cs="Calibri"/>
                <w:color w:val="000000"/>
                <w:sz w:val="20"/>
                <w:szCs w:val="20"/>
                <w:lang w:eastAsia="en-AU"/>
              </w:rPr>
            </w:pPr>
          </w:p>
        </w:tc>
        <w:tc>
          <w:tcPr>
            <w:tcW w:w="973" w:type="dxa"/>
            <w:tcBorders>
              <w:top w:val="nil"/>
              <w:left w:val="nil"/>
              <w:bottom w:val="single" w:sz="4" w:space="0" w:color="BFBFBF"/>
              <w:right w:val="single" w:sz="4" w:space="0" w:color="BFBFBF"/>
            </w:tcBorders>
            <w:shd w:val="clear" w:color="auto" w:fill="auto"/>
            <w:noWrap/>
            <w:hideMark/>
          </w:tcPr>
          <w:p w14:paraId="3CCC9EA7" w14:textId="72EE1627"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10EF3C52" w14:textId="32D4D5C6" w:rsidR="00F42A40" w:rsidRPr="008C1B89" w:rsidRDefault="00F42A40" w:rsidP="00F42A40">
            <w:pPr>
              <w:jc w:val="center"/>
              <w:rPr>
                <w:rFonts w:eastAsia="Times New Roman" w:cs="Calibri"/>
                <w:color w:val="000000"/>
                <w:sz w:val="20"/>
                <w:szCs w:val="20"/>
                <w:lang w:eastAsia="en-AU"/>
              </w:rPr>
            </w:pPr>
            <w:r>
              <w:rPr>
                <w:color w:val="000000"/>
                <w:sz w:val="20"/>
                <w:szCs w:val="20"/>
              </w:rPr>
              <w:t>2020</w:t>
            </w:r>
          </w:p>
        </w:tc>
        <w:tc>
          <w:tcPr>
            <w:tcW w:w="740" w:type="dxa"/>
            <w:tcBorders>
              <w:top w:val="nil"/>
              <w:left w:val="nil"/>
              <w:bottom w:val="single" w:sz="4" w:space="0" w:color="BFBFBF"/>
              <w:right w:val="single" w:sz="4" w:space="0" w:color="BFBFBF"/>
            </w:tcBorders>
            <w:shd w:val="clear" w:color="000000" w:fill="FFFFFF"/>
            <w:noWrap/>
            <w:hideMark/>
          </w:tcPr>
          <w:p w14:paraId="44E9CC7D" w14:textId="2A19CD4B" w:rsidR="00F42A40" w:rsidRPr="008C1B89" w:rsidRDefault="00F42A40" w:rsidP="00F42A40">
            <w:pPr>
              <w:jc w:val="center"/>
              <w:rPr>
                <w:rFonts w:eastAsia="Times New Roman" w:cs="Calibri"/>
                <w:color w:val="000000"/>
                <w:sz w:val="20"/>
                <w:szCs w:val="20"/>
                <w:lang w:eastAsia="en-AU"/>
              </w:rPr>
            </w:pPr>
            <w:r>
              <w:rPr>
                <w:color w:val="000000"/>
                <w:sz w:val="20"/>
                <w:szCs w:val="20"/>
              </w:rPr>
              <w:t>2020</w:t>
            </w:r>
          </w:p>
        </w:tc>
        <w:tc>
          <w:tcPr>
            <w:tcW w:w="740" w:type="dxa"/>
            <w:tcBorders>
              <w:top w:val="nil"/>
              <w:left w:val="nil"/>
              <w:bottom w:val="single" w:sz="4" w:space="0" w:color="BFBFBF"/>
              <w:right w:val="single" w:sz="4" w:space="0" w:color="BFBFBF"/>
            </w:tcBorders>
            <w:shd w:val="clear" w:color="000000" w:fill="FFFFFF"/>
            <w:noWrap/>
            <w:hideMark/>
          </w:tcPr>
          <w:p w14:paraId="5856A1D0" w14:textId="3AE59136"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530" w:type="dxa"/>
            <w:vMerge/>
            <w:tcBorders>
              <w:top w:val="single" w:sz="4" w:space="0" w:color="808080"/>
              <w:left w:val="single" w:sz="4" w:space="0" w:color="BFBFBF"/>
              <w:bottom w:val="single" w:sz="4" w:space="0" w:color="BFBFBF"/>
              <w:right w:val="single" w:sz="4" w:space="0" w:color="BFBFBF"/>
            </w:tcBorders>
            <w:vAlign w:val="center"/>
            <w:hideMark/>
          </w:tcPr>
          <w:p w14:paraId="0E8A9091" w14:textId="77777777" w:rsidR="00F42A40" w:rsidRPr="008C1B89" w:rsidRDefault="00F42A40" w:rsidP="00F42A40">
            <w:pPr>
              <w:rPr>
                <w:rFonts w:eastAsia="Times New Roman" w:cs="Calibri"/>
                <w:color w:val="000000"/>
                <w:sz w:val="20"/>
                <w:szCs w:val="20"/>
                <w:lang w:eastAsia="en-AU"/>
              </w:rPr>
            </w:pPr>
          </w:p>
        </w:tc>
      </w:tr>
      <w:tr w:rsidR="00F42A40" w:rsidRPr="008C1B89" w14:paraId="0B7FC995"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3AB02815"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 xml:space="preserve">Energy recovery </w:t>
            </w:r>
          </w:p>
        </w:tc>
        <w:tc>
          <w:tcPr>
            <w:tcW w:w="897" w:type="dxa"/>
            <w:tcBorders>
              <w:top w:val="nil"/>
              <w:left w:val="nil"/>
              <w:bottom w:val="single" w:sz="4" w:space="0" w:color="BFBFBF"/>
              <w:right w:val="single" w:sz="4" w:space="0" w:color="BFBFBF"/>
            </w:tcBorders>
            <w:shd w:val="clear" w:color="000000" w:fill="FFFFFF"/>
            <w:noWrap/>
            <w:hideMark/>
          </w:tcPr>
          <w:p w14:paraId="12FE7616" w14:textId="14008BBA" w:rsidR="00F42A40" w:rsidRPr="008C1B89" w:rsidRDefault="00F42A40" w:rsidP="00F42A40">
            <w:pPr>
              <w:jc w:val="right"/>
              <w:rPr>
                <w:rFonts w:eastAsia="Times New Roman" w:cs="Calibri"/>
                <w:color w:val="000000"/>
                <w:sz w:val="20"/>
                <w:szCs w:val="20"/>
                <w:lang w:eastAsia="en-AU"/>
              </w:rPr>
            </w:pPr>
            <w:r>
              <w:rPr>
                <w:color w:val="000000"/>
                <w:sz w:val="20"/>
                <w:szCs w:val="20"/>
              </w:rPr>
              <w:t>2</w:t>
            </w:r>
          </w:p>
        </w:tc>
        <w:tc>
          <w:tcPr>
            <w:tcW w:w="965" w:type="dxa"/>
            <w:tcBorders>
              <w:left w:val="nil"/>
              <w:bottom w:val="single" w:sz="4" w:space="0" w:color="BFBFBF"/>
              <w:right w:val="single" w:sz="4" w:space="0" w:color="BFBFBF"/>
            </w:tcBorders>
            <w:shd w:val="clear" w:color="auto" w:fill="auto"/>
            <w:noWrap/>
            <w:vAlign w:val="center"/>
            <w:hideMark/>
          </w:tcPr>
          <w:p w14:paraId="4704F645" w14:textId="59B3614D" w:rsidR="00F42A40" w:rsidRPr="008C1B89" w:rsidRDefault="00F42A40" w:rsidP="009D734D">
            <w:pPr>
              <w:jc w:val="center"/>
              <w:rPr>
                <w:rFonts w:eastAsia="Times New Roman" w:cs="Calibri"/>
                <w:color w:val="000000"/>
                <w:sz w:val="20"/>
                <w:szCs w:val="20"/>
                <w:lang w:eastAsia="en-AU"/>
              </w:rPr>
            </w:pPr>
          </w:p>
        </w:tc>
        <w:tc>
          <w:tcPr>
            <w:tcW w:w="1039" w:type="dxa"/>
            <w:tcBorders>
              <w:left w:val="nil"/>
              <w:bottom w:val="single" w:sz="4" w:space="0" w:color="BFBFBF"/>
              <w:right w:val="single" w:sz="4" w:space="0" w:color="BFBFBF"/>
            </w:tcBorders>
            <w:shd w:val="clear" w:color="auto" w:fill="auto"/>
            <w:noWrap/>
            <w:vAlign w:val="center"/>
            <w:hideMark/>
          </w:tcPr>
          <w:p w14:paraId="24688B76" w14:textId="51A8A442" w:rsidR="00F42A40" w:rsidRPr="008C1B89" w:rsidRDefault="00F42A40" w:rsidP="009D734D">
            <w:pPr>
              <w:jc w:val="center"/>
              <w:rPr>
                <w:rFonts w:eastAsia="Times New Roman" w:cs="Calibri"/>
                <w:color w:val="000000"/>
                <w:sz w:val="20"/>
                <w:szCs w:val="20"/>
                <w:lang w:eastAsia="en-AU"/>
              </w:rPr>
            </w:pPr>
          </w:p>
        </w:tc>
        <w:tc>
          <w:tcPr>
            <w:tcW w:w="973" w:type="dxa"/>
            <w:tcBorders>
              <w:top w:val="nil"/>
              <w:left w:val="nil"/>
              <w:bottom w:val="single" w:sz="4" w:space="0" w:color="BFBFBF"/>
              <w:right w:val="single" w:sz="4" w:space="0" w:color="BFBFBF"/>
            </w:tcBorders>
            <w:shd w:val="clear" w:color="auto" w:fill="auto"/>
            <w:noWrap/>
            <w:hideMark/>
          </w:tcPr>
          <w:p w14:paraId="59BAF1E7" w14:textId="13E46946"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73DF020F" w14:textId="3CA74CD7"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4D5EDCCE" w14:textId="793BA699"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4B499F48" w14:textId="00733B44"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530" w:type="dxa"/>
            <w:vMerge/>
            <w:tcBorders>
              <w:top w:val="single" w:sz="4" w:space="0" w:color="808080"/>
              <w:left w:val="single" w:sz="4" w:space="0" w:color="BFBFBF"/>
              <w:bottom w:val="single" w:sz="4" w:space="0" w:color="BFBFBF"/>
              <w:right w:val="single" w:sz="4" w:space="0" w:color="BFBFBF"/>
            </w:tcBorders>
            <w:vAlign w:val="center"/>
            <w:hideMark/>
          </w:tcPr>
          <w:p w14:paraId="62705BD4" w14:textId="77777777" w:rsidR="00F42A40" w:rsidRPr="008C1B89" w:rsidRDefault="00F42A40" w:rsidP="00F42A40">
            <w:pPr>
              <w:rPr>
                <w:rFonts w:eastAsia="Times New Roman" w:cs="Calibri"/>
                <w:color w:val="000000"/>
                <w:sz w:val="20"/>
                <w:szCs w:val="20"/>
                <w:lang w:eastAsia="en-AU"/>
              </w:rPr>
            </w:pPr>
          </w:p>
        </w:tc>
      </w:tr>
      <w:tr w:rsidR="009D734D" w:rsidRPr="008C1B89" w14:paraId="2B709F3E" w14:textId="77777777" w:rsidTr="009D734D">
        <w:trPr>
          <w:trHeight w:val="255"/>
        </w:trPr>
        <w:tc>
          <w:tcPr>
            <w:tcW w:w="2830" w:type="dxa"/>
            <w:tcBorders>
              <w:top w:val="nil"/>
              <w:left w:val="single" w:sz="4" w:space="0" w:color="BFBFBF"/>
              <w:bottom w:val="nil"/>
              <w:right w:val="nil"/>
            </w:tcBorders>
            <w:shd w:val="clear" w:color="000000" w:fill="C5D9F1"/>
            <w:noWrap/>
            <w:vAlign w:val="bottom"/>
            <w:hideMark/>
          </w:tcPr>
          <w:p w14:paraId="40650C61" w14:textId="77777777" w:rsidR="00F42A40" w:rsidRPr="008C1B89" w:rsidRDefault="00F42A40" w:rsidP="00F42A40">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 xml:space="preserve">Treatment </w:t>
            </w:r>
          </w:p>
        </w:tc>
        <w:tc>
          <w:tcPr>
            <w:tcW w:w="897" w:type="dxa"/>
            <w:tcBorders>
              <w:top w:val="nil"/>
              <w:left w:val="single" w:sz="4" w:space="0" w:color="BFBFBF"/>
              <w:bottom w:val="nil"/>
              <w:right w:val="single" w:sz="4" w:space="0" w:color="BFBFBF"/>
            </w:tcBorders>
            <w:shd w:val="clear" w:color="000000" w:fill="C5D9F1"/>
            <w:noWrap/>
            <w:hideMark/>
          </w:tcPr>
          <w:p w14:paraId="7F98C85D" w14:textId="5FB54098"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965" w:type="dxa"/>
            <w:tcBorders>
              <w:top w:val="nil"/>
              <w:left w:val="nil"/>
              <w:bottom w:val="single" w:sz="4" w:space="0" w:color="BFBFBF"/>
              <w:right w:val="nil"/>
            </w:tcBorders>
            <w:shd w:val="clear" w:color="000000" w:fill="C5D9F1"/>
            <w:noWrap/>
            <w:vAlign w:val="center"/>
            <w:hideMark/>
          </w:tcPr>
          <w:p w14:paraId="234BA3E7" w14:textId="64092391" w:rsidR="00F42A40" w:rsidRPr="008C1B89" w:rsidRDefault="00F42A40" w:rsidP="009D734D">
            <w:pPr>
              <w:jc w:val="center"/>
              <w:rPr>
                <w:rFonts w:eastAsia="Times New Roman" w:cs="Calibri"/>
                <w:color w:val="000000"/>
                <w:sz w:val="20"/>
                <w:szCs w:val="20"/>
                <w:lang w:eastAsia="en-AU"/>
              </w:rPr>
            </w:pPr>
          </w:p>
        </w:tc>
        <w:tc>
          <w:tcPr>
            <w:tcW w:w="1039" w:type="dxa"/>
            <w:tcBorders>
              <w:top w:val="nil"/>
              <w:left w:val="nil"/>
              <w:bottom w:val="single" w:sz="4" w:space="0" w:color="BFBFBF"/>
              <w:right w:val="nil"/>
            </w:tcBorders>
            <w:shd w:val="clear" w:color="000000" w:fill="C5D9F1"/>
            <w:noWrap/>
            <w:vAlign w:val="center"/>
            <w:hideMark/>
          </w:tcPr>
          <w:p w14:paraId="27DBA22C" w14:textId="4DA656E7" w:rsidR="00F42A40" w:rsidRPr="008C1B89" w:rsidRDefault="00F42A40" w:rsidP="009D734D">
            <w:pPr>
              <w:jc w:val="center"/>
              <w:rPr>
                <w:rFonts w:eastAsia="Times New Roman" w:cs="Calibri"/>
                <w:color w:val="000000"/>
                <w:sz w:val="20"/>
                <w:szCs w:val="20"/>
                <w:lang w:eastAsia="en-AU"/>
              </w:rPr>
            </w:pPr>
          </w:p>
        </w:tc>
        <w:tc>
          <w:tcPr>
            <w:tcW w:w="973" w:type="dxa"/>
            <w:tcBorders>
              <w:top w:val="nil"/>
              <w:left w:val="nil"/>
              <w:bottom w:val="nil"/>
              <w:right w:val="single" w:sz="4" w:space="0" w:color="BFBFBF"/>
            </w:tcBorders>
            <w:shd w:val="clear" w:color="000000" w:fill="C5D9F1"/>
            <w:noWrap/>
            <w:hideMark/>
          </w:tcPr>
          <w:p w14:paraId="2FE92FE0" w14:textId="6467E56C"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single" w:sz="4" w:space="0" w:color="BFBFBF"/>
            </w:tcBorders>
            <w:shd w:val="clear" w:color="000000" w:fill="C5D9F1"/>
            <w:noWrap/>
            <w:hideMark/>
          </w:tcPr>
          <w:p w14:paraId="1FDE7F91" w14:textId="00D95F18"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single" w:sz="4" w:space="0" w:color="BFBFBF"/>
            </w:tcBorders>
            <w:shd w:val="clear" w:color="000000" w:fill="C5D9F1"/>
            <w:noWrap/>
            <w:hideMark/>
          </w:tcPr>
          <w:p w14:paraId="35D09353" w14:textId="2E21BCB0"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single" w:sz="4" w:space="0" w:color="BFBFBF"/>
            </w:tcBorders>
            <w:shd w:val="clear" w:color="000000" w:fill="C5D9F1"/>
            <w:noWrap/>
            <w:hideMark/>
          </w:tcPr>
          <w:p w14:paraId="1DB0B317" w14:textId="5F5082C7"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5530" w:type="dxa"/>
            <w:vMerge/>
            <w:tcBorders>
              <w:top w:val="single" w:sz="4" w:space="0" w:color="808080"/>
              <w:left w:val="single" w:sz="4" w:space="0" w:color="BFBFBF"/>
              <w:bottom w:val="single" w:sz="4" w:space="0" w:color="BFBFBF"/>
              <w:right w:val="single" w:sz="4" w:space="0" w:color="BFBFBF"/>
            </w:tcBorders>
            <w:vAlign w:val="center"/>
            <w:hideMark/>
          </w:tcPr>
          <w:p w14:paraId="1ED34E54" w14:textId="77777777" w:rsidR="00F42A40" w:rsidRPr="008C1B89" w:rsidRDefault="00F42A40" w:rsidP="00F42A40">
            <w:pPr>
              <w:rPr>
                <w:rFonts w:eastAsia="Times New Roman" w:cs="Calibri"/>
                <w:color w:val="000000"/>
                <w:sz w:val="20"/>
                <w:szCs w:val="20"/>
                <w:lang w:eastAsia="en-AU"/>
              </w:rPr>
            </w:pPr>
          </w:p>
        </w:tc>
      </w:tr>
      <w:tr w:rsidR="00F42A40" w:rsidRPr="008C1B89" w14:paraId="1E8189F5" w14:textId="77777777" w:rsidTr="009D734D">
        <w:trPr>
          <w:trHeight w:val="255"/>
        </w:trPr>
        <w:tc>
          <w:tcPr>
            <w:tcW w:w="283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A99E63E"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CPT plant</w:t>
            </w:r>
          </w:p>
        </w:tc>
        <w:tc>
          <w:tcPr>
            <w:tcW w:w="897" w:type="dxa"/>
            <w:tcBorders>
              <w:top w:val="single" w:sz="4" w:space="0" w:color="BFBFBF"/>
              <w:left w:val="nil"/>
              <w:bottom w:val="single" w:sz="4" w:space="0" w:color="BFBFBF"/>
              <w:right w:val="single" w:sz="4" w:space="0" w:color="BFBFBF"/>
            </w:tcBorders>
            <w:shd w:val="clear" w:color="000000" w:fill="FFFFFF"/>
            <w:noWrap/>
            <w:hideMark/>
          </w:tcPr>
          <w:p w14:paraId="1D228E66" w14:textId="2EB605A4" w:rsidR="00F42A40" w:rsidRPr="008C1B89" w:rsidRDefault="00F42A40" w:rsidP="00F42A40">
            <w:pPr>
              <w:jc w:val="right"/>
              <w:rPr>
                <w:rFonts w:eastAsia="Times New Roman" w:cs="Calibri"/>
                <w:color w:val="000000"/>
                <w:sz w:val="20"/>
                <w:szCs w:val="20"/>
                <w:lang w:eastAsia="en-AU"/>
              </w:rPr>
            </w:pPr>
            <w:r>
              <w:rPr>
                <w:color w:val="000000"/>
                <w:sz w:val="20"/>
                <w:szCs w:val="20"/>
              </w:rPr>
              <w:t>16,247</w:t>
            </w:r>
          </w:p>
        </w:tc>
        <w:tc>
          <w:tcPr>
            <w:tcW w:w="965" w:type="dxa"/>
            <w:tcBorders>
              <w:top w:val="nil"/>
              <w:left w:val="nil"/>
              <w:right w:val="single" w:sz="4" w:space="0" w:color="BFBFBF"/>
            </w:tcBorders>
            <w:shd w:val="clear" w:color="auto" w:fill="auto"/>
            <w:noWrap/>
            <w:vAlign w:val="center"/>
            <w:hideMark/>
          </w:tcPr>
          <w:p w14:paraId="51BDA988" w14:textId="4DB25749"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39" w:type="dxa"/>
            <w:tcBorders>
              <w:top w:val="nil"/>
              <w:left w:val="nil"/>
              <w:right w:val="single" w:sz="4" w:space="0" w:color="BFBFBF"/>
            </w:tcBorders>
            <w:shd w:val="clear" w:color="auto" w:fill="auto"/>
            <w:noWrap/>
            <w:vAlign w:val="center"/>
            <w:hideMark/>
          </w:tcPr>
          <w:p w14:paraId="741DB55F" w14:textId="4DCB6728"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73" w:type="dxa"/>
            <w:tcBorders>
              <w:top w:val="single" w:sz="4" w:space="0" w:color="BFBFBF"/>
              <w:left w:val="nil"/>
              <w:bottom w:val="single" w:sz="4" w:space="0" w:color="BFBFBF"/>
              <w:right w:val="single" w:sz="4" w:space="0" w:color="BFBFBF"/>
            </w:tcBorders>
            <w:shd w:val="clear" w:color="auto" w:fill="auto"/>
            <w:noWrap/>
            <w:hideMark/>
          </w:tcPr>
          <w:p w14:paraId="32C3FE17" w14:textId="1541D296"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3F78682" w14:textId="19387905"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9EFEE02" w14:textId="268774F5"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348AB930" w14:textId="359EA110"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530" w:type="dxa"/>
            <w:vMerge/>
            <w:tcBorders>
              <w:top w:val="single" w:sz="4" w:space="0" w:color="808080"/>
              <w:left w:val="single" w:sz="4" w:space="0" w:color="BFBFBF"/>
              <w:bottom w:val="single" w:sz="4" w:space="0" w:color="BFBFBF"/>
              <w:right w:val="single" w:sz="4" w:space="0" w:color="BFBFBF"/>
            </w:tcBorders>
            <w:vAlign w:val="center"/>
            <w:hideMark/>
          </w:tcPr>
          <w:p w14:paraId="48EF46F2" w14:textId="77777777" w:rsidR="00F42A40" w:rsidRPr="008C1B89" w:rsidRDefault="00F42A40" w:rsidP="00F42A40">
            <w:pPr>
              <w:rPr>
                <w:rFonts w:eastAsia="Times New Roman" w:cs="Calibri"/>
                <w:color w:val="000000"/>
                <w:sz w:val="20"/>
                <w:szCs w:val="20"/>
                <w:lang w:eastAsia="en-AU"/>
              </w:rPr>
            </w:pPr>
          </w:p>
        </w:tc>
      </w:tr>
      <w:tr w:rsidR="00F42A40" w:rsidRPr="008C1B89" w14:paraId="2CC376DE"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6A963FE3"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 xml:space="preserve">Clinical waste treatment facility </w:t>
            </w:r>
          </w:p>
        </w:tc>
        <w:tc>
          <w:tcPr>
            <w:tcW w:w="897" w:type="dxa"/>
            <w:tcBorders>
              <w:top w:val="nil"/>
              <w:left w:val="nil"/>
              <w:bottom w:val="single" w:sz="4" w:space="0" w:color="BFBFBF"/>
              <w:right w:val="single" w:sz="4" w:space="0" w:color="BFBFBF"/>
            </w:tcBorders>
            <w:shd w:val="clear" w:color="000000" w:fill="FFFFFF"/>
            <w:noWrap/>
            <w:hideMark/>
          </w:tcPr>
          <w:p w14:paraId="211DD709" w14:textId="2195B649" w:rsidR="00F42A40" w:rsidRPr="008C1B89" w:rsidRDefault="00F42A40" w:rsidP="00F42A40">
            <w:pPr>
              <w:jc w:val="right"/>
              <w:rPr>
                <w:rFonts w:eastAsia="Times New Roman" w:cs="Calibri"/>
                <w:color w:val="000000"/>
                <w:sz w:val="20"/>
                <w:szCs w:val="20"/>
                <w:lang w:eastAsia="en-AU"/>
              </w:rPr>
            </w:pPr>
            <w:r>
              <w:rPr>
                <w:color w:val="000000"/>
                <w:sz w:val="20"/>
                <w:szCs w:val="20"/>
              </w:rPr>
              <w:t>9</w:t>
            </w:r>
          </w:p>
        </w:tc>
        <w:tc>
          <w:tcPr>
            <w:tcW w:w="965" w:type="dxa"/>
            <w:tcBorders>
              <w:left w:val="nil"/>
              <w:right w:val="single" w:sz="4" w:space="0" w:color="BFBFBF"/>
            </w:tcBorders>
            <w:shd w:val="clear" w:color="auto" w:fill="auto"/>
            <w:noWrap/>
            <w:vAlign w:val="center"/>
            <w:hideMark/>
          </w:tcPr>
          <w:p w14:paraId="10CF3982" w14:textId="0F4148FE" w:rsidR="00F42A40" w:rsidRPr="008C1B89" w:rsidRDefault="00F42A40" w:rsidP="009D734D">
            <w:pPr>
              <w:jc w:val="center"/>
              <w:rPr>
                <w:rFonts w:eastAsia="Times New Roman" w:cs="Calibri"/>
                <w:color w:val="000000"/>
                <w:sz w:val="20"/>
                <w:szCs w:val="20"/>
                <w:lang w:eastAsia="en-AU"/>
              </w:rPr>
            </w:pPr>
          </w:p>
        </w:tc>
        <w:tc>
          <w:tcPr>
            <w:tcW w:w="1039" w:type="dxa"/>
            <w:tcBorders>
              <w:left w:val="nil"/>
              <w:right w:val="single" w:sz="4" w:space="0" w:color="BFBFBF"/>
            </w:tcBorders>
            <w:shd w:val="clear" w:color="auto" w:fill="auto"/>
            <w:noWrap/>
            <w:vAlign w:val="center"/>
            <w:hideMark/>
          </w:tcPr>
          <w:p w14:paraId="78DDDD68" w14:textId="5699FB7C" w:rsidR="00F42A40" w:rsidRPr="008C1B89" w:rsidRDefault="00F42A40" w:rsidP="009D734D">
            <w:pPr>
              <w:jc w:val="center"/>
              <w:rPr>
                <w:rFonts w:eastAsia="Times New Roman" w:cs="Calibri"/>
                <w:color w:val="000000"/>
                <w:sz w:val="20"/>
                <w:szCs w:val="20"/>
                <w:lang w:eastAsia="en-AU"/>
              </w:rPr>
            </w:pPr>
          </w:p>
        </w:tc>
        <w:tc>
          <w:tcPr>
            <w:tcW w:w="973" w:type="dxa"/>
            <w:tcBorders>
              <w:top w:val="nil"/>
              <w:left w:val="nil"/>
              <w:bottom w:val="single" w:sz="4" w:space="0" w:color="BFBFBF"/>
              <w:right w:val="single" w:sz="4" w:space="0" w:color="BFBFBF"/>
            </w:tcBorders>
            <w:shd w:val="clear" w:color="auto" w:fill="auto"/>
            <w:noWrap/>
            <w:hideMark/>
          </w:tcPr>
          <w:p w14:paraId="7283CCEC" w14:textId="32CAC1A1"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45597A89" w14:textId="277301AD" w:rsidR="00F42A40" w:rsidRPr="008C1B89" w:rsidRDefault="00F42A40" w:rsidP="00F42A40">
            <w:pPr>
              <w:jc w:val="center"/>
              <w:rPr>
                <w:rFonts w:eastAsia="Times New Roman" w:cs="Calibri"/>
                <w:color w:val="808080"/>
                <w:sz w:val="20"/>
                <w:szCs w:val="20"/>
                <w:lang w:eastAsia="en-AU"/>
              </w:rPr>
            </w:pPr>
            <w:r>
              <w:rPr>
                <w:color w:val="000000"/>
                <w:sz w:val="20"/>
                <w:szCs w:val="20"/>
              </w:rPr>
              <w:t>&gt;2037</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14BEBCE7" w14:textId="02140891" w:rsidR="00F42A40" w:rsidRPr="008C1B89" w:rsidRDefault="00F42A40" w:rsidP="00F42A40">
            <w:pPr>
              <w:jc w:val="center"/>
              <w:rPr>
                <w:rFonts w:eastAsia="Times New Roman" w:cs="Calibri"/>
                <w:color w:val="808080"/>
                <w:sz w:val="20"/>
                <w:szCs w:val="20"/>
                <w:lang w:eastAsia="en-AU"/>
              </w:rPr>
            </w:pPr>
            <w:r>
              <w:rPr>
                <w:color w:val="000000"/>
                <w:sz w:val="20"/>
                <w:szCs w:val="20"/>
              </w:rPr>
              <w:t>&gt;2037</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7461A94E" w14:textId="76BBC5A4" w:rsidR="00F42A40" w:rsidRPr="008C1B89" w:rsidRDefault="00F42A40" w:rsidP="00F42A40">
            <w:pPr>
              <w:jc w:val="center"/>
              <w:rPr>
                <w:rFonts w:eastAsia="Times New Roman" w:cs="Calibri"/>
                <w:color w:val="808080"/>
                <w:sz w:val="20"/>
                <w:szCs w:val="20"/>
                <w:lang w:eastAsia="en-AU"/>
              </w:rPr>
            </w:pPr>
            <w:r>
              <w:rPr>
                <w:color w:val="000000"/>
                <w:sz w:val="20"/>
                <w:szCs w:val="20"/>
              </w:rPr>
              <w:t>&gt;2037</w:t>
            </w:r>
          </w:p>
        </w:tc>
        <w:tc>
          <w:tcPr>
            <w:tcW w:w="5530" w:type="dxa"/>
            <w:vMerge/>
            <w:tcBorders>
              <w:top w:val="single" w:sz="4" w:space="0" w:color="808080"/>
              <w:left w:val="single" w:sz="4" w:space="0" w:color="BFBFBF"/>
              <w:bottom w:val="single" w:sz="4" w:space="0" w:color="BFBFBF"/>
              <w:right w:val="single" w:sz="4" w:space="0" w:color="BFBFBF"/>
            </w:tcBorders>
            <w:vAlign w:val="center"/>
            <w:hideMark/>
          </w:tcPr>
          <w:p w14:paraId="61A908CC" w14:textId="77777777" w:rsidR="00F42A40" w:rsidRPr="008C1B89" w:rsidRDefault="00F42A40" w:rsidP="00F42A40">
            <w:pPr>
              <w:rPr>
                <w:rFonts w:eastAsia="Times New Roman" w:cs="Calibri"/>
                <w:color w:val="000000"/>
                <w:sz w:val="20"/>
                <w:szCs w:val="20"/>
                <w:lang w:eastAsia="en-AU"/>
              </w:rPr>
            </w:pPr>
          </w:p>
        </w:tc>
      </w:tr>
      <w:tr w:rsidR="00F42A40" w:rsidRPr="008C1B89" w14:paraId="0A30675F"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61B3E6AE"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Bioremediation facility</w:t>
            </w:r>
          </w:p>
        </w:tc>
        <w:tc>
          <w:tcPr>
            <w:tcW w:w="897" w:type="dxa"/>
            <w:tcBorders>
              <w:top w:val="nil"/>
              <w:left w:val="nil"/>
              <w:bottom w:val="single" w:sz="4" w:space="0" w:color="BFBFBF"/>
              <w:right w:val="single" w:sz="4" w:space="0" w:color="BFBFBF"/>
            </w:tcBorders>
            <w:shd w:val="clear" w:color="000000" w:fill="FFFFFF"/>
            <w:noWrap/>
            <w:hideMark/>
          </w:tcPr>
          <w:p w14:paraId="4DA59EB7" w14:textId="1C9A1BA4" w:rsidR="00F42A40" w:rsidRPr="008C1B89" w:rsidRDefault="00F42A40" w:rsidP="00F42A40">
            <w:pPr>
              <w:jc w:val="right"/>
              <w:rPr>
                <w:rFonts w:eastAsia="Times New Roman" w:cs="Calibri"/>
                <w:color w:val="000000"/>
                <w:sz w:val="20"/>
                <w:szCs w:val="20"/>
                <w:lang w:eastAsia="en-AU"/>
              </w:rPr>
            </w:pPr>
            <w:r>
              <w:rPr>
                <w:color w:val="000000"/>
                <w:sz w:val="20"/>
                <w:szCs w:val="20"/>
              </w:rPr>
              <w:t>38</w:t>
            </w:r>
          </w:p>
        </w:tc>
        <w:tc>
          <w:tcPr>
            <w:tcW w:w="965" w:type="dxa"/>
            <w:tcBorders>
              <w:left w:val="nil"/>
              <w:right w:val="single" w:sz="4" w:space="0" w:color="BFBFBF"/>
            </w:tcBorders>
            <w:shd w:val="clear" w:color="auto" w:fill="auto"/>
            <w:noWrap/>
            <w:vAlign w:val="center"/>
            <w:hideMark/>
          </w:tcPr>
          <w:p w14:paraId="65C6B5D5" w14:textId="6C519B43" w:rsidR="00F42A40" w:rsidRPr="008C1B89" w:rsidRDefault="00F42A40" w:rsidP="009D734D">
            <w:pPr>
              <w:jc w:val="center"/>
              <w:rPr>
                <w:rFonts w:eastAsia="Times New Roman" w:cs="Calibri"/>
                <w:color w:val="000000"/>
                <w:sz w:val="20"/>
                <w:szCs w:val="20"/>
                <w:lang w:eastAsia="en-AU"/>
              </w:rPr>
            </w:pPr>
          </w:p>
        </w:tc>
        <w:tc>
          <w:tcPr>
            <w:tcW w:w="1039" w:type="dxa"/>
            <w:tcBorders>
              <w:left w:val="nil"/>
              <w:right w:val="single" w:sz="4" w:space="0" w:color="BFBFBF"/>
            </w:tcBorders>
            <w:shd w:val="clear" w:color="auto" w:fill="auto"/>
            <w:noWrap/>
            <w:vAlign w:val="center"/>
            <w:hideMark/>
          </w:tcPr>
          <w:p w14:paraId="133AA70A" w14:textId="11BE43AB" w:rsidR="00F42A40" w:rsidRPr="008C1B89" w:rsidRDefault="00F42A40" w:rsidP="009D734D">
            <w:pPr>
              <w:jc w:val="center"/>
              <w:rPr>
                <w:rFonts w:eastAsia="Times New Roman" w:cs="Calibri"/>
                <w:color w:val="000000"/>
                <w:sz w:val="20"/>
                <w:szCs w:val="20"/>
                <w:lang w:eastAsia="en-AU"/>
              </w:rPr>
            </w:pPr>
          </w:p>
        </w:tc>
        <w:tc>
          <w:tcPr>
            <w:tcW w:w="973" w:type="dxa"/>
            <w:tcBorders>
              <w:top w:val="nil"/>
              <w:left w:val="nil"/>
              <w:bottom w:val="single" w:sz="4" w:space="0" w:color="BFBFBF"/>
              <w:right w:val="single" w:sz="4" w:space="0" w:color="BFBFBF"/>
            </w:tcBorders>
            <w:shd w:val="clear" w:color="auto" w:fill="auto"/>
            <w:noWrap/>
            <w:hideMark/>
          </w:tcPr>
          <w:p w14:paraId="4C26EB5F" w14:textId="5EAC64A8"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0C2072F5" w14:textId="169E7B2B"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53E6D381" w14:textId="58E7D6F1"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594CE609" w14:textId="512DCFD7"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530" w:type="dxa"/>
            <w:vMerge/>
            <w:tcBorders>
              <w:top w:val="single" w:sz="4" w:space="0" w:color="808080"/>
              <w:left w:val="single" w:sz="4" w:space="0" w:color="BFBFBF"/>
              <w:bottom w:val="single" w:sz="4" w:space="0" w:color="BFBFBF"/>
              <w:right w:val="single" w:sz="4" w:space="0" w:color="BFBFBF"/>
            </w:tcBorders>
            <w:vAlign w:val="center"/>
            <w:hideMark/>
          </w:tcPr>
          <w:p w14:paraId="7621CFDE" w14:textId="77777777" w:rsidR="00F42A40" w:rsidRPr="008C1B89" w:rsidRDefault="00F42A40" w:rsidP="00F42A40">
            <w:pPr>
              <w:rPr>
                <w:rFonts w:eastAsia="Times New Roman" w:cs="Calibri"/>
                <w:color w:val="000000"/>
                <w:sz w:val="20"/>
                <w:szCs w:val="20"/>
                <w:lang w:eastAsia="en-AU"/>
              </w:rPr>
            </w:pPr>
          </w:p>
        </w:tc>
      </w:tr>
      <w:tr w:rsidR="00F42A40" w:rsidRPr="008C1B89" w14:paraId="0E349126"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7DFA5464" w14:textId="0101E04B" w:rsidR="00F42A40" w:rsidRPr="008C1B89" w:rsidRDefault="00F42A40" w:rsidP="00F42A40">
            <w:pPr>
              <w:jc w:val="right"/>
              <w:rPr>
                <w:rFonts w:eastAsia="Times New Roman" w:cs="Calibri"/>
                <w:color w:val="000000"/>
                <w:sz w:val="20"/>
                <w:szCs w:val="20"/>
                <w:lang w:eastAsia="en-AU"/>
              </w:rPr>
            </w:pPr>
            <w:r>
              <w:rPr>
                <w:rFonts w:eastAsia="Times New Roman" w:cs="Calibri"/>
                <w:color w:val="000000"/>
                <w:sz w:val="20"/>
                <w:szCs w:val="20"/>
                <w:lang w:eastAsia="en-AU"/>
              </w:rPr>
              <w:t>OWT</w:t>
            </w:r>
            <w:r w:rsidRPr="008C1B89">
              <w:rPr>
                <w:rFonts w:eastAsia="Times New Roman" w:cs="Calibri"/>
                <w:color w:val="000000"/>
                <w:sz w:val="20"/>
                <w:szCs w:val="20"/>
                <w:lang w:eastAsia="en-AU"/>
              </w:rPr>
              <w:t xml:space="preserve"> facility  </w:t>
            </w:r>
          </w:p>
        </w:tc>
        <w:tc>
          <w:tcPr>
            <w:tcW w:w="897" w:type="dxa"/>
            <w:tcBorders>
              <w:top w:val="nil"/>
              <w:left w:val="nil"/>
              <w:bottom w:val="single" w:sz="4" w:space="0" w:color="BFBFBF"/>
              <w:right w:val="single" w:sz="4" w:space="0" w:color="BFBFBF"/>
            </w:tcBorders>
            <w:shd w:val="clear" w:color="000000" w:fill="FFFFFF"/>
            <w:noWrap/>
            <w:hideMark/>
          </w:tcPr>
          <w:p w14:paraId="078478F7" w14:textId="658B4159" w:rsidR="00F42A40" w:rsidRPr="008C1B89" w:rsidRDefault="00F42A40" w:rsidP="00F42A40">
            <w:pPr>
              <w:jc w:val="right"/>
              <w:rPr>
                <w:rFonts w:eastAsia="Times New Roman" w:cs="Calibri"/>
                <w:color w:val="000000"/>
                <w:sz w:val="20"/>
                <w:szCs w:val="20"/>
                <w:lang w:eastAsia="en-AU"/>
              </w:rPr>
            </w:pPr>
            <w:r>
              <w:rPr>
                <w:color w:val="000000"/>
                <w:sz w:val="20"/>
                <w:szCs w:val="20"/>
              </w:rPr>
              <w:t>72</w:t>
            </w:r>
          </w:p>
        </w:tc>
        <w:tc>
          <w:tcPr>
            <w:tcW w:w="965" w:type="dxa"/>
            <w:tcBorders>
              <w:left w:val="nil"/>
              <w:right w:val="single" w:sz="4" w:space="0" w:color="BFBFBF"/>
            </w:tcBorders>
            <w:shd w:val="clear" w:color="auto" w:fill="auto"/>
            <w:noWrap/>
            <w:vAlign w:val="center"/>
            <w:hideMark/>
          </w:tcPr>
          <w:p w14:paraId="0021604B" w14:textId="4B36A101" w:rsidR="00F42A40" w:rsidRPr="008C1B89" w:rsidRDefault="00F42A40" w:rsidP="009D734D">
            <w:pPr>
              <w:jc w:val="center"/>
              <w:rPr>
                <w:rFonts w:eastAsia="Times New Roman" w:cs="Calibri"/>
                <w:color w:val="000000"/>
                <w:sz w:val="20"/>
                <w:szCs w:val="20"/>
                <w:lang w:eastAsia="en-AU"/>
              </w:rPr>
            </w:pPr>
          </w:p>
        </w:tc>
        <w:tc>
          <w:tcPr>
            <w:tcW w:w="1039" w:type="dxa"/>
            <w:tcBorders>
              <w:left w:val="nil"/>
              <w:right w:val="single" w:sz="4" w:space="0" w:color="BFBFBF"/>
            </w:tcBorders>
            <w:shd w:val="clear" w:color="auto" w:fill="auto"/>
            <w:noWrap/>
            <w:vAlign w:val="center"/>
            <w:hideMark/>
          </w:tcPr>
          <w:p w14:paraId="1B77D871" w14:textId="09CB91D0" w:rsidR="00F42A40" w:rsidRPr="008C1B89" w:rsidRDefault="00F42A40" w:rsidP="009D734D">
            <w:pPr>
              <w:jc w:val="center"/>
              <w:rPr>
                <w:rFonts w:eastAsia="Times New Roman" w:cs="Calibri"/>
                <w:color w:val="000000"/>
                <w:sz w:val="20"/>
                <w:szCs w:val="20"/>
                <w:lang w:eastAsia="en-AU"/>
              </w:rPr>
            </w:pPr>
          </w:p>
        </w:tc>
        <w:tc>
          <w:tcPr>
            <w:tcW w:w="973" w:type="dxa"/>
            <w:tcBorders>
              <w:top w:val="nil"/>
              <w:left w:val="nil"/>
              <w:bottom w:val="single" w:sz="4" w:space="0" w:color="BFBFBF"/>
              <w:right w:val="single" w:sz="4" w:space="0" w:color="BFBFBF"/>
            </w:tcBorders>
            <w:shd w:val="clear" w:color="auto" w:fill="auto"/>
            <w:noWrap/>
            <w:hideMark/>
          </w:tcPr>
          <w:p w14:paraId="5FB72D8F" w14:textId="2CE99A98" w:rsidR="00F42A40" w:rsidRPr="008C1B89" w:rsidRDefault="00F42A40" w:rsidP="00F42A40">
            <w:pPr>
              <w:jc w:val="center"/>
              <w:rPr>
                <w:rFonts w:eastAsia="Times New Roman" w:cs="Calibri"/>
                <w:color w:val="000000"/>
                <w:sz w:val="20"/>
                <w:szCs w:val="20"/>
                <w:lang w:eastAsia="en-AU"/>
              </w:rPr>
            </w:pPr>
            <w:r>
              <w:rPr>
                <w:color w:val="000000"/>
                <w:sz w:val="20"/>
                <w:szCs w:val="20"/>
              </w:rPr>
              <w:t>Poor</w:t>
            </w:r>
          </w:p>
        </w:tc>
        <w:tc>
          <w:tcPr>
            <w:tcW w:w="740" w:type="dxa"/>
            <w:tcBorders>
              <w:top w:val="nil"/>
              <w:left w:val="nil"/>
              <w:bottom w:val="single" w:sz="4" w:space="0" w:color="BFBFBF"/>
              <w:right w:val="single" w:sz="4" w:space="0" w:color="BFBFBF"/>
            </w:tcBorders>
            <w:shd w:val="clear" w:color="000000" w:fill="FFFFFF"/>
            <w:noWrap/>
            <w:hideMark/>
          </w:tcPr>
          <w:p w14:paraId="115BAC41" w14:textId="18DC948F"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04EC0346" w14:textId="613BF588"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40" w:type="dxa"/>
            <w:tcBorders>
              <w:top w:val="nil"/>
              <w:left w:val="nil"/>
              <w:bottom w:val="single" w:sz="4" w:space="0" w:color="BFBFBF"/>
              <w:right w:val="single" w:sz="4" w:space="0" w:color="BFBFBF"/>
            </w:tcBorders>
            <w:shd w:val="clear" w:color="000000" w:fill="FFFFFF"/>
            <w:noWrap/>
            <w:hideMark/>
          </w:tcPr>
          <w:p w14:paraId="6D4636BF" w14:textId="54475C77"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530" w:type="dxa"/>
            <w:vMerge/>
            <w:tcBorders>
              <w:top w:val="single" w:sz="4" w:space="0" w:color="808080"/>
              <w:left w:val="single" w:sz="4" w:space="0" w:color="BFBFBF"/>
              <w:bottom w:val="single" w:sz="4" w:space="0" w:color="BFBFBF"/>
              <w:right w:val="single" w:sz="4" w:space="0" w:color="BFBFBF"/>
            </w:tcBorders>
            <w:vAlign w:val="center"/>
            <w:hideMark/>
          </w:tcPr>
          <w:p w14:paraId="39AF1E92" w14:textId="77777777" w:rsidR="00F42A40" w:rsidRPr="008C1B89" w:rsidRDefault="00F42A40" w:rsidP="00F42A40">
            <w:pPr>
              <w:rPr>
                <w:rFonts w:eastAsia="Times New Roman" w:cs="Calibri"/>
                <w:color w:val="000000"/>
                <w:sz w:val="20"/>
                <w:szCs w:val="20"/>
                <w:lang w:eastAsia="en-AU"/>
              </w:rPr>
            </w:pPr>
          </w:p>
        </w:tc>
      </w:tr>
      <w:tr w:rsidR="00F42A40" w:rsidRPr="008C1B89" w14:paraId="5967D6D5"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11B10492"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Soils treatment facility</w:t>
            </w:r>
          </w:p>
        </w:tc>
        <w:tc>
          <w:tcPr>
            <w:tcW w:w="897" w:type="dxa"/>
            <w:tcBorders>
              <w:top w:val="nil"/>
              <w:left w:val="nil"/>
              <w:bottom w:val="single" w:sz="4" w:space="0" w:color="BFBFBF"/>
              <w:right w:val="single" w:sz="4" w:space="0" w:color="BFBFBF"/>
            </w:tcBorders>
            <w:shd w:val="clear" w:color="000000" w:fill="FFFFFF"/>
            <w:noWrap/>
            <w:hideMark/>
          </w:tcPr>
          <w:p w14:paraId="4F091D7E" w14:textId="50B316F3" w:rsidR="00F42A40" w:rsidRPr="008C1B89" w:rsidRDefault="00F42A40" w:rsidP="00F42A40">
            <w:pPr>
              <w:jc w:val="right"/>
              <w:rPr>
                <w:rFonts w:eastAsia="Times New Roman" w:cs="Calibri"/>
                <w:color w:val="000000"/>
                <w:sz w:val="20"/>
                <w:szCs w:val="20"/>
                <w:lang w:eastAsia="en-AU"/>
              </w:rPr>
            </w:pPr>
            <w:r>
              <w:rPr>
                <w:color w:val="000000"/>
                <w:sz w:val="20"/>
                <w:szCs w:val="20"/>
              </w:rPr>
              <w:t>568</w:t>
            </w:r>
          </w:p>
        </w:tc>
        <w:tc>
          <w:tcPr>
            <w:tcW w:w="965" w:type="dxa"/>
            <w:tcBorders>
              <w:left w:val="nil"/>
              <w:bottom w:val="single" w:sz="4" w:space="0" w:color="BFBFBF"/>
              <w:right w:val="single" w:sz="4" w:space="0" w:color="BFBFBF"/>
            </w:tcBorders>
            <w:shd w:val="clear" w:color="auto" w:fill="auto"/>
            <w:noWrap/>
            <w:vAlign w:val="center"/>
            <w:hideMark/>
          </w:tcPr>
          <w:p w14:paraId="2BBD5D6A" w14:textId="61A581FF" w:rsidR="00F42A40" w:rsidRPr="008C1B89" w:rsidRDefault="00F42A40" w:rsidP="009D734D">
            <w:pPr>
              <w:jc w:val="center"/>
              <w:rPr>
                <w:rFonts w:eastAsia="Times New Roman" w:cs="Calibri"/>
                <w:color w:val="000000"/>
                <w:sz w:val="20"/>
                <w:szCs w:val="20"/>
                <w:lang w:eastAsia="en-AU"/>
              </w:rPr>
            </w:pPr>
          </w:p>
        </w:tc>
        <w:tc>
          <w:tcPr>
            <w:tcW w:w="1039" w:type="dxa"/>
            <w:tcBorders>
              <w:left w:val="nil"/>
              <w:bottom w:val="single" w:sz="4" w:space="0" w:color="BFBFBF"/>
              <w:right w:val="single" w:sz="4" w:space="0" w:color="BFBFBF"/>
            </w:tcBorders>
            <w:shd w:val="clear" w:color="auto" w:fill="auto"/>
            <w:noWrap/>
            <w:vAlign w:val="center"/>
            <w:hideMark/>
          </w:tcPr>
          <w:p w14:paraId="1AB581E7" w14:textId="2578FEA3" w:rsidR="00F42A40" w:rsidRPr="008C1B89" w:rsidRDefault="00F42A40" w:rsidP="009D734D">
            <w:pPr>
              <w:jc w:val="center"/>
              <w:rPr>
                <w:rFonts w:eastAsia="Times New Roman" w:cs="Calibri"/>
                <w:color w:val="000000"/>
                <w:sz w:val="20"/>
                <w:szCs w:val="20"/>
                <w:lang w:eastAsia="en-AU"/>
              </w:rPr>
            </w:pPr>
          </w:p>
        </w:tc>
        <w:tc>
          <w:tcPr>
            <w:tcW w:w="973" w:type="dxa"/>
            <w:tcBorders>
              <w:top w:val="nil"/>
              <w:left w:val="nil"/>
              <w:bottom w:val="single" w:sz="4" w:space="0" w:color="BFBFBF"/>
              <w:right w:val="single" w:sz="4" w:space="0" w:color="BFBFBF"/>
            </w:tcBorders>
            <w:shd w:val="clear" w:color="auto" w:fill="auto"/>
            <w:noWrap/>
            <w:hideMark/>
          </w:tcPr>
          <w:p w14:paraId="40453EF4" w14:textId="494397CD"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3B8CEDC8" w14:textId="41236C90" w:rsidR="00F42A40" w:rsidRPr="008C1B89" w:rsidRDefault="00F42A40" w:rsidP="00F42A40">
            <w:pPr>
              <w:jc w:val="center"/>
              <w:rPr>
                <w:rFonts w:eastAsia="Times New Roman" w:cs="Calibri"/>
                <w:color w:val="808080"/>
                <w:sz w:val="20"/>
                <w:szCs w:val="20"/>
                <w:lang w:eastAsia="en-AU"/>
              </w:rPr>
            </w:pPr>
            <w:r>
              <w:rPr>
                <w:color w:val="000000"/>
                <w:sz w:val="20"/>
                <w:szCs w:val="20"/>
              </w:rPr>
              <w:t>&gt;2037</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88AF503" w14:textId="0708A908" w:rsidR="00F42A40" w:rsidRPr="008C1B89" w:rsidRDefault="00F42A40" w:rsidP="00F42A40">
            <w:pPr>
              <w:jc w:val="center"/>
              <w:rPr>
                <w:rFonts w:eastAsia="Times New Roman" w:cs="Calibri"/>
                <w:color w:val="808080"/>
                <w:sz w:val="20"/>
                <w:szCs w:val="20"/>
                <w:lang w:eastAsia="en-AU"/>
              </w:rPr>
            </w:pPr>
            <w:r>
              <w:rPr>
                <w:color w:val="000000"/>
                <w:sz w:val="20"/>
                <w:szCs w:val="20"/>
              </w:rPr>
              <w:t>&gt;2037</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75E64862" w14:textId="72494DC7" w:rsidR="00F42A40" w:rsidRPr="008C1B89" w:rsidRDefault="00F42A40" w:rsidP="00F42A40">
            <w:pPr>
              <w:jc w:val="center"/>
              <w:rPr>
                <w:rFonts w:eastAsia="Times New Roman" w:cs="Calibri"/>
                <w:color w:val="808080"/>
                <w:sz w:val="20"/>
                <w:szCs w:val="20"/>
                <w:lang w:eastAsia="en-AU"/>
              </w:rPr>
            </w:pPr>
            <w:r>
              <w:rPr>
                <w:color w:val="000000"/>
                <w:sz w:val="20"/>
                <w:szCs w:val="20"/>
              </w:rPr>
              <w:t>&gt;2037</w:t>
            </w:r>
          </w:p>
        </w:tc>
        <w:tc>
          <w:tcPr>
            <w:tcW w:w="5530" w:type="dxa"/>
            <w:vMerge/>
            <w:tcBorders>
              <w:top w:val="single" w:sz="4" w:space="0" w:color="808080"/>
              <w:left w:val="single" w:sz="4" w:space="0" w:color="BFBFBF"/>
              <w:bottom w:val="single" w:sz="4" w:space="0" w:color="BFBFBF"/>
              <w:right w:val="single" w:sz="4" w:space="0" w:color="BFBFBF"/>
            </w:tcBorders>
            <w:vAlign w:val="center"/>
            <w:hideMark/>
          </w:tcPr>
          <w:p w14:paraId="1E73BEB5" w14:textId="77777777" w:rsidR="00F42A40" w:rsidRPr="008C1B89" w:rsidRDefault="00F42A40" w:rsidP="00F42A40">
            <w:pPr>
              <w:rPr>
                <w:rFonts w:eastAsia="Times New Roman" w:cs="Calibri"/>
                <w:color w:val="000000"/>
                <w:sz w:val="20"/>
                <w:szCs w:val="20"/>
                <w:lang w:eastAsia="en-AU"/>
              </w:rPr>
            </w:pPr>
          </w:p>
        </w:tc>
      </w:tr>
      <w:tr w:rsidR="009D734D" w:rsidRPr="008C1B89" w14:paraId="281AF1C4"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7FA9823E" w14:textId="77777777" w:rsidR="00F42A40" w:rsidRPr="008C1B89" w:rsidRDefault="00F42A40" w:rsidP="00F42A40">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Disposal</w:t>
            </w:r>
          </w:p>
        </w:tc>
        <w:tc>
          <w:tcPr>
            <w:tcW w:w="897" w:type="dxa"/>
            <w:tcBorders>
              <w:top w:val="nil"/>
              <w:left w:val="nil"/>
              <w:bottom w:val="single" w:sz="4" w:space="0" w:color="BFBFBF"/>
              <w:right w:val="single" w:sz="4" w:space="0" w:color="BFBFBF"/>
            </w:tcBorders>
            <w:shd w:val="clear" w:color="000000" w:fill="C5D9F1"/>
            <w:noWrap/>
            <w:hideMark/>
          </w:tcPr>
          <w:p w14:paraId="24F66EB3" w14:textId="0139BC24"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965" w:type="dxa"/>
            <w:tcBorders>
              <w:top w:val="nil"/>
              <w:left w:val="nil"/>
              <w:bottom w:val="single" w:sz="4" w:space="0" w:color="BFBFBF"/>
              <w:right w:val="nil"/>
            </w:tcBorders>
            <w:shd w:val="clear" w:color="000000" w:fill="C5D9F1"/>
            <w:noWrap/>
            <w:vAlign w:val="center"/>
            <w:hideMark/>
          </w:tcPr>
          <w:p w14:paraId="1D018B57" w14:textId="0160C4F9" w:rsidR="00F42A40" w:rsidRPr="008C1B89" w:rsidRDefault="00F42A40" w:rsidP="009D734D">
            <w:pPr>
              <w:jc w:val="center"/>
              <w:rPr>
                <w:rFonts w:eastAsia="Times New Roman" w:cs="Calibri"/>
                <w:color w:val="000000"/>
                <w:sz w:val="20"/>
                <w:szCs w:val="20"/>
                <w:lang w:eastAsia="en-AU"/>
              </w:rPr>
            </w:pPr>
          </w:p>
        </w:tc>
        <w:tc>
          <w:tcPr>
            <w:tcW w:w="1039" w:type="dxa"/>
            <w:tcBorders>
              <w:top w:val="nil"/>
              <w:left w:val="nil"/>
              <w:bottom w:val="single" w:sz="4" w:space="0" w:color="BFBFBF"/>
              <w:right w:val="nil"/>
            </w:tcBorders>
            <w:shd w:val="clear" w:color="000000" w:fill="C5D9F1"/>
            <w:noWrap/>
            <w:vAlign w:val="center"/>
            <w:hideMark/>
          </w:tcPr>
          <w:p w14:paraId="5F4B58ED" w14:textId="78712AE4" w:rsidR="00F42A40" w:rsidRPr="008C1B89" w:rsidRDefault="00F42A40" w:rsidP="009D734D">
            <w:pPr>
              <w:jc w:val="center"/>
              <w:rPr>
                <w:rFonts w:eastAsia="Times New Roman" w:cs="Calibri"/>
                <w:color w:val="000000"/>
                <w:sz w:val="20"/>
                <w:szCs w:val="20"/>
                <w:lang w:eastAsia="en-AU"/>
              </w:rPr>
            </w:pPr>
          </w:p>
        </w:tc>
        <w:tc>
          <w:tcPr>
            <w:tcW w:w="973" w:type="dxa"/>
            <w:tcBorders>
              <w:top w:val="nil"/>
              <w:left w:val="nil"/>
              <w:bottom w:val="single" w:sz="4" w:space="0" w:color="BFBFBF"/>
              <w:right w:val="single" w:sz="4" w:space="0" w:color="BFBFBF"/>
            </w:tcBorders>
            <w:shd w:val="clear" w:color="000000" w:fill="C5D9F1"/>
            <w:noWrap/>
            <w:hideMark/>
          </w:tcPr>
          <w:p w14:paraId="689F7182" w14:textId="696712CB"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47D27A44" w14:textId="3248F068"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70A96E13" w14:textId="333B8685"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2EF0B3E8" w14:textId="0DA473C3"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5530" w:type="dxa"/>
            <w:vMerge/>
            <w:tcBorders>
              <w:top w:val="single" w:sz="4" w:space="0" w:color="808080"/>
              <w:left w:val="single" w:sz="4" w:space="0" w:color="BFBFBF"/>
              <w:bottom w:val="single" w:sz="4" w:space="0" w:color="BFBFBF"/>
              <w:right w:val="single" w:sz="4" w:space="0" w:color="BFBFBF"/>
            </w:tcBorders>
            <w:vAlign w:val="center"/>
            <w:hideMark/>
          </w:tcPr>
          <w:p w14:paraId="63329F6D" w14:textId="77777777" w:rsidR="00F42A40" w:rsidRPr="008C1B89" w:rsidRDefault="00F42A40" w:rsidP="00F42A40">
            <w:pPr>
              <w:rPr>
                <w:rFonts w:eastAsia="Times New Roman" w:cs="Calibri"/>
                <w:color w:val="000000"/>
                <w:sz w:val="20"/>
                <w:szCs w:val="20"/>
                <w:lang w:eastAsia="en-AU"/>
              </w:rPr>
            </w:pPr>
          </w:p>
        </w:tc>
      </w:tr>
      <w:tr w:rsidR="00F42A40" w:rsidRPr="008C1B89" w14:paraId="7EC4D063"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2CB9A586"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 xml:space="preserve">Hazardous waste landfill facility </w:t>
            </w:r>
          </w:p>
        </w:tc>
        <w:tc>
          <w:tcPr>
            <w:tcW w:w="897" w:type="dxa"/>
            <w:tcBorders>
              <w:top w:val="nil"/>
              <w:left w:val="nil"/>
              <w:bottom w:val="single" w:sz="4" w:space="0" w:color="BFBFBF"/>
              <w:right w:val="single" w:sz="4" w:space="0" w:color="BFBFBF"/>
            </w:tcBorders>
            <w:shd w:val="clear" w:color="000000" w:fill="FFFFFF"/>
            <w:noWrap/>
            <w:hideMark/>
          </w:tcPr>
          <w:p w14:paraId="690FDDCB" w14:textId="78F9B257" w:rsidR="00F42A40" w:rsidRPr="008C1B89" w:rsidRDefault="00F42A40" w:rsidP="00F42A40">
            <w:pPr>
              <w:jc w:val="right"/>
              <w:rPr>
                <w:rFonts w:eastAsia="Times New Roman" w:cs="Calibri"/>
                <w:color w:val="000000"/>
                <w:sz w:val="20"/>
                <w:szCs w:val="20"/>
                <w:lang w:eastAsia="en-AU"/>
              </w:rPr>
            </w:pPr>
            <w:r>
              <w:rPr>
                <w:color w:val="000000"/>
                <w:sz w:val="20"/>
                <w:szCs w:val="20"/>
              </w:rPr>
              <w:t>2,032</w:t>
            </w:r>
          </w:p>
        </w:tc>
        <w:tc>
          <w:tcPr>
            <w:tcW w:w="965" w:type="dxa"/>
            <w:tcBorders>
              <w:top w:val="nil"/>
              <w:left w:val="nil"/>
              <w:right w:val="single" w:sz="4" w:space="0" w:color="BFBFBF"/>
            </w:tcBorders>
            <w:shd w:val="clear" w:color="auto" w:fill="auto"/>
            <w:noWrap/>
            <w:vAlign w:val="center"/>
            <w:hideMark/>
          </w:tcPr>
          <w:p w14:paraId="20BCA5F7" w14:textId="2DCD7561"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39" w:type="dxa"/>
            <w:tcBorders>
              <w:top w:val="nil"/>
              <w:left w:val="nil"/>
              <w:right w:val="single" w:sz="4" w:space="0" w:color="BFBFBF"/>
            </w:tcBorders>
            <w:shd w:val="clear" w:color="auto" w:fill="auto"/>
            <w:noWrap/>
            <w:vAlign w:val="center"/>
            <w:hideMark/>
          </w:tcPr>
          <w:p w14:paraId="0037B9D2" w14:textId="3E1CCCA0"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73" w:type="dxa"/>
            <w:tcBorders>
              <w:top w:val="nil"/>
              <w:left w:val="nil"/>
              <w:bottom w:val="single" w:sz="4" w:space="0" w:color="BFBFBF"/>
              <w:right w:val="single" w:sz="4" w:space="0" w:color="BFBFBF"/>
            </w:tcBorders>
            <w:shd w:val="clear" w:color="auto" w:fill="auto"/>
            <w:noWrap/>
            <w:hideMark/>
          </w:tcPr>
          <w:p w14:paraId="74E04C88" w14:textId="340AD16B"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5BE4F3CB" w14:textId="1E10C4EC" w:rsidR="00F42A40" w:rsidRPr="008C1B89" w:rsidRDefault="00F42A40" w:rsidP="00F42A40">
            <w:pPr>
              <w:jc w:val="center"/>
              <w:rPr>
                <w:rFonts w:eastAsia="Times New Roman" w:cs="Calibri"/>
                <w:color w:val="000000"/>
                <w:sz w:val="20"/>
                <w:szCs w:val="20"/>
                <w:lang w:eastAsia="en-AU"/>
              </w:rPr>
            </w:pPr>
            <w:r>
              <w:rPr>
                <w:color w:val="000000"/>
                <w:sz w:val="20"/>
                <w:szCs w:val="20"/>
              </w:rPr>
              <w:t>2020</w:t>
            </w:r>
          </w:p>
        </w:tc>
        <w:tc>
          <w:tcPr>
            <w:tcW w:w="740" w:type="dxa"/>
            <w:tcBorders>
              <w:top w:val="nil"/>
              <w:left w:val="nil"/>
              <w:bottom w:val="single" w:sz="4" w:space="0" w:color="BFBFBF"/>
              <w:right w:val="single" w:sz="4" w:space="0" w:color="BFBFBF"/>
            </w:tcBorders>
            <w:shd w:val="clear" w:color="000000" w:fill="FFFFFF"/>
            <w:noWrap/>
            <w:hideMark/>
          </w:tcPr>
          <w:p w14:paraId="79699AAB" w14:textId="045F5D6A"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740" w:type="dxa"/>
            <w:tcBorders>
              <w:top w:val="nil"/>
              <w:left w:val="nil"/>
              <w:bottom w:val="single" w:sz="4" w:space="0" w:color="BFBFBF"/>
              <w:right w:val="single" w:sz="4" w:space="0" w:color="BFBFBF"/>
            </w:tcBorders>
            <w:shd w:val="clear" w:color="000000" w:fill="FFFFFF"/>
            <w:noWrap/>
            <w:hideMark/>
          </w:tcPr>
          <w:p w14:paraId="635F8FD9" w14:textId="598F7084"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530" w:type="dxa"/>
            <w:vMerge/>
            <w:tcBorders>
              <w:top w:val="single" w:sz="4" w:space="0" w:color="808080"/>
              <w:left w:val="single" w:sz="4" w:space="0" w:color="BFBFBF"/>
              <w:bottom w:val="single" w:sz="4" w:space="0" w:color="BFBFBF"/>
              <w:right w:val="single" w:sz="4" w:space="0" w:color="BFBFBF"/>
            </w:tcBorders>
            <w:vAlign w:val="center"/>
            <w:hideMark/>
          </w:tcPr>
          <w:p w14:paraId="641E703D" w14:textId="77777777" w:rsidR="00F42A40" w:rsidRPr="008C1B89" w:rsidRDefault="00F42A40" w:rsidP="00F42A40">
            <w:pPr>
              <w:rPr>
                <w:rFonts w:eastAsia="Times New Roman" w:cs="Calibri"/>
                <w:color w:val="000000"/>
                <w:sz w:val="20"/>
                <w:szCs w:val="20"/>
                <w:lang w:eastAsia="en-AU"/>
              </w:rPr>
            </w:pPr>
          </w:p>
        </w:tc>
      </w:tr>
      <w:tr w:rsidR="00F42A40" w:rsidRPr="008C1B89" w14:paraId="3DE62474"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5F7B6C4F"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Landfill facility (NEPM codes N, T)</w:t>
            </w:r>
          </w:p>
        </w:tc>
        <w:tc>
          <w:tcPr>
            <w:tcW w:w="897" w:type="dxa"/>
            <w:tcBorders>
              <w:top w:val="nil"/>
              <w:left w:val="nil"/>
              <w:bottom w:val="single" w:sz="4" w:space="0" w:color="BFBFBF"/>
              <w:right w:val="single" w:sz="4" w:space="0" w:color="BFBFBF"/>
            </w:tcBorders>
            <w:shd w:val="clear" w:color="000000" w:fill="FFFFFF"/>
            <w:noWrap/>
            <w:hideMark/>
          </w:tcPr>
          <w:p w14:paraId="1CF706C4" w14:textId="6EDC5CF4" w:rsidR="00F42A40" w:rsidRPr="008C1B89" w:rsidRDefault="00F42A40" w:rsidP="00F42A40">
            <w:pPr>
              <w:jc w:val="right"/>
              <w:rPr>
                <w:rFonts w:eastAsia="Times New Roman" w:cs="Calibri"/>
                <w:color w:val="000000"/>
                <w:sz w:val="20"/>
                <w:szCs w:val="20"/>
                <w:lang w:eastAsia="en-AU"/>
              </w:rPr>
            </w:pPr>
            <w:r>
              <w:rPr>
                <w:color w:val="000000"/>
                <w:sz w:val="20"/>
                <w:szCs w:val="20"/>
              </w:rPr>
              <w:t>27,171</w:t>
            </w:r>
          </w:p>
        </w:tc>
        <w:tc>
          <w:tcPr>
            <w:tcW w:w="965" w:type="dxa"/>
            <w:tcBorders>
              <w:left w:val="nil"/>
              <w:right w:val="single" w:sz="4" w:space="0" w:color="BFBFBF"/>
            </w:tcBorders>
            <w:shd w:val="clear" w:color="auto" w:fill="auto"/>
            <w:noWrap/>
            <w:vAlign w:val="center"/>
            <w:hideMark/>
          </w:tcPr>
          <w:p w14:paraId="4BCB4E8A" w14:textId="71E2ED6A" w:rsidR="00F42A40" w:rsidRPr="008C1B89" w:rsidRDefault="00F42A40" w:rsidP="009D734D">
            <w:pPr>
              <w:jc w:val="center"/>
              <w:rPr>
                <w:rFonts w:eastAsia="Times New Roman" w:cs="Calibri"/>
                <w:color w:val="000000"/>
                <w:sz w:val="20"/>
                <w:szCs w:val="20"/>
                <w:lang w:eastAsia="en-AU"/>
              </w:rPr>
            </w:pPr>
          </w:p>
        </w:tc>
        <w:tc>
          <w:tcPr>
            <w:tcW w:w="1039" w:type="dxa"/>
            <w:tcBorders>
              <w:left w:val="nil"/>
              <w:right w:val="single" w:sz="4" w:space="0" w:color="BFBFBF"/>
            </w:tcBorders>
            <w:shd w:val="clear" w:color="auto" w:fill="auto"/>
            <w:noWrap/>
            <w:vAlign w:val="center"/>
            <w:hideMark/>
          </w:tcPr>
          <w:p w14:paraId="5190ECF5" w14:textId="29BAECCD" w:rsidR="00F42A40" w:rsidRPr="008C1B89" w:rsidRDefault="00F42A40" w:rsidP="009D734D">
            <w:pPr>
              <w:jc w:val="center"/>
              <w:rPr>
                <w:rFonts w:eastAsia="Times New Roman" w:cs="Calibri"/>
                <w:color w:val="000000"/>
                <w:sz w:val="20"/>
                <w:szCs w:val="20"/>
                <w:lang w:eastAsia="en-AU"/>
              </w:rPr>
            </w:pPr>
          </w:p>
        </w:tc>
        <w:tc>
          <w:tcPr>
            <w:tcW w:w="973" w:type="dxa"/>
            <w:tcBorders>
              <w:top w:val="nil"/>
              <w:left w:val="nil"/>
              <w:bottom w:val="single" w:sz="4" w:space="0" w:color="BFBFBF"/>
              <w:right w:val="single" w:sz="4" w:space="0" w:color="BFBFBF"/>
            </w:tcBorders>
            <w:shd w:val="clear" w:color="auto" w:fill="auto"/>
            <w:noWrap/>
            <w:hideMark/>
          </w:tcPr>
          <w:p w14:paraId="3FDF5144" w14:textId="7A1FFAA5"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753D6482" w14:textId="37DF864D"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4F45C204" w14:textId="15300347"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4230F7C8" w14:textId="6DFA8352"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530" w:type="dxa"/>
            <w:vMerge/>
            <w:tcBorders>
              <w:top w:val="single" w:sz="4" w:space="0" w:color="808080"/>
              <w:left w:val="single" w:sz="4" w:space="0" w:color="BFBFBF"/>
              <w:bottom w:val="single" w:sz="4" w:space="0" w:color="BFBFBF"/>
              <w:right w:val="single" w:sz="4" w:space="0" w:color="BFBFBF"/>
            </w:tcBorders>
            <w:vAlign w:val="center"/>
            <w:hideMark/>
          </w:tcPr>
          <w:p w14:paraId="6B9E95CF" w14:textId="77777777" w:rsidR="00F42A40" w:rsidRPr="008C1B89" w:rsidRDefault="00F42A40" w:rsidP="00F42A40">
            <w:pPr>
              <w:rPr>
                <w:rFonts w:eastAsia="Times New Roman" w:cs="Calibri"/>
                <w:color w:val="000000"/>
                <w:sz w:val="20"/>
                <w:szCs w:val="20"/>
                <w:lang w:eastAsia="en-AU"/>
              </w:rPr>
            </w:pPr>
          </w:p>
        </w:tc>
      </w:tr>
      <w:tr w:rsidR="00F42A40" w:rsidRPr="008C1B89" w14:paraId="5E161836"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41115287"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 xml:space="preserve">Persistent organic pollutants thermal destruction facility </w:t>
            </w:r>
          </w:p>
        </w:tc>
        <w:tc>
          <w:tcPr>
            <w:tcW w:w="897" w:type="dxa"/>
            <w:tcBorders>
              <w:top w:val="nil"/>
              <w:left w:val="nil"/>
              <w:bottom w:val="single" w:sz="4" w:space="0" w:color="BFBFBF"/>
              <w:right w:val="single" w:sz="4" w:space="0" w:color="BFBFBF"/>
            </w:tcBorders>
            <w:shd w:val="clear" w:color="000000" w:fill="FFFFFF"/>
            <w:noWrap/>
            <w:hideMark/>
          </w:tcPr>
          <w:p w14:paraId="5097DD75" w14:textId="3E8CDA66" w:rsidR="00F42A40" w:rsidRPr="008C1B89" w:rsidRDefault="00F42A40" w:rsidP="00F42A40">
            <w:pPr>
              <w:jc w:val="right"/>
              <w:rPr>
                <w:rFonts w:eastAsia="Times New Roman" w:cs="Calibri"/>
                <w:color w:val="000000"/>
                <w:sz w:val="20"/>
                <w:szCs w:val="20"/>
                <w:lang w:eastAsia="en-AU"/>
              </w:rPr>
            </w:pPr>
            <w:r>
              <w:rPr>
                <w:color w:val="000000"/>
                <w:sz w:val="20"/>
                <w:szCs w:val="20"/>
              </w:rPr>
              <w:t>1</w:t>
            </w:r>
          </w:p>
        </w:tc>
        <w:tc>
          <w:tcPr>
            <w:tcW w:w="965" w:type="dxa"/>
            <w:tcBorders>
              <w:left w:val="nil"/>
              <w:right w:val="single" w:sz="4" w:space="0" w:color="BFBFBF"/>
            </w:tcBorders>
            <w:shd w:val="clear" w:color="auto" w:fill="auto"/>
            <w:noWrap/>
            <w:vAlign w:val="center"/>
            <w:hideMark/>
          </w:tcPr>
          <w:p w14:paraId="6D17B83A" w14:textId="031B4087" w:rsidR="00F42A40" w:rsidRPr="008C1B89" w:rsidRDefault="00F42A40" w:rsidP="009D734D">
            <w:pPr>
              <w:jc w:val="center"/>
              <w:rPr>
                <w:rFonts w:eastAsia="Times New Roman" w:cs="Calibri"/>
                <w:color w:val="000000"/>
                <w:sz w:val="20"/>
                <w:szCs w:val="20"/>
                <w:lang w:eastAsia="en-AU"/>
              </w:rPr>
            </w:pPr>
          </w:p>
        </w:tc>
        <w:tc>
          <w:tcPr>
            <w:tcW w:w="1039" w:type="dxa"/>
            <w:tcBorders>
              <w:left w:val="nil"/>
              <w:right w:val="single" w:sz="4" w:space="0" w:color="BFBFBF"/>
            </w:tcBorders>
            <w:shd w:val="clear" w:color="auto" w:fill="auto"/>
            <w:noWrap/>
            <w:vAlign w:val="center"/>
            <w:hideMark/>
          </w:tcPr>
          <w:p w14:paraId="42038A66" w14:textId="47873C88" w:rsidR="00F42A40" w:rsidRPr="008C1B89" w:rsidRDefault="00F42A40" w:rsidP="009D734D">
            <w:pPr>
              <w:jc w:val="center"/>
              <w:rPr>
                <w:rFonts w:eastAsia="Times New Roman" w:cs="Calibri"/>
                <w:color w:val="000000"/>
                <w:sz w:val="20"/>
                <w:szCs w:val="20"/>
                <w:lang w:eastAsia="en-AU"/>
              </w:rPr>
            </w:pPr>
          </w:p>
        </w:tc>
        <w:tc>
          <w:tcPr>
            <w:tcW w:w="973" w:type="dxa"/>
            <w:tcBorders>
              <w:top w:val="nil"/>
              <w:left w:val="nil"/>
              <w:bottom w:val="single" w:sz="4" w:space="0" w:color="BFBFBF"/>
              <w:right w:val="single" w:sz="4" w:space="0" w:color="BFBFBF"/>
            </w:tcBorders>
            <w:shd w:val="clear" w:color="auto" w:fill="auto"/>
            <w:noWrap/>
            <w:hideMark/>
          </w:tcPr>
          <w:p w14:paraId="1CE13250" w14:textId="4418E89C"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0653F6F1" w14:textId="0AA077CD"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5E3520CA" w14:textId="49209FC1"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3737C9CA" w14:textId="4F9E532A"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530" w:type="dxa"/>
            <w:vMerge/>
            <w:tcBorders>
              <w:top w:val="single" w:sz="4" w:space="0" w:color="808080"/>
              <w:left w:val="single" w:sz="4" w:space="0" w:color="BFBFBF"/>
              <w:bottom w:val="single" w:sz="4" w:space="0" w:color="BFBFBF"/>
              <w:right w:val="single" w:sz="4" w:space="0" w:color="BFBFBF"/>
            </w:tcBorders>
            <w:vAlign w:val="center"/>
            <w:hideMark/>
          </w:tcPr>
          <w:p w14:paraId="72450D24" w14:textId="77777777" w:rsidR="00F42A40" w:rsidRPr="008C1B89" w:rsidRDefault="00F42A40" w:rsidP="00F42A40">
            <w:pPr>
              <w:rPr>
                <w:rFonts w:eastAsia="Times New Roman" w:cs="Calibri"/>
                <w:color w:val="000000"/>
                <w:sz w:val="20"/>
                <w:szCs w:val="20"/>
                <w:lang w:eastAsia="en-AU"/>
              </w:rPr>
            </w:pPr>
          </w:p>
        </w:tc>
      </w:tr>
      <w:tr w:rsidR="00F42A40" w:rsidRPr="008C1B89" w14:paraId="4C4D5531"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10ABAC75"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Clinical waste facility thermal destruction</w:t>
            </w:r>
          </w:p>
        </w:tc>
        <w:tc>
          <w:tcPr>
            <w:tcW w:w="897" w:type="dxa"/>
            <w:tcBorders>
              <w:top w:val="nil"/>
              <w:left w:val="nil"/>
              <w:bottom w:val="single" w:sz="4" w:space="0" w:color="BFBFBF"/>
              <w:right w:val="single" w:sz="4" w:space="0" w:color="BFBFBF"/>
            </w:tcBorders>
            <w:shd w:val="clear" w:color="000000" w:fill="FFFFFF"/>
            <w:noWrap/>
            <w:hideMark/>
          </w:tcPr>
          <w:p w14:paraId="2503BA01" w14:textId="07E942E2" w:rsidR="00F42A40" w:rsidRPr="008C1B89" w:rsidRDefault="00F42A40" w:rsidP="00F42A40">
            <w:pPr>
              <w:jc w:val="right"/>
              <w:rPr>
                <w:rFonts w:eastAsia="Times New Roman" w:cs="Calibri"/>
                <w:color w:val="000000"/>
                <w:sz w:val="20"/>
                <w:szCs w:val="20"/>
                <w:lang w:eastAsia="en-AU"/>
              </w:rPr>
            </w:pPr>
            <w:r>
              <w:rPr>
                <w:color w:val="000000"/>
                <w:sz w:val="20"/>
                <w:szCs w:val="20"/>
              </w:rPr>
              <w:t>11</w:t>
            </w:r>
          </w:p>
        </w:tc>
        <w:tc>
          <w:tcPr>
            <w:tcW w:w="965" w:type="dxa"/>
            <w:tcBorders>
              <w:left w:val="nil"/>
              <w:bottom w:val="single" w:sz="4" w:space="0" w:color="BFBFBF"/>
              <w:right w:val="single" w:sz="4" w:space="0" w:color="BFBFBF"/>
            </w:tcBorders>
            <w:shd w:val="clear" w:color="auto" w:fill="auto"/>
            <w:noWrap/>
            <w:vAlign w:val="center"/>
            <w:hideMark/>
          </w:tcPr>
          <w:p w14:paraId="1B03865E" w14:textId="2A29FDCF" w:rsidR="00F42A40" w:rsidRPr="008C1B89" w:rsidRDefault="00F42A40" w:rsidP="009D734D">
            <w:pPr>
              <w:jc w:val="center"/>
              <w:rPr>
                <w:rFonts w:eastAsia="Times New Roman" w:cs="Calibri"/>
                <w:color w:val="000000"/>
                <w:sz w:val="20"/>
                <w:szCs w:val="20"/>
                <w:lang w:eastAsia="en-AU"/>
              </w:rPr>
            </w:pPr>
          </w:p>
        </w:tc>
        <w:tc>
          <w:tcPr>
            <w:tcW w:w="1039" w:type="dxa"/>
            <w:tcBorders>
              <w:left w:val="nil"/>
              <w:bottom w:val="single" w:sz="4" w:space="0" w:color="BFBFBF"/>
              <w:right w:val="single" w:sz="4" w:space="0" w:color="BFBFBF"/>
            </w:tcBorders>
            <w:shd w:val="clear" w:color="auto" w:fill="auto"/>
            <w:noWrap/>
            <w:vAlign w:val="center"/>
            <w:hideMark/>
          </w:tcPr>
          <w:p w14:paraId="71467AFE" w14:textId="27FAB4DC" w:rsidR="00F42A40" w:rsidRPr="008C1B89" w:rsidRDefault="00F42A40" w:rsidP="009D734D">
            <w:pPr>
              <w:jc w:val="center"/>
              <w:rPr>
                <w:rFonts w:eastAsia="Times New Roman" w:cs="Calibri"/>
                <w:color w:val="000000"/>
                <w:sz w:val="20"/>
                <w:szCs w:val="20"/>
                <w:lang w:eastAsia="en-AU"/>
              </w:rPr>
            </w:pPr>
          </w:p>
        </w:tc>
        <w:tc>
          <w:tcPr>
            <w:tcW w:w="973" w:type="dxa"/>
            <w:tcBorders>
              <w:top w:val="nil"/>
              <w:left w:val="nil"/>
              <w:bottom w:val="single" w:sz="4" w:space="0" w:color="BFBFBF"/>
              <w:right w:val="single" w:sz="4" w:space="0" w:color="BFBFBF"/>
            </w:tcBorders>
            <w:shd w:val="clear" w:color="auto" w:fill="auto"/>
            <w:noWrap/>
            <w:hideMark/>
          </w:tcPr>
          <w:p w14:paraId="37E960FA" w14:textId="101FB727"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0F3A36A8" w14:textId="2BC203B9"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474F8AB8" w14:textId="4D159EA8"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51899DD1" w14:textId="517473B0"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530" w:type="dxa"/>
            <w:vMerge/>
            <w:tcBorders>
              <w:top w:val="single" w:sz="4" w:space="0" w:color="808080"/>
              <w:left w:val="single" w:sz="4" w:space="0" w:color="BFBFBF"/>
              <w:bottom w:val="single" w:sz="4" w:space="0" w:color="BFBFBF"/>
              <w:right w:val="single" w:sz="4" w:space="0" w:color="BFBFBF"/>
            </w:tcBorders>
            <w:vAlign w:val="center"/>
            <w:hideMark/>
          </w:tcPr>
          <w:p w14:paraId="27784720" w14:textId="77777777" w:rsidR="00F42A40" w:rsidRPr="008C1B89" w:rsidRDefault="00F42A40" w:rsidP="00F42A40">
            <w:pPr>
              <w:rPr>
                <w:rFonts w:eastAsia="Times New Roman" w:cs="Calibri"/>
                <w:color w:val="000000"/>
                <w:sz w:val="20"/>
                <w:szCs w:val="20"/>
                <w:lang w:eastAsia="en-AU"/>
              </w:rPr>
            </w:pPr>
          </w:p>
        </w:tc>
      </w:tr>
      <w:tr w:rsidR="009D734D" w:rsidRPr="008C1B89" w14:paraId="44CCD269"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4DCA05FA" w14:textId="77777777" w:rsidR="00F42A40" w:rsidRPr="008C1B89" w:rsidRDefault="00F42A40" w:rsidP="00F42A40">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Short-term storage or transfer</w:t>
            </w:r>
          </w:p>
        </w:tc>
        <w:tc>
          <w:tcPr>
            <w:tcW w:w="897" w:type="dxa"/>
            <w:tcBorders>
              <w:top w:val="nil"/>
              <w:left w:val="nil"/>
              <w:bottom w:val="single" w:sz="4" w:space="0" w:color="BFBFBF"/>
              <w:right w:val="single" w:sz="4" w:space="0" w:color="BFBFBF"/>
            </w:tcBorders>
            <w:shd w:val="clear" w:color="000000" w:fill="C5D9F1"/>
            <w:noWrap/>
            <w:hideMark/>
          </w:tcPr>
          <w:p w14:paraId="5A54251B" w14:textId="7B870CE9"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965" w:type="dxa"/>
            <w:tcBorders>
              <w:top w:val="nil"/>
              <w:left w:val="nil"/>
              <w:bottom w:val="single" w:sz="4" w:space="0" w:color="BFBFBF"/>
              <w:right w:val="nil"/>
            </w:tcBorders>
            <w:shd w:val="clear" w:color="000000" w:fill="C5D9F1"/>
            <w:noWrap/>
            <w:vAlign w:val="center"/>
            <w:hideMark/>
          </w:tcPr>
          <w:p w14:paraId="69205C1D" w14:textId="28877400" w:rsidR="00F42A40" w:rsidRPr="008C1B89" w:rsidRDefault="00F42A40" w:rsidP="009D734D">
            <w:pPr>
              <w:jc w:val="center"/>
              <w:rPr>
                <w:rFonts w:eastAsia="Times New Roman" w:cs="Calibri"/>
                <w:color w:val="000000"/>
                <w:sz w:val="20"/>
                <w:szCs w:val="20"/>
                <w:lang w:eastAsia="en-AU"/>
              </w:rPr>
            </w:pPr>
          </w:p>
        </w:tc>
        <w:tc>
          <w:tcPr>
            <w:tcW w:w="1039" w:type="dxa"/>
            <w:tcBorders>
              <w:top w:val="nil"/>
              <w:left w:val="nil"/>
              <w:bottom w:val="single" w:sz="4" w:space="0" w:color="BFBFBF"/>
              <w:right w:val="nil"/>
            </w:tcBorders>
            <w:shd w:val="clear" w:color="000000" w:fill="C5D9F1"/>
            <w:noWrap/>
            <w:vAlign w:val="center"/>
            <w:hideMark/>
          </w:tcPr>
          <w:p w14:paraId="197AC68A" w14:textId="6F79FD16" w:rsidR="00F42A40" w:rsidRPr="008C1B89" w:rsidRDefault="00F42A40" w:rsidP="009D734D">
            <w:pPr>
              <w:jc w:val="center"/>
              <w:rPr>
                <w:rFonts w:eastAsia="Times New Roman" w:cs="Calibri"/>
                <w:color w:val="000000"/>
                <w:sz w:val="20"/>
                <w:szCs w:val="20"/>
                <w:lang w:eastAsia="en-AU"/>
              </w:rPr>
            </w:pPr>
          </w:p>
        </w:tc>
        <w:tc>
          <w:tcPr>
            <w:tcW w:w="973" w:type="dxa"/>
            <w:tcBorders>
              <w:top w:val="nil"/>
              <w:left w:val="nil"/>
              <w:bottom w:val="single" w:sz="4" w:space="0" w:color="BFBFBF"/>
              <w:right w:val="single" w:sz="4" w:space="0" w:color="BFBFBF"/>
            </w:tcBorders>
            <w:shd w:val="clear" w:color="000000" w:fill="C5D9F1"/>
            <w:noWrap/>
            <w:hideMark/>
          </w:tcPr>
          <w:p w14:paraId="161F553B" w14:textId="46BB7856"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4B157BA5" w14:textId="21044BF1"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12354029" w14:textId="3CE22814"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1FEB28DB" w14:textId="4B2864B3"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5530" w:type="dxa"/>
            <w:vMerge/>
            <w:tcBorders>
              <w:top w:val="single" w:sz="4" w:space="0" w:color="808080"/>
              <w:left w:val="single" w:sz="4" w:space="0" w:color="BFBFBF"/>
              <w:bottom w:val="single" w:sz="4" w:space="0" w:color="BFBFBF"/>
              <w:right w:val="single" w:sz="4" w:space="0" w:color="BFBFBF"/>
            </w:tcBorders>
            <w:vAlign w:val="center"/>
            <w:hideMark/>
          </w:tcPr>
          <w:p w14:paraId="1B8B29BC" w14:textId="77777777" w:rsidR="00F42A40" w:rsidRPr="008C1B89" w:rsidRDefault="00F42A40" w:rsidP="00F42A40">
            <w:pPr>
              <w:rPr>
                <w:rFonts w:eastAsia="Times New Roman" w:cs="Calibri"/>
                <w:color w:val="000000"/>
                <w:sz w:val="20"/>
                <w:szCs w:val="20"/>
                <w:lang w:eastAsia="en-AU"/>
              </w:rPr>
            </w:pPr>
          </w:p>
        </w:tc>
      </w:tr>
      <w:tr w:rsidR="00F42A40" w:rsidRPr="008C1B89" w14:paraId="74F0FCCE"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0B0DA12"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Transfer facility</w:t>
            </w:r>
          </w:p>
        </w:tc>
        <w:tc>
          <w:tcPr>
            <w:tcW w:w="897" w:type="dxa"/>
            <w:tcBorders>
              <w:top w:val="nil"/>
              <w:left w:val="nil"/>
              <w:bottom w:val="single" w:sz="4" w:space="0" w:color="BFBFBF"/>
              <w:right w:val="nil"/>
            </w:tcBorders>
            <w:shd w:val="clear" w:color="000000" w:fill="FFFFFF"/>
            <w:noWrap/>
            <w:hideMark/>
          </w:tcPr>
          <w:p w14:paraId="1BAA8270" w14:textId="67AC1445" w:rsidR="00F42A40" w:rsidRPr="008C1B89" w:rsidRDefault="00F42A40" w:rsidP="00F42A40">
            <w:pPr>
              <w:jc w:val="right"/>
              <w:rPr>
                <w:rFonts w:eastAsia="Times New Roman" w:cs="Calibri"/>
                <w:color w:val="000000"/>
                <w:sz w:val="20"/>
                <w:szCs w:val="20"/>
                <w:lang w:eastAsia="en-AU"/>
              </w:rPr>
            </w:pPr>
            <w:r>
              <w:rPr>
                <w:color w:val="000000"/>
                <w:sz w:val="20"/>
                <w:szCs w:val="20"/>
              </w:rPr>
              <w:t>3,691</w:t>
            </w:r>
          </w:p>
        </w:tc>
        <w:tc>
          <w:tcPr>
            <w:tcW w:w="965" w:type="dxa"/>
            <w:tcBorders>
              <w:top w:val="nil"/>
              <w:left w:val="nil"/>
              <w:bottom w:val="single" w:sz="4" w:space="0" w:color="BFBFBF"/>
              <w:right w:val="single" w:sz="4" w:space="0" w:color="BFBFBF"/>
            </w:tcBorders>
            <w:shd w:val="clear" w:color="auto" w:fill="auto"/>
            <w:noWrap/>
            <w:vAlign w:val="center"/>
            <w:hideMark/>
          </w:tcPr>
          <w:p w14:paraId="775AC85E" w14:textId="57F91A69"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39" w:type="dxa"/>
            <w:tcBorders>
              <w:top w:val="nil"/>
              <w:left w:val="nil"/>
              <w:bottom w:val="single" w:sz="4" w:space="0" w:color="BFBFBF"/>
              <w:right w:val="single" w:sz="4" w:space="0" w:color="BFBFBF"/>
            </w:tcBorders>
            <w:shd w:val="clear" w:color="auto" w:fill="auto"/>
            <w:noWrap/>
            <w:vAlign w:val="center"/>
            <w:hideMark/>
          </w:tcPr>
          <w:p w14:paraId="70C5C701" w14:textId="0A771AB8"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73" w:type="dxa"/>
            <w:tcBorders>
              <w:top w:val="nil"/>
              <w:left w:val="nil"/>
              <w:bottom w:val="single" w:sz="4" w:space="0" w:color="BFBFBF"/>
              <w:right w:val="single" w:sz="4" w:space="0" w:color="BFBFBF"/>
            </w:tcBorders>
            <w:shd w:val="clear" w:color="auto" w:fill="auto"/>
            <w:noWrap/>
            <w:hideMark/>
          </w:tcPr>
          <w:p w14:paraId="6E70558A" w14:textId="3265D474"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40" w:type="dxa"/>
            <w:tcBorders>
              <w:top w:val="nil"/>
              <w:left w:val="nil"/>
              <w:bottom w:val="single" w:sz="4" w:space="0" w:color="BFBFBF"/>
              <w:right w:val="single" w:sz="4" w:space="0" w:color="BFBFBF"/>
            </w:tcBorders>
            <w:shd w:val="clear" w:color="000000" w:fill="FFFFFF"/>
            <w:noWrap/>
            <w:hideMark/>
          </w:tcPr>
          <w:p w14:paraId="668E89CA" w14:textId="07943A83"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740" w:type="dxa"/>
            <w:tcBorders>
              <w:top w:val="nil"/>
              <w:left w:val="nil"/>
              <w:bottom w:val="single" w:sz="4" w:space="0" w:color="BFBFBF"/>
              <w:right w:val="single" w:sz="4" w:space="0" w:color="BFBFBF"/>
            </w:tcBorders>
            <w:shd w:val="clear" w:color="000000" w:fill="FFFFFF"/>
            <w:noWrap/>
            <w:hideMark/>
          </w:tcPr>
          <w:p w14:paraId="0548F190" w14:textId="5C957B4B"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740" w:type="dxa"/>
            <w:tcBorders>
              <w:top w:val="nil"/>
              <w:left w:val="nil"/>
              <w:bottom w:val="single" w:sz="4" w:space="0" w:color="BFBFBF"/>
              <w:right w:val="single" w:sz="4" w:space="0" w:color="BFBFBF"/>
            </w:tcBorders>
            <w:shd w:val="clear" w:color="000000" w:fill="FFFFFF"/>
            <w:noWrap/>
            <w:hideMark/>
          </w:tcPr>
          <w:p w14:paraId="5A67D95C" w14:textId="6DA7E5ED"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5530" w:type="dxa"/>
            <w:vMerge/>
            <w:tcBorders>
              <w:top w:val="single" w:sz="4" w:space="0" w:color="808080"/>
              <w:left w:val="single" w:sz="4" w:space="0" w:color="BFBFBF"/>
              <w:bottom w:val="single" w:sz="4" w:space="0" w:color="BFBFBF"/>
              <w:right w:val="single" w:sz="4" w:space="0" w:color="BFBFBF"/>
            </w:tcBorders>
            <w:vAlign w:val="center"/>
            <w:hideMark/>
          </w:tcPr>
          <w:p w14:paraId="5D0A732A" w14:textId="77777777" w:rsidR="00F42A40" w:rsidRPr="008C1B89" w:rsidRDefault="00F42A40" w:rsidP="00F42A40">
            <w:pPr>
              <w:rPr>
                <w:rFonts w:eastAsia="Times New Roman" w:cs="Calibri"/>
                <w:color w:val="000000"/>
                <w:sz w:val="20"/>
                <w:szCs w:val="20"/>
                <w:lang w:eastAsia="en-AU"/>
              </w:rPr>
            </w:pPr>
          </w:p>
        </w:tc>
      </w:tr>
      <w:tr w:rsidR="009D734D" w:rsidRPr="008C1B89" w14:paraId="1E83ED50"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5C1F4FEA" w14:textId="77777777" w:rsidR="00F42A40" w:rsidRPr="008C1B89" w:rsidRDefault="00F42A40" w:rsidP="00F42A40">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Long-term storage</w:t>
            </w:r>
          </w:p>
        </w:tc>
        <w:tc>
          <w:tcPr>
            <w:tcW w:w="897" w:type="dxa"/>
            <w:tcBorders>
              <w:top w:val="nil"/>
              <w:left w:val="nil"/>
              <w:bottom w:val="single" w:sz="4" w:space="0" w:color="BFBFBF"/>
              <w:right w:val="single" w:sz="4" w:space="0" w:color="BFBFBF"/>
            </w:tcBorders>
            <w:shd w:val="clear" w:color="000000" w:fill="C5D9F1"/>
            <w:noWrap/>
            <w:hideMark/>
          </w:tcPr>
          <w:p w14:paraId="38499F32" w14:textId="5D2CB4B3"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965" w:type="dxa"/>
            <w:tcBorders>
              <w:top w:val="nil"/>
              <w:left w:val="nil"/>
              <w:bottom w:val="single" w:sz="4" w:space="0" w:color="BFBFBF"/>
              <w:right w:val="nil"/>
            </w:tcBorders>
            <w:shd w:val="clear" w:color="000000" w:fill="C5D9F1"/>
            <w:noWrap/>
            <w:vAlign w:val="center"/>
            <w:hideMark/>
          </w:tcPr>
          <w:p w14:paraId="7B6D1D2C" w14:textId="35EF3412" w:rsidR="00F42A40" w:rsidRPr="008C1B89" w:rsidRDefault="00F42A40" w:rsidP="009D734D">
            <w:pPr>
              <w:jc w:val="center"/>
              <w:rPr>
                <w:rFonts w:eastAsia="Times New Roman" w:cs="Calibri"/>
                <w:color w:val="000000"/>
                <w:sz w:val="20"/>
                <w:szCs w:val="20"/>
                <w:lang w:eastAsia="en-AU"/>
              </w:rPr>
            </w:pPr>
          </w:p>
        </w:tc>
        <w:tc>
          <w:tcPr>
            <w:tcW w:w="1039" w:type="dxa"/>
            <w:tcBorders>
              <w:top w:val="nil"/>
              <w:left w:val="nil"/>
              <w:bottom w:val="single" w:sz="4" w:space="0" w:color="BFBFBF"/>
              <w:right w:val="nil"/>
            </w:tcBorders>
            <w:shd w:val="clear" w:color="000000" w:fill="C5D9F1"/>
            <w:noWrap/>
            <w:vAlign w:val="center"/>
            <w:hideMark/>
          </w:tcPr>
          <w:p w14:paraId="24052349" w14:textId="34AD72C7" w:rsidR="00F42A40" w:rsidRPr="008C1B89" w:rsidRDefault="00F42A40" w:rsidP="009D734D">
            <w:pPr>
              <w:jc w:val="center"/>
              <w:rPr>
                <w:rFonts w:eastAsia="Times New Roman" w:cs="Calibri"/>
                <w:color w:val="000000"/>
                <w:sz w:val="20"/>
                <w:szCs w:val="20"/>
                <w:lang w:eastAsia="en-AU"/>
              </w:rPr>
            </w:pPr>
          </w:p>
        </w:tc>
        <w:tc>
          <w:tcPr>
            <w:tcW w:w="973" w:type="dxa"/>
            <w:tcBorders>
              <w:top w:val="nil"/>
              <w:left w:val="nil"/>
              <w:bottom w:val="single" w:sz="4" w:space="0" w:color="BFBFBF"/>
              <w:right w:val="single" w:sz="4" w:space="0" w:color="BFBFBF"/>
            </w:tcBorders>
            <w:shd w:val="clear" w:color="000000" w:fill="C5D9F1"/>
            <w:noWrap/>
            <w:hideMark/>
          </w:tcPr>
          <w:p w14:paraId="74277C8F" w14:textId="740BD65F"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29E2805F" w14:textId="052BE2D1"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71639141" w14:textId="7FA91967"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single" w:sz="4" w:space="0" w:color="BFBFBF"/>
            </w:tcBorders>
            <w:shd w:val="clear" w:color="000000" w:fill="C5D9F1"/>
            <w:noWrap/>
            <w:hideMark/>
          </w:tcPr>
          <w:p w14:paraId="13C8552A" w14:textId="15408E70"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5530" w:type="dxa"/>
            <w:vMerge/>
            <w:tcBorders>
              <w:top w:val="single" w:sz="4" w:space="0" w:color="808080"/>
              <w:left w:val="single" w:sz="4" w:space="0" w:color="BFBFBF"/>
              <w:bottom w:val="single" w:sz="4" w:space="0" w:color="BFBFBF"/>
              <w:right w:val="single" w:sz="4" w:space="0" w:color="BFBFBF"/>
            </w:tcBorders>
            <w:vAlign w:val="center"/>
            <w:hideMark/>
          </w:tcPr>
          <w:p w14:paraId="0777EB20" w14:textId="77777777" w:rsidR="00F42A40" w:rsidRPr="008C1B89" w:rsidRDefault="00F42A40" w:rsidP="00F42A40">
            <w:pPr>
              <w:rPr>
                <w:rFonts w:eastAsia="Times New Roman" w:cs="Calibri"/>
                <w:color w:val="000000"/>
                <w:sz w:val="20"/>
                <w:szCs w:val="20"/>
                <w:lang w:eastAsia="en-AU"/>
              </w:rPr>
            </w:pPr>
          </w:p>
        </w:tc>
      </w:tr>
      <w:tr w:rsidR="00F42A40" w:rsidRPr="008C1B89" w14:paraId="19DB8CEB"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4633E2DD"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Long-term on-site storage</w:t>
            </w:r>
          </w:p>
        </w:tc>
        <w:tc>
          <w:tcPr>
            <w:tcW w:w="897" w:type="dxa"/>
            <w:tcBorders>
              <w:top w:val="nil"/>
              <w:left w:val="nil"/>
              <w:bottom w:val="single" w:sz="4" w:space="0" w:color="BFBFBF"/>
              <w:right w:val="single" w:sz="4" w:space="0" w:color="BFBFBF"/>
            </w:tcBorders>
            <w:shd w:val="clear" w:color="000000" w:fill="FFFFFF"/>
            <w:noWrap/>
            <w:hideMark/>
          </w:tcPr>
          <w:p w14:paraId="4F931918" w14:textId="68A528A4" w:rsidR="00F42A40" w:rsidRPr="008C1B89" w:rsidRDefault="00F42A40" w:rsidP="00F42A40">
            <w:pPr>
              <w:jc w:val="right"/>
              <w:rPr>
                <w:rFonts w:eastAsia="Times New Roman" w:cs="Calibri"/>
                <w:color w:val="000000"/>
                <w:sz w:val="20"/>
                <w:szCs w:val="20"/>
                <w:lang w:eastAsia="en-AU"/>
              </w:rPr>
            </w:pPr>
            <w:r>
              <w:rPr>
                <w:color w:val="000000"/>
                <w:sz w:val="20"/>
                <w:szCs w:val="20"/>
              </w:rPr>
              <w:t>0</w:t>
            </w:r>
          </w:p>
        </w:tc>
        <w:tc>
          <w:tcPr>
            <w:tcW w:w="965" w:type="dxa"/>
            <w:tcBorders>
              <w:top w:val="nil"/>
              <w:left w:val="nil"/>
              <w:right w:val="single" w:sz="4" w:space="0" w:color="BFBFBF"/>
            </w:tcBorders>
            <w:shd w:val="clear" w:color="auto" w:fill="auto"/>
            <w:noWrap/>
            <w:vAlign w:val="center"/>
            <w:hideMark/>
          </w:tcPr>
          <w:p w14:paraId="59367B45" w14:textId="1648BFE4"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39" w:type="dxa"/>
            <w:tcBorders>
              <w:top w:val="nil"/>
              <w:left w:val="nil"/>
              <w:right w:val="single" w:sz="4" w:space="0" w:color="BFBFBF"/>
            </w:tcBorders>
            <w:shd w:val="clear" w:color="auto" w:fill="auto"/>
            <w:noWrap/>
            <w:vAlign w:val="center"/>
            <w:hideMark/>
          </w:tcPr>
          <w:p w14:paraId="1A23DFD5" w14:textId="7FF64665"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73" w:type="dxa"/>
            <w:tcBorders>
              <w:top w:val="nil"/>
              <w:left w:val="nil"/>
              <w:bottom w:val="single" w:sz="4" w:space="0" w:color="BFBFBF"/>
              <w:right w:val="single" w:sz="4" w:space="0" w:color="BFBFBF"/>
            </w:tcBorders>
            <w:shd w:val="clear" w:color="auto" w:fill="auto"/>
            <w:noWrap/>
            <w:hideMark/>
          </w:tcPr>
          <w:p w14:paraId="6D4EB914" w14:textId="25A36341"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001F3825" w14:textId="08236BB0"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48B98AEE" w14:textId="51E705D2"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11139BBD" w14:textId="26D71CB0"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530" w:type="dxa"/>
            <w:vMerge/>
            <w:tcBorders>
              <w:top w:val="single" w:sz="4" w:space="0" w:color="808080"/>
              <w:left w:val="single" w:sz="4" w:space="0" w:color="BFBFBF"/>
              <w:bottom w:val="single" w:sz="4" w:space="0" w:color="BFBFBF"/>
              <w:right w:val="single" w:sz="4" w:space="0" w:color="BFBFBF"/>
            </w:tcBorders>
            <w:vAlign w:val="center"/>
            <w:hideMark/>
          </w:tcPr>
          <w:p w14:paraId="384A6A44" w14:textId="77777777" w:rsidR="00F42A40" w:rsidRPr="008C1B89" w:rsidRDefault="00F42A40" w:rsidP="00F42A40">
            <w:pPr>
              <w:rPr>
                <w:rFonts w:eastAsia="Times New Roman" w:cs="Calibri"/>
                <w:color w:val="000000"/>
                <w:sz w:val="20"/>
                <w:szCs w:val="20"/>
                <w:lang w:eastAsia="en-AU"/>
              </w:rPr>
            </w:pPr>
          </w:p>
        </w:tc>
      </w:tr>
      <w:tr w:rsidR="00F42A40" w:rsidRPr="008C1B89" w14:paraId="6CB55E08" w14:textId="77777777" w:rsidTr="009D734D">
        <w:trPr>
          <w:trHeight w:val="112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16B9E186"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Long-term isolation facility</w:t>
            </w:r>
          </w:p>
        </w:tc>
        <w:tc>
          <w:tcPr>
            <w:tcW w:w="897" w:type="dxa"/>
            <w:tcBorders>
              <w:top w:val="nil"/>
              <w:left w:val="nil"/>
              <w:bottom w:val="single" w:sz="4" w:space="0" w:color="BFBFBF"/>
              <w:right w:val="single" w:sz="4" w:space="0" w:color="BFBFBF"/>
            </w:tcBorders>
            <w:shd w:val="clear" w:color="000000" w:fill="FFFFFF"/>
            <w:noWrap/>
            <w:hideMark/>
          </w:tcPr>
          <w:p w14:paraId="740D9676" w14:textId="257445C9" w:rsidR="00F42A40" w:rsidRPr="008C1B89" w:rsidRDefault="00F42A40" w:rsidP="00F42A40">
            <w:pPr>
              <w:jc w:val="right"/>
              <w:rPr>
                <w:rFonts w:eastAsia="Times New Roman" w:cs="Calibri"/>
                <w:color w:val="000000"/>
                <w:sz w:val="20"/>
                <w:szCs w:val="20"/>
                <w:lang w:eastAsia="en-AU"/>
              </w:rPr>
            </w:pPr>
            <w:r>
              <w:rPr>
                <w:color w:val="000000"/>
                <w:sz w:val="20"/>
                <w:szCs w:val="20"/>
              </w:rPr>
              <w:t>0</w:t>
            </w:r>
          </w:p>
        </w:tc>
        <w:tc>
          <w:tcPr>
            <w:tcW w:w="965" w:type="dxa"/>
            <w:tcBorders>
              <w:left w:val="nil"/>
              <w:bottom w:val="single" w:sz="4" w:space="0" w:color="BFBFBF"/>
              <w:right w:val="single" w:sz="4" w:space="0" w:color="BFBFBF"/>
            </w:tcBorders>
            <w:shd w:val="clear" w:color="auto" w:fill="auto"/>
            <w:noWrap/>
            <w:vAlign w:val="center"/>
            <w:hideMark/>
          </w:tcPr>
          <w:p w14:paraId="48522354" w14:textId="25F79637" w:rsidR="00F42A40" w:rsidRPr="008C1B89" w:rsidRDefault="00F42A40" w:rsidP="009D734D">
            <w:pPr>
              <w:jc w:val="center"/>
              <w:rPr>
                <w:rFonts w:eastAsia="Times New Roman" w:cs="Calibri"/>
                <w:color w:val="000000"/>
                <w:sz w:val="20"/>
                <w:szCs w:val="20"/>
                <w:lang w:eastAsia="en-AU"/>
              </w:rPr>
            </w:pPr>
          </w:p>
        </w:tc>
        <w:tc>
          <w:tcPr>
            <w:tcW w:w="1039" w:type="dxa"/>
            <w:tcBorders>
              <w:left w:val="nil"/>
              <w:bottom w:val="single" w:sz="4" w:space="0" w:color="BFBFBF"/>
              <w:right w:val="single" w:sz="4" w:space="0" w:color="BFBFBF"/>
            </w:tcBorders>
            <w:shd w:val="clear" w:color="auto" w:fill="auto"/>
            <w:noWrap/>
            <w:vAlign w:val="center"/>
            <w:hideMark/>
          </w:tcPr>
          <w:p w14:paraId="12222E1A" w14:textId="264A89D5" w:rsidR="00F42A40" w:rsidRPr="008C1B89" w:rsidRDefault="00F42A40" w:rsidP="009D734D">
            <w:pPr>
              <w:jc w:val="center"/>
              <w:rPr>
                <w:rFonts w:eastAsia="Times New Roman" w:cs="Calibri"/>
                <w:color w:val="000000"/>
                <w:sz w:val="20"/>
                <w:szCs w:val="20"/>
                <w:lang w:eastAsia="en-AU"/>
              </w:rPr>
            </w:pPr>
          </w:p>
        </w:tc>
        <w:tc>
          <w:tcPr>
            <w:tcW w:w="973" w:type="dxa"/>
            <w:tcBorders>
              <w:top w:val="nil"/>
              <w:left w:val="nil"/>
              <w:bottom w:val="single" w:sz="4" w:space="0" w:color="BFBFBF"/>
              <w:right w:val="single" w:sz="4" w:space="0" w:color="BFBFBF"/>
            </w:tcBorders>
            <w:shd w:val="clear" w:color="auto" w:fill="auto"/>
            <w:noWrap/>
            <w:hideMark/>
          </w:tcPr>
          <w:p w14:paraId="444F5417" w14:textId="37B1EA0E"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3259DC7C" w14:textId="3F6CFC58"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3C6C4AA1" w14:textId="53198CF7"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40"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177C434" w14:textId="1641C722"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530" w:type="dxa"/>
            <w:vMerge/>
            <w:tcBorders>
              <w:top w:val="single" w:sz="4" w:space="0" w:color="808080"/>
              <w:left w:val="single" w:sz="4" w:space="0" w:color="BFBFBF"/>
              <w:bottom w:val="single" w:sz="4" w:space="0" w:color="BFBFBF"/>
              <w:right w:val="single" w:sz="4" w:space="0" w:color="BFBFBF"/>
            </w:tcBorders>
            <w:vAlign w:val="center"/>
            <w:hideMark/>
          </w:tcPr>
          <w:p w14:paraId="0AAEBDD5" w14:textId="77777777" w:rsidR="00F42A40" w:rsidRPr="008C1B89" w:rsidRDefault="00F42A40" w:rsidP="00F42A40">
            <w:pPr>
              <w:rPr>
                <w:rFonts w:eastAsia="Times New Roman" w:cs="Calibri"/>
                <w:color w:val="000000"/>
                <w:sz w:val="20"/>
                <w:szCs w:val="20"/>
                <w:lang w:eastAsia="en-AU"/>
              </w:rPr>
            </w:pPr>
          </w:p>
        </w:tc>
      </w:tr>
      <w:tr w:rsidR="00EE2A88" w:rsidRPr="008C1B89" w14:paraId="377CDA89" w14:textId="77777777" w:rsidTr="008C1B89">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04E547F4" w14:textId="77777777" w:rsidR="00EE2A88" w:rsidRPr="008C1B89" w:rsidRDefault="00EE2A88" w:rsidP="00EE2A88">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Total net Landfill fac. (NEPM code N, T)</w:t>
            </w:r>
          </w:p>
        </w:tc>
        <w:tc>
          <w:tcPr>
            <w:tcW w:w="897" w:type="dxa"/>
            <w:tcBorders>
              <w:top w:val="nil"/>
              <w:left w:val="nil"/>
              <w:bottom w:val="single" w:sz="4" w:space="0" w:color="BFBFBF"/>
              <w:right w:val="nil"/>
            </w:tcBorders>
            <w:shd w:val="clear" w:color="000000" w:fill="C5D9F1"/>
            <w:noWrap/>
            <w:hideMark/>
          </w:tcPr>
          <w:p w14:paraId="6B06169B" w14:textId="7481304D" w:rsidR="00EE2A88" w:rsidRPr="008C1B89" w:rsidRDefault="00EE2A88" w:rsidP="00EE2A88">
            <w:pPr>
              <w:jc w:val="right"/>
              <w:rPr>
                <w:rFonts w:eastAsia="Times New Roman" w:cs="Calibri"/>
                <w:color w:val="000000"/>
                <w:sz w:val="20"/>
                <w:szCs w:val="20"/>
                <w:lang w:eastAsia="en-AU"/>
              </w:rPr>
            </w:pPr>
            <w:r>
              <w:rPr>
                <w:color w:val="000000"/>
                <w:sz w:val="20"/>
                <w:szCs w:val="20"/>
              </w:rPr>
              <w:t>57,385</w:t>
            </w:r>
          </w:p>
        </w:tc>
        <w:tc>
          <w:tcPr>
            <w:tcW w:w="965" w:type="dxa"/>
            <w:tcBorders>
              <w:top w:val="nil"/>
              <w:left w:val="nil"/>
              <w:bottom w:val="nil"/>
              <w:right w:val="nil"/>
            </w:tcBorders>
            <w:shd w:val="clear" w:color="000000" w:fill="F2F2F2"/>
            <w:noWrap/>
            <w:hideMark/>
          </w:tcPr>
          <w:p w14:paraId="639E36A3" w14:textId="1B26E8B8"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1039" w:type="dxa"/>
            <w:tcBorders>
              <w:top w:val="nil"/>
              <w:left w:val="nil"/>
              <w:bottom w:val="nil"/>
              <w:right w:val="nil"/>
            </w:tcBorders>
            <w:shd w:val="clear" w:color="000000" w:fill="F2F2F2"/>
            <w:noWrap/>
            <w:hideMark/>
          </w:tcPr>
          <w:p w14:paraId="47A2EEA5" w14:textId="3EBAA04D"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973" w:type="dxa"/>
            <w:tcBorders>
              <w:top w:val="nil"/>
              <w:left w:val="nil"/>
              <w:bottom w:val="nil"/>
              <w:right w:val="nil"/>
            </w:tcBorders>
            <w:shd w:val="clear" w:color="000000" w:fill="F2F2F2"/>
            <w:noWrap/>
            <w:hideMark/>
          </w:tcPr>
          <w:p w14:paraId="50AA0B34" w14:textId="18A4926D"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nil"/>
            </w:tcBorders>
            <w:shd w:val="clear" w:color="000000" w:fill="F2F2F2"/>
            <w:noWrap/>
            <w:hideMark/>
          </w:tcPr>
          <w:p w14:paraId="267CACDF" w14:textId="7C921B03"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nil"/>
            </w:tcBorders>
            <w:shd w:val="clear" w:color="000000" w:fill="F2F2F2"/>
            <w:noWrap/>
            <w:hideMark/>
          </w:tcPr>
          <w:p w14:paraId="1800BED5" w14:textId="0C2343DE"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40" w:type="dxa"/>
            <w:tcBorders>
              <w:top w:val="nil"/>
              <w:left w:val="nil"/>
              <w:bottom w:val="nil"/>
              <w:right w:val="nil"/>
            </w:tcBorders>
            <w:shd w:val="clear" w:color="000000" w:fill="F2F2F2"/>
            <w:noWrap/>
            <w:hideMark/>
          </w:tcPr>
          <w:p w14:paraId="6FA5A05B" w14:textId="3FEF6634"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5530" w:type="dxa"/>
            <w:tcBorders>
              <w:top w:val="nil"/>
              <w:left w:val="nil"/>
              <w:bottom w:val="nil"/>
              <w:right w:val="single" w:sz="4" w:space="0" w:color="BFBFBF"/>
            </w:tcBorders>
            <w:shd w:val="clear" w:color="000000" w:fill="F2F2F2"/>
            <w:noWrap/>
            <w:hideMark/>
          </w:tcPr>
          <w:p w14:paraId="4005BEFE" w14:textId="77777777" w:rsidR="00EE2A88" w:rsidRPr="008C1B89" w:rsidRDefault="00EE2A88" w:rsidP="00EE2A88">
            <w:pPr>
              <w:rPr>
                <w:rFonts w:eastAsia="Times New Roman" w:cs="Calibri"/>
                <w:color w:val="000000"/>
                <w:sz w:val="20"/>
                <w:szCs w:val="20"/>
                <w:lang w:eastAsia="en-AU"/>
              </w:rPr>
            </w:pPr>
            <w:r w:rsidRPr="008C1B89">
              <w:rPr>
                <w:rFonts w:eastAsia="Times New Roman" w:cs="Calibri"/>
                <w:color w:val="000000"/>
                <w:sz w:val="20"/>
                <w:szCs w:val="20"/>
                <w:lang w:eastAsia="en-AU"/>
              </w:rPr>
              <w:t> </w:t>
            </w:r>
          </w:p>
        </w:tc>
      </w:tr>
      <w:tr w:rsidR="00EE2A88" w:rsidRPr="008C1B89" w14:paraId="69412BF6" w14:textId="77777777" w:rsidTr="008C1B89">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4BD87F74" w14:textId="77777777" w:rsidR="00EE2A88" w:rsidRPr="008C1B89" w:rsidRDefault="00EE2A88" w:rsidP="00EE2A88">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NEPM 12-13 net imp./exp. (kt)</w:t>
            </w:r>
          </w:p>
        </w:tc>
        <w:tc>
          <w:tcPr>
            <w:tcW w:w="897" w:type="dxa"/>
            <w:tcBorders>
              <w:top w:val="nil"/>
              <w:left w:val="nil"/>
              <w:bottom w:val="single" w:sz="4" w:space="0" w:color="BFBFBF"/>
              <w:right w:val="nil"/>
            </w:tcBorders>
            <w:shd w:val="clear" w:color="000000" w:fill="C5D9F1"/>
            <w:noWrap/>
            <w:hideMark/>
          </w:tcPr>
          <w:p w14:paraId="4B9E5C22" w14:textId="5E30A877" w:rsidR="00EE2A88" w:rsidRPr="008C1B89" w:rsidRDefault="00EE2A88" w:rsidP="00EE2A88">
            <w:pPr>
              <w:jc w:val="right"/>
              <w:rPr>
                <w:rFonts w:eastAsia="Times New Roman" w:cs="Calibri"/>
                <w:color w:val="000000"/>
                <w:sz w:val="20"/>
                <w:szCs w:val="20"/>
                <w:lang w:eastAsia="en-AU"/>
              </w:rPr>
            </w:pPr>
            <w:r>
              <w:rPr>
                <w:color w:val="000000"/>
                <w:sz w:val="20"/>
                <w:szCs w:val="20"/>
              </w:rPr>
              <w:t>143,278</w:t>
            </w:r>
          </w:p>
        </w:tc>
        <w:tc>
          <w:tcPr>
            <w:tcW w:w="965" w:type="dxa"/>
            <w:tcBorders>
              <w:top w:val="nil"/>
              <w:left w:val="nil"/>
              <w:bottom w:val="single" w:sz="4" w:space="0" w:color="BFBFBF"/>
              <w:right w:val="nil"/>
            </w:tcBorders>
            <w:shd w:val="clear" w:color="000000" w:fill="F2F2F2"/>
            <w:noWrap/>
            <w:hideMark/>
          </w:tcPr>
          <w:p w14:paraId="154159C6" w14:textId="0BBBB354" w:rsidR="00EE2A88" w:rsidRPr="008C1B89" w:rsidRDefault="00EE2A88" w:rsidP="00EE2A88">
            <w:pPr>
              <w:rPr>
                <w:rFonts w:eastAsia="Times New Roman" w:cs="Calibri"/>
                <w:color w:val="000000"/>
                <w:sz w:val="20"/>
                <w:szCs w:val="20"/>
                <w:lang w:eastAsia="en-AU"/>
              </w:rPr>
            </w:pPr>
            <w:r>
              <w:rPr>
                <w:color w:val="000000"/>
                <w:sz w:val="20"/>
                <w:szCs w:val="20"/>
              </w:rPr>
              <w:t>(export)</w:t>
            </w:r>
          </w:p>
        </w:tc>
        <w:tc>
          <w:tcPr>
            <w:tcW w:w="1039" w:type="dxa"/>
            <w:tcBorders>
              <w:top w:val="nil"/>
              <w:left w:val="nil"/>
              <w:bottom w:val="single" w:sz="4" w:space="0" w:color="BFBFBF"/>
              <w:right w:val="nil"/>
            </w:tcBorders>
            <w:shd w:val="clear" w:color="000000" w:fill="F2F2F2"/>
            <w:noWrap/>
            <w:hideMark/>
          </w:tcPr>
          <w:p w14:paraId="071DB71B" w14:textId="3ADB45AE"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973" w:type="dxa"/>
            <w:tcBorders>
              <w:top w:val="nil"/>
              <w:left w:val="nil"/>
              <w:bottom w:val="single" w:sz="4" w:space="0" w:color="BFBFBF"/>
              <w:right w:val="nil"/>
            </w:tcBorders>
            <w:shd w:val="clear" w:color="000000" w:fill="F2F2F2"/>
            <w:noWrap/>
            <w:hideMark/>
          </w:tcPr>
          <w:p w14:paraId="1A0646CD" w14:textId="090CE57A"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nil"/>
            </w:tcBorders>
            <w:shd w:val="clear" w:color="000000" w:fill="F2F2F2"/>
            <w:noWrap/>
            <w:hideMark/>
          </w:tcPr>
          <w:p w14:paraId="7DD6DE97" w14:textId="4ECC34D0"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nil"/>
            </w:tcBorders>
            <w:shd w:val="clear" w:color="000000" w:fill="F2F2F2"/>
            <w:noWrap/>
            <w:hideMark/>
          </w:tcPr>
          <w:p w14:paraId="372648EF" w14:textId="0B12F1F2"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40" w:type="dxa"/>
            <w:tcBorders>
              <w:top w:val="nil"/>
              <w:left w:val="nil"/>
              <w:bottom w:val="single" w:sz="4" w:space="0" w:color="BFBFBF"/>
              <w:right w:val="nil"/>
            </w:tcBorders>
            <w:shd w:val="clear" w:color="000000" w:fill="F2F2F2"/>
            <w:noWrap/>
            <w:hideMark/>
          </w:tcPr>
          <w:p w14:paraId="52C8B8E3" w14:textId="70D89758"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5530" w:type="dxa"/>
            <w:tcBorders>
              <w:top w:val="nil"/>
              <w:left w:val="nil"/>
              <w:bottom w:val="single" w:sz="4" w:space="0" w:color="BFBFBF"/>
              <w:right w:val="single" w:sz="4" w:space="0" w:color="BFBFBF"/>
            </w:tcBorders>
            <w:shd w:val="clear" w:color="000000" w:fill="F2F2F2"/>
            <w:noWrap/>
            <w:hideMark/>
          </w:tcPr>
          <w:p w14:paraId="7969C1EA" w14:textId="77777777" w:rsidR="00EE2A88" w:rsidRPr="008C1B89" w:rsidRDefault="00EE2A88" w:rsidP="00EE2A88">
            <w:pPr>
              <w:rPr>
                <w:rFonts w:eastAsia="Times New Roman" w:cs="Calibri"/>
                <w:color w:val="000000"/>
                <w:sz w:val="20"/>
                <w:szCs w:val="20"/>
                <w:lang w:eastAsia="en-AU"/>
              </w:rPr>
            </w:pPr>
            <w:r w:rsidRPr="008C1B89">
              <w:rPr>
                <w:rFonts w:eastAsia="Times New Roman" w:cs="Calibri"/>
                <w:color w:val="000000"/>
                <w:sz w:val="20"/>
                <w:szCs w:val="20"/>
                <w:lang w:eastAsia="en-AU"/>
              </w:rPr>
              <w:t> </w:t>
            </w:r>
          </w:p>
        </w:tc>
      </w:tr>
    </w:tbl>
    <w:p w14:paraId="47015D3A" w14:textId="3B9E65F4" w:rsidR="00B37084" w:rsidRPr="00100F0A" w:rsidRDefault="00B37084" w:rsidP="00B37084">
      <w:pPr>
        <w:pStyle w:val="BodyText"/>
      </w:pPr>
    </w:p>
    <w:p w14:paraId="28534511" w14:textId="77777777" w:rsidR="00706F0B" w:rsidRPr="00100F0A" w:rsidRDefault="00706F0B" w:rsidP="0095119F">
      <w:pPr>
        <w:pStyle w:val="Caption"/>
      </w:pPr>
      <w:bookmarkStart w:id="430" w:name="_Toc425849350"/>
    </w:p>
    <w:p w14:paraId="564C3609" w14:textId="77777777" w:rsidR="00CC2667" w:rsidRPr="00100F0A" w:rsidRDefault="00CC2667">
      <w:pPr>
        <w:rPr>
          <w:i/>
          <w:iCs/>
          <w:color w:val="4D4DB8"/>
          <w:szCs w:val="18"/>
        </w:rPr>
      </w:pPr>
      <w:r w:rsidRPr="00100F0A">
        <w:br w:type="page"/>
      </w:r>
    </w:p>
    <w:p w14:paraId="1A625603" w14:textId="2420BDE8" w:rsidR="00B37084" w:rsidRPr="00100F0A" w:rsidRDefault="00B37084" w:rsidP="0095119F">
      <w:pPr>
        <w:pStyle w:val="Caption"/>
      </w:pPr>
      <w:bookmarkStart w:id="431" w:name="_Toc13225677"/>
      <w:r w:rsidRPr="00100F0A">
        <w:t xml:space="preserve">Table </w:t>
      </w:r>
      <w:r w:rsidR="002F2488">
        <w:rPr>
          <w:noProof/>
        </w:rPr>
        <w:fldChar w:fldCharType="begin"/>
      </w:r>
      <w:r w:rsidR="002F2488">
        <w:rPr>
          <w:noProof/>
        </w:rPr>
        <w:instrText xml:space="preserve"> SEQ Table \* ARABIC </w:instrText>
      </w:r>
      <w:r w:rsidR="002F2488">
        <w:rPr>
          <w:noProof/>
        </w:rPr>
        <w:fldChar w:fldCharType="separate"/>
      </w:r>
      <w:r w:rsidR="00EB634D">
        <w:rPr>
          <w:noProof/>
        </w:rPr>
        <w:t>58</w:t>
      </w:r>
      <w:r w:rsidR="002F2488">
        <w:rPr>
          <w:noProof/>
        </w:rPr>
        <w:fldChar w:fldCharType="end"/>
      </w:r>
      <w:r w:rsidR="00D11FEE" w:rsidRPr="00100F0A">
        <w:tab/>
      </w:r>
      <w:r w:rsidRPr="00100F0A">
        <w:t>Vic assessment of projected arisings vs infrastructure capacity</w:t>
      </w:r>
      <w:bookmarkEnd w:id="430"/>
      <w:bookmarkEnd w:id="431"/>
    </w:p>
    <w:tbl>
      <w:tblPr>
        <w:tblW w:w="14029" w:type="dxa"/>
        <w:tblLayout w:type="fixed"/>
        <w:tblLook w:val="04A0" w:firstRow="1" w:lastRow="0" w:firstColumn="1" w:lastColumn="0" w:noHBand="0" w:noVBand="1"/>
      </w:tblPr>
      <w:tblGrid>
        <w:gridCol w:w="2830"/>
        <w:gridCol w:w="891"/>
        <w:gridCol w:w="957"/>
        <w:gridCol w:w="1023"/>
        <w:gridCol w:w="960"/>
        <w:gridCol w:w="739"/>
        <w:gridCol w:w="739"/>
        <w:gridCol w:w="739"/>
        <w:gridCol w:w="5151"/>
      </w:tblGrid>
      <w:tr w:rsidR="008C1B89" w:rsidRPr="008C1B89" w14:paraId="6BD2E51B" w14:textId="77777777" w:rsidTr="00DF54C3">
        <w:trPr>
          <w:trHeight w:val="1020"/>
          <w:tblHeader/>
        </w:trPr>
        <w:tc>
          <w:tcPr>
            <w:tcW w:w="2830" w:type="dxa"/>
            <w:tcBorders>
              <w:top w:val="single" w:sz="4" w:space="0" w:color="BFBFBF"/>
              <w:left w:val="single" w:sz="4" w:space="0" w:color="BFBFBF"/>
              <w:bottom w:val="nil"/>
              <w:right w:val="nil"/>
            </w:tcBorders>
            <w:shd w:val="clear" w:color="000000" w:fill="C5D9F1"/>
            <w:vAlign w:val="center"/>
            <w:hideMark/>
          </w:tcPr>
          <w:p w14:paraId="4BD2EE7D" w14:textId="77777777" w:rsidR="008C1B89" w:rsidRPr="008C1B89" w:rsidRDefault="008C1B89" w:rsidP="008C1B89">
            <w:pPr>
              <w:jc w:val="center"/>
              <w:rPr>
                <w:rFonts w:eastAsia="Times New Roman" w:cs="Calibri"/>
                <w:b/>
                <w:bCs/>
                <w:color w:val="000000"/>
                <w:sz w:val="20"/>
                <w:szCs w:val="20"/>
                <w:lang w:eastAsia="en-AU"/>
              </w:rPr>
            </w:pPr>
            <w:bookmarkStart w:id="432" w:name="_Ref420495416"/>
            <w:bookmarkStart w:id="433" w:name="_Toc425849351"/>
            <w:r w:rsidRPr="008C1B89">
              <w:rPr>
                <w:rFonts w:eastAsia="Times New Roman" w:cs="Calibri"/>
                <w:b/>
                <w:bCs/>
                <w:color w:val="000000"/>
                <w:sz w:val="20"/>
                <w:szCs w:val="20"/>
                <w:lang w:eastAsia="en-AU"/>
              </w:rPr>
              <w:t>Infrastructure group</w:t>
            </w:r>
          </w:p>
        </w:tc>
        <w:tc>
          <w:tcPr>
            <w:tcW w:w="891" w:type="dxa"/>
            <w:tcBorders>
              <w:top w:val="single" w:sz="4" w:space="0" w:color="BFBFBF"/>
              <w:left w:val="single" w:sz="4" w:space="0" w:color="BFBFBF"/>
              <w:bottom w:val="nil"/>
              <w:right w:val="nil"/>
            </w:tcBorders>
            <w:shd w:val="clear" w:color="000000" w:fill="C5D9F1"/>
            <w:hideMark/>
          </w:tcPr>
          <w:p w14:paraId="7614051A"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16-17 arisings</w:t>
            </w:r>
            <w:r w:rsidRPr="008C1B89">
              <w:rPr>
                <w:rFonts w:eastAsia="Times New Roman" w:cs="Calibri"/>
                <w:b/>
                <w:bCs/>
                <w:color w:val="000000"/>
                <w:sz w:val="20"/>
                <w:szCs w:val="20"/>
                <w:lang w:eastAsia="en-AU"/>
              </w:rPr>
              <w:br/>
              <w:t>(t/yr)</w:t>
            </w:r>
          </w:p>
        </w:tc>
        <w:tc>
          <w:tcPr>
            <w:tcW w:w="957" w:type="dxa"/>
            <w:tcBorders>
              <w:top w:val="single" w:sz="4" w:space="0" w:color="BFBFBF"/>
              <w:left w:val="nil"/>
              <w:bottom w:val="nil"/>
              <w:right w:val="nil"/>
            </w:tcBorders>
            <w:shd w:val="clear" w:color="000000" w:fill="C5D9F1"/>
            <w:hideMark/>
          </w:tcPr>
          <w:p w14:paraId="7914B286"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Installed capacity</w:t>
            </w:r>
            <w:r w:rsidRPr="008C1B89">
              <w:rPr>
                <w:rFonts w:eastAsia="Times New Roman" w:cs="Calibri"/>
                <w:b/>
                <w:bCs/>
                <w:color w:val="000000"/>
                <w:sz w:val="20"/>
                <w:szCs w:val="20"/>
                <w:lang w:eastAsia="en-AU"/>
              </w:rPr>
              <w:br/>
              <w:t>(t/yr)</w:t>
            </w:r>
          </w:p>
        </w:tc>
        <w:tc>
          <w:tcPr>
            <w:tcW w:w="1023" w:type="dxa"/>
            <w:tcBorders>
              <w:top w:val="single" w:sz="4" w:space="0" w:color="BFBFBF"/>
              <w:left w:val="nil"/>
              <w:bottom w:val="nil"/>
              <w:right w:val="nil"/>
            </w:tcBorders>
            <w:shd w:val="clear" w:color="000000" w:fill="C5D9F1"/>
            <w:hideMark/>
          </w:tcPr>
          <w:p w14:paraId="2A11B717"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Expected capacity change</w:t>
            </w:r>
            <w:r w:rsidRPr="008C1B89">
              <w:rPr>
                <w:rFonts w:eastAsia="Times New Roman" w:cs="Calibri"/>
                <w:b/>
                <w:bCs/>
                <w:color w:val="000000"/>
                <w:sz w:val="20"/>
                <w:szCs w:val="20"/>
                <w:lang w:eastAsia="en-AU"/>
              </w:rPr>
              <w:br/>
              <w:t>(t/yr)</w:t>
            </w:r>
          </w:p>
        </w:tc>
        <w:tc>
          <w:tcPr>
            <w:tcW w:w="960" w:type="dxa"/>
            <w:tcBorders>
              <w:top w:val="single" w:sz="4" w:space="0" w:color="BFBFBF"/>
              <w:left w:val="nil"/>
              <w:bottom w:val="nil"/>
              <w:right w:val="single" w:sz="4" w:space="0" w:color="BFBFBF"/>
            </w:tcBorders>
            <w:shd w:val="clear" w:color="000000" w:fill="C5D9F1"/>
            <w:hideMark/>
          </w:tcPr>
          <w:p w14:paraId="04A9C34D"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Capacity data quality</w:t>
            </w:r>
            <w:r w:rsidRPr="008C1B89">
              <w:rPr>
                <w:rFonts w:eastAsia="Times New Roman" w:cs="Calibri"/>
                <w:b/>
                <w:bCs/>
                <w:color w:val="000000"/>
                <w:sz w:val="20"/>
                <w:szCs w:val="20"/>
                <w:lang w:eastAsia="en-AU"/>
              </w:rPr>
              <w:br/>
              <w:t>Good, ok, poor</w:t>
            </w:r>
          </w:p>
        </w:tc>
        <w:tc>
          <w:tcPr>
            <w:tcW w:w="2217" w:type="dxa"/>
            <w:gridSpan w:val="3"/>
            <w:tcBorders>
              <w:top w:val="single" w:sz="4" w:space="0" w:color="BFBFBF"/>
              <w:left w:val="nil"/>
              <w:bottom w:val="nil"/>
              <w:right w:val="single" w:sz="4" w:space="0" w:color="BFBFBF"/>
            </w:tcBorders>
            <w:shd w:val="clear" w:color="000000" w:fill="C5D9F1"/>
            <w:hideMark/>
          </w:tcPr>
          <w:p w14:paraId="7FB6218F" w14:textId="5B3D27AF"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Est. year arisings &gt; capacity</w:t>
            </w:r>
            <w:r w:rsidRPr="008C1B89">
              <w:rPr>
                <w:rFonts w:eastAsia="Times New Roman" w:cs="Calibri"/>
                <w:b/>
                <w:bCs/>
                <w:color w:val="000000"/>
                <w:sz w:val="20"/>
                <w:szCs w:val="20"/>
                <w:lang w:eastAsia="en-AU"/>
              </w:rPr>
              <w:br/>
              <w:t xml:space="preserve">Best    </w:t>
            </w:r>
            <w:r>
              <w:rPr>
                <w:rFonts w:eastAsia="Times New Roman" w:cs="Calibri"/>
                <w:b/>
                <w:bCs/>
                <w:color w:val="000000"/>
                <w:sz w:val="20"/>
                <w:szCs w:val="20"/>
                <w:lang w:eastAsia="en-AU"/>
              </w:rPr>
              <w:t xml:space="preserve"> </w:t>
            </w:r>
            <w:r w:rsidRPr="008C1B89">
              <w:rPr>
                <w:rFonts w:eastAsia="Times New Roman" w:cs="Calibri"/>
                <w:b/>
                <w:bCs/>
                <w:color w:val="000000"/>
                <w:sz w:val="20"/>
                <w:szCs w:val="20"/>
                <w:lang w:eastAsia="en-AU"/>
              </w:rPr>
              <w:t xml:space="preserve">   High       Low</w:t>
            </w:r>
          </w:p>
        </w:tc>
        <w:tc>
          <w:tcPr>
            <w:tcW w:w="5151" w:type="dxa"/>
            <w:tcBorders>
              <w:top w:val="single" w:sz="4" w:space="0" w:color="BFBFBF"/>
              <w:left w:val="nil"/>
              <w:bottom w:val="nil"/>
              <w:right w:val="single" w:sz="4" w:space="0" w:color="BFBFBF"/>
            </w:tcBorders>
            <w:shd w:val="clear" w:color="000000" w:fill="C5D9F1"/>
            <w:hideMark/>
          </w:tcPr>
          <w:p w14:paraId="09325AD2"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Assessment discussion and recommendations</w:t>
            </w:r>
          </w:p>
        </w:tc>
      </w:tr>
      <w:tr w:rsidR="00763475" w:rsidRPr="008C1B89" w14:paraId="7D2D8D13" w14:textId="77777777" w:rsidTr="00763475">
        <w:trPr>
          <w:trHeight w:val="255"/>
        </w:trPr>
        <w:tc>
          <w:tcPr>
            <w:tcW w:w="2830" w:type="dxa"/>
            <w:tcBorders>
              <w:top w:val="single" w:sz="4" w:space="0" w:color="808080"/>
              <w:left w:val="single" w:sz="4" w:space="0" w:color="BFBFBF"/>
              <w:bottom w:val="single" w:sz="4" w:space="0" w:color="BFBFBF"/>
              <w:right w:val="nil"/>
            </w:tcBorders>
            <w:shd w:val="clear" w:color="000000" w:fill="C5D9F1"/>
            <w:noWrap/>
            <w:vAlign w:val="bottom"/>
            <w:hideMark/>
          </w:tcPr>
          <w:p w14:paraId="14AC2D34" w14:textId="77777777" w:rsidR="00763475" w:rsidRPr="008C1B89" w:rsidRDefault="00763475" w:rsidP="00763475">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Recycling and energy recovery</w:t>
            </w:r>
          </w:p>
        </w:tc>
        <w:tc>
          <w:tcPr>
            <w:tcW w:w="891" w:type="dxa"/>
            <w:tcBorders>
              <w:top w:val="single" w:sz="4" w:space="0" w:color="808080"/>
              <w:left w:val="nil"/>
              <w:bottom w:val="single" w:sz="4" w:space="0" w:color="BFBFBF"/>
              <w:right w:val="nil"/>
            </w:tcBorders>
            <w:shd w:val="clear" w:color="000000" w:fill="C5D9F1"/>
            <w:noWrap/>
            <w:vAlign w:val="bottom"/>
            <w:hideMark/>
          </w:tcPr>
          <w:p w14:paraId="2C4EE90D" w14:textId="77777777" w:rsidR="00763475" w:rsidRPr="008C1B89" w:rsidRDefault="00763475" w:rsidP="00763475">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957" w:type="dxa"/>
            <w:tcBorders>
              <w:top w:val="single" w:sz="4" w:space="0" w:color="808080"/>
              <w:left w:val="nil"/>
              <w:bottom w:val="single" w:sz="4" w:space="0" w:color="BFBFBF"/>
              <w:right w:val="nil"/>
            </w:tcBorders>
            <w:shd w:val="clear" w:color="000000" w:fill="C5D9F1"/>
            <w:noWrap/>
            <w:vAlign w:val="bottom"/>
            <w:hideMark/>
          </w:tcPr>
          <w:p w14:paraId="6A4F644C" w14:textId="77777777" w:rsidR="00763475" w:rsidRPr="008C1B89" w:rsidRDefault="00763475" w:rsidP="00763475">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1023" w:type="dxa"/>
            <w:tcBorders>
              <w:top w:val="single" w:sz="4" w:space="0" w:color="808080"/>
              <w:left w:val="nil"/>
              <w:bottom w:val="single" w:sz="4" w:space="0" w:color="BFBFBF"/>
              <w:right w:val="nil"/>
            </w:tcBorders>
            <w:shd w:val="clear" w:color="000000" w:fill="C5D9F1"/>
            <w:noWrap/>
            <w:vAlign w:val="bottom"/>
            <w:hideMark/>
          </w:tcPr>
          <w:p w14:paraId="02C7A9E1" w14:textId="77777777" w:rsidR="00763475" w:rsidRPr="008C1B89" w:rsidRDefault="00763475" w:rsidP="00763475">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960" w:type="dxa"/>
            <w:tcBorders>
              <w:top w:val="single" w:sz="4" w:space="0" w:color="808080"/>
              <w:left w:val="nil"/>
              <w:bottom w:val="single" w:sz="4" w:space="0" w:color="BFBFBF"/>
              <w:right w:val="nil"/>
            </w:tcBorders>
            <w:shd w:val="clear" w:color="000000" w:fill="C5D9F1"/>
            <w:noWrap/>
            <w:vAlign w:val="bottom"/>
            <w:hideMark/>
          </w:tcPr>
          <w:p w14:paraId="40CCD04A" w14:textId="77777777" w:rsidR="00763475" w:rsidRPr="008C1B89" w:rsidRDefault="00763475" w:rsidP="00763475">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739" w:type="dxa"/>
            <w:tcBorders>
              <w:top w:val="single" w:sz="4" w:space="0" w:color="808080"/>
              <w:left w:val="nil"/>
              <w:bottom w:val="single" w:sz="4" w:space="0" w:color="BFBFBF"/>
              <w:right w:val="nil"/>
            </w:tcBorders>
            <w:shd w:val="clear" w:color="000000" w:fill="C5D9F1"/>
            <w:noWrap/>
            <w:vAlign w:val="bottom"/>
            <w:hideMark/>
          </w:tcPr>
          <w:p w14:paraId="0C5F7F87" w14:textId="77777777" w:rsidR="00763475" w:rsidRPr="008C1B89" w:rsidRDefault="00763475" w:rsidP="00763475">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739" w:type="dxa"/>
            <w:tcBorders>
              <w:top w:val="single" w:sz="4" w:space="0" w:color="808080"/>
              <w:left w:val="nil"/>
              <w:bottom w:val="single" w:sz="4" w:space="0" w:color="BFBFBF"/>
              <w:right w:val="nil"/>
            </w:tcBorders>
            <w:shd w:val="clear" w:color="000000" w:fill="C5D9F1"/>
            <w:noWrap/>
            <w:vAlign w:val="bottom"/>
            <w:hideMark/>
          </w:tcPr>
          <w:p w14:paraId="46AC23F3" w14:textId="77777777" w:rsidR="00763475" w:rsidRPr="008C1B89" w:rsidRDefault="00763475" w:rsidP="00763475">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739" w:type="dxa"/>
            <w:tcBorders>
              <w:top w:val="single" w:sz="4" w:space="0" w:color="808080"/>
              <w:left w:val="nil"/>
              <w:bottom w:val="single" w:sz="4" w:space="0" w:color="BFBFBF"/>
              <w:right w:val="single" w:sz="4" w:space="0" w:color="BFBFBF"/>
            </w:tcBorders>
            <w:shd w:val="clear" w:color="000000" w:fill="C5D9F1"/>
            <w:noWrap/>
            <w:vAlign w:val="bottom"/>
            <w:hideMark/>
          </w:tcPr>
          <w:p w14:paraId="54EC0D2C" w14:textId="77777777" w:rsidR="00763475" w:rsidRPr="008C1B89" w:rsidRDefault="00763475" w:rsidP="00763475">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5151" w:type="dxa"/>
            <w:vMerge w:val="restart"/>
            <w:tcBorders>
              <w:top w:val="single" w:sz="4" w:space="0" w:color="808080"/>
              <w:left w:val="single" w:sz="4" w:space="0" w:color="BFBFBF"/>
              <w:bottom w:val="single" w:sz="4" w:space="0" w:color="BFBFBF"/>
              <w:right w:val="single" w:sz="4" w:space="0" w:color="BFBFBF"/>
            </w:tcBorders>
            <w:shd w:val="clear" w:color="000000" w:fill="FFFFFF"/>
          </w:tcPr>
          <w:p w14:paraId="74096E2E" w14:textId="3B516DB7" w:rsidR="00052ED1" w:rsidRDefault="00763475" w:rsidP="00763475">
            <w:pPr>
              <w:rPr>
                <w:rFonts w:asciiTheme="minorHAnsi" w:eastAsia="Times New Roman" w:hAnsiTheme="minorHAnsi" w:cstheme="minorHAnsi"/>
                <w:color w:val="000000"/>
                <w:sz w:val="20"/>
                <w:szCs w:val="20"/>
                <w:lang w:eastAsia="en-AU"/>
              </w:rPr>
            </w:pPr>
            <w:r w:rsidRPr="00100F0A">
              <w:rPr>
                <w:rFonts w:asciiTheme="minorHAnsi" w:eastAsia="Times New Roman" w:hAnsiTheme="minorHAnsi" w:cstheme="minorHAnsi"/>
                <w:b/>
                <w:bCs/>
                <w:color w:val="000000"/>
                <w:sz w:val="20"/>
                <w:szCs w:val="20"/>
                <w:lang w:eastAsia="en-AU"/>
              </w:rPr>
              <w:t>Recycling and energy recovery</w:t>
            </w:r>
            <w:r w:rsidRPr="00100F0A">
              <w:rPr>
                <w:rFonts w:asciiTheme="minorHAnsi" w:eastAsia="Times New Roman" w:hAnsiTheme="minorHAnsi" w:cstheme="minorHAnsi"/>
                <w:color w:val="000000"/>
                <w:sz w:val="20"/>
                <w:szCs w:val="20"/>
                <w:lang w:eastAsia="en-AU"/>
              </w:rPr>
              <w:br/>
              <w:t>- Hazwaste packaging, e-waste, mercury, EOLT, energy recovery infrastructure is likely to have sufficient capacity.</w:t>
            </w:r>
            <w:r w:rsidRPr="00100F0A">
              <w:rPr>
                <w:rFonts w:asciiTheme="minorHAnsi" w:eastAsia="Times New Roman" w:hAnsiTheme="minorHAnsi" w:cstheme="minorHAnsi"/>
                <w:color w:val="000000"/>
                <w:sz w:val="20"/>
                <w:szCs w:val="20"/>
                <w:lang w:eastAsia="en-AU"/>
              </w:rPr>
              <w:br/>
              <w:t xml:space="preserve">- Due to a significant change in the reported capacity of oil re-refining capacity in </w:t>
            </w:r>
            <w:r>
              <w:rPr>
                <w:rFonts w:asciiTheme="minorHAnsi" w:eastAsia="Times New Roman" w:hAnsiTheme="minorHAnsi" w:cstheme="minorHAnsi"/>
                <w:color w:val="000000"/>
                <w:sz w:val="20"/>
                <w:szCs w:val="20"/>
                <w:lang w:eastAsia="en-AU"/>
              </w:rPr>
              <w:t>Vic</w:t>
            </w:r>
            <w:r w:rsidRPr="00100F0A">
              <w:rPr>
                <w:rFonts w:asciiTheme="minorHAnsi" w:eastAsia="Times New Roman" w:hAnsiTheme="minorHAnsi" w:cstheme="minorHAnsi"/>
                <w:color w:val="000000"/>
                <w:sz w:val="20"/>
                <w:szCs w:val="20"/>
                <w:lang w:eastAsia="en-AU"/>
              </w:rPr>
              <w:t xml:space="preserve">, capacity could be constrained under all scenarios and significant tonnages of oil may need to be recovered interstate without infrastructure upgrades. </w:t>
            </w:r>
            <w:r w:rsidRPr="00100F0A">
              <w:rPr>
                <w:rFonts w:asciiTheme="minorHAnsi" w:eastAsia="Times New Roman" w:hAnsiTheme="minorHAnsi" w:cstheme="minorHAnsi"/>
                <w:color w:val="000000"/>
                <w:sz w:val="20"/>
                <w:szCs w:val="20"/>
                <w:lang w:eastAsia="en-AU"/>
              </w:rPr>
              <w:br/>
              <w:t xml:space="preserve">- Lead wastes are likely to be sent interstate to SA or NSW for recycling. </w:t>
            </w:r>
            <w:r w:rsidRPr="00100F0A">
              <w:rPr>
                <w:rFonts w:asciiTheme="minorHAnsi" w:eastAsia="Times New Roman" w:hAnsiTheme="minorHAnsi" w:cstheme="minorHAnsi"/>
                <w:color w:val="000000"/>
                <w:sz w:val="20"/>
                <w:szCs w:val="20"/>
                <w:lang w:eastAsia="en-AU"/>
              </w:rPr>
              <w:br/>
              <w:t>- Solvent/paints/organic chemicals capacity could be constrained. However, a number of factors need to be considered: 1. It is likely that some materials sent to energy recovery are recorded as recycled (resulting in over</w:t>
            </w:r>
            <w:r>
              <w:rPr>
                <w:rFonts w:asciiTheme="minorHAnsi" w:eastAsia="Times New Roman" w:hAnsiTheme="minorHAnsi" w:cstheme="minorHAnsi"/>
                <w:color w:val="000000"/>
                <w:sz w:val="20"/>
                <w:szCs w:val="20"/>
                <w:lang w:eastAsia="en-AU"/>
              </w:rPr>
              <w:t>-</w:t>
            </w:r>
            <w:r w:rsidRPr="00100F0A">
              <w:rPr>
                <w:rFonts w:asciiTheme="minorHAnsi" w:eastAsia="Times New Roman" w:hAnsiTheme="minorHAnsi" w:cstheme="minorHAnsi"/>
                <w:color w:val="000000"/>
                <w:sz w:val="20"/>
                <w:szCs w:val="20"/>
                <w:lang w:eastAsia="en-AU"/>
              </w:rPr>
              <w:t>estimate of arisings to recycling and under</w:t>
            </w:r>
            <w:r>
              <w:rPr>
                <w:rFonts w:asciiTheme="minorHAnsi" w:eastAsia="Times New Roman" w:hAnsiTheme="minorHAnsi" w:cstheme="minorHAnsi"/>
                <w:color w:val="000000"/>
                <w:sz w:val="20"/>
                <w:szCs w:val="20"/>
                <w:lang w:eastAsia="en-AU"/>
              </w:rPr>
              <w:t>-</w:t>
            </w:r>
            <w:r w:rsidRPr="00100F0A">
              <w:rPr>
                <w:rFonts w:asciiTheme="minorHAnsi" w:eastAsia="Times New Roman" w:hAnsiTheme="minorHAnsi" w:cstheme="minorHAnsi"/>
                <w:color w:val="000000"/>
                <w:sz w:val="20"/>
                <w:szCs w:val="20"/>
                <w:lang w:eastAsia="en-AU"/>
              </w:rPr>
              <w:t xml:space="preserve">estimate to energy recovery), 2. Some solvent/paint recycling capacity is likely to be within the CPT infrastructure group, 3. Some smaller operators that recycle solvents/paint may not have not been captured in the infrastructure database. </w:t>
            </w:r>
            <w:r w:rsidRPr="00100F0A">
              <w:rPr>
                <w:rFonts w:asciiTheme="minorHAnsi" w:eastAsia="Times New Roman" w:hAnsiTheme="minorHAnsi" w:cstheme="minorHAnsi"/>
                <w:color w:val="000000"/>
                <w:sz w:val="20"/>
                <w:szCs w:val="20"/>
                <w:lang w:eastAsia="en-AU"/>
              </w:rPr>
              <w:br/>
              <w:t xml:space="preserve">- Organics infrastructure capacity could be constrained currently, however, capacity data has limited coverage in the database.  </w:t>
            </w:r>
            <w:r w:rsidRPr="00100F0A">
              <w:rPr>
                <w:rFonts w:asciiTheme="minorHAnsi" w:eastAsia="Times New Roman" w:hAnsiTheme="minorHAnsi" w:cstheme="minorHAnsi"/>
                <w:color w:val="000000"/>
                <w:sz w:val="20"/>
                <w:szCs w:val="20"/>
                <w:lang w:eastAsia="en-AU"/>
              </w:rPr>
              <w:br/>
              <w:t xml:space="preserve"> </w:t>
            </w:r>
            <w:r w:rsidR="00052ED1" w:rsidRPr="004909AC">
              <w:rPr>
                <w:rFonts w:eastAsia="Times New Roman"/>
                <w:sz w:val="20"/>
                <w:szCs w:val="20"/>
                <w:shd w:val="clear" w:color="auto" w:fill="FF0000"/>
              </w:rPr>
              <w:t>Text withheld to maintain commercial confidentiality</w:t>
            </w:r>
            <w:r w:rsidR="00052ED1" w:rsidRPr="00100F0A">
              <w:rPr>
                <w:rFonts w:asciiTheme="minorHAnsi" w:eastAsia="Times New Roman" w:hAnsiTheme="minorHAnsi" w:cstheme="minorHAnsi"/>
                <w:color w:val="000000"/>
                <w:sz w:val="18"/>
                <w:szCs w:val="18"/>
                <w:lang w:eastAsia="en-AU"/>
              </w:rPr>
              <w:t>.</w:t>
            </w:r>
          </w:p>
          <w:p w14:paraId="7EC24066" w14:textId="16A2865D" w:rsidR="00763475" w:rsidRPr="008C1B89" w:rsidRDefault="00763475" w:rsidP="00763475">
            <w:pPr>
              <w:rPr>
                <w:rFonts w:eastAsia="Times New Roman" w:cs="Calibri"/>
                <w:color w:val="000000"/>
                <w:sz w:val="20"/>
                <w:szCs w:val="20"/>
                <w:lang w:eastAsia="en-AU"/>
              </w:rPr>
            </w:pP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b/>
                <w:bCs/>
                <w:color w:val="000000"/>
                <w:sz w:val="20"/>
                <w:szCs w:val="20"/>
                <w:lang w:eastAsia="en-AU"/>
              </w:rPr>
              <w:t>Treatment</w:t>
            </w:r>
            <w:r w:rsidRPr="00100F0A">
              <w:rPr>
                <w:rFonts w:asciiTheme="minorHAnsi" w:eastAsia="Times New Roman" w:hAnsiTheme="minorHAnsi" w:cstheme="minorHAnsi"/>
                <w:color w:val="000000"/>
                <w:sz w:val="20"/>
                <w:szCs w:val="20"/>
                <w:lang w:eastAsia="en-AU"/>
              </w:rPr>
              <w:br/>
              <w:t>- CPT plant, OWT  and soil treatment capacity is likely to be sufficient.</w:t>
            </w:r>
            <w:r w:rsidRPr="00100F0A">
              <w:rPr>
                <w:rFonts w:asciiTheme="minorHAnsi" w:eastAsia="Times New Roman" w:hAnsiTheme="minorHAnsi" w:cstheme="minorHAnsi"/>
                <w:color w:val="000000"/>
                <w:sz w:val="20"/>
                <w:szCs w:val="20"/>
                <w:lang w:eastAsia="en-AU"/>
              </w:rPr>
              <w:br/>
              <w:t>- Clinical waste treatment capacity could be constrained by 2024 or 2022 if clinical waste grows strongly.</w:t>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b/>
                <w:bCs/>
                <w:color w:val="000000"/>
                <w:sz w:val="20"/>
                <w:szCs w:val="20"/>
                <w:lang w:eastAsia="en-AU"/>
              </w:rPr>
              <w:t>Disposal (landfill and thermal destruction)</w:t>
            </w:r>
            <w:r w:rsidRPr="00100F0A">
              <w:rPr>
                <w:rFonts w:asciiTheme="minorHAnsi" w:eastAsia="Times New Roman" w:hAnsiTheme="minorHAnsi" w:cstheme="minorHAnsi"/>
                <w:color w:val="000000"/>
                <w:sz w:val="20"/>
                <w:szCs w:val="20"/>
                <w:lang w:eastAsia="en-AU"/>
              </w:rPr>
              <w:br/>
              <w:t xml:space="preserve">- Hazwaste landfill could be constrained by 2020, under the best estimate projection, for annual disposal capacity, which could require a licence amendment or changes in site management to take more tonnages per year. </w:t>
            </w:r>
            <w:r w:rsidRPr="00100F0A">
              <w:rPr>
                <w:rFonts w:asciiTheme="minorHAnsi" w:eastAsia="Times New Roman" w:hAnsiTheme="minorHAnsi" w:cstheme="minorHAnsi"/>
                <w:color w:val="000000"/>
                <w:sz w:val="20"/>
                <w:szCs w:val="20"/>
                <w:lang w:eastAsia="en-AU"/>
              </w:rPr>
              <w:br/>
              <w:t xml:space="preserve">- </w:t>
            </w:r>
            <w:r>
              <w:rPr>
                <w:rFonts w:asciiTheme="minorHAnsi" w:eastAsia="Times New Roman" w:hAnsiTheme="minorHAnsi" w:cstheme="minorHAnsi"/>
                <w:color w:val="000000"/>
                <w:sz w:val="20"/>
                <w:szCs w:val="20"/>
                <w:lang w:eastAsia="en-AU"/>
              </w:rPr>
              <w:t>POP</w:t>
            </w:r>
            <w:r w:rsidRPr="00100F0A">
              <w:rPr>
                <w:rFonts w:asciiTheme="minorHAnsi" w:eastAsia="Times New Roman" w:hAnsiTheme="minorHAnsi" w:cstheme="minorHAnsi"/>
                <w:color w:val="000000"/>
                <w:sz w:val="20"/>
                <w:szCs w:val="20"/>
                <w:lang w:eastAsia="en-AU"/>
              </w:rPr>
              <w:t xml:space="preserve"> (PFOS, BDEs, HBCD, HCB) capacity is projected to be sufficient until 2020, when large tonnages of PFAS contaminated waste are projected to exceed the current permitted capacity in </w:t>
            </w:r>
            <w:r>
              <w:rPr>
                <w:rFonts w:asciiTheme="minorHAnsi" w:eastAsia="Times New Roman" w:hAnsiTheme="minorHAnsi" w:cstheme="minorHAnsi"/>
                <w:color w:val="000000"/>
                <w:sz w:val="20"/>
                <w:szCs w:val="20"/>
                <w:lang w:eastAsia="en-AU"/>
              </w:rPr>
              <w:t>Vic</w:t>
            </w:r>
            <w:r w:rsidRPr="00100F0A">
              <w:rPr>
                <w:rFonts w:asciiTheme="minorHAnsi" w:eastAsia="Times New Roman" w:hAnsiTheme="minorHAnsi" w:cstheme="minorHAnsi"/>
                <w:color w:val="000000"/>
                <w:sz w:val="20"/>
                <w:szCs w:val="20"/>
                <w:lang w:eastAsia="en-AU"/>
              </w:rPr>
              <w:t xml:space="preserve">. There may be additional and sufficient capacity within </w:t>
            </w:r>
            <w:r>
              <w:rPr>
                <w:rFonts w:asciiTheme="minorHAnsi" w:eastAsia="Times New Roman" w:hAnsiTheme="minorHAnsi" w:cstheme="minorHAnsi"/>
                <w:color w:val="000000"/>
                <w:sz w:val="20"/>
                <w:szCs w:val="20"/>
                <w:lang w:eastAsia="en-AU"/>
              </w:rPr>
              <w:t>Vic</w:t>
            </w:r>
            <w:r w:rsidRPr="00100F0A">
              <w:rPr>
                <w:rFonts w:asciiTheme="minorHAnsi" w:eastAsia="Times New Roman" w:hAnsiTheme="minorHAnsi" w:cstheme="minorHAnsi"/>
                <w:color w:val="000000"/>
                <w:sz w:val="20"/>
                <w:szCs w:val="20"/>
                <w:lang w:eastAsia="en-AU"/>
              </w:rPr>
              <w:t>'s soils treatment, clinical thermal destruction and cement kiln infrastructure (via Geocycle) (subject to demonstration of POP destruction and licence amendments).</w:t>
            </w:r>
            <w:r w:rsidRPr="00100F0A">
              <w:rPr>
                <w:rFonts w:asciiTheme="minorHAnsi" w:eastAsia="Times New Roman" w:hAnsiTheme="minorHAnsi" w:cstheme="minorHAnsi"/>
                <w:color w:val="000000"/>
                <w:sz w:val="20"/>
                <w:szCs w:val="20"/>
                <w:lang w:eastAsia="en-AU"/>
              </w:rPr>
              <w:br/>
              <w:t>- Clinical waste TD capacity should be sufficient for projection period.</w:t>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b/>
                <w:bCs/>
                <w:color w:val="000000"/>
                <w:sz w:val="20"/>
                <w:szCs w:val="20"/>
                <w:lang w:eastAsia="en-AU"/>
              </w:rPr>
              <w:t>Transfer station or temporary storage</w:t>
            </w:r>
            <w:r w:rsidRPr="00100F0A">
              <w:rPr>
                <w:rFonts w:asciiTheme="minorHAnsi" w:eastAsia="Times New Roman" w:hAnsiTheme="minorHAnsi" w:cstheme="minorHAnsi"/>
                <w:b/>
                <w:bCs/>
                <w:color w:val="000000"/>
                <w:sz w:val="20"/>
                <w:szCs w:val="20"/>
                <w:lang w:eastAsia="en-AU"/>
              </w:rPr>
              <w:br/>
            </w:r>
            <w:r w:rsidRPr="00100F0A">
              <w:rPr>
                <w:rFonts w:asciiTheme="minorHAnsi" w:eastAsia="Times New Roman" w:hAnsiTheme="minorHAnsi" w:cstheme="minorHAnsi"/>
                <w:color w:val="000000"/>
                <w:sz w:val="20"/>
                <w:szCs w:val="20"/>
                <w:lang w:eastAsia="en-AU"/>
              </w:rPr>
              <w:t xml:space="preserve">-  Vic's transfer capacity may already be exceeded, however, capacity estimates are incomplete due to limited infrastructure coverage and some capacity being provided within other infrastructure groups. The capacity of transfer infrastructure is also not fixed (i.e. capacity can be scaled up and down by simply increases the rate of loads transfers). </w:t>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b/>
                <w:bCs/>
                <w:color w:val="000000"/>
                <w:sz w:val="20"/>
                <w:szCs w:val="20"/>
                <w:lang w:eastAsia="en-AU"/>
              </w:rPr>
              <w:t>NEPM 2016-17</w:t>
            </w:r>
            <w:r w:rsidRPr="00100F0A">
              <w:rPr>
                <w:rFonts w:asciiTheme="minorHAnsi" w:eastAsia="Times New Roman" w:hAnsiTheme="minorHAnsi" w:cstheme="minorHAnsi"/>
                <w:color w:val="000000"/>
                <w:sz w:val="20"/>
                <w:szCs w:val="20"/>
                <w:lang w:eastAsia="en-AU"/>
              </w:rPr>
              <w:t xml:space="preserve"> showed a net export of 29 kt. Main exports included NEPM group acids and inorganic chemicals (lead from lead acid batteries sent to NSW for processing). Main imports included paints, solvents, soils and clinical wastes. </w:t>
            </w:r>
          </w:p>
        </w:tc>
      </w:tr>
      <w:tr w:rsidR="00F42A40" w:rsidRPr="008C1B89" w14:paraId="4A1976F8"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578A1434"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Hazardous waste packaging facility</w:t>
            </w:r>
          </w:p>
        </w:tc>
        <w:tc>
          <w:tcPr>
            <w:tcW w:w="891" w:type="dxa"/>
            <w:tcBorders>
              <w:top w:val="nil"/>
              <w:left w:val="nil"/>
              <w:bottom w:val="single" w:sz="4" w:space="0" w:color="BFBFBF"/>
              <w:right w:val="single" w:sz="4" w:space="0" w:color="BFBFBF"/>
            </w:tcBorders>
            <w:shd w:val="clear" w:color="000000" w:fill="FFFFFF"/>
            <w:noWrap/>
            <w:hideMark/>
          </w:tcPr>
          <w:p w14:paraId="6735E3EF" w14:textId="40330148" w:rsidR="00F42A40" w:rsidRPr="008C1B89" w:rsidRDefault="00F42A40" w:rsidP="00F42A40">
            <w:pPr>
              <w:jc w:val="right"/>
              <w:rPr>
                <w:rFonts w:eastAsia="Times New Roman" w:cs="Calibri"/>
                <w:color w:val="000000"/>
                <w:sz w:val="20"/>
                <w:szCs w:val="20"/>
                <w:lang w:eastAsia="en-AU"/>
              </w:rPr>
            </w:pPr>
            <w:r>
              <w:rPr>
                <w:color w:val="000000"/>
                <w:sz w:val="20"/>
                <w:szCs w:val="20"/>
              </w:rPr>
              <w:t>2,958</w:t>
            </w:r>
          </w:p>
        </w:tc>
        <w:tc>
          <w:tcPr>
            <w:tcW w:w="957" w:type="dxa"/>
            <w:tcBorders>
              <w:top w:val="nil"/>
              <w:left w:val="nil"/>
              <w:right w:val="single" w:sz="4" w:space="0" w:color="BFBFBF"/>
            </w:tcBorders>
            <w:shd w:val="clear" w:color="auto" w:fill="auto"/>
            <w:noWrap/>
            <w:vAlign w:val="center"/>
            <w:hideMark/>
          </w:tcPr>
          <w:p w14:paraId="197627E3" w14:textId="3DEACA0A"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23" w:type="dxa"/>
            <w:tcBorders>
              <w:top w:val="nil"/>
              <w:left w:val="nil"/>
              <w:right w:val="single" w:sz="4" w:space="0" w:color="BFBFBF"/>
            </w:tcBorders>
            <w:shd w:val="clear" w:color="auto" w:fill="auto"/>
            <w:noWrap/>
            <w:vAlign w:val="center"/>
            <w:hideMark/>
          </w:tcPr>
          <w:p w14:paraId="64E4DDB2" w14:textId="7355C330"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60" w:type="dxa"/>
            <w:tcBorders>
              <w:top w:val="nil"/>
              <w:left w:val="nil"/>
              <w:bottom w:val="single" w:sz="4" w:space="0" w:color="BFBFBF"/>
              <w:right w:val="single" w:sz="4" w:space="0" w:color="BFBFBF"/>
            </w:tcBorders>
            <w:shd w:val="clear" w:color="auto" w:fill="auto"/>
            <w:noWrap/>
            <w:hideMark/>
          </w:tcPr>
          <w:p w14:paraId="3B19D247" w14:textId="7817E2BB" w:rsidR="00F42A40" w:rsidRPr="008C1B89" w:rsidRDefault="00F42A40" w:rsidP="00F42A40">
            <w:pPr>
              <w:jc w:val="center"/>
              <w:rPr>
                <w:rFonts w:eastAsia="Times New Roman" w:cs="Calibri"/>
                <w:color w:val="000000"/>
                <w:sz w:val="20"/>
                <w:szCs w:val="20"/>
                <w:lang w:eastAsia="en-AU"/>
              </w:rPr>
            </w:pPr>
            <w:r>
              <w:rPr>
                <w:color w:val="000000"/>
                <w:sz w:val="20"/>
                <w:szCs w:val="20"/>
              </w:rPr>
              <w:t>Ok</w:t>
            </w:r>
          </w:p>
        </w:tc>
        <w:tc>
          <w:tcPr>
            <w:tcW w:w="739" w:type="dxa"/>
            <w:tcBorders>
              <w:top w:val="nil"/>
              <w:left w:val="nil"/>
              <w:bottom w:val="single" w:sz="4" w:space="0" w:color="BFBFBF"/>
              <w:right w:val="single" w:sz="4" w:space="0" w:color="BFBFBF"/>
            </w:tcBorders>
            <w:shd w:val="clear" w:color="000000" w:fill="FFFFFF"/>
            <w:noWrap/>
            <w:hideMark/>
          </w:tcPr>
          <w:p w14:paraId="68A4B4BF" w14:textId="476224DB"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39" w:type="dxa"/>
            <w:tcBorders>
              <w:top w:val="nil"/>
              <w:left w:val="nil"/>
              <w:bottom w:val="single" w:sz="4" w:space="0" w:color="BFBFBF"/>
              <w:right w:val="single" w:sz="4" w:space="0" w:color="BFBFBF"/>
            </w:tcBorders>
            <w:shd w:val="clear" w:color="000000" w:fill="FFFFFF"/>
            <w:noWrap/>
            <w:hideMark/>
          </w:tcPr>
          <w:p w14:paraId="11B7041E" w14:textId="1B2CC864"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39" w:type="dxa"/>
            <w:tcBorders>
              <w:top w:val="nil"/>
              <w:left w:val="nil"/>
              <w:bottom w:val="single" w:sz="4" w:space="0" w:color="BFBFBF"/>
              <w:right w:val="single" w:sz="4" w:space="0" w:color="BFBFBF"/>
            </w:tcBorders>
            <w:shd w:val="clear" w:color="000000" w:fill="FFFFFF"/>
            <w:noWrap/>
            <w:hideMark/>
          </w:tcPr>
          <w:p w14:paraId="3525A89F" w14:textId="20106E36"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151" w:type="dxa"/>
            <w:vMerge/>
            <w:tcBorders>
              <w:top w:val="single" w:sz="4" w:space="0" w:color="808080"/>
              <w:left w:val="single" w:sz="4" w:space="0" w:color="BFBFBF"/>
              <w:bottom w:val="single" w:sz="4" w:space="0" w:color="BFBFBF"/>
              <w:right w:val="single" w:sz="4" w:space="0" w:color="BFBFBF"/>
            </w:tcBorders>
            <w:vAlign w:val="center"/>
            <w:hideMark/>
          </w:tcPr>
          <w:p w14:paraId="00C2BEAC" w14:textId="77777777" w:rsidR="00F42A40" w:rsidRPr="008C1B89" w:rsidRDefault="00F42A40" w:rsidP="00F42A40">
            <w:pPr>
              <w:rPr>
                <w:rFonts w:eastAsia="Times New Roman" w:cs="Calibri"/>
                <w:color w:val="000000"/>
                <w:sz w:val="20"/>
                <w:szCs w:val="20"/>
                <w:lang w:eastAsia="en-AU"/>
              </w:rPr>
            </w:pPr>
          </w:p>
        </w:tc>
      </w:tr>
      <w:tr w:rsidR="00F42A40" w:rsidRPr="008C1B89" w14:paraId="7427A738"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4DF5E18F"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E-waste facility</w:t>
            </w:r>
          </w:p>
        </w:tc>
        <w:tc>
          <w:tcPr>
            <w:tcW w:w="891" w:type="dxa"/>
            <w:tcBorders>
              <w:top w:val="nil"/>
              <w:left w:val="nil"/>
              <w:bottom w:val="single" w:sz="4" w:space="0" w:color="BFBFBF"/>
              <w:right w:val="single" w:sz="4" w:space="0" w:color="BFBFBF"/>
            </w:tcBorders>
            <w:shd w:val="clear" w:color="000000" w:fill="FFFFFF"/>
            <w:noWrap/>
            <w:hideMark/>
          </w:tcPr>
          <w:p w14:paraId="6CDB0B9B" w14:textId="3160C4D7" w:rsidR="00F42A40" w:rsidRPr="008C1B89" w:rsidRDefault="00F42A40" w:rsidP="00F42A40">
            <w:pPr>
              <w:jc w:val="right"/>
              <w:rPr>
                <w:rFonts w:eastAsia="Times New Roman" w:cs="Calibri"/>
                <w:color w:val="000000"/>
                <w:sz w:val="20"/>
                <w:szCs w:val="20"/>
                <w:lang w:eastAsia="en-AU"/>
              </w:rPr>
            </w:pPr>
            <w:r>
              <w:rPr>
                <w:color w:val="000000"/>
                <w:sz w:val="20"/>
                <w:szCs w:val="20"/>
              </w:rPr>
              <w:t>943</w:t>
            </w:r>
          </w:p>
        </w:tc>
        <w:tc>
          <w:tcPr>
            <w:tcW w:w="957" w:type="dxa"/>
            <w:tcBorders>
              <w:left w:val="nil"/>
              <w:right w:val="single" w:sz="4" w:space="0" w:color="BFBFBF"/>
            </w:tcBorders>
            <w:shd w:val="clear" w:color="auto" w:fill="auto"/>
            <w:noWrap/>
            <w:vAlign w:val="center"/>
            <w:hideMark/>
          </w:tcPr>
          <w:p w14:paraId="2A591F4A" w14:textId="3C2DF54F" w:rsidR="00F42A40" w:rsidRPr="008C1B89" w:rsidRDefault="00F42A40" w:rsidP="009D734D">
            <w:pPr>
              <w:jc w:val="center"/>
              <w:rPr>
                <w:rFonts w:eastAsia="Times New Roman" w:cs="Calibri"/>
                <w:color w:val="000000"/>
                <w:sz w:val="20"/>
                <w:szCs w:val="20"/>
                <w:lang w:eastAsia="en-AU"/>
              </w:rPr>
            </w:pPr>
          </w:p>
        </w:tc>
        <w:tc>
          <w:tcPr>
            <w:tcW w:w="1023" w:type="dxa"/>
            <w:tcBorders>
              <w:left w:val="nil"/>
              <w:right w:val="single" w:sz="4" w:space="0" w:color="BFBFBF"/>
            </w:tcBorders>
            <w:shd w:val="clear" w:color="auto" w:fill="auto"/>
            <w:noWrap/>
            <w:vAlign w:val="center"/>
            <w:hideMark/>
          </w:tcPr>
          <w:p w14:paraId="3812159A" w14:textId="4A28AEB1" w:rsidR="00F42A40" w:rsidRPr="008C1B89" w:rsidRDefault="00F42A40" w:rsidP="009D734D">
            <w:pPr>
              <w:jc w:val="center"/>
              <w:rPr>
                <w:rFonts w:eastAsia="Times New Roman" w:cs="Calibri"/>
                <w:color w:val="000000"/>
                <w:sz w:val="20"/>
                <w:szCs w:val="20"/>
                <w:lang w:eastAsia="en-AU"/>
              </w:rPr>
            </w:pPr>
          </w:p>
        </w:tc>
        <w:tc>
          <w:tcPr>
            <w:tcW w:w="960" w:type="dxa"/>
            <w:tcBorders>
              <w:top w:val="nil"/>
              <w:left w:val="nil"/>
              <w:bottom w:val="single" w:sz="4" w:space="0" w:color="BFBFBF"/>
              <w:right w:val="single" w:sz="4" w:space="0" w:color="BFBFBF"/>
            </w:tcBorders>
            <w:shd w:val="clear" w:color="auto" w:fill="auto"/>
            <w:noWrap/>
            <w:hideMark/>
          </w:tcPr>
          <w:p w14:paraId="28D385DF" w14:textId="4F9B6B35"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39" w:type="dxa"/>
            <w:tcBorders>
              <w:top w:val="nil"/>
              <w:left w:val="nil"/>
              <w:bottom w:val="single" w:sz="4" w:space="0" w:color="BFBFBF"/>
              <w:right w:val="single" w:sz="4" w:space="0" w:color="BFBFBF"/>
            </w:tcBorders>
            <w:shd w:val="clear" w:color="000000" w:fill="FFFFFF"/>
            <w:noWrap/>
            <w:hideMark/>
          </w:tcPr>
          <w:p w14:paraId="55C37615" w14:textId="186CABBE" w:rsidR="00F42A40" w:rsidRPr="008C1B89" w:rsidRDefault="00F42A40" w:rsidP="00F42A40">
            <w:pPr>
              <w:jc w:val="center"/>
              <w:rPr>
                <w:rFonts w:eastAsia="Times New Roman" w:cs="Calibri"/>
                <w:color w:val="000000"/>
                <w:sz w:val="20"/>
                <w:szCs w:val="20"/>
                <w:lang w:eastAsia="en-AU"/>
              </w:rPr>
            </w:pPr>
            <w:r>
              <w:rPr>
                <w:color w:val="000000"/>
                <w:sz w:val="20"/>
                <w:szCs w:val="20"/>
              </w:rPr>
              <w:t>2036</w:t>
            </w:r>
          </w:p>
        </w:tc>
        <w:tc>
          <w:tcPr>
            <w:tcW w:w="739" w:type="dxa"/>
            <w:tcBorders>
              <w:top w:val="nil"/>
              <w:left w:val="nil"/>
              <w:bottom w:val="single" w:sz="4" w:space="0" w:color="BFBFBF"/>
              <w:right w:val="single" w:sz="4" w:space="0" w:color="BFBFBF"/>
            </w:tcBorders>
            <w:shd w:val="clear" w:color="000000" w:fill="FFFFFF"/>
            <w:noWrap/>
            <w:hideMark/>
          </w:tcPr>
          <w:p w14:paraId="4695D4B4" w14:textId="1C05698C" w:rsidR="00F42A40" w:rsidRPr="008C1B89" w:rsidRDefault="00F42A40" w:rsidP="00F42A40">
            <w:pPr>
              <w:jc w:val="center"/>
              <w:rPr>
                <w:rFonts w:eastAsia="Times New Roman" w:cs="Calibri"/>
                <w:color w:val="000000"/>
                <w:sz w:val="20"/>
                <w:szCs w:val="20"/>
                <w:lang w:eastAsia="en-AU"/>
              </w:rPr>
            </w:pPr>
            <w:r>
              <w:rPr>
                <w:color w:val="000000"/>
                <w:sz w:val="20"/>
                <w:szCs w:val="20"/>
              </w:rPr>
              <w:t>2034</w:t>
            </w:r>
          </w:p>
        </w:tc>
        <w:tc>
          <w:tcPr>
            <w:tcW w:w="739" w:type="dxa"/>
            <w:tcBorders>
              <w:top w:val="nil"/>
              <w:left w:val="nil"/>
              <w:bottom w:val="single" w:sz="4" w:space="0" w:color="BFBFBF"/>
              <w:right w:val="single" w:sz="4" w:space="0" w:color="BFBFBF"/>
            </w:tcBorders>
            <w:shd w:val="clear" w:color="000000" w:fill="FFFFFF"/>
            <w:noWrap/>
            <w:hideMark/>
          </w:tcPr>
          <w:p w14:paraId="7D0DC565" w14:textId="16AEEB51"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151" w:type="dxa"/>
            <w:vMerge/>
            <w:tcBorders>
              <w:top w:val="single" w:sz="4" w:space="0" w:color="808080"/>
              <w:left w:val="single" w:sz="4" w:space="0" w:color="BFBFBF"/>
              <w:bottom w:val="single" w:sz="4" w:space="0" w:color="BFBFBF"/>
              <w:right w:val="single" w:sz="4" w:space="0" w:color="BFBFBF"/>
            </w:tcBorders>
            <w:vAlign w:val="center"/>
            <w:hideMark/>
          </w:tcPr>
          <w:p w14:paraId="145AA2E3" w14:textId="77777777" w:rsidR="00F42A40" w:rsidRPr="008C1B89" w:rsidRDefault="00F42A40" w:rsidP="00F42A40">
            <w:pPr>
              <w:rPr>
                <w:rFonts w:eastAsia="Times New Roman" w:cs="Calibri"/>
                <w:color w:val="000000"/>
                <w:sz w:val="20"/>
                <w:szCs w:val="20"/>
                <w:lang w:eastAsia="en-AU"/>
              </w:rPr>
            </w:pPr>
          </w:p>
        </w:tc>
      </w:tr>
      <w:tr w:rsidR="00F42A40" w:rsidRPr="008C1B89" w14:paraId="2C3152E5"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3046F77F"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Oil re-refining facility</w:t>
            </w:r>
          </w:p>
        </w:tc>
        <w:tc>
          <w:tcPr>
            <w:tcW w:w="891" w:type="dxa"/>
            <w:tcBorders>
              <w:top w:val="nil"/>
              <w:left w:val="nil"/>
              <w:bottom w:val="single" w:sz="4" w:space="0" w:color="BFBFBF"/>
              <w:right w:val="single" w:sz="4" w:space="0" w:color="BFBFBF"/>
            </w:tcBorders>
            <w:shd w:val="clear" w:color="000000" w:fill="FFFFFF"/>
            <w:noWrap/>
            <w:hideMark/>
          </w:tcPr>
          <w:p w14:paraId="2D918932" w14:textId="4F863287" w:rsidR="00F42A40" w:rsidRPr="008C1B89" w:rsidRDefault="00F42A40" w:rsidP="00F42A40">
            <w:pPr>
              <w:jc w:val="right"/>
              <w:rPr>
                <w:rFonts w:eastAsia="Times New Roman" w:cs="Calibri"/>
                <w:color w:val="000000"/>
                <w:sz w:val="20"/>
                <w:szCs w:val="20"/>
                <w:lang w:eastAsia="en-AU"/>
              </w:rPr>
            </w:pPr>
            <w:r>
              <w:rPr>
                <w:color w:val="000000"/>
                <w:sz w:val="20"/>
                <w:szCs w:val="20"/>
              </w:rPr>
              <w:t>34,375</w:t>
            </w:r>
          </w:p>
        </w:tc>
        <w:tc>
          <w:tcPr>
            <w:tcW w:w="957" w:type="dxa"/>
            <w:tcBorders>
              <w:left w:val="nil"/>
              <w:right w:val="single" w:sz="4" w:space="0" w:color="BFBFBF"/>
            </w:tcBorders>
            <w:shd w:val="clear" w:color="auto" w:fill="auto"/>
            <w:noWrap/>
            <w:vAlign w:val="center"/>
            <w:hideMark/>
          </w:tcPr>
          <w:p w14:paraId="434916A2" w14:textId="15C291B9" w:rsidR="00F42A40" w:rsidRPr="008C1B89" w:rsidRDefault="00F42A40" w:rsidP="009D734D">
            <w:pPr>
              <w:jc w:val="center"/>
              <w:rPr>
                <w:rFonts w:eastAsia="Times New Roman" w:cs="Calibri"/>
                <w:color w:val="000000"/>
                <w:sz w:val="20"/>
                <w:szCs w:val="20"/>
                <w:lang w:eastAsia="en-AU"/>
              </w:rPr>
            </w:pPr>
          </w:p>
        </w:tc>
        <w:tc>
          <w:tcPr>
            <w:tcW w:w="1023" w:type="dxa"/>
            <w:tcBorders>
              <w:left w:val="nil"/>
              <w:right w:val="single" w:sz="4" w:space="0" w:color="BFBFBF"/>
            </w:tcBorders>
            <w:shd w:val="clear" w:color="auto" w:fill="auto"/>
            <w:noWrap/>
            <w:vAlign w:val="center"/>
            <w:hideMark/>
          </w:tcPr>
          <w:p w14:paraId="65F62C07" w14:textId="645D1C61" w:rsidR="00F42A40" w:rsidRPr="008C1B89" w:rsidRDefault="00F42A40" w:rsidP="009D734D">
            <w:pPr>
              <w:jc w:val="center"/>
              <w:rPr>
                <w:rFonts w:eastAsia="Times New Roman" w:cs="Calibri"/>
                <w:color w:val="000000"/>
                <w:sz w:val="20"/>
                <w:szCs w:val="20"/>
                <w:lang w:eastAsia="en-AU"/>
              </w:rPr>
            </w:pPr>
          </w:p>
        </w:tc>
        <w:tc>
          <w:tcPr>
            <w:tcW w:w="960" w:type="dxa"/>
            <w:tcBorders>
              <w:top w:val="nil"/>
              <w:left w:val="nil"/>
              <w:bottom w:val="single" w:sz="4" w:space="0" w:color="BFBFBF"/>
              <w:right w:val="single" w:sz="4" w:space="0" w:color="BFBFBF"/>
            </w:tcBorders>
            <w:shd w:val="clear" w:color="auto" w:fill="auto"/>
            <w:noWrap/>
            <w:hideMark/>
          </w:tcPr>
          <w:p w14:paraId="3003E6F4" w14:textId="6AE3A7FC"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39" w:type="dxa"/>
            <w:tcBorders>
              <w:top w:val="nil"/>
              <w:left w:val="nil"/>
              <w:bottom w:val="single" w:sz="4" w:space="0" w:color="BFBFBF"/>
              <w:right w:val="single" w:sz="4" w:space="0" w:color="BFBFBF"/>
            </w:tcBorders>
            <w:shd w:val="clear" w:color="000000" w:fill="FFFFFF"/>
            <w:noWrap/>
            <w:hideMark/>
          </w:tcPr>
          <w:p w14:paraId="20BFF363" w14:textId="3AB065AF"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739" w:type="dxa"/>
            <w:tcBorders>
              <w:top w:val="nil"/>
              <w:left w:val="nil"/>
              <w:bottom w:val="single" w:sz="4" w:space="0" w:color="BFBFBF"/>
              <w:right w:val="single" w:sz="4" w:space="0" w:color="BFBFBF"/>
            </w:tcBorders>
            <w:shd w:val="clear" w:color="000000" w:fill="FFFFFF"/>
            <w:noWrap/>
            <w:hideMark/>
          </w:tcPr>
          <w:p w14:paraId="7EE8E125" w14:textId="1C39BD39"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739" w:type="dxa"/>
            <w:tcBorders>
              <w:top w:val="nil"/>
              <w:left w:val="nil"/>
              <w:bottom w:val="single" w:sz="4" w:space="0" w:color="BFBFBF"/>
              <w:right w:val="single" w:sz="4" w:space="0" w:color="BFBFBF"/>
            </w:tcBorders>
            <w:shd w:val="clear" w:color="000000" w:fill="FFFFFF"/>
            <w:noWrap/>
            <w:hideMark/>
          </w:tcPr>
          <w:p w14:paraId="471253E2" w14:textId="6E1CF498"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5151" w:type="dxa"/>
            <w:vMerge/>
            <w:tcBorders>
              <w:top w:val="single" w:sz="4" w:space="0" w:color="808080"/>
              <w:left w:val="single" w:sz="4" w:space="0" w:color="BFBFBF"/>
              <w:bottom w:val="single" w:sz="4" w:space="0" w:color="BFBFBF"/>
              <w:right w:val="single" w:sz="4" w:space="0" w:color="BFBFBF"/>
            </w:tcBorders>
            <w:vAlign w:val="center"/>
            <w:hideMark/>
          </w:tcPr>
          <w:p w14:paraId="2528E04B" w14:textId="77777777" w:rsidR="00F42A40" w:rsidRPr="008C1B89" w:rsidRDefault="00F42A40" w:rsidP="00F42A40">
            <w:pPr>
              <w:rPr>
                <w:rFonts w:eastAsia="Times New Roman" w:cs="Calibri"/>
                <w:color w:val="000000"/>
                <w:sz w:val="20"/>
                <w:szCs w:val="20"/>
                <w:lang w:eastAsia="en-AU"/>
              </w:rPr>
            </w:pPr>
          </w:p>
        </w:tc>
      </w:tr>
      <w:tr w:rsidR="00F42A40" w:rsidRPr="008C1B89" w14:paraId="004570BE"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7B45F720"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Lead facility</w:t>
            </w:r>
          </w:p>
        </w:tc>
        <w:tc>
          <w:tcPr>
            <w:tcW w:w="891" w:type="dxa"/>
            <w:tcBorders>
              <w:top w:val="nil"/>
              <w:left w:val="nil"/>
              <w:bottom w:val="single" w:sz="4" w:space="0" w:color="BFBFBF"/>
              <w:right w:val="single" w:sz="4" w:space="0" w:color="BFBFBF"/>
            </w:tcBorders>
            <w:shd w:val="clear" w:color="000000" w:fill="FFFFFF"/>
            <w:noWrap/>
            <w:hideMark/>
          </w:tcPr>
          <w:p w14:paraId="462681F5" w14:textId="67E05098" w:rsidR="00F42A40" w:rsidRPr="008C1B89" w:rsidRDefault="00F42A40" w:rsidP="00F42A40">
            <w:pPr>
              <w:jc w:val="right"/>
              <w:rPr>
                <w:rFonts w:eastAsia="Times New Roman" w:cs="Calibri"/>
                <w:color w:val="000000"/>
                <w:sz w:val="20"/>
                <w:szCs w:val="20"/>
                <w:lang w:eastAsia="en-AU"/>
              </w:rPr>
            </w:pPr>
            <w:r>
              <w:rPr>
                <w:color w:val="000000"/>
                <w:sz w:val="20"/>
                <w:szCs w:val="20"/>
              </w:rPr>
              <w:t>0</w:t>
            </w:r>
          </w:p>
        </w:tc>
        <w:tc>
          <w:tcPr>
            <w:tcW w:w="957" w:type="dxa"/>
            <w:tcBorders>
              <w:left w:val="nil"/>
              <w:right w:val="single" w:sz="4" w:space="0" w:color="BFBFBF"/>
            </w:tcBorders>
            <w:shd w:val="clear" w:color="auto" w:fill="auto"/>
            <w:noWrap/>
            <w:vAlign w:val="center"/>
            <w:hideMark/>
          </w:tcPr>
          <w:p w14:paraId="4E546D3E" w14:textId="63169B97" w:rsidR="00F42A40" w:rsidRPr="008C1B89" w:rsidRDefault="00F42A40" w:rsidP="009D734D">
            <w:pPr>
              <w:jc w:val="center"/>
              <w:rPr>
                <w:rFonts w:eastAsia="Times New Roman" w:cs="Calibri"/>
                <w:color w:val="000000"/>
                <w:sz w:val="20"/>
                <w:szCs w:val="20"/>
                <w:lang w:eastAsia="en-AU"/>
              </w:rPr>
            </w:pPr>
          </w:p>
        </w:tc>
        <w:tc>
          <w:tcPr>
            <w:tcW w:w="1023" w:type="dxa"/>
            <w:tcBorders>
              <w:left w:val="nil"/>
              <w:right w:val="single" w:sz="4" w:space="0" w:color="BFBFBF"/>
            </w:tcBorders>
            <w:shd w:val="clear" w:color="auto" w:fill="auto"/>
            <w:noWrap/>
            <w:vAlign w:val="center"/>
            <w:hideMark/>
          </w:tcPr>
          <w:p w14:paraId="17EFCA2E" w14:textId="755BCE56" w:rsidR="00F42A40" w:rsidRPr="008C1B89" w:rsidRDefault="00F42A40" w:rsidP="009D734D">
            <w:pPr>
              <w:jc w:val="center"/>
              <w:rPr>
                <w:rFonts w:eastAsia="Times New Roman" w:cs="Calibri"/>
                <w:color w:val="000000"/>
                <w:sz w:val="20"/>
                <w:szCs w:val="20"/>
                <w:lang w:eastAsia="en-AU"/>
              </w:rPr>
            </w:pPr>
          </w:p>
        </w:tc>
        <w:tc>
          <w:tcPr>
            <w:tcW w:w="960" w:type="dxa"/>
            <w:tcBorders>
              <w:top w:val="nil"/>
              <w:left w:val="nil"/>
              <w:bottom w:val="single" w:sz="4" w:space="0" w:color="BFBFBF"/>
              <w:right w:val="single" w:sz="4" w:space="0" w:color="BFBFBF"/>
            </w:tcBorders>
            <w:shd w:val="clear" w:color="auto" w:fill="auto"/>
            <w:noWrap/>
            <w:hideMark/>
          </w:tcPr>
          <w:p w14:paraId="652BF457" w14:textId="1D0DF603"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2499F32" w14:textId="3BA397F9"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3D6D2917" w14:textId="0E09FEDB"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1FCE2EB9" w14:textId="3082D168"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51" w:type="dxa"/>
            <w:vMerge/>
            <w:tcBorders>
              <w:top w:val="single" w:sz="4" w:space="0" w:color="808080"/>
              <w:left w:val="single" w:sz="4" w:space="0" w:color="BFBFBF"/>
              <w:bottom w:val="single" w:sz="4" w:space="0" w:color="BFBFBF"/>
              <w:right w:val="single" w:sz="4" w:space="0" w:color="BFBFBF"/>
            </w:tcBorders>
            <w:vAlign w:val="center"/>
            <w:hideMark/>
          </w:tcPr>
          <w:p w14:paraId="43E3411B" w14:textId="77777777" w:rsidR="00F42A40" w:rsidRPr="008C1B89" w:rsidRDefault="00F42A40" w:rsidP="00F42A40">
            <w:pPr>
              <w:rPr>
                <w:rFonts w:eastAsia="Times New Roman" w:cs="Calibri"/>
                <w:color w:val="000000"/>
                <w:sz w:val="20"/>
                <w:szCs w:val="20"/>
                <w:lang w:eastAsia="en-AU"/>
              </w:rPr>
            </w:pPr>
          </w:p>
        </w:tc>
      </w:tr>
      <w:tr w:rsidR="00F42A40" w:rsidRPr="008C1B89" w14:paraId="22F9AA5D"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302EAE4"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Mercury facility</w:t>
            </w:r>
          </w:p>
        </w:tc>
        <w:tc>
          <w:tcPr>
            <w:tcW w:w="891" w:type="dxa"/>
            <w:tcBorders>
              <w:top w:val="nil"/>
              <w:left w:val="nil"/>
              <w:bottom w:val="single" w:sz="4" w:space="0" w:color="BFBFBF"/>
              <w:right w:val="single" w:sz="4" w:space="0" w:color="BFBFBF"/>
            </w:tcBorders>
            <w:shd w:val="clear" w:color="000000" w:fill="FFFFFF"/>
            <w:noWrap/>
            <w:hideMark/>
          </w:tcPr>
          <w:p w14:paraId="21F9D358" w14:textId="25A83EF3" w:rsidR="00F42A40" w:rsidRPr="008C1B89" w:rsidRDefault="00F42A40" w:rsidP="00F42A40">
            <w:pPr>
              <w:jc w:val="right"/>
              <w:rPr>
                <w:rFonts w:eastAsia="Times New Roman" w:cs="Calibri"/>
                <w:color w:val="000000"/>
                <w:sz w:val="20"/>
                <w:szCs w:val="20"/>
                <w:lang w:eastAsia="en-AU"/>
              </w:rPr>
            </w:pPr>
            <w:r>
              <w:rPr>
                <w:color w:val="000000"/>
                <w:sz w:val="20"/>
                <w:szCs w:val="20"/>
              </w:rPr>
              <w:t>4</w:t>
            </w:r>
          </w:p>
        </w:tc>
        <w:tc>
          <w:tcPr>
            <w:tcW w:w="957" w:type="dxa"/>
            <w:tcBorders>
              <w:left w:val="nil"/>
              <w:right w:val="single" w:sz="4" w:space="0" w:color="BFBFBF"/>
            </w:tcBorders>
            <w:shd w:val="clear" w:color="auto" w:fill="auto"/>
            <w:noWrap/>
            <w:vAlign w:val="center"/>
            <w:hideMark/>
          </w:tcPr>
          <w:p w14:paraId="082DA6C2" w14:textId="5E07BB51" w:rsidR="00F42A40" w:rsidRPr="008C1B89" w:rsidRDefault="00F42A40" w:rsidP="009D734D">
            <w:pPr>
              <w:jc w:val="center"/>
              <w:rPr>
                <w:rFonts w:eastAsia="Times New Roman" w:cs="Calibri"/>
                <w:color w:val="000000"/>
                <w:sz w:val="20"/>
                <w:szCs w:val="20"/>
                <w:lang w:eastAsia="en-AU"/>
              </w:rPr>
            </w:pPr>
          </w:p>
        </w:tc>
        <w:tc>
          <w:tcPr>
            <w:tcW w:w="1023" w:type="dxa"/>
            <w:tcBorders>
              <w:left w:val="nil"/>
              <w:right w:val="single" w:sz="4" w:space="0" w:color="BFBFBF"/>
            </w:tcBorders>
            <w:shd w:val="clear" w:color="auto" w:fill="auto"/>
            <w:noWrap/>
            <w:vAlign w:val="center"/>
            <w:hideMark/>
          </w:tcPr>
          <w:p w14:paraId="5A632539" w14:textId="69A9F8DA" w:rsidR="00F42A40" w:rsidRPr="008C1B89" w:rsidRDefault="00F42A40" w:rsidP="009D734D">
            <w:pPr>
              <w:jc w:val="center"/>
              <w:rPr>
                <w:rFonts w:eastAsia="Times New Roman" w:cs="Calibri"/>
                <w:color w:val="000000"/>
                <w:sz w:val="20"/>
                <w:szCs w:val="20"/>
                <w:lang w:eastAsia="en-AU"/>
              </w:rPr>
            </w:pPr>
          </w:p>
        </w:tc>
        <w:tc>
          <w:tcPr>
            <w:tcW w:w="960" w:type="dxa"/>
            <w:tcBorders>
              <w:top w:val="nil"/>
              <w:left w:val="nil"/>
              <w:bottom w:val="single" w:sz="4" w:space="0" w:color="BFBFBF"/>
              <w:right w:val="single" w:sz="4" w:space="0" w:color="BFBFBF"/>
            </w:tcBorders>
            <w:shd w:val="clear" w:color="auto" w:fill="auto"/>
            <w:noWrap/>
            <w:hideMark/>
          </w:tcPr>
          <w:p w14:paraId="2897DB81" w14:textId="4BD43269"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39" w:type="dxa"/>
            <w:tcBorders>
              <w:top w:val="nil"/>
              <w:left w:val="nil"/>
              <w:bottom w:val="single" w:sz="4" w:space="0" w:color="BFBFBF"/>
              <w:right w:val="single" w:sz="4" w:space="0" w:color="BFBFBF"/>
            </w:tcBorders>
            <w:shd w:val="clear" w:color="000000" w:fill="FFFFFF"/>
            <w:noWrap/>
            <w:hideMark/>
          </w:tcPr>
          <w:p w14:paraId="64CCB349" w14:textId="269EBF63"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39" w:type="dxa"/>
            <w:tcBorders>
              <w:top w:val="nil"/>
              <w:left w:val="nil"/>
              <w:bottom w:val="single" w:sz="4" w:space="0" w:color="BFBFBF"/>
              <w:right w:val="single" w:sz="4" w:space="0" w:color="BFBFBF"/>
            </w:tcBorders>
            <w:shd w:val="clear" w:color="000000" w:fill="FFFFFF"/>
            <w:noWrap/>
            <w:hideMark/>
          </w:tcPr>
          <w:p w14:paraId="1C06E60B" w14:textId="3320F941"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39" w:type="dxa"/>
            <w:tcBorders>
              <w:top w:val="nil"/>
              <w:left w:val="nil"/>
              <w:bottom w:val="single" w:sz="4" w:space="0" w:color="BFBFBF"/>
              <w:right w:val="single" w:sz="4" w:space="0" w:color="BFBFBF"/>
            </w:tcBorders>
            <w:shd w:val="clear" w:color="000000" w:fill="FFFFFF"/>
            <w:noWrap/>
            <w:hideMark/>
          </w:tcPr>
          <w:p w14:paraId="4FB3E466" w14:textId="1307069C"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151" w:type="dxa"/>
            <w:vMerge/>
            <w:tcBorders>
              <w:top w:val="single" w:sz="4" w:space="0" w:color="808080"/>
              <w:left w:val="single" w:sz="4" w:space="0" w:color="BFBFBF"/>
              <w:bottom w:val="single" w:sz="4" w:space="0" w:color="BFBFBF"/>
              <w:right w:val="single" w:sz="4" w:space="0" w:color="BFBFBF"/>
            </w:tcBorders>
            <w:vAlign w:val="center"/>
            <w:hideMark/>
          </w:tcPr>
          <w:p w14:paraId="434E03EE" w14:textId="77777777" w:rsidR="00F42A40" w:rsidRPr="008C1B89" w:rsidRDefault="00F42A40" w:rsidP="00F42A40">
            <w:pPr>
              <w:rPr>
                <w:rFonts w:eastAsia="Times New Roman" w:cs="Calibri"/>
                <w:color w:val="000000"/>
                <w:sz w:val="20"/>
                <w:szCs w:val="20"/>
                <w:lang w:eastAsia="en-AU"/>
              </w:rPr>
            </w:pPr>
          </w:p>
        </w:tc>
      </w:tr>
      <w:tr w:rsidR="00F42A40" w:rsidRPr="008C1B89" w14:paraId="44B57F28"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5F0970A6"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Solvents/paints/organic chemicals facility</w:t>
            </w:r>
          </w:p>
        </w:tc>
        <w:tc>
          <w:tcPr>
            <w:tcW w:w="891" w:type="dxa"/>
            <w:tcBorders>
              <w:top w:val="nil"/>
              <w:left w:val="nil"/>
              <w:bottom w:val="single" w:sz="4" w:space="0" w:color="BFBFBF"/>
              <w:right w:val="single" w:sz="4" w:space="0" w:color="BFBFBF"/>
            </w:tcBorders>
            <w:shd w:val="clear" w:color="000000" w:fill="FFFFFF"/>
            <w:noWrap/>
            <w:hideMark/>
          </w:tcPr>
          <w:p w14:paraId="0833795C" w14:textId="0F9559E7" w:rsidR="00F42A40" w:rsidRPr="008C1B89" w:rsidRDefault="00F42A40" w:rsidP="00F42A40">
            <w:pPr>
              <w:jc w:val="right"/>
              <w:rPr>
                <w:rFonts w:eastAsia="Times New Roman" w:cs="Calibri"/>
                <w:color w:val="000000"/>
                <w:sz w:val="20"/>
                <w:szCs w:val="20"/>
                <w:lang w:eastAsia="en-AU"/>
              </w:rPr>
            </w:pPr>
            <w:r>
              <w:rPr>
                <w:color w:val="000000"/>
                <w:sz w:val="20"/>
                <w:szCs w:val="20"/>
              </w:rPr>
              <w:t>19,181</w:t>
            </w:r>
          </w:p>
        </w:tc>
        <w:tc>
          <w:tcPr>
            <w:tcW w:w="957" w:type="dxa"/>
            <w:tcBorders>
              <w:left w:val="nil"/>
              <w:right w:val="single" w:sz="4" w:space="0" w:color="BFBFBF"/>
            </w:tcBorders>
            <w:shd w:val="clear" w:color="auto" w:fill="auto"/>
            <w:noWrap/>
            <w:vAlign w:val="center"/>
            <w:hideMark/>
          </w:tcPr>
          <w:p w14:paraId="39C364DC" w14:textId="38BCA8A6" w:rsidR="00F42A40" w:rsidRPr="008C1B89" w:rsidRDefault="00F42A40" w:rsidP="009D734D">
            <w:pPr>
              <w:jc w:val="center"/>
              <w:rPr>
                <w:rFonts w:eastAsia="Times New Roman" w:cs="Calibri"/>
                <w:color w:val="000000"/>
                <w:sz w:val="20"/>
                <w:szCs w:val="20"/>
                <w:lang w:eastAsia="en-AU"/>
              </w:rPr>
            </w:pPr>
          </w:p>
        </w:tc>
        <w:tc>
          <w:tcPr>
            <w:tcW w:w="1023" w:type="dxa"/>
            <w:tcBorders>
              <w:left w:val="nil"/>
              <w:right w:val="single" w:sz="4" w:space="0" w:color="BFBFBF"/>
            </w:tcBorders>
            <w:shd w:val="clear" w:color="auto" w:fill="auto"/>
            <w:noWrap/>
            <w:vAlign w:val="center"/>
            <w:hideMark/>
          </w:tcPr>
          <w:p w14:paraId="18012CBB" w14:textId="389EBFE6" w:rsidR="00F42A40" w:rsidRPr="008C1B89" w:rsidRDefault="00F42A40" w:rsidP="009D734D">
            <w:pPr>
              <w:jc w:val="center"/>
              <w:rPr>
                <w:rFonts w:eastAsia="Times New Roman" w:cs="Calibri"/>
                <w:color w:val="000000"/>
                <w:sz w:val="20"/>
                <w:szCs w:val="20"/>
                <w:lang w:eastAsia="en-AU"/>
              </w:rPr>
            </w:pPr>
          </w:p>
        </w:tc>
        <w:tc>
          <w:tcPr>
            <w:tcW w:w="960" w:type="dxa"/>
            <w:tcBorders>
              <w:top w:val="nil"/>
              <w:left w:val="nil"/>
              <w:bottom w:val="single" w:sz="4" w:space="0" w:color="BFBFBF"/>
              <w:right w:val="single" w:sz="4" w:space="0" w:color="BFBFBF"/>
            </w:tcBorders>
            <w:shd w:val="clear" w:color="auto" w:fill="auto"/>
            <w:noWrap/>
            <w:hideMark/>
          </w:tcPr>
          <w:p w14:paraId="001DCF7D" w14:textId="229686C5"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39" w:type="dxa"/>
            <w:tcBorders>
              <w:top w:val="nil"/>
              <w:left w:val="nil"/>
              <w:bottom w:val="single" w:sz="4" w:space="0" w:color="BFBFBF"/>
              <w:right w:val="single" w:sz="4" w:space="0" w:color="BFBFBF"/>
            </w:tcBorders>
            <w:shd w:val="clear" w:color="000000" w:fill="FFFFFF"/>
            <w:noWrap/>
            <w:hideMark/>
          </w:tcPr>
          <w:p w14:paraId="12ADA1D0" w14:textId="03BD0970"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739" w:type="dxa"/>
            <w:tcBorders>
              <w:top w:val="nil"/>
              <w:left w:val="nil"/>
              <w:bottom w:val="single" w:sz="4" w:space="0" w:color="BFBFBF"/>
              <w:right w:val="single" w:sz="4" w:space="0" w:color="BFBFBF"/>
            </w:tcBorders>
            <w:shd w:val="clear" w:color="000000" w:fill="FFFFFF"/>
            <w:noWrap/>
            <w:hideMark/>
          </w:tcPr>
          <w:p w14:paraId="2A257345" w14:textId="061FC750"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739" w:type="dxa"/>
            <w:tcBorders>
              <w:top w:val="nil"/>
              <w:left w:val="nil"/>
              <w:bottom w:val="single" w:sz="4" w:space="0" w:color="BFBFBF"/>
              <w:right w:val="single" w:sz="4" w:space="0" w:color="BFBFBF"/>
            </w:tcBorders>
            <w:shd w:val="clear" w:color="000000" w:fill="FFFFFF"/>
            <w:noWrap/>
            <w:hideMark/>
          </w:tcPr>
          <w:p w14:paraId="79C3E394" w14:textId="594323E2"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5151" w:type="dxa"/>
            <w:vMerge/>
            <w:tcBorders>
              <w:top w:val="single" w:sz="4" w:space="0" w:color="808080"/>
              <w:left w:val="single" w:sz="4" w:space="0" w:color="BFBFBF"/>
              <w:bottom w:val="single" w:sz="4" w:space="0" w:color="BFBFBF"/>
              <w:right w:val="single" w:sz="4" w:space="0" w:color="BFBFBF"/>
            </w:tcBorders>
            <w:vAlign w:val="center"/>
            <w:hideMark/>
          </w:tcPr>
          <w:p w14:paraId="6AFE9C0D" w14:textId="77777777" w:rsidR="00F42A40" w:rsidRPr="008C1B89" w:rsidRDefault="00F42A40" w:rsidP="00F42A40">
            <w:pPr>
              <w:rPr>
                <w:rFonts w:eastAsia="Times New Roman" w:cs="Calibri"/>
                <w:color w:val="000000"/>
                <w:sz w:val="20"/>
                <w:szCs w:val="20"/>
                <w:lang w:eastAsia="en-AU"/>
              </w:rPr>
            </w:pPr>
          </w:p>
        </w:tc>
      </w:tr>
      <w:tr w:rsidR="00F42A40" w:rsidRPr="008C1B89" w14:paraId="09674256"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1DBF2AF"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Organics processing facility</w:t>
            </w:r>
          </w:p>
        </w:tc>
        <w:tc>
          <w:tcPr>
            <w:tcW w:w="891" w:type="dxa"/>
            <w:tcBorders>
              <w:top w:val="nil"/>
              <w:left w:val="nil"/>
              <w:bottom w:val="single" w:sz="4" w:space="0" w:color="BFBFBF"/>
              <w:right w:val="single" w:sz="4" w:space="0" w:color="BFBFBF"/>
            </w:tcBorders>
            <w:shd w:val="clear" w:color="000000" w:fill="FFFFFF"/>
            <w:noWrap/>
            <w:hideMark/>
          </w:tcPr>
          <w:p w14:paraId="6DF9CC2F" w14:textId="7FC4820B" w:rsidR="00F42A40" w:rsidRPr="008C1B89" w:rsidRDefault="00F42A40" w:rsidP="00F42A40">
            <w:pPr>
              <w:jc w:val="right"/>
              <w:rPr>
                <w:rFonts w:eastAsia="Times New Roman" w:cs="Calibri"/>
                <w:color w:val="000000"/>
                <w:sz w:val="20"/>
                <w:szCs w:val="20"/>
                <w:lang w:eastAsia="en-AU"/>
              </w:rPr>
            </w:pPr>
            <w:r>
              <w:rPr>
                <w:color w:val="000000"/>
                <w:sz w:val="20"/>
                <w:szCs w:val="20"/>
              </w:rPr>
              <w:t>132,590</w:t>
            </w:r>
          </w:p>
        </w:tc>
        <w:tc>
          <w:tcPr>
            <w:tcW w:w="957" w:type="dxa"/>
            <w:tcBorders>
              <w:left w:val="nil"/>
              <w:right w:val="single" w:sz="4" w:space="0" w:color="BFBFBF"/>
            </w:tcBorders>
            <w:shd w:val="clear" w:color="auto" w:fill="auto"/>
            <w:noWrap/>
            <w:vAlign w:val="center"/>
            <w:hideMark/>
          </w:tcPr>
          <w:p w14:paraId="231B1227" w14:textId="3D349AFE" w:rsidR="00F42A40" w:rsidRPr="008C1B89" w:rsidRDefault="00F42A40" w:rsidP="009D734D">
            <w:pPr>
              <w:jc w:val="center"/>
              <w:rPr>
                <w:rFonts w:eastAsia="Times New Roman" w:cs="Calibri"/>
                <w:color w:val="000000"/>
                <w:sz w:val="20"/>
                <w:szCs w:val="20"/>
                <w:lang w:eastAsia="en-AU"/>
              </w:rPr>
            </w:pPr>
          </w:p>
        </w:tc>
        <w:tc>
          <w:tcPr>
            <w:tcW w:w="1023" w:type="dxa"/>
            <w:tcBorders>
              <w:left w:val="nil"/>
              <w:right w:val="single" w:sz="4" w:space="0" w:color="BFBFBF"/>
            </w:tcBorders>
            <w:shd w:val="clear" w:color="auto" w:fill="auto"/>
            <w:noWrap/>
            <w:vAlign w:val="center"/>
            <w:hideMark/>
          </w:tcPr>
          <w:p w14:paraId="60941BF0" w14:textId="262AE435" w:rsidR="00F42A40" w:rsidRPr="008C1B89" w:rsidRDefault="00F42A40" w:rsidP="009D734D">
            <w:pPr>
              <w:jc w:val="center"/>
              <w:rPr>
                <w:rFonts w:eastAsia="Times New Roman" w:cs="Calibri"/>
                <w:color w:val="000000"/>
                <w:sz w:val="20"/>
                <w:szCs w:val="20"/>
                <w:lang w:eastAsia="en-AU"/>
              </w:rPr>
            </w:pPr>
          </w:p>
        </w:tc>
        <w:tc>
          <w:tcPr>
            <w:tcW w:w="960" w:type="dxa"/>
            <w:tcBorders>
              <w:top w:val="nil"/>
              <w:left w:val="nil"/>
              <w:bottom w:val="single" w:sz="4" w:space="0" w:color="BFBFBF"/>
              <w:right w:val="single" w:sz="4" w:space="0" w:color="BFBFBF"/>
            </w:tcBorders>
            <w:shd w:val="clear" w:color="auto" w:fill="auto"/>
            <w:noWrap/>
            <w:hideMark/>
          </w:tcPr>
          <w:p w14:paraId="2D00A1C0" w14:textId="515971E2" w:rsidR="00F42A40" w:rsidRPr="008C1B89" w:rsidRDefault="00F42A40" w:rsidP="00F42A40">
            <w:pPr>
              <w:jc w:val="center"/>
              <w:rPr>
                <w:rFonts w:eastAsia="Times New Roman" w:cs="Calibri"/>
                <w:color w:val="000000"/>
                <w:sz w:val="20"/>
                <w:szCs w:val="20"/>
                <w:lang w:eastAsia="en-AU"/>
              </w:rPr>
            </w:pPr>
            <w:r>
              <w:rPr>
                <w:color w:val="000000"/>
                <w:sz w:val="20"/>
                <w:szCs w:val="20"/>
              </w:rPr>
              <w:t>Ok</w:t>
            </w:r>
          </w:p>
        </w:tc>
        <w:tc>
          <w:tcPr>
            <w:tcW w:w="739" w:type="dxa"/>
            <w:tcBorders>
              <w:top w:val="nil"/>
              <w:left w:val="nil"/>
              <w:bottom w:val="single" w:sz="4" w:space="0" w:color="BFBFBF"/>
              <w:right w:val="single" w:sz="4" w:space="0" w:color="BFBFBF"/>
            </w:tcBorders>
            <w:shd w:val="clear" w:color="000000" w:fill="FFFFFF"/>
            <w:noWrap/>
            <w:hideMark/>
          </w:tcPr>
          <w:p w14:paraId="0C4A1B3E" w14:textId="6F72C96F"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739" w:type="dxa"/>
            <w:tcBorders>
              <w:top w:val="nil"/>
              <w:left w:val="nil"/>
              <w:bottom w:val="single" w:sz="4" w:space="0" w:color="BFBFBF"/>
              <w:right w:val="single" w:sz="4" w:space="0" w:color="BFBFBF"/>
            </w:tcBorders>
            <w:shd w:val="clear" w:color="000000" w:fill="FFFFFF"/>
            <w:noWrap/>
            <w:hideMark/>
          </w:tcPr>
          <w:p w14:paraId="1203E0DC" w14:textId="21A69B77"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739" w:type="dxa"/>
            <w:tcBorders>
              <w:top w:val="nil"/>
              <w:left w:val="nil"/>
              <w:bottom w:val="single" w:sz="4" w:space="0" w:color="BFBFBF"/>
              <w:right w:val="single" w:sz="4" w:space="0" w:color="BFBFBF"/>
            </w:tcBorders>
            <w:shd w:val="clear" w:color="000000" w:fill="FFFFFF"/>
            <w:noWrap/>
            <w:hideMark/>
          </w:tcPr>
          <w:p w14:paraId="39D60867" w14:textId="0FA6ECB0"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5151" w:type="dxa"/>
            <w:vMerge/>
            <w:tcBorders>
              <w:top w:val="single" w:sz="4" w:space="0" w:color="808080"/>
              <w:left w:val="single" w:sz="4" w:space="0" w:color="BFBFBF"/>
              <w:bottom w:val="single" w:sz="4" w:space="0" w:color="BFBFBF"/>
              <w:right w:val="single" w:sz="4" w:space="0" w:color="BFBFBF"/>
            </w:tcBorders>
            <w:vAlign w:val="center"/>
            <w:hideMark/>
          </w:tcPr>
          <w:p w14:paraId="630D1EE6" w14:textId="77777777" w:rsidR="00F42A40" w:rsidRPr="008C1B89" w:rsidRDefault="00F42A40" w:rsidP="00F42A40">
            <w:pPr>
              <w:rPr>
                <w:rFonts w:eastAsia="Times New Roman" w:cs="Calibri"/>
                <w:color w:val="000000"/>
                <w:sz w:val="20"/>
                <w:szCs w:val="20"/>
                <w:lang w:eastAsia="en-AU"/>
              </w:rPr>
            </w:pPr>
          </w:p>
        </w:tc>
      </w:tr>
      <w:tr w:rsidR="00F42A40" w:rsidRPr="008C1B89" w14:paraId="6C34E810"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59689C7B" w14:textId="5125F040" w:rsidR="00F42A40" w:rsidRPr="008C1B89" w:rsidRDefault="00F42A40" w:rsidP="00F42A40">
            <w:pPr>
              <w:jc w:val="right"/>
              <w:rPr>
                <w:rFonts w:eastAsia="Times New Roman" w:cs="Calibri"/>
                <w:color w:val="000000"/>
                <w:sz w:val="20"/>
                <w:szCs w:val="20"/>
                <w:lang w:eastAsia="en-AU"/>
              </w:rPr>
            </w:pPr>
            <w:r>
              <w:rPr>
                <w:rFonts w:eastAsia="Times New Roman" w:cs="Calibri"/>
                <w:color w:val="000000"/>
                <w:sz w:val="20"/>
                <w:szCs w:val="20"/>
                <w:lang w:eastAsia="en-AU"/>
              </w:rPr>
              <w:t>EOLT</w:t>
            </w:r>
            <w:r w:rsidRPr="008C1B89">
              <w:rPr>
                <w:rFonts w:eastAsia="Times New Roman" w:cs="Calibri"/>
                <w:color w:val="000000"/>
                <w:sz w:val="20"/>
                <w:szCs w:val="20"/>
                <w:lang w:eastAsia="en-AU"/>
              </w:rPr>
              <w:t xml:space="preserve"> facility</w:t>
            </w:r>
          </w:p>
        </w:tc>
        <w:tc>
          <w:tcPr>
            <w:tcW w:w="891" w:type="dxa"/>
            <w:tcBorders>
              <w:top w:val="nil"/>
              <w:left w:val="nil"/>
              <w:bottom w:val="single" w:sz="4" w:space="0" w:color="BFBFBF"/>
              <w:right w:val="single" w:sz="4" w:space="0" w:color="BFBFBF"/>
            </w:tcBorders>
            <w:shd w:val="clear" w:color="000000" w:fill="FFFFFF"/>
            <w:noWrap/>
            <w:hideMark/>
          </w:tcPr>
          <w:p w14:paraId="1D480037" w14:textId="11D2E838" w:rsidR="00F42A40" w:rsidRPr="008C1B89" w:rsidRDefault="00F42A40" w:rsidP="00F42A40">
            <w:pPr>
              <w:jc w:val="right"/>
              <w:rPr>
                <w:rFonts w:eastAsia="Times New Roman" w:cs="Calibri"/>
                <w:color w:val="000000"/>
                <w:sz w:val="20"/>
                <w:szCs w:val="20"/>
                <w:lang w:eastAsia="en-AU"/>
              </w:rPr>
            </w:pPr>
            <w:r>
              <w:rPr>
                <w:color w:val="000000"/>
                <w:sz w:val="20"/>
                <w:szCs w:val="20"/>
              </w:rPr>
              <w:t>12,625</w:t>
            </w:r>
          </w:p>
        </w:tc>
        <w:tc>
          <w:tcPr>
            <w:tcW w:w="957" w:type="dxa"/>
            <w:tcBorders>
              <w:left w:val="nil"/>
              <w:right w:val="single" w:sz="4" w:space="0" w:color="BFBFBF"/>
            </w:tcBorders>
            <w:shd w:val="clear" w:color="auto" w:fill="auto"/>
            <w:noWrap/>
            <w:vAlign w:val="center"/>
            <w:hideMark/>
          </w:tcPr>
          <w:p w14:paraId="6E3CF62D" w14:textId="5681883D" w:rsidR="00F42A40" w:rsidRPr="008C1B89" w:rsidRDefault="00F42A40" w:rsidP="009D734D">
            <w:pPr>
              <w:jc w:val="center"/>
              <w:rPr>
                <w:rFonts w:eastAsia="Times New Roman" w:cs="Calibri"/>
                <w:color w:val="000000"/>
                <w:sz w:val="20"/>
                <w:szCs w:val="20"/>
                <w:lang w:eastAsia="en-AU"/>
              </w:rPr>
            </w:pPr>
          </w:p>
        </w:tc>
        <w:tc>
          <w:tcPr>
            <w:tcW w:w="1023" w:type="dxa"/>
            <w:tcBorders>
              <w:left w:val="nil"/>
              <w:right w:val="single" w:sz="4" w:space="0" w:color="BFBFBF"/>
            </w:tcBorders>
            <w:shd w:val="clear" w:color="auto" w:fill="auto"/>
            <w:noWrap/>
            <w:vAlign w:val="center"/>
            <w:hideMark/>
          </w:tcPr>
          <w:p w14:paraId="33BCFF08" w14:textId="425474D6" w:rsidR="00F42A40" w:rsidRPr="008C1B89" w:rsidRDefault="00F42A40" w:rsidP="009D734D">
            <w:pPr>
              <w:jc w:val="center"/>
              <w:rPr>
                <w:rFonts w:eastAsia="Times New Roman" w:cs="Calibri"/>
                <w:color w:val="000000"/>
                <w:sz w:val="20"/>
                <w:szCs w:val="20"/>
                <w:lang w:eastAsia="en-AU"/>
              </w:rPr>
            </w:pPr>
          </w:p>
        </w:tc>
        <w:tc>
          <w:tcPr>
            <w:tcW w:w="960" w:type="dxa"/>
            <w:tcBorders>
              <w:top w:val="nil"/>
              <w:left w:val="nil"/>
              <w:bottom w:val="single" w:sz="4" w:space="0" w:color="BFBFBF"/>
              <w:right w:val="single" w:sz="4" w:space="0" w:color="BFBFBF"/>
            </w:tcBorders>
            <w:shd w:val="clear" w:color="auto" w:fill="auto"/>
            <w:noWrap/>
            <w:hideMark/>
          </w:tcPr>
          <w:p w14:paraId="749091EC" w14:textId="115FCBCA"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39" w:type="dxa"/>
            <w:tcBorders>
              <w:top w:val="nil"/>
              <w:left w:val="nil"/>
              <w:bottom w:val="single" w:sz="4" w:space="0" w:color="BFBFBF"/>
              <w:right w:val="single" w:sz="4" w:space="0" w:color="BFBFBF"/>
            </w:tcBorders>
            <w:shd w:val="clear" w:color="000000" w:fill="FFFFFF"/>
            <w:noWrap/>
            <w:hideMark/>
          </w:tcPr>
          <w:p w14:paraId="693AF787" w14:textId="2319C160"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39" w:type="dxa"/>
            <w:tcBorders>
              <w:top w:val="nil"/>
              <w:left w:val="nil"/>
              <w:bottom w:val="single" w:sz="4" w:space="0" w:color="BFBFBF"/>
              <w:right w:val="single" w:sz="4" w:space="0" w:color="BFBFBF"/>
            </w:tcBorders>
            <w:shd w:val="clear" w:color="000000" w:fill="FFFFFF"/>
            <w:noWrap/>
            <w:hideMark/>
          </w:tcPr>
          <w:p w14:paraId="1636EC5C" w14:textId="2E1C542C"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39" w:type="dxa"/>
            <w:tcBorders>
              <w:top w:val="nil"/>
              <w:left w:val="nil"/>
              <w:bottom w:val="single" w:sz="4" w:space="0" w:color="BFBFBF"/>
              <w:right w:val="single" w:sz="4" w:space="0" w:color="BFBFBF"/>
            </w:tcBorders>
            <w:shd w:val="clear" w:color="000000" w:fill="FFFFFF"/>
            <w:noWrap/>
            <w:hideMark/>
          </w:tcPr>
          <w:p w14:paraId="541631A1" w14:textId="0FD5DCBA"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151" w:type="dxa"/>
            <w:vMerge/>
            <w:tcBorders>
              <w:top w:val="single" w:sz="4" w:space="0" w:color="808080"/>
              <w:left w:val="single" w:sz="4" w:space="0" w:color="BFBFBF"/>
              <w:bottom w:val="single" w:sz="4" w:space="0" w:color="BFBFBF"/>
              <w:right w:val="single" w:sz="4" w:space="0" w:color="BFBFBF"/>
            </w:tcBorders>
            <w:vAlign w:val="center"/>
            <w:hideMark/>
          </w:tcPr>
          <w:p w14:paraId="727ACDC5" w14:textId="77777777" w:rsidR="00F42A40" w:rsidRPr="008C1B89" w:rsidRDefault="00F42A40" w:rsidP="00F42A40">
            <w:pPr>
              <w:rPr>
                <w:rFonts w:eastAsia="Times New Roman" w:cs="Calibri"/>
                <w:color w:val="000000"/>
                <w:sz w:val="20"/>
                <w:szCs w:val="20"/>
                <w:lang w:eastAsia="en-AU"/>
              </w:rPr>
            </w:pPr>
          </w:p>
        </w:tc>
      </w:tr>
      <w:tr w:rsidR="00F42A40" w:rsidRPr="008C1B89" w14:paraId="4858EF8A"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44B7A46D" w14:textId="00E28CE1" w:rsidR="00F42A40" w:rsidRPr="008C1B89" w:rsidRDefault="00F42A40" w:rsidP="00F42A40">
            <w:pPr>
              <w:jc w:val="right"/>
              <w:rPr>
                <w:rFonts w:eastAsia="Times New Roman" w:cs="Calibri"/>
                <w:color w:val="000000"/>
                <w:sz w:val="20"/>
                <w:szCs w:val="20"/>
                <w:lang w:eastAsia="en-AU"/>
              </w:rPr>
            </w:pPr>
            <w:r>
              <w:rPr>
                <w:rFonts w:eastAsia="Times New Roman" w:cs="Calibri"/>
                <w:color w:val="000000"/>
                <w:sz w:val="20"/>
                <w:szCs w:val="20"/>
                <w:lang w:eastAsia="en-AU"/>
              </w:rPr>
              <w:t>SPL</w:t>
            </w:r>
            <w:r w:rsidRPr="008C1B89">
              <w:rPr>
                <w:rFonts w:eastAsia="Times New Roman" w:cs="Calibri"/>
                <w:color w:val="000000"/>
                <w:sz w:val="20"/>
                <w:szCs w:val="20"/>
                <w:lang w:eastAsia="en-AU"/>
              </w:rPr>
              <w:t xml:space="preserve"> facility</w:t>
            </w:r>
          </w:p>
        </w:tc>
        <w:tc>
          <w:tcPr>
            <w:tcW w:w="891" w:type="dxa"/>
            <w:tcBorders>
              <w:top w:val="nil"/>
              <w:left w:val="nil"/>
              <w:bottom w:val="single" w:sz="4" w:space="0" w:color="BFBFBF"/>
              <w:right w:val="single" w:sz="4" w:space="0" w:color="BFBFBF"/>
            </w:tcBorders>
            <w:shd w:val="clear" w:color="000000" w:fill="FFFFFF"/>
            <w:noWrap/>
            <w:hideMark/>
          </w:tcPr>
          <w:p w14:paraId="542BB1C1" w14:textId="1A817CA7" w:rsidR="00F42A40" w:rsidRPr="008C1B89" w:rsidRDefault="00F42A40" w:rsidP="00F42A40">
            <w:pPr>
              <w:jc w:val="right"/>
              <w:rPr>
                <w:rFonts w:eastAsia="Times New Roman" w:cs="Calibri"/>
                <w:color w:val="000000"/>
                <w:sz w:val="20"/>
                <w:szCs w:val="20"/>
                <w:lang w:eastAsia="en-AU"/>
              </w:rPr>
            </w:pPr>
            <w:r>
              <w:rPr>
                <w:color w:val="000000"/>
                <w:sz w:val="20"/>
                <w:szCs w:val="20"/>
              </w:rPr>
              <w:t>16,342</w:t>
            </w:r>
          </w:p>
        </w:tc>
        <w:tc>
          <w:tcPr>
            <w:tcW w:w="957" w:type="dxa"/>
            <w:tcBorders>
              <w:left w:val="nil"/>
              <w:right w:val="single" w:sz="4" w:space="0" w:color="BFBFBF"/>
            </w:tcBorders>
            <w:shd w:val="clear" w:color="auto" w:fill="auto"/>
            <w:noWrap/>
            <w:vAlign w:val="center"/>
            <w:hideMark/>
          </w:tcPr>
          <w:p w14:paraId="2B4F0FE2" w14:textId="3D130611" w:rsidR="00F42A40" w:rsidRPr="008C1B89" w:rsidRDefault="00F42A40" w:rsidP="009D734D">
            <w:pPr>
              <w:jc w:val="center"/>
              <w:rPr>
                <w:rFonts w:eastAsia="Times New Roman" w:cs="Calibri"/>
                <w:color w:val="000000"/>
                <w:sz w:val="20"/>
                <w:szCs w:val="20"/>
                <w:lang w:eastAsia="en-AU"/>
              </w:rPr>
            </w:pPr>
          </w:p>
        </w:tc>
        <w:tc>
          <w:tcPr>
            <w:tcW w:w="1023" w:type="dxa"/>
            <w:tcBorders>
              <w:left w:val="nil"/>
              <w:right w:val="single" w:sz="4" w:space="0" w:color="BFBFBF"/>
            </w:tcBorders>
            <w:shd w:val="clear" w:color="auto" w:fill="auto"/>
            <w:noWrap/>
            <w:vAlign w:val="center"/>
            <w:hideMark/>
          </w:tcPr>
          <w:p w14:paraId="1321119E" w14:textId="1DDC893A" w:rsidR="00F42A40" w:rsidRPr="008C1B89" w:rsidRDefault="00F42A40" w:rsidP="009D734D">
            <w:pPr>
              <w:jc w:val="center"/>
              <w:rPr>
                <w:rFonts w:eastAsia="Times New Roman" w:cs="Calibri"/>
                <w:color w:val="000000"/>
                <w:sz w:val="20"/>
                <w:szCs w:val="20"/>
                <w:lang w:eastAsia="en-AU"/>
              </w:rPr>
            </w:pPr>
          </w:p>
        </w:tc>
        <w:tc>
          <w:tcPr>
            <w:tcW w:w="960" w:type="dxa"/>
            <w:tcBorders>
              <w:top w:val="nil"/>
              <w:left w:val="nil"/>
              <w:bottom w:val="single" w:sz="4" w:space="0" w:color="BFBFBF"/>
              <w:right w:val="single" w:sz="4" w:space="0" w:color="BFBFBF"/>
            </w:tcBorders>
            <w:shd w:val="clear" w:color="auto" w:fill="auto"/>
            <w:noWrap/>
            <w:hideMark/>
          </w:tcPr>
          <w:p w14:paraId="76AD9CEF" w14:textId="6350106B"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7D6A620D" w14:textId="1192CFA3"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754075D8" w14:textId="48344FDE"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44F5D9AD" w14:textId="19E8E592"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51" w:type="dxa"/>
            <w:vMerge/>
            <w:tcBorders>
              <w:top w:val="single" w:sz="4" w:space="0" w:color="808080"/>
              <w:left w:val="single" w:sz="4" w:space="0" w:color="BFBFBF"/>
              <w:bottom w:val="single" w:sz="4" w:space="0" w:color="BFBFBF"/>
              <w:right w:val="single" w:sz="4" w:space="0" w:color="BFBFBF"/>
            </w:tcBorders>
            <w:vAlign w:val="center"/>
            <w:hideMark/>
          </w:tcPr>
          <w:p w14:paraId="26ACA594" w14:textId="77777777" w:rsidR="00F42A40" w:rsidRPr="008C1B89" w:rsidRDefault="00F42A40" w:rsidP="00F42A40">
            <w:pPr>
              <w:rPr>
                <w:rFonts w:eastAsia="Times New Roman" w:cs="Calibri"/>
                <w:color w:val="000000"/>
                <w:sz w:val="20"/>
                <w:szCs w:val="20"/>
                <w:lang w:eastAsia="en-AU"/>
              </w:rPr>
            </w:pPr>
          </w:p>
        </w:tc>
      </w:tr>
      <w:tr w:rsidR="00F42A40" w:rsidRPr="008C1B89" w14:paraId="5EDF51AB"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16EA53A2"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 xml:space="preserve">Energy recovery </w:t>
            </w:r>
          </w:p>
        </w:tc>
        <w:tc>
          <w:tcPr>
            <w:tcW w:w="891" w:type="dxa"/>
            <w:tcBorders>
              <w:top w:val="nil"/>
              <w:left w:val="nil"/>
              <w:bottom w:val="single" w:sz="4" w:space="0" w:color="BFBFBF"/>
              <w:right w:val="single" w:sz="4" w:space="0" w:color="BFBFBF"/>
            </w:tcBorders>
            <w:shd w:val="clear" w:color="000000" w:fill="FFFFFF"/>
            <w:noWrap/>
            <w:hideMark/>
          </w:tcPr>
          <w:p w14:paraId="369720CE" w14:textId="16BBD76D" w:rsidR="00F42A40" w:rsidRPr="008C1B89" w:rsidRDefault="00F42A40" w:rsidP="00F42A40">
            <w:pPr>
              <w:jc w:val="right"/>
              <w:rPr>
                <w:rFonts w:eastAsia="Times New Roman" w:cs="Calibri"/>
                <w:color w:val="000000"/>
                <w:sz w:val="20"/>
                <w:szCs w:val="20"/>
                <w:lang w:eastAsia="en-AU"/>
              </w:rPr>
            </w:pPr>
            <w:r>
              <w:rPr>
                <w:color w:val="000000"/>
                <w:sz w:val="20"/>
                <w:szCs w:val="20"/>
              </w:rPr>
              <w:t>1,461</w:t>
            </w:r>
          </w:p>
        </w:tc>
        <w:tc>
          <w:tcPr>
            <w:tcW w:w="957" w:type="dxa"/>
            <w:tcBorders>
              <w:left w:val="nil"/>
              <w:bottom w:val="single" w:sz="4" w:space="0" w:color="BFBFBF"/>
              <w:right w:val="single" w:sz="4" w:space="0" w:color="BFBFBF"/>
            </w:tcBorders>
            <w:shd w:val="clear" w:color="auto" w:fill="auto"/>
            <w:noWrap/>
            <w:vAlign w:val="center"/>
            <w:hideMark/>
          </w:tcPr>
          <w:p w14:paraId="5ED24617" w14:textId="308941C0" w:rsidR="00F42A40" w:rsidRPr="008C1B89" w:rsidRDefault="00F42A40" w:rsidP="009D734D">
            <w:pPr>
              <w:jc w:val="center"/>
              <w:rPr>
                <w:rFonts w:eastAsia="Times New Roman" w:cs="Calibri"/>
                <w:color w:val="000000"/>
                <w:sz w:val="20"/>
                <w:szCs w:val="20"/>
                <w:lang w:eastAsia="en-AU"/>
              </w:rPr>
            </w:pPr>
          </w:p>
        </w:tc>
        <w:tc>
          <w:tcPr>
            <w:tcW w:w="1023" w:type="dxa"/>
            <w:tcBorders>
              <w:left w:val="nil"/>
              <w:bottom w:val="single" w:sz="4" w:space="0" w:color="BFBFBF"/>
              <w:right w:val="single" w:sz="4" w:space="0" w:color="BFBFBF"/>
            </w:tcBorders>
            <w:shd w:val="clear" w:color="auto" w:fill="auto"/>
            <w:noWrap/>
            <w:vAlign w:val="center"/>
            <w:hideMark/>
          </w:tcPr>
          <w:p w14:paraId="43D7D698" w14:textId="1CAC27C3" w:rsidR="00F42A40" w:rsidRPr="008C1B89" w:rsidRDefault="00F42A40" w:rsidP="009D734D">
            <w:pPr>
              <w:jc w:val="center"/>
              <w:rPr>
                <w:rFonts w:eastAsia="Times New Roman" w:cs="Calibri"/>
                <w:color w:val="000000"/>
                <w:sz w:val="20"/>
                <w:szCs w:val="20"/>
                <w:lang w:eastAsia="en-AU"/>
              </w:rPr>
            </w:pPr>
          </w:p>
        </w:tc>
        <w:tc>
          <w:tcPr>
            <w:tcW w:w="960" w:type="dxa"/>
            <w:tcBorders>
              <w:top w:val="nil"/>
              <w:left w:val="nil"/>
              <w:bottom w:val="single" w:sz="4" w:space="0" w:color="BFBFBF"/>
              <w:right w:val="single" w:sz="4" w:space="0" w:color="BFBFBF"/>
            </w:tcBorders>
            <w:shd w:val="clear" w:color="auto" w:fill="auto"/>
            <w:noWrap/>
            <w:hideMark/>
          </w:tcPr>
          <w:p w14:paraId="4A5050D2" w14:textId="0A3217A5"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39" w:type="dxa"/>
            <w:tcBorders>
              <w:top w:val="nil"/>
              <w:left w:val="nil"/>
              <w:bottom w:val="single" w:sz="4" w:space="0" w:color="BFBFBF"/>
              <w:right w:val="single" w:sz="4" w:space="0" w:color="BFBFBF"/>
            </w:tcBorders>
            <w:shd w:val="clear" w:color="000000" w:fill="FFFFFF"/>
            <w:noWrap/>
            <w:hideMark/>
          </w:tcPr>
          <w:p w14:paraId="06396CB2" w14:textId="3EC1BCA7"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39" w:type="dxa"/>
            <w:tcBorders>
              <w:top w:val="nil"/>
              <w:left w:val="nil"/>
              <w:bottom w:val="single" w:sz="4" w:space="0" w:color="BFBFBF"/>
              <w:right w:val="single" w:sz="4" w:space="0" w:color="BFBFBF"/>
            </w:tcBorders>
            <w:shd w:val="clear" w:color="000000" w:fill="FFFFFF"/>
            <w:noWrap/>
            <w:hideMark/>
          </w:tcPr>
          <w:p w14:paraId="640BAB6C" w14:textId="296F36D9"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39" w:type="dxa"/>
            <w:tcBorders>
              <w:top w:val="nil"/>
              <w:left w:val="nil"/>
              <w:bottom w:val="single" w:sz="4" w:space="0" w:color="BFBFBF"/>
              <w:right w:val="single" w:sz="4" w:space="0" w:color="BFBFBF"/>
            </w:tcBorders>
            <w:shd w:val="clear" w:color="000000" w:fill="FFFFFF"/>
            <w:noWrap/>
            <w:hideMark/>
          </w:tcPr>
          <w:p w14:paraId="2EBC485E" w14:textId="2A97F70E"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151" w:type="dxa"/>
            <w:vMerge/>
            <w:tcBorders>
              <w:top w:val="single" w:sz="4" w:space="0" w:color="808080"/>
              <w:left w:val="single" w:sz="4" w:space="0" w:color="BFBFBF"/>
              <w:bottom w:val="single" w:sz="4" w:space="0" w:color="BFBFBF"/>
              <w:right w:val="single" w:sz="4" w:space="0" w:color="BFBFBF"/>
            </w:tcBorders>
            <w:vAlign w:val="center"/>
            <w:hideMark/>
          </w:tcPr>
          <w:p w14:paraId="08311AD7" w14:textId="77777777" w:rsidR="00F42A40" w:rsidRPr="008C1B89" w:rsidRDefault="00F42A40" w:rsidP="00F42A40">
            <w:pPr>
              <w:rPr>
                <w:rFonts w:eastAsia="Times New Roman" w:cs="Calibri"/>
                <w:color w:val="000000"/>
                <w:sz w:val="20"/>
                <w:szCs w:val="20"/>
                <w:lang w:eastAsia="en-AU"/>
              </w:rPr>
            </w:pPr>
          </w:p>
        </w:tc>
      </w:tr>
      <w:tr w:rsidR="009D734D" w:rsidRPr="008C1B89" w14:paraId="01BD9422" w14:textId="77777777" w:rsidTr="009D734D">
        <w:trPr>
          <w:trHeight w:val="255"/>
        </w:trPr>
        <w:tc>
          <w:tcPr>
            <w:tcW w:w="2830" w:type="dxa"/>
            <w:tcBorders>
              <w:top w:val="nil"/>
              <w:left w:val="single" w:sz="4" w:space="0" w:color="BFBFBF"/>
              <w:bottom w:val="nil"/>
              <w:right w:val="nil"/>
            </w:tcBorders>
            <w:shd w:val="clear" w:color="000000" w:fill="C5D9F1"/>
            <w:noWrap/>
            <w:vAlign w:val="bottom"/>
            <w:hideMark/>
          </w:tcPr>
          <w:p w14:paraId="384CE35D" w14:textId="77777777" w:rsidR="00F42A40" w:rsidRPr="008C1B89" w:rsidRDefault="00F42A40" w:rsidP="00F42A40">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 xml:space="preserve">Treatment </w:t>
            </w:r>
          </w:p>
        </w:tc>
        <w:tc>
          <w:tcPr>
            <w:tcW w:w="891" w:type="dxa"/>
            <w:tcBorders>
              <w:top w:val="nil"/>
              <w:left w:val="single" w:sz="4" w:space="0" w:color="BFBFBF"/>
              <w:bottom w:val="nil"/>
              <w:right w:val="single" w:sz="4" w:space="0" w:color="BFBFBF"/>
            </w:tcBorders>
            <w:shd w:val="clear" w:color="000000" w:fill="C5D9F1"/>
            <w:noWrap/>
            <w:hideMark/>
          </w:tcPr>
          <w:p w14:paraId="78BB433E" w14:textId="22ED8DDC"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957" w:type="dxa"/>
            <w:tcBorders>
              <w:top w:val="nil"/>
              <w:left w:val="nil"/>
              <w:bottom w:val="single" w:sz="4" w:space="0" w:color="BFBFBF"/>
              <w:right w:val="nil"/>
            </w:tcBorders>
            <w:shd w:val="clear" w:color="000000" w:fill="C5D9F1"/>
            <w:noWrap/>
            <w:vAlign w:val="center"/>
            <w:hideMark/>
          </w:tcPr>
          <w:p w14:paraId="430FA745" w14:textId="3CB45890" w:rsidR="00F42A40" w:rsidRPr="008C1B89" w:rsidRDefault="00F42A40" w:rsidP="009D734D">
            <w:pPr>
              <w:jc w:val="center"/>
              <w:rPr>
                <w:rFonts w:eastAsia="Times New Roman" w:cs="Calibri"/>
                <w:color w:val="000000"/>
                <w:sz w:val="20"/>
                <w:szCs w:val="20"/>
                <w:lang w:eastAsia="en-AU"/>
              </w:rPr>
            </w:pPr>
          </w:p>
        </w:tc>
        <w:tc>
          <w:tcPr>
            <w:tcW w:w="1023" w:type="dxa"/>
            <w:tcBorders>
              <w:top w:val="nil"/>
              <w:left w:val="nil"/>
              <w:bottom w:val="single" w:sz="4" w:space="0" w:color="BFBFBF"/>
              <w:right w:val="nil"/>
            </w:tcBorders>
            <w:shd w:val="clear" w:color="000000" w:fill="C5D9F1"/>
            <w:noWrap/>
            <w:vAlign w:val="center"/>
            <w:hideMark/>
          </w:tcPr>
          <w:p w14:paraId="4A90E4BF" w14:textId="6DB67390" w:rsidR="00F42A40" w:rsidRPr="008C1B89" w:rsidRDefault="00F42A40" w:rsidP="009D734D">
            <w:pPr>
              <w:jc w:val="center"/>
              <w:rPr>
                <w:rFonts w:eastAsia="Times New Roman" w:cs="Calibri"/>
                <w:color w:val="000000"/>
                <w:sz w:val="20"/>
                <w:szCs w:val="20"/>
                <w:lang w:eastAsia="en-AU"/>
              </w:rPr>
            </w:pPr>
          </w:p>
        </w:tc>
        <w:tc>
          <w:tcPr>
            <w:tcW w:w="960" w:type="dxa"/>
            <w:tcBorders>
              <w:top w:val="nil"/>
              <w:left w:val="nil"/>
              <w:bottom w:val="nil"/>
              <w:right w:val="single" w:sz="4" w:space="0" w:color="BFBFBF"/>
            </w:tcBorders>
            <w:shd w:val="clear" w:color="000000" w:fill="C5D9F1"/>
            <w:noWrap/>
            <w:hideMark/>
          </w:tcPr>
          <w:p w14:paraId="33A455B2" w14:textId="2773B272"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39" w:type="dxa"/>
            <w:tcBorders>
              <w:top w:val="nil"/>
              <w:left w:val="nil"/>
              <w:bottom w:val="nil"/>
              <w:right w:val="single" w:sz="4" w:space="0" w:color="BFBFBF"/>
            </w:tcBorders>
            <w:shd w:val="clear" w:color="000000" w:fill="C5D9F1"/>
            <w:noWrap/>
            <w:hideMark/>
          </w:tcPr>
          <w:p w14:paraId="42784D21" w14:textId="1C919642"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39" w:type="dxa"/>
            <w:tcBorders>
              <w:top w:val="nil"/>
              <w:left w:val="nil"/>
              <w:bottom w:val="nil"/>
              <w:right w:val="single" w:sz="4" w:space="0" w:color="BFBFBF"/>
            </w:tcBorders>
            <w:shd w:val="clear" w:color="000000" w:fill="C5D9F1"/>
            <w:noWrap/>
            <w:hideMark/>
          </w:tcPr>
          <w:p w14:paraId="1C33BF0F" w14:textId="183E2976"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39" w:type="dxa"/>
            <w:tcBorders>
              <w:top w:val="nil"/>
              <w:left w:val="nil"/>
              <w:bottom w:val="nil"/>
              <w:right w:val="single" w:sz="4" w:space="0" w:color="BFBFBF"/>
            </w:tcBorders>
            <w:shd w:val="clear" w:color="000000" w:fill="C5D9F1"/>
            <w:noWrap/>
            <w:hideMark/>
          </w:tcPr>
          <w:p w14:paraId="083574A6" w14:textId="23C95249"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5151" w:type="dxa"/>
            <w:vMerge/>
            <w:tcBorders>
              <w:top w:val="single" w:sz="4" w:space="0" w:color="808080"/>
              <w:left w:val="single" w:sz="4" w:space="0" w:color="BFBFBF"/>
              <w:bottom w:val="single" w:sz="4" w:space="0" w:color="BFBFBF"/>
              <w:right w:val="single" w:sz="4" w:space="0" w:color="BFBFBF"/>
            </w:tcBorders>
            <w:vAlign w:val="center"/>
            <w:hideMark/>
          </w:tcPr>
          <w:p w14:paraId="05C8C1C0" w14:textId="77777777" w:rsidR="00F42A40" w:rsidRPr="008C1B89" w:rsidRDefault="00F42A40" w:rsidP="00F42A40">
            <w:pPr>
              <w:rPr>
                <w:rFonts w:eastAsia="Times New Roman" w:cs="Calibri"/>
                <w:color w:val="000000"/>
                <w:sz w:val="20"/>
                <w:szCs w:val="20"/>
                <w:lang w:eastAsia="en-AU"/>
              </w:rPr>
            </w:pPr>
          </w:p>
        </w:tc>
      </w:tr>
      <w:tr w:rsidR="00F42A40" w:rsidRPr="008C1B89" w14:paraId="723E7136" w14:textId="77777777" w:rsidTr="009D734D">
        <w:trPr>
          <w:trHeight w:val="255"/>
        </w:trPr>
        <w:tc>
          <w:tcPr>
            <w:tcW w:w="283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0E8845D"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CPT plant</w:t>
            </w:r>
          </w:p>
        </w:tc>
        <w:tc>
          <w:tcPr>
            <w:tcW w:w="891" w:type="dxa"/>
            <w:tcBorders>
              <w:top w:val="single" w:sz="4" w:space="0" w:color="BFBFBF"/>
              <w:left w:val="nil"/>
              <w:bottom w:val="single" w:sz="4" w:space="0" w:color="BFBFBF"/>
              <w:right w:val="single" w:sz="4" w:space="0" w:color="BFBFBF"/>
            </w:tcBorders>
            <w:shd w:val="clear" w:color="000000" w:fill="FFFFFF"/>
            <w:noWrap/>
            <w:hideMark/>
          </w:tcPr>
          <w:p w14:paraId="532ABD7A" w14:textId="7D6679C1" w:rsidR="00F42A40" w:rsidRPr="008C1B89" w:rsidRDefault="00F42A40" w:rsidP="00F42A40">
            <w:pPr>
              <w:jc w:val="right"/>
              <w:rPr>
                <w:rFonts w:eastAsia="Times New Roman" w:cs="Calibri"/>
                <w:color w:val="000000"/>
                <w:sz w:val="20"/>
                <w:szCs w:val="20"/>
                <w:lang w:eastAsia="en-AU"/>
              </w:rPr>
            </w:pPr>
            <w:r>
              <w:rPr>
                <w:color w:val="000000"/>
                <w:sz w:val="20"/>
                <w:szCs w:val="20"/>
              </w:rPr>
              <w:t>88,542</w:t>
            </w:r>
          </w:p>
        </w:tc>
        <w:tc>
          <w:tcPr>
            <w:tcW w:w="957" w:type="dxa"/>
            <w:tcBorders>
              <w:top w:val="nil"/>
              <w:left w:val="nil"/>
              <w:right w:val="single" w:sz="4" w:space="0" w:color="BFBFBF"/>
            </w:tcBorders>
            <w:shd w:val="clear" w:color="auto" w:fill="auto"/>
            <w:noWrap/>
            <w:vAlign w:val="center"/>
            <w:hideMark/>
          </w:tcPr>
          <w:p w14:paraId="29B3CC0F" w14:textId="137E227C"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23" w:type="dxa"/>
            <w:tcBorders>
              <w:top w:val="nil"/>
              <w:left w:val="nil"/>
              <w:right w:val="single" w:sz="4" w:space="0" w:color="BFBFBF"/>
            </w:tcBorders>
            <w:shd w:val="clear" w:color="auto" w:fill="auto"/>
            <w:noWrap/>
            <w:vAlign w:val="center"/>
            <w:hideMark/>
          </w:tcPr>
          <w:p w14:paraId="71A83403" w14:textId="68FD9CD3"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60" w:type="dxa"/>
            <w:tcBorders>
              <w:top w:val="single" w:sz="4" w:space="0" w:color="BFBFBF"/>
              <w:left w:val="nil"/>
              <w:bottom w:val="single" w:sz="4" w:space="0" w:color="BFBFBF"/>
              <w:right w:val="single" w:sz="4" w:space="0" w:color="BFBFBF"/>
            </w:tcBorders>
            <w:shd w:val="clear" w:color="auto" w:fill="auto"/>
            <w:noWrap/>
            <w:hideMark/>
          </w:tcPr>
          <w:p w14:paraId="5CE04BC0" w14:textId="7219A948"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39" w:type="dxa"/>
            <w:tcBorders>
              <w:top w:val="single" w:sz="4" w:space="0" w:color="BFBFBF"/>
              <w:left w:val="nil"/>
              <w:bottom w:val="single" w:sz="4" w:space="0" w:color="BFBFBF"/>
              <w:right w:val="single" w:sz="4" w:space="0" w:color="BFBFBF"/>
            </w:tcBorders>
            <w:shd w:val="clear" w:color="000000" w:fill="FFFFFF"/>
            <w:noWrap/>
            <w:hideMark/>
          </w:tcPr>
          <w:p w14:paraId="23C6FDE9" w14:textId="5D8033B4"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39" w:type="dxa"/>
            <w:tcBorders>
              <w:top w:val="single" w:sz="4" w:space="0" w:color="BFBFBF"/>
              <w:left w:val="nil"/>
              <w:bottom w:val="single" w:sz="4" w:space="0" w:color="BFBFBF"/>
              <w:right w:val="single" w:sz="4" w:space="0" w:color="BFBFBF"/>
            </w:tcBorders>
            <w:shd w:val="clear" w:color="000000" w:fill="FFFFFF"/>
            <w:noWrap/>
            <w:hideMark/>
          </w:tcPr>
          <w:p w14:paraId="2407A279" w14:textId="1A4C66AC" w:rsidR="00F42A40" w:rsidRPr="008C1B89" w:rsidRDefault="00F42A40" w:rsidP="00F42A40">
            <w:pPr>
              <w:jc w:val="center"/>
              <w:rPr>
                <w:rFonts w:eastAsia="Times New Roman" w:cs="Calibri"/>
                <w:color w:val="000000"/>
                <w:sz w:val="20"/>
                <w:szCs w:val="20"/>
                <w:lang w:eastAsia="en-AU"/>
              </w:rPr>
            </w:pPr>
            <w:r>
              <w:rPr>
                <w:color w:val="000000"/>
                <w:sz w:val="20"/>
                <w:szCs w:val="20"/>
              </w:rPr>
              <w:t>2035</w:t>
            </w:r>
          </w:p>
        </w:tc>
        <w:tc>
          <w:tcPr>
            <w:tcW w:w="739" w:type="dxa"/>
            <w:tcBorders>
              <w:top w:val="single" w:sz="4" w:space="0" w:color="BFBFBF"/>
              <w:left w:val="nil"/>
              <w:bottom w:val="single" w:sz="4" w:space="0" w:color="BFBFBF"/>
              <w:right w:val="single" w:sz="4" w:space="0" w:color="BFBFBF"/>
            </w:tcBorders>
            <w:shd w:val="clear" w:color="000000" w:fill="FFFFFF"/>
            <w:noWrap/>
            <w:hideMark/>
          </w:tcPr>
          <w:p w14:paraId="53F0B2BB" w14:textId="000B85A4"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151" w:type="dxa"/>
            <w:vMerge/>
            <w:tcBorders>
              <w:top w:val="single" w:sz="4" w:space="0" w:color="808080"/>
              <w:left w:val="single" w:sz="4" w:space="0" w:color="BFBFBF"/>
              <w:bottom w:val="single" w:sz="4" w:space="0" w:color="BFBFBF"/>
              <w:right w:val="single" w:sz="4" w:space="0" w:color="BFBFBF"/>
            </w:tcBorders>
            <w:vAlign w:val="center"/>
            <w:hideMark/>
          </w:tcPr>
          <w:p w14:paraId="5405814E" w14:textId="77777777" w:rsidR="00F42A40" w:rsidRPr="008C1B89" w:rsidRDefault="00F42A40" w:rsidP="00F42A40">
            <w:pPr>
              <w:rPr>
                <w:rFonts w:eastAsia="Times New Roman" w:cs="Calibri"/>
                <w:color w:val="000000"/>
                <w:sz w:val="20"/>
                <w:szCs w:val="20"/>
                <w:lang w:eastAsia="en-AU"/>
              </w:rPr>
            </w:pPr>
          </w:p>
        </w:tc>
      </w:tr>
      <w:tr w:rsidR="00F42A40" w:rsidRPr="008C1B89" w14:paraId="4350BDE6"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608A29B0"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 xml:space="preserve">Clinical waste treatment facility </w:t>
            </w:r>
          </w:p>
        </w:tc>
        <w:tc>
          <w:tcPr>
            <w:tcW w:w="891" w:type="dxa"/>
            <w:tcBorders>
              <w:top w:val="nil"/>
              <w:left w:val="nil"/>
              <w:bottom w:val="single" w:sz="4" w:space="0" w:color="BFBFBF"/>
              <w:right w:val="single" w:sz="4" w:space="0" w:color="BFBFBF"/>
            </w:tcBorders>
            <w:shd w:val="clear" w:color="000000" w:fill="FFFFFF"/>
            <w:noWrap/>
            <w:hideMark/>
          </w:tcPr>
          <w:p w14:paraId="2F6E358E" w14:textId="55129E0C" w:rsidR="00F42A40" w:rsidRPr="008C1B89" w:rsidRDefault="00F42A40" w:rsidP="00F42A40">
            <w:pPr>
              <w:jc w:val="right"/>
              <w:rPr>
                <w:rFonts w:eastAsia="Times New Roman" w:cs="Calibri"/>
                <w:color w:val="000000"/>
                <w:sz w:val="20"/>
                <w:szCs w:val="20"/>
                <w:lang w:eastAsia="en-AU"/>
              </w:rPr>
            </w:pPr>
            <w:r>
              <w:rPr>
                <w:color w:val="000000"/>
                <w:sz w:val="20"/>
                <w:szCs w:val="20"/>
              </w:rPr>
              <w:t>8,322</w:t>
            </w:r>
          </w:p>
        </w:tc>
        <w:tc>
          <w:tcPr>
            <w:tcW w:w="957" w:type="dxa"/>
            <w:tcBorders>
              <w:left w:val="nil"/>
              <w:right w:val="single" w:sz="4" w:space="0" w:color="BFBFBF"/>
            </w:tcBorders>
            <w:shd w:val="clear" w:color="auto" w:fill="auto"/>
            <w:noWrap/>
            <w:vAlign w:val="center"/>
            <w:hideMark/>
          </w:tcPr>
          <w:p w14:paraId="320962A7" w14:textId="64764A2E" w:rsidR="00F42A40" w:rsidRPr="008C1B89" w:rsidRDefault="00F42A40" w:rsidP="009D734D">
            <w:pPr>
              <w:jc w:val="center"/>
              <w:rPr>
                <w:rFonts w:eastAsia="Times New Roman" w:cs="Calibri"/>
                <w:color w:val="000000"/>
                <w:sz w:val="20"/>
                <w:szCs w:val="20"/>
                <w:lang w:eastAsia="en-AU"/>
              </w:rPr>
            </w:pPr>
          </w:p>
        </w:tc>
        <w:tc>
          <w:tcPr>
            <w:tcW w:w="1023" w:type="dxa"/>
            <w:tcBorders>
              <w:left w:val="nil"/>
              <w:right w:val="single" w:sz="4" w:space="0" w:color="BFBFBF"/>
            </w:tcBorders>
            <w:shd w:val="clear" w:color="auto" w:fill="auto"/>
            <w:noWrap/>
            <w:vAlign w:val="center"/>
            <w:hideMark/>
          </w:tcPr>
          <w:p w14:paraId="2D1A60E2" w14:textId="2908A665" w:rsidR="00F42A40" w:rsidRPr="008C1B89" w:rsidRDefault="00F42A40" w:rsidP="009D734D">
            <w:pPr>
              <w:jc w:val="center"/>
              <w:rPr>
                <w:rFonts w:eastAsia="Times New Roman" w:cs="Calibri"/>
                <w:color w:val="000000"/>
                <w:sz w:val="20"/>
                <w:szCs w:val="20"/>
                <w:lang w:eastAsia="en-AU"/>
              </w:rPr>
            </w:pPr>
          </w:p>
        </w:tc>
        <w:tc>
          <w:tcPr>
            <w:tcW w:w="960" w:type="dxa"/>
            <w:tcBorders>
              <w:top w:val="nil"/>
              <w:left w:val="nil"/>
              <w:bottom w:val="single" w:sz="4" w:space="0" w:color="BFBFBF"/>
              <w:right w:val="single" w:sz="4" w:space="0" w:color="BFBFBF"/>
            </w:tcBorders>
            <w:shd w:val="clear" w:color="auto" w:fill="auto"/>
            <w:noWrap/>
            <w:hideMark/>
          </w:tcPr>
          <w:p w14:paraId="68038B20" w14:textId="0BC35C90"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39" w:type="dxa"/>
            <w:tcBorders>
              <w:top w:val="nil"/>
              <w:left w:val="nil"/>
              <w:bottom w:val="single" w:sz="4" w:space="0" w:color="BFBFBF"/>
              <w:right w:val="single" w:sz="4" w:space="0" w:color="BFBFBF"/>
            </w:tcBorders>
            <w:shd w:val="clear" w:color="000000" w:fill="FFFFFF"/>
            <w:noWrap/>
            <w:hideMark/>
          </w:tcPr>
          <w:p w14:paraId="6AFD4056" w14:textId="60C2A9BF" w:rsidR="00F42A40" w:rsidRPr="008C1B89" w:rsidRDefault="00F42A40" w:rsidP="00F42A40">
            <w:pPr>
              <w:jc w:val="center"/>
              <w:rPr>
                <w:rFonts w:eastAsia="Times New Roman" w:cs="Calibri"/>
                <w:color w:val="000000"/>
                <w:sz w:val="20"/>
                <w:szCs w:val="20"/>
                <w:lang w:eastAsia="en-AU"/>
              </w:rPr>
            </w:pPr>
            <w:r>
              <w:rPr>
                <w:color w:val="000000"/>
                <w:sz w:val="20"/>
                <w:szCs w:val="20"/>
              </w:rPr>
              <w:t>2024</w:t>
            </w:r>
          </w:p>
        </w:tc>
        <w:tc>
          <w:tcPr>
            <w:tcW w:w="739" w:type="dxa"/>
            <w:tcBorders>
              <w:top w:val="nil"/>
              <w:left w:val="nil"/>
              <w:bottom w:val="single" w:sz="4" w:space="0" w:color="BFBFBF"/>
              <w:right w:val="single" w:sz="4" w:space="0" w:color="BFBFBF"/>
            </w:tcBorders>
            <w:shd w:val="clear" w:color="000000" w:fill="FFFFFF"/>
            <w:noWrap/>
            <w:hideMark/>
          </w:tcPr>
          <w:p w14:paraId="109A0ACC" w14:textId="26F6EF63" w:rsidR="00F42A40" w:rsidRPr="008C1B89" w:rsidRDefault="00F42A40" w:rsidP="00F42A40">
            <w:pPr>
              <w:jc w:val="center"/>
              <w:rPr>
                <w:rFonts w:eastAsia="Times New Roman" w:cs="Calibri"/>
                <w:color w:val="000000"/>
                <w:sz w:val="20"/>
                <w:szCs w:val="20"/>
                <w:lang w:eastAsia="en-AU"/>
              </w:rPr>
            </w:pPr>
            <w:r>
              <w:rPr>
                <w:color w:val="000000"/>
                <w:sz w:val="20"/>
                <w:szCs w:val="20"/>
              </w:rPr>
              <w:t>2022</w:t>
            </w:r>
          </w:p>
        </w:tc>
        <w:tc>
          <w:tcPr>
            <w:tcW w:w="739" w:type="dxa"/>
            <w:tcBorders>
              <w:top w:val="nil"/>
              <w:left w:val="nil"/>
              <w:bottom w:val="single" w:sz="4" w:space="0" w:color="BFBFBF"/>
              <w:right w:val="single" w:sz="4" w:space="0" w:color="BFBFBF"/>
            </w:tcBorders>
            <w:shd w:val="clear" w:color="000000" w:fill="FFFFFF"/>
            <w:noWrap/>
            <w:hideMark/>
          </w:tcPr>
          <w:p w14:paraId="009CE8CA" w14:textId="6A4A6B20"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151" w:type="dxa"/>
            <w:vMerge/>
            <w:tcBorders>
              <w:top w:val="single" w:sz="4" w:space="0" w:color="808080"/>
              <w:left w:val="single" w:sz="4" w:space="0" w:color="BFBFBF"/>
              <w:bottom w:val="single" w:sz="4" w:space="0" w:color="BFBFBF"/>
              <w:right w:val="single" w:sz="4" w:space="0" w:color="BFBFBF"/>
            </w:tcBorders>
            <w:vAlign w:val="center"/>
            <w:hideMark/>
          </w:tcPr>
          <w:p w14:paraId="1E9B3519" w14:textId="77777777" w:rsidR="00F42A40" w:rsidRPr="008C1B89" w:rsidRDefault="00F42A40" w:rsidP="00F42A40">
            <w:pPr>
              <w:rPr>
                <w:rFonts w:eastAsia="Times New Roman" w:cs="Calibri"/>
                <w:color w:val="000000"/>
                <w:sz w:val="20"/>
                <w:szCs w:val="20"/>
                <w:lang w:eastAsia="en-AU"/>
              </w:rPr>
            </w:pPr>
          </w:p>
        </w:tc>
      </w:tr>
      <w:tr w:rsidR="00F42A40" w:rsidRPr="008C1B89" w14:paraId="39F51091"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B920047"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Bioremediation facility</w:t>
            </w:r>
          </w:p>
        </w:tc>
        <w:tc>
          <w:tcPr>
            <w:tcW w:w="891" w:type="dxa"/>
            <w:tcBorders>
              <w:top w:val="nil"/>
              <w:left w:val="nil"/>
              <w:bottom w:val="single" w:sz="4" w:space="0" w:color="BFBFBF"/>
              <w:right w:val="single" w:sz="4" w:space="0" w:color="BFBFBF"/>
            </w:tcBorders>
            <w:shd w:val="clear" w:color="000000" w:fill="FFFFFF"/>
            <w:noWrap/>
            <w:hideMark/>
          </w:tcPr>
          <w:p w14:paraId="7B216C2C" w14:textId="43FC9360" w:rsidR="00F42A40" w:rsidRPr="008C1B89" w:rsidRDefault="00F42A40" w:rsidP="00F42A40">
            <w:pPr>
              <w:jc w:val="right"/>
              <w:rPr>
                <w:rFonts w:eastAsia="Times New Roman" w:cs="Calibri"/>
                <w:color w:val="000000"/>
                <w:sz w:val="20"/>
                <w:szCs w:val="20"/>
                <w:lang w:eastAsia="en-AU"/>
              </w:rPr>
            </w:pPr>
            <w:r>
              <w:rPr>
                <w:color w:val="000000"/>
                <w:sz w:val="20"/>
                <w:szCs w:val="20"/>
              </w:rPr>
              <w:t>4,078</w:t>
            </w:r>
          </w:p>
        </w:tc>
        <w:tc>
          <w:tcPr>
            <w:tcW w:w="957" w:type="dxa"/>
            <w:tcBorders>
              <w:left w:val="nil"/>
              <w:right w:val="single" w:sz="4" w:space="0" w:color="BFBFBF"/>
            </w:tcBorders>
            <w:shd w:val="clear" w:color="auto" w:fill="auto"/>
            <w:noWrap/>
            <w:vAlign w:val="center"/>
            <w:hideMark/>
          </w:tcPr>
          <w:p w14:paraId="4C3FBFA8" w14:textId="4BE448CF" w:rsidR="00F42A40" w:rsidRPr="008C1B89" w:rsidRDefault="00F42A40" w:rsidP="009D734D">
            <w:pPr>
              <w:jc w:val="center"/>
              <w:rPr>
                <w:rFonts w:eastAsia="Times New Roman" w:cs="Calibri"/>
                <w:color w:val="000000"/>
                <w:sz w:val="20"/>
                <w:szCs w:val="20"/>
                <w:lang w:eastAsia="en-AU"/>
              </w:rPr>
            </w:pPr>
          </w:p>
        </w:tc>
        <w:tc>
          <w:tcPr>
            <w:tcW w:w="1023" w:type="dxa"/>
            <w:tcBorders>
              <w:left w:val="nil"/>
              <w:right w:val="single" w:sz="4" w:space="0" w:color="BFBFBF"/>
            </w:tcBorders>
            <w:shd w:val="clear" w:color="auto" w:fill="auto"/>
            <w:noWrap/>
            <w:vAlign w:val="center"/>
            <w:hideMark/>
          </w:tcPr>
          <w:p w14:paraId="44A86A9F" w14:textId="0FC9F80E" w:rsidR="00F42A40" w:rsidRPr="008C1B89" w:rsidRDefault="00F42A40" w:rsidP="009D734D">
            <w:pPr>
              <w:jc w:val="center"/>
              <w:rPr>
                <w:rFonts w:eastAsia="Times New Roman" w:cs="Calibri"/>
                <w:color w:val="000000"/>
                <w:sz w:val="20"/>
                <w:szCs w:val="20"/>
                <w:lang w:eastAsia="en-AU"/>
              </w:rPr>
            </w:pPr>
          </w:p>
        </w:tc>
        <w:tc>
          <w:tcPr>
            <w:tcW w:w="960" w:type="dxa"/>
            <w:tcBorders>
              <w:top w:val="nil"/>
              <w:left w:val="nil"/>
              <w:bottom w:val="single" w:sz="4" w:space="0" w:color="BFBFBF"/>
              <w:right w:val="single" w:sz="4" w:space="0" w:color="BFBFBF"/>
            </w:tcBorders>
            <w:shd w:val="clear" w:color="auto" w:fill="auto"/>
            <w:noWrap/>
            <w:hideMark/>
          </w:tcPr>
          <w:p w14:paraId="0C0F2065" w14:textId="44002246"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3B5A72DF" w14:textId="542FBF48"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17F5A6FC" w14:textId="4E11069A"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4613E072" w14:textId="7E372FDD"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51" w:type="dxa"/>
            <w:vMerge/>
            <w:tcBorders>
              <w:top w:val="single" w:sz="4" w:space="0" w:color="808080"/>
              <w:left w:val="single" w:sz="4" w:space="0" w:color="BFBFBF"/>
              <w:bottom w:val="single" w:sz="4" w:space="0" w:color="BFBFBF"/>
              <w:right w:val="single" w:sz="4" w:space="0" w:color="BFBFBF"/>
            </w:tcBorders>
            <w:vAlign w:val="center"/>
            <w:hideMark/>
          </w:tcPr>
          <w:p w14:paraId="03965986" w14:textId="77777777" w:rsidR="00F42A40" w:rsidRPr="008C1B89" w:rsidRDefault="00F42A40" w:rsidP="00F42A40">
            <w:pPr>
              <w:rPr>
                <w:rFonts w:eastAsia="Times New Roman" w:cs="Calibri"/>
                <w:color w:val="000000"/>
                <w:sz w:val="20"/>
                <w:szCs w:val="20"/>
                <w:lang w:eastAsia="en-AU"/>
              </w:rPr>
            </w:pPr>
          </w:p>
        </w:tc>
      </w:tr>
      <w:tr w:rsidR="00F42A40" w:rsidRPr="008C1B89" w14:paraId="7E331F69"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9896EEF" w14:textId="4D539AE1" w:rsidR="00F42A40" w:rsidRPr="008C1B89" w:rsidRDefault="00F42A40" w:rsidP="00F42A40">
            <w:pPr>
              <w:jc w:val="right"/>
              <w:rPr>
                <w:rFonts w:eastAsia="Times New Roman" w:cs="Calibri"/>
                <w:color w:val="000000"/>
                <w:sz w:val="20"/>
                <w:szCs w:val="20"/>
                <w:lang w:eastAsia="en-AU"/>
              </w:rPr>
            </w:pPr>
            <w:r>
              <w:rPr>
                <w:rFonts w:eastAsia="Times New Roman" w:cs="Calibri"/>
                <w:color w:val="000000"/>
                <w:sz w:val="20"/>
                <w:szCs w:val="20"/>
                <w:lang w:eastAsia="en-AU"/>
              </w:rPr>
              <w:t>OWT</w:t>
            </w:r>
            <w:r w:rsidRPr="008C1B89">
              <w:rPr>
                <w:rFonts w:eastAsia="Times New Roman" w:cs="Calibri"/>
                <w:color w:val="000000"/>
                <w:sz w:val="20"/>
                <w:szCs w:val="20"/>
                <w:lang w:eastAsia="en-AU"/>
              </w:rPr>
              <w:t xml:space="preserve"> facility  </w:t>
            </w:r>
          </w:p>
        </w:tc>
        <w:tc>
          <w:tcPr>
            <w:tcW w:w="891" w:type="dxa"/>
            <w:tcBorders>
              <w:top w:val="nil"/>
              <w:left w:val="nil"/>
              <w:bottom w:val="single" w:sz="4" w:space="0" w:color="BFBFBF"/>
              <w:right w:val="single" w:sz="4" w:space="0" w:color="BFBFBF"/>
            </w:tcBorders>
            <w:shd w:val="clear" w:color="000000" w:fill="FFFFFF"/>
            <w:noWrap/>
            <w:hideMark/>
          </w:tcPr>
          <w:p w14:paraId="78717BA5" w14:textId="26341D09" w:rsidR="00F42A40" w:rsidRPr="008C1B89" w:rsidRDefault="00F42A40" w:rsidP="00F42A40">
            <w:pPr>
              <w:jc w:val="right"/>
              <w:rPr>
                <w:rFonts w:eastAsia="Times New Roman" w:cs="Calibri"/>
                <w:color w:val="000000"/>
                <w:sz w:val="20"/>
                <w:szCs w:val="20"/>
                <w:lang w:eastAsia="en-AU"/>
              </w:rPr>
            </w:pPr>
            <w:r>
              <w:rPr>
                <w:color w:val="000000"/>
                <w:sz w:val="20"/>
                <w:szCs w:val="20"/>
              </w:rPr>
              <w:t>17,826</w:t>
            </w:r>
          </w:p>
        </w:tc>
        <w:tc>
          <w:tcPr>
            <w:tcW w:w="957" w:type="dxa"/>
            <w:tcBorders>
              <w:left w:val="nil"/>
              <w:right w:val="single" w:sz="4" w:space="0" w:color="BFBFBF"/>
            </w:tcBorders>
            <w:shd w:val="clear" w:color="auto" w:fill="auto"/>
            <w:noWrap/>
            <w:vAlign w:val="center"/>
            <w:hideMark/>
          </w:tcPr>
          <w:p w14:paraId="34A16B51" w14:textId="523DF62B" w:rsidR="00F42A40" w:rsidRPr="008C1B89" w:rsidRDefault="00F42A40" w:rsidP="009D734D">
            <w:pPr>
              <w:jc w:val="center"/>
              <w:rPr>
                <w:rFonts w:eastAsia="Times New Roman" w:cs="Calibri"/>
                <w:color w:val="000000"/>
                <w:sz w:val="20"/>
                <w:szCs w:val="20"/>
                <w:lang w:eastAsia="en-AU"/>
              </w:rPr>
            </w:pPr>
          </w:p>
        </w:tc>
        <w:tc>
          <w:tcPr>
            <w:tcW w:w="1023" w:type="dxa"/>
            <w:tcBorders>
              <w:left w:val="nil"/>
              <w:right w:val="single" w:sz="4" w:space="0" w:color="BFBFBF"/>
            </w:tcBorders>
            <w:shd w:val="clear" w:color="auto" w:fill="auto"/>
            <w:noWrap/>
            <w:vAlign w:val="center"/>
            <w:hideMark/>
          </w:tcPr>
          <w:p w14:paraId="2F9EDE5D" w14:textId="2E19BB98" w:rsidR="00F42A40" w:rsidRPr="008C1B89" w:rsidRDefault="00F42A40" w:rsidP="009D734D">
            <w:pPr>
              <w:jc w:val="center"/>
              <w:rPr>
                <w:rFonts w:eastAsia="Times New Roman" w:cs="Calibri"/>
                <w:color w:val="000000"/>
                <w:sz w:val="20"/>
                <w:szCs w:val="20"/>
                <w:lang w:eastAsia="en-AU"/>
              </w:rPr>
            </w:pPr>
          </w:p>
        </w:tc>
        <w:tc>
          <w:tcPr>
            <w:tcW w:w="960" w:type="dxa"/>
            <w:tcBorders>
              <w:top w:val="nil"/>
              <w:left w:val="nil"/>
              <w:bottom w:val="single" w:sz="4" w:space="0" w:color="BFBFBF"/>
              <w:right w:val="single" w:sz="4" w:space="0" w:color="BFBFBF"/>
            </w:tcBorders>
            <w:shd w:val="clear" w:color="auto" w:fill="auto"/>
            <w:noWrap/>
            <w:hideMark/>
          </w:tcPr>
          <w:p w14:paraId="7CC56AC0" w14:textId="5A0E2777"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39" w:type="dxa"/>
            <w:tcBorders>
              <w:top w:val="nil"/>
              <w:left w:val="nil"/>
              <w:bottom w:val="single" w:sz="4" w:space="0" w:color="BFBFBF"/>
              <w:right w:val="single" w:sz="4" w:space="0" w:color="BFBFBF"/>
            </w:tcBorders>
            <w:shd w:val="clear" w:color="000000" w:fill="FFFFFF"/>
            <w:noWrap/>
            <w:hideMark/>
          </w:tcPr>
          <w:p w14:paraId="3C9D4734" w14:textId="6C0CF56A"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39" w:type="dxa"/>
            <w:tcBorders>
              <w:top w:val="nil"/>
              <w:left w:val="nil"/>
              <w:bottom w:val="single" w:sz="4" w:space="0" w:color="BFBFBF"/>
              <w:right w:val="single" w:sz="4" w:space="0" w:color="BFBFBF"/>
            </w:tcBorders>
            <w:shd w:val="clear" w:color="000000" w:fill="FFFFFF"/>
            <w:noWrap/>
            <w:hideMark/>
          </w:tcPr>
          <w:p w14:paraId="78C16EAD" w14:textId="482FE702"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39" w:type="dxa"/>
            <w:tcBorders>
              <w:top w:val="nil"/>
              <w:left w:val="nil"/>
              <w:bottom w:val="single" w:sz="4" w:space="0" w:color="BFBFBF"/>
              <w:right w:val="single" w:sz="4" w:space="0" w:color="BFBFBF"/>
            </w:tcBorders>
            <w:shd w:val="clear" w:color="000000" w:fill="FFFFFF"/>
            <w:noWrap/>
            <w:hideMark/>
          </w:tcPr>
          <w:p w14:paraId="2FBFEC6B" w14:textId="70BE092C"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151" w:type="dxa"/>
            <w:vMerge/>
            <w:tcBorders>
              <w:top w:val="single" w:sz="4" w:space="0" w:color="808080"/>
              <w:left w:val="single" w:sz="4" w:space="0" w:color="BFBFBF"/>
              <w:bottom w:val="single" w:sz="4" w:space="0" w:color="BFBFBF"/>
              <w:right w:val="single" w:sz="4" w:space="0" w:color="BFBFBF"/>
            </w:tcBorders>
            <w:vAlign w:val="center"/>
            <w:hideMark/>
          </w:tcPr>
          <w:p w14:paraId="70DD8B3A" w14:textId="77777777" w:rsidR="00F42A40" w:rsidRPr="008C1B89" w:rsidRDefault="00F42A40" w:rsidP="00F42A40">
            <w:pPr>
              <w:rPr>
                <w:rFonts w:eastAsia="Times New Roman" w:cs="Calibri"/>
                <w:color w:val="000000"/>
                <w:sz w:val="20"/>
                <w:szCs w:val="20"/>
                <w:lang w:eastAsia="en-AU"/>
              </w:rPr>
            </w:pPr>
          </w:p>
        </w:tc>
      </w:tr>
      <w:tr w:rsidR="00F42A40" w:rsidRPr="008C1B89" w14:paraId="55F7CDEA"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A48FC5A"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Soils treatment facility</w:t>
            </w:r>
          </w:p>
        </w:tc>
        <w:tc>
          <w:tcPr>
            <w:tcW w:w="891" w:type="dxa"/>
            <w:tcBorders>
              <w:top w:val="nil"/>
              <w:left w:val="nil"/>
              <w:bottom w:val="single" w:sz="4" w:space="0" w:color="BFBFBF"/>
              <w:right w:val="single" w:sz="4" w:space="0" w:color="BFBFBF"/>
            </w:tcBorders>
            <w:shd w:val="clear" w:color="000000" w:fill="FFFFFF"/>
            <w:noWrap/>
            <w:hideMark/>
          </w:tcPr>
          <w:p w14:paraId="2D05D041" w14:textId="4572C7D5" w:rsidR="00F42A40" w:rsidRPr="008C1B89" w:rsidRDefault="00F42A40" w:rsidP="00F42A40">
            <w:pPr>
              <w:jc w:val="right"/>
              <w:rPr>
                <w:rFonts w:eastAsia="Times New Roman" w:cs="Calibri"/>
                <w:color w:val="000000"/>
                <w:sz w:val="20"/>
                <w:szCs w:val="20"/>
                <w:lang w:eastAsia="en-AU"/>
              </w:rPr>
            </w:pPr>
            <w:r>
              <w:rPr>
                <w:color w:val="000000"/>
                <w:sz w:val="20"/>
                <w:szCs w:val="20"/>
              </w:rPr>
              <w:t>46,148</w:t>
            </w:r>
          </w:p>
        </w:tc>
        <w:tc>
          <w:tcPr>
            <w:tcW w:w="957" w:type="dxa"/>
            <w:tcBorders>
              <w:left w:val="nil"/>
              <w:bottom w:val="single" w:sz="4" w:space="0" w:color="BFBFBF"/>
              <w:right w:val="single" w:sz="4" w:space="0" w:color="BFBFBF"/>
            </w:tcBorders>
            <w:shd w:val="clear" w:color="auto" w:fill="auto"/>
            <w:noWrap/>
            <w:vAlign w:val="center"/>
            <w:hideMark/>
          </w:tcPr>
          <w:p w14:paraId="531312FF" w14:textId="2C3E863E" w:rsidR="00F42A40" w:rsidRPr="008C1B89" w:rsidRDefault="00F42A40" w:rsidP="009D734D">
            <w:pPr>
              <w:jc w:val="center"/>
              <w:rPr>
                <w:rFonts w:eastAsia="Times New Roman" w:cs="Calibri"/>
                <w:color w:val="000000"/>
                <w:sz w:val="20"/>
                <w:szCs w:val="20"/>
                <w:lang w:eastAsia="en-AU"/>
              </w:rPr>
            </w:pPr>
          </w:p>
        </w:tc>
        <w:tc>
          <w:tcPr>
            <w:tcW w:w="1023" w:type="dxa"/>
            <w:tcBorders>
              <w:left w:val="nil"/>
              <w:bottom w:val="single" w:sz="4" w:space="0" w:color="BFBFBF"/>
              <w:right w:val="single" w:sz="4" w:space="0" w:color="BFBFBF"/>
            </w:tcBorders>
            <w:shd w:val="clear" w:color="auto" w:fill="auto"/>
            <w:noWrap/>
            <w:vAlign w:val="center"/>
            <w:hideMark/>
          </w:tcPr>
          <w:p w14:paraId="1DCCA21F" w14:textId="75B0D20F" w:rsidR="00F42A40" w:rsidRPr="008C1B89" w:rsidRDefault="00F42A40" w:rsidP="009D734D">
            <w:pPr>
              <w:jc w:val="center"/>
              <w:rPr>
                <w:rFonts w:eastAsia="Times New Roman" w:cs="Calibri"/>
                <w:color w:val="000000"/>
                <w:sz w:val="20"/>
                <w:szCs w:val="20"/>
                <w:lang w:eastAsia="en-AU"/>
              </w:rPr>
            </w:pPr>
          </w:p>
        </w:tc>
        <w:tc>
          <w:tcPr>
            <w:tcW w:w="960" w:type="dxa"/>
            <w:tcBorders>
              <w:top w:val="nil"/>
              <w:left w:val="nil"/>
              <w:bottom w:val="single" w:sz="4" w:space="0" w:color="BFBFBF"/>
              <w:right w:val="single" w:sz="4" w:space="0" w:color="BFBFBF"/>
            </w:tcBorders>
            <w:shd w:val="clear" w:color="auto" w:fill="auto"/>
            <w:noWrap/>
            <w:hideMark/>
          </w:tcPr>
          <w:p w14:paraId="4E743ECD" w14:textId="2D609788"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39" w:type="dxa"/>
            <w:tcBorders>
              <w:top w:val="nil"/>
              <w:left w:val="nil"/>
              <w:bottom w:val="single" w:sz="4" w:space="0" w:color="BFBFBF"/>
              <w:right w:val="single" w:sz="4" w:space="0" w:color="BFBFBF"/>
            </w:tcBorders>
            <w:shd w:val="clear" w:color="000000" w:fill="FFFFFF"/>
            <w:noWrap/>
            <w:hideMark/>
          </w:tcPr>
          <w:p w14:paraId="5C9A1982" w14:textId="6DA20F20"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39" w:type="dxa"/>
            <w:tcBorders>
              <w:top w:val="nil"/>
              <w:left w:val="nil"/>
              <w:bottom w:val="single" w:sz="4" w:space="0" w:color="BFBFBF"/>
              <w:right w:val="single" w:sz="4" w:space="0" w:color="BFBFBF"/>
            </w:tcBorders>
            <w:shd w:val="clear" w:color="000000" w:fill="FFFFFF"/>
            <w:noWrap/>
            <w:hideMark/>
          </w:tcPr>
          <w:p w14:paraId="1ED184AB" w14:textId="7D2B2CD7"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39" w:type="dxa"/>
            <w:tcBorders>
              <w:top w:val="nil"/>
              <w:left w:val="nil"/>
              <w:bottom w:val="single" w:sz="4" w:space="0" w:color="BFBFBF"/>
              <w:right w:val="single" w:sz="4" w:space="0" w:color="BFBFBF"/>
            </w:tcBorders>
            <w:shd w:val="clear" w:color="000000" w:fill="FFFFFF"/>
            <w:noWrap/>
            <w:hideMark/>
          </w:tcPr>
          <w:p w14:paraId="66DB51EF" w14:textId="7C643BCC"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151" w:type="dxa"/>
            <w:vMerge/>
            <w:tcBorders>
              <w:top w:val="single" w:sz="4" w:space="0" w:color="808080"/>
              <w:left w:val="single" w:sz="4" w:space="0" w:color="BFBFBF"/>
              <w:bottom w:val="single" w:sz="4" w:space="0" w:color="BFBFBF"/>
              <w:right w:val="single" w:sz="4" w:space="0" w:color="BFBFBF"/>
            </w:tcBorders>
            <w:vAlign w:val="center"/>
            <w:hideMark/>
          </w:tcPr>
          <w:p w14:paraId="06E33869" w14:textId="77777777" w:rsidR="00F42A40" w:rsidRPr="008C1B89" w:rsidRDefault="00F42A40" w:rsidP="00F42A40">
            <w:pPr>
              <w:rPr>
                <w:rFonts w:eastAsia="Times New Roman" w:cs="Calibri"/>
                <w:color w:val="000000"/>
                <w:sz w:val="20"/>
                <w:szCs w:val="20"/>
                <w:lang w:eastAsia="en-AU"/>
              </w:rPr>
            </w:pPr>
          </w:p>
        </w:tc>
      </w:tr>
      <w:tr w:rsidR="009D734D" w:rsidRPr="008C1B89" w14:paraId="5E014C91"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1EA36593" w14:textId="77777777" w:rsidR="00F42A40" w:rsidRPr="008C1B89" w:rsidRDefault="00F42A40" w:rsidP="00F42A40">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Disposal</w:t>
            </w:r>
          </w:p>
        </w:tc>
        <w:tc>
          <w:tcPr>
            <w:tcW w:w="891" w:type="dxa"/>
            <w:tcBorders>
              <w:top w:val="nil"/>
              <w:left w:val="nil"/>
              <w:bottom w:val="single" w:sz="4" w:space="0" w:color="BFBFBF"/>
              <w:right w:val="single" w:sz="4" w:space="0" w:color="BFBFBF"/>
            </w:tcBorders>
            <w:shd w:val="clear" w:color="000000" w:fill="C5D9F1"/>
            <w:noWrap/>
            <w:hideMark/>
          </w:tcPr>
          <w:p w14:paraId="7D7C6A87" w14:textId="2C56FF84"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957" w:type="dxa"/>
            <w:tcBorders>
              <w:top w:val="nil"/>
              <w:left w:val="nil"/>
              <w:bottom w:val="single" w:sz="4" w:space="0" w:color="BFBFBF"/>
              <w:right w:val="nil"/>
            </w:tcBorders>
            <w:shd w:val="clear" w:color="000000" w:fill="C5D9F1"/>
            <w:noWrap/>
            <w:vAlign w:val="center"/>
            <w:hideMark/>
          </w:tcPr>
          <w:p w14:paraId="290FAABD" w14:textId="0B7C40B2" w:rsidR="00F42A40" w:rsidRPr="008C1B89" w:rsidRDefault="00F42A40" w:rsidP="009D734D">
            <w:pPr>
              <w:jc w:val="center"/>
              <w:rPr>
                <w:rFonts w:eastAsia="Times New Roman" w:cs="Calibri"/>
                <w:color w:val="000000"/>
                <w:sz w:val="20"/>
                <w:szCs w:val="20"/>
                <w:lang w:eastAsia="en-AU"/>
              </w:rPr>
            </w:pPr>
          </w:p>
        </w:tc>
        <w:tc>
          <w:tcPr>
            <w:tcW w:w="1023" w:type="dxa"/>
            <w:tcBorders>
              <w:top w:val="nil"/>
              <w:left w:val="nil"/>
              <w:bottom w:val="single" w:sz="4" w:space="0" w:color="BFBFBF"/>
              <w:right w:val="nil"/>
            </w:tcBorders>
            <w:shd w:val="clear" w:color="000000" w:fill="C5D9F1"/>
            <w:noWrap/>
            <w:vAlign w:val="center"/>
            <w:hideMark/>
          </w:tcPr>
          <w:p w14:paraId="5915EB80" w14:textId="38CA9700" w:rsidR="00F42A40" w:rsidRPr="008C1B89" w:rsidRDefault="00F42A40" w:rsidP="009D734D">
            <w:pPr>
              <w:jc w:val="center"/>
              <w:rPr>
                <w:rFonts w:eastAsia="Times New Roman" w:cs="Calibri"/>
                <w:color w:val="000000"/>
                <w:sz w:val="20"/>
                <w:szCs w:val="20"/>
                <w:lang w:eastAsia="en-AU"/>
              </w:rPr>
            </w:pPr>
          </w:p>
        </w:tc>
        <w:tc>
          <w:tcPr>
            <w:tcW w:w="960" w:type="dxa"/>
            <w:tcBorders>
              <w:top w:val="nil"/>
              <w:left w:val="nil"/>
              <w:bottom w:val="single" w:sz="4" w:space="0" w:color="BFBFBF"/>
              <w:right w:val="single" w:sz="4" w:space="0" w:color="BFBFBF"/>
            </w:tcBorders>
            <w:shd w:val="clear" w:color="000000" w:fill="C5D9F1"/>
            <w:noWrap/>
            <w:hideMark/>
          </w:tcPr>
          <w:p w14:paraId="38F87B58" w14:textId="20F5A730"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39" w:type="dxa"/>
            <w:tcBorders>
              <w:top w:val="nil"/>
              <w:left w:val="nil"/>
              <w:bottom w:val="single" w:sz="4" w:space="0" w:color="BFBFBF"/>
              <w:right w:val="single" w:sz="4" w:space="0" w:color="BFBFBF"/>
            </w:tcBorders>
            <w:shd w:val="clear" w:color="000000" w:fill="C5D9F1"/>
            <w:noWrap/>
            <w:hideMark/>
          </w:tcPr>
          <w:p w14:paraId="2FA0C3C0" w14:textId="0B1BB05C"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39" w:type="dxa"/>
            <w:tcBorders>
              <w:top w:val="nil"/>
              <w:left w:val="nil"/>
              <w:bottom w:val="single" w:sz="4" w:space="0" w:color="BFBFBF"/>
              <w:right w:val="single" w:sz="4" w:space="0" w:color="BFBFBF"/>
            </w:tcBorders>
            <w:shd w:val="clear" w:color="000000" w:fill="C5D9F1"/>
            <w:noWrap/>
            <w:hideMark/>
          </w:tcPr>
          <w:p w14:paraId="45825BFD" w14:textId="40497DAF"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39" w:type="dxa"/>
            <w:tcBorders>
              <w:top w:val="nil"/>
              <w:left w:val="nil"/>
              <w:bottom w:val="single" w:sz="4" w:space="0" w:color="BFBFBF"/>
              <w:right w:val="single" w:sz="4" w:space="0" w:color="BFBFBF"/>
            </w:tcBorders>
            <w:shd w:val="clear" w:color="000000" w:fill="C5D9F1"/>
            <w:noWrap/>
            <w:hideMark/>
          </w:tcPr>
          <w:p w14:paraId="350FDE70" w14:textId="5E676842"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5151" w:type="dxa"/>
            <w:vMerge/>
            <w:tcBorders>
              <w:top w:val="single" w:sz="4" w:space="0" w:color="808080"/>
              <w:left w:val="single" w:sz="4" w:space="0" w:color="BFBFBF"/>
              <w:bottom w:val="single" w:sz="4" w:space="0" w:color="BFBFBF"/>
              <w:right w:val="single" w:sz="4" w:space="0" w:color="BFBFBF"/>
            </w:tcBorders>
            <w:vAlign w:val="center"/>
            <w:hideMark/>
          </w:tcPr>
          <w:p w14:paraId="3CD54D3F" w14:textId="77777777" w:rsidR="00F42A40" w:rsidRPr="008C1B89" w:rsidRDefault="00F42A40" w:rsidP="00F42A40">
            <w:pPr>
              <w:rPr>
                <w:rFonts w:eastAsia="Times New Roman" w:cs="Calibri"/>
                <w:color w:val="000000"/>
                <w:sz w:val="20"/>
                <w:szCs w:val="20"/>
                <w:lang w:eastAsia="en-AU"/>
              </w:rPr>
            </w:pPr>
          </w:p>
        </w:tc>
      </w:tr>
      <w:tr w:rsidR="00F42A40" w:rsidRPr="008C1B89" w14:paraId="279C53C6"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72E338FB"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 xml:space="preserve">Hazardous waste landfill facility </w:t>
            </w:r>
          </w:p>
        </w:tc>
        <w:tc>
          <w:tcPr>
            <w:tcW w:w="891" w:type="dxa"/>
            <w:tcBorders>
              <w:top w:val="nil"/>
              <w:left w:val="nil"/>
              <w:bottom w:val="single" w:sz="4" w:space="0" w:color="BFBFBF"/>
              <w:right w:val="single" w:sz="4" w:space="0" w:color="BFBFBF"/>
            </w:tcBorders>
            <w:shd w:val="clear" w:color="000000" w:fill="FFFFFF"/>
            <w:noWrap/>
            <w:hideMark/>
          </w:tcPr>
          <w:p w14:paraId="120DDB04" w14:textId="401782F8" w:rsidR="00F42A40" w:rsidRPr="008C1B89" w:rsidRDefault="00F42A40" w:rsidP="00F42A40">
            <w:pPr>
              <w:jc w:val="right"/>
              <w:rPr>
                <w:rFonts w:eastAsia="Times New Roman" w:cs="Calibri"/>
                <w:color w:val="000000"/>
                <w:sz w:val="20"/>
                <w:szCs w:val="20"/>
                <w:lang w:eastAsia="en-AU"/>
              </w:rPr>
            </w:pPr>
            <w:r>
              <w:rPr>
                <w:color w:val="000000"/>
                <w:sz w:val="20"/>
                <w:szCs w:val="20"/>
              </w:rPr>
              <w:t>43,557</w:t>
            </w:r>
          </w:p>
        </w:tc>
        <w:tc>
          <w:tcPr>
            <w:tcW w:w="957" w:type="dxa"/>
            <w:tcBorders>
              <w:top w:val="nil"/>
              <w:left w:val="nil"/>
              <w:right w:val="single" w:sz="4" w:space="0" w:color="BFBFBF"/>
            </w:tcBorders>
            <w:shd w:val="clear" w:color="auto" w:fill="auto"/>
            <w:noWrap/>
            <w:vAlign w:val="center"/>
            <w:hideMark/>
          </w:tcPr>
          <w:p w14:paraId="3897D63C" w14:textId="1B778BFA"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23" w:type="dxa"/>
            <w:tcBorders>
              <w:top w:val="nil"/>
              <w:left w:val="nil"/>
              <w:right w:val="single" w:sz="4" w:space="0" w:color="BFBFBF"/>
            </w:tcBorders>
            <w:shd w:val="clear" w:color="auto" w:fill="auto"/>
            <w:noWrap/>
            <w:vAlign w:val="center"/>
            <w:hideMark/>
          </w:tcPr>
          <w:p w14:paraId="340294F6" w14:textId="5441B97B"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60" w:type="dxa"/>
            <w:tcBorders>
              <w:top w:val="nil"/>
              <w:left w:val="nil"/>
              <w:bottom w:val="single" w:sz="4" w:space="0" w:color="BFBFBF"/>
              <w:right w:val="single" w:sz="4" w:space="0" w:color="BFBFBF"/>
            </w:tcBorders>
            <w:shd w:val="clear" w:color="auto" w:fill="auto"/>
            <w:noWrap/>
            <w:hideMark/>
          </w:tcPr>
          <w:p w14:paraId="6219810D" w14:textId="111D38FB"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39" w:type="dxa"/>
            <w:tcBorders>
              <w:top w:val="nil"/>
              <w:left w:val="nil"/>
              <w:bottom w:val="single" w:sz="4" w:space="0" w:color="BFBFBF"/>
              <w:right w:val="single" w:sz="4" w:space="0" w:color="BFBFBF"/>
            </w:tcBorders>
            <w:shd w:val="clear" w:color="000000" w:fill="FFFFFF"/>
            <w:noWrap/>
            <w:hideMark/>
          </w:tcPr>
          <w:p w14:paraId="0778A7D8" w14:textId="291FAD4E" w:rsidR="00F42A40" w:rsidRPr="008C1B89" w:rsidRDefault="00F42A40" w:rsidP="00F42A40">
            <w:pPr>
              <w:jc w:val="center"/>
              <w:rPr>
                <w:rFonts w:eastAsia="Times New Roman" w:cs="Calibri"/>
                <w:color w:val="000000"/>
                <w:sz w:val="20"/>
                <w:szCs w:val="20"/>
                <w:lang w:eastAsia="en-AU"/>
              </w:rPr>
            </w:pPr>
            <w:r>
              <w:rPr>
                <w:color w:val="000000"/>
                <w:sz w:val="20"/>
                <w:szCs w:val="20"/>
              </w:rPr>
              <w:t>2020</w:t>
            </w:r>
          </w:p>
        </w:tc>
        <w:tc>
          <w:tcPr>
            <w:tcW w:w="739" w:type="dxa"/>
            <w:tcBorders>
              <w:top w:val="nil"/>
              <w:left w:val="nil"/>
              <w:bottom w:val="single" w:sz="4" w:space="0" w:color="BFBFBF"/>
              <w:right w:val="single" w:sz="4" w:space="0" w:color="BFBFBF"/>
            </w:tcBorders>
            <w:shd w:val="clear" w:color="000000" w:fill="FFFFFF"/>
            <w:noWrap/>
            <w:hideMark/>
          </w:tcPr>
          <w:p w14:paraId="3ACBADF6" w14:textId="3F48650C" w:rsidR="00F42A40" w:rsidRPr="008C1B89" w:rsidRDefault="00F42A40" w:rsidP="00F42A40">
            <w:pPr>
              <w:jc w:val="center"/>
              <w:rPr>
                <w:rFonts w:eastAsia="Times New Roman" w:cs="Calibri"/>
                <w:color w:val="000000"/>
                <w:sz w:val="20"/>
                <w:szCs w:val="20"/>
                <w:lang w:eastAsia="en-AU"/>
              </w:rPr>
            </w:pPr>
            <w:r>
              <w:rPr>
                <w:color w:val="000000"/>
                <w:sz w:val="20"/>
                <w:szCs w:val="20"/>
              </w:rPr>
              <w:t>2020</w:t>
            </w:r>
          </w:p>
        </w:tc>
        <w:tc>
          <w:tcPr>
            <w:tcW w:w="739" w:type="dxa"/>
            <w:tcBorders>
              <w:top w:val="nil"/>
              <w:left w:val="nil"/>
              <w:bottom w:val="single" w:sz="4" w:space="0" w:color="BFBFBF"/>
              <w:right w:val="single" w:sz="4" w:space="0" w:color="BFBFBF"/>
            </w:tcBorders>
            <w:shd w:val="clear" w:color="000000" w:fill="FFFFFF"/>
            <w:noWrap/>
            <w:hideMark/>
          </w:tcPr>
          <w:p w14:paraId="32DD7B74" w14:textId="575963C9"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151" w:type="dxa"/>
            <w:vMerge/>
            <w:tcBorders>
              <w:top w:val="single" w:sz="4" w:space="0" w:color="808080"/>
              <w:left w:val="single" w:sz="4" w:space="0" w:color="BFBFBF"/>
              <w:bottom w:val="single" w:sz="4" w:space="0" w:color="BFBFBF"/>
              <w:right w:val="single" w:sz="4" w:space="0" w:color="BFBFBF"/>
            </w:tcBorders>
            <w:vAlign w:val="center"/>
            <w:hideMark/>
          </w:tcPr>
          <w:p w14:paraId="75D5D6BF" w14:textId="77777777" w:rsidR="00F42A40" w:rsidRPr="008C1B89" w:rsidRDefault="00F42A40" w:rsidP="00F42A40">
            <w:pPr>
              <w:rPr>
                <w:rFonts w:eastAsia="Times New Roman" w:cs="Calibri"/>
                <w:color w:val="000000"/>
                <w:sz w:val="20"/>
                <w:szCs w:val="20"/>
                <w:lang w:eastAsia="en-AU"/>
              </w:rPr>
            </w:pPr>
          </w:p>
        </w:tc>
      </w:tr>
      <w:tr w:rsidR="00F42A40" w:rsidRPr="008C1B89" w14:paraId="7BFD76F6"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3346AC78"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Landfill facility (NEPM codes N, T)</w:t>
            </w:r>
          </w:p>
        </w:tc>
        <w:tc>
          <w:tcPr>
            <w:tcW w:w="891" w:type="dxa"/>
            <w:tcBorders>
              <w:top w:val="nil"/>
              <w:left w:val="nil"/>
              <w:bottom w:val="single" w:sz="4" w:space="0" w:color="BFBFBF"/>
              <w:right w:val="single" w:sz="4" w:space="0" w:color="BFBFBF"/>
            </w:tcBorders>
            <w:shd w:val="clear" w:color="000000" w:fill="FFFFFF"/>
            <w:noWrap/>
            <w:hideMark/>
          </w:tcPr>
          <w:p w14:paraId="395353C2" w14:textId="1B55FB7A" w:rsidR="00F42A40" w:rsidRPr="008C1B89" w:rsidRDefault="00F42A40" w:rsidP="00F42A40">
            <w:pPr>
              <w:jc w:val="right"/>
              <w:rPr>
                <w:rFonts w:eastAsia="Times New Roman" w:cs="Calibri"/>
                <w:color w:val="000000"/>
                <w:sz w:val="20"/>
                <w:szCs w:val="20"/>
                <w:lang w:eastAsia="en-AU"/>
              </w:rPr>
            </w:pPr>
            <w:r>
              <w:rPr>
                <w:color w:val="000000"/>
                <w:sz w:val="20"/>
                <w:szCs w:val="20"/>
              </w:rPr>
              <w:t>582,811</w:t>
            </w:r>
          </w:p>
        </w:tc>
        <w:tc>
          <w:tcPr>
            <w:tcW w:w="957" w:type="dxa"/>
            <w:tcBorders>
              <w:left w:val="nil"/>
              <w:right w:val="single" w:sz="4" w:space="0" w:color="BFBFBF"/>
            </w:tcBorders>
            <w:shd w:val="clear" w:color="auto" w:fill="auto"/>
            <w:noWrap/>
            <w:vAlign w:val="center"/>
            <w:hideMark/>
          </w:tcPr>
          <w:p w14:paraId="4CC0FCFD" w14:textId="78757E58" w:rsidR="00F42A40" w:rsidRPr="008C1B89" w:rsidRDefault="00F42A40" w:rsidP="009D734D">
            <w:pPr>
              <w:jc w:val="center"/>
              <w:rPr>
                <w:rFonts w:eastAsia="Times New Roman" w:cs="Calibri"/>
                <w:color w:val="000000"/>
                <w:sz w:val="20"/>
                <w:szCs w:val="20"/>
                <w:lang w:eastAsia="en-AU"/>
              </w:rPr>
            </w:pPr>
          </w:p>
        </w:tc>
        <w:tc>
          <w:tcPr>
            <w:tcW w:w="1023" w:type="dxa"/>
            <w:tcBorders>
              <w:left w:val="nil"/>
              <w:right w:val="single" w:sz="4" w:space="0" w:color="BFBFBF"/>
            </w:tcBorders>
            <w:shd w:val="clear" w:color="auto" w:fill="auto"/>
            <w:noWrap/>
            <w:vAlign w:val="center"/>
            <w:hideMark/>
          </w:tcPr>
          <w:p w14:paraId="22B642A4" w14:textId="4E7CEDEE" w:rsidR="00F42A40" w:rsidRPr="008C1B89" w:rsidRDefault="00F42A40" w:rsidP="009D734D">
            <w:pPr>
              <w:jc w:val="center"/>
              <w:rPr>
                <w:rFonts w:eastAsia="Times New Roman" w:cs="Calibri"/>
                <w:color w:val="000000"/>
                <w:sz w:val="20"/>
                <w:szCs w:val="20"/>
                <w:lang w:eastAsia="en-AU"/>
              </w:rPr>
            </w:pPr>
          </w:p>
        </w:tc>
        <w:tc>
          <w:tcPr>
            <w:tcW w:w="960" w:type="dxa"/>
            <w:tcBorders>
              <w:top w:val="nil"/>
              <w:left w:val="nil"/>
              <w:bottom w:val="single" w:sz="4" w:space="0" w:color="BFBFBF"/>
              <w:right w:val="single" w:sz="4" w:space="0" w:color="BFBFBF"/>
            </w:tcBorders>
            <w:shd w:val="clear" w:color="auto" w:fill="auto"/>
            <w:noWrap/>
            <w:hideMark/>
          </w:tcPr>
          <w:p w14:paraId="4527410E" w14:textId="03C75A54"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0DF787C3" w14:textId="11E10B81"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C1FF6DD" w14:textId="0183162E"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14E70E0" w14:textId="1CF68CAC"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51" w:type="dxa"/>
            <w:vMerge/>
            <w:tcBorders>
              <w:top w:val="single" w:sz="4" w:space="0" w:color="808080"/>
              <w:left w:val="single" w:sz="4" w:space="0" w:color="BFBFBF"/>
              <w:bottom w:val="single" w:sz="4" w:space="0" w:color="BFBFBF"/>
              <w:right w:val="single" w:sz="4" w:space="0" w:color="BFBFBF"/>
            </w:tcBorders>
            <w:vAlign w:val="center"/>
            <w:hideMark/>
          </w:tcPr>
          <w:p w14:paraId="594D0D20" w14:textId="77777777" w:rsidR="00F42A40" w:rsidRPr="008C1B89" w:rsidRDefault="00F42A40" w:rsidP="00F42A40">
            <w:pPr>
              <w:rPr>
                <w:rFonts w:eastAsia="Times New Roman" w:cs="Calibri"/>
                <w:color w:val="000000"/>
                <w:sz w:val="20"/>
                <w:szCs w:val="20"/>
                <w:lang w:eastAsia="en-AU"/>
              </w:rPr>
            </w:pPr>
          </w:p>
        </w:tc>
      </w:tr>
      <w:tr w:rsidR="00F42A40" w:rsidRPr="008C1B89" w14:paraId="0AD59574"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45C9C29D"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 xml:space="preserve">Persistent organic pollutants thermal destruction facility </w:t>
            </w:r>
          </w:p>
        </w:tc>
        <w:tc>
          <w:tcPr>
            <w:tcW w:w="891" w:type="dxa"/>
            <w:tcBorders>
              <w:top w:val="nil"/>
              <w:left w:val="nil"/>
              <w:bottom w:val="single" w:sz="4" w:space="0" w:color="BFBFBF"/>
              <w:right w:val="single" w:sz="4" w:space="0" w:color="BFBFBF"/>
            </w:tcBorders>
            <w:shd w:val="clear" w:color="000000" w:fill="FFFFFF"/>
            <w:noWrap/>
            <w:hideMark/>
          </w:tcPr>
          <w:p w14:paraId="683BD5A1" w14:textId="397F7189" w:rsidR="00F42A40" w:rsidRPr="008C1B89" w:rsidRDefault="00F42A40" w:rsidP="00F42A40">
            <w:pPr>
              <w:jc w:val="right"/>
              <w:rPr>
                <w:rFonts w:eastAsia="Times New Roman" w:cs="Calibri"/>
                <w:color w:val="000000"/>
                <w:sz w:val="20"/>
                <w:szCs w:val="20"/>
                <w:lang w:eastAsia="en-AU"/>
              </w:rPr>
            </w:pPr>
            <w:r>
              <w:rPr>
                <w:color w:val="000000"/>
                <w:sz w:val="20"/>
                <w:szCs w:val="20"/>
              </w:rPr>
              <w:t>972</w:t>
            </w:r>
          </w:p>
        </w:tc>
        <w:tc>
          <w:tcPr>
            <w:tcW w:w="957" w:type="dxa"/>
            <w:tcBorders>
              <w:left w:val="nil"/>
              <w:right w:val="single" w:sz="4" w:space="0" w:color="BFBFBF"/>
            </w:tcBorders>
            <w:shd w:val="clear" w:color="auto" w:fill="auto"/>
            <w:noWrap/>
            <w:vAlign w:val="center"/>
            <w:hideMark/>
          </w:tcPr>
          <w:p w14:paraId="5A7F5E19" w14:textId="29C095F5" w:rsidR="00F42A40" w:rsidRPr="008C1B89" w:rsidRDefault="00F42A40" w:rsidP="009D734D">
            <w:pPr>
              <w:jc w:val="center"/>
              <w:rPr>
                <w:rFonts w:eastAsia="Times New Roman" w:cs="Calibri"/>
                <w:color w:val="000000"/>
                <w:sz w:val="20"/>
                <w:szCs w:val="20"/>
                <w:lang w:eastAsia="en-AU"/>
              </w:rPr>
            </w:pPr>
          </w:p>
        </w:tc>
        <w:tc>
          <w:tcPr>
            <w:tcW w:w="1023" w:type="dxa"/>
            <w:tcBorders>
              <w:left w:val="nil"/>
              <w:right w:val="single" w:sz="4" w:space="0" w:color="BFBFBF"/>
            </w:tcBorders>
            <w:shd w:val="clear" w:color="auto" w:fill="auto"/>
            <w:noWrap/>
            <w:vAlign w:val="center"/>
            <w:hideMark/>
          </w:tcPr>
          <w:p w14:paraId="6349D267" w14:textId="5C45B151" w:rsidR="00F42A40" w:rsidRPr="008C1B89" w:rsidRDefault="00F42A40" w:rsidP="009D734D">
            <w:pPr>
              <w:jc w:val="center"/>
              <w:rPr>
                <w:rFonts w:eastAsia="Times New Roman" w:cs="Calibri"/>
                <w:color w:val="000000"/>
                <w:sz w:val="20"/>
                <w:szCs w:val="20"/>
                <w:lang w:eastAsia="en-AU"/>
              </w:rPr>
            </w:pPr>
          </w:p>
        </w:tc>
        <w:tc>
          <w:tcPr>
            <w:tcW w:w="960" w:type="dxa"/>
            <w:tcBorders>
              <w:top w:val="nil"/>
              <w:left w:val="nil"/>
              <w:bottom w:val="single" w:sz="4" w:space="0" w:color="BFBFBF"/>
              <w:right w:val="single" w:sz="4" w:space="0" w:color="BFBFBF"/>
            </w:tcBorders>
            <w:shd w:val="clear" w:color="auto" w:fill="auto"/>
            <w:noWrap/>
            <w:hideMark/>
          </w:tcPr>
          <w:p w14:paraId="221993C9" w14:textId="2F7E724E"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39" w:type="dxa"/>
            <w:tcBorders>
              <w:top w:val="nil"/>
              <w:left w:val="nil"/>
              <w:bottom w:val="single" w:sz="4" w:space="0" w:color="BFBFBF"/>
              <w:right w:val="single" w:sz="4" w:space="0" w:color="BFBFBF"/>
            </w:tcBorders>
            <w:shd w:val="clear" w:color="000000" w:fill="FFFFFF"/>
            <w:noWrap/>
            <w:hideMark/>
          </w:tcPr>
          <w:p w14:paraId="4A473BBE" w14:textId="20F3F095" w:rsidR="00F42A40" w:rsidRPr="008C1B89" w:rsidRDefault="00F42A40" w:rsidP="00F42A40">
            <w:pPr>
              <w:jc w:val="center"/>
              <w:rPr>
                <w:rFonts w:eastAsia="Times New Roman" w:cs="Calibri"/>
                <w:color w:val="000000"/>
                <w:sz w:val="20"/>
                <w:szCs w:val="20"/>
                <w:lang w:eastAsia="en-AU"/>
              </w:rPr>
            </w:pPr>
            <w:r>
              <w:rPr>
                <w:color w:val="000000"/>
                <w:sz w:val="20"/>
                <w:szCs w:val="20"/>
              </w:rPr>
              <w:t>2020</w:t>
            </w:r>
          </w:p>
        </w:tc>
        <w:tc>
          <w:tcPr>
            <w:tcW w:w="739" w:type="dxa"/>
            <w:tcBorders>
              <w:top w:val="nil"/>
              <w:left w:val="nil"/>
              <w:bottom w:val="single" w:sz="4" w:space="0" w:color="BFBFBF"/>
              <w:right w:val="single" w:sz="4" w:space="0" w:color="BFBFBF"/>
            </w:tcBorders>
            <w:shd w:val="clear" w:color="000000" w:fill="FFFFFF"/>
            <w:noWrap/>
            <w:hideMark/>
          </w:tcPr>
          <w:p w14:paraId="29CBCAEE" w14:textId="49613A3A" w:rsidR="00F42A40" w:rsidRPr="008C1B89" w:rsidRDefault="00F42A40" w:rsidP="00F42A40">
            <w:pPr>
              <w:jc w:val="center"/>
              <w:rPr>
                <w:rFonts w:eastAsia="Times New Roman" w:cs="Calibri"/>
                <w:color w:val="000000"/>
                <w:sz w:val="20"/>
                <w:szCs w:val="20"/>
                <w:lang w:eastAsia="en-AU"/>
              </w:rPr>
            </w:pPr>
            <w:r>
              <w:rPr>
                <w:color w:val="000000"/>
                <w:sz w:val="20"/>
                <w:szCs w:val="20"/>
              </w:rPr>
              <w:t>2020</w:t>
            </w:r>
          </w:p>
        </w:tc>
        <w:tc>
          <w:tcPr>
            <w:tcW w:w="739" w:type="dxa"/>
            <w:tcBorders>
              <w:top w:val="nil"/>
              <w:left w:val="nil"/>
              <w:bottom w:val="single" w:sz="4" w:space="0" w:color="BFBFBF"/>
              <w:right w:val="single" w:sz="4" w:space="0" w:color="BFBFBF"/>
            </w:tcBorders>
            <w:shd w:val="clear" w:color="000000" w:fill="FFFFFF"/>
            <w:noWrap/>
            <w:hideMark/>
          </w:tcPr>
          <w:p w14:paraId="0A34DD50" w14:textId="3203A275" w:rsidR="00F42A40" w:rsidRPr="008C1B89" w:rsidRDefault="00F42A40" w:rsidP="00F42A40">
            <w:pPr>
              <w:jc w:val="center"/>
              <w:rPr>
                <w:rFonts w:eastAsia="Times New Roman" w:cs="Calibri"/>
                <w:color w:val="000000"/>
                <w:sz w:val="20"/>
                <w:szCs w:val="20"/>
                <w:lang w:eastAsia="en-AU"/>
              </w:rPr>
            </w:pPr>
            <w:r>
              <w:rPr>
                <w:color w:val="000000"/>
                <w:sz w:val="20"/>
                <w:szCs w:val="20"/>
              </w:rPr>
              <w:t>2020</w:t>
            </w:r>
          </w:p>
        </w:tc>
        <w:tc>
          <w:tcPr>
            <w:tcW w:w="5151" w:type="dxa"/>
            <w:vMerge/>
            <w:tcBorders>
              <w:top w:val="single" w:sz="4" w:space="0" w:color="808080"/>
              <w:left w:val="single" w:sz="4" w:space="0" w:color="BFBFBF"/>
              <w:bottom w:val="single" w:sz="4" w:space="0" w:color="BFBFBF"/>
              <w:right w:val="single" w:sz="4" w:space="0" w:color="BFBFBF"/>
            </w:tcBorders>
            <w:vAlign w:val="center"/>
            <w:hideMark/>
          </w:tcPr>
          <w:p w14:paraId="291AF92A" w14:textId="77777777" w:rsidR="00F42A40" w:rsidRPr="008C1B89" w:rsidRDefault="00F42A40" w:rsidP="00F42A40">
            <w:pPr>
              <w:rPr>
                <w:rFonts w:eastAsia="Times New Roman" w:cs="Calibri"/>
                <w:color w:val="000000"/>
                <w:sz w:val="20"/>
                <w:szCs w:val="20"/>
                <w:lang w:eastAsia="en-AU"/>
              </w:rPr>
            </w:pPr>
          </w:p>
        </w:tc>
      </w:tr>
      <w:tr w:rsidR="00F42A40" w:rsidRPr="008C1B89" w14:paraId="4B7A7F7E"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3ED34AC6"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Clinical waste facility thermal destruction</w:t>
            </w:r>
          </w:p>
        </w:tc>
        <w:tc>
          <w:tcPr>
            <w:tcW w:w="891" w:type="dxa"/>
            <w:tcBorders>
              <w:top w:val="nil"/>
              <w:left w:val="nil"/>
              <w:bottom w:val="single" w:sz="4" w:space="0" w:color="BFBFBF"/>
              <w:right w:val="single" w:sz="4" w:space="0" w:color="BFBFBF"/>
            </w:tcBorders>
            <w:shd w:val="clear" w:color="000000" w:fill="FFFFFF"/>
            <w:noWrap/>
            <w:hideMark/>
          </w:tcPr>
          <w:p w14:paraId="4AE85A48" w14:textId="507C1EBF" w:rsidR="00F42A40" w:rsidRPr="008C1B89" w:rsidRDefault="00F42A40" w:rsidP="00F42A40">
            <w:pPr>
              <w:jc w:val="right"/>
              <w:rPr>
                <w:rFonts w:eastAsia="Times New Roman" w:cs="Calibri"/>
                <w:color w:val="000000"/>
                <w:sz w:val="20"/>
                <w:szCs w:val="20"/>
                <w:lang w:eastAsia="en-AU"/>
              </w:rPr>
            </w:pPr>
            <w:r>
              <w:rPr>
                <w:color w:val="000000"/>
                <w:sz w:val="20"/>
                <w:szCs w:val="20"/>
              </w:rPr>
              <w:t>4,983</w:t>
            </w:r>
          </w:p>
        </w:tc>
        <w:tc>
          <w:tcPr>
            <w:tcW w:w="957" w:type="dxa"/>
            <w:tcBorders>
              <w:left w:val="nil"/>
              <w:bottom w:val="single" w:sz="4" w:space="0" w:color="BFBFBF"/>
              <w:right w:val="single" w:sz="4" w:space="0" w:color="BFBFBF"/>
            </w:tcBorders>
            <w:shd w:val="clear" w:color="auto" w:fill="auto"/>
            <w:noWrap/>
            <w:vAlign w:val="center"/>
            <w:hideMark/>
          </w:tcPr>
          <w:p w14:paraId="4EDC5984" w14:textId="78B05E0B" w:rsidR="00F42A40" w:rsidRPr="008C1B89" w:rsidRDefault="00F42A40" w:rsidP="009D734D">
            <w:pPr>
              <w:jc w:val="center"/>
              <w:rPr>
                <w:rFonts w:eastAsia="Times New Roman" w:cs="Calibri"/>
                <w:color w:val="000000"/>
                <w:sz w:val="20"/>
                <w:szCs w:val="20"/>
                <w:lang w:eastAsia="en-AU"/>
              </w:rPr>
            </w:pPr>
          </w:p>
        </w:tc>
        <w:tc>
          <w:tcPr>
            <w:tcW w:w="1023" w:type="dxa"/>
            <w:tcBorders>
              <w:left w:val="nil"/>
              <w:bottom w:val="single" w:sz="4" w:space="0" w:color="BFBFBF"/>
              <w:right w:val="single" w:sz="4" w:space="0" w:color="BFBFBF"/>
            </w:tcBorders>
            <w:shd w:val="clear" w:color="auto" w:fill="auto"/>
            <w:noWrap/>
            <w:vAlign w:val="center"/>
            <w:hideMark/>
          </w:tcPr>
          <w:p w14:paraId="7663033A" w14:textId="2114C23C" w:rsidR="00F42A40" w:rsidRPr="008C1B89" w:rsidRDefault="00F42A40" w:rsidP="009D734D">
            <w:pPr>
              <w:jc w:val="center"/>
              <w:rPr>
                <w:rFonts w:eastAsia="Times New Roman" w:cs="Calibri"/>
                <w:color w:val="000000"/>
                <w:sz w:val="20"/>
                <w:szCs w:val="20"/>
                <w:lang w:eastAsia="en-AU"/>
              </w:rPr>
            </w:pPr>
          </w:p>
        </w:tc>
        <w:tc>
          <w:tcPr>
            <w:tcW w:w="960" w:type="dxa"/>
            <w:tcBorders>
              <w:top w:val="nil"/>
              <w:left w:val="nil"/>
              <w:bottom w:val="single" w:sz="4" w:space="0" w:color="BFBFBF"/>
              <w:right w:val="single" w:sz="4" w:space="0" w:color="BFBFBF"/>
            </w:tcBorders>
            <w:shd w:val="clear" w:color="auto" w:fill="auto"/>
            <w:noWrap/>
            <w:hideMark/>
          </w:tcPr>
          <w:p w14:paraId="4F7FC5F3" w14:textId="3D87693A"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39" w:type="dxa"/>
            <w:tcBorders>
              <w:top w:val="nil"/>
              <w:left w:val="nil"/>
              <w:bottom w:val="single" w:sz="4" w:space="0" w:color="BFBFBF"/>
              <w:right w:val="single" w:sz="4" w:space="0" w:color="BFBFBF"/>
            </w:tcBorders>
            <w:shd w:val="clear" w:color="000000" w:fill="FFFFFF"/>
            <w:noWrap/>
            <w:hideMark/>
          </w:tcPr>
          <w:p w14:paraId="73D9DB1C" w14:textId="0EDCABCB"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39" w:type="dxa"/>
            <w:tcBorders>
              <w:top w:val="nil"/>
              <w:left w:val="nil"/>
              <w:bottom w:val="single" w:sz="4" w:space="0" w:color="BFBFBF"/>
              <w:right w:val="single" w:sz="4" w:space="0" w:color="BFBFBF"/>
            </w:tcBorders>
            <w:shd w:val="clear" w:color="000000" w:fill="FFFFFF"/>
            <w:noWrap/>
            <w:hideMark/>
          </w:tcPr>
          <w:p w14:paraId="07B7A73A" w14:textId="42B7366E"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39" w:type="dxa"/>
            <w:tcBorders>
              <w:top w:val="nil"/>
              <w:left w:val="nil"/>
              <w:bottom w:val="single" w:sz="4" w:space="0" w:color="BFBFBF"/>
              <w:right w:val="single" w:sz="4" w:space="0" w:color="BFBFBF"/>
            </w:tcBorders>
            <w:shd w:val="clear" w:color="000000" w:fill="FFFFFF"/>
            <w:noWrap/>
            <w:hideMark/>
          </w:tcPr>
          <w:p w14:paraId="2B971ED5" w14:textId="09AFEFD5"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151" w:type="dxa"/>
            <w:vMerge/>
            <w:tcBorders>
              <w:top w:val="single" w:sz="4" w:space="0" w:color="808080"/>
              <w:left w:val="single" w:sz="4" w:space="0" w:color="BFBFBF"/>
              <w:bottom w:val="single" w:sz="4" w:space="0" w:color="BFBFBF"/>
              <w:right w:val="single" w:sz="4" w:space="0" w:color="BFBFBF"/>
            </w:tcBorders>
            <w:vAlign w:val="center"/>
            <w:hideMark/>
          </w:tcPr>
          <w:p w14:paraId="5F86A526" w14:textId="77777777" w:rsidR="00F42A40" w:rsidRPr="008C1B89" w:rsidRDefault="00F42A40" w:rsidP="00F42A40">
            <w:pPr>
              <w:rPr>
                <w:rFonts w:eastAsia="Times New Roman" w:cs="Calibri"/>
                <w:color w:val="000000"/>
                <w:sz w:val="20"/>
                <w:szCs w:val="20"/>
                <w:lang w:eastAsia="en-AU"/>
              </w:rPr>
            </w:pPr>
          </w:p>
        </w:tc>
      </w:tr>
      <w:tr w:rsidR="009D734D" w:rsidRPr="008C1B89" w14:paraId="252E82A7"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3579D2B3" w14:textId="77777777" w:rsidR="00F42A40" w:rsidRPr="008C1B89" w:rsidRDefault="00F42A40" w:rsidP="00F42A40">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Short-term storage or transfer</w:t>
            </w:r>
          </w:p>
        </w:tc>
        <w:tc>
          <w:tcPr>
            <w:tcW w:w="891" w:type="dxa"/>
            <w:tcBorders>
              <w:top w:val="nil"/>
              <w:left w:val="nil"/>
              <w:bottom w:val="single" w:sz="4" w:space="0" w:color="BFBFBF"/>
              <w:right w:val="single" w:sz="4" w:space="0" w:color="BFBFBF"/>
            </w:tcBorders>
            <w:shd w:val="clear" w:color="000000" w:fill="C5D9F1"/>
            <w:noWrap/>
            <w:hideMark/>
          </w:tcPr>
          <w:p w14:paraId="1D94F346" w14:textId="3D907800"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957" w:type="dxa"/>
            <w:tcBorders>
              <w:top w:val="nil"/>
              <w:left w:val="nil"/>
              <w:bottom w:val="single" w:sz="4" w:space="0" w:color="BFBFBF"/>
              <w:right w:val="nil"/>
            </w:tcBorders>
            <w:shd w:val="clear" w:color="000000" w:fill="C5D9F1"/>
            <w:noWrap/>
            <w:vAlign w:val="center"/>
            <w:hideMark/>
          </w:tcPr>
          <w:p w14:paraId="76457A86" w14:textId="4F0FA687" w:rsidR="00F42A40" w:rsidRPr="008C1B89" w:rsidRDefault="00F42A40" w:rsidP="009D734D">
            <w:pPr>
              <w:jc w:val="center"/>
              <w:rPr>
                <w:rFonts w:eastAsia="Times New Roman" w:cs="Calibri"/>
                <w:color w:val="000000"/>
                <w:sz w:val="20"/>
                <w:szCs w:val="20"/>
                <w:lang w:eastAsia="en-AU"/>
              </w:rPr>
            </w:pPr>
          </w:p>
        </w:tc>
        <w:tc>
          <w:tcPr>
            <w:tcW w:w="1023" w:type="dxa"/>
            <w:tcBorders>
              <w:top w:val="nil"/>
              <w:left w:val="nil"/>
              <w:bottom w:val="single" w:sz="4" w:space="0" w:color="BFBFBF"/>
              <w:right w:val="nil"/>
            </w:tcBorders>
            <w:shd w:val="clear" w:color="000000" w:fill="C5D9F1"/>
            <w:noWrap/>
            <w:vAlign w:val="center"/>
            <w:hideMark/>
          </w:tcPr>
          <w:p w14:paraId="627A6C6D" w14:textId="2674667B" w:rsidR="00F42A40" w:rsidRPr="008C1B89" w:rsidRDefault="00F42A40" w:rsidP="009D734D">
            <w:pPr>
              <w:jc w:val="center"/>
              <w:rPr>
                <w:rFonts w:eastAsia="Times New Roman" w:cs="Calibri"/>
                <w:color w:val="000000"/>
                <w:sz w:val="20"/>
                <w:szCs w:val="20"/>
                <w:lang w:eastAsia="en-AU"/>
              </w:rPr>
            </w:pPr>
          </w:p>
        </w:tc>
        <w:tc>
          <w:tcPr>
            <w:tcW w:w="960" w:type="dxa"/>
            <w:tcBorders>
              <w:top w:val="nil"/>
              <w:left w:val="nil"/>
              <w:bottom w:val="single" w:sz="4" w:space="0" w:color="BFBFBF"/>
              <w:right w:val="single" w:sz="4" w:space="0" w:color="BFBFBF"/>
            </w:tcBorders>
            <w:shd w:val="clear" w:color="000000" w:fill="C5D9F1"/>
            <w:noWrap/>
            <w:hideMark/>
          </w:tcPr>
          <w:p w14:paraId="0D9E7448" w14:textId="0CE53D82"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39" w:type="dxa"/>
            <w:tcBorders>
              <w:top w:val="nil"/>
              <w:left w:val="nil"/>
              <w:bottom w:val="single" w:sz="4" w:space="0" w:color="BFBFBF"/>
              <w:right w:val="single" w:sz="4" w:space="0" w:color="BFBFBF"/>
            </w:tcBorders>
            <w:shd w:val="clear" w:color="000000" w:fill="C5D9F1"/>
            <w:noWrap/>
            <w:hideMark/>
          </w:tcPr>
          <w:p w14:paraId="12DFAA1A" w14:textId="51755BBF"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39" w:type="dxa"/>
            <w:tcBorders>
              <w:top w:val="nil"/>
              <w:left w:val="nil"/>
              <w:bottom w:val="single" w:sz="4" w:space="0" w:color="BFBFBF"/>
              <w:right w:val="single" w:sz="4" w:space="0" w:color="BFBFBF"/>
            </w:tcBorders>
            <w:shd w:val="clear" w:color="000000" w:fill="C5D9F1"/>
            <w:noWrap/>
            <w:hideMark/>
          </w:tcPr>
          <w:p w14:paraId="298D66E9" w14:textId="1E4D9F15"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39" w:type="dxa"/>
            <w:tcBorders>
              <w:top w:val="nil"/>
              <w:left w:val="nil"/>
              <w:bottom w:val="single" w:sz="4" w:space="0" w:color="BFBFBF"/>
              <w:right w:val="single" w:sz="4" w:space="0" w:color="BFBFBF"/>
            </w:tcBorders>
            <w:shd w:val="clear" w:color="000000" w:fill="C5D9F1"/>
            <w:noWrap/>
            <w:hideMark/>
          </w:tcPr>
          <w:p w14:paraId="30B1CCB7" w14:textId="22DCA34D"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5151" w:type="dxa"/>
            <w:vMerge/>
            <w:tcBorders>
              <w:top w:val="single" w:sz="4" w:space="0" w:color="808080"/>
              <w:left w:val="single" w:sz="4" w:space="0" w:color="BFBFBF"/>
              <w:bottom w:val="single" w:sz="4" w:space="0" w:color="BFBFBF"/>
              <w:right w:val="single" w:sz="4" w:space="0" w:color="BFBFBF"/>
            </w:tcBorders>
            <w:vAlign w:val="center"/>
            <w:hideMark/>
          </w:tcPr>
          <w:p w14:paraId="30075AAE" w14:textId="77777777" w:rsidR="00F42A40" w:rsidRPr="008C1B89" w:rsidRDefault="00F42A40" w:rsidP="00F42A40">
            <w:pPr>
              <w:rPr>
                <w:rFonts w:eastAsia="Times New Roman" w:cs="Calibri"/>
                <w:color w:val="000000"/>
                <w:sz w:val="20"/>
                <w:szCs w:val="20"/>
                <w:lang w:eastAsia="en-AU"/>
              </w:rPr>
            </w:pPr>
          </w:p>
        </w:tc>
      </w:tr>
      <w:tr w:rsidR="00F42A40" w:rsidRPr="008C1B89" w14:paraId="7DB582BA"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457186A"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Transfer facility</w:t>
            </w:r>
          </w:p>
        </w:tc>
        <w:tc>
          <w:tcPr>
            <w:tcW w:w="891" w:type="dxa"/>
            <w:tcBorders>
              <w:top w:val="nil"/>
              <w:left w:val="nil"/>
              <w:bottom w:val="single" w:sz="4" w:space="0" w:color="BFBFBF"/>
              <w:right w:val="nil"/>
            </w:tcBorders>
            <w:shd w:val="clear" w:color="000000" w:fill="FFFFFF"/>
            <w:noWrap/>
            <w:hideMark/>
          </w:tcPr>
          <w:p w14:paraId="1C504286" w14:textId="05717D12" w:rsidR="00F42A40" w:rsidRPr="008C1B89" w:rsidRDefault="00F42A40" w:rsidP="00F42A40">
            <w:pPr>
              <w:jc w:val="right"/>
              <w:rPr>
                <w:rFonts w:eastAsia="Times New Roman" w:cs="Calibri"/>
                <w:color w:val="000000"/>
                <w:sz w:val="20"/>
                <w:szCs w:val="20"/>
                <w:lang w:eastAsia="en-AU"/>
              </w:rPr>
            </w:pPr>
            <w:r>
              <w:rPr>
                <w:color w:val="000000"/>
                <w:sz w:val="20"/>
                <w:szCs w:val="20"/>
              </w:rPr>
              <w:t>81,453</w:t>
            </w:r>
          </w:p>
        </w:tc>
        <w:tc>
          <w:tcPr>
            <w:tcW w:w="957" w:type="dxa"/>
            <w:tcBorders>
              <w:top w:val="nil"/>
              <w:left w:val="nil"/>
              <w:bottom w:val="single" w:sz="4" w:space="0" w:color="BFBFBF"/>
              <w:right w:val="single" w:sz="4" w:space="0" w:color="BFBFBF"/>
            </w:tcBorders>
            <w:shd w:val="clear" w:color="auto" w:fill="auto"/>
            <w:noWrap/>
            <w:vAlign w:val="center"/>
            <w:hideMark/>
          </w:tcPr>
          <w:p w14:paraId="4E14C201" w14:textId="346C438D"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23" w:type="dxa"/>
            <w:tcBorders>
              <w:top w:val="nil"/>
              <w:left w:val="nil"/>
              <w:bottom w:val="single" w:sz="4" w:space="0" w:color="BFBFBF"/>
              <w:right w:val="single" w:sz="4" w:space="0" w:color="BFBFBF"/>
            </w:tcBorders>
            <w:shd w:val="clear" w:color="auto" w:fill="auto"/>
            <w:noWrap/>
            <w:vAlign w:val="center"/>
            <w:hideMark/>
          </w:tcPr>
          <w:p w14:paraId="0D638A77" w14:textId="38684433"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60" w:type="dxa"/>
            <w:tcBorders>
              <w:top w:val="nil"/>
              <w:left w:val="nil"/>
              <w:bottom w:val="single" w:sz="4" w:space="0" w:color="BFBFBF"/>
              <w:right w:val="single" w:sz="4" w:space="0" w:color="BFBFBF"/>
            </w:tcBorders>
            <w:shd w:val="clear" w:color="auto" w:fill="auto"/>
            <w:noWrap/>
            <w:hideMark/>
          </w:tcPr>
          <w:p w14:paraId="3EC3B280" w14:textId="6E6F6129"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39" w:type="dxa"/>
            <w:tcBorders>
              <w:top w:val="nil"/>
              <w:left w:val="nil"/>
              <w:bottom w:val="single" w:sz="4" w:space="0" w:color="BFBFBF"/>
              <w:right w:val="single" w:sz="4" w:space="0" w:color="BFBFBF"/>
            </w:tcBorders>
            <w:shd w:val="clear" w:color="000000" w:fill="FFFFFF"/>
            <w:noWrap/>
            <w:hideMark/>
          </w:tcPr>
          <w:p w14:paraId="74A3A5F9" w14:textId="41EF6505"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739" w:type="dxa"/>
            <w:tcBorders>
              <w:top w:val="nil"/>
              <w:left w:val="nil"/>
              <w:bottom w:val="single" w:sz="4" w:space="0" w:color="BFBFBF"/>
              <w:right w:val="single" w:sz="4" w:space="0" w:color="BFBFBF"/>
            </w:tcBorders>
            <w:shd w:val="clear" w:color="000000" w:fill="FFFFFF"/>
            <w:noWrap/>
            <w:hideMark/>
          </w:tcPr>
          <w:p w14:paraId="45233A9E" w14:textId="180345DD"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739" w:type="dxa"/>
            <w:tcBorders>
              <w:top w:val="nil"/>
              <w:left w:val="nil"/>
              <w:bottom w:val="single" w:sz="4" w:space="0" w:color="BFBFBF"/>
              <w:right w:val="single" w:sz="4" w:space="0" w:color="BFBFBF"/>
            </w:tcBorders>
            <w:shd w:val="clear" w:color="000000" w:fill="FFFFFF"/>
            <w:noWrap/>
            <w:hideMark/>
          </w:tcPr>
          <w:p w14:paraId="738C8E4C" w14:textId="509BE8FB"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5151" w:type="dxa"/>
            <w:vMerge/>
            <w:tcBorders>
              <w:top w:val="single" w:sz="4" w:space="0" w:color="808080"/>
              <w:left w:val="single" w:sz="4" w:space="0" w:color="BFBFBF"/>
              <w:bottom w:val="single" w:sz="4" w:space="0" w:color="BFBFBF"/>
              <w:right w:val="single" w:sz="4" w:space="0" w:color="BFBFBF"/>
            </w:tcBorders>
            <w:vAlign w:val="center"/>
            <w:hideMark/>
          </w:tcPr>
          <w:p w14:paraId="723BDDB6" w14:textId="77777777" w:rsidR="00F42A40" w:rsidRPr="008C1B89" w:rsidRDefault="00F42A40" w:rsidP="00F42A40">
            <w:pPr>
              <w:rPr>
                <w:rFonts w:eastAsia="Times New Roman" w:cs="Calibri"/>
                <w:color w:val="000000"/>
                <w:sz w:val="20"/>
                <w:szCs w:val="20"/>
                <w:lang w:eastAsia="en-AU"/>
              </w:rPr>
            </w:pPr>
          </w:p>
        </w:tc>
      </w:tr>
      <w:tr w:rsidR="009D734D" w:rsidRPr="008C1B89" w14:paraId="7C5F1294"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37652443" w14:textId="77777777" w:rsidR="00F42A40" w:rsidRPr="008C1B89" w:rsidRDefault="00F42A40" w:rsidP="00F42A40">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Long-term storage</w:t>
            </w:r>
          </w:p>
        </w:tc>
        <w:tc>
          <w:tcPr>
            <w:tcW w:w="891" w:type="dxa"/>
            <w:tcBorders>
              <w:top w:val="nil"/>
              <w:left w:val="nil"/>
              <w:bottom w:val="single" w:sz="4" w:space="0" w:color="BFBFBF"/>
              <w:right w:val="single" w:sz="4" w:space="0" w:color="BFBFBF"/>
            </w:tcBorders>
            <w:shd w:val="clear" w:color="000000" w:fill="C5D9F1"/>
            <w:noWrap/>
            <w:hideMark/>
          </w:tcPr>
          <w:p w14:paraId="3E2D0092" w14:textId="0845B9C8"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957" w:type="dxa"/>
            <w:tcBorders>
              <w:top w:val="nil"/>
              <w:left w:val="nil"/>
              <w:bottom w:val="single" w:sz="4" w:space="0" w:color="BFBFBF"/>
              <w:right w:val="nil"/>
            </w:tcBorders>
            <w:shd w:val="clear" w:color="000000" w:fill="C5D9F1"/>
            <w:noWrap/>
            <w:vAlign w:val="center"/>
            <w:hideMark/>
          </w:tcPr>
          <w:p w14:paraId="5F7BBFE6" w14:textId="5A8C4391" w:rsidR="00F42A40" w:rsidRPr="008C1B89" w:rsidRDefault="00F42A40" w:rsidP="009D734D">
            <w:pPr>
              <w:jc w:val="center"/>
              <w:rPr>
                <w:rFonts w:eastAsia="Times New Roman" w:cs="Calibri"/>
                <w:color w:val="000000"/>
                <w:sz w:val="20"/>
                <w:szCs w:val="20"/>
                <w:lang w:eastAsia="en-AU"/>
              </w:rPr>
            </w:pPr>
          </w:p>
        </w:tc>
        <w:tc>
          <w:tcPr>
            <w:tcW w:w="1023" w:type="dxa"/>
            <w:tcBorders>
              <w:top w:val="nil"/>
              <w:left w:val="nil"/>
              <w:bottom w:val="single" w:sz="4" w:space="0" w:color="BFBFBF"/>
              <w:right w:val="nil"/>
            </w:tcBorders>
            <w:shd w:val="clear" w:color="000000" w:fill="C5D9F1"/>
            <w:noWrap/>
            <w:vAlign w:val="center"/>
            <w:hideMark/>
          </w:tcPr>
          <w:p w14:paraId="297DB2BF" w14:textId="5208E512" w:rsidR="00F42A40" w:rsidRPr="008C1B89" w:rsidRDefault="00F42A40" w:rsidP="009D734D">
            <w:pPr>
              <w:jc w:val="center"/>
              <w:rPr>
                <w:rFonts w:eastAsia="Times New Roman" w:cs="Calibri"/>
                <w:color w:val="000000"/>
                <w:sz w:val="20"/>
                <w:szCs w:val="20"/>
                <w:lang w:eastAsia="en-AU"/>
              </w:rPr>
            </w:pPr>
          </w:p>
        </w:tc>
        <w:tc>
          <w:tcPr>
            <w:tcW w:w="960" w:type="dxa"/>
            <w:tcBorders>
              <w:top w:val="nil"/>
              <w:left w:val="nil"/>
              <w:bottom w:val="single" w:sz="4" w:space="0" w:color="BFBFBF"/>
              <w:right w:val="single" w:sz="4" w:space="0" w:color="BFBFBF"/>
            </w:tcBorders>
            <w:shd w:val="clear" w:color="000000" w:fill="C5D9F1"/>
            <w:noWrap/>
            <w:hideMark/>
          </w:tcPr>
          <w:p w14:paraId="563F1B35" w14:textId="4FDAB899"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39" w:type="dxa"/>
            <w:tcBorders>
              <w:top w:val="nil"/>
              <w:left w:val="nil"/>
              <w:bottom w:val="single" w:sz="4" w:space="0" w:color="BFBFBF"/>
              <w:right w:val="single" w:sz="4" w:space="0" w:color="BFBFBF"/>
            </w:tcBorders>
            <w:shd w:val="clear" w:color="000000" w:fill="C5D9F1"/>
            <w:noWrap/>
            <w:hideMark/>
          </w:tcPr>
          <w:p w14:paraId="4E03A794" w14:textId="14E8A8A4"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39" w:type="dxa"/>
            <w:tcBorders>
              <w:top w:val="nil"/>
              <w:left w:val="nil"/>
              <w:bottom w:val="single" w:sz="4" w:space="0" w:color="BFBFBF"/>
              <w:right w:val="single" w:sz="4" w:space="0" w:color="BFBFBF"/>
            </w:tcBorders>
            <w:shd w:val="clear" w:color="000000" w:fill="C5D9F1"/>
            <w:noWrap/>
            <w:hideMark/>
          </w:tcPr>
          <w:p w14:paraId="7D40C51C" w14:textId="3C9A5400"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39" w:type="dxa"/>
            <w:tcBorders>
              <w:top w:val="nil"/>
              <w:left w:val="nil"/>
              <w:bottom w:val="single" w:sz="4" w:space="0" w:color="BFBFBF"/>
              <w:right w:val="single" w:sz="4" w:space="0" w:color="BFBFBF"/>
            </w:tcBorders>
            <w:shd w:val="clear" w:color="000000" w:fill="C5D9F1"/>
            <w:noWrap/>
            <w:hideMark/>
          </w:tcPr>
          <w:p w14:paraId="38D6B60A" w14:textId="0795553A"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5151" w:type="dxa"/>
            <w:vMerge/>
            <w:tcBorders>
              <w:top w:val="single" w:sz="4" w:space="0" w:color="808080"/>
              <w:left w:val="single" w:sz="4" w:space="0" w:color="BFBFBF"/>
              <w:bottom w:val="single" w:sz="4" w:space="0" w:color="BFBFBF"/>
              <w:right w:val="single" w:sz="4" w:space="0" w:color="BFBFBF"/>
            </w:tcBorders>
            <w:vAlign w:val="center"/>
            <w:hideMark/>
          </w:tcPr>
          <w:p w14:paraId="201262A5" w14:textId="77777777" w:rsidR="00F42A40" w:rsidRPr="008C1B89" w:rsidRDefault="00F42A40" w:rsidP="00F42A40">
            <w:pPr>
              <w:rPr>
                <w:rFonts w:eastAsia="Times New Roman" w:cs="Calibri"/>
                <w:color w:val="000000"/>
                <w:sz w:val="20"/>
                <w:szCs w:val="20"/>
                <w:lang w:eastAsia="en-AU"/>
              </w:rPr>
            </w:pPr>
          </w:p>
        </w:tc>
      </w:tr>
      <w:tr w:rsidR="00F42A40" w:rsidRPr="008C1B89" w14:paraId="57991ABE"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6658B245"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Long-term on-site storage</w:t>
            </w:r>
          </w:p>
        </w:tc>
        <w:tc>
          <w:tcPr>
            <w:tcW w:w="891" w:type="dxa"/>
            <w:tcBorders>
              <w:top w:val="nil"/>
              <w:left w:val="nil"/>
              <w:bottom w:val="single" w:sz="4" w:space="0" w:color="BFBFBF"/>
              <w:right w:val="single" w:sz="4" w:space="0" w:color="BFBFBF"/>
            </w:tcBorders>
            <w:shd w:val="clear" w:color="000000" w:fill="FFFFFF"/>
            <w:noWrap/>
            <w:hideMark/>
          </w:tcPr>
          <w:p w14:paraId="73BC00AB" w14:textId="06F341A7" w:rsidR="00F42A40" w:rsidRPr="008C1B89" w:rsidRDefault="00F42A40" w:rsidP="00F42A40">
            <w:pPr>
              <w:jc w:val="right"/>
              <w:rPr>
                <w:rFonts w:eastAsia="Times New Roman" w:cs="Calibri"/>
                <w:color w:val="000000"/>
                <w:sz w:val="20"/>
                <w:szCs w:val="20"/>
                <w:lang w:eastAsia="en-AU"/>
              </w:rPr>
            </w:pPr>
            <w:r>
              <w:rPr>
                <w:color w:val="000000"/>
                <w:sz w:val="20"/>
                <w:szCs w:val="20"/>
              </w:rPr>
              <w:t>0</w:t>
            </w:r>
          </w:p>
        </w:tc>
        <w:tc>
          <w:tcPr>
            <w:tcW w:w="957" w:type="dxa"/>
            <w:tcBorders>
              <w:top w:val="nil"/>
              <w:left w:val="nil"/>
              <w:right w:val="single" w:sz="4" w:space="0" w:color="BFBFBF"/>
            </w:tcBorders>
            <w:shd w:val="clear" w:color="auto" w:fill="auto"/>
            <w:noWrap/>
            <w:vAlign w:val="center"/>
            <w:hideMark/>
          </w:tcPr>
          <w:p w14:paraId="0E7286C7" w14:textId="130D396A"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23" w:type="dxa"/>
            <w:tcBorders>
              <w:top w:val="nil"/>
              <w:left w:val="nil"/>
              <w:right w:val="single" w:sz="4" w:space="0" w:color="BFBFBF"/>
            </w:tcBorders>
            <w:shd w:val="clear" w:color="auto" w:fill="auto"/>
            <w:noWrap/>
            <w:vAlign w:val="center"/>
            <w:hideMark/>
          </w:tcPr>
          <w:p w14:paraId="5AA92E13" w14:textId="7D6045A9"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60" w:type="dxa"/>
            <w:tcBorders>
              <w:top w:val="nil"/>
              <w:left w:val="nil"/>
              <w:bottom w:val="single" w:sz="4" w:space="0" w:color="BFBFBF"/>
              <w:right w:val="single" w:sz="4" w:space="0" w:color="BFBFBF"/>
            </w:tcBorders>
            <w:shd w:val="clear" w:color="auto" w:fill="auto"/>
            <w:noWrap/>
            <w:hideMark/>
          </w:tcPr>
          <w:p w14:paraId="27596812" w14:textId="3E26ACCB"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BFA33DC" w14:textId="6CBFAACE"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38A4570A" w14:textId="1008907B"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13ABE57D" w14:textId="339B8B09"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51" w:type="dxa"/>
            <w:vMerge/>
            <w:tcBorders>
              <w:top w:val="single" w:sz="4" w:space="0" w:color="808080"/>
              <w:left w:val="single" w:sz="4" w:space="0" w:color="BFBFBF"/>
              <w:bottom w:val="single" w:sz="4" w:space="0" w:color="BFBFBF"/>
              <w:right w:val="single" w:sz="4" w:space="0" w:color="BFBFBF"/>
            </w:tcBorders>
            <w:vAlign w:val="center"/>
            <w:hideMark/>
          </w:tcPr>
          <w:p w14:paraId="448FB17E" w14:textId="77777777" w:rsidR="00F42A40" w:rsidRPr="008C1B89" w:rsidRDefault="00F42A40" w:rsidP="00F42A40">
            <w:pPr>
              <w:rPr>
                <w:rFonts w:eastAsia="Times New Roman" w:cs="Calibri"/>
                <w:color w:val="000000"/>
                <w:sz w:val="20"/>
                <w:szCs w:val="20"/>
                <w:lang w:eastAsia="en-AU"/>
              </w:rPr>
            </w:pPr>
          </w:p>
        </w:tc>
      </w:tr>
      <w:tr w:rsidR="00F42A40" w:rsidRPr="008C1B89" w14:paraId="4AB2B0E1" w14:textId="77777777" w:rsidTr="009D734D">
        <w:trPr>
          <w:trHeight w:val="2730"/>
        </w:trPr>
        <w:tc>
          <w:tcPr>
            <w:tcW w:w="2830" w:type="dxa"/>
            <w:tcBorders>
              <w:top w:val="nil"/>
              <w:left w:val="single" w:sz="4" w:space="0" w:color="BFBFBF"/>
              <w:bottom w:val="single" w:sz="4" w:space="0" w:color="BFBFBF"/>
              <w:right w:val="single" w:sz="4" w:space="0" w:color="BFBFBF"/>
            </w:tcBorders>
            <w:shd w:val="clear" w:color="auto" w:fill="auto"/>
            <w:noWrap/>
            <w:hideMark/>
          </w:tcPr>
          <w:p w14:paraId="27A3E169"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Long-term isolation facility</w:t>
            </w:r>
          </w:p>
        </w:tc>
        <w:tc>
          <w:tcPr>
            <w:tcW w:w="891" w:type="dxa"/>
            <w:tcBorders>
              <w:top w:val="nil"/>
              <w:left w:val="nil"/>
              <w:bottom w:val="single" w:sz="4" w:space="0" w:color="BFBFBF"/>
              <w:right w:val="single" w:sz="4" w:space="0" w:color="BFBFBF"/>
            </w:tcBorders>
            <w:shd w:val="clear" w:color="000000" w:fill="FFFFFF"/>
            <w:noWrap/>
            <w:hideMark/>
          </w:tcPr>
          <w:p w14:paraId="550B52AF" w14:textId="7131B5A1" w:rsidR="00F42A40" w:rsidRPr="008C1B89" w:rsidRDefault="00F42A40" w:rsidP="00F42A40">
            <w:pPr>
              <w:jc w:val="right"/>
              <w:rPr>
                <w:rFonts w:eastAsia="Times New Roman" w:cs="Calibri"/>
                <w:color w:val="000000"/>
                <w:sz w:val="20"/>
                <w:szCs w:val="20"/>
                <w:lang w:eastAsia="en-AU"/>
              </w:rPr>
            </w:pPr>
            <w:r>
              <w:rPr>
                <w:color w:val="000000"/>
                <w:sz w:val="20"/>
                <w:szCs w:val="20"/>
              </w:rPr>
              <w:t>0</w:t>
            </w:r>
          </w:p>
        </w:tc>
        <w:tc>
          <w:tcPr>
            <w:tcW w:w="957" w:type="dxa"/>
            <w:tcBorders>
              <w:left w:val="nil"/>
              <w:bottom w:val="single" w:sz="4" w:space="0" w:color="BFBFBF"/>
              <w:right w:val="single" w:sz="4" w:space="0" w:color="BFBFBF"/>
            </w:tcBorders>
            <w:shd w:val="clear" w:color="auto" w:fill="auto"/>
            <w:noWrap/>
            <w:vAlign w:val="center"/>
            <w:hideMark/>
          </w:tcPr>
          <w:p w14:paraId="2E6FDFBD" w14:textId="715D6066" w:rsidR="00F42A40" w:rsidRPr="008C1B89" w:rsidRDefault="00F42A40" w:rsidP="009D734D">
            <w:pPr>
              <w:jc w:val="center"/>
              <w:rPr>
                <w:rFonts w:eastAsia="Times New Roman" w:cs="Calibri"/>
                <w:color w:val="000000"/>
                <w:sz w:val="20"/>
                <w:szCs w:val="20"/>
                <w:lang w:eastAsia="en-AU"/>
              </w:rPr>
            </w:pPr>
          </w:p>
        </w:tc>
        <w:tc>
          <w:tcPr>
            <w:tcW w:w="1023" w:type="dxa"/>
            <w:tcBorders>
              <w:left w:val="nil"/>
              <w:bottom w:val="single" w:sz="4" w:space="0" w:color="BFBFBF"/>
              <w:right w:val="single" w:sz="4" w:space="0" w:color="BFBFBF"/>
            </w:tcBorders>
            <w:shd w:val="clear" w:color="auto" w:fill="auto"/>
            <w:noWrap/>
            <w:vAlign w:val="center"/>
            <w:hideMark/>
          </w:tcPr>
          <w:p w14:paraId="14E7192C" w14:textId="26481A93" w:rsidR="00F42A40" w:rsidRPr="008C1B89" w:rsidRDefault="00F42A40" w:rsidP="009D734D">
            <w:pPr>
              <w:jc w:val="center"/>
              <w:rPr>
                <w:rFonts w:eastAsia="Times New Roman" w:cs="Calibri"/>
                <w:color w:val="000000"/>
                <w:sz w:val="20"/>
                <w:szCs w:val="20"/>
                <w:lang w:eastAsia="en-AU"/>
              </w:rPr>
            </w:pPr>
          </w:p>
        </w:tc>
        <w:tc>
          <w:tcPr>
            <w:tcW w:w="960" w:type="dxa"/>
            <w:tcBorders>
              <w:top w:val="nil"/>
              <w:left w:val="nil"/>
              <w:bottom w:val="single" w:sz="4" w:space="0" w:color="BFBFBF"/>
              <w:right w:val="single" w:sz="4" w:space="0" w:color="BFBFBF"/>
            </w:tcBorders>
            <w:shd w:val="clear" w:color="auto" w:fill="auto"/>
            <w:noWrap/>
            <w:hideMark/>
          </w:tcPr>
          <w:p w14:paraId="00BD79B7" w14:textId="17652F8D"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7FF314F4" w14:textId="1FDDEFCB"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B77CCAE" w14:textId="204501BC"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DF3EDC7" w14:textId="12604B9D"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151" w:type="dxa"/>
            <w:vMerge/>
            <w:tcBorders>
              <w:top w:val="single" w:sz="4" w:space="0" w:color="808080"/>
              <w:left w:val="single" w:sz="4" w:space="0" w:color="BFBFBF"/>
              <w:bottom w:val="single" w:sz="4" w:space="0" w:color="BFBFBF"/>
              <w:right w:val="single" w:sz="4" w:space="0" w:color="BFBFBF"/>
            </w:tcBorders>
            <w:vAlign w:val="center"/>
            <w:hideMark/>
          </w:tcPr>
          <w:p w14:paraId="01F5B879" w14:textId="77777777" w:rsidR="00F42A40" w:rsidRPr="008C1B89" w:rsidRDefault="00F42A40" w:rsidP="00F42A40">
            <w:pPr>
              <w:rPr>
                <w:rFonts w:eastAsia="Times New Roman" w:cs="Calibri"/>
                <w:color w:val="000000"/>
                <w:sz w:val="20"/>
                <w:szCs w:val="20"/>
                <w:lang w:eastAsia="en-AU"/>
              </w:rPr>
            </w:pPr>
          </w:p>
        </w:tc>
      </w:tr>
      <w:tr w:rsidR="00EE2A88" w:rsidRPr="008C1B89" w14:paraId="30165C95" w14:textId="77777777" w:rsidTr="008C1B89">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4438870D" w14:textId="77777777" w:rsidR="00EE2A88" w:rsidRPr="008C1B89" w:rsidRDefault="00EE2A88" w:rsidP="00EE2A88">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Total net Landfill fac. (NEPM code N, T)</w:t>
            </w:r>
          </w:p>
        </w:tc>
        <w:tc>
          <w:tcPr>
            <w:tcW w:w="891" w:type="dxa"/>
            <w:tcBorders>
              <w:top w:val="nil"/>
              <w:left w:val="nil"/>
              <w:bottom w:val="single" w:sz="4" w:space="0" w:color="BFBFBF"/>
              <w:right w:val="nil"/>
            </w:tcBorders>
            <w:shd w:val="clear" w:color="000000" w:fill="C5D9F1"/>
            <w:noWrap/>
            <w:hideMark/>
          </w:tcPr>
          <w:p w14:paraId="47A1CA00" w14:textId="13417000" w:rsidR="00EE2A88" w:rsidRPr="008C1B89" w:rsidRDefault="00EE2A88" w:rsidP="00EE2A88">
            <w:pPr>
              <w:jc w:val="right"/>
              <w:rPr>
                <w:rFonts w:eastAsia="Times New Roman" w:cs="Calibri"/>
                <w:color w:val="000000"/>
                <w:sz w:val="20"/>
                <w:szCs w:val="20"/>
                <w:lang w:eastAsia="en-AU"/>
              </w:rPr>
            </w:pPr>
            <w:r>
              <w:rPr>
                <w:color w:val="000000"/>
                <w:sz w:val="20"/>
                <w:szCs w:val="20"/>
              </w:rPr>
              <w:t>516,360</w:t>
            </w:r>
          </w:p>
        </w:tc>
        <w:tc>
          <w:tcPr>
            <w:tcW w:w="957" w:type="dxa"/>
            <w:tcBorders>
              <w:top w:val="nil"/>
              <w:left w:val="nil"/>
              <w:bottom w:val="nil"/>
              <w:right w:val="nil"/>
            </w:tcBorders>
            <w:shd w:val="clear" w:color="000000" w:fill="F2F2F2"/>
            <w:noWrap/>
            <w:hideMark/>
          </w:tcPr>
          <w:p w14:paraId="24CF3865" w14:textId="507258AF"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1023" w:type="dxa"/>
            <w:tcBorders>
              <w:top w:val="nil"/>
              <w:left w:val="nil"/>
              <w:bottom w:val="nil"/>
              <w:right w:val="nil"/>
            </w:tcBorders>
            <w:shd w:val="clear" w:color="000000" w:fill="F2F2F2"/>
            <w:noWrap/>
            <w:hideMark/>
          </w:tcPr>
          <w:p w14:paraId="3CB33EBA" w14:textId="4DC1239D"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960" w:type="dxa"/>
            <w:tcBorders>
              <w:top w:val="nil"/>
              <w:left w:val="nil"/>
              <w:bottom w:val="nil"/>
              <w:right w:val="nil"/>
            </w:tcBorders>
            <w:shd w:val="clear" w:color="000000" w:fill="F2F2F2"/>
            <w:noWrap/>
            <w:hideMark/>
          </w:tcPr>
          <w:p w14:paraId="437A3CB6" w14:textId="05802969"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39" w:type="dxa"/>
            <w:tcBorders>
              <w:top w:val="nil"/>
              <w:left w:val="nil"/>
              <w:bottom w:val="nil"/>
              <w:right w:val="nil"/>
            </w:tcBorders>
            <w:shd w:val="clear" w:color="000000" w:fill="F2F2F2"/>
            <w:noWrap/>
            <w:hideMark/>
          </w:tcPr>
          <w:p w14:paraId="4377F579" w14:textId="20C15FC9"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39" w:type="dxa"/>
            <w:tcBorders>
              <w:top w:val="nil"/>
              <w:left w:val="nil"/>
              <w:bottom w:val="nil"/>
              <w:right w:val="nil"/>
            </w:tcBorders>
            <w:shd w:val="clear" w:color="000000" w:fill="F2F2F2"/>
            <w:noWrap/>
            <w:hideMark/>
          </w:tcPr>
          <w:p w14:paraId="6C10F740" w14:textId="3584762A"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39" w:type="dxa"/>
            <w:tcBorders>
              <w:top w:val="nil"/>
              <w:left w:val="nil"/>
              <w:bottom w:val="nil"/>
              <w:right w:val="nil"/>
            </w:tcBorders>
            <w:shd w:val="clear" w:color="000000" w:fill="F2F2F2"/>
            <w:noWrap/>
            <w:hideMark/>
          </w:tcPr>
          <w:p w14:paraId="61EA3959" w14:textId="35B6026C"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5151" w:type="dxa"/>
            <w:tcBorders>
              <w:top w:val="nil"/>
              <w:left w:val="nil"/>
              <w:bottom w:val="nil"/>
              <w:right w:val="single" w:sz="4" w:space="0" w:color="BFBFBF"/>
            </w:tcBorders>
            <w:shd w:val="clear" w:color="000000" w:fill="F2F2F2"/>
            <w:noWrap/>
            <w:hideMark/>
          </w:tcPr>
          <w:p w14:paraId="71A70922" w14:textId="77777777" w:rsidR="00EE2A88" w:rsidRPr="008C1B89" w:rsidRDefault="00EE2A88" w:rsidP="00EE2A88">
            <w:pPr>
              <w:rPr>
                <w:rFonts w:eastAsia="Times New Roman" w:cs="Calibri"/>
                <w:color w:val="000000"/>
                <w:sz w:val="20"/>
                <w:szCs w:val="20"/>
                <w:lang w:eastAsia="en-AU"/>
              </w:rPr>
            </w:pPr>
            <w:r w:rsidRPr="008C1B89">
              <w:rPr>
                <w:rFonts w:eastAsia="Times New Roman" w:cs="Calibri"/>
                <w:color w:val="000000"/>
                <w:sz w:val="20"/>
                <w:szCs w:val="20"/>
                <w:lang w:eastAsia="en-AU"/>
              </w:rPr>
              <w:t> </w:t>
            </w:r>
          </w:p>
        </w:tc>
      </w:tr>
      <w:tr w:rsidR="00EE2A88" w:rsidRPr="008C1B89" w14:paraId="290987F4" w14:textId="77777777" w:rsidTr="008C1B89">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64EA8416" w14:textId="77777777" w:rsidR="00EE2A88" w:rsidRPr="008C1B89" w:rsidRDefault="00EE2A88" w:rsidP="00EE2A88">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NEPM 12-13 net imp./exp. (kt)</w:t>
            </w:r>
          </w:p>
        </w:tc>
        <w:tc>
          <w:tcPr>
            <w:tcW w:w="891" w:type="dxa"/>
            <w:tcBorders>
              <w:top w:val="nil"/>
              <w:left w:val="nil"/>
              <w:bottom w:val="single" w:sz="4" w:space="0" w:color="BFBFBF"/>
              <w:right w:val="nil"/>
            </w:tcBorders>
            <w:shd w:val="clear" w:color="000000" w:fill="C5D9F1"/>
            <w:noWrap/>
            <w:hideMark/>
          </w:tcPr>
          <w:p w14:paraId="13DA3688" w14:textId="2287C8EC" w:rsidR="00EE2A88" w:rsidRPr="008C1B89" w:rsidRDefault="00EE2A88" w:rsidP="00EE2A88">
            <w:pPr>
              <w:jc w:val="right"/>
              <w:rPr>
                <w:rFonts w:eastAsia="Times New Roman" w:cs="Calibri"/>
                <w:color w:val="000000"/>
                <w:sz w:val="20"/>
                <w:szCs w:val="20"/>
                <w:lang w:eastAsia="en-AU"/>
              </w:rPr>
            </w:pPr>
            <w:r>
              <w:rPr>
                <w:color w:val="000000"/>
                <w:sz w:val="20"/>
                <w:szCs w:val="20"/>
              </w:rPr>
              <w:t>29,322</w:t>
            </w:r>
          </w:p>
        </w:tc>
        <w:tc>
          <w:tcPr>
            <w:tcW w:w="957" w:type="dxa"/>
            <w:tcBorders>
              <w:top w:val="nil"/>
              <w:left w:val="nil"/>
              <w:bottom w:val="single" w:sz="4" w:space="0" w:color="BFBFBF"/>
              <w:right w:val="nil"/>
            </w:tcBorders>
            <w:shd w:val="clear" w:color="000000" w:fill="F2F2F2"/>
            <w:noWrap/>
            <w:hideMark/>
          </w:tcPr>
          <w:p w14:paraId="356AC085" w14:textId="4E33B77C" w:rsidR="00EE2A88" w:rsidRPr="008C1B89" w:rsidRDefault="00EE2A88" w:rsidP="00EE2A88">
            <w:pPr>
              <w:rPr>
                <w:rFonts w:eastAsia="Times New Roman" w:cs="Calibri"/>
                <w:color w:val="000000"/>
                <w:sz w:val="20"/>
                <w:szCs w:val="20"/>
                <w:lang w:eastAsia="en-AU"/>
              </w:rPr>
            </w:pPr>
            <w:r>
              <w:rPr>
                <w:color w:val="000000"/>
                <w:sz w:val="20"/>
                <w:szCs w:val="20"/>
              </w:rPr>
              <w:t>(export)</w:t>
            </w:r>
          </w:p>
        </w:tc>
        <w:tc>
          <w:tcPr>
            <w:tcW w:w="1023" w:type="dxa"/>
            <w:tcBorders>
              <w:top w:val="nil"/>
              <w:left w:val="nil"/>
              <w:bottom w:val="single" w:sz="4" w:space="0" w:color="BFBFBF"/>
              <w:right w:val="nil"/>
            </w:tcBorders>
            <w:shd w:val="clear" w:color="000000" w:fill="F2F2F2"/>
            <w:noWrap/>
            <w:hideMark/>
          </w:tcPr>
          <w:p w14:paraId="5B68823C" w14:textId="31130144"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960" w:type="dxa"/>
            <w:tcBorders>
              <w:top w:val="nil"/>
              <w:left w:val="nil"/>
              <w:bottom w:val="single" w:sz="4" w:space="0" w:color="BFBFBF"/>
              <w:right w:val="nil"/>
            </w:tcBorders>
            <w:shd w:val="clear" w:color="000000" w:fill="F2F2F2"/>
            <w:noWrap/>
            <w:hideMark/>
          </w:tcPr>
          <w:p w14:paraId="5359226B" w14:textId="412452CA"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39" w:type="dxa"/>
            <w:tcBorders>
              <w:top w:val="nil"/>
              <w:left w:val="nil"/>
              <w:bottom w:val="single" w:sz="4" w:space="0" w:color="BFBFBF"/>
              <w:right w:val="nil"/>
            </w:tcBorders>
            <w:shd w:val="clear" w:color="000000" w:fill="F2F2F2"/>
            <w:noWrap/>
            <w:hideMark/>
          </w:tcPr>
          <w:p w14:paraId="1D8A4EEC" w14:textId="2988D4FE"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39" w:type="dxa"/>
            <w:tcBorders>
              <w:top w:val="nil"/>
              <w:left w:val="nil"/>
              <w:bottom w:val="single" w:sz="4" w:space="0" w:color="BFBFBF"/>
              <w:right w:val="nil"/>
            </w:tcBorders>
            <w:shd w:val="clear" w:color="000000" w:fill="F2F2F2"/>
            <w:noWrap/>
            <w:hideMark/>
          </w:tcPr>
          <w:p w14:paraId="5E02645D" w14:textId="015FE44D"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39" w:type="dxa"/>
            <w:tcBorders>
              <w:top w:val="nil"/>
              <w:left w:val="nil"/>
              <w:bottom w:val="single" w:sz="4" w:space="0" w:color="BFBFBF"/>
              <w:right w:val="nil"/>
            </w:tcBorders>
            <w:shd w:val="clear" w:color="000000" w:fill="F2F2F2"/>
            <w:noWrap/>
            <w:hideMark/>
          </w:tcPr>
          <w:p w14:paraId="1CD11935" w14:textId="56C61126"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5151" w:type="dxa"/>
            <w:tcBorders>
              <w:top w:val="nil"/>
              <w:left w:val="nil"/>
              <w:bottom w:val="single" w:sz="4" w:space="0" w:color="BFBFBF"/>
              <w:right w:val="single" w:sz="4" w:space="0" w:color="BFBFBF"/>
            </w:tcBorders>
            <w:shd w:val="clear" w:color="000000" w:fill="F2F2F2"/>
            <w:noWrap/>
            <w:hideMark/>
          </w:tcPr>
          <w:p w14:paraId="1CC0BC6E" w14:textId="77777777" w:rsidR="00EE2A88" w:rsidRPr="008C1B89" w:rsidRDefault="00EE2A88" w:rsidP="00EE2A88">
            <w:pPr>
              <w:rPr>
                <w:rFonts w:eastAsia="Times New Roman" w:cs="Calibri"/>
                <w:color w:val="000000"/>
                <w:sz w:val="20"/>
                <w:szCs w:val="20"/>
                <w:lang w:eastAsia="en-AU"/>
              </w:rPr>
            </w:pPr>
            <w:r w:rsidRPr="008C1B89">
              <w:rPr>
                <w:rFonts w:eastAsia="Times New Roman" w:cs="Calibri"/>
                <w:color w:val="000000"/>
                <w:sz w:val="20"/>
                <w:szCs w:val="20"/>
                <w:lang w:eastAsia="en-AU"/>
              </w:rPr>
              <w:t> </w:t>
            </w:r>
          </w:p>
        </w:tc>
      </w:tr>
    </w:tbl>
    <w:p w14:paraId="0E39B108" w14:textId="7C605EB4" w:rsidR="00CD5D65" w:rsidRDefault="00CD5D65" w:rsidP="00F91F60">
      <w:pPr>
        <w:pStyle w:val="BodyText"/>
      </w:pPr>
    </w:p>
    <w:p w14:paraId="181E0B71" w14:textId="671726CE" w:rsidR="00EE2A88" w:rsidRDefault="00EE2A88" w:rsidP="00F91F60">
      <w:pPr>
        <w:pStyle w:val="BodyText"/>
      </w:pPr>
    </w:p>
    <w:p w14:paraId="7E3893EF" w14:textId="3730AB1D" w:rsidR="00EE2A88" w:rsidRDefault="00EE2A88" w:rsidP="00F91F60">
      <w:pPr>
        <w:pStyle w:val="BodyText"/>
      </w:pPr>
    </w:p>
    <w:p w14:paraId="612135B9" w14:textId="77777777" w:rsidR="00052ED1" w:rsidRDefault="00052ED1" w:rsidP="00F91F60">
      <w:pPr>
        <w:pStyle w:val="BodyText"/>
      </w:pPr>
    </w:p>
    <w:p w14:paraId="52452F23" w14:textId="77777777" w:rsidR="00EE2A88" w:rsidRPr="00100F0A" w:rsidRDefault="00EE2A88" w:rsidP="00F91F60">
      <w:pPr>
        <w:pStyle w:val="BodyText"/>
      </w:pPr>
    </w:p>
    <w:p w14:paraId="5C8608C1" w14:textId="1B8393C9" w:rsidR="00B37084" w:rsidRDefault="00B37084" w:rsidP="00856180">
      <w:pPr>
        <w:pStyle w:val="BodyText"/>
        <w:rPr>
          <w:i/>
          <w:iCs/>
          <w:color w:val="4D4DB8"/>
          <w:szCs w:val="18"/>
        </w:rPr>
      </w:pPr>
      <w:bookmarkStart w:id="434" w:name="_Ref531182821"/>
      <w:bookmarkStart w:id="435" w:name="_Toc13225678"/>
      <w:r w:rsidRPr="008C1B89">
        <w:rPr>
          <w:i/>
          <w:iCs/>
          <w:color w:val="4D4DB8"/>
          <w:szCs w:val="18"/>
        </w:rPr>
        <w:t xml:space="preserve">Table </w:t>
      </w:r>
      <w:r w:rsidR="002F2488" w:rsidRPr="008C1B89">
        <w:rPr>
          <w:i/>
          <w:iCs/>
          <w:color w:val="4D4DB8"/>
          <w:szCs w:val="18"/>
        </w:rPr>
        <w:fldChar w:fldCharType="begin"/>
      </w:r>
      <w:r w:rsidR="002F2488" w:rsidRPr="008C1B89">
        <w:rPr>
          <w:i/>
          <w:iCs/>
          <w:color w:val="4D4DB8"/>
          <w:szCs w:val="18"/>
        </w:rPr>
        <w:instrText xml:space="preserve"> SEQ Table \* ARABIC </w:instrText>
      </w:r>
      <w:r w:rsidR="002F2488" w:rsidRPr="008C1B89">
        <w:rPr>
          <w:i/>
          <w:iCs/>
          <w:color w:val="4D4DB8"/>
          <w:szCs w:val="18"/>
        </w:rPr>
        <w:fldChar w:fldCharType="separate"/>
      </w:r>
      <w:r w:rsidR="00EB634D">
        <w:rPr>
          <w:i/>
          <w:iCs/>
          <w:noProof/>
          <w:color w:val="4D4DB8"/>
          <w:szCs w:val="18"/>
        </w:rPr>
        <w:t>59</w:t>
      </w:r>
      <w:r w:rsidR="002F2488" w:rsidRPr="008C1B89">
        <w:rPr>
          <w:i/>
          <w:iCs/>
          <w:color w:val="4D4DB8"/>
          <w:szCs w:val="18"/>
        </w:rPr>
        <w:fldChar w:fldCharType="end"/>
      </w:r>
      <w:bookmarkEnd w:id="432"/>
      <w:bookmarkEnd w:id="434"/>
      <w:r w:rsidR="00D11FEE" w:rsidRPr="00100F0A">
        <w:tab/>
      </w:r>
      <w:r w:rsidRPr="00100F0A">
        <w:rPr>
          <w:i/>
          <w:iCs/>
          <w:color w:val="4D4DB8"/>
          <w:szCs w:val="18"/>
        </w:rPr>
        <w:t>WA assessment of projected arisings vs infrastructure capacity</w:t>
      </w:r>
      <w:bookmarkEnd w:id="433"/>
      <w:bookmarkEnd w:id="435"/>
    </w:p>
    <w:tbl>
      <w:tblPr>
        <w:tblW w:w="14170" w:type="dxa"/>
        <w:tblLayout w:type="fixed"/>
        <w:tblLook w:val="04A0" w:firstRow="1" w:lastRow="0" w:firstColumn="1" w:lastColumn="0" w:noHBand="0" w:noVBand="1"/>
      </w:tblPr>
      <w:tblGrid>
        <w:gridCol w:w="2830"/>
        <w:gridCol w:w="893"/>
        <w:gridCol w:w="958"/>
        <w:gridCol w:w="1025"/>
        <w:gridCol w:w="962"/>
        <w:gridCol w:w="739"/>
        <w:gridCol w:w="739"/>
        <w:gridCol w:w="739"/>
        <w:gridCol w:w="5285"/>
      </w:tblGrid>
      <w:tr w:rsidR="008C1B89" w:rsidRPr="008C1B89" w14:paraId="4156EA3F" w14:textId="77777777" w:rsidTr="005148C8">
        <w:trPr>
          <w:trHeight w:val="1020"/>
          <w:tblHeader/>
        </w:trPr>
        <w:tc>
          <w:tcPr>
            <w:tcW w:w="2830" w:type="dxa"/>
            <w:tcBorders>
              <w:top w:val="single" w:sz="4" w:space="0" w:color="BFBFBF"/>
              <w:left w:val="single" w:sz="4" w:space="0" w:color="BFBFBF"/>
              <w:bottom w:val="nil"/>
              <w:right w:val="nil"/>
            </w:tcBorders>
            <w:shd w:val="clear" w:color="000000" w:fill="C5D9F1"/>
            <w:vAlign w:val="center"/>
            <w:hideMark/>
          </w:tcPr>
          <w:p w14:paraId="368AE217"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Infrastructure group</w:t>
            </w:r>
          </w:p>
        </w:tc>
        <w:tc>
          <w:tcPr>
            <w:tcW w:w="893" w:type="dxa"/>
            <w:tcBorders>
              <w:top w:val="single" w:sz="4" w:space="0" w:color="BFBFBF"/>
              <w:left w:val="single" w:sz="4" w:space="0" w:color="BFBFBF"/>
              <w:bottom w:val="nil"/>
              <w:right w:val="nil"/>
            </w:tcBorders>
            <w:shd w:val="clear" w:color="000000" w:fill="C5D9F1"/>
            <w:hideMark/>
          </w:tcPr>
          <w:p w14:paraId="0910600E"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16-17 arisings</w:t>
            </w:r>
            <w:r w:rsidRPr="008C1B89">
              <w:rPr>
                <w:rFonts w:eastAsia="Times New Roman" w:cs="Calibri"/>
                <w:b/>
                <w:bCs/>
                <w:color w:val="000000"/>
                <w:sz w:val="20"/>
                <w:szCs w:val="20"/>
                <w:lang w:eastAsia="en-AU"/>
              </w:rPr>
              <w:br/>
              <w:t>(t/yr)</w:t>
            </w:r>
          </w:p>
        </w:tc>
        <w:tc>
          <w:tcPr>
            <w:tcW w:w="958" w:type="dxa"/>
            <w:tcBorders>
              <w:top w:val="single" w:sz="4" w:space="0" w:color="BFBFBF"/>
              <w:left w:val="nil"/>
              <w:bottom w:val="nil"/>
              <w:right w:val="nil"/>
            </w:tcBorders>
            <w:shd w:val="clear" w:color="000000" w:fill="C5D9F1"/>
            <w:hideMark/>
          </w:tcPr>
          <w:p w14:paraId="5441A871"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Installed capacity</w:t>
            </w:r>
            <w:r w:rsidRPr="008C1B89">
              <w:rPr>
                <w:rFonts w:eastAsia="Times New Roman" w:cs="Calibri"/>
                <w:b/>
                <w:bCs/>
                <w:color w:val="000000"/>
                <w:sz w:val="20"/>
                <w:szCs w:val="20"/>
                <w:lang w:eastAsia="en-AU"/>
              </w:rPr>
              <w:br/>
              <w:t>(t/yr)</w:t>
            </w:r>
          </w:p>
        </w:tc>
        <w:tc>
          <w:tcPr>
            <w:tcW w:w="1025" w:type="dxa"/>
            <w:tcBorders>
              <w:top w:val="single" w:sz="4" w:space="0" w:color="BFBFBF"/>
              <w:left w:val="nil"/>
              <w:bottom w:val="nil"/>
              <w:right w:val="nil"/>
            </w:tcBorders>
            <w:shd w:val="clear" w:color="000000" w:fill="C5D9F1"/>
            <w:hideMark/>
          </w:tcPr>
          <w:p w14:paraId="75E7C918"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Expected capacity change</w:t>
            </w:r>
            <w:r w:rsidRPr="008C1B89">
              <w:rPr>
                <w:rFonts w:eastAsia="Times New Roman" w:cs="Calibri"/>
                <w:b/>
                <w:bCs/>
                <w:color w:val="000000"/>
                <w:sz w:val="20"/>
                <w:szCs w:val="20"/>
                <w:lang w:eastAsia="en-AU"/>
              </w:rPr>
              <w:br/>
              <w:t>(t/yr)</w:t>
            </w:r>
          </w:p>
        </w:tc>
        <w:tc>
          <w:tcPr>
            <w:tcW w:w="962" w:type="dxa"/>
            <w:tcBorders>
              <w:top w:val="single" w:sz="4" w:space="0" w:color="BFBFBF"/>
              <w:left w:val="nil"/>
              <w:bottom w:val="nil"/>
              <w:right w:val="single" w:sz="4" w:space="0" w:color="BFBFBF"/>
            </w:tcBorders>
            <w:shd w:val="clear" w:color="000000" w:fill="C5D9F1"/>
            <w:hideMark/>
          </w:tcPr>
          <w:p w14:paraId="581A99F3"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Capacity data quality</w:t>
            </w:r>
            <w:r w:rsidRPr="008C1B89">
              <w:rPr>
                <w:rFonts w:eastAsia="Times New Roman" w:cs="Calibri"/>
                <w:b/>
                <w:bCs/>
                <w:color w:val="000000"/>
                <w:sz w:val="20"/>
                <w:szCs w:val="20"/>
                <w:lang w:eastAsia="en-AU"/>
              </w:rPr>
              <w:br/>
              <w:t>Good, ok, poor</w:t>
            </w:r>
          </w:p>
        </w:tc>
        <w:tc>
          <w:tcPr>
            <w:tcW w:w="2217" w:type="dxa"/>
            <w:gridSpan w:val="3"/>
            <w:tcBorders>
              <w:top w:val="single" w:sz="4" w:space="0" w:color="BFBFBF"/>
              <w:left w:val="nil"/>
              <w:bottom w:val="nil"/>
              <w:right w:val="single" w:sz="4" w:space="0" w:color="BFBFBF"/>
            </w:tcBorders>
            <w:shd w:val="clear" w:color="000000" w:fill="C5D9F1"/>
            <w:hideMark/>
          </w:tcPr>
          <w:p w14:paraId="0F90DF6A" w14:textId="2C3330D8"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Est. year arisings &gt; capacity</w:t>
            </w:r>
            <w:r w:rsidRPr="008C1B89">
              <w:rPr>
                <w:rFonts w:eastAsia="Times New Roman" w:cs="Calibri"/>
                <w:b/>
                <w:bCs/>
                <w:color w:val="000000"/>
                <w:sz w:val="20"/>
                <w:szCs w:val="20"/>
                <w:lang w:eastAsia="en-AU"/>
              </w:rPr>
              <w:br/>
              <w:t xml:space="preserve">Best  </w:t>
            </w:r>
            <w:r w:rsidR="005148C8">
              <w:rPr>
                <w:rFonts w:eastAsia="Times New Roman" w:cs="Calibri"/>
                <w:b/>
                <w:bCs/>
                <w:color w:val="000000"/>
                <w:sz w:val="20"/>
                <w:szCs w:val="20"/>
                <w:lang w:eastAsia="en-AU"/>
              </w:rPr>
              <w:t xml:space="preserve"> </w:t>
            </w:r>
            <w:r w:rsidRPr="008C1B89">
              <w:rPr>
                <w:rFonts w:eastAsia="Times New Roman" w:cs="Calibri"/>
                <w:b/>
                <w:bCs/>
                <w:color w:val="000000"/>
                <w:sz w:val="20"/>
                <w:szCs w:val="20"/>
                <w:lang w:eastAsia="en-AU"/>
              </w:rPr>
              <w:t xml:space="preserve">     High        Low</w:t>
            </w:r>
          </w:p>
        </w:tc>
        <w:tc>
          <w:tcPr>
            <w:tcW w:w="5285" w:type="dxa"/>
            <w:tcBorders>
              <w:top w:val="single" w:sz="4" w:space="0" w:color="BFBFBF"/>
              <w:left w:val="nil"/>
              <w:bottom w:val="nil"/>
              <w:right w:val="single" w:sz="4" w:space="0" w:color="BFBFBF"/>
            </w:tcBorders>
            <w:shd w:val="clear" w:color="000000" w:fill="C5D9F1"/>
            <w:hideMark/>
          </w:tcPr>
          <w:p w14:paraId="43D79AB5" w14:textId="77777777" w:rsidR="008C1B89" w:rsidRPr="008C1B89" w:rsidRDefault="008C1B89" w:rsidP="008C1B89">
            <w:pPr>
              <w:jc w:val="center"/>
              <w:rPr>
                <w:rFonts w:eastAsia="Times New Roman" w:cs="Calibri"/>
                <w:b/>
                <w:bCs/>
                <w:color w:val="000000"/>
                <w:sz w:val="20"/>
                <w:szCs w:val="20"/>
                <w:lang w:eastAsia="en-AU"/>
              </w:rPr>
            </w:pPr>
            <w:r w:rsidRPr="008C1B89">
              <w:rPr>
                <w:rFonts w:eastAsia="Times New Roman" w:cs="Calibri"/>
                <w:b/>
                <w:bCs/>
                <w:color w:val="000000"/>
                <w:sz w:val="20"/>
                <w:szCs w:val="20"/>
                <w:lang w:eastAsia="en-AU"/>
              </w:rPr>
              <w:t>Assessment discussion and recommendations</w:t>
            </w:r>
          </w:p>
        </w:tc>
      </w:tr>
      <w:tr w:rsidR="00763475" w:rsidRPr="008C1B89" w14:paraId="738EF211" w14:textId="77777777" w:rsidTr="00763475">
        <w:trPr>
          <w:trHeight w:val="255"/>
        </w:trPr>
        <w:tc>
          <w:tcPr>
            <w:tcW w:w="2830" w:type="dxa"/>
            <w:tcBorders>
              <w:top w:val="single" w:sz="4" w:space="0" w:color="808080"/>
              <w:left w:val="single" w:sz="4" w:space="0" w:color="BFBFBF"/>
              <w:bottom w:val="single" w:sz="4" w:space="0" w:color="BFBFBF"/>
              <w:right w:val="nil"/>
            </w:tcBorders>
            <w:shd w:val="clear" w:color="000000" w:fill="C5D9F1"/>
            <w:noWrap/>
            <w:vAlign w:val="bottom"/>
            <w:hideMark/>
          </w:tcPr>
          <w:p w14:paraId="3E653A38" w14:textId="77777777" w:rsidR="00763475" w:rsidRPr="008C1B89" w:rsidRDefault="00763475" w:rsidP="00763475">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Recycling and energy recovery</w:t>
            </w:r>
          </w:p>
        </w:tc>
        <w:tc>
          <w:tcPr>
            <w:tcW w:w="893" w:type="dxa"/>
            <w:tcBorders>
              <w:top w:val="single" w:sz="4" w:space="0" w:color="808080"/>
              <w:left w:val="nil"/>
              <w:bottom w:val="single" w:sz="4" w:space="0" w:color="BFBFBF"/>
              <w:right w:val="nil"/>
            </w:tcBorders>
            <w:shd w:val="clear" w:color="000000" w:fill="C5D9F1"/>
            <w:noWrap/>
            <w:vAlign w:val="bottom"/>
            <w:hideMark/>
          </w:tcPr>
          <w:p w14:paraId="4C774D2F" w14:textId="77777777" w:rsidR="00763475" w:rsidRPr="008C1B89" w:rsidRDefault="00763475" w:rsidP="00763475">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958" w:type="dxa"/>
            <w:tcBorders>
              <w:top w:val="single" w:sz="4" w:space="0" w:color="808080"/>
              <w:left w:val="nil"/>
              <w:bottom w:val="single" w:sz="4" w:space="0" w:color="BFBFBF"/>
              <w:right w:val="nil"/>
            </w:tcBorders>
            <w:shd w:val="clear" w:color="000000" w:fill="C5D9F1"/>
            <w:noWrap/>
            <w:vAlign w:val="bottom"/>
            <w:hideMark/>
          </w:tcPr>
          <w:p w14:paraId="17D8F1EC" w14:textId="77777777" w:rsidR="00763475" w:rsidRPr="008C1B89" w:rsidRDefault="00763475" w:rsidP="00763475">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1025" w:type="dxa"/>
            <w:tcBorders>
              <w:top w:val="single" w:sz="4" w:space="0" w:color="808080"/>
              <w:left w:val="nil"/>
              <w:bottom w:val="single" w:sz="4" w:space="0" w:color="BFBFBF"/>
              <w:right w:val="nil"/>
            </w:tcBorders>
            <w:shd w:val="clear" w:color="000000" w:fill="C5D9F1"/>
            <w:noWrap/>
            <w:vAlign w:val="bottom"/>
            <w:hideMark/>
          </w:tcPr>
          <w:p w14:paraId="78C5A926" w14:textId="77777777" w:rsidR="00763475" w:rsidRPr="008C1B89" w:rsidRDefault="00763475" w:rsidP="00763475">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962" w:type="dxa"/>
            <w:tcBorders>
              <w:top w:val="single" w:sz="4" w:space="0" w:color="808080"/>
              <w:left w:val="nil"/>
              <w:bottom w:val="single" w:sz="4" w:space="0" w:color="BFBFBF"/>
              <w:right w:val="nil"/>
            </w:tcBorders>
            <w:shd w:val="clear" w:color="000000" w:fill="C5D9F1"/>
            <w:noWrap/>
            <w:vAlign w:val="bottom"/>
            <w:hideMark/>
          </w:tcPr>
          <w:p w14:paraId="51F6FC68" w14:textId="77777777" w:rsidR="00763475" w:rsidRPr="008C1B89" w:rsidRDefault="00763475" w:rsidP="00763475">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739" w:type="dxa"/>
            <w:tcBorders>
              <w:top w:val="single" w:sz="4" w:space="0" w:color="808080"/>
              <w:left w:val="nil"/>
              <w:bottom w:val="single" w:sz="4" w:space="0" w:color="BFBFBF"/>
              <w:right w:val="nil"/>
            </w:tcBorders>
            <w:shd w:val="clear" w:color="000000" w:fill="C5D9F1"/>
            <w:noWrap/>
            <w:vAlign w:val="bottom"/>
            <w:hideMark/>
          </w:tcPr>
          <w:p w14:paraId="0B3E0750" w14:textId="77777777" w:rsidR="00763475" w:rsidRPr="008C1B89" w:rsidRDefault="00763475" w:rsidP="00763475">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739" w:type="dxa"/>
            <w:tcBorders>
              <w:top w:val="single" w:sz="4" w:space="0" w:color="808080"/>
              <w:left w:val="nil"/>
              <w:bottom w:val="single" w:sz="4" w:space="0" w:color="BFBFBF"/>
              <w:right w:val="nil"/>
            </w:tcBorders>
            <w:shd w:val="clear" w:color="000000" w:fill="C5D9F1"/>
            <w:noWrap/>
            <w:vAlign w:val="bottom"/>
            <w:hideMark/>
          </w:tcPr>
          <w:p w14:paraId="65AB4042" w14:textId="77777777" w:rsidR="00763475" w:rsidRPr="008C1B89" w:rsidRDefault="00763475" w:rsidP="00763475">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739" w:type="dxa"/>
            <w:tcBorders>
              <w:top w:val="single" w:sz="4" w:space="0" w:color="808080"/>
              <w:left w:val="nil"/>
              <w:bottom w:val="single" w:sz="4" w:space="0" w:color="BFBFBF"/>
              <w:right w:val="single" w:sz="4" w:space="0" w:color="BFBFBF"/>
            </w:tcBorders>
            <w:shd w:val="clear" w:color="000000" w:fill="C5D9F1"/>
            <w:noWrap/>
            <w:vAlign w:val="bottom"/>
            <w:hideMark/>
          </w:tcPr>
          <w:p w14:paraId="75CD06A7" w14:textId="77777777" w:rsidR="00763475" w:rsidRPr="008C1B89" w:rsidRDefault="00763475" w:rsidP="00763475">
            <w:pPr>
              <w:rPr>
                <w:rFonts w:eastAsia="Times New Roman" w:cs="Calibri"/>
                <w:b/>
                <w:bCs/>
                <w:color w:val="000000"/>
                <w:sz w:val="20"/>
                <w:szCs w:val="20"/>
                <w:lang w:eastAsia="en-AU"/>
              </w:rPr>
            </w:pPr>
            <w:r w:rsidRPr="008C1B89">
              <w:rPr>
                <w:rFonts w:eastAsia="Times New Roman" w:cs="Calibri"/>
                <w:b/>
                <w:bCs/>
                <w:color w:val="000000"/>
                <w:sz w:val="20"/>
                <w:szCs w:val="20"/>
                <w:lang w:eastAsia="en-AU"/>
              </w:rPr>
              <w:t> </w:t>
            </w:r>
          </w:p>
        </w:tc>
        <w:tc>
          <w:tcPr>
            <w:tcW w:w="5285" w:type="dxa"/>
            <w:vMerge w:val="restart"/>
            <w:tcBorders>
              <w:top w:val="single" w:sz="4" w:space="0" w:color="808080"/>
              <w:left w:val="single" w:sz="4" w:space="0" w:color="BFBFBF"/>
              <w:bottom w:val="single" w:sz="4" w:space="0" w:color="BFBFBF"/>
              <w:right w:val="single" w:sz="4" w:space="0" w:color="BFBFBF"/>
            </w:tcBorders>
            <w:shd w:val="clear" w:color="000000" w:fill="FFFFFF"/>
          </w:tcPr>
          <w:p w14:paraId="55853D56" w14:textId="31A83CD0" w:rsidR="00763475" w:rsidRPr="008C1B89" w:rsidRDefault="00763475" w:rsidP="00763475">
            <w:pPr>
              <w:rPr>
                <w:rFonts w:eastAsia="Times New Roman" w:cs="Calibri"/>
                <w:color w:val="000000"/>
                <w:sz w:val="20"/>
                <w:szCs w:val="20"/>
                <w:lang w:eastAsia="en-AU"/>
              </w:rPr>
            </w:pPr>
            <w:r w:rsidRPr="00100F0A">
              <w:rPr>
                <w:rFonts w:asciiTheme="minorHAnsi" w:eastAsia="Times New Roman" w:hAnsiTheme="minorHAnsi" w:cstheme="minorHAnsi"/>
                <w:b/>
                <w:bCs/>
                <w:color w:val="000000"/>
                <w:sz w:val="20"/>
                <w:szCs w:val="20"/>
                <w:lang w:eastAsia="en-AU"/>
              </w:rPr>
              <w:t xml:space="preserve">Recycling and energy recovery </w:t>
            </w:r>
            <w:r w:rsidRPr="00100F0A">
              <w:rPr>
                <w:rFonts w:asciiTheme="minorHAnsi" w:eastAsia="Times New Roman" w:hAnsiTheme="minorHAnsi" w:cstheme="minorHAnsi"/>
                <w:color w:val="000000"/>
                <w:sz w:val="20"/>
                <w:szCs w:val="20"/>
                <w:lang w:eastAsia="en-AU"/>
              </w:rPr>
              <w:br/>
              <w:t>- Hazwaste packaging, mercury, oil refining capacities are likely to be sufficient under all scenarios.</w:t>
            </w:r>
            <w:r w:rsidRPr="00100F0A">
              <w:rPr>
                <w:rFonts w:asciiTheme="minorHAnsi" w:eastAsia="Times New Roman" w:hAnsiTheme="minorHAnsi" w:cstheme="minorHAnsi"/>
                <w:color w:val="000000"/>
                <w:sz w:val="20"/>
                <w:szCs w:val="20"/>
                <w:lang w:eastAsia="en-AU"/>
              </w:rPr>
              <w:br/>
              <w:t>- E-waste, solvents/paints/organic chemicals, lead waste are likely sent interstate for recycling. The 2015 assessment included a proposal for a new lead processing facility for WA that has not developed, which has changed the findings.</w:t>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b/>
                <w:bCs/>
                <w:color w:val="000000"/>
                <w:sz w:val="20"/>
                <w:szCs w:val="20"/>
                <w:lang w:eastAsia="en-AU"/>
              </w:rPr>
              <w:t>Treatment</w:t>
            </w:r>
            <w:r w:rsidRPr="00100F0A">
              <w:rPr>
                <w:rFonts w:asciiTheme="minorHAnsi" w:eastAsia="Times New Roman" w:hAnsiTheme="minorHAnsi" w:cstheme="minorHAnsi"/>
                <w:color w:val="000000"/>
                <w:sz w:val="20"/>
                <w:szCs w:val="20"/>
                <w:lang w:eastAsia="en-AU"/>
              </w:rPr>
              <w:br/>
              <w:t xml:space="preserve">- CPT plant, clinical waste and soil treatment capacity should be sufficient across projection period. It's worth noting WA's main soils facility uses bioremediation techniques to treat soil (not a high temperature thermal treatment process), so much of the bioremediation tonnages may be sent </w:t>
            </w:r>
            <w:r>
              <w:rPr>
                <w:rFonts w:asciiTheme="minorHAnsi" w:eastAsia="Times New Roman" w:hAnsiTheme="minorHAnsi" w:cstheme="minorHAnsi"/>
                <w:color w:val="000000"/>
                <w:sz w:val="20"/>
                <w:szCs w:val="20"/>
                <w:lang w:eastAsia="en-AU"/>
              </w:rPr>
              <w:t xml:space="preserve">to </w:t>
            </w:r>
            <w:r w:rsidRPr="00100F0A">
              <w:rPr>
                <w:rFonts w:asciiTheme="minorHAnsi" w:eastAsia="Times New Roman" w:hAnsiTheme="minorHAnsi" w:cstheme="minorHAnsi"/>
                <w:color w:val="000000"/>
                <w:sz w:val="20"/>
                <w:szCs w:val="20"/>
                <w:lang w:eastAsia="en-AU"/>
              </w:rPr>
              <w:t>the WA soil treatment facility.</w:t>
            </w:r>
            <w:r w:rsidRPr="00100F0A">
              <w:rPr>
                <w:rFonts w:asciiTheme="minorHAnsi" w:eastAsia="Times New Roman" w:hAnsiTheme="minorHAnsi" w:cstheme="minorHAnsi"/>
                <w:color w:val="000000"/>
                <w:sz w:val="20"/>
                <w:szCs w:val="20"/>
                <w:lang w:eastAsia="en-AU"/>
              </w:rPr>
              <w:br/>
              <w:t>- WA's OWT capacity appears to be constrained currently and additional capacity may be required.</w:t>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b/>
                <w:bCs/>
                <w:color w:val="000000"/>
                <w:sz w:val="20"/>
                <w:szCs w:val="20"/>
                <w:lang w:eastAsia="en-AU"/>
              </w:rPr>
              <w:t>Disposal (landfill and thermal destruction)</w:t>
            </w:r>
            <w:r w:rsidRPr="00100F0A">
              <w:rPr>
                <w:rFonts w:asciiTheme="minorHAnsi" w:eastAsia="Times New Roman" w:hAnsiTheme="minorHAnsi" w:cstheme="minorHAnsi"/>
                <w:color w:val="000000"/>
                <w:sz w:val="20"/>
                <w:szCs w:val="20"/>
                <w:lang w:eastAsia="en-AU"/>
              </w:rPr>
              <w:br/>
              <w:t xml:space="preserve">- Hazwaste landfill annual disposal capacity could be constrained currently if waste disposal rates are high which could require a licence amendment or changes in site management to take more tonnages per year. The expected </w:t>
            </w:r>
            <w:r w:rsidR="00052ED1" w:rsidRPr="009D734D">
              <w:rPr>
                <w:rFonts w:asciiTheme="minorHAnsi" w:eastAsia="Times New Roman" w:hAnsiTheme="minorHAnsi" w:cstheme="minorHAnsi"/>
                <w:color w:val="000000"/>
                <w:sz w:val="20"/>
                <w:szCs w:val="20"/>
                <w:highlight w:val="red"/>
                <w:lang w:eastAsia="en-AU"/>
              </w:rPr>
              <w:t>CIC</w:t>
            </w:r>
            <w:r w:rsidRPr="00100F0A">
              <w:rPr>
                <w:rFonts w:asciiTheme="minorHAnsi" w:eastAsia="Times New Roman" w:hAnsiTheme="minorHAnsi" w:cstheme="minorHAnsi"/>
                <w:color w:val="000000"/>
                <w:sz w:val="20"/>
                <w:szCs w:val="20"/>
                <w:lang w:eastAsia="en-AU"/>
              </w:rPr>
              <w:t xml:space="preserve"> tonnes of capacity at the long-term isolation facility will also provide additional capacity.</w:t>
            </w:r>
            <w:r w:rsidR="004428CC">
              <w:rPr>
                <w:rStyle w:val="FootnoteReference"/>
                <w:rFonts w:asciiTheme="minorHAnsi" w:eastAsia="Times New Roman" w:hAnsiTheme="minorHAnsi" w:cstheme="minorHAnsi"/>
                <w:color w:val="000000"/>
                <w:sz w:val="20"/>
                <w:szCs w:val="20"/>
                <w:lang w:eastAsia="en-AU"/>
              </w:rPr>
              <w:footnoteReference w:id="41"/>
            </w:r>
            <w:r w:rsidRPr="00100F0A">
              <w:rPr>
                <w:rFonts w:asciiTheme="minorHAnsi" w:eastAsia="Times New Roman" w:hAnsiTheme="minorHAnsi" w:cstheme="minorHAnsi"/>
                <w:color w:val="000000"/>
                <w:sz w:val="20"/>
                <w:szCs w:val="20"/>
                <w:lang w:eastAsia="en-AU"/>
              </w:rPr>
              <w:br/>
              <w:t xml:space="preserve">- </w:t>
            </w:r>
            <w:r>
              <w:rPr>
                <w:rFonts w:asciiTheme="minorHAnsi" w:eastAsia="Times New Roman" w:hAnsiTheme="minorHAnsi" w:cstheme="minorHAnsi"/>
                <w:color w:val="000000"/>
                <w:sz w:val="20"/>
                <w:szCs w:val="20"/>
                <w:lang w:eastAsia="en-AU"/>
              </w:rPr>
              <w:t>POP</w:t>
            </w:r>
            <w:r w:rsidRPr="00100F0A">
              <w:rPr>
                <w:rFonts w:asciiTheme="minorHAnsi" w:eastAsia="Times New Roman" w:hAnsiTheme="minorHAnsi" w:cstheme="minorHAnsi"/>
                <w:color w:val="000000"/>
                <w:sz w:val="20"/>
                <w:szCs w:val="20"/>
                <w:lang w:eastAsia="en-AU"/>
              </w:rPr>
              <w:t xml:space="preserve"> (PFOS, BDEs, HBCD, HCB) will be sent interstate for thermal destruction where required. </w:t>
            </w:r>
            <w:r w:rsidRPr="00100F0A">
              <w:rPr>
                <w:rFonts w:asciiTheme="minorHAnsi" w:eastAsia="Times New Roman" w:hAnsiTheme="minorHAnsi" w:cstheme="minorHAnsi"/>
                <w:color w:val="000000"/>
                <w:sz w:val="20"/>
                <w:szCs w:val="20"/>
                <w:lang w:eastAsia="en-AU"/>
              </w:rPr>
              <w:br/>
              <w:t>- Clinical waste TD capacity should be sufficient over projection period.</w:t>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b/>
                <w:bCs/>
                <w:color w:val="000000"/>
                <w:sz w:val="20"/>
                <w:szCs w:val="20"/>
                <w:lang w:eastAsia="en-AU"/>
              </w:rPr>
              <w:br/>
              <w:t>Transfer station or temporary storage</w:t>
            </w:r>
            <w:r w:rsidRPr="00100F0A">
              <w:rPr>
                <w:rFonts w:asciiTheme="minorHAnsi" w:eastAsia="Times New Roman" w:hAnsiTheme="minorHAnsi" w:cstheme="minorHAnsi"/>
                <w:b/>
                <w:bCs/>
                <w:color w:val="000000"/>
                <w:sz w:val="20"/>
                <w:szCs w:val="20"/>
                <w:lang w:eastAsia="en-AU"/>
              </w:rPr>
              <w:br/>
            </w:r>
            <w:r w:rsidRPr="00100F0A">
              <w:rPr>
                <w:rFonts w:asciiTheme="minorHAnsi" w:eastAsia="Times New Roman" w:hAnsiTheme="minorHAnsi" w:cstheme="minorHAnsi"/>
                <w:color w:val="000000"/>
                <w:sz w:val="20"/>
                <w:szCs w:val="20"/>
                <w:lang w:eastAsia="en-AU"/>
              </w:rPr>
              <w:t>- WA’s transfer capacity may already be exceeded; however, capacity estimates are incomplete due to limited infrastructure coverage and some capacity being provided within other infrastructure groups. The capacity of transfer infrastructure is also not fixed (i.e. capacity can be scaled up and down by simply increas</w:t>
            </w:r>
            <w:r>
              <w:rPr>
                <w:rFonts w:asciiTheme="minorHAnsi" w:eastAsia="Times New Roman" w:hAnsiTheme="minorHAnsi" w:cstheme="minorHAnsi"/>
                <w:color w:val="000000"/>
                <w:sz w:val="20"/>
                <w:szCs w:val="20"/>
                <w:lang w:eastAsia="en-AU"/>
              </w:rPr>
              <w:t>ing</w:t>
            </w:r>
            <w:r w:rsidRPr="00100F0A">
              <w:rPr>
                <w:rFonts w:asciiTheme="minorHAnsi" w:eastAsia="Times New Roman" w:hAnsiTheme="minorHAnsi" w:cstheme="minorHAnsi"/>
                <w:color w:val="000000"/>
                <w:sz w:val="20"/>
                <w:szCs w:val="20"/>
                <w:lang w:eastAsia="en-AU"/>
              </w:rPr>
              <w:t xml:space="preserve"> the rate of loads transfer</w:t>
            </w:r>
            <w:r>
              <w:rPr>
                <w:rFonts w:asciiTheme="minorHAnsi" w:eastAsia="Times New Roman" w:hAnsiTheme="minorHAnsi" w:cstheme="minorHAnsi"/>
                <w:color w:val="000000"/>
                <w:sz w:val="20"/>
                <w:szCs w:val="20"/>
                <w:lang w:eastAsia="en-AU"/>
              </w:rPr>
              <w:t>red</w:t>
            </w:r>
            <w:r w:rsidRPr="00100F0A">
              <w:rPr>
                <w:rFonts w:asciiTheme="minorHAnsi" w:eastAsia="Times New Roman" w:hAnsiTheme="minorHAnsi" w:cstheme="minorHAnsi"/>
                <w:color w:val="000000"/>
                <w:sz w:val="20"/>
                <w:szCs w:val="20"/>
                <w:lang w:eastAsia="en-AU"/>
              </w:rPr>
              <w:t xml:space="preserve">). </w:t>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color w:val="000000"/>
                <w:sz w:val="20"/>
                <w:szCs w:val="20"/>
                <w:lang w:eastAsia="en-AU"/>
              </w:rPr>
              <w:br/>
            </w:r>
            <w:r w:rsidRPr="00100F0A">
              <w:rPr>
                <w:rFonts w:asciiTheme="minorHAnsi" w:eastAsia="Times New Roman" w:hAnsiTheme="minorHAnsi" w:cstheme="minorHAnsi"/>
                <w:b/>
                <w:bCs/>
                <w:color w:val="000000"/>
                <w:sz w:val="20"/>
                <w:szCs w:val="20"/>
                <w:lang w:eastAsia="en-AU"/>
              </w:rPr>
              <w:t>NEPM 2016-17</w:t>
            </w:r>
            <w:r w:rsidRPr="00100F0A">
              <w:rPr>
                <w:rFonts w:asciiTheme="minorHAnsi" w:eastAsia="Times New Roman" w:hAnsiTheme="minorHAnsi" w:cstheme="minorHAnsi"/>
                <w:color w:val="000000"/>
                <w:sz w:val="20"/>
                <w:szCs w:val="20"/>
                <w:lang w:eastAsia="en-AU"/>
              </w:rPr>
              <w:t xml:space="preserve"> showed a net export of 19 kt with the main export being NEPM code D Inorganic chemicals which is likely to be lead acid batteries. </w:t>
            </w:r>
          </w:p>
        </w:tc>
      </w:tr>
      <w:tr w:rsidR="00F42A40" w:rsidRPr="008C1B89" w14:paraId="36EF0507"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4DE9709C"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Hazardous waste packaging facility</w:t>
            </w:r>
          </w:p>
        </w:tc>
        <w:tc>
          <w:tcPr>
            <w:tcW w:w="893" w:type="dxa"/>
            <w:tcBorders>
              <w:top w:val="nil"/>
              <w:left w:val="nil"/>
              <w:bottom w:val="single" w:sz="4" w:space="0" w:color="BFBFBF"/>
              <w:right w:val="single" w:sz="4" w:space="0" w:color="BFBFBF"/>
            </w:tcBorders>
            <w:shd w:val="clear" w:color="000000" w:fill="FFFFFF"/>
            <w:noWrap/>
            <w:hideMark/>
          </w:tcPr>
          <w:p w14:paraId="0F91E305" w14:textId="2EA51A28" w:rsidR="00F42A40" w:rsidRPr="008C1B89" w:rsidRDefault="00F42A40" w:rsidP="00F42A40">
            <w:pPr>
              <w:jc w:val="right"/>
              <w:rPr>
                <w:rFonts w:eastAsia="Times New Roman" w:cs="Calibri"/>
                <w:color w:val="000000"/>
                <w:sz w:val="20"/>
                <w:szCs w:val="20"/>
                <w:lang w:eastAsia="en-AU"/>
              </w:rPr>
            </w:pPr>
            <w:r>
              <w:rPr>
                <w:color w:val="000000"/>
                <w:sz w:val="20"/>
                <w:szCs w:val="20"/>
              </w:rPr>
              <w:t>60</w:t>
            </w:r>
          </w:p>
        </w:tc>
        <w:tc>
          <w:tcPr>
            <w:tcW w:w="958" w:type="dxa"/>
            <w:tcBorders>
              <w:top w:val="nil"/>
              <w:left w:val="nil"/>
              <w:right w:val="single" w:sz="4" w:space="0" w:color="BFBFBF"/>
            </w:tcBorders>
            <w:shd w:val="clear" w:color="auto" w:fill="auto"/>
            <w:noWrap/>
            <w:vAlign w:val="center"/>
            <w:hideMark/>
          </w:tcPr>
          <w:p w14:paraId="6ABF0231" w14:textId="1E31D453"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25" w:type="dxa"/>
            <w:tcBorders>
              <w:top w:val="nil"/>
              <w:left w:val="nil"/>
              <w:right w:val="single" w:sz="4" w:space="0" w:color="BFBFBF"/>
            </w:tcBorders>
            <w:shd w:val="clear" w:color="auto" w:fill="auto"/>
            <w:noWrap/>
            <w:vAlign w:val="center"/>
            <w:hideMark/>
          </w:tcPr>
          <w:p w14:paraId="3CC407AA" w14:textId="78AB490B"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62" w:type="dxa"/>
            <w:tcBorders>
              <w:top w:val="nil"/>
              <w:left w:val="nil"/>
              <w:bottom w:val="single" w:sz="4" w:space="0" w:color="BFBFBF"/>
              <w:right w:val="single" w:sz="4" w:space="0" w:color="BFBFBF"/>
            </w:tcBorders>
            <w:shd w:val="clear" w:color="auto" w:fill="auto"/>
            <w:noWrap/>
            <w:hideMark/>
          </w:tcPr>
          <w:p w14:paraId="4766D3E2" w14:textId="71F29108" w:rsidR="00F42A40" w:rsidRPr="008C1B89" w:rsidRDefault="00F42A40" w:rsidP="00F42A40">
            <w:pPr>
              <w:jc w:val="center"/>
              <w:rPr>
                <w:rFonts w:eastAsia="Times New Roman" w:cs="Calibri"/>
                <w:color w:val="000000"/>
                <w:sz w:val="20"/>
                <w:szCs w:val="20"/>
                <w:lang w:eastAsia="en-AU"/>
              </w:rPr>
            </w:pPr>
            <w:r>
              <w:rPr>
                <w:color w:val="000000"/>
                <w:sz w:val="20"/>
                <w:szCs w:val="20"/>
              </w:rPr>
              <w:t>Poor</w:t>
            </w:r>
          </w:p>
        </w:tc>
        <w:tc>
          <w:tcPr>
            <w:tcW w:w="739" w:type="dxa"/>
            <w:tcBorders>
              <w:top w:val="nil"/>
              <w:left w:val="nil"/>
              <w:bottom w:val="single" w:sz="4" w:space="0" w:color="BFBFBF"/>
              <w:right w:val="single" w:sz="4" w:space="0" w:color="BFBFBF"/>
            </w:tcBorders>
            <w:shd w:val="clear" w:color="000000" w:fill="FFFFFF"/>
            <w:noWrap/>
            <w:hideMark/>
          </w:tcPr>
          <w:p w14:paraId="4EDB57BF" w14:textId="01B2C630"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39" w:type="dxa"/>
            <w:tcBorders>
              <w:top w:val="nil"/>
              <w:left w:val="nil"/>
              <w:bottom w:val="single" w:sz="4" w:space="0" w:color="BFBFBF"/>
              <w:right w:val="single" w:sz="4" w:space="0" w:color="BFBFBF"/>
            </w:tcBorders>
            <w:shd w:val="clear" w:color="000000" w:fill="FFFFFF"/>
            <w:noWrap/>
            <w:hideMark/>
          </w:tcPr>
          <w:p w14:paraId="4FC221A3" w14:textId="7076F08F"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39" w:type="dxa"/>
            <w:tcBorders>
              <w:top w:val="nil"/>
              <w:left w:val="nil"/>
              <w:bottom w:val="single" w:sz="4" w:space="0" w:color="BFBFBF"/>
              <w:right w:val="single" w:sz="4" w:space="0" w:color="BFBFBF"/>
            </w:tcBorders>
            <w:shd w:val="clear" w:color="000000" w:fill="FFFFFF"/>
            <w:noWrap/>
            <w:hideMark/>
          </w:tcPr>
          <w:p w14:paraId="65914F97" w14:textId="1DF796E3"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285" w:type="dxa"/>
            <w:vMerge/>
            <w:tcBorders>
              <w:top w:val="single" w:sz="4" w:space="0" w:color="808080"/>
              <w:left w:val="single" w:sz="4" w:space="0" w:color="BFBFBF"/>
              <w:bottom w:val="single" w:sz="4" w:space="0" w:color="BFBFBF"/>
              <w:right w:val="single" w:sz="4" w:space="0" w:color="BFBFBF"/>
            </w:tcBorders>
            <w:vAlign w:val="center"/>
            <w:hideMark/>
          </w:tcPr>
          <w:p w14:paraId="12A74AD8" w14:textId="77777777" w:rsidR="00F42A40" w:rsidRPr="008C1B89" w:rsidRDefault="00F42A40" w:rsidP="00F42A40">
            <w:pPr>
              <w:rPr>
                <w:rFonts w:eastAsia="Times New Roman" w:cs="Calibri"/>
                <w:color w:val="000000"/>
                <w:sz w:val="20"/>
                <w:szCs w:val="20"/>
                <w:lang w:eastAsia="en-AU"/>
              </w:rPr>
            </w:pPr>
          </w:p>
        </w:tc>
      </w:tr>
      <w:tr w:rsidR="00F42A40" w:rsidRPr="008C1B89" w14:paraId="449E37E2"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AA0BF1A"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E-waste facility</w:t>
            </w:r>
          </w:p>
        </w:tc>
        <w:tc>
          <w:tcPr>
            <w:tcW w:w="893" w:type="dxa"/>
            <w:tcBorders>
              <w:top w:val="nil"/>
              <w:left w:val="nil"/>
              <w:bottom w:val="single" w:sz="4" w:space="0" w:color="BFBFBF"/>
              <w:right w:val="single" w:sz="4" w:space="0" w:color="BFBFBF"/>
            </w:tcBorders>
            <w:shd w:val="clear" w:color="000000" w:fill="FFFFFF"/>
            <w:noWrap/>
            <w:hideMark/>
          </w:tcPr>
          <w:p w14:paraId="53D00EF4" w14:textId="3E643C89" w:rsidR="00F42A40" w:rsidRPr="008C1B89" w:rsidRDefault="00F42A40" w:rsidP="00F42A40">
            <w:pPr>
              <w:jc w:val="right"/>
              <w:rPr>
                <w:rFonts w:eastAsia="Times New Roman" w:cs="Calibri"/>
                <w:color w:val="000000"/>
                <w:sz w:val="20"/>
                <w:szCs w:val="20"/>
                <w:lang w:eastAsia="en-AU"/>
              </w:rPr>
            </w:pPr>
            <w:r>
              <w:rPr>
                <w:color w:val="000000"/>
                <w:sz w:val="20"/>
                <w:szCs w:val="20"/>
              </w:rPr>
              <w:t>427</w:t>
            </w:r>
          </w:p>
        </w:tc>
        <w:tc>
          <w:tcPr>
            <w:tcW w:w="958" w:type="dxa"/>
            <w:tcBorders>
              <w:left w:val="nil"/>
              <w:right w:val="single" w:sz="4" w:space="0" w:color="BFBFBF"/>
            </w:tcBorders>
            <w:shd w:val="clear" w:color="auto" w:fill="auto"/>
            <w:noWrap/>
            <w:vAlign w:val="center"/>
            <w:hideMark/>
          </w:tcPr>
          <w:p w14:paraId="6FDA7D8E" w14:textId="5E1E237B" w:rsidR="00F42A40" w:rsidRPr="008C1B89" w:rsidRDefault="00F42A40" w:rsidP="009D734D">
            <w:pPr>
              <w:jc w:val="center"/>
              <w:rPr>
                <w:rFonts w:eastAsia="Times New Roman" w:cs="Calibri"/>
                <w:color w:val="000000"/>
                <w:sz w:val="20"/>
                <w:szCs w:val="20"/>
                <w:lang w:eastAsia="en-AU"/>
              </w:rPr>
            </w:pPr>
          </w:p>
        </w:tc>
        <w:tc>
          <w:tcPr>
            <w:tcW w:w="1025" w:type="dxa"/>
            <w:tcBorders>
              <w:left w:val="nil"/>
              <w:right w:val="single" w:sz="4" w:space="0" w:color="BFBFBF"/>
            </w:tcBorders>
            <w:shd w:val="clear" w:color="auto" w:fill="auto"/>
            <w:noWrap/>
            <w:vAlign w:val="center"/>
            <w:hideMark/>
          </w:tcPr>
          <w:p w14:paraId="2C0FA567" w14:textId="45440285" w:rsidR="00F42A40" w:rsidRPr="008C1B89" w:rsidRDefault="00F42A40" w:rsidP="009D734D">
            <w:pPr>
              <w:jc w:val="center"/>
              <w:rPr>
                <w:rFonts w:eastAsia="Times New Roman" w:cs="Calibri"/>
                <w:color w:val="000000"/>
                <w:sz w:val="20"/>
                <w:szCs w:val="20"/>
                <w:lang w:eastAsia="en-AU"/>
              </w:rPr>
            </w:pPr>
          </w:p>
        </w:tc>
        <w:tc>
          <w:tcPr>
            <w:tcW w:w="962" w:type="dxa"/>
            <w:tcBorders>
              <w:top w:val="nil"/>
              <w:left w:val="nil"/>
              <w:bottom w:val="single" w:sz="4" w:space="0" w:color="BFBFBF"/>
              <w:right w:val="single" w:sz="4" w:space="0" w:color="BFBFBF"/>
            </w:tcBorders>
            <w:shd w:val="clear" w:color="auto" w:fill="auto"/>
            <w:noWrap/>
            <w:hideMark/>
          </w:tcPr>
          <w:p w14:paraId="6F491AC9" w14:textId="3C252327"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2957DF7" w14:textId="77C257EC"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1C0E4AC5" w14:textId="75B3E0E2"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B571977" w14:textId="10C72A87"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285" w:type="dxa"/>
            <w:vMerge/>
            <w:tcBorders>
              <w:top w:val="single" w:sz="4" w:space="0" w:color="808080"/>
              <w:left w:val="single" w:sz="4" w:space="0" w:color="BFBFBF"/>
              <w:bottom w:val="single" w:sz="4" w:space="0" w:color="BFBFBF"/>
              <w:right w:val="single" w:sz="4" w:space="0" w:color="BFBFBF"/>
            </w:tcBorders>
            <w:vAlign w:val="center"/>
            <w:hideMark/>
          </w:tcPr>
          <w:p w14:paraId="0778E963" w14:textId="77777777" w:rsidR="00F42A40" w:rsidRPr="008C1B89" w:rsidRDefault="00F42A40" w:rsidP="00F42A40">
            <w:pPr>
              <w:rPr>
                <w:rFonts w:eastAsia="Times New Roman" w:cs="Calibri"/>
                <w:color w:val="000000"/>
                <w:sz w:val="20"/>
                <w:szCs w:val="20"/>
                <w:lang w:eastAsia="en-AU"/>
              </w:rPr>
            </w:pPr>
          </w:p>
        </w:tc>
      </w:tr>
      <w:tr w:rsidR="00F42A40" w:rsidRPr="008C1B89" w14:paraId="15636B9C"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4D2A66E"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Oil re-refining facility</w:t>
            </w:r>
          </w:p>
        </w:tc>
        <w:tc>
          <w:tcPr>
            <w:tcW w:w="893" w:type="dxa"/>
            <w:tcBorders>
              <w:top w:val="nil"/>
              <w:left w:val="nil"/>
              <w:bottom w:val="single" w:sz="4" w:space="0" w:color="BFBFBF"/>
              <w:right w:val="single" w:sz="4" w:space="0" w:color="BFBFBF"/>
            </w:tcBorders>
            <w:shd w:val="clear" w:color="000000" w:fill="FFFFFF"/>
            <w:noWrap/>
            <w:hideMark/>
          </w:tcPr>
          <w:p w14:paraId="20478ED3" w14:textId="43B72A3A" w:rsidR="00F42A40" w:rsidRPr="008C1B89" w:rsidRDefault="00F42A40" w:rsidP="00F42A40">
            <w:pPr>
              <w:jc w:val="right"/>
              <w:rPr>
                <w:rFonts w:eastAsia="Times New Roman" w:cs="Calibri"/>
                <w:color w:val="000000"/>
                <w:sz w:val="20"/>
                <w:szCs w:val="20"/>
                <w:lang w:eastAsia="en-AU"/>
              </w:rPr>
            </w:pPr>
            <w:r>
              <w:rPr>
                <w:color w:val="000000"/>
                <w:sz w:val="20"/>
                <w:szCs w:val="20"/>
              </w:rPr>
              <w:t>60,503</w:t>
            </w:r>
          </w:p>
        </w:tc>
        <w:tc>
          <w:tcPr>
            <w:tcW w:w="958" w:type="dxa"/>
            <w:tcBorders>
              <w:left w:val="nil"/>
              <w:right w:val="single" w:sz="4" w:space="0" w:color="BFBFBF"/>
            </w:tcBorders>
            <w:shd w:val="clear" w:color="auto" w:fill="auto"/>
            <w:noWrap/>
            <w:vAlign w:val="center"/>
            <w:hideMark/>
          </w:tcPr>
          <w:p w14:paraId="743EE55A" w14:textId="5D21842D" w:rsidR="00F42A40" w:rsidRPr="008C1B89" w:rsidRDefault="00F42A40" w:rsidP="009D734D">
            <w:pPr>
              <w:jc w:val="center"/>
              <w:rPr>
                <w:rFonts w:eastAsia="Times New Roman" w:cs="Calibri"/>
                <w:color w:val="000000"/>
                <w:sz w:val="20"/>
                <w:szCs w:val="20"/>
                <w:lang w:eastAsia="en-AU"/>
              </w:rPr>
            </w:pPr>
          </w:p>
        </w:tc>
        <w:tc>
          <w:tcPr>
            <w:tcW w:w="1025" w:type="dxa"/>
            <w:tcBorders>
              <w:left w:val="nil"/>
              <w:right w:val="single" w:sz="4" w:space="0" w:color="BFBFBF"/>
            </w:tcBorders>
            <w:shd w:val="clear" w:color="auto" w:fill="auto"/>
            <w:noWrap/>
            <w:vAlign w:val="center"/>
            <w:hideMark/>
          </w:tcPr>
          <w:p w14:paraId="2BF1B072" w14:textId="69D8A6B6" w:rsidR="00F42A40" w:rsidRPr="008C1B89" w:rsidRDefault="00F42A40" w:rsidP="009D734D">
            <w:pPr>
              <w:jc w:val="center"/>
              <w:rPr>
                <w:rFonts w:eastAsia="Times New Roman" w:cs="Calibri"/>
                <w:color w:val="000000"/>
                <w:sz w:val="20"/>
                <w:szCs w:val="20"/>
                <w:lang w:eastAsia="en-AU"/>
              </w:rPr>
            </w:pPr>
          </w:p>
        </w:tc>
        <w:tc>
          <w:tcPr>
            <w:tcW w:w="962" w:type="dxa"/>
            <w:tcBorders>
              <w:top w:val="nil"/>
              <w:left w:val="nil"/>
              <w:bottom w:val="single" w:sz="4" w:space="0" w:color="BFBFBF"/>
              <w:right w:val="single" w:sz="4" w:space="0" w:color="BFBFBF"/>
            </w:tcBorders>
            <w:shd w:val="clear" w:color="auto" w:fill="auto"/>
            <w:noWrap/>
            <w:hideMark/>
          </w:tcPr>
          <w:p w14:paraId="720ADDE7" w14:textId="6B3DC52A"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39" w:type="dxa"/>
            <w:tcBorders>
              <w:top w:val="nil"/>
              <w:left w:val="nil"/>
              <w:bottom w:val="single" w:sz="4" w:space="0" w:color="BFBFBF"/>
              <w:right w:val="single" w:sz="4" w:space="0" w:color="BFBFBF"/>
            </w:tcBorders>
            <w:shd w:val="clear" w:color="000000" w:fill="FFFFFF"/>
            <w:noWrap/>
            <w:hideMark/>
          </w:tcPr>
          <w:p w14:paraId="25EFD49D" w14:textId="3BC1C349"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39" w:type="dxa"/>
            <w:tcBorders>
              <w:top w:val="nil"/>
              <w:left w:val="nil"/>
              <w:bottom w:val="single" w:sz="4" w:space="0" w:color="BFBFBF"/>
              <w:right w:val="single" w:sz="4" w:space="0" w:color="BFBFBF"/>
            </w:tcBorders>
            <w:shd w:val="clear" w:color="000000" w:fill="FFFFFF"/>
            <w:noWrap/>
            <w:hideMark/>
          </w:tcPr>
          <w:p w14:paraId="7CBC61E0" w14:textId="136D9812"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39" w:type="dxa"/>
            <w:tcBorders>
              <w:top w:val="nil"/>
              <w:left w:val="nil"/>
              <w:bottom w:val="single" w:sz="4" w:space="0" w:color="BFBFBF"/>
              <w:right w:val="single" w:sz="4" w:space="0" w:color="BFBFBF"/>
            </w:tcBorders>
            <w:shd w:val="clear" w:color="000000" w:fill="FFFFFF"/>
            <w:noWrap/>
            <w:hideMark/>
          </w:tcPr>
          <w:p w14:paraId="6203BC38" w14:textId="6E6FA821"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285" w:type="dxa"/>
            <w:vMerge/>
            <w:tcBorders>
              <w:top w:val="single" w:sz="4" w:space="0" w:color="808080"/>
              <w:left w:val="single" w:sz="4" w:space="0" w:color="BFBFBF"/>
              <w:bottom w:val="single" w:sz="4" w:space="0" w:color="BFBFBF"/>
              <w:right w:val="single" w:sz="4" w:space="0" w:color="BFBFBF"/>
            </w:tcBorders>
            <w:vAlign w:val="center"/>
            <w:hideMark/>
          </w:tcPr>
          <w:p w14:paraId="44589546" w14:textId="77777777" w:rsidR="00F42A40" w:rsidRPr="008C1B89" w:rsidRDefault="00F42A40" w:rsidP="00F42A40">
            <w:pPr>
              <w:rPr>
                <w:rFonts w:eastAsia="Times New Roman" w:cs="Calibri"/>
                <w:color w:val="000000"/>
                <w:sz w:val="20"/>
                <w:szCs w:val="20"/>
                <w:lang w:eastAsia="en-AU"/>
              </w:rPr>
            </w:pPr>
          </w:p>
        </w:tc>
      </w:tr>
      <w:tr w:rsidR="00F42A40" w:rsidRPr="008C1B89" w14:paraId="68B11BD7"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2223F699"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Lead facility</w:t>
            </w:r>
          </w:p>
        </w:tc>
        <w:tc>
          <w:tcPr>
            <w:tcW w:w="893" w:type="dxa"/>
            <w:tcBorders>
              <w:top w:val="nil"/>
              <w:left w:val="nil"/>
              <w:bottom w:val="single" w:sz="4" w:space="0" w:color="BFBFBF"/>
              <w:right w:val="single" w:sz="4" w:space="0" w:color="BFBFBF"/>
            </w:tcBorders>
            <w:shd w:val="clear" w:color="000000" w:fill="FFFFFF"/>
            <w:noWrap/>
            <w:hideMark/>
          </w:tcPr>
          <w:p w14:paraId="58B80487" w14:textId="4C91DFAA" w:rsidR="00F42A40" w:rsidRPr="008C1B89" w:rsidRDefault="00F42A40" w:rsidP="00F42A40">
            <w:pPr>
              <w:jc w:val="right"/>
              <w:rPr>
                <w:rFonts w:eastAsia="Times New Roman" w:cs="Calibri"/>
                <w:color w:val="000000"/>
                <w:sz w:val="20"/>
                <w:szCs w:val="20"/>
                <w:lang w:eastAsia="en-AU"/>
              </w:rPr>
            </w:pPr>
            <w:r>
              <w:rPr>
                <w:color w:val="000000"/>
                <w:sz w:val="20"/>
                <w:szCs w:val="20"/>
              </w:rPr>
              <w:t>51</w:t>
            </w:r>
          </w:p>
        </w:tc>
        <w:tc>
          <w:tcPr>
            <w:tcW w:w="958" w:type="dxa"/>
            <w:tcBorders>
              <w:left w:val="nil"/>
              <w:right w:val="single" w:sz="4" w:space="0" w:color="BFBFBF"/>
            </w:tcBorders>
            <w:shd w:val="clear" w:color="auto" w:fill="auto"/>
            <w:noWrap/>
            <w:vAlign w:val="center"/>
            <w:hideMark/>
          </w:tcPr>
          <w:p w14:paraId="26928AAF" w14:textId="37807154" w:rsidR="00F42A40" w:rsidRPr="008C1B89" w:rsidRDefault="00F42A40" w:rsidP="009D734D">
            <w:pPr>
              <w:jc w:val="center"/>
              <w:rPr>
                <w:rFonts w:eastAsia="Times New Roman" w:cs="Calibri"/>
                <w:color w:val="000000"/>
                <w:sz w:val="20"/>
                <w:szCs w:val="20"/>
                <w:lang w:eastAsia="en-AU"/>
              </w:rPr>
            </w:pPr>
          </w:p>
        </w:tc>
        <w:tc>
          <w:tcPr>
            <w:tcW w:w="1025" w:type="dxa"/>
            <w:tcBorders>
              <w:left w:val="nil"/>
              <w:right w:val="single" w:sz="4" w:space="0" w:color="BFBFBF"/>
            </w:tcBorders>
            <w:shd w:val="clear" w:color="auto" w:fill="auto"/>
            <w:noWrap/>
            <w:vAlign w:val="center"/>
            <w:hideMark/>
          </w:tcPr>
          <w:p w14:paraId="5EDF14AB" w14:textId="55887BDB" w:rsidR="00F42A40" w:rsidRPr="008C1B89" w:rsidRDefault="00F42A40" w:rsidP="009D734D">
            <w:pPr>
              <w:jc w:val="center"/>
              <w:rPr>
                <w:rFonts w:eastAsia="Times New Roman" w:cs="Calibri"/>
                <w:color w:val="000000"/>
                <w:sz w:val="20"/>
                <w:szCs w:val="20"/>
                <w:lang w:eastAsia="en-AU"/>
              </w:rPr>
            </w:pPr>
          </w:p>
        </w:tc>
        <w:tc>
          <w:tcPr>
            <w:tcW w:w="962" w:type="dxa"/>
            <w:tcBorders>
              <w:top w:val="nil"/>
              <w:left w:val="nil"/>
              <w:bottom w:val="single" w:sz="4" w:space="0" w:color="BFBFBF"/>
              <w:right w:val="single" w:sz="4" w:space="0" w:color="BFBFBF"/>
            </w:tcBorders>
            <w:shd w:val="clear" w:color="auto" w:fill="auto"/>
            <w:noWrap/>
            <w:hideMark/>
          </w:tcPr>
          <w:p w14:paraId="2F28CDB2" w14:textId="419FE8AB"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4B67FCE1" w14:textId="2EADC748"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F5D2E0F" w14:textId="5E85D342"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4BCEBFC" w14:textId="4F0673CD"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285" w:type="dxa"/>
            <w:vMerge/>
            <w:tcBorders>
              <w:top w:val="single" w:sz="4" w:space="0" w:color="808080"/>
              <w:left w:val="single" w:sz="4" w:space="0" w:color="BFBFBF"/>
              <w:bottom w:val="single" w:sz="4" w:space="0" w:color="BFBFBF"/>
              <w:right w:val="single" w:sz="4" w:space="0" w:color="BFBFBF"/>
            </w:tcBorders>
            <w:vAlign w:val="center"/>
            <w:hideMark/>
          </w:tcPr>
          <w:p w14:paraId="3EB60A2C" w14:textId="77777777" w:rsidR="00F42A40" w:rsidRPr="008C1B89" w:rsidRDefault="00F42A40" w:rsidP="00F42A40">
            <w:pPr>
              <w:rPr>
                <w:rFonts w:eastAsia="Times New Roman" w:cs="Calibri"/>
                <w:color w:val="000000"/>
                <w:sz w:val="20"/>
                <w:szCs w:val="20"/>
                <w:lang w:eastAsia="en-AU"/>
              </w:rPr>
            </w:pPr>
          </w:p>
        </w:tc>
      </w:tr>
      <w:tr w:rsidR="00F42A40" w:rsidRPr="008C1B89" w14:paraId="5FD3E909"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6D85E97C"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Mercury facility</w:t>
            </w:r>
          </w:p>
        </w:tc>
        <w:tc>
          <w:tcPr>
            <w:tcW w:w="893" w:type="dxa"/>
            <w:tcBorders>
              <w:top w:val="nil"/>
              <w:left w:val="nil"/>
              <w:bottom w:val="single" w:sz="4" w:space="0" w:color="BFBFBF"/>
              <w:right w:val="single" w:sz="4" w:space="0" w:color="BFBFBF"/>
            </w:tcBorders>
            <w:shd w:val="clear" w:color="000000" w:fill="FFFFFF"/>
            <w:noWrap/>
            <w:hideMark/>
          </w:tcPr>
          <w:p w14:paraId="455B26D8" w14:textId="45955DBC" w:rsidR="00F42A40" w:rsidRPr="008C1B89" w:rsidRDefault="00F42A40" w:rsidP="00F42A40">
            <w:pPr>
              <w:jc w:val="right"/>
              <w:rPr>
                <w:rFonts w:eastAsia="Times New Roman" w:cs="Calibri"/>
                <w:color w:val="000000"/>
                <w:sz w:val="20"/>
                <w:szCs w:val="20"/>
                <w:lang w:eastAsia="en-AU"/>
              </w:rPr>
            </w:pPr>
            <w:r>
              <w:rPr>
                <w:color w:val="000000"/>
                <w:sz w:val="20"/>
                <w:szCs w:val="20"/>
              </w:rPr>
              <w:t>4</w:t>
            </w:r>
          </w:p>
        </w:tc>
        <w:tc>
          <w:tcPr>
            <w:tcW w:w="958" w:type="dxa"/>
            <w:tcBorders>
              <w:left w:val="nil"/>
              <w:right w:val="single" w:sz="4" w:space="0" w:color="BFBFBF"/>
            </w:tcBorders>
            <w:shd w:val="clear" w:color="auto" w:fill="auto"/>
            <w:noWrap/>
            <w:vAlign w:val="center"/>
            <w:hideMark/>
          </w:tcPr>
          <w:p w14:paraId="54EDFC6B" w14:textId="70046050" w:rsidR="00F42A40" w:rsidRPr="008C1B89" w:rsidRDefault="00F42A40" w:rsidP="009D734D">
            <w:pPr>
              <w:jc w:val="center"/>
              <w:rPr>
                <w:rFonts w:eastAsia="Times New Roman" w:cs="Calibri"/>
                <w:color w:val="000000"/>
                <w:sz w:val="20"/>
                <w:szCs w:val="20"/>
                <w:lang w:eastAsia="en-AU"/>
              </w:rPr>
            </w:pPr>
          </w:p>
        </w:tc>
        <w:tc>
          <w:tcPr>
            <w:tcW w:w="1025" w:type="dxa"/>
            <w:tcBorders>
              <w:left w:val="nil"/>
              <w:right w:val="single" w:sz="4" w:space="0" w:color="BFBFBF"/>
            </w:tcBorders>
            <w:shd w:val="clear" w:color="auto" w:fill="auto"/>
            <w:noWrap/>
            <w:vAlign w:val="center"/>
            <w:hideMark/>
          </w:tcPr>
          <w:p w14:paraId="48F96771" w14:textId="72EFE282" w:rsidR="00F42A40" w:rsidRPr="008C1B89" w:rsidRDefault="00F42A40" w:rsidP="009D734D">
            <w:pPr>
              <w:jc w:val="center"/>
              <w:rPr>
                <w:rFonts w:eastAsia="Times New Roman" w:cs="Calibri"/>
                <w:color w:val="000000"/>
                <w:sz w:val="20"/>
                <w:szCs w:val="20"/>
                <w:lang w:eastAsia="en-AU"/>
              </w:rPr>
            </w:pPr>
          </w:p>
        </w:tc>
        <w:tc>
          <w:tcPr>
            <w:tcW w:w="962" w:type="dxa"/>
            <w:tcBorders>
              <w:top w:val="nil"/>
              <w:left w:val="nil"/>
              <w:bottom w:val="single" w:sz="4" w:space="0" w:color="BFBFBF"/>
              <w:right w:val="single" w:sz="4" w:space="0" w:color="BFBFBF"/>
            </w:tcBorders>
            <w:shd w:val="clear" w:color="auto" w:fill="auto"/>
            <w:noWrap/>
            <w:hideMark/>
          </w:tcPr>
          <w:p w14:paraId="23023A56" w14:textId="7F64F61F"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39" w:type="dxa"/>
            <w:tcBorders>
              <w:top w:val="nil"/>
              <w:left w:val="nil"/>
              <w:bottom w:val="single" w:sz="4" w:space="0" w:color="BFBFBF"/>
              <w:right w:val="single" w:sz="4" w:space="0" w:color="BFBFBF"/>
            </w:tcBorders>
            <w:shd w:val="clear" w:color="000000" w:fill="FFFFFF"/>
            <w:noWrap/>
            <w:hideMark/>
          </w:tcPr>
          <w:p w14:paraId="2784B861" w14:textId="5F430BC8"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39" w:type="dxa"/>
            <w:tcBorders>
              <w:top w:val="nil"/>
              <w:left w:val="nil"/>
              <w:bottom w:val="single" w:sz="4" w:space="0" w:color="BFBFBF"/>
              <w:right w:val="single" w:sz="4" w:space="0" w:color="BFBFBF"/>
            </w:tcBorders>
            <w:shd w:val="clear" w:color="000000" w:fill="FFFFFF"/>
            <w:noWrap/>
            <w:hideMark/>
          </w:tcPr>
          <w:p w14:paraId="29A2317D" w14:textId="2A27CFB3"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39" w:type="dxa"/>
            <w:tcBorders>
              <w:top w:val="nil"/>
              <w:left w:val="nil"/>
              <w:bottom w:val="single" w:sz="4" w:space="0" w:color="BFBFBF"/>
              <w:right w:val="single" w:sz="4" w:space="0" w:color="BFBFBF"/>
            </w:tcBorders>
            <w:shd w:val="clear" w:color="000000" w:fill="FFFFFF"/>
            <w:noWrap/>
            <w:hideMark/>
          </w:tcPr>
          <w:p w14:paraId="4E51507E" w14:textId="5457C9E9"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285" w:type="dxa"/>
            <w:vMerge/>
            <w:tcBorders>
              <w:top w:val="single" w:sz="4" w:space="0" w:color="808080"/>
              <w:left w:val="single" w:sz="4" w:space="0" w:color="BFBFBF"/>
              <w:bottom w:val="single" w:sz="4" w:space="0" w:color="BFBFBF"/>
              <w:right w:val="single" w:sz="4" w:space="0" w:color="BFBFBF"/>
            </w:tcBorders>
            <w:vAlign w:val="center"/>
            <w:hideMark/>
          </w:tcPr>
          <w:p w14:paraId="2089C193" w14:textId="77777777" w:rsidR="00F42A40" w:rsidRPr="008C1B89" w:rsidRDefault="00F42A40" w:rsidP="00F42A40">
            <w:pPr>
              <w:rPr>
                <w:rFonts w:eastAsia="Times New Roman" w:cs="Calibri"/>
                <w:color w:val="000000"/>
                <w:sz w:val="20"/>
                <w:szCs w:val="20"/>
                <w:lang w:eastAsia="en-AU"/>
              </w:rPr>
            </w:pPr>
          </w:p>
        </w:tc>
      </w:tr>
      <w:tr w:rsidR="00F42A40" w:rsidRPr="008C1B89" w14:paraId="55F80787"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5F9FE6CB"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Solvents/paints/organic chemicals facility</w:t>
            </w:r>
          </w:p>
        </w:tc>
        <w:tc>
          <w:tcPr>
            <w:tcW w:w="893" w:type="dxa"/>
            <w:tcBorders>
              <w:top w:val="nil"/>
              <w:left w:val="nil"/>
              <w:bottom w:val="single" w:sz="4" w:space="0" w:color="BFBFBF"/>
              <w:right w:val="single" w:sz="4" w:space="0" w:color="BFBFBF"/>
            </w:tcBorders>
            <w:shd w:val="clear" w:color="000000" w:fill="FFFFFF"/>
            <w:noWrap/>
            <w:hideMark/>
          </w:tcPr>
          <w:p w14:paraId="1465E280" w14:textId="46E9DF36" w:rsidR="00F42A40" w:rsidRPr="008C1B89" w:rsidRDefault="00F42A40" w:rsidP="00F42A40">
            <w:pPr>
              <w:jc w:val="right"/>
              <w:rPr>
                <w:rFonts w:eastAsia="Times New Roman" w:cs="Calibri"/>
                <w:color w:val="000000"/>
                <w:sz w:val="20"/>
                <w:szCs w:val="20"/>
                <w:lang w:eastAsia="en-AU"/>
              </w:rPr>
            </w:pPr>
            <w:r>
              <w:rPr>
                <w:color w:val="000000"/>
                <w:sz w:val="20"/>
                <w:szCs w:val="20"/>
              </w:rPr>
              <w:t>1,274</w:t>
            </w:r>
          </w:p>
        </w:tc>
        <w:tc>
          <w:tcPr>
            <w:tcW w:w="958" w:type="dxa"/>
            <w:tcBorders>
              <w:left w:val="nil"/>
              <w:right w:val="single" w:sz="4" w:space="0" w:color="BFBFBF"/>
            </w:tcBorders>
            <w:shd w:val="clear" w:color="auto" w:fill="auto"/>
            <w:noWrap/>
            <w:vAlign w:val="center"/>
            <w:hideMark/>
          </w:tcPr>
          <w:p w14:paraId="23AEF96E" w14:textId="77D18265" w:rsidR="00F42A40" w:rsidRPr="008C1B89" w:rsidRDefault="00F42A40" w:rsidP="009D734D">
            <w:pPr>
              <w:jc w:val="center"/>
              <w:rPr>
                <w:rFonts w:eastAsia="Times New Roman" w:cs="Calibri"/>
                <w:color w:val="000000"/>
                <w:sz w:val="20"/>
                <w:szCs w:val="20"/>
                <w:lang w:eastAsia="en-AU"/>
              </w:rPr>
            </w:pPr>
          </w:p>
        </w:tc>
        <w:tc>
          <w:tcPr>
            <w:tcW w:w="1025" w:type="dxa"/>
            <w:tcBorders>
              <w:left w:val="nil"/>
              <w:right w:val="single" w:sz="4" w:space="0" w:color="BFBFBF"/>
            </w:tcBorders>
            <w:shd w:val="clear" w:color="auto" w:fill="auto"/>
            <w:noWrap/>
            <w:vAlign w:val="center"/>
            <w:hideMark/>
          </w:tcPr>
          <w:p w14:paraId="0AA3BBE5" w14:textId="3B844F8F" w:rsidR="00F42A40" w:rsidRPr="008C1B89" w:rsidRDefault="00F42A40" w:rsidP="009D734D">
            <w:pPr>
              <w:jc w:val="center"/>
              <w:rPr>
                <w:rFonts w:eastAsia="Times New Roman" w:cs="Calibri"/>
                <w:color w:val="000000"/>
                <w:sz w:val="20"/>
                <w:szCs w:val="20"/>
                <w:lang w:eastAsia="en-AU"/>
              </w:rPr>
            </w:pPr>
          </w:p>
        </w:tc>
        <w:tc>
          <w:tcPr>
            <w:tcW w:w="962" w:type="dxa"/>
            <w:tcBorders>
              <w:top w:val="nil"/>
              <w:left w:val="nil"/>
              <w:bottom w:val="single" w:sz="4" w:space="0" w:color="BFBFBF"/>
              <w:right w:val="single" w:sz="4" w:space="0" w:color="BFBFBF"/>
            </w:tcBorders>
            <w:shd w:val="clear" w:color="auto" w:fill="auto"/>
            <w:noWrap/>
            <w:hideMark/>
          </w:tcPr>
          <w:p w14:paraId="466BE5E1" w14:textId="7BCDE5D2"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345ED097" w14:textId="25E257BF"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34750141" w14:textId="774D0204"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07BDF0A2" w14:textId="6053462B"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285" w:type="dxa"/>
            <w:vMerge/>
            <w:tcBorders>
              <w:top w:val="single" w:sz="4" w:space="0" w:color="808080"/>
              <w:left w:val="single" w:sz="4" w:space="0" w:color="BFBFBF"/>
              <w:bottom w:val="single" w:sz="4" w:space="0" w:color="BFBFBF"/>
              <w:right w:val="single" w:sz="4" w:space="0" w:color="BFBFBF"/>
            </w:tcBorders>
            <w:vAlign w:val="center"/>
            <w:hideMark/>
          </w:tcPr>
          <w:p w14:paraId="1CC53E69" w14:textId="77777777" w:rsidR="00F42A40" w:rsidRPr="008C1B89" w:rsidRDefault="00F42A40" w:rsidP="00F42A40">
            <w:pPr>
              <w:rPr>
                <w:rFonts w:eastAsia="Times New Roman" w:cs="Calibri"/>
                <w:color w:val="000000"/>
                <w:sz w:val="20"/>
                <w:szCs w:val="20"/>
                <w:lang w:eastAsia="en-AU"/>
              </w:rPr>
            </w:pPr>
          </w:p>
        </w:tc>
      </w:tr>
      <w:tr w:rsidR="00F42A40" w:rsidRPr="008C1B89" w14:paraId="15D50E86"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2745A787"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Organics processing facility</w:t>
            </w:r>
          </w:p>
        </w:tc>
        <w:tc>
          <w:tcPr>
            <w:tcW w:w="893" w:type="dxa"/>
            <w:tcBorders>
              <w:top w:val="nil"/>
              <w:left w:val="nil"/>
              <w:bottom w:val="single" w:sz="4" w:space="0" w:color="BFBFBF"/>
              <w:right w:val="single" w:sz="4" w:space="0" w:color="BFBFBF"/>
            </w:tcBorders>
            <w:shd w:val="clear" w:color="000000" w:fill="FFFFFF"/>
            <w:noWrap/>
            <w:hideMark/>
          </w:tcPr>
          <w:p w14:paraId="3638A595" w14:textId="24DCAF55" w:rsidR="00F42A40" w:rsidRPr="008C1B89" w:rsidRDefault="00F42A40" w:rsidP="00F42A40">
            <w:pPr>
              <w:jc w:val="right"/>
              <w:rPr>
                <w:rFonts w:eastAsia="Times New Roman" w:cs="Calibri"/>
                <w:color w:val="000000"/>
                <w:sz w:val="20"/>
                <w:szCs w:val="20"/>
                <w:lang w:eastAsia="en-AU"/>
              </w:rPr>
            </w:pPr>
            <w:r>
              <w:rPr>
                <w:color w:val="000000"/>
                <w:sz w:val="20"/>
                <w:szCs w:val="20"/>
              </w:rPr>
              <w:t>79,880</w:t>
            </w:r>
          </w:p>
        </w:tc>
        <w:tc>
          <w:tcPr>
            <w:tcW w:w="958" w:type="dxa"/>
            <w:tcBorders>
              <w:left w:val="nil"/>
              <w:right w:val="single" w:sz="4" w:space="0" w:color="BFBFBF"/>
            </w:tcBorders>
            <w:shd w:val="clear" w:color="auto" w:fill="auto"/>
            <w:noWrap/>
            <w:vAlign w:val="center"/>
            <w:hideMark/>
          </w:tcPr>
          <w:p w14:paraId="3635202B" w14:textId="5DECE5F5" w:rsidR="00F42A40" w:rsidRPr="008C1B89" w:rsidRDefault="00F42A40" w:rsidP="009D734D">
            <w:pPr>
              <w:jc w:val="center"/>
              <w:rPr>
                <w:rFonts w:eastAsia="Times New Roman" w:cs="Calibri"/>
                <w:color w:val="000000"/>
                <w:sz w:val="20"/>
                <w:szCs w:val="20"/>
                <w:lang w:eastAsia="en-AU"/>
              </w:rPr>
            </w:pPr>
          </w:p>
        </w:tc>
        <w:tc>
          <w:tcPr>
            <w:tcW w:w="1025" w:type="dxa"/>
            <w:tcBorders>
              <w:left w:val="nil"/>
              <w:right w:val="single" w:sz="4" w:space="0" w:color="BFBFBF"/>
            </w:tcBorders>
            <w:shd w:val="clear" w:color="auto" w:fill="auto"/>
            <w:noWrap/>
            <w:vAlign w:val="center"/>
            <w:hideMark/>
          </w:tcPr>
          <w:p w14:paraId="2F1FDFB3" w14:textId="643ECD01" w:rsidR="00F42A40" w:rsidRPr="008C1B89" w:rsidRDefault="00F42A40" w:rsidP="009D734D">
            <w:pPr>
              <w:jc w:val="center"/>
              <w:rPr>
                <w:rFonts w:eastAsia="Times New Roman" w:cs="Calibri"/>
                <w:color w:val="000000"/>
                <w:sz w:val="20"/>
                <w:szCs w:val="20"/>
                <w:lang w:eastAsia="en-AU"/>
              </w:rPr>
            </w:pPr>
          </w:p>
        </w:tc>
        <w:tc>
          <w:tcPr>
            <w:tcW w:w="962" w:type="dxa"/>
            <w:tcBorders>
              <w:top w:val="nil"/>
              <w:left w:val="nil"/>
              <w:bottom w:val="single" w:sz="4" w:space="0" w:color="BFBFBF"/>
              <w:right w:val="single" w:sz="4" w:space="0" w:color="BFBFBF"/>
            </w:tcBorders>
            <w:shd w:val="clear" w:color="auto" w:fill="auto"/>
            <w:noWrap/>
            <w:hideMark/>
          </w:tcPr>
          <w:p w14:paraId="74D593D7" w14:textId="3B666787"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409599B0" w14:textId="629E7B29"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4635D512" w14:textId="74E7BAEB"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1A3BEF1B" w14:textId="78FAC034"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285" w:type="dxa"/>
            <w:vMerge/>
            <w:tcBorders>
              <w:top w:val="single" w:sz="4" w:space="0" w:color="808080"/>
              <w:left w:val="single" w:sz="4" w:space="0" w:color="BFBFBF"/>
              <w:bottom w:val="single" w:sz="4" w:space="0" w:color="BFBFBF"/>
              <w:right w:val="single" w:sz="4" w:space="0" w:color="BFBFBF"/>
            </w:tcBorders>
            <w:vAlign w:val="center"/>
            <w:hideMark/>
          </w:tcPr>
          <w:p w14:paraId="085090F0" w14:textId="77777777" w:rsidR="00F42A40" w:rsidRPr="008C1B89" w:rsidRDefault="00F42A40" w:rsidP="00F42A40">
            <w:pPr>
              <w:rPr>
                <w:rFonts w:eastAsia="Times New Roman" w:cs="Calibri"/>
                <w:color w:val="000000"/>
                <w:sz w:val="20"/>
                <w:szCs w:val="20"/>
                <w:lang w:eastAsia="en-AU"/>
              </w:rPr>
            </w:pPr>
          </w:p>
        </w:tc>
      </w:tr>
      <w:tr w:rsidR="00F42A40" w:rsidRPr="008C1B89" w14:paraId="5EE3A57C"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299ADB29" w14:textId="139CF700" w:rsidR="00F42A40" w:rsidRPr="008C1B89" w:rsidRDefault="00F42A40" w:rsidP="00F42A40">
            <w:pPr>
              <w:jc w:val="right"/>
              <w:rPr>
                <w:rFonts w:eastAsia="Times New Roman" w:cs="Calibri"/>
                <w:color w:val="000000"/>
                <w:sz w:val="20"/>
                <w:szCs w:val="20"/>
                <w:lang w:eastAsia="en-AU"/>
              </w:rPr>
            </w:pPr>
            <w:r>
              <w:rPr>
                <w:rFonts w:eastAsia="Times New Roman" w:cs="Calibri"/>
                <w:color w:val="000000"/>
                <w:sz w:val="20"/>
                <w:szCs w:val="20"/>
                <w:lang w:eastAsia="en-AU"/>
              </w:rPr>
              <w:t>EOLT</w:t>
            </w:r>
            <w:r w:rsidRPr="008C1B89">
              <w:rPr>
                <w:rFonts w:eastAsia="Times New Roman" w:cs="Calibri"/>
                <w:color w:val="000000"/>
                <w:sz w:val="20"/>
                <w:szCs w:val="20"/>
                <w:lang w:eastAsia="en-AU"/>
              </w:rPr>
              <w:t xml:space="preserve"> facility</w:t>
            </w:r>
          </w:p>
        </w:tc>
        <w:tc>
          <w:tcPr>
            <w:tcW w:w="893" w:type="dxa"/>
            <w:tcBorders>
              <w:top w:val="nil"/>
              <w:left w:val="nil"/>
              <w:bottom w:val="single" w:sz="4" w:space="0" w:color="BFBFBF"/>
              <w:right w:val="single" w:sz="4" w:space="0" w:color="BFBFBF"/>
            </w:tcBorders>
            <w:shd w:val="clear" w:color="000000" w:fill="FFFFFF"/>
            <w:noWrap/>
            <w:hideMark/>
          </w:tcPr>
          <w:p w14:paraId="34D67B61" w14:textId="46AC8E64" w:rsidR="00F42A40" w:rsidRPr="008C1B89" w:rsidRDefault="00F42A40" w:rsidP="00F42A40">
            <w:pPr>
              <w:jc w:val="right"/>
              <w:rPr>
                <w:rFonts w:eastAsia="Times New Roman" w:cs="Calibri"/>
                <w:color w:val="000000"/>
                <w:sz w:val="20"/>
                <w:szCs w:val="20"/>
                <w:lang w:eastAsia="en-AU"/>
              </w:rPr>
            </w:pPr>
            <w:r>
              <w:rPr>
                <w:color w:val="000000"/>
                <w:sz w:val="20"/>
                <w:szCs w:val="20"/>
              </w:rPr>
              <w:t>5,014</w:t>
            </w:r>
          </w:p>
        </w:tc>
        <w:tc>
          <w:tcPr>
            <w:tcW w:w="958" w:type="dxa"/>
            <w:tcBorders>
              <w:left w:val="nil"/>
              <w:right w:val="single" w:sz="4" w:space="0" w:color="BFBFBF"/>
            </w:tcBorders>
            <w:shd w:val="clear" w:color="auto" w:fill="auto"/>
            <w:noWrap/>
            <w:vAlign w:val="center"/>
            <w:hideMark/>
          </w:tcPr>
          <w:p w14:paraId="2347F6A8" w14:textId="584B99DF" w:rsidR="00F42A40" w:rsidRPr="008C1B89" w:rsidRDefault="00F42A40" w:rsidP="009D734D">
            <w:pPr>
              <w:jc w:val="center"/>
              <w:rPr>
                <w:rFonts w:eastAsia="Times New Roman" w:cs="Calibri"/>
                <w:color w:val="000000"/>
                <w:sz w:val="20"/>
                <w:szCs w:val="20"/>
                <w:lang w:eastAsia="en-AU"/>
              </w:rPr>
            </w:pPr>
          </w:p>
        </w:tc>
        <w:tc>
          <w:tcPr>
            <w:tcW w:w="1025" w:type="dxa"/>
            <w:tcBorders>
              <w:left w:val="nil"/>
              <w:right w:val="single" w:sz="4" w:space="0" w:color="BFBFBF"/>
            </w:tcBorders>
            <w:shd w:val="clear" w:color="auto" w:fill="auto"/>
            <w:noWrap/>
            <w:vAlign w:val="center"/>
            <w:hideMark/>
          </w:tcPr>
          <w:p w14:paraId="1ACE4A46" w14:textId="675AD92D" w:rsidR="00F42A40" w:rsidRPr="008C1B89" w:rsidRDefault="00F42A40" w:rsidP="009D734D">
            <w:pPr>
              <w:jc w:val="center"/>
              <w:rPr>
                <w:rFonts w:eastAsia="Times New Roman" w:cs="Calibri"/>
                <w:color w:val="000000"/>
                <w:sz w:val="20"/>
                <w:szCs w:val="20"/>
                <w:lang w:eastAsia="en-AU"/>
              </w:rPr>
            </w:pPr>
          </w:p>
        </w:tc>
        <w:tc>
          <w:tcPr>
            <w:tcW w:w="962" w:type="dxa"/>
            <w:tcBorders>
              <w:top w:val="nil"/>
              <w:left w:val="nil"/>
              <w:bottom w:val="single" w:sz="4" w:space="0" w:color="BFBFBF"/>
              <w:right w:val="single" w:sz="4" w:space="0" w:color="BFBFBF"/>
            </w:tcBorders>
            <w:shd w:val="clear" w:color="auto" w:fill="auto"/>
            <w:noWrap/>
            <w:hideMark/>
          </w:tcPr>
          <w:p w14:paraId="77041E97" w14:textId="4862E5E2"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39" w:type="dxa"/>
            <w:tcBorders>
              <w:top w:val="nil"/>
              <w:left w:val="nil"/>
              <w:bottom w:val="single" w:sz="4" w:space="0" w:color="BFBFBF"/>
              <w:right w:val="single" w:sz="4" w:space="0" w:color="BFBFBF"/>
            </w:tcBorders>
            <w:shd w:val="clear" w:color="000000" w:fill="FFFFFF"/>
            <w:noWrap/>
            <w:hideMark/>
          </w:tcPr>
          <w:p w14:paraId="74168BC7" w14:textId="1519D9BC" w:rsidR="00F42A40" w:rsidRPr="008C1B89" w:rsidRDefault="00F42A40" w:rsidP="00F42A40">
            <w:pPr>
              <w:jc w:val="center"/>
              <w:rPr>
                <w:rFonts w:eastAsia="Times New Roman" w:cs="Calibri"/>
                <w:color w:val="000000"/>
                <w:sz w:val="20"/>
                <w:szCs w:val="20"/>
                <w:lang w:eastAsia="en-AU"/>
              </w:rPr>
            </w:pPr>
            <w:r>
              <w:rPr>
                <w:color w:val="000000"/>
                <w:sz w:val="20"/>
                <w:szCs w:val="20"/>
              </w:rPr>
              <w:t>2020</w:t>
            </w:r>
          </w:p>
        </w:tc>
        <w:tc>
          <w:tcPr>
            <w:tcW w:w="739" w:type="dxa"/>
            <w:tcBorders>
              <w:top w:val="nil"/>
              <w:left w:val="nil"/>
              <w:bottom w:val="single" w:sz="4" w:space="0" w:color="BFBFBF"/>
              <w:right w:val="single" w:sz="4" w:space="0" w:color="BFBFBF"/>
            </w:tcBorders>
            <w:shd w:val="clear" w:color="000000" w:fill="FFFFFF"/>
            <w:noWrap/>
            <w:hideMark/>
          </w:tcPr>
          <w:p w14:paraId="1FFD3420" w14:textId="1BC2B17A"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739" w:type="dxa"/>
            <w:tcBorders>
              <w:top w:val="nil"/>
              <w:left w:val="nil"/>
              <w:bottom w:val="single" w:sz="4" w:space="0" w:color="BFBFBF"/>
              <w:right w:val="single" w:sz="4" w:space="0" w:color="BFBFBF"/>
            </w:tcBorders>
            <w:shd w:val="clear" w:color="000000" w:fill="FFFFFF"/>
            <w:noWrap/>
            <w:hideMark/>
          </w:tcPr>
          <w:p w14:paraId="4FC57994" w14:textId="171F674B" w:rsidR="00F42A40" w:rsidRPr="008C1B89" w:rsidRDefault="00F42A40" w:rsidP="00F42A40">
            <w:pPr>
              <w:jc w:val="center"/>
              <w:rPr>
                <w:rFonts w:eastAsia="Times New Roman" w:cs="Calibri"/>
                <w:color w:val="000000"/>
                <w:sz w:val="20"/>
                <w:szCs w:val="20"/>
                <w:lang w:eastAsia="en-AU"/>
              </w:rPr>
            </w:pPr>
            <w:r>
              <w:rPr>
                <w:color w:val="000000"/>
                <w:sz w:val="20"/>
                <w:szCs w:val="20"/>
              </w:rPr>
              <w:t>2029</w:t>
            </w:r>
          </w:p>
        </w:tc>
        <w:tc>
          <w:tcPr>
            <w:tcW w:w="5285" w:type="dxa"/>
            <w:vMerge/>
            <w:tcBorders>
              <w:top w:val="single" w:sz="4" w:space="0" w:color="808080"/>
              <w:left w:val="single" w:sz="4" w:space="0" w:color="BFBFBF"/>
              <w:bottom w:val="single" w:sz="4" w:space="0" w:color="BFBFBF"/>
              <w:right w:val="single" w:sz="4" w:space="0" w:color="BFBFBF"/>
            </w:tcBorders>
            <w:vAlign w:val="center"/>
            <w:hideMark/>
          </w:tcPr>
          <w:p w14:paraId="65D60751" w14:textId="77777777" w:rsidR="00F42A40" w:rsidRPr="008C1B89" w:rsidRDefault="00F42A40" w:rsidP="00F42A40">
            <w:pPr>
              <w:rPr>
                <w:rFonts w:eastAsia="Times New Roman" w:cs="Calibri"/>
                <w:color w:val="000000"/>
                <w:sz w:val="20"/>
                <w:szCs w:val="20"/>
                <w:lang w:eastAsia="en-AU"/>
              </w:rPr>
            </w:pPr>
          </w:p>
        </w:tc>
      </w:tr>
      <w:tr w:rsidR="00F42A40" w:rsidRPr="008C1B89" w14:paraId="474E9607"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5E5077F0" w14:textId="435B19D2" w:rsidR="00F42A40" w:rsidRPr="008C1B89" w:rsidRDefault="00F42A40" w:rsidP="00F42A40">
            <w:pPr>
              <w:jc w:val="right"/>
              <w:rPr>
                <w:rFonts w:eastAsia="Times New Roman" w:cs="Calibri"/>
                <w:color w:val="000000"/>
                <w:sz w:val="20"/>
                <w:szCs w:val="20"/>
                <w:lang w:eastAsia="en-AU"/>
              </w:rPr>
            </w:pPr>
            <w:r>
              <w:rPr>
                <w:rFonts w:eastAsia="Times New Roman" w:cs="Calibri"/>
                <w:color w:val="000000"/>
                <w:sz w:val="20"/>
                <w:szCs w:val="20"/>
                <w:lang w:eastAsia="en-AU"/>
              </w:rPr>
              <w:t>SPL</w:t>
            </w:r>
            <w:r w:rsidRPr="008C1B89">
              <w:rPr>
                <w:rFonts w:eastAsia="Times New Roman" w:cs="Calibri"/>
                <w:color w:val="000000"/>
                <w:sz w:val="20"/>
                <w:szCs w:val="20"/>
                <w:lang w:eastAsia="en-AU"/>
              </w:rPr>
              <w:t xml:space="preserve"> facility</w:t>
            </w:r>
          </w:p>
        </w:tc>
        <w:tc>
          <w:tcPr>
            <w:tcW w:w="893" w:type="dxa"/>
            <w:tcBorders>
              <w:top w:val="nil"/>
              <w:left w:val="nil"/>
              <w:bottom w:val="single" w:sz="4" w:space="0" w:color="BFBFBF"/>
              <w:right w:val="single" w:sz="4" w:space="0" w:color="BFBFBF"/>
            </w:tcBorders>
            <w:shd w:val="clear" w:color="000000" w:fill="FFFFFF"/>
            <w:noWrap/>
            <w:hideMark/>
          </w:tcPr>
          <w:p w14:paraId="50160F9F" w14:textId="2ACA7726" w:rsidR="00F42A40" w:rsidRPr="008C1B89" w:rsidRDefault="00F42A40" w:rsidP="00F42A40">
            <w:pPr>
              <w:jc w:val="right"/>
              <w:rPr>
                <w:rFonts w:eastAsia="Times New Roman" w:cs="Calibri"/>
                <w:color w:val="000000"/>
                <w:sz w:val="20"/>
                <w:szCs w:val="20"/>
                <w:lang w:eastAsia="en-AU"/>
              </w:rPr>
            </w:pPr>
            <w:r>
              <w:rPr>
                <w:color w:val="000000"/>
                <w:sz w:val="20"/>
                <w:szCs w:val="20"/>
              </w:rPr>
              <w:t>0</w:t>
            </w:r>
          </w:p>
        </w:tc>
        <w:tc>
          <w:tcPr>
            <w:tcW w:w="958" w:type="dxa"/>
            <w:tcBorders>
              <w:left w:val="nil"/>
              <w:right w:val="single" w:sz="4" w:space="0" w:color="BFBFBF"/>
            </w:tcBorders>
            <w:shd w:val="clear" w:color="auto" w:fill="auto"/>
            <w:noWrap/>
            <w:vAlign w:val="center"/>
            <w:hideMark/>
          </w:tcPr>
          <w:p w14:paraId="79623401" w14:textId="234A7308" w:rsidR="00F42A40" w:rsidRPr="008C1B89" w:rsidRDefault="00F42A40" w:rsidP="009D734D">
            <w:pPr>
              <w:jc w:val="center"/>
              <w:rPr>
                <w:rFonts w:eastAsia="Times New Roman" w:cs="Calibri"/>
                <w:color w:val="000000"/>
                <w:sz w:val="20"/>
                <w:szCs w:val="20"/>
                <w:lang w:eastAsia="en-AU"/>
              </w:rPr>
            </w:pPr>
          </w:p>
        </w:tc>
        <w:tc>
          <w:tcPr>
            <w:tcW w:w="1025" w:type="dxa"/>
            <w:tcBorders>
              <w:left w:val="nil"/>
              <w:right w:val="single" w:sz="4" w:space="0" w:color="BFBFBF"/>
            </w:tcBorders>
            <w:shd w:val="clear" w:color="auto" w:fill="auto"/>
            <w:noWrap/>
            <w:vAlign w:val="center"/>
            <w:hideMark/>
          </w:tcPr>
          <w:p w14:paraId="4772041F" w14:textId="7A2BD205" w:rsidR="00F42A40" w:rsidRPr="008C1B89" w:rsidRDefault="00F42A40" w:rsidP="009D734D">
            <w:pPr>
              <w:jc w:val="center"/>
              <w:rPr>
                <w:rFonts w:eastAsia="Times New Roman" w:cs="Calibri"/>
                <w:color w:val="000000"/>
                <w:sz w:val="20"/>
                <w:szCs w:val="20"/>
                <w:lang w:eastAsia="en-AU"/>
              </w:rPr>
            </w:pPr>
          </w:p>
        </w:tc>
        <w:tc>
          <w:tcPr>
            <w:tcW w:w="962" w:type="dxa"/>
            <w:tcBorders>
              <w:top w:val="nil"/>
              <w:left w:val="nil"/>
              <w:bottom w:val="single" w:sz="4" w:space="0" w:color="BFBFBF"/>
              <w:right w:val="single" w:sz="4" w:space="0" w:color="BFBFBF"/>
            </w:tcBorders>
            <w:shd w:val="clear" w:color="auto" w:fill="auto"/>
            <w:noWrap/>
            <w:hideMark/>
          </w:tcPr>
          <w:p w14:paraId="7C14F98B" w14:textId="405F386D"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4BB632FF" w14:textId="69006307"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7CF30E3" w14:textId="4EE405D8"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52933C8C" w14:textId="1CC10471"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285" w:type="dxa"/>
            <w:vMerge/>
            <w:tcBorders>
              <w:top w:val="single" w:sz="4" w:space="0" w:color="808080"/>
              <w:left w:val="single" w:sz="4" w:space="0" w:color="BFBFBF"/>
              <w:bottom w:val="single" w:sz="4" w:space="0" w:color="BFBFBF"/>
              <w:right w:val="single" w:sz="4" w:space="0" w:color="BFBFBF"/>
            </w:tcBorders>
            <w:vAlign w:val="center"/>
            <w:hideMark/>
          </w:tcPr>
          <w:p w14:paraId="758696A8" w14:textId="77777777" w:rsidR="00F42A40" w:rsidRPr="008C1B89" w:rsidRDefault="00F42A40" w:rsidP="00F42A40">
            <w:pPr>
              <w:rPr>
                <w:rFonts w:eastAsia="Times New Roman" w:cs="Calibri"/>
                <w:color w:val="000000"/>
                <w:sz w:val="20"/>
                <w:szCs w:val="20"/>
                <w:lang w:eastAsia="en-AU"/>
              </w:rPr>
            </w:pPr>
          </w:p>
        </w:tc>
      </w:tr>
      <w:tr w:rsidR="00F42A40" w:rsidRPr="008C1B89" w14:paraId="45C918C5"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2CDE7312"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 xml:space="preserve">Energy recovery </w:t>
            </w:r>
          </w:p>
        </w:tc>
        <w:tc>
          <w:tcPr>
            <w:tcW w:w="893" w:type="dxa"/>
            <w:tcBorders>
              <w:top w:val="nil"/>
              <w:left w:val="nil"/>
              <w:bottom w:val="single" w:sz="4" w:space="0" w:color="BFBFBF"/>
              <w:right w:val="single" w:sz="4" w:space="0" w:color="BFBFBF"/>
            </w:tcBorders>
            <w:shd w:val="clear" w:color="000000" w:fill="FFFFFF"/>
            <w:noWrap/>
            <w:hideMark/>
          </w:tcPr>
          <w:p w14:paraId="6CF13BEC" w14:textId="33D415C7" w:rsidR="00F42A40" w:rsidRPr="008C1B89" w:rsidRDefault="00F42A40" w:rsidP="00F42A40">
            <w:pPr>
              <w:jc w:val="right"/>
              <w:rPr>
                <w:rFonts w:eastAsia="Times New Roman" w:cs="Calibri"/>
                <w:color w:val="000000"/>
                <w:sz w:val="20"/>
                <w:szCs w:val="20"/>
                <w:lang w:eastAsia="en-AU"/>
              </w:rPr>
            </w:pPr>
            <w:r>
              <w:rPr>
                <w:color w:val="000000"/>
                <w:sz w:val="20"/>
                <w:szCs w:val="20"/>
              </w:rPr>
              <w:t>87</w:t>
            </w:r>
          </w:p>
        </w:tc>
        <w:tc>
          <w:tcPr>
            <w:tcW w:w="958" w:type="dxa"/>
            <w:tcBorders>
              <w:left w:val="nil"/>
              <w:bottom w:val="single" w:sz="4" w:space="0" w:color="BFBFBF"/>
              <w:right w:val="single" w:sz="4" w:space="0" w:color="BFBFBF"/>
            </w:tcBorders>
            <w:shd w:val="clear" w:color="auto" w:fill="auto"/>
            <w:noWrap/>
            <w:vAlign w:val="center"/>
            <w:hideMark/>
          </w:tcPr>
          <w:p w14:paraId="7D94CA63" w14:textId="7E24FB08" w:rsidR="00F42A40" w:rsidRPr="008C1B89" w:rsidRDefault="00F42A40" w:rsidP="009D734D">
            <w:pPr>
              <w:jc w:val="center"/>
              <w:rPr>
                <w:rFonts w:eastAsia="Times New Roman" w:cs="Calibri"/>
                <w:color w:val="000000"/>
                <w:sz w:val="20"/>
                <w:szCs w:val="20"/>
                <w:lang w:eastAsia="en-AU"/>
              </w:rPr>
            </w:pPr>
          </w:p>
        </w:tc>
        <w:tc>
          <w:tcPr>
            <w:tcW w:w="1025" w:type="dxa"/>
            <w:tcBorders>
              <w:left w:val="nil"/>
              <w:bottom w:val="single" w:sz="4" w:space="0" w:color="BFBFBF"/>
              <w:right w:val="single" w:sz="4" w:space="0" w:color="BFBFBF"/>
            </w:tcBorders>
            <w:shd w:val="clear" w:color="auto" w:fill="auto"/>
            <w:noWrap/>
            <w:vAlign w:val="center"/>
            <w:hideMark/>
          </w:tcPr>
          <w:p w14:paraId="50252955" w14:textId="6BBF4D6D" w:rsidR="00F42A40" w:rsidRPr="008C1B89" w:rsidRDefault="00F42A40" w:rsidP="009D734D">
            <w:pPr>
              <w:jc w:val="center"/>
              <w:rPr>
                <w:rFonts w:eastAsia="Times New Roman" w:cs="Calibri"/>
                <w:color w:val="000000"/>
                <w:sz w:val="20"/>
                <w:szCs w:val="20"/>
                <w:lang w:eastAsia="en-AU"/>
              </w:rPr>
            </w:pPr>
          </w:p>
        </w:tc>
        <w:tc>
          <w:tcPr>
            <w:tcW w:w="962" w:type="dxa"/>
            <w:tcBorders>
              <w:top w:val="nil"/>
              <w:left w:val="nil"/>
              <w:bottom w:val="single" w:sz="4" w:space="0" w:color="BFBFBF"/>
              <w:right w:val="single" w:sz="4" w:space="0" w:color="BFBFBF"/>
            </w:tcBorders>
            <w:shd w:val="clear" w:color="auto" w:fill="auto"/>
            <w:noWrap/>
            <w:hideMark/>
          </w:tcPr>
          <w:p w14:paraId="3CAF74FA" w14:textId="4F350235"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32275F28" w14:textId="3FA29A39"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B7A4E2F" w14:textId="5C0356EB"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0E1633F3" w14:textId="072A69E3"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285" w:type="dxa"/>
            <w:vMerge/>
            <w:tcBorders>
              <w:top w:val="single" w:sz="4" w:space="0" w:color="808080"/>
              <w:left w:val="single" w:sz="4" w:space="0" w:color="BFBFBF"/>
              <w:bottom w:val="single" w:sz="4" w:space="0" w:color="BFBFBF"/>
              <w:right w:val="single" w:sz="4" w:space="0" w:color="BFBFBF"/>
            </w:tcBorders>
            <w:vAlign w:val="center"/>
            <w:hideMark/>
          </w:tcPr>
          <w:p w14:paraId="04D3A0B6" w14:textId="77777777" w:rsidR="00F42A40" w:rsidRPr="008C1B89" w:rsidRDefault="00F42A40" w:rsidP="00F42A40">
            <w:pPr>
              <w:rPr>
                <w:rFonts w:eastAsia="Times New Roman" w:cs="Calibri"/>
                <w:color w:val="000000"/>
                <w:sz w:val="20"/>
                <w:szCs w:val="20"/>
                <w:lang w:eastAsia="en-AU"/>
              </w:rPr>
            </w:pPr>
          </w:p>
        </w:tc>
      </w:tr>
      <w:tr w:rsidR="009D734D" w:rsidRPr="008C1B89" w14:paraId="6216D30C" w14:textId="77777777" w:rsidTr="009D734D">
        <w:trPr>
          <w:trHeight w:val="255"/>
        </w:trPr>
        <w:tc>
          <w:tcPr>
            <w:tcW w:w="2830" w:type="dxa"/>
            <w:tcBorders>
              <w:top w:val="nil"/>
              <w:left w:val="single" w:sz="4" w:space="0" w:color="BFBFBF"/>
              <w:bottom w:val="nil"/>
              <w:right w:val="nil"/>
            </w:tcBorders>
            <w:shd w:val="clear" w:color="000000" w:fill="C5D9F1"/>
            <w:noWrap/>
            <w:vAlign w:val="bottom"/>
            <w:hideMark/>
          </w:tcPr>
          <w:p w14:paraId="4EC80F50" w14:textId="77777777" w:rsidR="00F42A40" w:rsidRPr="008C1B89" w:rsidRDefault="00F42A40" w:rsidP="00F42A40">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 xml:space="preserve">Treatment </w:t>
            </w:r>
          </w:p>
        </w:tc>
        <w:tc>
          <w:tcPr>
            <w:tcW w:w="893" w:type="dxa"/>
            <w:tcBorders>
              <w:top w:val="nil"/>
              <w:left w:val="single" w:sz="4" w:space="0" w:color="BFBFBF"/>
              <w:bottom w:val="nil"/>
              <w:right w:val="single" w:sz="4" w:space="0" w:color="BFBFBF"/>
            </w:tcBorders>
            <w:shd w:val="clear" w:color="000000" w:fill="C5D9F1"/>
            <w:noWrap/>
            <w:hideMark/>
          </w:tcPr>
          <w:p w14:paraId="6C00506B" w14:textId="012CEE41"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958" w:type="dxa"/>
            <w:tcBorders>
              <w:top w:val="nil"/>
              <w:left w:val="nil"/>
              <w:bottom w:val="single" w:sz="4" w:space="0" w:color="BFBFBF"/>
              <w:right w:val="nil"/>
            </w:tcBorders>
            <w:shd w:val="clear" w:color="000000" w:fill="C5D9F1"/>
            <w:noWrap/>
            <w:vAlign w:val="center"/>
            <w:hideMark/>
          </w:tcPr>
          <w:p w14:paraId="631A0956" w14:textId="60E60384" w:rsidR="00F42A40" w:rsidRPr="008C1B89" w:rsidRDefault="00F42A40" w:rsidP="009D734D">
            <w:pPr>
              <w:jc w:val="center"/>
              <w:rPr>
                <w:rFonts w:eastAsia="Times New Roman" w:cs="Calibri"/>
                <w:color w:val="000000"/>
                <w:sz w:val="20"/>
                <w:szCs w:val="20"/>
                <w:lang w:eastAsia="en-AU"/>
              </w:rPr>
            </w:pPr>
          </w:p>
        </w:tc>
        <w:tc>
          <w:tcPr>
            <w:tcW w:w="1025" w:type="dxa"/>
            <w:tcBorders>
              <w:top w:val="nil"/>
              <w:left w:val="nil"/>
              <w:bottom w:val="single" w:sz="4" w:space="0" w:color="BFBFBF"/>
              <w:right w:val="nil"/>
            </w:tcBorders>
            <w:shd w:val="clear" w:color="000000" w:fill="C5D9F1"/>
            <w:noWrap/>
            <w:vAlign w:val="center"/>
            <w:hideMark/>
          </w:tcPr>
          <w:p w14:paraId="78E51ACE" w14:textId="7321C1DB" w:rsidR="00F42A40" w:rsidRPr="008C1B89" w:rsidRDefault="00F42A40" w:rsidP="009D734D">
            <w:pPr>
              <w:jc w:val="center"/>
              <w:rPr>
                <w:rFonts w:eastAsia="Times New Roman" w:cs="Calibri"/>
                <w:color w:val="000000"/>
                <w:sz w:val="20"/>
                <w:szCs w:val="20"/>
                <w:lang w:eastAsia="en-AU"/>
              </w:rPr>
            </w:pPr>
          </w:p>
        </w:tc>
        <w:tc>
          <w:tcPr>
            <w:tcW w:w="962" w:type="dxa"/>
            <w:tcBorders>
              <w:top w:val="nil"/>
              <w:left w:val="nil"/>
              <w:bottom w:val="nil"/>
              <w:right w:val="single" w:sz="4" w:space="0" w:color="BFBFBF"/>
            </w:tcBorders>
            <w:shd w:val="clear" w:color="000000" w:fill="C5D9F1"/>
            <w:noWrap/>
            <w:hideMark/>
          </w:tcPr>
          <w:p w14:paraId="084246A0" w14:textId="49293EA6"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39" w:type="dxa"/>
            <w:tcBorders>
              <w:top w:val="nil"/>
              <w:left w:val="nil"/>
              <w:bottom w:val="nil"/>
              <w:right w:val="single" w:sz="4" w:space="0" w:color="BFBFBF"/>
            </w:tcBorders>
            <w:shd w:val="clear" w:color="000000" w:fill="C5D9F1"/>
            <w:noWrap/>
            <w:hideMark/>
          </w:tcPr>
          <w:p w14:paraId="719C3047" w14:textId="4E5538F3"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39" w:type="dxa"/>
            <w:tcBorders>
              <w:top w:val="nil"/>
              <w:left w:val="nil"/>
              <w:bottom w:val="nil"/>
              <w:right w:val="single" w:sz="4" w:space="0" w:color="BFBFBF"/>
            </w:tcBorders>
            <w:shd w:val="clear" w:color="000000" w:fill="C5D9F1"/>
            <w:noWrap/>
            <w:hideMark/>
          </w:tcPr>
          <w:p w14:paraId="0FF510ED" w14:textId="3676A988"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39" w:type="dxa"/>
            <w:tcBorders>
              <w:top w:val="nil"/>
              <w:left w:val="nil"/>
              <w:bottom w:val="nil"/>
              <w:right w:val="single" w:sz="4" w:space="0" w:color="BFBFBF"/>
            </w:tcBorders>
            <w:shd w:val="clear" w:color="000000" w:fill="C5D9F1"/>
            <w:noWrap/>
            <w:hideMark/>
          </w:tcPr>
          <w:p w14:paraId="479714C3" w14:textId="0152856D"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5285" w:type="dxa"/>
            <w:vMerge/>
            <w:tcBorders>
              <w:top w:val="single" w:sz="4" w:space="0" w:color="808080"/>
              <w:left w:val="single" w:sz="4" w:space="0" w:color="BFBFBF"/>
              <w:bottom w:val="single" w:sz="4" w:space="0" w:color="BFBFBF"/>
              <w:right w:val="single" w:sz="4" w:space="0" w:color="BFBFBF"/>
            </w:tcBorders>
            <w:vAlign w:val="center"/>
            <w:hideMark/>
          </w:tcPr>
          <w:p w14:paraId="0A044D51" w14:textId="77777777" w:rsidR="00F42A40" w:rsidRPr="008C1B89" w:rsidRDefault="00F42A40" w:rsidP="00F42A40">
            <w:pPr>
              <w:rPr>
                <w:rFonts w:eastAsia="Times New Roman" w:cs="Calibri"/>
                <w:color w:val="000000"/>
                <w:sz w:val="20"/>
                <w:szCs w:val="20"/>
                <w:lang w:eastAsia="en-AU"/>
              </w:rPr>
            </w:pPr>
          </w:p>
        </w:tc>
      </w:tr>
      <w:tr w:rsidR="00F42A40" w:rsidRPr="008C1B89" w14:paraId="3FEB6FD7" w14:textId="77777777" w:rsidTr="009D734D">
        <w:trPr>
          <w:trHeight w:val="255"/>
        </w:trPr>
        <w:tc>
          <w:tcPr>
            <w:tcW w:w="283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AB5D29"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CPT plant</w:t>
            </w:r>
          </w:p>
        </w:tc>
        <w:tc>
          <w:tcPr>
            <w:tcW w:w="893" w:type="dxa"/>
            <w:tcBorders>
              <w:top w:val="single" w:sz="4" w:space="0" w:color="BFBFBF"/>
              <w:left w:val="nil"/>
              <w:bottom w:val="single" w:sz="4" w:space="0" w:color="BFBFBF"/>
              <w:right w:val="single" w:sz="4" w:space="0" w:color="BFBFBF"/>
            </w:tcBorders>
            <w:shd w:val="clear" w:color="000000" w:fill="FFFFFF"/>
            <w:noWrap/>
            <w:hideMark/>
          </w:tcPr>
          <w:p w14:paraId="6921B3A7" w14:textId="55D550DB" w:rsidR="00F42A40" w:rsidRPr="008C1B89" w:rsidRDefault="00F42A40" w:rsidP="00F42A40">
            <w:pPr>
              <w:jc w:val="right"/>
              <w:rPr>
                <w:rFonts w:eastAsia="Times New Roman" w:cs="Calibri"/>
                <w:color w:val="000000"/>
                <w:sz w:val="20"/>
                <w:szCs w:val="20"/>
                <w:lang w:eastAsia="en-AU"/>
              </w:rPr>
            </w:pPr>
            <w:r>
              <w:rPr>
                <w:color w:val="000000"/>
                <w:sz w:val="20"/>
                <w:szCs w:val="20"/>
              </w:rPr>
              <w:t>44,431</w:t>
            </w:r>
          </w:p>
        </w:tc>
        <w:tc>
          <w:tcPr>
            <w:tcW w:w="958" w:type="dxa"/>
            <w:tcBorders>
              <w:top w:val="nil"/>
              <w:left w:val="nil"/>
              <w:right w:val="single" w:sz="4" w:space="0" w:color="BFBFBF"/>
            </w:tcBorders>
            <w:shd w:val="clear" w:color="auto" w:fill="auto"/>
            <w:noWrap/>
            <w:vAlign w:val="center"/>
            <w:hideMark/>
          </w:tcPr>
          <w:p w14:paraId="4CF5EBA1" w14:textId="250A419D"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25" w:type="dxa"/>
            <w:tcBorders>
              <w:top w:val="nil"/>
              <w:left w:val="nil"/>
              <w:right w:val="single" w:sz="4" w:space="0" w:color="BFBFBF"/>
            </w:tcBorders>
            <w:shd w:val="clear" w:color="auto" w:fill="auto"/>
            <w:noWrap/>
            <w:vAlign w:val="center"/>
            <w:hideMark/>
          </w:tcPr>
          <w:p w14:paraId="115D50CA" w14:textId="1583F6FC"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62" w:type="dxa"/>
            <w:tcBorders>
              <w:top w:val="single" w:sz="4" w:space="0" w:color="BFBFBF"/>
              <w:left w:val="nil"/>
              <w:bottom w:val="single" w:sz="4" w:space="0" w:color="BFBFBF"/>
              <w:right w:val="single" w:sz="4" w:space="0" w:color="BFBFBF"/>
            </w:tcBorders>
            <w:shd w:val="clear" w:color="auto" w:fill="auto"/>
            <w:noWrap/>
            <w:hideMark/>
          </w:tcPr>
          <w:p w14:paraId="43F10BEE" w14:textId="3F6D1952"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39" w:type="dxa"/>
            <w:tcBorders>
              <w:top w:val="single" w:sz="4" w:space="0" w:color="BFBFBF"/>
              <w:left w:val="nil"/>
              <w:bottom w:val="single" w:sz="4" w:space="0" w:color="BFBFBF"/>
              <w:right w:val="single" w:sz="4" w:space="0" w:color="BFBFBF"/>
            </w:tcBorders>
            <w:shd w:val="clear" w:color="000000" w:fill="FFFFFF"/>
            <w:noWrap/>
            <w:hideMark/>
          </w:tcPr>
          <w:p w14:paraId="11638C4B" w14:textId="57712BF7"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39" w:type="dxa"/>
            <w:tcBorders>
              <w:top w:val="single" w:sz="4" w:space="0" w:color="BFBFBF"/>
              <w:left w:val="nil"/>
              <w:bottom w:val="single" w:sz="4" w:space="0" w:color="BFBFBF"/>
              <w:right w:val="single" w:sz="4" w:space="0" w:color="BFBFBF"/>
            </w:tcBorders>
            <w:shd w:val="clear" w:color="000000" w:fill="FFFFFF"/>
            <w:noWrap/>
            <w:hideMark/>
          </w:tcPr>
          <w:p w14:paraId="3309E320" w14:textId="2BB08005"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39" w:type="dxa"/>
            <w:tcBorders>
              <w:top w:val="single" w:sz="4" w:space="0" w:color="BFBFBF"/>
              <w:left w:val="nil"/>
              <w:bottom w:val="single" w:sz="4" w:space="0" w:color="BFBFBF"/>
              <w:right w:val="single" w:sz="4" w:space="0" w:color="BFBFBF"/>
            </w:tcBorders>
            <w:shd w:val="clear" w:color="000000" w:fill="FFFFFF"/>
            <w:noWrap/>
            <w:hideMark/>
          </w:tcPr>
          <w:p w14:paraId="1D5B2036" w14:textId="2D2BF8C3"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285" w:type="dxa"/>
            <w:vMerge/>
            <w:tcBorders>
              <w:top w:val="single" w:sz="4" w:space="0" w:color="808080"/>
              <w:left w:val="single" w:sz="4" w:space="0" w:color="BFBFBF"/>
              <w:bottom w:val="single" w:sz="4" w:space="0" w:color="BFBFBF"/>
              <w:right w:val="single" w:sz="4" w:space="0" w:color="BFBFBF"/>
            </w:tcBorders>
            <w:vAlign w:val="center"/>
            <w:hideMark/>
          </w:tcPr>
          <w:p w14:paraId="4BEF8C70" w14:textId="77777777" w:rsidR="00F42A40" w:rsidRPr="008C1B89" w:rsidRDefault="00F42A40" w:rsidP="00F42A40">
            <w:pPr>
              <w:rPr>
                <w:rFonts w:eastAsia="Times New Roman" w:cs="Calibri"/>
                <w:color w:val="000000"/>
                <w:sz w:val="20"/>
                <w:szCs w:val="20"/>
                <w:lang w:eastAsia="en-AU"/>
              </w:rPr>
            </w:pPr>
          </w:p>
        </w:tc>
      </w:tr>
      <w:tr w:rsidR="00F42A40" w:rsidRPr="008C1B89" w14:paraId="3B2C3002"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462E6C10"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 xml:space="preserve">Clinical waste treatment facility </w:t>
            </w:r>
          </w:p>
        </w:tc>
        <w:tc>
          <w:tcPr>
            <w:tcW w:w="893" w:type="dxa"/>
            <w:tcBorders>
              <w:top w:val="nil"/>
              <w:left w:val="nil"/>
              <w:bottom w:val="single" w:sz="4" w:space="0" w:color="BFBFBF"/>
              <w:right w:val="single" w:sz="4" w:space="0" w:color="BFBFBF"/>
            </w:tcBorders>
            <w:shd w:val="clear" w:color="000000" w:fill="FFFFFF"/>
            <w:noWrap/>
            <w:hideMark/>
          </w:tcPr>
          <w:p w14:paraId="7DF47D4C" w14:textId="0AF32C7B" w:rsidR="00F42A40" w:rsidRPr="008C1B89" w:rsidRDefault="00F42A40" w:rsidP="00F42A40">
            <w:pPr>
              <w:jc w:val="right"/>
              <w:rPr>
                <w:rFonts w:eastAsia="Times New Roman" w:cs="Calibri"/>
                <w:color w:val="000000"/>
                <w:sz w:val="20"/>
                <w:szCs w:val="20"/>
                <w:lang w:eastAsia="en-AU"/>
              </w:rPr>
            </w:pPr>
            <w:r>
              <w:rPr>
                <w:color w:val="000000"/>
                <w:sz w:val="20"/>
                <w:szCs w:val="20"/>
              </w:rPr>
              <w:t>11</w:t>
            </w:r>
          </w:p>
        </w:tc>
        <w:tc>
          <w:tcPr>
            <w:tcW w:w="958" w:type="dxa"/>
            <w:tcBorders>
              <w:left w:val="nil"/>
              <w:right w:val="single" w:sz="4" w:space="0" w:color="BFBFBF"/>
            </w:tcBorders>
            <w:shd w:val="clear" w:color="auto" w:fill="auto"/>
            <w:noWrap/>
            <w:vAlign w:val="center"/>
            <w:hideMark/>
          </w:tcPr>
          <w:p w14:paraId="2777C47F" w14:textId="02A6D7F3" w:rsidR="00F42A40" w:rsidRPr="008C1B89" w:rsidRDefault="00F42A40" w:rsidP="009D734D">
            <w:pPr>
              <w:jc w:val="center"/>
              <w:rPr>
                <w:rFonts w:eastAsia="Times New Roman" w:cs="Calibri"/>
                <w:color w:val="000000"/>
                <w:sz w:val="20"/>
                <w:szCs w:val="20"/>
                <w:lang w:eastAsia="en-AU"/>
              </w:rPr>
            </w:pPr>
          </w:p>
        </w:tc>
        <w:tc>
          <w:tcPr>
            <w:tcW w:w="1025" w:type="dxa"/>
            <w:tcBorders>
              <w:left w:val="nil"/>
              <w:right w:val="single" w:sz="4" w:space="0" w:color="BFBFBF"/>
            </w:tcBorders>
            <w:shd w:val="clear" w:color="auto" w:fill="auto"/>
            <w:noWrap/>
            <w:vAlign w:val="center"/>
            <w:hideMark/>
          </w:tcPr>
          <w:p w14:paraId="38BA0797" w14:textId="55B733CF" w:rsidR="00F42A40" w:rsidRPr="008C1B89" w:rsidRDefault="00F42A40" w:rsidP="009D734D">
            <w:pPr>
              <w:jc w:val="center"/>
              <w:rPr>
                <w:rFonts w:eastAsia="Times New Roman" w:cs="Calibri"/>
                <w:color w:val="000000"/>
                <w:sz w:val="20"/>
                <w:szCs w:val="20"/>
                <w:lang w:eastAsia="en-AU"/>
              </w:rPr>
            </w:pPr>
          </w:p>
        </w:tc>
        <w:tc>
          <w:tcPr>
            <w:tcW w:w="962" w:type="dxa"/>
            <w:tcBorders>
              <w:top w:val="nil"/>
              <w:left w:val="nil"/>
              <w:bottom w:val="single" w:sz="4" w:space="0" w:color="BFBFBF"/>
              <w:right w:val="single" w:sz="4" w:space="0" w:color="BFBFBF"/>
            </w:tcBorders>
            <w:shd w:val="clear" w:color="auto" w:fill="auto"/>
            <w:noWrap/>
            <w:hideMark/>
          </w:tcPr>
          <w:p w14:paraId="53C20252" w14:textId="2AD685DE" w:rsidR="00F42A40" w:rsidRPr="008C1B89" w:rsidRDefault="00F42A40" w:rsidP="00F42A40">
            <w:pPr>
              <w:jc w:val="center"/>
              <w:rPr>
                <w:rFonts w:eastAsia="Times New Roman" w:cs="Calibri"/>
                <w:color w:val="000000"/>
                <w:sz w:val="20"/>
                <w:szCs w:val="20"/>
                <w:lang w:eastAsia="en-AU"/>
              </w:rPr>
            </w:pPr>
            <w:r>
              <w:rPr>
                <w:color w:val="000000"/>
                <w:sz w:val="20"/>
                <w:szCs w:val="20"/>
              </w:rPr>
              <w:t>Poor</w:t>
            </w:r>
          </w:p>
        </w:tc>
        <w:tc>
          <w:tcPr>
            <w:tcW w:w="739" w:type="dxa"/>
            <w:tcBorders>
              <w:top w:val="nil"/>
              <w:left w:val="nil"/>
              <w:bottom w:val="single" w:sz="4" w:space="0" w:color="BFBFBF"/>
              <w:right w:val="single" w:sz="4" w:space="0" w:color="BFBFBF"/>
            </w:tcBorders>
            <w:shd w:val="clear" w:color="000000" w:fill="FFFFFF"/>
            <w:noWrap/>
            <w:hideMark/>
          </w:tcPr>
          <w:p w14:paraId="54DFF528" w14:textId="02DA599D"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39" w:type="dxa"/>
            <w:tcBorders>
              <w:top w:val="nil"/>
              <w:left w:val="nil"/>
              <w:bottom w:val="single" w:sz="4" w:space="0" w:color="BFBFBF"/>
              <w:right w:val="single" w:sz="4" w:space="0" w:color="BFBFBF"/>
            </w:tcBorders>
            <w:shd w:val="clear" w:color="000000" w:fill="FFFFFF"/>
            <w:noWrap/>
            <w:hideMark/>
          </w:tcPr>
          <w:p w14:paraId="2ECCD28E" w14:textId="0DAC85D9"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39" w:type="dxa"/>
            <w:tcBorders>
              <w:top w:val="nil"/>
              <w:left w:val="nil"/>
              <w:bottom w:val="single" w:sz="4" w:space="0" w:color="BFBFBF"/>
              <w:right w:val="single" w:sz="4" w:space="0" w:color="BFBFBF"/>
            </w:tcBorders>
            <w:shd w:val="clear" w:color="000000" w:fill="FFFFFF"/>
            <w:noWrap/>
            <w:hideMark/>
          </w:tcPr>
          <w:p w14:paraId="02B64EF5" w14:textId="0886ACD7"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285" w:type="dxa"/>
            <w:vMerge/>
            <w:tcBorders>
              <w:top w:val="single" w:sz="4" w:space="0" w:color="808080"/>
              <w:left w:val="single" w:sz="4" w:space="0" w:color="BFBFBF"/>
              <w:bottom w:val="single" w:sz="4" w:space="0" w:color="BFBFBF"/>
              <w:right w:val="single" w:sz="4" w:space="0" w:color="BFBFBF"/>
            </w:tcBorders>
            <w:vAlign w:val="center"/>
            <w:hideMark/>
          </w:tcPr>
          <w:p w14:paraId="26FFB76A" w14:textId="77777777" w:rsidR="00F42A40" w:rsidRPr="008C1B89" w:rsidRDefault="00F42A40" w:rsidP="00F42A40">
            <w:pPr>
              <w:rPr>
                <w:rFonts w:eastAsia="Times New Roman" w:cs="Calibri"/>
                <w:color w:val="000000"/>
                <w:sz w:val="20"/>
                <w:szCs w:val="20"/>
                <w:lang w:eastAsia="en-AU"/>
              </w:rPr>
            </w:pPr>
          </w:p>
        </w:tc>
      </w:tr>
      <w:tr w:rsidR="00F42A40" w:rsidRPr="008C1B89" w14:paraId="15159CB1"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293A86AF"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Bioremediation facility</w:t>
            </w:r>
          </w:p>
        </w:tc>
        <w:tc>
          <w:tcPr>
            <w:tcW w:w="893" w:type="dxa"/>
            <w:tcBorders>
              <w:top w:val="nil"/>
              <w:left w:val="nil"/>
              <w:bottom w:val="single" w:sz="4" w:space="0" w:color="BFBFBF"/>
              <w:right w:val="single" w:sz="4" w:space="0" w:color="BFBFBF"/>
            </w:tcBorders>
            <w:shd w:val="clear" w:color="000000" w:fill="FFFFFF"/>
            <w:noWrap/>
            <w:hideMark/>
          </w:tcPr>
          <w:p w14:paraId="454DA5C4" w14:textId="31A16F4D" w:rsidR="00F42A40" w:rsidRPr="008C1B89" w:rsidRDefault="00F42A40" w:rsidP="00F42A40">
            <w:pPr>
              <w:jc w:val="right"/>
              <w:rPr>
                <w:rFonts w:eastAsia="Times New Roman" w:cs="Calibri"/>
                <w:color w:val="000000"/>
                <w:sz w:val="20"/>
                <w:szCs w:val="20"/>
                <w:lang w:eastAsia="en-AU"/>
              </w:rPr>
            </w:pPr>
            <w:r>
              <w:rPr>
                <w:color w:val="000000"/>
                <w:sz w:val="20"/>
                <w:szCs w:val="20"/>
              </w:rPr>
              <w:t>53,523</w:t>
            </w:r>
          </w:p>
        </w:tc>
        <w:tc>
          <w:tcPr>
            <w:tcW w:w="958" w:type="dxa"/>
            <w:tcBorders>
              <w:left w:val="nil"/>
              <w:right w:val="single" w:sz="4" w:space="0" w:color="BFBFBF"/>
            </w:tcBorders>
            <w:shd w:val="clear" w:color="auto" w:fill="auto"/>
            <w:noWrap/>
            <w:vAlign w:val="center"/>
            <w:hideMark/>
          </w:tcPr>
          <w:p w14:paraId="4EDD20E6" w14:textId="704B5E52" w:rsidR="00F42A40" w:rsidRPr="008C1B89" w:rsidRDefault="00F42A40" w:rsidP="009D734D">
            <w:pPr>
              <w:jc w:val="center"/>
              <w:rPr>
                <w:rFonts w:eastAsia="Times New Roman" w:cs="Calibri"/>
                <w:color w:val="000000"/>
                <w:sz w:val="20"/>
                <w:szCs w:val="20"/>
                <w:lang w:eastAsia="en-AU"/>
              </w:rPr>
            </w:pPr>
          </w:p>
        </w:tc>
        <w:tc>
          <w:tcPr>
            <w:tcW w:w="1025" w:type="dxa"/>
            <w:tcBorders>
              <w:left w:val="nil"/>
              <w:right w:val="single" w:sz="4" w:space="0" w:color="BFBFBF"/>
            </w:tcBorders>
            <w:shd w:val="clear" w:color="auto" w:fill="auto"/>
            <w:noWrap/>
            <w:vAlign w:val="center"/>
            <w:hideMark/>
          </w:tcPr>
          <w:p w14:paraId="14440973" w14:textId="166E63A2" w:rsidR="00F42A40" w:rsidRPr="008C1B89" w:rsidRDefault="00F42A40" w:rsidP="009D734D">
            <w:pPr>
              <w:jc w:val="center"/>
              <w:rPr>
                <w:rFonts w:eastAsia="Times New Roman" w:cs="Calibri"/>
                <w:color w:val="000000"/>
                <w:sz w:val="20"/>
                <w:szCs w:val="20"/>
                <w:lang w:eastAsia="en-AU"/>
              </w:rPr>
            </w:pPr>
          </w:p>
        </w:tc>
        <w:tc>
          <w:tcPr>
            <w:tcW w:w="962" w:type="dxa"/>
            <w:tcBorders>
              <w:top w:val="nil"/>
              <w:left w:val="nil"/>
              <w:bottom w:val="single" w:sz="4" w:space="0" w:color="BFBFBF"/>
              <w:right w:val="single" w:sz="4" w:space="0" w:color="BFBFBF"/>
            </w:tcBorders>
            <w:shd w:val="clear" w:color="auto" w:fill="auto"/>
            <w:noWrap/>
            <w:hideMark/>
          </w:tcPr>
          <w:p w14:paraId="112B37DA" w14:textId="16C3EE66"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420A6D14" w14:textId="759D7959"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5076BAA" w14:textId="3545314F"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8BA129B" w14:textId="3A8185C8"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285" w:type="dxa"/>
            <w:vMerge/>
            <w:tcBorders>
              <w:top w:val="single" w:sz="4" w:space="0" w:color="808080"/>
              <w:left w:val="single" w:sz="4" w:space="0" w:color="BFBFBF"/>
              <w:bottom w:val="single" w:sz="4" w:space="0" w:color="BFBFBF"/>
              <w:right w:val="single" w:sz="4" w:space="0" w:color="BFBFBF"/>
            </w:tcBorders>
            <w:vAlign w:val="center"/>
            <w:hideMark/>
          </w:tcPr>
          <w:p w14:paraId="0568807B" w14:textId="77777777" w:rsidR="00F42A40" w:rsidRPr="008C1B89" w:rsidRDefault="00F42A40" w:rsidP="00F42A40">
            <w:pPr>
              <w:rPr>
                <w:rFonts w:eastAsia="Times New Roman" w:cs="Calibri"/>
                <w:color w:val="000000"/>
                <w:sz w:val="20"/>
                <w:szCs w:val="20"/>
                <w:lang w:eastAsia="en-AU"/>
              </w:rPr>
            </w:pPr>
          </w:p>
        </w:tc>
      </w:tr>
      <w:tr w:rsidR="00F42A40" w:rsidRPr="008C1B89" w14:paraId="752916F1"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7928FA01" w14:textId="3B90236D" w:rsidR="00F42A40" w:rsidRPr="008C1B89" w:rsidRDefault="00F42A40" w:rsidP="00F42A40">
            <w:pPr>
              <w:jc w:val="right"/>
              <w:rPr>
                <w:rFonts w:eastAsia="Times New Roman" w:cs="Calibri"/>
                <w:color w:val="000000"/>
                <w:sz w:val="20"/>
                <w:szCs w:val="20"/>
                <w:lang w:eastAsia="en-AU"/>
              </w:rPr>
            </w:pPr>
            <w:r>
              <w:rPr>
                <w:rFonts w:eastAsia="Times New Roman" w:cs="Calibri"/>
                <w:color w:val="000000"/>
                <w:sz w:val="20"/>
                <w:szCs w:val="20"/>
                <w:lang w:eastAsia="en-AU"/>
              </w:rPr>
              <w:t>OWT</w:t>
            </w:r>
            <w:r w:rsidRPr="008C1B89">
              <w:rPr>
                <w:rFonts w:eastAsia="Times New Roman" w:cs="Calibri"/>
                <w:color w:val="000000"/>
                <w:sz w:val="20"/>
                <w:szCs w:val="20"/>
                <w:lang w:eastAsia="en-AU"/>
              </w:rPr>
              <w:t xml:space="preserve"> facility  </w:t>
            </w:r>
          </w:p>
        </w:tc>
        <w:tc>
          <w:tcPr>
            <w:tcW w:w="893" w:type="dxa"/>
            <w:tcBorders>
              <w:top w:val="nil"/>
              <w:left w:val="nil"/>
              <w:bottom w:val="single" w:sz="4" w:space="0" w:color="BFBFBF"/>
              <w:right w:val="single" w:sz="4" w:space="0" w:color="BFBFBF"/>
            </w:tcBorders>
            <w:shd w:val="clear" w:color="000000" w:fill="FFFFFF"/>
            <w:noWrap/>
            <w:hideMark/>
          </w:tcPr>
          <w:p w14:paraId="340BF20C" w14:textId="15F61A95" w:rsidR="00F42A40" w:rsidRPr="008C1B89" w:rsidRDefault="00F42A40" w:rsidP="00F42A40">
            <w:pPr>
              <w:jc w:val="right"/>
              <w:rPr>
                <w:rFonts w:eastAsia="Times New Roman" w:cs="Calibri"/>
                <w:color w:val="000000"/>
                <w:sz w:val="20"/>
                <w:szCs w:val="20"/>
                <w:lang w:eastAsia="en-AU"/>
              </w:rPr>
            </w:pPr>
            <w:r>
              <w:rPr>
                <w:color w:val="000000"/>
                <w:sz w:val="20"/>
                <w:szCs w:val="20"/>
              </w:rPr>
              <w:t>33,317</w:t>
            </w:r>
          </w:p>
        </w:tc>
        <w:tc>
          <w:tcPr>
            <w:tcW w:w="958" w:type="dxa"/>
            <w:tcBorders>
              <w:left w:val="nil"/>
              <w:right w:val="single" w:sz="4" w:space="0" w:color="BFBFBF"/>
            </w:tcBorders>
            <w:shd w:val="clear" w:color="auto" w:fill="auto"/>
            <w:noWrap/>
            <w:vAlign w:val="center"/>
            <w:hideMark/>
          </w:tcPr>
          <w:p w14:paraId="49518F99" w14:textId="23F0EA70" w:rsidR="00F42A40" w:rsidRPr="008C1B89" w:rsidRDefault="00F42A40" w:rsidP="009D734D">
            <w:pPr>
              <w:jc w:val="center"/>
              <w:rPr>
                <w:rFonts w:eastAsia="Times New Roman" w:cs="Calibri"/>
                <w:color w:val="000000"/>
                <w:sz w:val="20"/>
                <w:szCs w:val="20"/>
                <w:lang w:eastAsia="en-AU"/>
              </w:rPr>
            </w:pPr>
          </w:p>
        </w:tc>
        <w:tc>
          <w:tcPr>
            <w:tcW w:w="1025" w:type="dxa"/>
            <w:tcBorders>
              <w:left w:val="nil"/>
              <w:right w:val="single" w:sz="4" w:space="0" w:color="BFBFBF"/>
            </w:tcBorders>
            <w:shd w:val="clear" w:color="auto" w:fill="auto"/>
            <w:noWrap/>
            <w:vAlign w:val="center"/>
            <w:hideMark/>
          </w:tcPr>
          <w:p w14:paraId="58FEC73C" w14:textId="6C5E8115" w:rsidR="00F42A40" w:rsidRPr="008C1B89" w:rsidRDefault="00F42A40" w:rsidP="009D734D">
            <w:pPr>
              <w:jc w:val="center"/>
              <w:rPr>
                <w:rFonts w:eastAsia="Times New Roman" w:cs="Calibri"/>
                <w:color w:val="000000"/>
                <w:sz w:val="20"/>
                <w:szCs w:val="20"/>
                <w:lang w:eastAsia="en-AU"/>
              </w:rPr>
            </w:pPr>
          </w:p>
        </w:tc>
        <w:tc>
          <w:tcPr>
            <w:tcW w:w="962" w:type="dxa"/>
            <w:tcBorders>
              <w:top w:val="nil"/>
              <w:left w:val="nil"/>
              <w:bottom w:val="single" w:sz="4" w:space="0" w:color="BFBFBF"/>
              <w:right w:val="single" w:sz="4" w:space="0" w:color="BFBFBF"/>
            </w:tcBorders>
            <w:shd w:val="clear" w:color="auto" w:fill="auto"/>
            <w:noWrap/>
            <w:hideMark/>
          </w:tcPr>
          <w:p w14:paraId="412E1CCB" w14:textId="3CEADCF4"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39" w:type="dxa"/>
            <w:tcBorders>
              <w:top w:val="nil"/>
              <w:left w:val="nil"/>
              <w:bottom w:val="single" w:sz="4" w:space="0" w:color="BFBFBF"/>
              <w:right w:val="single" w:sz="4" w:space="0" w:color="BFBFBF"/>
            </w:tcBorders>
            <w:shd w:val="clear" w:color="000000" w:fill="FFFFFF"/>
            <w:noWrap/>
            <w:hideMark/>
          </w:tcPr>
          <w:p w14:paraId="211362FA" w14:textId="192B457A"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739" w:type="dxa"/>
            <w:tcBorders>
              <w:top w:val="nil"/>
              <w:left w:val="nil"/>
              <w:bottom w:val="single" w:sz="4" w:space="0" w:color="BFBFBF"/>
              <w:right w:val="single" w:sz="4" w:space="0" w:color="BFBFBF"/>
            </w:tcBorders>
            <w:shd w:val="clear" w:color="000000" w:fill="FFFFFF"/>
            <w:noWrap/>
            <w:hideMark/>
          </w:tcPr>
          <w:p w14:paraId="7FC8D261" w14:textId="2C150A1A"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739" w:type="dxa"/>
            <w:tcBorders>
              <w:top w:val="nil"/>
              <w:left w:val="nil"/>
              <w:bottom w:val="single" w:sz="4" w:space="0" w:color="BFBFBF"/>
              <w:right w:val="single" w:sz="4" w:space="0" w:color="BFBFBF"/>
            </w:tcBorders>
            <w:shd w:val="clear" w:color="000000" w:fill="FFFFFF"/>
            <w:noWrap/>
            <w:hideMark/>
          </w:tcPr>
          <w:p w14:paraId="563BD0F8" w14:textId="3E314470"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5285" w:type="dxa"/>
            <w:vMerge/>
            <w:tcBorders>
              <w:top w:val="single" w:sz="4" w:space="0" w:color="808080"/>
              <w:left w:val="single" w:sz="4" w:space="0" w:color="BFBFBF"/>
              <w:bottom w:val="single" w:sz="4" w:space="0" w:color="BFBFBF"/>
              <w:right w:val="single" w:sz="4" w:space="0" w:color="BFBFBF"/>
            </w:tcBorders>
            <w:vAlign w:val="center"/>
            <w:hideMark/>
          </w:tcPr>
          <w:p w14:paraId="4FCC8C24" w14:textId="77777777" w:rsidR="00F42A40" w:rsidRPr="008C1B89" w:rsidRDefault="00F42A40" w:rsidP="00F42A40">
            <w:pPr>
              <w:rPr>
                <w:rFonts w:eastAsia="Times New Roman" w:cs="Calibri"/>
                <w:color w:val="000000"/>
                <w:sz w:val="20"/>
                <w:szCs w:val="20"/>
                <w:lang w:eastAsia="en-AU"/>
              </w:rPr>
            </w:pPr>
          </w:p>
        </w:tc>
      </w:tr>
      <w:tr w:rsidR="00F42A40" w:rsidRPr="008C1B89" w14:paraId="4A6527F7"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446221E6"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Soils treatment facility</w:t>
            </w:r>
          </w:p>
        </w:tc>
        <w:tc>
          <w:tcPr>
            <w:tcW w:w="893" w:type="dxa"/>
            <w:tcBorders>
              <w:top w:val="nil"/>
              <w:left w:val="nil"/>
              <w:bottom w:val="single" w:sz="4" w:space="0" w:color="BFBFBF"/>
              <w:right w:val="single" w:sz="4" w:space="0" w:color="BFBFBF"/>
            </w:tcBorders>
            <w:shd w:val="clear" w:color="000000" w:fill="FFFFFF"/>
            <w:noWrap/>
            <w:hideMark/>
          </w:tcPr>
          <w:p w14:paraId="03BB4242" w14:textId="031B50FC" w:rsidR="00F42A40" w:rsidRPr="008C1B89" w:rsidRDefault="00F42A40" w:rsidP="00F42A40">
            <w:pPr>
              <w:jc w:val="right"/>
              <w:rPr>
                <w:rFonts w:eastAsia="Times New Roman" w:cs="Calibri"/>
                <w:color w:val="000000"/>
                <w:sz w:val="20"/>
                <w:szCs w:val="20"/>
                <w:lang w:eastAsia="en-AU"/>
              </w:rPr>
            </w:pPr>
            <w:r>
              <w:rPr>
                <w:color w:val="000000"/>
                <w:sz w:val="20"/>
                <w:szCs w:val="20"/>
              </w:rPr>
              <w:t>336</w:t>
            </w:r>
          </w:p>
        </w:tc>
        <w:tc>
          <w:tcPr>
            <w:tcW w:w="958" w:type="dxa"/>
            <w:tcBorders>
              <w:left w:val="nil"/>
              <w:bottom w:val="single" w:sz="4" w:space="0" w:color="BFBFBF"/>
              <w:right w:val="single" w:sz="4" w:space="0" w:color="BFBFBF"/>
            </w:tcBorders>
            <w:shd w:val="clear" w:color="auto" w:fill="auto"/>
            <w:noWrap/>
            <w:vAlign w:val="center"/>
            <w:hideMark/>
          </w:tcPr>
          <w:p w14:paraId="41E99F50" w14:textId="008AFDE4" w:rsidR="00F42A40" w:rsidRPr="008C1B89" w:rsidRDefault="00F42A40" w:rsidP="009D734D">
            <w:pPr>
              <w:jc w:val="center"/>
              <w:rPr>
                <w:rFonts w:eastAsia="Times New Roman" w:cs="Calibri"/>
                <w:color w:val="000000"/>
                <w:sz w:val="20"/>
                <w:szCs w:val="20"/>
                <w:lang w:eastAsia="en-AU"/>
              </w:rPr>
            </w:pPr>
          </w:p>
        </w:tc>
        <w:tc>
          <w:tcPr>
            <w:tcW w:w="1025" w:type="dxa"/>
            <w:tcBorders>
              <w:left w:val="nil"/>
              <w:bottom w:val="single" w:sz="4" w:space="0" w:color="BFBFBF"/>
              <w:right w:val="single" w:sz="4" w:space="0" w:color="BFBFBF"/>
            </w:tcBorders>
            <w:shd w:val="clear" w:color="auto" w:fill="auto"/>
            <w:noWrap/>
            <w:vAlign w:val="center"/>
            <w:hideMark/>
          </w:tcPr>
          <w:p w14:paraId="3A91A8E3" w14:textId="6F3ABFA9" w:rsidR="00F42A40" w:rsidRPr="008C1B89" w:rsidRDefault="00F42A40" w:rsidP="009D734D">
            <w:pPr>
              <w:jc w:val="center"/>
              <w:rPr>
                <w:rFonts w:eastAsia="Times New Roman" w:cs="Calibri"/>
                <w:color w:val="000000"/>
                <w:sz w:val="20"/>
                <w:szCs w:val="20"/>
                <w:lang w:eastAsia="en-AU"/>
              </w:rPr>
            </w:pPr>
          </w:p>
        </w:tc>
        <w:tc>
          <w:tcPr>
            <w:tcW w:w="962" w:type="dxa"/>
            <w:tcBorders>
              <w:top w:val="nil"/>
              <w:left w:val="nil"/>
              <w:bottom w:val="single" w:sz="4" w:space="0" w:color="BFBFBF"/>
              <w:right w:val="single" w:sz="4" w:space="0" w:color="BFBFBF"/>
            </w:tcBorders>
            <w:shd w:val="clear" w:color="auto" w:fill="auto"/>
            <w:noWrap/>
            <w:hideMark/>
          </w:tcPr>
          <w:p w14:paraId="0108EABB" w14:textId="72854C3B"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39" w:type="dxa"/>
            <w:tcBorders>
              <w:top w:val="nil"/>
              <w:left w:val="nil"/>
              <w:bottom w:val="single" w:sz="4" w:space="0" w:color="BFBFBF"/>
              <w:right w:val="single" w:sz="4" w:space="0" w:color="BFBFBF"/>
            </w:tcBorders>
            <w:shd w:val="clear" w:color="000000" w:fill="FFFFFF"/>
            <w:noWrap/>
            <w:hideMark/>
          </w:tcPr>
          <w:p w14:paraId="4E21A861" w14:textId="7ECA7AE7"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39" w:type="dxa"/>
            <w:tcBorders>
              <w:top w:val="nil"/>
              <w:left w:val="nil"/>
              <w:bottom w:val="single" w:sz="4" w:space="0" w:color="BFBFBF"/>
              <w:right w:val="single" w:sz="4" w:space="0" w:color="BFBFBF"/>
            </w:tcBorders>
            <w:shd w:val="clear" w:color="000000" w:fill="FFFFFF"/>
            <w:noWrap/>
            <w:hideMark/>
          </w:tcPr>
          <w:p w14:paraId="7C455DAA" w14:textId="38D9D958"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39" w:type="dxa"/>
            <w:tcBorders>
              <w:top w:val="nil"/>
              <w:left w:val="nil"/>
              <w:bottom w:val="single" w:sz="4" w:space="0" w:color="BFBFBF"/>
              <w:right w:val="single" w:sz="4" w:space="0" w:color="BFBFBF"/>
            </w:tcBorders>
            <w:shd w:val="clear" w:color="000000" w:fill="FFFFFF"/>
            <w:noWrap/>
            <w:hideMark/>
          </w:tcPr>
          <w:p w14:paraId="0C27328E" w14:textId="1873CE54"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285" w:type="dxa"/>
            <w:vMerge/>
            <w:tcBorders>
              <w:top w:val="single" w:sz="4" w:space="0" w:color="808080"/>
              <w:left w:val="single" w:sz="4" w:space="0" w:color="BFBFBF"/>
              <w:bottom w:val="single" w:sz="4" w:space="0" w:color="BFBFBF"/>
              <w:right w:val="single" w:sz="4" w:space="0" w:color="BFBFBF"/>
            </w:tcBorders>
            <w:vAlign w:val="center"/>
            <w:hideMark/>
          </w:tcPr>
          <w:p w14:paraId="56CB255C" w14:textId="77777777" w:rsidR="00F42A40" w:rsidRPr="008C1B89" w:rsidRDefault="00F42A40" w:rsidP="00F42A40">
            <w:pPr>
              <w:rPr>
                <w:rFonts w:eastAsia="Times New Roman" w:cs="Calibri"/>
                <w:color w:val="000000"/>
                <w:sz w:val="20"/>
                <w:szCs w:val="20"/>
                <w:lang w:eastAsia="en-AU"/>
              </w:rPr>
            </w:pPr>
          </w:p>
        </w:tc>
      </w:tr>
      <w:tr w:rsidR="009D734D" w:rsidRPr="008C1B89" w14:paraId="03F27383"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25BB1E00" w14:textId="77777777" w:rsidR="00F42A40" w:rsidRPr="008C1B89" w:rsidRDefault="00F42A40" w:rsidP="00F42A40">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Disposal</w:t>
            </w:r>
          </w:p>
        </w:tc>
        <w:tc>
          <w:tcPr>
            <w:tcW w:w="893" w:type="dxa"/>
            <w:tcBorders>
              <w:top w:val="nil"/>
              <w:left w:val="nil"/>
              <w:bottom w:val="single" w:sz="4" w:space="0" w:color="BFBFBF"/>
              <w:right w:val="single" w:sz="4" w:space="0" w:color="BFBFBF"/>
            </w:tcBorders>
            <w:shd w:val="clear" w:color="000000" w:fill="C5D9F1"/>
            <w:noWrap/>
            <w:hideMark/>
          </w:tcPr>
          <w:p w14:paraId="167AB5BA" w14:textId="2DBF1953"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958" w:type="dxa"/>
            <w:tcBorders>
              <w:top w:val="nil"/>
              <w:left w:val="nil"/>
              <w:bottom w:val="single" w:sz="4" w:space="0" w:color="BFBFBF"/>
              <w:right w:val="nil"/>
            </w:tcBorders>
            <w:shd w:val="clear" w:color="000000" w:fill="C5D9F1"/>
            <w:noWrap/>
            <w:vAlign w:val="center"/>
            <w:hideMark/>
          </w:tcPr>
          <w:p w14:paraId="7C9A5E3C" w14:textId="7116E5C4" w:rsidR="00F42A40" w:rsidRPr="008C1B89" w:rsidRDefault="00F42A40" w:rsidP="009D734D">
            <w:pPr>
              <w:jc w:val="center"/>
              <w:rPr>
                <w:rFonts w:eastAsia="Times New Roman" w:cs="Calibri"/>
                <w:color w:val="000000"/>
                <w:sz w:val="20"/>
                <w:szCs w:val="20"/>
                <w:lang w:eastAsia="en-AU"/>
              </w:rPr>
            </w:pPr>
          </w:p>
        </w:tc>
        <w:tc>
          <w:tcPr>
            <w:tcW w:w="1025" w:type="dxa"/>
            <w:tcBorders>
              <w:top w:val="nil"/>
              <w:left w:val="nil"/>
              <w:bottom w:val="single" w:sz="4" w:space="0" w:color="BFBFBF"/>
              <w:right w:val="nil"/>
            </w:tcBorders>
            <w:shd w:val="clear" w:color="000000" w:fill="C5D9F1"/>
            <w:noWrap/>
            <w:vAlign w:val="center"/>
            <w:hideMark/>
          </w:tcPr>
          <w:p w14:paraId="491E1071" w14:textId="1679901C" w:rsidR="00F42A40" w:rsidRPr="008C1B89" w:rsidRDefault="00F42A40" w:rsidP="009D734D">
            <w:pPr>
              <w:jc w:val="center"/>
              <w:rPr>
                <w:rFonts w:eastAsia="Times New Roman" w:cs="Calibri"/>
                <w:color w:val="000000"/>
                <w:sz w:val="20"/>
                <w:szCs w:val="20"/>
                <w:lang w:eastAsia="en-AU"/>
              </w:rPr>
            </w:pPr>
          </w:p>
        </w:tc>
        <w:tc>
          <w:tcPr>
            <w:tcW w:w="962" w:type="dxa"/>
            <w:tcBorders>
              <w:top w:val="nil"/>
              <w:left w:val="nil"/>
              <w:bottom w:val="single" w:sz="4" w:space="0" w:color="BFBFBF"/>
              <w:right w:val="single" w:sz="4" w:space="0" w:color="BFBFBF"/>
            </w:tcBorders>
            <w:shd w:val="clear" w:color="000000" w:fill="C5D9F1"/>
            <w:noWrap/>
            <w:hideMark/>
          </w:tcPr>
          <w:p w14:paraId="2169A794" w14:textId="2CB96984"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39" w:type="dxa"/>
            <w:tcBorders>
              <w:top w:val="nil"/>
              <w:left w:val="nil"/>
              <w:bottom w:val="single" w:sz="4" w:space="0" w:color="BFBFBF"/>
              <w:right w:val="single" w:sz="4" w:space="0" w:color="BFBFBF"/>
            </w:tcBorders>
            <w:shd w:val="clear" w:color="000000" w:fill="C5D9F1"/>
            <w:noWrap/>
            <w:hideMark/>
          </w:tcPr>
          <w:p w14:paraId="6D4E9B26" w14:textId="6011BF39"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39" w:type="dxa"/>
            <w:tcBorders>
              <w:top w:val="nil"/>
              <w:left w:val="nil"/>
              <w:bottom w:val="single" w:sz="4" w:space="0" w:color="BFBFBF"/>
              <w:right w:val="single" w:sz="4" w:space="0" w:color="BFBFBF"/>
            </w:tcBorders>
            <w:shd w:val="clear" w:color="000000" w:fill="C5D9F1"/>
            <w:noWrap/>
            <w:hideMark/>
          </w:tcPr>
          <w:p w14:paraId="7BA2FE75" w14:textId="23E1D87B"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39" w:type="dxa"/>
            <w:tcBorders>
              <w:top w:val="nil"/>
              <w:left w:val="nil"/>
              <w:bottom w:val="single" w:sz="4" w:space="0" w:color="BFBFBF"/>
              <w:right w:val="single" w:sz="4" w:space="0" w:color="BFBFBF"/>
            </w:tcBorders>
            <w:shd w:val="clear" w:color="000000" w:fill="C5D9F1"/>
            <w:noWrap/>
            <w:hideMark/>
          </w:tcPr>
          <w:p w14:paraId="3708BFDF" w14:textId="2A3ABA4E"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5285" w:type="dxa"/>
            <w:vMerge/>
            <w:tcBorders>
              <w:top w:val="single" w:sz="4" w:space="0" w:color="808080"/>
              <w:left w:val="single" w:sz="4" w:space="0" w:color="BFBFBF"/>
              <w:bottom w:val="single" w:sz="4" w:space="0" w:color="BFBFBF"/>
              <w:right w:val="single" w:sz="4" w:space="0" w:color="BFBFBF"/>
            </w:tcBorders>
            <w:vAlign w:val="center"/>
            <w:hideMark/>
          </w:tcPr>
          <w:p w14:paraId="65B5A11B" w14:textId="77777777" w:rsidR="00F42A40" w:rsidRPr="008C1B89" w:rsidRDefault="00F42A40" w:rsidP="00F42A40">
            <w:pPr>
              <w:rPr>
                <w:rFonts w:eastAsia="Times New Roman" w:cs="Calibri"/>
                <w:color w:val="000000"/>
                <w:sz w:val="20"/>
                <w:szCs w:val="20"/>
                <w:lang w:eastAsia="en-AU"/>
              </w:rPr>
            </w:pPr>
          </w:p>
        </w:tc>
      </w:tr>
      <w:tr w:rsidR="00F42A40" w:rsidRPr="008C1B89" w14:paraId="3F628D4E"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7460EE2"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 xml:space="preserve">Hazardous waste landfill facility </w:t>
            </w:r>
          </w:p>
        </w:tc>
        <w:tc>
          <w:tcPr>
            <w:tcW w:w="893" w:type="dxa"/>
            <w:tcBorders>
              <w:top w:val="nil"/>
              <w:left w:val="nil"/>
              <w:bottom w:val="single" w:sz="4" w:space="0" w:color="BFBFBF"/>
              <w:right w:val="single" w:sz="4" w:space="0" w:color="BFBFBF"/>
            </w:tcBorders>
            <w:shd w:val="clear" w:color="000000" w:fill="FFFFFF"/>
            <w:noWrap/>
            <w:hideMark/>
          </w:tcPr>
          <w:p w14:paraId="25B5A09C" w14:textId="2A0A1116" w:rsidR="00F42A40" w:rsidRPr="008C1B89" w:rsidRDefault="00F42A40" w:rsidP="00F42A40">
            <w:pPr>
              <w:jc w:val="right"/>
              <w:rPr>
                <w:rFonts w:eastAsia="Times New Roman" w:cs="Calibri"/>
                <w:color w:val="000000"/>
                <w:sz w:val="20"/>
                <w:szCs w:val="20"/>
                <w:lang w:eastAsia="en-AU"/>
              </w:rPr>
            </w:pPr>
            <w:r>
              <w:rPr>
                <w:color w:val="000000"/>
                <w:sz w:val="20"/>
                <w:szCs w:val="20"/>
              </w:rPr>
              <w:t>10,902</w:t>
            </w:r>
          </w:p>
        </w:tc>
        <w:tc>
          <w:tcPr>
            <w:tcW w:w="958" w:type="dxa"/>
            <w:tcBorders>
              <w:top w:val="nil"/>
              <w:left w:val="nil"/>
              <w:right w:val="single" w:sz="4" w:space="0" w:color="BFBFBF"/>
            </w:tcBorders>
            <w:shd w:val="clear" w:color="auto" w:fill="auto"/>
            <w:noWrap/>
            <w:vAlign w:val="center"/>
            <w:hideMark/>
          </w:tcPr>
          <w:p w14:paraId="43DF5677" w14:textId="3BD79A33"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25" w:type="dxa"/>
            <w:tcBorders>
              <w:top w:val="nil"/>
              <w:left w:val="nil"/>
              <w:right w:val="single" w:sz="4" w:space="0" w:color="BFBFBF"/>
            </w:tcBorders>
            <w:shd w:val="clear" w:color="auto" w:fill="auto"/>
            <w:noWrap/>
            <w:vAlign w:val="center"/>
            <w:hideMark/>
          </w:tcPr>
          <w:p w14:paraId="6A04EC3E" w14:textId="594379CE"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62" w:type="dxa"/>
            <w:tcBorders>
              <w:top w:val="nil"/>
              <w:left w:val="nil"/>
              <w:bottom w:val="single" w:sz="4" w:space="0" w:color="BFBFBF"/>
              <w:right w:val="single" w:sz="4" w:space="0" w:color="BFBFBF"/>
            </w:tcBorders>
            <w:shd w:val="clear" w:color="auto" w:fill="auto"/>
            <w:noWrap/>
            <w:hideMark/>
          </w:tcPr>
          <w:p w14:paraId="59E7FEA2" w14:textId="7B5B9277" w:rsidR="00F42A40" w:rsidRPr="008C1B89" w:rsidRDefault="00F42A40" w:rsidP="00F42A40">
            <w:pPr>
              <w:jc w:val="center"/>
              <w:rPr>
                <w:rFonts w:eastAsia="Times New Roman" w:cs="Calibri"/>
                <w:color w:val="000000"/>
                <w:sz w:val="20"/>
                <w:szCs w:val="20"/>
                <w:lang w:eastAsia="en-AU"/>
              </w:rPr>
            </w:pPr>
            <w:r>
              <w:rPr>
                <w:color w:val="000000"/>
                <w:sz w:val="20"/>
                <w:szCs w:val="20"/>
              </w:rPr>
              <w:t>Poor</w:t>
            </w:r>
          </w:p>
        </w:tc>
        <w:tc>
          <w:tcPr>
            <w:tcW w:w="739" w:type="dxa"/>
            <w:tcBorders>
              <w:top w:val="nil"/>
              <w:left w:val="nil"/>
              <w:bottom w:val="single" w:sz="4" w:space="0" w:color="BFBFBF"/>
              <w:right w:val="single" w:sz="4" w:space="0" w:color="BFBFBF"/>
            </w:tcBorders>
            <w:shd w:val="clear" w:color="000000" w:fill="FFFFFF"/>
            <w:noWrap/>
            <w:hideMark/>
          </w:tcPr>
          <w:p w14:paraId="34206D36" w14:textId="030EE7D4" w:rsidR="00F42A40" w:rsidRPr="008C1B89" w:rsidRDefault="00F42A40" w:rsidP="00F42A40">
            <w:pPr>
              <w:jc w:val="center"/>
              <w:rPr>
                <w:rFonts w:eastAsia="Times New Roman" w:cs="Calibri"/>
                <w:color w:val="000000"/>
                <w:sz w:val="20"/>
                <w:szCs w:val="20"/>
                <w:lang w:eastAsia="en-AU"/>
              </w:rPr>
            </w:pPr>
            <w:r>
              <w:rPr>
                <w:color w:val="000000"/>
                <w:sz w:val="20"/>
                <w:szCs w:val="20"/>
              </w:rPr>
              <w:t>2020</w:t>
            </w:r>
          </w:p>
        </w:tc>
        <w:tc>
          <w:tcPr>
            <w:tcW w:w="739" w:type="dxa"/>
            <w:tcBorders>
              <w:top w:val="nil"/>
              <w:left w:val="nil"/>
              <w:bottom w:val="single" w:sz="4" w:space="0" w:color="BFBFBF"/>
              <w:right w:val="single" w:sz="4" w:space="0" w:color="BFBFBF"/>
            </w:tcBorders>
            <w:shd w:val="clear" w:color="000000" w:fill="FFFFFF"/>
            <w:noWrap/>
            <w:hideMark/>
          </w:tcPr>
          <w:p w14:paraId="5B0A7AB8" w14:textId="6DE06896"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739" w:type="dxa"/>
            <w:tcBorders>
              <w:top w:val="nil"/>
              <w:left w:val="nil"/>
              <w:bottom w:val="single" w:sz="4" w:space="0" w:color="BFBFBF"/>
              <w:right w:val="single" w:sz="4" w:space="0" w:color="BFBFBF"/>
            </w:tcBorders>
            <w:shd w:val="clear" w:color="000000" w:fill="FFFFFF"/>
            <w:noWrap/>
            <w:hideMark/>
          </w:tcPr>
          <w:p w14:paraId="3C12D756" w14:textId="551921A7"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285" w:type="dxa"/>
            <w:vMerge/>
            <w:tcBorders>
              <w:top w:val="single" w:sz="4" w:space="0" w:color="808080"/>
              <w:left w:val="single" w:sz="4" w:space="0" w:color="BFBFBF"/>
              <w:bottom w:val="single" w:sz="4" w:space="0" w:color="BFBFBF"/>
              <w:right w:val="single" w:sz="4" w:space="0" w:color="BFBFBF"/>
            </w:tcBorders>
            <w:vAlign w:val="center"/>
            <w:hideMark/>
          </w:tcPr>
          <w:p w14:paraId="39DBC6B3" w14:textId="77777777" w:rsidR="00F42A40" w:rsidRPr="008C1B89" w:rsidRDefault="00F42A40" w:rsidP="00F42A40">
            <w:pPr>
              <w:rPr>
                <w:rFonts w:eastAsia="Times New Roman" w:cs="Calibri"/>
                <w:color w:val="000000"/>
                <w:sz w:val="20"/>
                <w:szCs w:val="20"/>
                <w:lang w:eastAsia="en-AU"/>
              </w:rPr>
            </w:pPr>
          </w:p>
        </w:tc>
      </w:tr>
      <w:tr w:rsidR="00F42A40" w:rsidRPr="008C1B89" w14:paraId="6A38734C"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42D3BFBA"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Landfill facility (NEPM codes N, T)</w:t>
            </w:r>
          </w:p>
        </w:tc>
        <w:tc>
          <w:tcPr>
            <w:tcW w:w="893" w:type="dxa"/>
            <w:tcBorders>
              <w:top w:val="nil"/>
              <w:left w:val="nil"/>
              <w:bottom w:val="single" w:sz="4" w:space="0" w:color="BFBFBF"/>
              <w:right w:val="single" w:sz="4" w:space="0" w:color="BFBFBF"/>
            </w:tcBorders>
            <w:shd w:val="clear" w:color="000000" w:fill="FFFFFF"/>
            <w:noWrap/>
            <w:hideMark/>
          </w:tcPr>
          <w:p w14:paraId="506F2CF8" w14:textId="402CE872" w:rsidR="00F42A40" w:rsidRPr="008C1B89" w:rsidRDefault="00F42A40" w:rsidP="00F42A40">
            <w:pPr>
              <w:jc w:val="right"/>
              <w:rPr>
                <w:rFonts w:eastAsia="Times New Roman" w:cs="Calibri"/>
                <w:color w:val="000000"/>
                <w:sz w:val="20"/>
                <w:szCs w:val="20"/>
                <w:lang w:eastAsia="en-AU"/>
              </w:rPr>
            </w:pPr>
            <w:r>
              <w:rPr>
                <w:color w:val="000000"/>
                <w:sz w:val="20"/>
                <w:szCs w:val="20"/>
              </w:rPr>
              <w:t>79,885</w:t>
            </w:r>
          </w:p>
        </w:tc>
        <w:tc>
          <w:tcPr>
            <w:tcW w:w="958" w:type="dxa"/>
            <w:tcBorders>
              <w:left w:val="nil"/>
              <w:right w:val="single" w:sz="4" w:space="0" w:color="BFBFBF"/>
            </w:tcBorders>
            <w:shd w:val="clear" w:color="auto" w:fill="auto"/>
            <w:noWrap/>
            <w:vAlign w:val="center"/>
            <w:hideMark/>
          </w:tcPr>
          <w:p w14:paraId="541CFD3C" w14:textId="0CA4C787" w:rsidR="00F42A40" w:rsidRPr="008C1B89" w:rsidRDefault="00F42A40" w:rsidP="009D734D">
            <w:pPr>
              <w:jc w:val="center"/>
              <w:rPr>
                <w:rFonts w:eastAsia="Times New Roman" w:cs="Calibri"/>
                <w:color w:val="000000"/>
                <w:sz w:val="20"/>
                <w:szCs w:val="20"/>
                <w:lang w:eastAsia="en-AU"/>
              </w:rPr>
            </w:pPr>
          </w:p>
        </w:tc>
        <w:tc>
          <w:tcPr>
            <w:tcW w:w="1025" w:type="dxa"/>
            <w:tcBorders>
              <w:left w:val="nil"/>
              <w:right w:val="single" w:sz="4" w:space="0" w:color="BFBFBF"/>
            </w:tcBorders>
            <w:shd w:val="clear" w:color="auto" w:fill="auto"/>
            <w:noWrap/>
            <w:vAlign w:val="center"/>
            <w:hideMark/>
          </w:tcPr>
          <w:p w14:paraId="772BCA26" w14:textId="28874AE7" w:rsidR="00F42A40" w:rsidRPr="008C1B89" w:rsidRDefault="00F42A40" w:rsidP="009D734D">
            <w:pPr>
              <w:jc w:val="center"/>
              <w:rPr>
                <w:rFonts w:eastAsia="Times New Roman" w:cs="Calibri"/>
                <w:color w:val="000000"/>
                <w:sz w:val="20"/>
                <w:szCs w:val="20"/>
                <w:lang w:eastAsia="en-AU"/>
              </w:rPr>
            </w:pPr>
          </w:p>
        </w:tc>
        <w:tc>
          <w:tcPr>
            <w:tcW w:w="962" w:type="dxa"/>
            <w:tcBorders>
              <w:top w:val="nil"/>
              <w:left w:val="nil"/>
              <w:bottom w:val="single" w:sz="4" w:space="0" w:color="BFBFBF"/>
              <w:right w:val="single" w:sz="4" w:space="0" w:color="BFBFBF"/>
            </w:tcBorders>
            <w:shd w:val="clear" w:color="auto" w:fill="auto"/>
            <w:noWrap/>
            <w:hideMark/>
          </w:tcPr>
          <w:p w14:paraId="65F70E76" w14:textId="2FC6DCBF"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51F2AC0B" w14:textId="7B0F47B3"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5BF0067" w14:textId="143EA6B3"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B7F6A86" w14:textId="428DE07E"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285" w:type="dxa"/>
            <w:vMerge/>
            <w:tcBorders>
              <w:top w:val="single" w:sz="4" w:space="0" w:color="808080"/>
              <w:left w:val="single" w:sz="4" w:space="0" w:color="BFBFBF"/>
              <w:bottom w:val="single" w:sz="4" w:space="0" w:color="BFBFBF"/>
              <w:right w:val="single" w:sz="4" w:space="0" w:color="BFBFBF"/>
            </w:tcBorders>
            <w:vAlign w:val="center"/>
            <w:hideMark/>
          </w:tcPr>
          <w:p w14:paraId="1226813B" w14:textId="77777777" w:rsidR="00F42A40" w:rsidRPr="008C1B89" w:rsidRDefault="00F42A40" w:rsidP="00F42A40">
            <w:pPr>
              <w:rPr>
                <w:rFonts w:eastAsia="Times New Roman" w:cs="Calibri"/>
                <w:color w:val="000000"/>
                <w:sz w:val="20"/>
                <w:szCs w:val="20"/>
                <w:lang w:eastAsia="en-AU"/>
              </w:rPr>
            </w:pPr>
          </w:p>
        </w:tc>
      </w:tr>
      <w:tr w:rsidR="00F42A40" w:rsidRPr="008C1B89" w14:paraId="765DA4CA"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12AC13A9"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 xml:space="preserve">Persistent organic pollutants thermal destruction facility </w:t>
            </w:r>
          </w:p>
        </w:tc>
        <w:tc>
          <w:tcPr>
            <w:tcW w:w="893" w:type="dxa"/>
            <w:tcBorders>
              <w:top w:val="nil"/>
              <w:left w:val="nil"/>
              <w:bottom w:val="single" w:sz="4" w:space="0" w:color="BFBFBF"/>
              <w:right w:val="single" w:sz="4" w:space="0" w:color="BFBFBF"/>
            </w:tcBorders>
            <w:shd w:val="clear" w:color="000000" w:fill="FFFFFF"/>
            <w:noWrap/>
            <w:hideMark/>
          </w:tcPr>
          <w:p w14:paraId="6E7B0732" w14:textId="57EA15D8" w:rsidR="00F42A40" w:rsidRPr="008C1B89" w:rsidRDefault="00F42A40" w:rsidP="00F42A40">
            <w:pPr>
              <w:jc w:val="right"/>
              <w:rPr>
                <w:rFonts w:eastAsia="Times New Roman" w:cs="Calibri"/>
                <w:color w:val="000000"/>
                <w:sz w:val="20"/>
                <w:szCs w:val="20"/>
                <w:lang w:eastAsia="en-AU"/>
              </w:rPr>
            </w:pPr>
            <w:r>
              <w:rPr>
                <w:color w:val="000000"/>
                <w:sz w:val="20"/>
                <w:szCs w:val="20"/>
              </w:rPr>
              <w:t>27</w:t>
            </w:r>
          </w:p>
        </w:tc>
        <w:tc>
          <w:tcPr>
            <w:tcW w:w="958" w:type="dxa"/>
            <w:tcBorders>
              <w:left w:val="nil"/>
              <w:right w:val="single" w:sz="4" w:space="0" w:color="BFBFBF"/>
            </w:tcBorders>
            <w:shd w:val="clear" w:color="auto" w:fill="auto"/>
            <w:noWrap/>
            <w:vAlign w:val="center"/>
            <w:hideMark/>
          </w:tcPr>
          <w:p w14:paraId="00CFE9FA" w14:textId="695156FC" w:rsidR="00F42A40" w:rsidRPr="008C1B89" w:rsidRDefault="00F42A40" w:rsidP="009D734D">
            <w:pPr>
              <w:jc w:val="center"/>
              <w:rPr>
                <w:rFonts w:eastAsia="Times New Roman" w:cs="Calibri"/>
                <w:color w:val="000000"/>
                <w:sz w:val="20"/>
                <w:szCs w:val="20"/>
                <w:lang w:eastAsia="en-AU"/>
              </w:rPr>
            </w:pPr>
          </w:p>
        </w:tc>
        <w:tc>
          <w:tcPr>
            <w:tcW w:w="1025" w:type="dxa"/>
            <w:tcBorders>
              <w:left w:val="nil"/>
              <w:right w:val="single" w:sz="4" w:space="0" w:color="BFBFBF"/>
            </w:tcBorders>
            <w:shd w:val="clear" w:color="auto" w:fill="auto"/>
            <w:noWrap/>
            <w:vAlign w:val="center"/>
            <w:hideMark/>
          </w:tcPr>
          <w:p w14:paraId="434FC302" w14:textId="7082DDEE" w:rsidR="00F42A40" w:rsidRPr="008C1B89" w:rsidRDefault="00F42A40" w:rsidP="009D734D">
            <w:pPr>
              <w:jc w:val="center"/>
              <w:rPr>
                <w:rFonts w:eastAsia="Times New Roman" w:cs="Calibri"/>
                <w:color w:val="000000"/>
                <w:sz w:val="20"/>
                <w:szCs w:val="20"/>
                <w:lang w:eastAsia="en-AU"/>
              </w:rPr>
            </w:pPr>
          </w:p>
        </w:tc>
        <w:tc>
          <w:tcPr>
            <w:tcW w:w="962" w:type="dxa"/>
            <w:tcBorders>
              <w:top w:val="nil"/>
              <w:left w:val="nil"/>
              <w:bottom w:val="single" w:sz="4" w:space="0" w:color="BFBFBF"/>
              <w:right w:val="single" w:sz="4" w:space="0" w:color="BFBFBF"/>
            </w:tcBorders>
            <w:shd w:val="clear" w:color="auto" w:fill="auto"/>
            <w:noWrap/>
            <w:hideMark/>
          </w:tcPr>
          <w:p w14:paraId="65F8FD7D" w14:textId="13C54E0E"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1C21A0F2" w14:textId="13503D77"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5128130B" w14:textId="67727EAF"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096F7081" w14:textId="2E72E135"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285" w:type="dxa"/>
            <w:vMerge/>
            <w:tcBorders>
              <w:top w:val="single" w:sz="4" w:space="0" w:color="808080"/>
              <w:left w:val="single" w:sz="4" w:space="0" w:color="BFBFBF"/>
              <w:bottom w:val="single" w:sz="4" w:space="0" w:color="BFBFBF"/>
              <w:right w:val="single" w:sz="4" w:space="0" w:color="BFBFBF"/>
            </w:tcBorders>
            <w:vAlign w:val="center"/>
            <w:hideMark/>
          </w:tcPr>
          <w:p w14:paraId="133BC0BC" w14:textId="77777777" w:rsidR="00F42A40" w:rsidRPr="008C1B89" w:rsidRDefault="00F42A40" w:rsidP="00F42A40">
            <w:pPr>
              <w:rPr>
                <w:rFonts w:eastAsia="Times New Roman" w:cs="Calibri"/>
                <w:color w:val="000000"/>
                <w:sz w:val="20"/>
                <w:szCs w:val="20"/>
                <w:lang w:eastAsia="en-AU"/>
              </w:rPr>
            </w:pPr>
          </w:p>
        </w:tc>
      </w:tr>
      <w:tr w:rsidR="00F42A40" w:rsidRPr="008C1B89" w14:paraId="1976CDE4"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187D7F1"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Clinical waste facility thermal destruction</w:t>
            </w:r>
          </w:p>
        </w:tc>
        <w:tc>
          <w:tcPr>
            <w:tcW w:w="893" w:type="dxa"/>
            <w:tcBorders>
              <w:top w:val="nil"/>
              <w:left w:val="nil"/>
              <w:bottom w:val="single" w:sz="4" w:space="0" w:color="BFBFBF"/>
              <w:right w:val="single" w:sz="4" w:space="0" w:color="BFBFBF"/>
            </w:tcBorders>
            <w:shd w:val="clear" w:color="000000" w:fill="FFFFFF"/>
            <w:noWrap/>
            <w:hideMark/>
          </w:tcPr>
          <w:p w14:paraId="5373E415" w14:textId="08367BBC" w:rsidR="00F42A40" w:rsidRPr="008C1B89" w:rsidRDefault="00F42A40" w:rsidP="00F42A40">
            <w:pPr>
              <w:jc w:val="right"/>
              <w:rPr>
                <w:rFonts w:eastAsia="Times New Roman" w:cs="Calibri"/>
                <w:color w:val="000000"/>
                <w:sz w:val="20"/>
                <w:szCs w:val="20"/>
                <w:lang w:eastAsia="en-AU"/>
              </w:rPr>
            </w:pPr>
            <w:r>
              <w:rPr>
                <w:color w:val="000000"/>
                <w:sz w:val="20"/>
                <w:szCs w:val="20"/>
              </w:rPr>
              <w:t>2,353</w:t>
            </w:r>
          </w:p>
        </w:tc>
        <w:tc>
          <w:tcPr>
            <w:tcW w:w="958" w:type="dxa"/>
            <w:tcBorders>
              <w:left w:val="nil"/>
              <w:bottom w:val="single" w:sz="4" w:space="0" w:color="BFBFBF"/>
              <w:right w:val="single" w:sz="4" w:space="0" w:color="BFBFBF"/>
            </w:tcBorders>
            <w:shd w:val="clear" w:color="auto" w:fill="auto"/>
            <w:noWrap/>
            <w:vAlign w:val="center"/>
            <w:hideMark/>
          </w:tcPr>
          <w:p w14:paraId="2001E7ED" w14:textId="6788F23D" w:rsidR="00F42A40" w:rsidRPr="008C1B89" w:rsidRDefault="00F42A40" w:rsidP="009D734D">
            <w:pPr>
              <w:jc w:val="center"/>
              <w:rPr>
                <w:rFonts w:eastAsia="Times New Roman" w:cs="Calibri"/>
                <w:color w:val="000000"/>
                <w:sz w:val="20"/>
                <w:szCs w:val="20"/>
                <w:lang w:eastAsia="en-AU"/>
              </w:rPr>
            </w:pPr>
          </w:p>
        </w:tc>
        <w:tc>
          <w:tcPr>
            <w:tcW w:w="1025" w:type="dxa"/>
            <w:tcBorders>
              <w:left w:val="nil"/>
              <w:bottom w:val="single" w:sz="4" w:space="0" w:color="BFBFBF"/>
              <w:right w:val="single" w:sz="4" w:space="0" w:color="BFBFBF"/>
            </w:tcBorders>
            <w:shd w:val="clear" w:color="auto" w:fill="auto"/>
            <w:noWrap/>
            <w:vAlign w:val="center"/>
            <w:hideMark/>
          </w:tcPr>
          <w:p w14:paraId="042B3C6D" w14:textId="0BC1F4E4" w:rsidR="00F42A40" w:rsidRPr="008C1B89" w:rsidRDefault="00F42A40" w:rsidP="009D734D">
            <w:pPr>
              <w:jc w:val="center"/>
              <w:rPr>
                <w:rFonts w:eastAsia="Times New Roman" w:cs="Calibri"/>
                <w:color w:val="000000"/>
                <w:sz w:val="20"/>
                <w:szCs w:val="20"/>
                <w:lang w:eastAsia="en-AU"/>
              </w:rPr>
            </w:pPr>
          </w:p>
        </w:tc>
        <w:tc>
          <w:tcPr>
            <w:tcW w:w="962" w:type="dxa"/>
            <w:tcBorders>
              <w:top w:val="nil"/>
              <w:left w:val="nil"/>
              <w:bottom w:val="single" w:sz="4" w:space="0" w:color="BFBFBF"/>
              <w:right w:val="single" w:sz="4" w:space="0" w:color="BFBFBF"/>
            </w:tcBorders>
            <w:shd w:val="clear" w:color="auto" w:fill="auto"/>
            <w:noWrap/>
            <w:hideMark/>
          </w:tcPr>
          <w:p w14:paraId="09B9E676" w14:textId="4528F29D"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39" w:type="dxa"/>
            <w:tcBorders>
              <w:top w:val="nil"/>
              <w:left w:val="nil"/>
              <w:bottom w:val="single" w:sz="4" w:space="0" w:color="BFBFBF"/>
              <w:right w:val="single" w:sz="4" w:space="0" w:color="BFBFBF"/>
            </w:tcBorders>
            <w:shd w:val="clear" w:color="000000" w:fill="FFFFFF"/>
            <w:noWrap/>
            <w:hideMark/>
          </w:tcPr>
          <w:p w14:paraId="3BCAED92" w14:textId="4EF0427B"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739" w:type="dxa"/>
            <w:tcBorders>
              <w:top w:val="nil"/>
              <w:left w:val="nil"/>
              <w:bottom w:val="single" w:sz="4" w:space="0" w:color="BFBFBF"/>
              <w:right w:val="single" w:sz="4" w:space="0" w:color="BFBFBF"/>
            </w:tcBorders>
            <w:shd w:val="clear" w:color="000000" w:fill="FFFFFF"/>
            <w:noWrap/>
            <w:hideMark/>
          </w:tcPr>
          <w:p w14:paraId="7308D66C" w14:textId="72335387" w:rsidR="00F42A40" w:rsidRPr="008C1B89" w:rsidRDefault="00F42A40" w:rsidP="00F42A40">
            <w:pPr>
              <w:jc w:val="center"/>
              <w:rPr>
                <w:rFonts w:eastAsia="Times New Roman" w:cs="Calibri"/>
                <w:color w:val="000000"/>
                <w:sz w:val="20"/>
                <w:szCs w:val="20"/>
                <w:lang w:eastAsia="en-AU"/>
              </w:rPr>
            </w:pPr>
            <w:r>
              <w:rPr>
                <w:color w:val="000000"/>
                <w:sz w:val="20"/>
                <w:szCs w:val="20"/>
              </w:rPr>
              <w:t>2035</w:t>
            </w:r>
          </w:p>
        </w:tc>
        <w:tc>
          <w:tcPr>
            <w:tcW w:w="739" w:type="dxa"/>
            <w:tcBorders>
              <w:top w:val="nil"/>
              <w:left w:val="nil"/>
              <w:bottom w:val="single" w:sz="4" w:space="0" w:color="BFBFBF"/>
              <w:right w:val="single" w:sz="4" w:space="0" w:color="BFBFBF"/>
            </w:tcBorders>
            <w:shd w:val="clear" w:color="000000" w:fill="FFFFFF"/>
            <w:noWrap/>
            <w:hideMark/>
          </w:tcPr>
          <w:p w14:paraId="3516EC04" w14:textId="361862FF" w:rsidR="00F42A40" w:rsidRPr="008C1B89" w:rsidRDefault="00F42A40" w:rsidP="00F42A40">
            <w:pPr>
              <w:jc w:val="center"/>
              <w:rPr>
                <w:rFonts w:eastAsia="Times New Roman" w:cs="Calibri"/>
                <w:color w:val="000000"/>
                <w:sz w:val="20"/>
                <w:szCs w:val="20"/>
                <w:lang w:eastAsia="en-AU"/>
              </w:rPr>
            </w:pPr>
            <w:r>
              <w:rPr>
                <w:color w:val="000000"/>
                <w:sz w:val="20"/>
                <w:szCs w:val="20"/>
              </w:rPr>
              <w:t>&gt;2037</w:t>
            </w:r>
          </w:p>
        </w:tc>
        <w:tc>
          <w:tcPr>
            <w:tcW w:w="5285" w:type="dxa"/>
            <w:vMerge/>
            <w:tcBorders>
              <w:top w:val="single" w:sz="4" w:space="0" w:color="808080"/>
              <w:left w:val="single" w:sz="4" w:space="0" w:color="BFBFBF"/>
              <w:bottom w:val="single" w:sz="4" w:space="0" w:color="BFBFBF"/>
              <w:right w:val="single" w:sz="4" w:space="0" w:color="BFBFBF"/>
            </w:tcBorders>
            <w:vAlign w:val="center"/>
            <w:hideMark/>
          </w:tcPr>
          <w:p w14:paraId="4B6915D1" w14:textId="77777777" w:rsidR="00F42A40" w:rsidRPr="008C1B89" w:rsidRDefault="00F42A40" w:rsidP="00F42A40">
            <w:pPr>
              <w:rPr>
                <w:rFonts w:eastAsia="Times New Roman" w:cs="Calibri"/>
                <w:color w:val="000000"/>
                <w:sz w:val="20"/>
                <w:szCs w:val="20"/>
                <w:lang w:eastAsia="en-AU"/>
              </w:rPr>
            </w:pPr>
          </w:p>
        </w:tc>
      </w:tr>
      <w:tr w:rsidR="009D734D" w:rsidRPr="008C1B89" w14:paraId="15BE61D7"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7DC56AEE" w14:textId="77777777" w:rsidR="00F42A40" w:rsidRPr="008C1B89" w:rsidRDefault="00F42A40" w:rsidP="00F42A40">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Short-term storage or transfer</w:t>
            </w:r>
          </w:p>
        </w:tc>
        <w:tc>
          <w:tcPr>
            <w:tcW w:w="893" w:type="dxa"/>
            <w:tcBorders>
              <w:top w:val="nil"/>
              <w:left w:val="nil"/>
              <w:bottom w:val="single" w:sz="4" w:space="0" w:color="BFBFBF"/>
              <w:right w:val="single" w:sz="4" w:space="0" w:color="BFBFBF"/>
            </w:tcBorders>
            <w:shd w:val="clear" w:color="000000" w:fill="C5D9F1"/>
            <w:noWrap/>
            <w:hideMark/>
          </w:tcPr>
          <w:p w14:paraId="19A43B21" w14:textId="609A9B57"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958" w:type="dxa"/>
            <w:tcBorders>
              <w:top w:val="nil"/>
              <w:left w:val="nil"/>
              <w:bottom w:val="single" w:sz="4" w:space="0" w:color="BFBFBF"/>
              <w:right w:val="nil"/>
            </w:tcBorders>
            <w:shd w:val="clear" w:color="000000" w:fill="C5D9F1"/>
            <w:noWrap/>
            <w:vAlign w:val="center"/>
            <w:hideMark/>
          </w:tcPr>
          <w:p w14:paraId="4C7D0E78" w14:textId="509A380B" w:rsidR="00F42A40" w:rsidRPr="008C1B89" w:rsidRDefault="00F42A40" w:rsidP="009D734D">
            <w:pPr>
              <w:jc w:val="center"/>
              <w:rPr>
                <w:rFonts w:eastAsia="Times New Roman" w:cs="Calibri"/>
                <w:color w:val="000000"/>
                <w:sz w:val="20"/>
                <w:szCs w:val="20"/>
                <w:lang w:eastAsia="en-AU"/>
              </w:rPr>
            </w:pPr>
          </w:p>
        </w:tc>
        <w:tc>
          <w:tcPr>
            <w:tcW w:w="1025" w:type="dxa"/>
            <w:tcBorders>
              <w:top w:val="nil"/>
              <w:left w:val="nil"/>
              <w:bottom w:val="single" w:sz="4" w:space="0" w:color="BFBFBF"/>
              <w:right w:val="nil"/>
            </w:tcBorders>
            <w:shd w:val="clear" w:color="000000" w:fill="C5D9F1"/>
            <w:noWrap/>
            <w:vAlign w:val="center"/>
            <w:hideMark/>
          </w:tcPr>
          <w:p w14:paraId="74A0F53F" w14:textId="4764EED7" w:rsidR="00F42A40" w:rsidRPr="008C1B89" w:rsidRDefault="00F42A40" w:rsidP="009D734D">
            <w:pPr>
              <w:jc w:val="center"/>
              <w:rPr>
                <w:rFonts w:eastAsia="Times New Roman" w:cs="Calibri"/>
                <w:color w:val="000000"/>
                <w:sz w:val="20"/>
                <w:szCs w:val="20"/>
                <w:lang w:eastAsia="en-AU"/>
              </w:rPr>
            </w:pPr>
          </w:p>
        </w:tc>
        <w:tc>
          <w:tcPr>
            <w:tcW w:w="962" w:type="dxa"/>
            <w:tcBorders>
              <w:top w:val="nil"/>
              <w:left w:val="nil"/>
              <w:bottom w:val="single" w:sz="4" w:space="0" w:color="BFBFBF"/>
              <w:right w:val="single" w:sz="4" w:space="0" w:color="BFBFBF"/>
            </w:tcBorders>
            <w:shd w:val="clear" w:color="000000" w:fill="C5D9F1"/>
            <w:noWrap/>
            <w:hideMark/>
          </w:tcPr>
          <w:p w14:paraId="5DED620E" w14:textId="2EB89707"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39" w:type="dxa"/>
            <w:tcBorders>
              <w:top w:val="nil"/>
              <w:left w:val="nil"/>
              <w:bottom w:val="single" w:sz="4" w:space="0" w:color="BFBFBF"/>
              <w:right w:val="single" w:sz="4" w:space="0" w:color="BFBFBF"/>
            </w:tcBorders>
            <w:shd w:val="clear" w:color="000000" w:fill="C5D9F1"/>
            <w:noWrap/>
            <w:hideMark/>
          </w:tcPr>
          <w:p w14:paraId="76D789C6" w14:textId="7A86A1E9"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39" w:type="dxa"/>
            <w:tcBorders>
              <w:top w:val="nil"/>
              <w:left w:val="nil"/>
              <w:bottom w:val="single" w:sz="4" w:space="0" w:color="BFBFBF"/>
              <w:right w:val="single" w:sz="4" w:space="0" w:color="BFBFBF"/>
            </w:tcBorders>
            <w:shd w:val="clear" w:color="000000" w:fill="C5D9F1"/>
            <w:noWrap/>
            <w:hideMark/>
          </w:tcPr>
          <w:p w14:paraId="45CD7733" w14:textId="19FE5498"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39" w:type="dxa"/>
            <w:tcBorders>
              <w:top w:val="nil"/>
              <w:left w:val="nil"/>
              <w:bottom w:val="single" w:sz="4" w:space="0" w:color="BFBFBF"/>
              <w:right w:val="single" w:sz="4" w:space="0" w:color="BFBFBF"/>
            </w:tcBorders>
            <w:shd w:val="clear" w:color="000000" w:fill="C5D9F1"/>
            <w:noWrap/>
            <w:hideMark/>
          </w:tcPr>
          <w:p w14:paraId="7662CC8C" w14:textId="4D0002E4"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5285" w:type="dxa"/>
            <w:vMerge/>
            <w:tcBorders>
              <w:top w:val="single" w:sz="4" w:space="0" w:color="808080"/>
              <w:left w:val="single" w:sz="4" w:space="0" w:color="BFBFBF"/>
              <w:bottom w:val="single" w:sz="4" w:space="0" w:color="BFBFBF"/>
              <w:right w:val="single" w:sz="4" w:space="0" w:color="BFBFBF"/>
            </w:tcBorders>
            <w:vAlign w:val="center"/>
            <w:hideMark/>
          </w:tcPr>
          <w:p w14:paraId="474DFBB6" w14:textId="77777777" w:rsidR="00F42A40" w:rsidRPr="008C1B89" w:rsidRDefault="00F42A40" w:rsidP="00F42A40">
            <w:pPr>
              <w:rPr>
                <w:rFonts w:eastAsia="Times New Roman" w:cs="Calibri"/>
                <w:color w:val="000000"/>
                <w:sz w:val="20"/>
                <w:szCs w:val="20"/>
                <w:lang w:eastAsia="en-AU"/>
              </w:rPr>
            </w:pPr>
          </w:p>
        </w:tc>
      </w:tr>
      <w:tr w:rsidR="00F42A40" w:rsidRPr="008C1B89" w14:paraId="07AAB9BF"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43BC3E16"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Transfer facility</w:t>
            </w:r>
          </w:p>
        </w:tc>
        <w:tc>
          <w:tcPr>
            <w:tcW w:w="893" w:type="dxa"/>
            <w:tcBorders>
              <w:top w:val="nil"/>
              <w:left w:val="nil"/>
              <w:bottom w:val="single" w:sz="4" w:space="0" w:color="BFBFBF"/>
              <w:right w:val="nil"/>
            </w:tcBorders>
            <w:shd w:val="clear" w:color="000000" w:fill="FFFFFF"/>
            <w:noWrap/>
            <w:hideMark/>
          </w:tcPr>
          <w:p w14:paraId="27A6A8B0" w14:textId="147BBD19" w:rsidR="00F42A40" w:rsidRPr="008C1B89" w:rsidRDefault="00F42A40" w:rsidP="00F42A40">
            <w:pPr>
              <w:jc w:val="right"/>
              <w:rPr>
                <w:rFonts w:eastAsia="Times New Roman" w:cs="Calibri"/>
                <w:color w:val="000000"/>
                <w:sz w:val="20"/>
                <w:szCs w:val="20"/>
                <w:lang w:eastAsia="en-AU"/>
              </w:rPr>
            </w:pPr>
            <w:r>
              <w:rPr>
                <w:color w:val="000000"/>
                <w:sz w:val="20"/>
                <w:szCs w:val="20"/>
              </w:rPr>
              <w:t>140,543</w:t>
            </w:r>
          </w:p>
        </w:tc>
        <w:tc>
          <w:tcPr>
            <w:tcW w:w="958" w:type="dxa"/>
            <w:tcBorders>
              <w:top w:val="nil"/>
              <w:left w:val="nil"/>
              <w:bottom w:val="single" w:sz="4" w:space="0" w:color="BFBFBF"/>
              <w:right w:val="single" w:sz="4" w:space="0" w:color="BFBFBF"/>
            </w:tcBorders>
            <w:shd w:val="clear" w:color="auto" w:fill="auto"/>
            <w:noWrap/>
            <w:vAlign w:val="center"/>
            <w:hideMark/>
          </w:tcPr>
          <w:p w14:paraId="3FA2217C" w14:textId="2ADC836E"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25" w:type="dxa"/>
            <w:tcBorders>
              <w:top w:val="nil"/>
              <w:left w:val="nil"/>
              <w:bottom w:val="single" w:sz="4" w:space="0" w:color="BFBFBF"/>
              <w:right w:val="single" w:sz="4" w:space="0" w:color="BFBFBF"/>
            </w:tcBorders>
            <w:shd w:val="clear" w:color="auto" w:fill="auto"/>
            <w:noWrap/>
            <w:vAlign w:val="center"/>
            <w:hideMark/>
          </w:tcPr>
          <w:p w14:paraId="49EB58B4" w14:textId="68AADA11"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62" w:type="dxa"/>
            <w:tcBorders>
              <w:top w:val="nil"/>
              <w:left w:val="nil"/>
              <w:bottom w:val="single" w:sz="4" w:space="0" w:color="BFBFBF"/>
              <w:right w:val="single" w:sz="4" w:space="0" w:color="BFBFBF"/>
            </w:tcBorders>
            <w:shd w:val="clear" w:color="auto" w:fill="auto"/>
            <w:noWrap/>
            <w:hideMark/>
          </w:tcPr>
          <w:p w14:paraId="64B6D63E" w14:textId="4F3BF8AE" w:rsidR="00F42A40" w:rsidRPr="008C1B89" w:rsidRDefault="00F42A40" w:rsidP="00F42A40">
            <w:pPr>
              <w:jc w:val="center"/>
              <w:rPr>
                <w:rFonts w:eastAsia="Times New Roman" w:cs="Calibri"/>
                <w:color w:val="000000"/>
                <w:sz w:val="20"/>
                <w:szCs w:val="20"/>
                <w:lang w:eastAsia="en-AU"/>
              </w:rPr>
            </w:pPr>
            <w:r>
              <w:rPr>
                <w:color w:val="000000"/>
                <w:sz w:val="20"/>
                <w:szCs w:val="20"/>
              </w:rPr>
              <w:t>Good</w:t>
            </w:r>
          </w:p>
        </w:tc>
        <w:tc>
          <w:tcPr>
            <w:tcW w:w="739" w:type="dxa"/>
            <w:tcBorders>
              <w:top w:val="nil"/>
              <w:left w:val="nil"/>
              <w:bottom w:val="single" w:sz="4" w:space="0" w:color="BFBFBF"/>
              <w:right w:val="single" w:sz="4" w:space="0" w:color="BFBFBF"/>
            </w:tcBorders>
            <w:shd w:val="clear" w:color="000000" w:fill="FFFFFF"/>
            <w:noWrap/>
            <w:hideMark/>
          </w:tcPr>
          <w:p w14:paraId="5545F518" w14:textId="4AC01A8E"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739" w:type="dxa"/>
            <w:tcBorders>
              <w:top w:val="nil"/>
              <w:left w:val="nil"/>
              <w:bottom w:val="single" w:sz="4" w:space="0" w:color="BFBFBF"/>
              <w:right w:val="single" w:sz="4" w:space="0" w:color="BFBFBF"/>
            </w:tcBorders>
            <w:shd w:val="clear" w:color="000000" w:fill="FFFFFF"/>
            <w:noWrap/>
            <w:hideMark/>
          </w:tcPr>
          <w:p w14:paraId="77D87B1F" w14:textId="70F6D3B3"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739" w:type="dxa"/>
            <w:tcBorders>
              <w:top w:val="nil"/>
              <w:left w:val="nil"/>
              <w:bottom w:val="single" w:sz="4" w:space="0" w:color="BFBFBF"/>
              <w:right w:val="single" w:sz="4" w:space="0" w:color="BFBFBF"/>
            </w:tcBorders>
            <w:shd w:val="clear" w:color="000000" w:fill="FFFFFF"/>
            <w:noWrap/>
            <w:hideMark/>
          </w:tcPr>
          <w:p w14:paraId="46F8598F" w14:textId="4824670C" w:rsidR="00F42A40" w:rsidRPr="008C1B89" w:rsidRDefault="00F42A40" w:rsidP="00F42A40">
            <w:pPr>
              <w:jc w:val="center"/>
              <w:rPr>
                <w:rFonts w:eastAsia="Times New Roman" w:cs="Calibri"/>
                <w:color w:val="000000"/>
                <w:sz w:val="20"/>
                <w:szCs w:val="20"/>
                <w:lang w:eastAsia="en-AU"/>
              </w:rPr>
            </w:pPr>
            <w:r>
              <w:rPr>
                <w:color w:val="000000"/>
                <w:sz w:val="20"/>
                <w:szCs w:val="20"/>
              </w:rPr>
              <w:t>2018</w:t>
            </w:r>
          </w:p>
        </w:tc>
        <w:tc>
          <w:tcPr>
            <w:tcW w:w="5285" w:type="dxa"/>
            <w:vMerge/>
            <w:tcBorders>
              <w:top w:val="single" w:sz="4" w:space="0" w:color="808080"/>
              <w:left w:val="single" w:sz="4" w:space="0" w:color="BFBFBF"/>
              <w:bottom w:val="single" w:sz="4" w:space="0" w:color="BFBFBF"/>
              <w:right w:val="single" w:sz="4" w:space="0" w:color="BFBFBF"/>
            </w:tcBorders>
            <w:vAlign w:val="center"/>
            <w:hideMark/>
          </w:tcPr>
          <w:p w14:paraId="4090A22F" w14:textId="77777777" w:rsidR="00F42A40" w:rsidRPr="008C1B89" w:rsidRDefault="00F42A40" w:rsidP="00F42A40">
            <w:pPr>
              <w:rPr>
                <w:rFonts w:eastAsia="Times New Roman" w:cs="Calibri"/>
                <w:color w:val="000000"/>
                <w:sz w:val="20"/>
                <w:szCs w:val="20"/>
                <w:lang w:eastAsia="en-AU"/>
              </w:rPr>
            </w:pPr>
          </w:p>
        </w:tc>
      </w:tr>
      <w:tr w:rsidR="009D734D" w:rsidRPr="008C1B89" w14:paraId="24FCB977"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3BA4919B" w14:textId="77777777" w:rsidR="00F42A40" w:rsidRPr="008C1B89" w:rsidRDefault="00F42A40" w:rsidP="00F42A40">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Long-term storage</w:t>
            </w:r>
          </w:p>
        </w:tc>
        <w:tc>
          <w:tcPr>
            <w:tcW w:w="893" w:type="dxa"/>
            <w:tcBorders>
              <w:top w:val="nil"/>
              <w:left w:val="nil"/>
              <w:bottom w:val="single" w:sz="4" w:space="0" w:color="BFBFBF"/>
              <w:right w:val="single" w:sz="4" w:space="0" w:color="BFBFBF"/>
            </w:tcBorders>
            <w:shd w:val="clear" w:color="000000" w:fill="C5D9F1"/>
            <w:noWrap/>
            <w:hideMark/>
          </w:tcPr>
          <w:p w14:paraId="3372AA25" w14:textId="37921C4A"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958" w:type="dxa"/>
            <w:tcBorders>
              <w:top w:val="nil"/>
              <w:left w:val="nil"/>
              <w:bottom w:val="single" w:sz="4" w:space="0" w:color="BFBFBF"/>
              <w:right w:val="nil"/>
            </w:tcBorders>
            <w:shd w:val="clear" w:color="000000" w:fill="C5D9F1"/>
            <w:noWrap/>
            <w:vAlign w:val="center"/>
            <w:hideMark/>
          </w:tcPr>
          <w:p w14:paraId="50F6282E" w14:textId="062B76B7" w:rsidR="00F42A40" w:rsidRPr="008C1B89" w:rsidRDefault="00F42A40" w:rsidP="009D734D">
            <w:pPr>
              <w:jc w:val="center"/>
              <w:rPr>
                <w:rFonts w:eastAsia="Times New Roman" w:cs="Calibri"/>
                <w:color w:val="000000"/>
                <w:sz w:val="20"/>
                <w:szCs w:val="20"/>
                <w:lang w:eastAsia="en-AU"/>
              </w:rPr>
            </w:pPr>
          </w:p>
        </w:tc>
        <w:tc>
          <w:tcPr>
            <w:tcW w:w="1025" w:type="dxa"/>
            <w:tcBorders>
              <w:top w:val="nil"/>
              <w:left w:val="nil"/>
              <w:bottom w:val="single" w:sz="4" w:space="0" w:color="BFBFBF"/>
              <w:right w:val="nil"/>
            </w:tcBorders>
            <w:shd w:val="clear" w:color="000000" w:fill="C5D9F1"/>
            <w:noWrap/>
            <w:vAlign w:val="center"/>
            <w:hideMark/>
          </w:tcPr>
          <w:p w14:paraId="0E704548" w14:textId="4C75FE55" w:rsidR="00F42A40" w:rsidRPr="008C1B89" w:rsidRDefault="00F42A40" w:rsidP="009D734D">
            <w:pPr>
              <w:jc w:val="center"/>
              <w:rPr>
                <w:rFonts w:eastAsia="Times New Roman" w:cs="Calibri"/>
                <w:color w:val="000000"/>
                <w:sz w:val="20"/>
                <w:szCs w:val="20"/>
                <w:lang w:eastAsia="en-AU"/>
              </w:rPr>
            </w:pPr>
          </w:p>
        </w:tc>
        <w:tc>
          <w:tcPr>
            <w:tcW w:w="962" w:type="dxa"/>
            <w:tcBorders>
              <w:top w:val="nil"/>
              <w:left w:val="nil"/>
              <w:bottom w:val="single" w:sz="4" w:space="0" w:color="BFBFBF"/>
              <w:right w:val="single" w:sz="4" w:space="0" w:color="BFBFBF"/>
            </w:tcBorders>
            <w:shd w:val="clear" w:color="000000" w:fill="C5D9F1"/>
            <w:noWrap/>
            <w:hideMark/>
          </w:tcPr>
          <w:p w14:paraId="041E8319" w14:textId="029EC7AF"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39" w:type="dxa"/>
            <w:tcBorders>
              <w:top w:val="nil"/>
              <w:left w:val="nil"/>
              <w:bottom w:val="single" w:sz="4" w:space="0" w:color="BFBFBF"/>
              <w:right w:val="single" w:sz="4" w:space="0" w:color="BFBFBF"/>
            </w:tcBorders>
            <w:shd w:val="clear" w:color="000000" w:fill="C5D9F1"/>
            <w:noWrap/>
            <w:hideMark/>
          </w:tcPr>
          <w:p w14:paraId="21980271" w14:textId="205F40D2"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39" w:type="dxa"/>
            <w:tcBorders>
              <w:top w:val="nil"/>
              <w:left w:val="nil"/>
              <w:bottom w:val="single" w:sz="4" w:space="0" w:color="BFBFBF"/>
              <w:right w:val="single" w:sz="4" w:space="0" w:color="BFBFBF"/>
            </w:tcBorders>
            <w:shd w:val="clear" w:color="000000" w:fill="C5D9F1"/>
            <w:noWrap/>
            <w:hideMark/>
          </w:tcPr>
          <w:p w14:paraId="5FA270E8" w14:textId="01466D45"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739" w:type="dxa"/>
            <w:tcBorders>
              <w:top w:val="nil"/>
              <w:left w:val="nil"/>
              <w:bottom w:val="single" w:sz="4" w:space="0" w:color="BFBFBF"/>
              <w:right w:val="single" w:sz="4" w:space="0" w:color="BFBFBF"/>
            </w:tcBorders>
            <w:shd w:val="clear" w:color="000000" w:fill="C5D9F1"/>
            <w:noWrap/>
            <w:hideMark/>
          </w:tcPr>
          <w:p w14:paraId="75D25589" w14:textId="05DAA44C" w:rsidR="00F42A40" w:rsidRPr="008C1B89" w:rsidRDefault="00F42A40" w:rsidP="00F42A40">
            <w:pPr>
              <w:rPr>
                <w:rFonts w:eastAsia="Times New Roman" w:cs="Calibri"/>
                <w:color w:val="000000"/>
                <w:sz w:val="20"/>
                <w:szCs w:val="20"/>
                <w:lang w:eastAsia="en-AU"/>
              </w:rPr>
            </w:pPr>
            <w:r>
              <w:rPr>
                <w:color w:val="000000"/>
                <w:sz w:val="20"/>
                <w:szCs w:val="20"/>
              </w:rPr>
              <w:t> </w:t>
            </w:r>
          </w:p>
        </w:tc>
        <w:tc>
          <w:tcPr>
            <w:tcW w:w="5285" w:type="dxa"/>
            <w:vMerge/>
            <w:tcBorders>
              <w:top w:val="single" w:sz="4" w:space="0" w:color="808080"/>
              <w:left w:val="single" w:sz="4" w:space="0" w:color="BFBFBF"/>
              <w:bottom w:val="single" w:sz="4" w:space="0" w:color="BFBFBF"/>
              <w:right w:val="single" w:sz="4" w:space="0" w:color="BFBFBF"/>
            </w:tcBorders>
            <w:vAlign w:val="center"/>
            <w:hideMark/>
          </w:tcPr>
          <w:p w14:paraId="21286022" w14:textId="77777777" w:rsidR="00F42A40" w:rsidRPr="008C1B89" w:rsidRDefault="00F42A40" w:rsidP="00F42A40">
            <w:pPr>
              <w:rPr>
                <w:rFonts w:eastAsia="Times New Roman" w:cs="Calibri"/>
                <w:color w:val="000000"/>
                <w:sz w:val="20"/>
                <w:szCs w:val="20"/>
                <w:lang w:eastAsia="en-AU"/>
              </w:rPr>
            </w:pPr>
          </w:p>
        </w:tc>
      </w:tr>
      <w:tr w:rsidR="00F42A40" w:rsidRPr="008C1B89" w14:paraId="4FC147E8"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0E63DE27"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Long-term on-site storage</w:t>
            </w:r>
          </w:p>
        </w:tc>
        <w:tc>
          <w:tcPr>
            <w:tcW w:w="893" w:type="dxa"/>
            <w:tcBorders>
              <w:top w:val="nil"/>
              <w:left w:val="nil"/>
              <w:bottom w:val="single" w:sz="4" w:space="0" w:color="BFBFBF"/>
              <w:right w:val="single" w:sz="4" w:space="0" w:color="BFBFBF"/>
            </w:tcBorders>
            <w:shd w:val="clear" w:color="000000" w:fill="FFFFFF"/>
            <w:noWrap/>
            <w:hideMark/>
          </w:tcPr>
          <w:p w14:paraId="284E426E" w14:textId="2FDD9BE1" w:rsidR="00F42A40" w:rsidRPr="008C1B89" w:rsidRDefault="00F42A40" w:rsidP="00F42A40">
            <w:pPr>
              <w:jc w:val="right"/>
              <w:rPr>
                <w:rFonts w:eastAsia="Times New Roman" w:cs="Calibri"/>
                <w:color w:val="000000"/>
                <w:sz w:val="20"/>
                <w:szCs w:val="20"/>
                <w:lang w:eastAsia="en-AU"/>
              </w:rPr>
            </w:pPr>
            <w:r>
              <w:rPr>
                <w:color w:val="000000"/>
                <w:sz w:val="20"/>
                <w:szCs w:val="20"/>
              </w:rPr>
              <w:t>0</w:t>
            </w:r>
          </w:p>
        </w:tc>
        <w:tc>
          <w:tcPr>
            <w:tcW w:w="958" w:type="dxa"/>
            <w:tcBorders>
              <w:top w:val="nil"/>
              <w:left w:val="nil"/>
              <w:right w:val="single" w:sz="4" w:space="0" w:color="BFBFBF"/>
            </w:tcBorders>
            <w:shd w:val="clear" w:color="auto" w:fill="auto"/>
            <w:noWrap/>
            <w:vAlign w:val="center"/>
            <w:hideMark/>
          </w:tcPr>
          <w:p w14:paraId="5D573BA5" w14:textId="7D7CA679"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1025" w:type="dxa"/>
            <w:tcBorders>
              <w:top w:val="nil"/>
              <w:left w:val="nil"/>
              <w:right w:val="single" w:sz="4" w:space="0" w:color="BFBFBF"/>
            </w:tcBorders>
            <w:shd w:val="clear" w:color="auto" w:fill="auto"/>
            <w:noWrap/>
            <w:vAlign w:val="center"/>
            <w:hideMark/>
          </w:tcPr>
          <w:p w14:paraId="7697FFEE" w14:textId="320B6A2B" w:rsidR="00F42A40" w:rsidRPr="008C1B89" w:rsidRDefault="00F42A40" w:rsidP="009D734D">
            <w:pPr>
              <w:jc w:val="center"/>
              <w:rPr>
                <w:rFonts w:eastAsia="Times New Roman" w:cs="Calibri"/>
                <w:color w:val="000000"/>
                <w:sz w:val="20"/>
                <w:szCs w:val="20"/>
                <w:lang w:eastAsia="en-AU"/>
              </w:rPr>
            </w:pPr>
            <w:r w:rsidRPr="004909AC">
              <w:rPr>
                <w:rFonts w:eastAsia="Times New Roman" w:cs="Calibri"/>
                <w:color w:val="000000"/>
                <w:sz w:val="20"/>
                <w:szCs w:val="20"/>
                <w:highlight w:val="red"/>
                <w:lang w:eastAsia="en-AU"/>
              </w:rPr>
              <w:t>CIC</w:t>
            </w:r>
          </w:p>
        </w:tc>
        <w:tc>
          <w:tcPr>
            <w:tcW w:w="962" w:type="dxa"/>
            <w:tcBorders>
              <w:top w:val="nil"/>
              <w:left w:val="nil"/>
              <w:bottom w:val="single" w:sz="4" w:space="0" w:color="BFBFBF"/>
              <w:right w:val="single" w:sz="4" w:space="0" w:color="BFBFBF"/>
            </w:tcBorders>
            <w:shd w:val="clear" w:color="auto" w:fill="auto"/>
            <w:noWrap/>
            <w:hideMark/>
          </w:tcPr>
          <w:p w14:paraId="4042493E" w14:textId="791CB773"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4A00AC0F" w14:textId="5DB6BC13"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16D5A1CE" w14:textId="465A0423"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1CAD13F6" w14:textId="4D1F9E2E"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285" w:type="dxa"/>
            <w:vMerge/>
            <w:tcBorders>
              <w:top w:val="single" w:sz="4" w:space="0" w:color="808080"/>
              <w:left w:val="single" w:sz="4" w:space="0" w:color="BFBFBF"/>
              <w:bottom w:val="single" w:sz="4" w:space="0" w:color="BFBFBF"/>
              <w:right w:val="single" w:sz="4" w:space="0" w:color="BFBFBF"/>
            </w:tcBorders>
            <w:vAlign w:val="center"/>
            <w:hideMark/>
          </w:tcPr>
          <w:p w14:paraId="36E379B8" w14:textId="77777777" w:rsidR="00F42A40" w:rsidRPr="008C1B89" w:rsidRDefault="00F42A40" w:rsidP="00F42A40">
            <w:pPr>
              <w:rPr>
                <w:rFonts w:eastAsia="Times New Roman" w:cs="Calibri"/>
                <w:color w:val="000000"/>
                <w:sz w:val="20"/>
                <w:szCs w:val="20"/>
                <w:lang w:eastAsia="en-AU"/>
              </w:rPr>
            </w:pPr>
          </w:p>
        </w:tc>
      </w:tr>
      <w:tr w:rsidR="00F42A40" w:rsidRPr="008C1B89" w14:paraId="0E95DE81" w14:textId="77777777" w:rsidTr="009D734D">
        <w:trPr>
          <w:trHeight w:val="255"/>
        </w:trPr>
        <w:tc>
          <w:tcPr>
            <w:tcW w:w="2830" w:type="dxa"/>
            <w:tcBorders>
              <w:top w:val="nil"/>
              <w:left w:val="single" w:sz="4" w:space="0" w:color="BFBFBF"/>
              <w:bottom w:val="single" w:sz="4" w:space="0" w:color="BFBFBF"/>
              <w:right w:val="single" w:sz="4" w:space="0" w:color="BFBFBF"/>
            </w:tcBorders>
            <w:shd w:val="clear" w:color="auto" w:fill="auto"/>
            <w:noWrap/>
            <w:vAlign w:val="center"/>
            <w:hideMark/>
          </w:tcPr>
          <w:p w14:paraId="44F074BC" w14:textId="77777777" w:rsidR="00F42A40" w:rsidRPr="008C1B89" w:rsidRDefault="00F42A40" w:rsidP="00F42A40">
            <w:pPr>
              <w:jc w:val="right"/>
              <w:rPr>
                <w:rFonts w:eastAsia="Times New Roman" w:cs="Calibri"/>
                <w:color w:val="000000"/>
                <w:sz w:val="20"/>
                <w:szCs w:val="20"/>
                <w:lang w:eastAsia="en-AU"/>
              </w:rPr>
            </w:pPr>
            <w:r w:rsidRPr="008C1B89">
              <w:rPr>
                <w:rFonts w:eastAsia="Times New Roman" w:cs="Calibri"/>
                <w:color w:val="000000"/>
                <w:sz w:val="20"/>
                <w:szCs w:val="20"/>
                <w:lang w:eastAsia="en-AU"/>
              </w:rPr>
              <w:t>Long-term isolation facility</w:t>
            </w:r>
          </w:p>
        </w:tc>
        <w:tc>
          <w:tcPr>
            <w:tcW w:w="893" w:type="dxa"/>
            <w:tcBorders>
              <w:top w:val="nil"/>
              <w:left w:val="nil"/>
              <w:bottom w:val="single" w:sz="4" w:space="0" w:color="BFBFBF"/>
              <w:right w:val="single" w:sz="4" w:space="0" w:color="BFBFBF"/>
            </w:tcBorders>
            <w:shd w:val="clear" w:color="000000" w:fill="FFFFFF"/>
            <w:noWrap/>
            <w:hideMark/>
          </w:tcPr>
          <w:p w14:paraId="57BB27E3" w14:textId="510433E9" w:rsidR="00F42A40" w:rsidRPr="008C1B89" w:rsidRDefault="00F42A40" w:rsidP="00F42A40">
            <w:pPr>
              <w:jc w:val="right"/>
              <w:rPr>
                <w:rFonts w:eastAsia="Times New Roman" w:cs="Calibri"/>
                <w:color w:val="000000"/>
                <w:sz w:val="20"/>
                <w:szCs w:val="20"/>
                <w:lang w:eastAsia="en-AU"/>
              </w:rPr>
            </w:pPr>
            <w:r>
              <w:rPr>
                <w:color w:val="000000"/>
                <w:sz w:val="20"/>
                <w:szCs w:val="20"/>
              </w:rPr>
              <w:t>0</w:t>
            </w:r>
          </w:p>
        </w:tc>
        <w:tc>
          <w:tcPr>
            <w:tcW w:w="958" w:type="dxa"/>
            <w:tcBorders>
              <w:left w:val="nil"/>
              <w:bottom w:val="single" w:sz="4" w:space="0" w:color="BFBFBF"/>
              <w:right w:val="single" w:sz="4" w:space="0" w:color="BFBFBF"/>
            </w:tcBorders>
            <w:shd w:val="clear" w:color="auto" w:fill="auto"/>
            <w:noWrap/>
            <w:vAlign w:val="center"/>
            <w:hideMark/>
          </w:tcPr>
          <w:p w14:paraId="41F61644" w14:textId="7AF4B0FC" w:rsidR="00F42A40" w:rsidRPr="008C1B89" w:rsidRDefault="00F42A40" w:rsidP="009D734D">
            <w:pPr>
              <w:jc w:val="center"/>
              <w:rPr>
                <w:rFonts w:eastAsia="Times New Roman" w:cs="Calibri"/>
                <w:color w:val="000000"/>
                <w:sz w:val="20"/>
                <w:szCs w:val="20"/>
                <w:lang w:eastAsia="en-AU"/>
              </w:rPr>
            </w:pPr>
          </w:p>
        </w:tc>
        <w:tc>
          <w:tcPr>
            <w:tcW w:w="1025" w:type="dxa"/>
            <w:tcBorders>
              <w:left w:val="nil"/>
              <w:bottom w:val="single" w:sz="4" w:space="0" w:color="BFBFBF"/>
              <w:right w:val="single" w:sz="4" w:space="0" w:color="BFBFBF"/>
            </w:tcBorders>
            <w:shd w:val="clear" w:color="auto" w:fill="auto"/>
            <w:noWrap/>
            <w:vAlign w:val="center"/>
            <w:hideMark/>
          </w:tcPr>
          <w:p w14:paraId="18C110A3" w14:textId="1836AAB0" w:rsidR="00F42A40" w:rsidRPr="008C1B89" w:rsidRDefault="00F42A40" w:rsidP="009D734D">
            <w:pPr>
              <w:jc w:val="center"/>
              <w:rPr>
                <w:rFonts w:eastAsia="Times New Roman" w:cs="Calibri"/>
                <w:color w:val="000000"/>
                <w:sz w:val="20"/>
                <w:szCs w:val="20"/>
                <w:lang w:eastAsia="en-AU"/>
              </w:rPr>
            </w:pPr>
          </w:p>
        </w:tc>
        <w:tc>
          <w:tcPr>
            <w:tcW w:w="962" w:type="dxa"/>
            <w:tcBorders>
              <w:top w:val="nil"/>
              <w:left w:val="nil"/>
              <w:bottom w:val="single" w:sz="4" w:space="0" w:color="BFBFBF"/>
              <w:right w:val="single" w:sz="4" w:space="0" w:color="BFBFBF"/>
            </w:tcBorders>
            <w:shd w:val="clear" w:color="auto" w:fill="auto"/>
            <w:noWrap/>
            <w:hideMark/>
          </w:tcPr>
          <w:p w14:paraId="41A80033" w14:textId="082353ED" w:rsidR="00F42A40" w:rsidRPr="008C1B89" w:rsidRDefault="00F42A40" w:rsidP="00F42A40">
            <w:pPr>
              <w:jc w:val="center"/>
              <w:rPr>
                <w:rFonts w:eastAsia="Times New Roman" w:cs="Calibri"/>
                <w:color w:val="000000"/>
                <w:sz w:val="20"/>
                <w:szCs w:val="20"/>
                <w:lang w:eastAsia="en-AU"/>
              </w:rPr>
            </w:pPr>
            <w:r>
              <w:rPr>
                <w:color w:val="000000"/>
                <w:sz w:val="20"/>
                <w:szCs w:val="20"/>
              </w:rPr>
              <w:t>n/a</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651C8D33" w14:textId="4E575774"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1361D438" w14:textId="07C2EB5D"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739" w:type="dxa"/>
            <w:tcBorders>
              <w:top w:val="single" w:sz="4" w:space="0" w:color="BFBFBF"/>
              <w:left w:val="single" w:sz="4" w:space="0" w:color="BFBFBF"/>
              <w:bottom w:val="single" w:sz="4" w:space="0" w:color="BFBFBF"/>
              <w:right w:val="single" w:sz="4" w:space="0" w:color="BFBFBF"/>
            </w:tcBorders>
            <w:shd w:val="clear" w:color="000000" w:fill="FFFFFF"/>
            <w:noWrap/>
            <w:hideMark/>
          </w:tcPr>
          <w:p w14:paraId="2B171108" w14:textId="5BCC09AD" w:rsidR="00F42A40" w:rsidRPr="008C1B89" w:rsidRDefault="00F42A40" w:rsidP="00F42A40">
            <w:pPr>
              <w:jc w:val="center"/>
              <w:rPr>
                <w:rFonts w:eastAsia="Times New Roman" w:cs="Calibri"/>
                <w:color w:val="808080"/>
                <w:sz w:val="20"/>
                <w:szCs w:val="20"/>
                <w:lang w:eastAsia="en-AU"/>
              </w:rPr>
            </w:pPr>
            <w:r>
              <w:rPr>
                <w:color w:val="808080"/>
                <w:sz w:val="20"/>
                <w:szCs w:val="20"/>
              </w:rPr>
              <w:t>no inf.</w:t>
            </w:r>
          </w:p>
        </w:tc>
        <w:tc>
          <w:tcPr>
            <w:tcW w:w="5285" w:type="dxa"/>
            <w:vMerge/>
            <w:tcBorders>
              <w:top w:val="single" w:sz="4" w:space="0" w:color="808080"/>
              <w:left w:val="single" w:sz="4" w:space="0" w:color="BFBFBF"/>
              <w:bottom w:val="single" w:sz="4" w:space="0" w:color="BFBFBF"/>
              <w:right w:val="single" w:sz="4" w:space="0" w:color="BFBFBF"/>
            </w:tcBorders>
            <w:vAlign w:val="center"/>
            <w:hideMark/>
          </w:tcPr>
          <w:p w14:paraId="2EF52B96" w14:textId="77777777" w:rsidR="00F42A40" w:rsidRPr="008C1B89" w:rsidRDefault="00F42A40" w:rsidP="00F42A40">
            <w:pPr>
              <w:rPr>
                <w:rFonts w:eastAsia="Times New Roman" w:cs="Calibri"/>
                <w:color w:val="000000"/>
                <w:sz w:val="20"/>
                <w:szCs w:val="20"/>
                <w:lang w:eastAsia="en-AU"/>
              </w:rPr>
            </w:pPr>
          </w:p>
        </w:tc>
      </w:tr>
      <w:tr w:rsidR="00EE2A88" w:rsidRPr="008C1B89" w14:paraId="4FFCA04D" w14:textId="77777777" w:rsidTr="008C1B89">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2685B981" w14:textId="77777777" w:rsidR="00EE2A88" w:rsidRPr="008C1B89" w:rsidRDefault="00EE2A88" w:rsidP="00EE2A88">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Total net Landfill fac. (NEPM code N, T)</w:t>
            </w:r>
          </w:p>
        </w:tc>
        <w:tc>
          <w:tcPr>
            <w:tcW w:w="893" w:type="dxa"/>
            <w:tcBorders>
              <w:top w:val="nil"/>
              <w:left w:val="nil"/>
              <w:bottom w:val="single" w:sz="4" w:space="0" w:color="BFBFBF"/>
              <w:right w:val="nil"/>
            </w:tcBorders>
            <w:shd w:val="clear" w:color="000000" w:fill="C5D9F1"/>
            <w:noWrap/>
            <w:hideMark/>
          </w:tcPr>
          <w:p w14:paraId="732A5E01" w14:textId="3D9C2935" w:rsidR="00EE2A88" w:rsidRPr="008C1B89" w:rsidRDefault="00EE2A88" w:rsidP="00EE2A88">
            <w:pPr>
              <w:jc w:val="right"/>
              <w:rPr>
                <w:rFonts w:eastAsia="Times New Roman" w:cs="Calibri"/>
                <w:color w:val="000000"/>
                <w:sz w:val="20"/>
                <w:szCs w:val="20"/>
                <w:lang w:eastAsia="en-AU"/>
              </w:rPr>
            </w:pPr>
            <w:r>
              <w:rPr>
                <w:color w:val="000000"/>
                <w:sz w:val="20"/>
                <w:szCs w:val="20"/>
              </w:rPr>
              <w:t>432,744</w:t>
            </w:r>
          </w:p>
        </w:tc>
        <w:tc>
          <w:tcPr>
            <w:tcW w:w="958" w:type="dxa"/>
            <w:tcBorders>
              <w:top w:val="nil"/>
              <w:left w:val="nil"/>
              <w:bottom w:val="nil"/>
              <w:right w:val="nil"/>
            </w:tcBorders>
            <w:shd w:val="clear" w:color="000000" w:fill="F2F2F2"/>
            <w:noWrap/>
            <w:hideMark/>
          </w:tcPr>
          <w:p w14:paraId="3B654BE4" w14:textId="2AE5BDA8"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1025" w:type="dxa"/>
            <w:tcBorders>
              <w:top w:val="nil"/>
              <w:left w:val="nil"/>
              <w:bottom w:val="nil"/>
              <w:right w:val="nil"/>
            </w:tcBorders>
            <w:shd w:val="clear" w:color="000000" w:fill="F2F2F2"/>
            <w:noWrap/>
            <w:hideMark/>
          </w:tcPr>
          <w:p w14:paraId="381D49AA" w14:textId="4AA9A2FB"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962" w:type="dxa"/>
            <w:tcBorders>
              <w:top w:val="nil"/>
              <w:left w:val="nil"/>
              <w:bottom w:val="nil"/>
              <w:right w:val="nil"/>
            </w:tcBorders>
            <w:shd w:val="clear" w:color="000000" w:fill="F2F2F2"/>
            <w:noWrap/>
            <w:hideMark/>
          </w:tcPr>
          <w:p w14:paraId="569FBE72" w14:textId="68DE65ED"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39" w:type="dxa"/>
            <w:tcBorders>
              <w:top w:val="nil"/>
              <w:left w:val="nil"/>
              <w:bottom w:val="nil"/>
              <w:right w:val="nil"/>
            </w:tcBorders>
            <w:shd w:val="clear" w:color="000000" w:fill="F2F2F2"/>
            <w:noWrap/>
            <w:hideMark/>
          </w:tcPr>
          <w:p w14:paraId="495A0463" w14:textId="36F920C5"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39" w:type="dxa"/>
            <w:tcBorders>
              <w:top w:val="nil"/>
              <w:left w:val="nil"/>
              <w:bottom w:val="nil"/>
              <w:right w:val="nil"/>
            </w:tcBorders>
            <w:shd w:val="clear" w:color="000000" w:fill="F2F2F2"/>
            <w:noWrap/>
            <w:hideMark/>
          </w:tcPr>
          <w:p w14:paraId="1D67362A" w14:textId="0E6B0015"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39" w:type="dxa"/>
            <w:tcBorders>
              <w:top w:val="nil"/>
              <w:left w:val="nil"/>
              <w:bottom w:val="nil"/>
              <w:right w:val="nil"/>
            </w:tcBorders>
            <w:shd w:val="clear" w:color="000000" w:fill="F2F2F2"/>
            <w:noWrap/>
            <w:hideMark/>
          </w:tcPr>
          <w:p w14:paraId="1B95A7D3" w14:textId="39EEE94A"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5285" w:type="dxa"/>
            <w:tcBorders>
              <w:top w:val="nil"/>
              <w:left w:val="nil"/>
              <w:bottom w:val="nil"/>
              <w:right w:val="single" w:sz="4" w:space="0" w:color="BFBFBF"/>
            </w:tcBorders>
            <w:shd w:val="clear" w:color="000000" w:fill="F2F2F2"/>
            <w:noWrap/>
            <w:hideMark/>
          </w:tcPr>
          <w:p w14:paraId="575416D4" w14:textId="77777777" w:rsidR="00EE2A88" w:rsidRPr="008C1B89" w:rsidRDefault="00EE2A88" w:rsidP="00EE2A88">
            <w:pPr>
              <w:rPr>
                <w:rFonts w:eastAsia="Times New Roman" w:cs="Calibri"/>
                <w:color w:val="000000"/>
                <w:sz w:val="20"/>
                <w:szCs w:val="20"/>
                <w:lang w:eastAsia="en-AU"/>
              </w:rPr>
            </w:pPr>
            <w:r w:rsidRPr="008C1B89">
              <w:rPr>
                <w:rFonts w:eastAsia="Times New Roman" w:cs="Calibri"/>
                <w:color w:val="000000"/>
                <w:sz w:val="20"/>
                <w:szCs w:val="20"/>
                <w:lang w:eastAsia="en-AU"/>
              </w:rPr>
              <w:t> </w:t>
            </w:r>
          </w:p>
        </w:tc>
      </w:tr>
      <w:tr w:rsidR="00EE2A88" w:rsidRPr="008C1B89" w14:paraId="2E657FF2" w14:textId="77777777" w:rsidTr="008C1B89">
        <w:trPr>
          <w:trHeight w:val="255"/>
        </w:trPr>
        <w:tc>
          <w:tcPr>
            <w:tcW w:w="2830" w:type="dxa"/>
            <w:tcBorders>
              <w:top w:val="nil"/>
              <w:left w:val="single" w:sz="4" w:space="0" w:color="BFBFBF"/>
              <w:bottom w:val="single" w:sz="4" w:space="0" w:color="BFBFBF"/>
              <w:right w:val="single" w:sz="4" w:space="0" w:color="BFBFBF"/>
            </w:tcBorders>
            <w:shd w:val="clear" w:color="000000" w:fill="C5D9F1"/>
            <w:noWrap/>
            <w:vAlign w:val="bottom"/>
            <w:hideMark/>
          </w:tcPr>
          <w:p w14:paraId="299E8948" w14:textId="77777777" w:rsidR="00EE2A88" w:rsidRPr="008C1B89" w:rsidRDefault="00EE2A88" w:rsidP="00EE2A88">
            <w:pPr>
              <w:jc w:val="right"/>
              <w:rPr>
                <w:rFonts w:eastAsia="Times New Roman" w:cs="Calibri"/>
                <w:b/>
                <w:bCs/>
                <w:color w:val="000000"/>
                <w:sz w:val="20"/>
                <w:szCs w:val="20"/>
                <w:lang w:eastAsia="en-AU"/>
              </w:rPr>
            </w:pPr>
            <w:r w:rsidRPr="008C1B89">
              <w:rPr>
                <w:rFonts w:eastAsia="Times New Roman" w:cs="Calibri"/>
                <w:b/>
                <w:bCs/>
                <w:color w:val="000000"/>
                <w:sz w:val="20"/>
                <w:szCs w:val="20"/>
                <w:lang w:eastAsia="en-AU"/>
              </w:rPr>
              <w:t>NEPM 12-13 net imp./exp. (kt)</w:t>
            </w:r>
          </w:p>
        </w:tc>
        <w:tc>
          <w:tcPr>
            <w:tcW w:w="893" w:type="dxa"/>
            <w:tcBorders>
              <w:top w:val="nil"/>
              <w:left w:val="nil"/>
              <w:bottom w:val="single" w:sz="4" w:space="0" w:color="BFBFBF"/>
              <w:right w:val="nil"/>
            </w:tcBorders>
            <w:shd w:val="clear" w:color="000000" w:fill="C5D9F1"/>
            <w:noWrap/>
            <w:hideMark/>
          </w:tcPr>
          <w:p w14:paraId="42056ACB" w14:textId="1D78968C" w:rsidR="00EE2A88" w:rsidRPr="008C1B89" w:rsidRDefault="00EE2A88" w:rsidP="00EE2A88">
            <w:pPr>
              <w:jc w:val="right"/>
              <w:rPr>
                <w:rFonts w:eastAsia="Times New Roman" w:cs="Calibri"/>
                <w:color w:val="000000"/>
                <w:sz w:val="20"/>
                <w:szCs w:val="20"/>
                <w:lang w:eastAsia="en-AU"/>
              </w:rPr>
            </w:pPr>
            <w:r>
              <w:rPr>
                <w:color w:val="000000"/>
                <w:sz w:val="20"/>
                <w:szCs w:val="20"/>
              </w:rPr>
              <w:t>18,664</w:t>
            </w:r>
          </w:p>
        </w:tc>
        <w:tc>
          <w:tcPr>
            <w:tcW w:w="958" w:type="dxa"/>
            <w:tcBorders>
              <w:top w:val="nil"/>
              <w:left w:val="nil"/>
              <w:bottom w:val="single" w:sz="4" w:space="0" w:color="BFBFBF"/>
              <w:right w:val="nil"/>
            </w:tcBorders>
            <w:shd w:val="clear" w:color="000000" w:fill="F2F2F2"/>
            <w:noWrap/>
            <w:hideMark/>
          </w:tcPr>
          <w:p w14:paraId="64DECD34" w14:textId="36344A75" w:rsidR="00EE2A88" w:rsidRPr="008C1B89" w:rsidRDefault="00EE2A88" w:rsidP="00EE2A88">
            <w:pPr>
              <w:rPr>
                <w:rFonts w:eastAsia="Times New Roman" w:cs="Calibri"/>
                <w:color w:val="000000"/>
                <w:sz w:val="20"/>
                <w:szCs w:val="20"/>
                <w:lang w:eastAsia="en-AU"/>
              </w:rPr>
            </w:pPr>
            <w:r>
              <w:rPr>
                <w:color w:val="000000"/>
                <w:sz w:val="20"/>
                <w:szCs w:val="20"/>
              </w:rPr>
              <w:t>(export)</w:t>
            </w:r>
          </w:p>
        </w:tc>
        <w:tc>
          <w:tcPr>
            <w:tcW w:w="1025" w:type="dxa"/>
            <w:tcBorders>
              <w:top w:val="nil"/>
              <w:left w:val="nil"/>
              <w:bottom w:val="single" w:sz="4" w:space="0" w:color="BFBFBF"/>
              <w:right w:val="nil"/>
            </w:tcBorders>
            <w:shd w:val="clear" w:color="000000" w:fill="F2F2F2"/>
            <w:noWrap/>
            <w:hideMark/>
          </w:tcPr>
          <w:p w14:paraId="52732D77" w14:textId="0F193CEE"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962" w:type="dxa"/>
            <w:tcBorders>
              <w:top w:val="nil"/>
              <w:left w:val="nil"/>
              <w:bottom w:val="single" w:sz="4" w:space="0" w:color="BFBFBF"/>
              <w:right w:val="nil"/>
            </w:tcBorders>
            <w:shd w:val="clear" w:color="000000" w:fill="F2F2F2"/>
            <w:noWrap/>
            <w:hideMark/>
          </w:tcPr>
          <w:p w14:paraId="27A40573" w14:textId="56432271"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39" w:type="dxa"/>
            <w:tcBorders>
              <w:top w:val="nil"/>
              <w:left w:val="nil"/>
              <w:bottom w:val="single" w:sz="4" w:space="0" w:color="BFBFBF"/>
              <w:right w:val="nil"/>
            </w:tcBorders>
            <w:shd w:val="clear" w:color="000000" w:fill="F2F2F2"/>
            <w:noWrap/>
            <w:hideMark/>
          </w:tcPr>
          <w:p w14:paraId="5A71D0BC" w14:textId="688D3ACA"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39" w:type="dxa"/>
            <w:tcBorders>
              <w:top w:val="nil"/>
              <w:left w:val="nil"/>
              <w:bottom w:val="single" w:sz="4" w:space="0" w:color="BFBFBF"/>
              <w:right w:val="nil"/>
            </w:tcBorders>
            <w:shd w:val="clear" w:color="000000" w:fill="F2F2F2"/>
            <w:noWrap/>
            <w:hideMark/>
          </w:tcPr>
          <w:p w14:paraId="5B61B2D5" w14:textId="0D154D40"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739" w:type="dxa"/>
            <w:tcBorders>
              <w:top w:val="nil"/>
              <w:left w:val="nil"/>
              <w:bottom w:val="single" w:sz="4" w:space="0" w:color="BFBFBF"/>
              <w:right w:val="nil"/>
            </w:tcBorders>
            <w:shd w:val="clear" w:color="000000" w:fill="F2F2F2"/>
            <w:noWrap/>
            <w:hideMark/>
          </w:tcPr>
          <w:p w14:paraId="4E167CDB" w14:textId="05413904" w:rsidR="00EE2A88" w:rsidRPr="008C1B89" w:rsidRDefault="00EE2A88" w:rsidP="00EE2A88">
            <w:pPr>
              <w:rPr>
                <w:rFonts w:eastAsia="Times New Roman" w:cs="Calibri"/>
                <w:color w:val="000000"/>
                <w:sz w:val="20"/>
                <w:szCs w:val="20"/>
                <w:lang w:eastAsia="en-AU"/>
              </w:rPr>
            </w:pPr>
            <w:r>
              <w:rPr>
                <w:color w:val="000000"/>
                <w:sz w:val="20"/>
                <w:szCs w:val="20"/>
              </w:rPr>
              <w:t> </w:t>
            </w:r>
          </w:p>
        </w:tc>
        <w:tc>
          <w:tcPr>
            <w:tcW w:w="5285" w:type="dxa"/>
            <w:tcBorders>
              <w:top w:val="nil"/>
              <w:left w:val="nil"/>
              <w:bottom w:val="single" w:sz="4" w:space="0" w:color="BFBFBF"/>
              <w:right w:val="single" w:sz="4" w:space="0" w:color="BFBFBF"/>
            </w:tcBorders>
            <w:shd w:val="clear" w:color="000000" w:fill="F2F2F2"/>
            <w:noWrap/>
            <w:hideMark/>
          </w:tcPr>
          <w:p w14:paraId="4FC0B17A" w14:textId="77777777" w:rsidR="00EE2A88" w:rsidRPr="008C1B89" w:rsidRDefault="00EE2A88" w:rsidP="00EE2A88">
            <w:pPr>
              <w:rPr>
                <w:rFonts w:eastAsia="Times New Roman" w:cs="Calibri"/>
                <w:color w:val="000000"/>
                <w:sz w:val="20"/>
                <w:szCs w:val="20"/>
                <w:lang w:eastAsia="en-AU"/>
              </w:rPr>
            </w:pPr>
            <w:r w:rsidRPr="008C1B89">
              <w:rPr>
                <w:rFonts w:eastAsia="Times New Roman" w:cs="Calibri"/>
                <w:color w:val="000000"/>
                <w:sz w:val="20"/>
                <w:szCs w:val="20"/>
                <w:lang w:eastAsia="en-AU"/>
              </w:rPr>
              <w:t> </w:t>
            </w:r>
          </w:p>
        </w:tc>
      </w:tr>
    </w:tbl>
    <w:p w14:paraId="0247D046" w14:textId="180DB8F7" w:rsidR="00347ED1" w:rsidRPr="00100F0A" w:rsidRDefault="00347ED1" w:rsidP="00856180">
      <w:pPr>
        <w:pStyle w:val="BodyText"/>
      </w:pPr>
    </w:p>
    <w:p w14:paraId="617DA3AA" w14:textId="2BFC89A0" w:rsidR="00347ED1" w:rsidRPr="00100F0A" w:rsidRDefault="00347ED1" w:rsidP="00856180">
      <w:pPr>
        <w:pStyle w:val="BodyText"/>
      </w:pPr>
    </w:p>
    <w:p w14:paraId="123882F0" w14:textId="77777777" w:rsidR="00347ED1" w:rsidRPr="00100F0A" w:rsidRDefault="00347ED1" w:rsidP="00856180">
      <w:pPr>
        <w:pStyle w:val="BodyText"/>
      </w:pPr>
    </w:p>
    <w:p w14:paraId="1D0AACD5" w14:textId="26485B47" w:rsidR="00B37084" w:rsidRPr="00100F0A" w:rsidRDefault="00B37084" w:rsidP="00856180">
      <w:pPr>
        <w:pStyle w:val="BodyText"/>
      </w:pPr>
    </w:p>
    <w:p w14:paraId="3D951D41" w14:textId="77777777" w:rsidR="00B37084" w:rsidRPr="00100F0A" w:rsidRDefault="00B37084" w:rsidP="00B37084">
      <w:pPr>
        <w:pStyle w:val="BodyText"/>
      </w:pPr>
    </w:p>
    <w:p w14:paraId="7E73BC5E" w14:textId="0E13AE4B" w:rsidR="00546053" w:rsidRPr="00100F0A" w:rsidRDefault="00546053">
      <w:pPr>
        <w:sectPr w:rsidR="00546053" w:rsidRPr="00100F0A" w:rsidSect="004428CC">
          <w:pgSz w:w="16838" w:h="11906" w:orient="landscape" w:code="9"/>
          <w:pgMar w:top="1077" w:right="1440" w:bottom="1418" w:left="1440" w:header="709" w:footer="454" w:gutter="0"/>
          <w:cols w:space="708"/>
          <w:docGrid w:linePitch="360"/>
        </w:sectPr>
      </w:pPr>
    </w:p>
    <w:p w14:paraId="24421F7C" w14:textId="31CF4889" w:rsidR="00347ED1" w:rsidRDefault="00347ED1" w:rsidP="007C70BA">
      <w:pPr>
        <w:pStyle w:val="Heading1"/>
      </w:pPr>
      <w:bookmarkStart w:id="436" w:name="_Toc408308733"/>
      <w:bookmarkStart w:id="437" w:name="_Toc425848357"/>
      <w:bookmarkStart w:id="438" w:name="_Toc13225550"/>
      <w:r w:rsidRPr="00100F0A">
        <w:t>Conclusions</w:t>
      </w:r>
      <w:bookmarkEnd w:id="436"/>
      <w:r w:rsidRPr="00100F0A">
        <w:t xml:space="preserve"> and recommendations</w:t>
      </w:r>
      <w:bookmarkEnd w:id="437"/>
      <w:bookmarkEnd w:id="438"/>
      <w:r w:rsidRPr="00100F0A">
        <w:t xml:space="preserve"> </w:t>
      </w:r>
    </w:p>
    <w:p w14:paraId="0A877B81" w14:textId="3D9D0BE6" w:rsidR="003D4ACB" w:rsidRDefault="003D4ACB" w:rsidP="00155B1B">
      <w:pPr>
        <w:pStyle w:val="Heading2"/>
      </w:pPr>
      <w:bookmarkStart w:id="439" w:name="_Toc13225551"/>
      <w:r>
        <w:t>Hazardous waste arisings and management</w:t>
      </w:r>
      <w:r w:rsidR="00083C1C">
        <w:t xml:space="preserve"> and current issues</w:t>
      </w:r>
      <w:bookmarkEnd w:id="439"/>
    </w:p>
    <w:p w14:paraId="136D435E" w14:textId="77777777" w:rsidR="00450C1F" w:rsidRDefault="00450C1F" w:rsidP="00450C1F">
      <w:pPr>
        <w:pStyle w:val="BodyText"/>
      </w:pPr>
      <w:r>
        <w:t>In 2016-17, 6.1 Mt of hazardous waste arose in Australia. A</w:t>
      </w:r>
      <w:r w:rsidRPr="00100F0A">
        <w:t xml:space="preserve">round 2.3 </w:t>
      </w:r>
      <w:r>
        <w:t>Mt</w:t>
      </w:r>
      <w:r w:rsidRPr="00100F0A">
        <w:t xml:space="preserve"> of </w:t>
      </w:r>
      <w:r>
        <w:t xml:space="preserve">these </w:t>
      </w:r>
      <w:r w:rsidRPr="00100F0A">
        <w:t>waste</w:t>
      </w:r>
      <w:r>
        <w:t>s</w:t>
      </w:r>
      <w:r w:rsidRPr="00100F0A">
        <w:t xml:space="preserve"> were managed by 18</w:t>
      </w:r>
      <w:r>
        <w:t>5 specialist</w:t>
      </w:r>
      <w:r w:rsidRPr="00100F0A">
        <w:t xml:space="preserve"> </w:t>
      </w:r>
      <w:r>
        <w:t xml:space="preserve">facilities that </w:t>
      </w:r>
      <w:r w:rsidRPr="00100F0A">
        <w:t>have an installed capacity to manage 3.</w:t>
      </w:r>
      <w:r>
        <w:t>1</w:t>
      </w:r>
      <w:r w:rsidRPr="00100F0A">
        <w:t xml:space="preserve"> </w:t>
      </w:r>
      <w:r>
        <w:t>Mt</w:t>
      </w:r>
      <w:r w:rsidRPr="00100F0A">
        <w:t xml:space="preserve"> of hazardous waste. </w:t>
      </w:r>
      <w:r>
        <w:t>The remaining 3.8 Mt of waste arisings were managed in infrastructure such as composting facilities and landfills that receive mostly non-hazardous waste but are also licensed to receive low risk hazardous wastes (asbestos, low-level contaminated soils and/or end-of-life tyres).</w:t>
      </w:r>
    </w:p>
    <w:p w14:paraId="4AD851FB" w14:textId="77777777" w:rsidR="00691F57" w:rsidRPr="00100F0A" w:rsidRDefault="00691F57" w:rsidP="00691F57">
      <w:pPr>
        <w:rPr>
          <w:color w:val="080808"/>
        </w:rPr>
      </w:pPr>
    </w:p>
    <w:p w14:paraId="16A87E3A" w14:textId="77777777" w:rsidR="00450C1F" w:rsidRPr="00100F0A" w:rsidRDefault="00450C1F" w:rsidP="00450C1F">
      <w:pPr>
        <w:pStyle w:val="BodyText"/>
      </w:pPr>
      <w:r>
        <w:t xml:space="preserve">Hazardous waste arisings are projected to be between 5.5 and 15.4 </w:t>
      </w:r>
      <w:r w:rsidRPr="00100F0A">
        <w:t xml:space="preserve">Mt </w:t>
      </w:r>
      <w:r>
        <w:t xml:space="preserve">by </w:t>
      </w:r>
      <w:r w:rsidRPr="00100F0A">
        <w:t>2036-37</w:t>
      </w:r>
      <w:r>
        <w:t xml:space="preserve"> with a ‘best’ estimate of 8.9 Mt. The wide range reflects high levels of uncertainty in projecting the quantities of several large-scale waste streams. T</w:t>
      </w:r>
      <w:r w:rsidRPr="00100F0A">
        <w:t>he high scenario</w:t>
      </w:r>
      <w:r>
        <w:t>, in particular,</w:t>
      </w:r>
      <w:r w:rsidRPr="00100F0A">
        <w:t xml:space="preserve"> </w:t>
      </w:r>
      <w:r>
        <w:t>assumes</w:t>
      </w:r>
      <w:r w:rsidRPr="00100F0A">
        <w:t>:</w:t>
      </w:r>
    </w:p>
    <w:p w14:paraId="58FF2872" w14:textId="77777777" w:rsidR="00450C1F" w:rsidRPr="00100F0A" w:rsidRDefault="00450C1F" w:rsidP="00450C1F">
      <w:pPr>
        <w:pStyle w:val="Bullet1"/>
      </w:pPr>
      <w:r>
        <w:t xml:space="preserve">high range estimates of the large </w:t>
      </w:r>
      <w:r w:rsidRPr="00100F0A">
        <w:t xml:space="preserve">contaminated soil and asbestos </w:t>
      </w:r>
      <w:r>
        <w:t>waste streams</w:t>
      </w:r>
    </w:p>
    <w:p w14:paraId="4FBF9227" w14:textId="77777777" w:rsidR="00450C1F" w:rsidRDefault="00450C1F" w:rsidP="00450C1F">
      <w:pPr>
        <w:pStyle w:val="Bullet1"/>
      </w:pPr>
      <w:r w:rsidRPr="00100F0A">
        <w:t>releases from storage</w:t>
      </w:r>
      <w:r>
        <w:t>s/stockpiles</w:t>
      </w:r>
    </w:p>
    <w:p w14:paraId="0356BBDC" w14:textId="63C6EBBE" w:rsidR="00450C1F" w:rsidRPr="00100F0A" w:rsidRDefault="00450C1F" w:rsidP="00450C1F">
      <w:pPr>
        <w:pStyle w:val="Bullet1"/>
      </w:pPr>
      <w:r>
        <w:t>that from 2023, non-toxic salts from the CSG industry are no longer stored onsite</w:t>
      </w:r>
    </w:p>
    <w:p w14:paraId="3171AAA9" w14:textId="77777777" w:rsidR="00450C1F" w:rsidRDefault="00450C1F" w:rsidP="00450C1F">
      <w:pPr>
        <w:pStyle w:val="Bullet1"/>
      </w:pPr>
      <w:r w:rsidRPr="00100F0A">
        <w:t>projected large-scale growth PFAS contaminated soil and PFOS contaminated biosolids, from 2020</w:t>
      </w:r>
      <w:r>
        <w:t>.</w:t>
      </w:r>
      <w:r w:rsidRPr="00100F0A">
        <w:t xml:space="preserve"> </w:t>
      </w:r>
    </w:p>
    <w:p w14:paraId="0E9A6F1E" w14:textId="77777777" w:rsidR="007D31DC" w:rsidRDefault="007D31DC" w:rsidP="00691F57">
      <w:pPr>
        <w:rPr>
          <w:color w:val="080808"/>
        </w:rPr>
      </w:pPr>
    </w:p>
    <w:p w14:paraId="67CDD662" w14:textId="72890BE6" w:rsidR="00691F57" w:rsidRPr="00100F0A" w:rsidRDefault="00691F57" w:rsidP="00691F57">
      <w:pPr>
        <w:rPr>
          <w:color w:val="080808"/>
        </w:rPr>
      </w:pPr>
      <w:r w:rsidRPr="00100F0A">
        <w:rPr>
          <w:color w:val="080808"/>
        </w:rPr>
        <w:t xml:space="preserve">Over the next few years an increase of around </w:t>
      </w:r>
      <w:r>
        <w:rPr>
          <w:color w:val="080808"/>
        </w:rPr>
        <w:t>1 Mt</w:t>
      </w:r>
      <w:r w:rsidRPr="00100F0A">
        <w:rPr>
          <w:color w:val="080808"/>
        </w:rPr>
        <w:t xml:space="preserve"> of capacity is expected to be added to Australia’s capacity across the infrastructure groups of:</w:t>
      </w:r>
    </w:p>
    <w:p w14:paraId="5EA66363" w14:textId="77777777" w:rsidR="00691F57" w:rsidRPr="00100F0A" w:rsidRDefault="00691F57" w:rsidP="00691F57">
      <w:pPr>
        <w:pStyle w:val="Bullet1"/>
      </w:pPr>
      <w:r w:rsidRPr="00100F0A">
        <w:t xml:space="preserve">e-waste, lead, mercury, EOLT and </w:t>
      </w:r>
      <w:r>
        <w:t>SPL</w:t>
      </w:r>
      <w:r w:rsidRPr="00100F0A">
        <w:t xml:space="preserve"> recycling facilities</w:t>
      </w:r>
    </w:p>
    <w:p w14:paraId="303FBB7C" w14:textId="77777777" w:rsidR="00691F57" w:rsidRPr="00100F0A" w:rsidRDefault="00691F57" w:rsidP="00691F57">
      <w:pPr>
        <w:pStyle w:val="Bullet1"/>
      </w:pPr>
      <w:r w:rsidRPr="00100F0A">
        <w:t>CPT and soil treatment facilities</w:t>
      </w:r>
    </w:p>
    <w:p w14:paraId="18085AD1" w14:textId="77777777" w:rsidR="00691F57" w:rsidRPr="00100F0A" w:rsidRDefault="00691F57" w:rsidP="00691F57">
      <w:pPr>
        <w:pStyle w:val="Bullet1"/>
      </w:pPr>
      <w:r>
        <w:t>POP</w:t>
      </w:r>
      <w:r w:rsidRPr="00100F0A">
        <w:t xml:space="preserve"> and clinical waste thermal destruction facilities</w:t>
      </w:r>
    </w:p>
    <w:p w14:paraId="1390C471" w14:textId="77777777" w:rsidR="00691F57" w:rsidRDefault="00691F57" w:rsidP="00691F57">
      <w:pPr>
        <w:pStyle w:val="Bullet1"/>
      </w:pPr>
      <w:r>
        <w:t>l</w:t>
      </w:r>
      <w:r w:rsidRPr="00100F0A">
        <w:t>ong-term isolation facilities.</w:t>
      </w:r>
    </w:p>
    <w:p w14:paraId="33CCE597" w14:textId="77777777" w:rsidR="00691F57" w:rsidRPr="00100F0A" w:rsidRDefault="00691F57" w:rsidP="00691F57">
      <w:pPr>
        <w:pStyle w:val="BodyText"/>
      </w:pPr>
    </w:p>
    <w:p w14:paraId="5A9EF9FB" w14:textId="0C2B4B3D" w:rsidR="00691F57" w:rsidRPr="00100F0A" w:rsidRDefault="00691F57" w:rsidP="00450C1F">
      <w:pPr>
        <w:pStyle w:val="BodyText"/>
      </w:pPr>
      <w:r>
        <w:t>NSW</w:t>
      </w:r>
      <w:r w:rsidRPr="000402A4">
        <w:t xml:space="preserve"> and </w:t>
      </w:r>
      <w:r>
        <w:t>Vic</w:t>
      </w:r>
      <w:r w:rsidRPr="000402A4">
        <w:t xml:space="preserve"> dominate</w:t>
      </w:r>
      <w:r w:rsidR="00450C1F">
        <w:t xml:space="preserve"> Australia’s</w:t>
      </w:r>
      <w:r w:rsidRPr="000402A4">
        <w:t xml:space="preserve"> </w:t>
      </w:r>
      <w:r w:rsidRPr="00100F0A">
        <w:t>provision</w:t>
      </w:r>
      <w:r>
        <w:t xml:space="preserve"> of</w:t>
      </w:r>
      <w:r w:rsidR="00450C1F">
        <w:t xml:space="preserve"> </w:t>
      </w:r>
      <w:r w:rsidR="00450C1F" w:rsidRPr="00A307F3">
        <w:t>hazardous waste infrastructure</w:t>
      </w:r>
      <w:r w:rsidR="00450C1F">
        <w:t>,</w:t>
      </w:r>
      <w:r w:rsidR="00450C1F" w:rsidRPr="00A307F3">
        <w:t xml:space="preserve"> </w:t>
      </w:r>
      <w:r>
        <w:t>each</w:t>
      </w:r>
      <w:r w:rsidRPr="00100F0A">
        <w:t xml:space="preserve"> </w:t>
      </w:r>
      <w:r w:rsidR="00450C1F">
        <w:t>hosting</w:t>
      </w:r>
      <w:r w:rsidRPr="00100F0A">
        <w:t xml:space="preserve"> approximately 30% of the sites. Qld and WA follow both with around 15% of the sites. SA has 8% of the sites, followed by NT, ACT, and Tas which all have less than 5% of Australia’s hazardous waste infrastructure sites.</w:t>
      </w:r>
    </w:p>
    <w:p w14:paraId="2E3B7A87" w14:textId="77777777" w:rsidR="00450C1F" w:rsidRDefault="00450C1F" w:rsidP="00450C1F">
      <w:pPr>
        <w:pStyle w:val="BodyText"/>
      </w:pPr>
    </w:p>
    <w:p w14:paraId="3AD86516" w14:textId="0213F758" w:rsidR="00450C1F" w:rsidRPr="00100F0A" w:rsidRDefault="00450C1F" w:rsidP="00B778A9">
      <w:pPr>
        <w:pStyle w:val="BodyText"/>
      </w:pPr>
      <w:r>
        <w:t xml:space="preserve">In relation to the </w:t>
      </w:r>
      <w:r w:rsidRPr="00A307F3">
        <w:t>installed capacity</w:t>
      </w:r>
      <w:r>
        <w:t xml:space="preserve"> of this infrastructure, </w:t>
      </w:r>
      <w:r w:rsidRPr="000402A4">
        <w:t>NSW has 32%</w:t>
      </w:r>
      <w:r w:rsidR="00B778A9">
        <w:t xml:space="preserve">, followed by </w:t>
      </w:r>
      <w:r w:rsidRPr="00100F0A">
        <w:t>Qld, Vic and WA</w:t>
      </w:r>
      <w:r>
        <w:t>,</w:t>
      </w:r>
      <w:r w:rsidR="00B778A9">
        <w:t xml:space="preserve"> which</w:t>
      </w:r>
      <w:r>
        <w:t xml:space="preserve"> </w:t>
      </w:r>
      <w:r w:rsidRPr="00100F0A">
        <w:t>each hav</w:t>
      </w:r>
      <w:r w:rsidR="00B778A9">
        <w:t>e</w:t>
      </w:r>
      <w:r w:rsidRPr="00100F0A">
        <w:t xml:space="preserve"> a</w:t>
      </w:r>
      <w:r w:rsidR="00B778A9">
        <w:t>bout</w:t>
      </w:r>
      <w:r w:rsidRPr="00100F0A">
        <w:t xml:space="preserve"> 20%. SA has 6% of installed capacity and NT, ACT and Tas </w:t>
      </w:r>
      <w:r w:rsidR="00B778A9">
        <w:t>each</w:t>
      </w:r>
      <w:r w:rsidRPr="00100F0A">
        <w:t xml:space="preserve"> have less than 1%.</w:t>
      </w:r>
    </w:p>
    <w:p w14:paraId="3E4FE8D3" w14:textId="77777777" w:rsidR="00450C1F" w:rsidRDefault="00450C1F" w:rsidP="00691F57">
      <w:pPr>
        <w:pStyle w:val="BodyText"/>
      </w:pPr>
    </w:p>
    <w:p w14:paraId="1FE8FC36" w14:textId="7557DDCC" w:rsidR="00691F57" w:rsidRPr="00100F0A" w:rsidRDefault="00691F57" w:rsidP="00B778A9">
      <w:pPr>
        <w:pStyle w:val="BodyText"/>
      </w:pPr>
      <w:r w:rsidRPr="000402A4">
        <w:t xml:space="preserve">NSW managed 34% of the </w:t>
      </w:r>
      <w:r w:rsidR="00B778A9" w:rsidRPr="00A307F3">
        <w:t>2016</w:t>
      </w:r>
      <w:r w:rsidR="00B778A9">
        <w:t>-</w:t>
      </w:r>
      <w:r w:rsidR="00B778A9" w:rsidRPr="00A307F3">
        <w:t xml:space="preserve">17 </w:t>
      </w:r>
      <w:r w:rsidRPr="000402A4">
        <w:t>waste arisings. Qld,</w:t>
      </w:r>
      <w:r w:rsidRPr="00100F0A">
        <w:t xml:space="preserve"> Vic and WA each manag</w:t>
      </w:r>
      <w:r w:rsidR="00B778A9">
        <w:t>ed</w:t>
      </w:r>
      <w:r w:rsidRPr="00100F0A">
        <w:t xml:space="preserve"> </w:t>
      </w:r>
      <w:r w:rsidR="00B778A9">
        <w:t xml:space="preserve">about </w:t>
      </w:r>
      <w:r w:rsidRPr="00100F0A">
        <w:t>20%. SA managed around 7% of arisings and NT, ACT and Tas all managed less than 2%.</w:t>
      </w:r>
    </w:p>
    <w:p w14:paraId="1D2D01BB" w14:textId="77777777" w:rsidR="00691F57" w:rsidRDefault="00691F57" w:rsidP="00691F57">
      <w:pPr>
        <w:pStyle w:val="BodyText"/>
      </w:pPr>
    </w:p>
    <w:p w14:paraId="0DF91E51" w14:textId="77777777" w:rsidR="00B778A9" w:rsidRDefault="00B778A9" w:rsidP="00B778A9">
      <w:pPr>
        <w:pStyle w:val="BodyText"/>
      </w:pPr>
      <w:r>
        <w:t>Waste i</w:t>
      </w:r>
      <w:r w:rsidRPr="00100F0A">
        <w:t>ndustry</w:t>
      </w:r>
      <w:r>
        <w:t xml:space="preserve"> operators</w:t>
      </w:r>
      <w:r w:rsidRPr="00100F0A">
        <w:t xml:space="preserve"> </w:t>
      </w:r>
      <w:r>
        <w:t xml:space="preserve">raised important issues </w:t>
      </w:r>
      <w:r w:rsidRPr="00100F0A">
        <w:t>during consultation</w:t>
      </w:r>
      <w:r>
        <w:t>, listed below:</w:t>
      </w:r>
    </w:p>
    <w:p w14:paraId="290CAF1E" w14:textId="77777777" w:rsidR="00B778A9" w:rsidRPr="00100F0A" w:rsidRDefault="00B778A9" w:rsidP="00B778A9">
      <w:pPr>
        <w:pStyle w:val="Bullet1"/>
      </w:pPr>
      <w:r w:rsidRPr="00100F0A">
        <w:t>falling demand for hazardous waste infrastructure</w:t>
      </w:r>
      <w:r>
        <w:t xml:space="preserve"> risks a non-viable core infrastructure supply</w:t>
      </w:r>
    </w:p>
    <w:p w14:paraId="66A6D362" w14:textId="77777777" w:rsidR="00B778A9" w:rsidRPr="00100F0A" w:rsidRDefault="00B778A9" w:rsidP="00B778A9">
      <w:pPr>
        <w:pStyle w:val="Bullet1"/>
      </w:pPr>
      <w:r w:rsidRPr="00100F0A">
        <w:t xml:space="preserve">stockpiles of </w:t>
      </w:r>
      <w:r>
        <w:t>SPL</w:t>
      </w:r>
      <w:r w:rsidRPr="00100F0A">
        <w:t xml:space="preserve">, mercury waste and </w:t>
      </w:r>
      <w:r>
        <w:t xml:space="preserve">EOLTs are a significant issue and risk </w:t>
      </w:r>
    </w:p>
    <w:p w14:paraId="29084D5D" w14:textId="77777777" w:rsidR="00B778A9" w:rsidRPr="00100F0A" w:rsidRDefault="00B778A9" w:rsidP="00B778A9">
      <w:pPr>
        <w:pStyle w:val="Bullet1"/>
      </w:pPr>
      <w:r w:rsidRPr="00100F0A">
        <w:t>inconsistent landfill levies driv</w:t>
      </w:r>
      <w:r>
        <w:t>e</w:t>
      </w:r>
      <w:r w:rsidRPr="00100F0A">
        <w:t xml:space="preserve"> interstate disposal of hazardous wastes </w:t>
      </w:r>
    </w:p>
    <w:p w14:paraId="3E8CBECE" w14:textId="77777777" w:rsidR="00B778A9" w:rsidRPr="00100F0A" w:rsidRDefault="00B778A9" w:rsidP="00B778A9">
      <w:pPr>
        <w:pStyle w:val="Bullet1"/>
      </w:pPr>
      <w:r w:rsidRPr="00100F0A">
        <w:t>inconsistent landfill levies undermin</w:t>
      </w:r>
      <w:r>
        <w:t>e</w:t>
      </w:r>
      <w:r w:rsidRPr="00100F0A">
        <w:t xml:space="preserve"> investment in recovery or treatment of hazardous wastes </w:t>
      </w:r>
    </w:p>
    <w:p w14:paraId="3880AC65" w14:textId="77777777" w:rsidR="00B778A9" w:rsidRPr="00100F0A" w:rsidRDefault="00B778A9" w:rsidP="00B778A9">
      <w:pPr>
        <w:pStyle w:val="Bullet1"/>
      </w:pPr>
      <w:r w:rsidRPr="00100F0A">
        <w:t xml:space="preserve">inconsistent landfilling pre-treatment requirements create unfair </w:t>
      </w:r>
      <w:r>
        <w:t>market competition across different jurisdictions</w:t>
      </w:r>
    </w:p>
    <w:p w14:paraId="3B626413" w14:textId="77777777" w:rsidR="00B778A9" w:rsidRPr="00100F0A" w:rsidRDefault="00B778A9" w:rsidP="00B778A9">
      <w:pPr>
        <w:pStyle w:val="Bullet1"/>
      </w:pPr>
      <w:r w:rsidRPr="00100F0A">
        <w:t xml:space="preserve">regulatory settings </w:t>
      </w:r>
      <w:r>
        <w:t>should</w:t>
      </w:r>
      <w:r w:rsidRPr="00100F0A">
        <w:t xml:space="preserve"> support </w:t>
      </w:r>
      <w:r>
        <w:t xml:space="preserve">large </w:t>
      </w:r>
      <w:r w:rsidRPr="00100F0A">
        <w:t>infrastructure investment</w:t>
      </w:r>
      <w:r>
        <w:t xml:space="preserve"> that is required</w:t>
      </w:r>
    </w:p>
    <w:p w14:paraId="48A60E62" w14:textId="77777777" w:rsidR="00B778A9" w:rsidRPr="00100F0A" w:rsidRDefault="00B778A9" w:rsidP="00B778A9">
      <w:pPr>
        <w:pStyle w:val="Bullet1"/>
      </w:pPr>
      <w:r w:rsidRPr="00100F0A">
        <w:t xml:space="preserve">additional infrastructure </w:t>
      </w:r>
      <w:r>
        <w:t xml:space="preserve">is </w:t>
      </w:r>
      <w:r w:rsidRPr="00100F0A">
        <w:t>needed</w:t>
      </w:r>
      <w:r>
        <w:t xml:space="preserve"> to manage reverse osmosis brine wastes from the CSG industry </w:t>
      </w:r>
    </w:p>
    <w:p w14:paraId="2582AB82" w14:textId="77777777" w:rsidR="00B778A9" w:rsidRPr="00100F0A" w:rsidRDefault="00B778A9" w:rsidP="00B778A9">
      <w:pPr>
        <w:pStyle w:val="Bullet1"/>
      </w:pPr>
      <w:r w:rsidRPr="00100F0A">
        <w:t>asbestos disposal cost</w:t>
      </w:r>
      <w:r>
        <w:t>s are high</w:t>
      </w:r>
      <w:r w:rsidRPr="00100F0A">
        <w:t xml:space="preserve"> and access</w:t>
      </w:r>
      <w:r>
        <w:t xml:space="preserve"> to disposal points is getting harder</w:t>
      </w:r>
    </w:p>
    <w:p w14:paraId="20FA4EE7" w14:textId="77777777" w:rsidR="00B778A9" w:rsidRDefault="00B778A9" w:rsidP="00B778A9">
      <w:pPr>
        <w:pStyle w:val="Bullet1"/>
      </w:pPr>
      <w:r w:rsidRPr="00100F0A">
        <w:t>significant infrastructure</w:t>
      </w:r>
      <w:r>
        <w:t xml:space="preserve"> for destroying POPs is</w:t>
      </w:r>
      <w:r w:rsidRPr="00100F0A">
        <w:t xml:space="preserve"> coming online</w:t>
      </w:r>
      <w:r>
        <w:t xml:space="preserve"> in 2018 in response to PFAS risks</w:t>
      </w:r>
    </w:p>
    <w:p w14:paraId="3DB1C1FE" w14:textId="77777777" w:rsidR="00B778A9" w:rsidRDefault="00B778A9" w:rsidP="00B778A9">
      <w:pPr>
        <w:pStyle w:val="Bullet1"/>
      </w:pPr>
      <w:r>
        <w:t xml:space="preserve">for </w:t>
      </w:r>
      <w:r w:rsidRPr="00100F0A">
        <w:t>PFAS contaminated waters</w:t>
      </w:r>
    </w:p>
    <w:p w14:paraId="676C1173" w14:textId="77777777" w:rsidR="00B778A9" w:rsidRPr="00100F0A" w:rsidRDefault="00B778A9" w:rsidP="00B778A9">
      <w:pPr>
        <w:pStyle w:val="Bullet2"/>
      </w:pPr>
      <w:r w:rsidRPr="00100F0A">
        <w:t xml:space="preserve">contaminant threshold requirements </w:t>
      </w:r>
      <w:r>
        <w:t xml:space="preserve">are </w:t>
      </w:r>
      <w:r w:rsidRPr="00100F0A">
        <w:t>need</w:t>
      </w:r>
      <w:r>
        <w:t>ed</w:t>
      </w:r>
    </w:p>
    <w:p w14:paraId="37E6635C" w14:textId="77777777" w:rsidR="00B778A9" w:rsidRPr="00100F0A" w:rsidRDefault="00B778A9" w:rsidP="00B778A9">
      <w:pPr>
        <w:pStyle w:val="Bullet2"/>
      </w:pPr>
      <w:r w:rsidRPr="00100F0A">
        <w:t>filtration media destruction requirements are inconsistent</w:t>
      </w:r>
    </w:p>
    <w:p w14:paraId="1C7EA08F" w14:textId="77777777" w:rsidR="00B778A9" w:rsidRDefault="00B778A9" w:rsidP="00B778A9">
      <w:pPr>
        <w:pStyle w:val="Bullet1"/>
      </w:pPr>
      <w:r>
        <w:t>d</w:t>
      </w:r>
      <w:r w:rsidRPr="00100F0A">
        <w:t>istance</w:t>
      </w:r>
      <w:r>
        <w:t>s</w:t>
      </w:r>
      <w:r w:rsidRPr="00100F0A">
        <w:t xml:space="preserve"> and low tonnages of hazardous waste </w:t>
      </w:r>
      <w:r>
        <w:t>are</w:t>
      </w:r>
      <w:r w:rsidRPr="00100F0A">
        <w:t xml:space="preserve"> a major challenge</w:t>
      </w:r>
      <w:r>
        <w:t xml:space="preserve"> in WA, in particular</w:t>
      </w:r>
    </w:p>
    <w:p w14:paraId="0B2B55FB" w14:textId="589FFD0B" w:rsidR="00083C1C" w:rsidRDefault="00B778A9" w:rsidP="006C0A57">
      <w:pPr>
        <w:pStyle w:val="Bullet1"/>
      </w:pPr>
      <w:r>
        <w:t>a</w:t>
      </w:r>
      <w:r w:rsidRPr="009A2B13">
        <w:t>dditional infrastructure</w:t>
      </w:r>
      <w:r>
        <w:t xml:space="preserve"> is needed</w:t>
      </w:r>
      <w:r w:rsidRPr="009A2B13">
        <w:t xml:space="preserve"> for recovering </w:t>
      </w:r>
      <w:r>
        <w:t xml:space="preserve">hazardous </w:t>
      </w:r>
      <w:r w:rsidRPr="009A2B13">
        <w:t>packaging</w:t>
      </w:r>
      <w:r>
        <w:t>.</w:t>
      </w:r>
    </w:p>
    <w:p w14:paraId="0CBB6996" w14:textId="77777777" w:rsidR="00B8053D" w:rsidRDefault="00B8053D" w:rsidP="00B8053D">
      <w:pPr>
        <w:pStyle w:val="BodyText"/>
      </w:pPr>
    </w:p>
    <w:p w14:paraId="2FE98729" w14:textId="77777777" w:rsidR="00FA064F" w:rsidRPr="00100F0A" w:rsidRDefault="00FA064F" w:rsidP="00FA064F">
      <w:pPr>
        <w:pStyle w:val="Heading2"/>
      </w:pPr>
      <w:bookmarkStart w:id="440" w:name="_Toc9383905"/>
      <w:bookmarkStart w:id="441" w:name="_Toc13225552"/>
      <w:bookmarkEnd w:id="440"/>
      <w:r w:rsidRPr="00100F0A">
        <w:t>Hazardous waste packaging recycling facilities</w:t>
      </w:r>
      <w:bookmarkEnd w:id="441"/>
    </w:p>
    <w:p w14:paraId="2CF3041E" w14:textId="77777777" w:rsidR="00FA064F" w:rsidRPr="00100F0A" w:rsidRDefault="00FA064F" w:rsidP="00FA064F">
      <w:pPr>
        <w:rPr>
          <w:color w:val="080808"/>
        </w:rPr>
      </w:pPr>
      <w:r w:rsidRPr="00100F0A">
        <w:rPr>
          <w:color w:val="000000"/>
          <w:szCs w:val="20"/>
        </w:rPr>
        <w:t xml:space="preserve">The national assessment indicates </w:t>
      </w:r>
      <w:r w:rsidRPr="00100F0A">
        <w:rPr>
          <w:color w:val="080808"/>
        </w:rPr>
        <w:t xml:space="preserve">that under the best and low scenarios over the next 20 years the installed capacity of Australia's current hazardous waste packaging recycling infrastructure will be able to recycle waste arisings. Under the high scenario, the current installed capacity would be exceeded in 2033. The infrastructure need vs capacity assessment for this group has high uncertainty due to a low response rate during 2018 consultation and </w:t>
      </w:r>
      <w:r>
        <w:rPr>
          <w:color w:val="080808"/>
        </w:rPr>
        <w:t>the highly diffuse nature of this</w:t>
      </w:r>
      <w:r w:rsidRPr="00100F0A">
        <w:rPr>
          <w:color w:val="080808"/>
        </w:rPr>
        <w:t xml:space="preserve"> infrastructure group. </w:t>
      </w:r>
    </w:p>
    <w:p w14:paraId="01F1ACAC" w14:textId="77777777" w:rsidR="00FA064F" w:rsidRPr="00100F0A" w:rsidRDefault="00FA064F" w:rsidP="00FA064F">
      <w:pPr>
        <w:rPr>
          <w:color w:val="080808"/>
        </w:rPr>
      </w:pPr>
    </w:p>
    <w:p w14:paraId="2F79F7AF" w14:textId="77777777" w:rsidR="00FA064F" w:rsidRPr="00100F0A" w:rsidRDefault="00FA064F" w:rsidP="00FA064F">
      <w:pPr>
        <w:rPr>
          <w:color w:val="080808"/>
        </w:rPr>
      </w:pPr>
      <w:r w:rsidRPr="00100F0A">
        <w:rPr>
          <w:color w:val="080808"/>
        </w:rPr>
        <w:t xml:space="preserve">Contaminated hazardous waste packaging may seem like a minor issue in the hazardous waste context. This is a problematic waste stream that often has highly concentrated hazardous product residuals. The contaminated containers are voluminous, cannot be cost-effectively transported and are not able to be processed </w:t>
      </w:r>
      <w:r>
        <w:rPr>
          <w:color w:val="080808"/>
        </w:rPr>
        <w:t>by</w:t>
      </w:r>
      <w:r w:rsidRPr="00100F0A">
        <w:rPr>
          <w:color w:val="080808"/>
        </w:rPr>
        <w:t xml:space="preserve"> non-hazardous waste packaging infrastructure. </w:t>
      </w:r>
    </w:p>
    <w:p w14:paraId="751FCD10" w14:textId="77777777" w:rsidR="00FA064F" w:rsidRPr="00100F0A" w:rsidRDefault="00FA064F" w:rsidP="00FA064F">
      <w:pPr>
        <w:rPr>
          <w:color w:val="080808"/>
        </w:rPr>
      </w:pPr>
    </w:p>
    <w:p w14:paraId="600AE382" w14:textId="77777777" w:rsidR="00FA064F" w:rsidRPr="00100F0A" w:rsidRDefault="00FA064F" w:rsidP="00FA064F">
      <w:pPr>
        <w:rPr>
          <w:color w:val="080808"/>
        </w:rPr>
      </w:pPr>
      <w:r w:rsidRPr="00100F0A">
        <w:rPr>
          <w:color w:val="080808"/>
        </w:rPr>
        <w:t xml:space="preserve">Some survey respondents commented on a broader need for improved recovery options for small hazardous waste packaging and small packages of waste hazardous goods. Planned infrastructure flagged in the 2015 assessment has not proceeded and this waste stream will likely continue to be problematic </w:t>
      </w:r>
      <w:r>
        <w:rPr>
          <w:color w:val="080808"/>
        </w:rPr>
        <w:t xml:space="preserve">and </w:t>
      </w:r>
      <w:r w:rsidRPr="00100F0A">
        <w:rPr>
          <w:color w:val="080808"/>
        </w:rPr>
        <w:t xml:space="preserve">require dedicated infrastructure. </w:t>
      </w:r>
    </w:p>
    <w:p w14:paraId="1CC6E671" w14:textId="77777777" w:rsidR="00FA064F" w:rsidRPr="00100F0A" w:rsidRDefault="00FA064F" w:rsidP="00FA064F">
      <w:pPr>
        <w:rPr>
          <w:color w:val="080808"/>
        </w:rPr>
      </w:pPr>
    </w:p>
    <w:p w14:paraId="15834C54" w14:textId="111A99D0" w:rsidR="00FA064F" w:rsidRDefault="00FA064F" w:rsidP="00FA064F">
      <w:pPr>
        <w:rPr>
          <w:color w:val="080808"/>
        </w:rPr>
      </w:pPr>
      <w:r w:rsidRPr="00100F0A">
        <w:rPr>
          <w:b/>
          <w:color w:val="080808"/>
        </w:rPr>
        <w:t xml:space="preserve">Recommendation </w:t>
      </w:r>
      <w:r>
        <w:rPr>
          <w:b/>
          <w:color w:val="080808"/>
        </w:rPr>
        <w:t>1</w:t>
      </w:r>
      <w:r w:rsidRPr="00100F0A">
        <w:rPr>
          <w:b/>
          <w:color w:val="080808"/>
        </w:rPr>
        <w:t xml:space="preserve">: </w:t>
      </w:r>
      <w:r w:rsidRPr="00100F0A">
        <w:rPr>
          <w:color w:val="080808"/>
        </w:rPr>
        <w:t xml:space="preserve">Qld, NT and Tas </w:t>
      </w:r>
      <w:r w:rsidR="003E7966">
        <w:rPr>
          <w:color w:val="080808"/>
        </w:rPr>
        <w:t>governments</w:t>
      </w:r>
      <w:r w:rsidRPr="00100F0A">
        <w:rPr>
          <w:color w:val="080808"/>
        </w:rPr>
        <w:t xml:space="preserve"> </w:t>
      </w:r>
      <w:r>
        <w:rPr>
          <w:color w:val="080808"/>
        </w:rPr>
        <w:t xml:space="preserve">should </w:t>
      </w:r>
      <w:r w:rsidRPr="00100F0A">
        <w:rPr>
          <w:color w:val="080808"/>
        </w:rPr>
        <w:t>consider completing feasibility studies to determine the viability of establishing additional hazardous waste packaging capacity in their jurisdiction.</w:t>
      </w:r>
    </w:p>
    <w:p w14:paraId="448B6919" w14:textId="77777777" w:rsidR="00B8053D" w:rsidRPr="00100F0A" w:rsidRDefault="00B8053D" w:rsidP="00FA064F">
      <w:pPr>
        <w:rPr>
          <w:color w:val="080808"/>
        </w:rPr>
      </w:pPr>
    </w:p>
    <w:p w14:paraId="6913ECBC" w14:textId="77777777" w:rsidR="00FA064F" w:rsidRPr="00100F0A" w:rsidRDefault="00FA064F" w:rsidP="00FA064F">
      <w:pPr>
        <w:pStyle w:val="Heading2"/>
      </w:pPr>
      <w:bookmarkStart w:id="442" w:name="_Toc13225553"/>
      <w:r w:rsidRPr="00100F0A">
        <w:t>E-waste major physical/chemical &amp; disassembly facilities</w:t>
      </w:r>
      <w:bookmarkEnd w:id="442"/>
    </w:p>
    <w:p w14:paraId="3C6DC74E" w14:textId="77777777" w:rsidR="00FA064F" w:rsidRPr="00100F0A" w:rsidRDefault="00FA064F" w:rsidP="00FA064F">
      <w:pPr>
        <w:rPr>
          <w:color w:val="080808"/>
        </w:rPr>
      </w:pPr>
      <w:r w:rsidRPr="00100F0A">
        <w:rPr>
          <w:color w:val="000000"/>
          <w:szCs w:val="20"/>
        </w:rPr>
        <w:t xml:space="preserve">The national assessment indicates that </w:t>
      </w:r>
      <w:r w:rsidRPr="00100F0A">
        <w:rPr>
          <w:color w:val="080808"/>
        </w:rPr>
        <w:t>under the best and low scenarios over the next 20 years the current installed capacity of Australia's e-waste (major physical/chemical and manual disassembly processing) infrastructure will be able to recycle waste arisings. If e-waste arisings grow very strongly (high scenario)</w:t>
      </w:r>
      <w:r>
        <w:rPr>
          <w:color w:val="080808"/>
        </w:rPr>
        <w:t>,</w:t>
      </w:r>
      <w:r w:rsidRPr="00100F0A">
        <w:rPr>
          <w:color w:val="080808"/>
        </w:rPr>
        <w:t xml:space="preserve"> capacity could become constrained by 2035. However, expected increases in capacity of 12 kt/yr should provide sufficient national capacity to cater for higher growth. </w:t>
      </w:r>
    </w:p>
    <w:p w14:paraId="5A83E176" w14:textId="77777777" w:rsidR="00FA064F" w:rsidRPr="00100F0A" w:rsidRDefault="00FA064F" w:rsidP="00FA064F">
      <w:pPr>
        <w:rPr>
          <w:color w:val="080808"/>
        </w:rPr>
      </w:pPr>
    </w:p>
    <w:p w14:paraId="106D5BD0" w14:textId="77777777" w:rsidR="00FA064F" w:rsidRPr="00100F0A" w:rsidRDefault="00FA064F" w:rsidP="00FA064F">
      <w:pPr>
        <w:rPr>
          <w:color w:val="080808"/>
        </w:rPr>
      </w:pPr>
      <w:r w:rsidRPr="00100F0A">
        <w:rPr>
          <w:color w:val="080808"/>
        </w:rPr>
        <w:t>The needs vs capacity assessment for this group has high uncertainty due to the waste arisings reported in tracking system data (4 kt in 2016-17) being much lower than the reported tonnages received (58 kt in 2016-17). This large difference is due to the fact that most e-waste is not transported and tracked as a hazardous waste. Considering the reporting receipts of 58 kt in 2016-17 and the current installed capacity of 106 kt/yr it is still likely that there is sufficient capacity over the projection period.</w:t>
      </w:r>
    </w:p>
    <w:p w14:paraId="4E67FC46" w14:textId="77777777" w:rsidR="00FA064F" w:rsidRPr="00100F0A" w:rsidRDefault="00FA064F" w:rsidP="00FA064F">
      <w:pPr>
        <w:rPr>
          <w:color w:val="080808"/>
        </w:rPr>
      </w:pPr>
    </w:p>
    <w:p w14:paraId="0645EEBD" w14:textId="77777777" w:rsidR="00FA064F" w:rsidRPr="00100F0A" w:rsidRDefault="00FA064F" w:rsidP="00FA064F">
      <w:pPr>
        <w:rPr>
          <w:color w:val="080808"/>
        </w:rPr>
      </w:pPr>
      <w:r w:rsidRPr="00100F0A">
        <w:rPr>
          <w:color w:val="080808"/>
        </w:rPr>
        <w:t xml:space="preserve">Installed capacity is concentrated in NSW, with significant capacity also in Vic and SA and some capacity in Qld and ACT. A shortfall in current capacity </w:t>
      </w:r>
      <w:r>
        <w:rPr>
          <w:color w:val="080808"/>
        </w:rPr>
        <w:t>is</w:t>
      </w:r>
      <w:r w:rsidRPr="00100F0A">
        <w:rPr>
          <w:color w:val="080808"/>
        </w:rPr>
        <w:t xml:space="preserve"> apparent in NT, Tas and WA. E-waste in these jurisdictions is likely sent interstate or is sent to landfill.</w:t>
      </w:r>
    </w:p>
    <w:p w14:paraId="43E46BF4" w14:textId="77777777" w:rsidR="00FA064F" w:rsidRPr="00100F0A" w:rsidRDefault="00FA064F" w:rsidP="00FA064F">
      <w:pPr>
        <w:rPr>
          <w:color w:val="080808"/>
        </w:rPr>
      </w:pPr>
    </w:p>
    <w:p w14:paraId="2D0E3853" w14:textId="77777777" w:rsidR="00FA064F" w:rsidRPr="00100F0A" w:rsidRDefault="00FA064F" w:rsidP="00FA064F">
      <w:pPr>
        <w:rPr>
          <w:color w:val="080808"/>
        </w:rPr>
      </w:pPr>
      <w:r w:rsidRPr="00100F0A">
        <w:rPr>
          <w:color w:val="080808"/>
        </w:rPr>
        <w:t xml:space="preserve">For e-waste it is important to consider that the assessment assumes no change in the management methods of e-waste. Changes to product stewardship agreements or landfill bans on e-waste could significantly change current e-waste management and increase </w:t>
      </w:r>
      <w:r>
        <w:rPr>
          <w:color w:val="080808"/>
        </w:rPr>
        <w:t xml:space="preserve">the </w:t>
      </w:r>
      <w:r w:rsidRPr="00100F0A">
        <w:rPr>
          <w:color w:val="080808"/>
        </w:rPr>
        <w:t>recycling capacity required.</w:t>
      </w:r>
    </w:p>
    <w:p w14:paraId="159382F9" w14:textId="77777777" w:rsidR="00FA064F" w:rsidRPr="00100F0A" w:rsidRDefault="00FA064F" w:rsidP="00FA064F">
      <w:pPr>
        <w:rPr>
          <w:color w:val="080808"/>
        </w:rPr>
      </w:pPr>
    </w:p>
    <w:p w14:paraId="5714547C" w14:textId="2D6731F2" w:rsidR="00FA064F" w:rsidRDefault="00FA064F" w:rsidP="00FA064F">
      <w:pPr>
        <w:rPr>
          <w:color w:val="080808"/>
        </w:rPr>
      </w:pPr>
      <w:r w:rsidRPr="00100F0A">
        <w:rPr>
          <w:b/>
          <w:color w:val="080808"/>
        </w:rPr>
        <w:t xml:space="preserve">Recommendation </w:t>
      </w:r>
      <w:r>
        <w:rPr>
          <w:b/>
          <w:color w:val="080808"/>
        </w:rPr>
        <w:t>2</w:t>
      </w:r>
      <w:r w:rsidRPr="00100F0A">
        <w:rPr>
          <w:b/>
          <w:color w:val="080808"/>
        </w:rPr>
        <w:t xml:space="preserve">: </w:t>
      </w:r>
      <w:r w:rsidRPr="00100F0A">
        <w:rPr>
          <w:color w:val="080808"/>
        </w:rPr>
        <w:t xml:space="preserve">NT, Tas and WA </w:t>
      </w:r>
      <w:r w:rsidR="003E7966">
        <w:rPr>
          <w:color w:val="080808"/>
        </w:rPr>
        <w:t>governments</w:t>
      </w:r>
      <w:r w:rsidRPr="00100F0A">
        <w:rPr>
          <w:color w:val="080808"/>
        </w:rPr>
        <w:t xml:space="preserve"> </w:t>
      </w:r>
      <w:r>
        <w:rPr>
          <w:color w:val="080808"/>
        </w:rPr>
        <w:t xml:space="preserve">should </w:t>
      </w:r>
      <w:r w:rsidRPr="00100F0A">
        <w:rPr>
          <w:color w:val="080808"/>
        </w:rPr>
        <w:t>consider completing feasibility studies to determine the viability of establishing e-waste recycling capacity in their jurisdiction.</w:t>
      </w:r>
    </w:p>
    <w:p w14:paraId="454341E3" w14:textId="77777777" w:rsidR="00FA064F" w:rsidRPr="00100F0A" w:rsidRDefault="00FA064F" w:rsidP="00FA064F">
      <w:pPr>
        <w:pStyle w:val="Heading3"/>
      </w:pPr>
      <w:r>
        <w:t>Lithium ion</w:t>
      </w:r>
      <w:r w:rsidRPr="00100F0A">
        <w:t xml:space="preserve"> batteries infrastructure</w:t>
      </w:r>
    </w:p>
    <w:p w14:paraId="40437A1B" w14:textId="63D0EA4A" w:rsidR="00FA064F" w:rsidRPr="00100F0A" w:rsidRDefault="00FA064F" w:rsidP="00FA064F">
      <w:pPr>
        <w:pStyle w:val="BodyText"/>
      </w:pPr>
      <w:r w:rsidRPr="00100F0A">
        <w:t xml:space="preserve">The potential arisings of </w:t>
      </w:r>
      <w:r>
        <w:t>lithium ion</w:t>
      </w:r>
      <w:r w:rsidRPr="00100F0A">
        <w:t xml:space="preserve"> batteries, which are not currently regulated as hazardous waste</w:t>
      </w:r>
      <w:r w:rsidR="00802742">
        <w:rPr>
          <w:rStyle w:val="FootnoteReference"/>
        </w:rPr>
        <w:footnoteReference w:id="42"/>
      </w:r>
      <w:r w:rsidRPr="00100F0A">
        <w:t xml:space="preserve">, are assessed </w:t>
      </w:r>
      <w:r>
        <w:t>in</w:t>
      </w:r>
      <w:r w:rsidRPr="00100F0A">
        <w:t xml:space="preserve"> this report due</w:t>
      </w:r>
      <w:r>
        <w:t xml:space="preserve"> to</w:t>
      </w:r>
      <w:r w:rsidRPr="00100F0A">
        <w:t xml:space="preserve"> their potential to have a significant impact on hazardous and non-hazardous waste infrastructure. Waste </w:t>
      </w:r>
      <w:r>
        <w:t>lithium ion</w:t>
      </w:r>
      <w:r w:rsidRPr="00100F0A">
        <w:t xml:space="preserve"> batteries are projected to grow at an average rate of 19% per year (under best estimate scenario), and if not appropriately managed, represent a safety hazard due to risks of causing explosions and or fire (ABRI 2014). </w:t>
      </w:r>
    </w:p>
    <w:p w14:paraId="77B03313" w14:textId="77777777" w:rsidR="00FA064F" w:rsidRPr="00100F0A" w:rsidRDefault="00FA064F" w:rsidP="00FA064F">
      <w:pPr>
        <w:pStyle w:val="BodyText"/>
      </w:pPr>
    </w:p>
    <w:p w14:paraId="3DA454DE" w14:textId="77777777" w:rsidR="00FA064F" w:rsidRPr="00100F0A" w:rsidRDefault="00FA064F" w:rsidP="00FA064F">
      <w:pPr>
        <w:pStyle w:val="BodyText"/>
      </w:pPr>
      <w:r w:rsidRPr="00100F0A">
        <w:t>Whil</w:t>
      </w:r>
      <w:r>
        <w:t>e</w:t>
      </w:r>
      <w:r w:rsidRPr="00100F0A">
        <w:t xml:space="preserve"> this assessment does not indicate a shortfall in the overall e-waste processing capacity in Australia, at the time of writing only one e-waste facility </w:t>
      </w:r>
      <w:r>
        <w:t>recycles lithium ion batteries</w:t>
      </w:r>
      <w:r w:rsidRPr="00100F0A">
        <w:t xml:space="preserve"> in Australia (Envirostream Victoria). Most </w:t>
      </w:r>
      <w:r>
        <w:t>lithium ion</w:t>
      </w:r>
      <w:r w:rsidRPr="00100F0A">
        <w:t xml:space="preserve"> batteries recovered are still likely to be exported overseas for recycling. In addition, Australia has no specific </w:t>
      </w:r>
      <w:r>
        <w:t>lithium ion</w:t>
      </w:r>
      <w:r w:rsidRPr="00100F0A">
        <w:t xml:space="preserve"> battery collection/transfer infrastructure (</w:t>
      </w:r>
      <w:r>
        <w:t>lithium ion</w:t>
      </w:r>
      <w:r w:rsidRPr="00100F0A">
        <w:t xml:space="preserve"> batteries that are recovered are collected with other battery types). The collection of potentially flammable </w:t>
      </w:r>
      <w:r>
        <w:t>lithium ion</w:t>
      </w:r>
      <w:r w:rsidRPr="00100F0A">
        <w:t xml:space="preserve"> batteries without appropriate infrastructure could create a fire hazard within the collection infrastructure for other batteries.</w:t>
      </w:r>
    </w:p>
    <w:p w14:paraId="645890F4" w14:textId="77777777" w:rsidR="00FA064F" w:rsidRPr="00100F0A" w:rsidRDefault="00FA064F" w:rsidP="00FA064F">
      <w:pPr>
        <w:pStyle w:val="BodyText"/>
      </w:pPr>
    </w:p>
    <w:p w14:paraId="34BDC558" w14:textId="5A469231" w:rsidR="00FA064F" w:rsidRDefault="00FA064F" w:rsidP="00FA064F">
      <w:pPr>
        <w:rPr>
          <w:color w:val="080808"/>
        </w:rPr>
      </w:pPr>
      <w:r w:rsidRPr="00100F0A">
        <w:rPr>
          <w:b/>
        </w:rPr>
        <w:t xml:space="preserve">Recommendation </w:t>
      </w:r>
      <w:r>
        <w:rPr>
          <w:b/>
        </w:rPr>
        <w:t>3</w:t>
      </w:r>
      <w:r w:rsidRPr="00100F0A">
        <w:rPr>
          <w:b/>
        </w:rPr>
        <w:t xml:space="preserve">: </w:t>
      </w:r>
      <w:r w:rsidRPr="00100F0A">
        <w:t xml:space="preserve">The potential hazards posed by </w:t>
      </w:r>
      <w:r>
        <w:t>lithium ion</w:t>
      </w:r>
      <w:r w:rsidRPr="00100F0A">
        <w:t xml:space="preserve"> batteries, and the best means of managing these hazards, needs further assessment. </w:t>
      </w:r>
      <w:r w:rsidR="003E7966">
        <w:t xml:space="preserve">Subsequently, </w:t>
      </w:r>
      <w:r>
        <w:t xml:space="preserve">an </w:t>
      </w:r>
      <w:r w:rsidRPr="00100F0A">
        <w:t>assessment</w:t>
      </w:r>
      <w:r>
        <w:t xml:space="preserve"> should be completed</w:t>
      </w:r>
      <w:r w:rsidRPr="00100F0A">
        <w:t xml:space="preserve"> of the collection and processing infrastructure needs for </w:t>
      </w:r>
      <w:r>
        <w:t>lithium ion</w:t>
      </w:r>
      <w:r w:rsidRPr="00100F0A">
        <w:t xml:space="preserve"> batteries in Australia.</w:t>
      </w:r>
      <w:r w:rsidRPr="00100F0A">
        <w:rPr>
          <w:color w:val="080808"/>
        </w:rPr>
        <w:t xml:space="preserve"> This recommendation was made in 2015 and </w:t>
      </w:r>
      <w:r>
        <w:rPr>
          <w:color w:val="080808"/>
        </w:rPr>
        <w:t xml:space="preserve">is supported by a CSIRO (2018) </w:t>
      </w:r>
      <w:r w:rsidR="003E7966">
        <w:rPr>
          <w:color w:val="080808"/>
        </w:rPr>
        <w:t>study</w:t>
      </w:r>
      <w:r w:rsidRPr="00100F0A">
        <w:rPr>
          <w:color w:val="080808"/>
        </w:rPr>
        <w:t xml:space="preserve">.  </w:t>
      </w:r>
    </w:p>
    <w:p w14:paraId="60633D23" w14:textId="77777777" w:rsidR="00B8053D" w:rsidRPr="00100F0A" w:rsidRDefault="00B8053D" w:rsidP="00FA064F">
      <w:pPr>
        <w:rPr>
          <w:color w:val="080808"/>
        </w:rPr>
      </w:pPr>
    </w:p>
    <w:p w14:paraId="6F489F9A" w14:textId="77777777" w:rsidR="00FA064F" w:rsidRPr="00100F0A" w:rsidRDefault="00FA064F" w:rsidP="00FA064F">
      <w:pPr>
        <w:pStyle w:val="Heading2"/>
      </w:pPr>
      <w:bookmarkStart w:id="443" w:name="_Toc13225554"/>
      <w:r w:rsidRPr="00100F0A">
        <w:t>Oil re-refining facilities</w:t>
      </w:r>
      <w:bookmarkEnd w:id="443"/>
    </w:p>
    <w:p w14:paraId="501FC098" w14:textId="77777777" w:rsidR="00FA064F" w:rsidRPr="00100F0A" w:rsidRDefault="00FA064F" w:rsidP="00FA064F">
      <w:pPr>
        <w:rPr>
          <w:color w:val="000000"/>
          <w:szCs w:val="20"/>
        </w:rPr>
      </w:pPr>
      <w:r w:rsidRPr="00100F0A">
        <w:rPr>
          <w:color w:val="000000"/>
          <w:szCs w:val="20"/>
        </w:rPr>
        <w:t xml:space="preserve">The national assessment indicates that, under the low and best scenarios, over the next 20 years the installed capacity of Australia's current oil re-refining infrastructure will be able to recycle waste arisings. Under the high scenario, the current installed capacity would be exceeded in 2034. </w:t>
      </w:r>
    </w:p>
    <w:p w14:paraId="6D2C658D" w14:textId="77777777" w:rsidR="00FA064F" w:rsidRPr="00100F0A" w:rsidRDefault="00FA064F" w:rsidP="00FA064F">
      <w:pPr>
        <w:rPr>
          <w:color w:val="000000"/>
          <w:szCs w:val="20"/>
        </w:rPr>
      </w:pPr>
    </w:p>
    <w:p w14:paraId="5B40C65C" w14:textId="77777777" w:rsidR="00FA064F" w:rsidRPr="00100F0A" w:rsidRDefault="00FA064F" w:rsidP="00FA064F">
      <w:pPr>
        <w:rPr>
          <w:color w:val="000000"/>
          <w:szCs w:val="20"/>
        </w:rPr>
      </w:pPr>
      <w:r w:rsidRPr="00100F0A">
        <w:rPr>
          <w:color w:val="000000"/>
          <w:szCs w:val="20"/>
        </w:rPr>
        <w:t>The infrastructure need vs capacity assessment for this group has moderate uncertainty due to a moderate response rate during consultation and the potential under</w:t>
      </w:r>
      <w:r>
        <w:rPr>
          <w:color w:val="000000"/>
          <w:szCs w:val="20"/>
        </w:rPr>
        <w:t>-</w:t>
      </w:r>
      <w:r w:rsidRPr="00100F0A">
        <w:rPr>
          <w:color w:val="000000"/>
          <w:szCs w:val="20"/>
        </w:rPr>
        <w:t>reporting of waste oil in NSW and Vic data resulting in an under</w:t>
      </w:r>
      <w:r>
        <w:rPr>
          <w:color w:val="000000"/>
          <w:szCs w:val="20"/>
        </w:rPr>
        <w:t>-</w:t>
      </w:r>
      <w:r w:rsidRPr="00100F0A">
        <w:rPr>
          <w:color w:val="000000"/>
          <w:szCs w:val="20"/>
        </w:rPr>
        <w:t>estimate of 2016-17 arisings. In addition, some waste oils recycling may actually be sent for energy recovery</w:t>
      </w:r>
      <w:r>
        <w:rPr>
          <w:color w:val="000000"/>
          <w:szCs w:val="20"/>
        </w:rPr>
        <w:t>,</w:t>
      </w:r>
      <w:r w:rsidRPr="00100F0A">
        <w:rPr>
          <w:color w:val="000000"/>
          <w:szCs w:val="20"/>
        </w:rPr>
        <w:t xml:space="preserve"> which would result in an over</w:t>
      </w:r>
      <w:r>
        <w:rPr>
          <w:color w:val="000000"/>
          <w:szCs w:val="20"/>
        </w:rPr>
        <w:t>-</w:t>
      </w:r>
      <w:r w:rsidRPr="00100F0A">
        <w:rPr>
          <w:color w:val="000000"/>
          <w:szCs w:val="20"/>
        </w:rPr>
        <w:t>estimate of waste oil re-refining demand.</w:t>
      </w:r>
    </w:p>
    <w:p w14:paraId="5F06A63D" w14:textId="77777777" w:rsidR="00FA064F" w:rsidRPr="00100F0A" w:rsidRDefault="00FA064F" w:rsidP="00FA064F">
      <w:pPr>
        <w:rPr>
          <w:color w:val="000000"/>
          <w:szCs w:val="20"/>
        </w:rPr>
      </w:pPr>
    </w:p>
    <w:p w14:paraId="1D2464CE" w14:textId="77777777" w:rsidR="00FA064F" w:rsidRPr="00100F0A" w:rsidRDefault="00FA064F" w:rsidP="00FA064F">
      <w:pPr>
        <w:rPr>
          <w:color w:val="000000"/>
          <w:szCs w:val="20"/>
        </w:rPr>
      </w:pPr>
      <w:r w:rsidRPr="00100F0A">
        <w:rPr>
          <w:color w:val="000000"/>
          <w:szCs w:val="20"/>
        </w:rPr>
        <w:t>The 2018 assessment for this infrastructure group is a significant improvement on the 2015 assessment due to separati</w:t>
      </w:r>
      <w:r>
        <w:rPr>
          <w:color w:val="000000"/>
          <w:szCs w:val="20"/>
        </w:rPr>
        <w:t>o</w:t>
      </w:r>
      <w:r w:rsidRPr="00100F0A">
        <w:rPr>
          <w:color w:val="000000"/>
          <w:szCs w:val="20"/>
        </w:rPr>
        <w:t>n</w:t>
      </w:r>
      <w:r>
        <w:rPr>
          <w:color w:val="000000"/>
          <w:szCs w:val="20"/>
        </w:rPr>
        <w:t xml:space="preserve"> of</w:t>
      </w:r>
      <w:r w:rsidRPr="00100F0A">
        <w:rPr>
          <w:color w:val="000000"/>
          <w:szCs w:val="20"/>
        </w:rPr>
        <w:t xml:space="preserve"> the projections of the NEPM J waste codes of J100 and J160 from J120 Waste oil/water, hydrocarbons/water mixtures or emulsions. The J120 waste arising</w:t>
      </w:r>
      <w:r>
        <w:rPr>
          <w:color w:val="000000"/>
          <w:szCs w:val="20"/>
        </w:rPr>
        <w:t>s</w:t>
      </w:r>
      <w:r w:rsidRPr="00100F0A">
        <w:rPr>
          <w:color w:val="000000"/>
          <w:szCs w:val="20"/>
        </w:rPr>
        <w:t xml:space="preserve"> are now mapped to the new infrastructure group of OWT facilities. This has increased the accuracy of the assessment and resulted in a change of expected exceedance of installed capacity in 2023, in the 2015 assessment, to &gt;2037 in this assessment.</w:t>
      </w:r>
    </w:p>
    <w:p w14:paraId="183BE2DE" w14:textId="77777777" w:rsidR="00FA064F" w:rsidRPr="00100F0A" w:rsidRDefault="00FA064F" w:rsidP="00FA064F">
      <w:pPr>
        <w:rPr>
          <w:color w:val="000000"/>
          <w:szCs w:val="20"/>
        </w:rPr>
      </w:pPr>
    </w:p>
    <w:p w14:paraId="4C7B22AF" w14:textId="77777777" w:rsidR="00FA064F" w:rsidRPr="00100F0A" w:rsidRDefault="00FA064F" w:rsidP="00FA064F">
      <w:pPr>
        <w:rPr>
          <w:color w:val="080808"/>
        </w:rPr>
      </w:pPr>
      <w:r w:rsidRPr="00100F0A">
        <w:rPr>
          <w:color w:val="080808"/>
        </w:rPr>
        <w:t>Installed capacity is concentrated</w:t>
      </w:r>
      <w:r>
        <w:rPr>
          <w:color w:val="080808"/>
        </w:rPr>
        <w:t xml:space="preserve"> (in the following order)</w:t>
      </w:r>
      <w:r w:rsidRPr="00100F0A">
        <w:rPr>
          <w:color w:val="080808"/>
        </w:rPr>
        <w:t xml:space="preserve"> in WA, Qld</w:t>
      </w:r>
      <w:r>
        <w:rPr>
          <w:color w:val="080808"/>
        </w:rPr>
        <w:t xml:space="preserve"> and</w:t>
      </w:r>
      <w:r w:rsidRPr="00100F0A">
        <w:rPr>
          <w:color w:val="080808"/>
        </w:rPr>
        <w:t xml:space="preserve"> NSW</w:t>
      </w:r>
      <w:r>
        <w:rPr>
          <w:color w:val="080808"/>
        </w:rPr>
        <w:t>,</w:t>
      </w:r>
      <w:r w:rsidRPr="00100F0A">
        <w:rPr>
          <w:color w:val="080808"/>
        </w:rPr>
        <w:t xml:space="preserve"> with some capacity also in SA and Vic. </w:t>
      </w:r>
      <w:r>
        <w:rPr>
          <w:color w:val="080808"/>
        </w:rPr>
        <w:t xml:space="preserve">No oil re-refining capacity was identified in ACT, </w:t>
      </w:r>
      <w:r w:rsidRPr="00100F0A">
        <w:rPr>
          <w:color w:val="080808"/>
        </w:rPr>
        <w:t>NT</w:t>
      </w:r>
      <w:r>
        <w:rPr>
          <w:color w:val="080808"/>
        </w:rPr>
        <w:t xml:space="preserve"> and</w:t>
      </w:r>
      <w:r w:rsidRPr="00100F0A">
        <w:rPr>
          <w:color w:val="080808"/>
        </w:rPr>
        <w:t xml:space="preserve"> Tas. Oil waste in these jurisdictions is likely sent interstate.</w:t>
      </w:r>
    </w:p>
    <w:p w14:paraId="2AEE6AB8" w14:textId="77777777" w:rsidR="00FA064F" w:rsidRPr="00100F0A" w:rsidRDefault="00FA064F" w:rsidP="00FA064F">
      <w:pPr>
        <w:rPr>
          <w:color w:val="080808"/>
        </w:rPr>
      </w:pPr>
    </w:p>
    <w:p w14:paraId="1780D1D7" w14:textId="3EA67236" w:rsidR="00FA064F" w:rsidRPr="00100F0A" w:rsidRDefault="00FA064F" w:rsidP="00FA064F">
      <w:pPr>
        <w:rPr>
          <w:color w:val="080808"/>
        </w:rPr>
      </w:pPr>
      <w:r w:rsidRPr="00100F0A">
        <w:rPr>
          <w:color w:val="080808"/>
        </w:rPr>
        <w:t xml:space="preserve">Jurisdictional analysis indicates that </w:t>
      </w:r>
      <w:r>
        <w:rPr>
          <w:color w:val="080808"/>
        </w:rPr>
        <w:t xml:space="preserve">ACT, NSW, NT, </w:t>
      </w:r>
      <w:r w:rsidRPr="00100F0A">
        <w:rPr>
          <w:color w:val="080808"/>
        </w:rPr>
        <w:t>Qld,</w:t>
      </w:r>
      <w:r>
        <w:rPr>
          <w:color w:val="080808"/>
        </w:rPr>
        <w:t xml:space="preserve"> </w:t>
      </w:r>
      <w:r w:rsidRPr="00100F0A">
        <w:rPr>
          <w:color w:val="080808"/>
        </w:rPr>
        <w:t>Tas all either lack oil re-refining capacity or do not have capacity in the jurisdiction.</w:t>
      </w:r>
      <w:r w:rsidR="00543EC5">
        <w:rPr>
          <w:rStyle w:val="FootnoteReference"/>
          <w:color w:val="080808"/>
        </w:rPr>
        <w:footnoteReference w:id="43"/>
      </w:r>
      <w:r w:rsidRPr="00100F0A">
        <w:rPr>
          <w:color w:val="080808"/>
        </w:rPr>
        <w:t xml:space="preserve"> Capacity in </w:t>
      </w:r>
      <w:r>
        <w:rPr>
          <w:color w:val="080808"/>
        </w:rPr>
        <w:t>S</w:t>
      </w:r>
      <w:r w:rsidRPr="00100F0A">
        <w:rPr>
          <w:color w:val="080808"/>
        </w:rPr>
        <w:t xml:space="preserve">A and </w:t>
      </w:r>
      <w:r>
        <w:rPr>
          <w:color w:val="080808"/>
        </w:rPr>
        <w:t>W</w:t>
      </w:r>
      <w:r w:rsidRPr="00100F0A">
        <w:rPr>
          <w:color w:val="080808"/>
        </w:rPr>
        <w:t>A appear to be sufficient.</w:t>
      </w:r>
    </w:p>
    <w:p w14:paraId="43FED309" w14:textId="77777777" w:rsidR="00FA064F" w:rsidRPr="00100F0A" w:rsidRDefault="00FA064F" w:rsidP="00FA064F">
      <w:pPr>
        <w:tabs>
          <w:tab w:val="left" w:pos="1752"/>
        </w:tabs>
        <w:rPr>
          <w:color w:val="080808"/>
        </w:rPr>
      </w:pPr>
    </w:p>
    <w:p w14:paraId="21F2E75F" w14:textId="58D7C9DB" w:rsidR="00FA064F" w:rsidRDefault="00FA064F" w:rsidP="00FA064F">
      <w:pPr>
        <w:rPr>
          <w:color w:val="080808"/>
        </w:rPr>
      </w:pPr>
      <w:r w:rsidRPr="00100F0A">
        <w:rPr>
          <w:b/>
          <w:color w:val="080808"/>
        </w:rPr>
        <w:t xml:space="preserve">Recommendation </w:t>
      </w:r>
      <w:r>
        <w:rPr>
          <w:b/>
          <w:color w:val="080808"/>
        </w:rPr>
        <w:t>4</w:t>
      </w:r>
      <w:r w:rsidRPr="00100F0A">
        <w:rPr>
          <w:b/>
          <w:color w:val="080808"/>
        </w:rPr>
        <w:t xml:space="preserve">: </w:t>
      </w:r>
      <w:r w:rsidRPr="00100F0A">
        <w:rPr>
          <w:color w:val="080808"/>
        </w:rPr>
        <w:t>NSW, NT,</w:t>
      </w:r>
      <w:r>
        <w:rPr>
          <w:color w:val="080808"/>
        </w:rPr>
        <w:t xml:space="preserve"> Qld</w:t>
      </w:r>
      <w:r w:rsidRPr="00100F0A">
        <w:rPr>
          <w:color w:val="080808"/>
        </w:rPr>
        <w:t xml:space="preserve"> and Tas </w:t>
      </w:r>
      <w:r w:rsidR="003E7966">
        <w:rPr>
          <w:color w:val="080808"/>
        </w:rPr>
        <w:t>governments</w:t>
      </w:r>
      <w:r w:rsidRPr="00100F0A">
        <w:rPr>
          <w:color w:val="080808"/>
        </w:rPr>
        <w:t xml:space="preserve"> </w:t>
      </w:r>
      <w:r>
        <w:rPr>
          <w:color w:val="080808"/>
        </w:rPr>
        <w:t xml:space="preserve">should </w:t>
      </w:r>
      <w:r w:rsidRPr="00100F0A">
        <w:rPr>
          <w:color w:val="080808"/>
        </w:rPr>
        <w:t>consider completing feasibility studies to determine the viability of establishing additional oil waste capacity in their jurisdiction.</w:t>
      </w:r>
    </w:p>
    <w:p w14:paraId="6967CEF7" w14:textId="77777777" w:rsidR="00B8053D" w:rsidRPr="00100F0A" w:rsidRDefault="00B8053D" w:rsidP="00FA064F">
      <w:pPr>
        <w:rPr>
          <w:color w:val="080808"/>
        </w:rPr>
      </w:pPr>
    </w:p>
    <w:p w14:paraId="1728D230" w14:textId="77777777" w:rsidR="00FA064F" w:rsidRPr="00100F0A" w:rsidRDefault="00FA064F" w:rsidP="00FA064F">
      <w:pPr>
        <w:pStyle w:val="Heading2"/>
      </w:pPr>
      <w:bookmarkStart w:id="444" w:name="_Toc9383909"/>
      <w:bookmarkStart w:id="445" w:name="_Toc13225555"/>
      <w:bookmarkEnd w:id="444"/>
      <w:r w:rsidRPr="00100F0A">
        <w:t>Lead recycling facilities</w:t>
      </w:r>
      <w:bookmarkEnd w:id="445"/>
      <w:r w:rsidRPr="00100F0A">
        <w:t xml:space="preserve"> </w:t>
      </w:r>
    </w:p>
    <w:p w14:paraId="14144B9D" w14:textId="725239D4" w:rsidR="00FA064F" w:rsidRPr="00100F0A" w:rsidRDefault="00FA064F" w:rsidP="00FA064F">
      <w:pPr>
        <w:rPr>
          <w:color w:val="000000"/>
          <w:szCs w:val="20"/>
        </w:rPr>
      </w:pPr>
      <w:r>
        <w:rPr>
          <w:color w:val="000000"/>
          <w:szCs w:val="20"/>
        </w:rPr>
        <w:t xml:space="preserve">In the best estimate scenario, lead waste arisings are projected to </w:t>
      </w:r>
      <w:r w:rsidRPr="00100F0A">
        <w:rPr>
          <w:color w:val="000000"/>
          <w:szCs w:val="20"/>
        </w:rPr>
        <w:t xml:space="preserve">increase at </w:t>
      </w:r>
      <w:r>
        <w:rPr>
          <w:color w:val="000000"/>
          <w:szCs w:val="20"/>
        </w:rPr>
        <w:t>a rate equivalent to</w:t>
      </w:r>
      <w:r w:rsidRPr="00100F0A">
        <w:rPr>
          <w:color w:val="000000"/>
          <w:szCs w:val="20"/>
        </w:rPr>
        <w:t xml:space="preserve"> </w:t>
      </w:r>
      <w:r w:rsidR="00C34F48">
        <w:rPr>
          <w:color w:val="000000"/>
          <w:szCs w:val="20"/>
        </w:rPr>
        <w:t>20-year average</w:t>
      </w:r>
      <w:r w:rsidRPr="00100F0A">
        <w:rPr>
          <w:color w:val="000000"/>
          <w:szCs w:val="20"/>
        </w:rPr>
        <w:t xml:space="preserve"> population growth rate (1.4%) </w:t>
      </w:r>
      <w:r>
        <w:rPr>
          <w:color w:val="000000"/>
          <w:szCs w:val="20"/>
        </w:rPr>
        <w:t>in</w:t>
      </w:r>
      <w:r w:rsidRPr="00100F0A">
        <w:rPr>
          <w:color w:val="000000"/>
          <w:szCs w:val="20"/>
        </w:rPr>
        <w:t xml:space="preserve"> all jurisdictions except Tas</w:t>
      </w:r>
      <w:r>
        <w:rPr>
          <w:color w:val="000000"/>
          <w:szCs w:val="20"/>
        </w:rPr>
        <w:t xml:space="preserve"> (where lead waste is projected to follow trends in global zinc prices). On this basis</w:t>
      </w:r>
      <w:r w:rsidRPr="00100F0A">
        <w:rPr>
          <w:color w:val="000000"/>
          <w:szCs w:val="20"/>
        </w:rPr>
        <w:t xml:space="preserve">, the installed lead recycling infrastructure capacity could be met by 2023. </w:t>
      </w:r>
    </w:p>
    <w:p w14:paraId="69A58725" w14:textId="77777777" w:rsidR="00FA064F" w:rsidRPr="00100F0A" w:rsidRDefault="00FA064F" w:rsidP="00FA064F">
      <w:pPr>
        <w:rPr>
          <w:color w:val="000000"/>
          <w:szCs w:val="20"/>
        </w:rPr>
      </w:pPr>
    </w:p>
    <w:p w14:paraId="0E3E90BA" w14:textId="77777777" w:rsidR="00FA064F" w:rsidRPr="00100F0A" w:rsidRDefault="00FA064F" w:rsidP="00FA064F">
      <w:pPr>
        <w:rPr>
          <w:color w:val="000000"/>
          <w:szCs w:val="20"/>
        </w:rPr>
      </w:pPr>
      <w:r w:rsidRPr="00100F0A">
        <w:rPr>
          <w:color w:val="000000"/>
          <w:szCs w:val="20"/>
        </w:rPr>
        <w:t>Under the low scenario projection, of flat trend for 10 y</w:t>
      </w:r>
      <w:r>
        <w:rPr>
          <w:color w:val="000000"/>
          <w:szCs w:val="20"/>
        </w:rPr>
        <w:t>ea</w:t>
      </w:r>
      <w:r w:rsidRPr="00100F0A">
        <w:rPr>
          <w:color w:val="000000"/>
          <w:szCs w:val="20"/>
        </w:rPr>
        <w:t>rs and decline for the next 10 y</w:t>
      </w:r>
      <w:r>
        <w:rPr>
          <w:color w:val="000000"/>
          <w:szCs w:val="20"/>
        </w:rPr>
        <w:t>ea</w:t>
      </w:r>
      <w:r w:rsidRPr="00100F0A">
        <w:rPr>
          <w:color w:val="000000"/>
          <w:szCs w:val="20"/>
        </w:rPr>
        <w:t>rs due to replacement of battery technology, installed capacity is not expected to be exceeded over the next 20 years.</w:t>
      </w:r>
    </w:p>
    <w:p w14:paraId="1142F3D5" w14:textId="77777777" w:rsidR="00FA064F" w:rsidRPr="00100F0A" w:rsidRDefault="00FA064F" w:rsidP="00FA064F">
      <w:pPr>
        <w:rPr>
          <w:color w:val="000000"/>
          <w:szCs w:val="20"/>
        </w:rPr>
      </w:pPr>
    </w:p>
    <w:p w14:paraId="5090F810" w14:textId="1A3DEA7E" w:rsidR="00FA064F" w:rsidRPr="00100F0A" w:rsidRDefault="00FA064F" w:rsidP="00FA064F">
      <w:pPr>
        <w:rPr>
          <w:color w:val="000000"/>
          <w:szCs w:val="20"/>
        </w:rPr>
      </w:pPr>
      <w:r w:rsidRPr="00100F0A">
        <w:rPr>
          <w:color w:val="000000"/>
          <w:szCs w:val="20"/>
        </w:rPr>
        <w:t xml:space="preserve">Under the high estimate projection, of arisings increasing at the </w:t>
      </w:r>
      <w:r w:rsidR="00C34F48">
        <w:rPr>
          <w:color w:val="000000"/>
          <w:szCs w:val="20"/>
        </w:rPr>
        <w:t>20-year average</w:t>
      </w:r>
      <w:r w:rsidRPr="00100F0A">
        <w:rPr>
          <w:color w:val="000000"/>
          <w:szCs w:val="20"/>
        </w:rPr>
        <w:t xml:space="preserve"> rate of economic growth (2.8%) for all jurisdictions except Tas, capacity would be exceeded in 2018. The high scenario also includes a 20 kt</w:t>
      </w:r>
      <w:r>
        <w:rPr>
          <w:color w:val="000000"/>
          <w:szCs w:val="20"/>
        </w:rPr>
        <w:t>/yr</w:t>
      </w:r>
      <w:r w:rsidRPr="00100F0A">
        <w:rPr>
          <w:color w:val="000000"/>
          <w:szCs w:val="20"/>
        </w:rPr>
        <w:t xml:space="preserve"> release of jarosite waste from a stockpile at Nyrstar Hobart to Nyrstar in Port Pirie</w:t>
      </w:r>
      <w:r w:rsidRPr="00100F0A">
        <w:rPr>
          <w:rStyle w:val="FootnoteReference"/>
          <w:color w:val="000000"/>
          <w:szCs w:val="20"/>
        </w:rPr>
        <w:footnoteReference w:id="44"/>
      </w:r>
      <w:r w:rsidRPr="00100F0A">
        <w:rPr>
          <w:color w:val="000000"/>
          <w:szCs w:val="20"/>
        </w:rPr>
        <w:t>. The Nyrstar Port Pirie site is included in the e-waste infrastructure group due to the site</w:t>
      </w:r>
      <w:r>
        <w:rPr>
          <w:color w:val="000000"/>
          <w:szCs w:val="20"/>
        </w:rPr>
        <w:t>’</w:t>
      </w:r>
      <w:r w:rsidRPr="00100F0A">
        <w:rPr>
          <w:color w:val="000000"/>
          <w:szCs w:val="20"/>
        </w:rPr>
        <w:t xml:space="preserve">s defined capacity to process e-wastes such as CRT TVs and the site's unconstrained capacity to take lead waste from the Hobart </w:t>
      </w:r>
      <w:r>
        <w:rPr>
          <w:color w:val="000000"/>
          <w:szCs w:val="20"/>
        </w:rPr>
        <w:t>z</w:t>
      </w:r>
      <w:r w:rsidRPr="00100F0A">
        <w:rPr>
          <w:color w:val="000000"/>
          <w:szCs w:val="20"/>
        </w:rPr>
        <w:t xml:space="preserve">inc </w:t>
      </w:r>
      <w:r>
        <w:rPr>
          <w:color w:val="000000"/>
          <w:szCs w:val="20"/>
        </w:rPr>
        <w:t>s</w:t>
      </w:r>
      <w:r w:rsidRPr="00100F0A">
        <w:rPr>
          <w:color w:val="000000"/>
          <w:szCs w:val="20"/>
        </w:rPr>
        <w:t>melter. Nyrstar Port Pirie</w:t>
      </w:r>
      <w:r>
        <w:rPr>
          <w:color w:val="000000"/>
          <w:szCs w:val="20"/>
        </w:rPr>
        <w:t>’s</w:t>
      </w:r>
      <w:r w:rsidRPr="00100F0A">
        <w:rPr>
          <w:color w:val="000000"/>
          <w:szCs w:val="20"/>
        </w:rPr>
        <w:t xml:space="preserve"> lead recycling capacity is not included in the 124 kt/yr installed capacity estimate. There is also an additional 71 kt/yr of lead acid battery smelting capacity under construction that would add significant additional capacity along the </w:t>
      </w:r>
      <w:r>
        <w:rPr>
          <w:color w:val="000000"/>
          <w:szCs w:val="20"/>
        </w:rPr>
        <w:t>e</w:t>
      </w:r>
      <w:r w:rsidRPr="00100F0A">
        <w:rPr>
          <w:color w:val="000000"/>
          <w:szCs w:val="20"/>
        </w:rPr>
        <w:t xml:space="preserve">ast coast. </w:t>
      </w:r>
      <w:r>
        <w:rPr>
          <w:color w:val="000000"/>
          <w:szCs w:val="20"/>
        </w:rPr>
        <w:t>As</w:t>
      </w:r>
      <w:r w:rsidRPr="00100F0A">
        <w:rPr>
          <w:color w:val="000000"/>
          <w:szCs w:val="20"/>
        </w:rPr>
        <w:t xml:space="preserve"> Nyrstar Port Pirie </w:t>
      </w:r>
      <w:r>
        <w:rPr>
          <w:color w:val="000000"/>
          <w:szCs w:val="20"/>
        </w:rPr>
        <w:t xml:space="preserve">can </w:t>
      </w:r>
      <w:r w:rsidRPr="00100F0A">
        <w:rPr>
          <w:color w:val="000000"/>
          <w:szCs w:val="20"/>
        </w:rPr>
        <w:t>manage all of the lead</w:t>
      </w:r>
      <w:r>
        <w:rPr>
          <w:color w:val="000000"/>
          <w:szCs w:val="20"/>
        </w:rPr>
        <w:t>-</w:t>
      </w:r>
      <w:r w:rsidRPr="00100F0A">
        <w:rPr>
          <w:color w:val="000000"/>
          <w:szCs w:val="20"/>
        </w:rPr>
        <w:t xml:space="preserve">rich waste from the Nyrstar </w:t>
      </w:r>
      <w:r>
        <w:rPr>
          <w:color w:val="000000"/>
          <w:szCs w:val="20"/>
        </w:rPr>
        <w:t xml:space="preserve">Hobart </w:t>
      </w:r>
      <w:r w:rsidRPr="00100F0A">
        <w:rPr>
          <w:color w:val="000000"/>
          <w:szCs w:val="20"/>
        </w:rPr>
        <w:t>zinc smelter and the significant additional lead acid battery processing capacity coming on</w:t>
      </w:r>
      <w:r>
        <w:rPr>
          <w:color w:val="000000"/>
          <w:szCs w:val="20"/>
        </w:rPr>
        <w:t>-</w:t>
      </w:r>
      <w:r w:rsidRPr="00100F0A">
        <w:rPr>
          <w:color w:val="000000"/>
          <w:szCs w:val="20"/>
        </w:rPr>
        <w:t xml:space="preserve">line, there is likely to be sufficient lead recycling capacity under all scenarios. </w:t>
      </w:r>
    </w:p>
    <w:p w14:paraId="648954CD" w14:textId="77777777" w:rsidR="00FA064F" w:rsidRPr="00100F0A" w:rsidRDefault="00FA064F" w:rsidP="00FA064F">
      <w:pPr>
        <w:rPr>
          <w:color w:val="000000"/>
          <w:szCs w:val="20"/>
        </w:rPr>
      </w:pPr>
    </w:p>
    <w:p w14:paraId="03873842" w14:textId="77777777" w:rsidR="00FA064F" w:rsidRDefault="00FA064F" w:rsidP="00FA064F">
      <w:pPr>
        <w:rPr>
          <w:color w:val="000000"/>
          <w:szCs w:val="20"/>
        </w:rPr>
      </w:pPr>
      <w:r w:rsidRPr="00100F0A">
        <w:rPr>
          <w:color w:val="000000"/>
          <w:szCs w:val="20"/>
        </w:rPr>
        <w:t>The lead recycling assessment has moderate level of uncertainty due to</w:t>
      </w:r>
      <w:r>
        <w:rPr>
          <w:color w:val="000000"/>
          <w:szCs w:val="20"/>
        </w:rPr>
        <w:t xml:space="preserve"> the:</w:t>
      </w:r>
    </w:p>
    <w:p w14:paraId="7585F226" w14:textId="77777777" w:rsidR="00FA064F" w:rsidRDefault="00FA064F" w:rsidP="00FA064F">
      <w:pPr>
        <w:pStyle w:val="Bullet1"/>
      </w:pPr>
      <w:r w:rsidRPr="00100F0A">
        <w:t>lack of industry response for the 2018 assessment</w:t>
      </w:r>
    </w:p>
    <w:p w14:paraId="2EA78228" w14:textId="77777777" w:rsidR="00FA064F" w:rsidRPr="00100F0A" w:rsidRDefault="00FA064F" w:rsidP="00FA064F">
      <w:pPr>
        <w:pStyle w:val="Bullet1"/>
      </w:pPr>
      <w:r>
        <w:t xml:space="preserve">lack of </w:t>
      </w:r>
      <w:r w:rsidRPr="00100F0A">
        <w:t>a clearly defined upper limit on Nyrstar Port Pirie's ability to manage all of the lead waste from Nyrstar operations</w:t>
      </w:r>
      <w:r>
        <w:t>,</w:t>
      </w:r>
      <w:r w:rsidRPr="00100F0A">
        <w:t xml:space="preserve"> in addition to lead waste from other sectors.</w:t>
      </w:r>
    </w:p>
    <w:p w14:paraId="6B39172A" w14:textId="77777777" w:rsidR="00FA064F" w:rsidRPr="00100F0A" w:rsidRDefault="00FA064F" w:rsidP="00FA064F">
      <w:pPr>
        <w:rPr>
          <w:color w:val="000000"/>
          <w:szCs w:val="20"/>
        </w:rPr>
      </w:pPr>
    </w:p>
    <w:p w14:paraId="083A8FE9" w14:textId="77777777" w:rsidR="00FA064F" w:rsidRPr="00100F0A" w:rsidRDefault="00FA064F" w:rsidP="00FA064F">
      <w:pPr>
        <w:rPr>
          <w:color w:val="080808"/>
        </w:rPr>
      </w:pPr>
      <w:r w:rsidRPr="00100F0A">
        <w:rPr>
          <w:color w:val="080808"/>
        </w:rPr>
        <w:t>Recycling capacity for lead acid batteries is almost all located in NSW, with some capacity now in Qld</w:t>
      </w:r>
      <w:r>
        <w:rPr>
          <w:color w:val="080808"/>
        </w:rPr>
        <w:t xml:space="preserve"> s</w:t>
      </w:r>
      <w:r w:rsidRPr="00100F0A">
        <w:rPr>
          <w:color w:val="080808"/>
        </w:rPr>
        <w:t>o lead acid batteries are transported from other jurisdictions to NSW or Qld or exported overseas under an export permit. The transport costs from WA in particular may result in significant battery stockpiling in WA.</w:t>
      </w:r>
    </w:p>
    <w:p w14:paraId="49AF959E" w14:textId="77777777" w:rsidR="00FA064F" w:rsidRPr="00100F0A" w:rsidRDefault="00FA064F" w:rsidP="00FA064F">
      <w:pPr>
        <w:rPr>
          <w:color w:val="080808"/>
        </w:rPr>
      </w:pPr>
    </w:p>
    <w:p w14:paraId="700B9C2C" w14:textId="54B53052" w:rsidR="00FA064F" w:rsidRDefault="00FA064F" w:rsidP="00FA064F">
      <w:pPr>
        <w:rPr>
          <w:color w:val="080808"/>
        </w:rPr>
      </w:pPr>
      <w:r w:rsidRPr="00100F0A">
        <w:rPr>
          <w:b/>
          <w:color w:val="080808"/>
        </w:rPr>
        <w:t xml:space="preserve">Recommendation </w:t>
      </w:r>
      <w:r>
        <w:rPr>
          <w:b/>
          <w:color w:val="080808"/>
        </w:rPr>
        <w:t>5</w:t>
      </w:r>
      <w:r w:rsidRPr="00100F0A">
        <w:rPr>
          <w:b/>
          <w:color w:val="080808"/>
        </w:rPr>
        <w:t xml:space="preserve">: </w:t>
      </w:r>
      <w:r w:rsidRPr="00100F0A">
        <w:rPr>
          <w:color w:val="080808"/>
        </w:rPr>
        <w:t xml:space="preserve">WA government </w:t>
      </w:r>
      <w:r>
        <w:rPr>
          <w:color w:val="080808"/>
        </w:rPr>
        <w:t xml:space="preserve">should </w:t>
      </w:r>
      <w:r w:rsidRPr="00100F0A">
        <w:rPr>
          <w:color w:val="080808"/>
        </w:rPr>
        <w:t>consider completing</w:t>
      </w:r>
      <w:r>
        <w:rPr>
          <w:color w:val="080808"/>
        </w:rPr>
        <w:t xml:space="preserve"> a</w:t>
      </w:r>
      <w:r w:rsidRPr="00100F0A">
        <w:rPr>
          <w:color w:val="080808"/>
        </w:rPr>
        <w:t xml:space="preserve"> feasibility stud</w:t>
      </w:r>
      <w:r>
        <w:rPr>
          <w:color w:val="080808"/>
        </w:rPr>
        <w:t>y</w:t>
      </w:r>
      <w:r w:rsidRPr="00100F0A">
        <w:rPr>
          <w:color w:val="080808"/>
        </w:rPr>
        <w:t xml:space="preserve"> to determine the viability of establishing lead waste recycling capacity in their jurisdiction.</w:t>
      </w:r>
    </w:p>
    <w:p w14:paraId="460B9A85" w14:textId="77777777" w:rsidR="00B8053D" w:rsidRPr="00100F0A" w:rsidRDefault="00B8053D" w:rsidP="00FA064F">
      <w:pPr>
        <w:rPr>
          <w:color w:val="080808"/>
        </w:rPr>
      </w:pPr>
    </w:p>
    <w:p w14:paraId="087332A8" w14:textId="77777777" w:rsidR="00FA064F" w:rsidRPr="00100F0A" w:rsidRDefault="00FA064F" w:rsidP="00FA064F">
      <w:pPr>
        <w:pStyle w:val="Heading2"/>
      </w:pPr>
      <w:bookmarkStart w:id="446" w:name="_Toc13225556"/>
      <w:r w:rsidRPr="00100F0A">
        <w:t>Mercury recycling facilities</w:t>
      </w:r>
      <w:bookmarkEnd w:id="446"/>
    </w:p>
    <w:p w14:paraId="466B1572" w14:textId="77777777" w:rsidR="00FA064F" w:rsidRPr="00100F0A" w:rsidRDefault="00FA064F" w:rsidP="00FA064F">
      <w:pPr>
        <w:pStyle w:val="BodyText"/>
      </w:pPr>
      <w:r w:rsidRPr="00100F0A">
        <w:t xml:space="preserve">At a national level, the assessment indicates that over the next 20 years the currently installed capacity of Australia's current mercury waste recycling infrastructure will be able to recycle waste arisings. </w:t>
      </w:r>
    </w:p>
    <w:p w14:paraId="15229C05" w14:textId="77777777" w:rsidR="00FA064F" w:rsidRPr="00100F0A" w:rsidRDefault="00FA064F" w:rsidP="00FA064F">
      <w:pPr>
        <w:pStyle w:val="BodyText"/>
      </w:pPr>
    </w:p>
    <w:p w14:paraId="6BC82AFB" w14:textId="4446A956" w:rsidR="00FA064F" w:rsidRPr="00100F0A" w:rsidRDefault="00FA064F" w:rsidP="00FA064F">
      <w:pPr>
        <w:pStyle w:val="BodyText"/>
      </w:pPr>
      <w:r w:rsidRPr="00100F0A">
        <w:t>Industry reported around 10 times more receipts than was reported in the waste tracking systems, reflecting that some of the mercury waste (such as unprocessed light fittings) do</w:t>
      </w:r>
      <w:r>
        <w:t>es</w:t>
      </w:r>
      <w:r w:rsidRPr="00100F0A">
        <w:t xml:space="preserve"> not require tracking. </w:t>
      </w:r>
      <w:r w:rsidR="003A772B" w:rsidRPr="009D734D">
        <w:rPr>
          <w:rFonts w:eastAsia="Times New Roman"/>
          <w:shd w:val="clear" w:color="auto" w:fill="FF0000"/>
        </w:rPr>
        <w:t>Text withheld to maintain commercial confidentiality</w:t>
      </w:r>
      <w:r w:rsidR="003A772B" w:rsidRPr="00100F0A">
        <w:rPr>
          <w:rFonts w:asciiTheme="minorHAnsi" w:eastAsia="Times New Roman" w:hAnsiTheme="minorHAnsi" w:cstheme="minorHAnsi"/>
          <w:color w:val="000000"/>
          <w:sz w:val="18"/>
          <w:szCs w:val="18"/>
          <w:lang w:eastAsia="en-AU"/>
        </w:rPr>
        <w:t xml:space="preserve"> </w:t>
      </w:r>
      <w:r w:rsidRPr="00100F0A">
        <w:t>.</w:t>
      </w:r>
    </w:p>
    <w:p w14:paraId="7925BDBD" w14:textId="77777777" w:rsidR="00FA064F" w:rsidRPr="00100F0A" w:rsidRDefault="00FA064F" w:rsidP="00FA064F">
      <w:pPr>
        <w:rPr>
          <w:color w:val="000000"/>
          <w:szCs w:val="20"/>
        </w:rPr>
      </w:pPr>
    </w:p>
    <w:p w14:paraId="37ED04DB" w14:textId="28DCB867" w:rsidR="00FA064F" w:rsidRDefault="00FA064F" w:rsidP="00FA064F">
      <w:pPr>
        <w:pStyle w:val="BodyText"/>
      </w:pPr>
      <w:r w:rsidRPr="00100F0A">
        <w:t>The mercury recycling assessment has a low level of uncertainty, with excellent industry input and a clearly defined infrastructure group targeting mercury recycling as the</w:t>
      </w:r>
      <w:r>
        <w:t>ir</w:t>
      </w:r>
      <w:r w:rsidRPr="00100F0A">
        <w:t xml:space="preserve"> core business.</w:t>
      </w:r>
    </w:p>
    <w:p w14:paraId="369B0216" w14:textId="77777777" w:rsidR="00B8053D" w:rsidRPr="00100F0A" w:rsidRDefault="00B8053D" w:rsidP="00FA064F">
      <w:pPr>
        <w:pStyle w:val="BodyText"/>
      </w:pPr>
    </w:p>
    <w:p w14:paraId="1AE00F84" w14:textId="77777777" w:rsidR="00FA064F" w:rsidRPr="00100F0A" w:rsidRDefault="00FA064F" w:rsidP="00FA064F">
      <w:pPr>
        <w:pStyle w:val="Heading2"/>
      </w:pPr>
      <w:bookmarkStart w:id="447" w:name="_Toc13225557"/>
      <w:r w:rsidRPr="00100F0A">
        <w:t>Solvents/paints/organic chemicals recycling facilities</w:t>
      </w:r>
      <w:bookmarkEnd w:id="447"/>
      <w:r w:rsidRPr="00100F0A">
        <w:t xml:space="preserve"> </w:t>
      </w:r>
    </w:p>
    <w:p w14:paraId="20BFF925" w14:textId="77777777" w:rsidR="00FA064F" w:rsidRPr="00100F0A" w:rsidRDefault="00FA064F" w:rsidP="00FA064F">
      <w:pPr>
        <w:pStyle w:val="BodyText"/>
      </w:pPr>
      <w:r w:rsidRPr="00100F0A">
        <w:t>At a national level, the assessment indicates that the current capacity of solvents/paints/organic chemicals recycling is being exceeded. This is unlikely to be accurate due to the high level of uncertainty in the capacity assessment for this group. A number of factors need to be considered:</w:t>
      </w:r>
    </w:p>
    <w:p w14:paraId="7FC5D123" w14:textId="77777777" w:rsidR="00FA064F" w:rsidRPr="0084535A" w:rsidRDefault="00FA064F" w:rsidP="009D734D">
      <w:pPr>
        <w:pStyle w:val="ListNumber"/>
        <w:numPr>
          <w:ilvl w:val="0"/>
          <w:numId w:val="61"/>
        </w:numPr>
      </w:pPr>
      <w:r>
        <w:t>i</w:t>
      </w:r>
      <w:r w:rsidRPr="0080240F">
        <w:t>t is likely that some materials sent to energy recovery are recorded as recycled (resulting in over estimate of arisings to recycling and underestimate to energy recovery)</w:t>
      </w:r>
    </w:p>
    <w:p w14:paraId="62F51D9B" w14:textId="77777777" w:rsidR="00FA064F" w:rsidRPr="0084535A" w:rsidRDefault="00FA064F" w:rsidP="00FA064F">
      <w:pPr>
        <w:pStyle w:val="ListNumber"/>
      </w:pPr>
      <w:r>
        <w:t>s</w:t>
      </w:r>
      <w:r w:rsidRPr="0084535A">
        <w:t>ome solvent/paint recycling capacity is likely to be within the CPT infrastructure group</w:t>
      </w:r>
    </w:p>
    <w:p w14:paraId="707DA0BE" w14:textId="77777777" w:rsidR="00FA064F" w:rsidRPr="0084535A" w:rsidRDefault="00FA064F" w:rsidP="00FA064F">
      <w:pPr>
        <w:pStyle w:val="ListNumber"/>
      </w:pPr>
      <w:r w:rsidRPr="0084535A">
        <w:t xml:space="preserve"> </w:t>
      </w:r>
      <w:r>
        <w:t>s</w:t>
      </w:r>
      <w:r w:rsidRPr="0084535A">
        <w:t xml:space="preserve">ome smaller operators that recycle solvents/paint may not have not been captured in the infrastructure database. </w:t>
      </w:r>
    </w:p>
    <w:p w14:paraId="1E8C8645" w14:textId="77777777" w:rsidR="00FA064F" w:rsidRPr="00100F0A" w:rsidRDefault="00FA064F" w:rsidP="00FA064F">
      <w:pPr>
        <w:rPr>
          <w:color w:val="000000"/>
          <w:szCs w:val="20"/>
        </w:rPr>
      </w:pPr>
    </w:p>
    <w:p w14:paraId="1007D89D" w14:textId="3E941D9D" w:rsidR="00FA064F" w:rsidRDefault="00FA064F" w:rsidP="00FA064F">
      <w:pPr>
        <w:rPr>
          <w:color w:val="080808"/>
        </w:rPr>
      </w:pPr>
      <w:r w:rsidRPr="00100F0A">
        <w:rPr>
          <w:color w:val="000000"/>
          <w:szCs w:val="20"/>
        </w:rPr>
        <w:t xml:space="preserve">Based on industry consultation and this assessment, a national shortage of this infrastructure over the next 20 years is considered unlikely. </w:t>
      </w:r>
      <w:r w:rsidRPr="00100F0A">
        <w:rPr>
          <w:color w:val="080808"/>
        </w:rPr>
        <w:t xml:space="preserve">Solvent/paints recycling infrastructure was identified only on the </w:t>
      </w:r>
      <w:r>
        <w:rPr>
          <w:color w:val="080808"/>
        </w:rPr>
        <w:t>e</w:t>
      </w:r>
      <w:r w:rsidRPr="00100F0A">
        <w:rPr>
          <w:color w:val="080808"/>
        </w:rPr>
        <w:t>ast coast (NSW, Qld</w:t>
      </w:r>
      <w:r>
        <w:rPr>
          <w:color w:val="080808"/>
        </w:rPr>
        <w:t>, Vic</w:t>
      </w:r>
      <w:r w:rsidRPr="00100F0A">
        <w:rPr>
          <w:color w:val="080808"/>
        </w:rPr>
        <w:t xml:space="preserve">). ACT, </w:t>
      </w:r>
      <w:r>
        <w:rPr>
          <w:color w:val="080808"/>
        </w:rPr>
        <w:t xml:space="preserve">NT, </w:t>
      </w:r>
      <w:r w:rsidRPr="00100F0A">
        <w:rPr>
          <w:color w:val="080808"/>
        </w:rPr>
        <w:t>SA</w:t>
      </w:r>
      <w:r>
        <w:rPr>
          <w:color w:val="080808"/>
        </w:rPr>
        <w:t xml:space="preserve">, Tas and </w:t>
      </w:r>
      <w:r w:rsidRPr="00100F0A">
        <w:rPr>
          <w:color w:val="080808"/>
        </w:rPr>
        <w:t>WA had no sites identified. In these jurisdictions, solvents/paint waste is sent interstate, managed within other infrastructure groups or taken to sites not identified in the capacity database.</w:t>
      </w:r>
    </w:p>
    <w:p w14:paraId="5340E9F3" w14:textId="77777777" w:rsidR="00B8053D" w:rsidRPr="00100F0A" w:rsidRDefault="00B8053D" w:rsidP="00FA064F">
      <w:pPr>
        <w:rPr>
          <w:color w:val="080808"/>
        </w:rPr>
      </w:pPr>
    </w:p>
    <w:p w14:paraId="180DC6D2" w14:textId="77777777" w:rsidR="00FA064F" w:rsidRPr="00100F0A" w:rsidRDefault="00FA064F" w:rsidP="00FA064F">
      <w:pPr>
        <w:pStyle w:val="Heading2"/>
      </w:pPr>
      <w:bookmarkStart w:id="448" w:name="_Toc13225558"/>
      <w:r w:rsidRPr="00100F0A">
        <w:t>Organics recycling (NEPM K code wastes) facilities</w:t>
      </w:r>
      <w:bookmarkEnd w:id="448"/>
      <w:r w:rsidRPr="00100F0A">
        <w:t xml:space="preserve"> </w:t>
      </w:r>
    </w:p>
    <w:p w14:paraId="63911A36" w14:textId="77777777" w:rsidR="00FA064F" w:rsidRPr="00100F0A" w:rsidRDefault="00FA064F" w:rsidP="00FA064F">
      <w:pPr>
        <w:pStyle w:val="BodyText"/>
      </w:pPr>
      <w:r w:rsidRPr="00100F0A">
        <w:t xml:space="preserve">At a national level, projections indicate that under all scenarios the current capacity of organics recycling infrastructure (for NEPM K code organics) is being exceeded. This is inaccurate and is linked to the very high uncertainty of the assessment of needs vs capacity. </w:t>
      </w:r>
    </w:p>
    <w:p w14:paraId="50A78519" w14:textId="77777777" w:rsidR="00FA064F" w:rsidRPr="00100F0A" w:rsidRDefault="00FA064F" w:rsidP="00FA064F">
      <w:pPr>
        <w:pStyle w:val="BodyText"/>
      </w:pPr>
    </w:p>
    <w:p w14:paraId="45A9F71C" w14:textId="77777777" w:rsidR="00FA064F" w:rsidRPr="00100F0A" w:rsidRDefault="00FA064F" w:rsidP="00FA064F">
      <w:pPr>
        <w:pStyle w:val="BodyText"/>
      </w:pPr>
      <w:r w:rsidRPr="00100F0A">
        <w:t xml:space="preserve">The majority of the 600 kt arisings in 2016-17 of NEPM K code waste </w:t>
      </w:r>
      <w:r>
        <w:t>is</w:t>
      </w:r>
      <w:r w:rsidRPr="00100F0A">
        <w:t xml:space="preserve"> sent to composting sites that are not included in the infrastructure capacity assessment. To complete a quantitative analysis of projected arisings of NEPM K code organics against infrastructure capacity, extensive data would be required on non-hazardous waste infrastructure that accepts only a relatively small amount of low-level hazardous waste as part of much larger non-hazardous waste volume</w:t>
      </w:r>
      <w:r>
        <w:t>s</w:t>
      </w:r>
      <w:r w:rsidRPr="00100F0A">
        <w:t xml:space="preserve">. In addition, some smaller operators that specialise in hazardous organic waste may not be within the infrastructure database due to the diffuse nature of this infrastructure group. </w:t>
      </w:r>
    </w:p>
    <w:p w14:paraId="2479BDA6" w14:textId="77777777" w:rsidR="00FA064F" w:rsidRPr="00100F0A" w:rsidRDefault="00FA064F" w:rsidP="00FA064F">
      <w:pPr>
        <w:rPr>
          <w:color w:val="080808"/>
          <w:szCs w:val="20"/>
        </w:rPr>
      </w:pPr>
    </w:p>
    <w:p w14:paraId="6D6D3FED" w14:textId="74151D53" w:rsidR="00FA064F" w:rsidRDefault="00FA064F" w:rsidP="00FA064F">
      <w:pPr>
        <w:rPr>
          <w:color w:val="080808"/>
          <w:szCs w:val="20"/>
        </w:rPr>
      </w:pPr>
      <w:r w:rsidRPr="00100F0A">
        <w:rPr>
          <w:color w:val="080808"/>
          <w:szCs w:val="20"/>
        </w:rPr>
        <w:t xml:space="preserve">Based on industry consultation and our assessment of organics recycling infrastructure (for NEPM code N) we do not believe a national shortage of this infrastructure group </w:t>
      </w:r>
      <w:r>
        <w:rPr>
          <w:color w:val="080808"/>
          <w:szCs w:val="20"/>
        </w:rPr>
        <w:t xml:space="preserve">is likely </w:t>
      </w:r>
      <w:r w:rsidRPr="00100F0A">
        <w:rPr>
          <w:color w:val="080808"/>
          <w:szCs w:val="20"/>
        </w:rPr>
        <w:t xml:space="preserve">over the next 20 years. This assessment is supported by the industry consultation results presented in Table 45. It is estimated that the sites within the scope of this infrastructure group received 99 kt of waste in 2016-17 (not 600 kt) and have an installed capacity to manage 106 kt/yr. </w:t>
      </w:r>
    </w:p>
    <w:p w14:paraId="6912F5C2" w14:textId="77777777" w:rsidR="00B8053D" w:rsidRPr="00100F0A" w:rsidRDefault="00B8053D" w:rsidP="00FA064F">
      <w:pPr>
        <w:rPr>
          <w:color w:val="080808"/>
          <w:szCs w:val="20"/>
        </w:rPr>
      </w:pPr>
    </w:p>
    <w:p w14:paraId="133A50E6" w14:textId="77777777" w:rsidR="00FA064F" w:rsidRPr="00100F0A" w:rsidRDefault="00FA064F" w:rsidP="00FA064F">
      <w:pPr>
        <w:pStyle w:val="Heading2"/>
      </w:pPr>
      <w:bookmarkStart w:id="449" w:name="_Toc13225559"/>
      <w:r w:rsidRPr="00100F0A">
        <w:t>End-of-life-tyre recycling facilities</w:t>
      </w:r>
      <w:bookmarkEnd w:id="449"/>
    </w:p>
    <w:p w14:paraId="3F3E4D50" w14:textId="77777777" w:rsidR="00FA064F" w:rsidRPr="00100F0A" w:rsidRDefault="00FA064F" w:rsidP="00FA064F">
      <w:pPr>
        <w:rPr>
          <w:color w:val="080808"/>
        </w:rPr>
      </w:pPr>
      <w:r w:rsidRPr="00100F0A">
        <w:rPr>
          <w:color w:val="080808"/>
        </w:rPr>
        <w:t>The national assessment of need vs capacity indicates that over the next 20 years the currently installed capacity of Australia's EOLT recycling infrastructure (100 kt/yr) will be able to recycle waste arisings (44 kt/yr in 2016-17). However, the EOLT recycling industry reported around 90 kt of EOLT received which is more than double the 44 kt waste arisings recycled in 2016-17. The difference is related to EOLT recyclers receiving EOLT and exporting them with minimal processing to international energy recovery or reuse markets (the 44 kt relates to full on</w:t>
      </w:r>
      <w:r>
        <w:rPr>
          <w:color w:val="080808"/>
        </w:rPr>
        <w:t>-</w:t>
      </w:r>
      <w:r w:rsidRPr="00100F0A">
        <w:rPr>
          <w:color w:val="080808"/>
        </w:rPr>
        <w:t xml:space="preserve">shore processing). </w:t>
      </w:r>
    </w:p>
    <w:p w14:paraId="5428D406" w14:textId="77777777" w:rsidR="00FA064F" w:rsidRPr="00100F0A" w:rsidRDefault="00FA064F" w:rsidP="00FA064F">
      <w:pPr>
        <w:rPr>
          <w:color w:val="080808"/>
        </w:rPr>
      </w:pPr>
    </w:p>
    <w:p w14:paraId="3D5ABB7A" w14:textId="3234FABD" w:rsidR="00FA064F" w:rsidRDefault="00FA064F" w:rsidP="00FA064F">
      <w:pPr>
        <w:rPr>
          <w:color w:val="080808"/>
        </w:rPr>
      </w:pPr>
      <w:r w:rsidRPr="00100F0A">
        <w:rPr>
          <w:color w:val="080808"/>
        </w:rPr>
        <w:t>Whilst there is good capacity in Australia to collect and partly process tyres for export, there is a lack of well-developed on-shore markets for tyre</w:t>
      </w:r>
      <w:r>
        <w:rPr>
          <w:color w:val="080808"/>
        </w:rPr>
        <w:t>-</w:t>
      </w:r>
      <w:r w:rsidRPr="00100F0A">
        <w:rPr>
          <w:color w:val="080808"/>
        </w:rPr>
        <w:t xml:space="preserve">derived products. Around 60% of </w:t>
      </w:r>
      <w:r w:rsidR="000C7898">
        <w:rPr>
          <w:color w:val="080808"/>
        </w:rPr>
        <w:t xml:space="preserve">Australian </w:t>
      </w:r>
      <w:r w:rsidRPr="00100F0A">
        <w:rPr>
          <w:color w:val="080808"/>
        </w:rPr>
        <w:t>EOLT</w:t>
      </w:r>
      <w:r w:rsidR="000C7898">
        <w:rPr>
          <w:color w:val="080808"/>
        </w:rPr>
        <w:t>s</w:t>
      </w:r>
      <w:r w:rsidRPr="00100F0A">
        <w:rPr>
          <w:color w:val="080808"/>
        </w:rPr>
        <w:t xml:space="preserve"> are sent to landfill, stockpiled or go to unknown fates. For Australia to increase the recovery of these lost </w:t>
      </w:r>
      <w:r>
        <w:rPr>
          <w:color w:val="080808"/>
        </w:rPr>
        <w:t>EOLT</w:t>
      </w:r>
      <w:r w:rsidR="000C7898">
        <w:rPr>
          <w:color w:val="080808"/>
        </w:rPr>
        <w:t>s</w:t>
      </w:r>
      <w:r w:rsidRPr="00100F0A">
        <w:rPr>
          <w:color w:val="080808"/>
        </w:rPr>
        <w:t xml:space="preserve"> there will need to be strong developments in processing technology in Australia. However, these investments cannot occur without </w:t>
      </w:r>
      <w:r>
        <w:rPr>
          <w:color w:val="080808"/>
        </w:rPr>
        <w:t>further development of</w:t>
      </w:r>
      <w:r w:rsidRPr="00100F0A">
        <w:rPr>
          <w:color w:val="080808"/>
        </w:rPr>
        <w:t xml:space="preserve"> offtake markets for the tyre</w:t>
      </w:r>
      <w:r>
        <w:rPr>
          <w:color w:val="080808"/>
        </w:rPr>
        <w:t>-</w:t>
      </w:r>
      <w:r w:rsidRPr="00100F0A">
        <w:rPr>
          <w:color w:val="080808"/>
        </w:rPr>
        <w:t>derived products</w:t>
      </w:r>
      <w:r>
        <w:rPr>
          <w:color w:val="080808"/>
        </w:rPr>
        <w:t xml:space="preserve"> </w:t>
      </w:r>
      <w:r w:rsidRPr="00100F0A">
        <w:rPr>
          <w:color w:val="080808"/>
        </w:rPr>
        <w:t xml:space="preserve">and enforcement to ensure tyres are not sent to landfill, stockpiled, dumped or exported to low value management options. </w:t>
      </w:r>
    </w:p>
    <w:p w14:paraId="508A8A23" w14:textId="6DE2305C" w:rsidR="000C7898" w:rsidRDefault="000C7898" w:rsidP="00FA064F">
      <w:pPr>
        <w:rPr>
          <w:color w:val="080808"/>
        </w:rPr>
      </w:pPr>
    </w:p>
    <w:p w14:paraId="19663CD9" w14:textId="6AF36963" w:rsidR="000C7898" w:rsidRDefault="000C7898" w:rsidP="00FA064F">
      <w:pPr>
        <w:rPr>
          <w:color w:val="080808"/>
        </w:rPr>
      </w:pPr>
      <w:r>
        <w:rPr>
          <w:color w:val="080808"/>
        </w:rPr>
        <w:t>EOLTs are the only Australian controlled waste that is exported in significant tonnages to other countries</w:t>
      </w:r>
      <w:r w:rsidR="00D97FEC">
        <w:rPr>
          <w:color w:val="080808"/>
        </w:rPr>
        <w:t>. I</w:t>
      </w:r>
      <w:r w:rsidR="00D97FEC" w:rsidRPr="00D97FEC">
        <w:rPr>
          <w:color w:val="080808"/>
        </w:rPr>
        <w:t xml:space="preserve">ndia is the largest export market for Australian EOLTs. </w:t>
      </w:r>
      <w:r w:rsidR="00D97FEC">
        <w:rPr>
          <w:color w:val="080808"/>
        </w:rPr>
        <w:t>I</w:t>
      </w:r>
      <w:r w:rsidR="00D97FEC" w:rsidRPr="00D97FEC">
        <w:rPr>
          <w:color w:val="080808"/>
        </w:rPr>
        <w:t xml:space="preserve">ndia may restrict EOLT imports in an effort to get local EOLT collected and recycled. This would follow recent trends such as </w:t>
      </w:r>
      <w:hyperlink r:id="rId107" w:history="1">
        <w:r w:rsidR="00D97FEC" w:rsidRPr="00D97FEC">
          <w:rPr>
            <w:rStyle w:val="Hyperlink"/>
          </w:rPr>
          <w:t>India banning plastic imports</w:t>
        </w:r>
      </w:hyperlink>
      <w:r w:rsidR="00D97FEC" w:rsidRPr="00D97FEC">
        <w:rPr>
          <w:color w:val="080808"/>
        </w:rPr>
        <w:t>.</w:t>
      </w:r>
      <w:r>
        <w:rPr>
          <w:color w:val="080808"/>
        </w:rPr>
        <w:t xml:space="preserve"> </w:t>
      </w:r>
      <w:r w:rsidR="00D97FEC">
        <w:rPr>
          <w:color w:val="080808"/>
        </w:rPr>
        <w:t>Should India or other countries receiving large tonnages of EOLTs from Australia (e.g. Malaysia) restrict or ban this flow of EOLTs, it is likely that Australia’s EOLTs processing capacity would be insufficient.</w:t>
      </w:r>
    </w:p>
    <w:p w14:paraId="345C0E80" w14:textId="77777777" w:rsidR="000C7898" w:rsidRPr="00100F0A" w:rsidRDefault="000C7898" w:rsidP="00FA064F">
      <w:pPr>
        <w:rPr>
          <w:color w:val="080808"/>
        </w:rPr>
      </w:pPr>
    </w:p>
    <w:p w14:paraId="5CD7143B" w14:textId="77777777" w:rsidR="00FA064F" w:rsidRPr="00100F0A" w:rsidRDefault="00FA064F" w:rsidP="00FA064F">
      <w:pPr>
        <w:pStyle w:val="Heading2"/>
      </w:pPr>
      <w:bookmarkStart w:id="450" w:name="_Toc13225560"/>
      <w:r>
        <w:t>SPL</w:t>
      </w:r>
      <w:r w:rsidRPr="00100F0A">
        <w:t xml:space="preserve"> recycling facilities</w:t>
      </w:r>
      <w:bookmarkEnd w:id="450"/>
    </w:p>
    <w:p w14:paraId="422FFE44" w14:textId="77777777" w:rsidR="00FA064F" w:rsidRPr="00100F0A" w:rsidRDefault="00FA064F" w:rsidP="00FA064F">
      <w:pPr>
        <w:pStyle w:val="BodyText"/>
      </w:pPr>
      <w:r w:rsidRPr="00100F0A">
        <w:t xml:space="preserve">An estimated 46 kt of </w:t>
      </w:r>
      <w:r>
        <w:t>spent pot liner (</w:t>
      </w:r>
      <w:r w:rsidRPr="00100F0A">
        <w:t>SPL</w:t>
      </w:r>
      <w:r>
        <w:t>)</w:t>
      </w:r>
      <w:r w:rsidRPr="00100F0A">
        <w:t xml:space="preserve"> arose in 2016-17 which suggests that the aluminium industry is processing all of the current SPL being generated and some of a significant stockpile of SPL. REC </w:t>
      </w:r>
      <w:r>
        <w:t>(</w:t>
      </w:r>
      <w:r w:rsidRPr="00100F0A">
        <w:t>2016</w:t>
      </w:r>
      <w:r>
        <w:t>)</w:t>
      </w:r>
      <w:r w:rsidRPr="00100F0A">
        <w:t xml:space="preserve"> estimate</w:t>
      </w:r>
      <w:r>
        <w:t>d</w:t>
      </w:r>
      <w:r w:rsidRPr="00100F0A">
        <w:t xml:space="preserve"> Australia's annual SPL generation at around 30 kt/yr (based on </w:t>
      </w:r>
      <w:r>
        <w:t>a</w:t>
      </w:r>
      <w:r w:rsidRPr="00100F0A">
        <w:t xml:space="preserve">luminium production rates).  REC </w:t>
      </w:r>
      <w:r>
        <w:t>(</w:t>
      </w:r>
      <w:r w:rsidRPr="00100F0A">
        <w:t>2016</w:t>
      </w:r>
      <w:r>
        <w:t>)</w:t>
      </w:r>
      <w:r w:rsidRPr="00100F0A">
        <w:t xml:space="preserve"> estimated the stockpile of SPL to be around 700,000 tonnes, of which around 390,000 tonnes are</w:t>
      </w:r>
      <w:r>
        <w:t xml:space="preserve"> in</w:t>
      </w:r>
      <w:r w:rsidRPr="00100F0A">
        <w:t xml:space="preserve"> on</w:t>
      </w:r>
      <w:r>
        <w:t>-</w:t>
      </w:r>
      <w:r w:rsidRPr="00100F0A">
        <w:t>site</w:t>
      </w:r>
      <w:r>
        <w:t xml:space="preserve"> landfills</w:t>
      </w:r>
      <w:r w:rsidRPr="00100F0A">
        <w:t xml:space="preserve"> at aluminium smelters around Australia.</w:t>
      </w:r>
    </w:p>
    <w:p w14:paraId="463A4095" w14:textId="77777777" w:rsidR="00FA064F" w:rsidRPr="00100F0A" w:rsidRDefault="00FA064F" w:rsidP="00FA064F">
      <w:pPr>
        <w:pStyle w:val="BodyText"/>
      </w:pPr>
    </w:p>
    <w:p w14:paraId="43CC71B7" w14:textId="0F713599" w:rsidR="00FA064F" w:rsidRPr="00100F0A" w:rsidRDefault="00FA064F" w:rsidP="00FA064F">
      <w:pPr>
        <w:pStyle w:val="BodyText"/>
      </w:pPr>
      <w:r w:rsidRPr="00100F0A">
        <w:t xml:space="preserve">Under the best and low scenarios, the currently installed capacity is </w:t>
      </w:r>
      <w:r>
        <w:t>likely to be adequate</w:t>
      </w:r>
      <w:r w:rsidRPr="00100F0A">
        <w:t>. Under the high scenario</w:t>
      </w:r>
      <w:r>
        <w:t>,</w:t>
      </w:r>
      <w:r w:rsidRPr="00100F0A">
        <w:t xml:space="preserve"> capacity would be exceeded, as not quite all of the stockpile would be processed in 10 years. This is consistent with the REC </w:t>
      </w:r>
      <w:r>
        <w:t>(</w:t>
      </w:r>
      <w:r w:rsidRPr="00100F0A">
        <w:t>2016</w:t>
      </w:r>
      <w:r>
        <w:t>)</w:t>
      </w:r>
      <w:r w:rsidRPr="00100F0A">
        <w:t xml:space="preserve"> finding that capacity</w:t>
      </w:r>
      <w:r>
        <w:t xml:space="preserve"> is available</w:t>
      </w:r>
      <w:r w:rsidRPr="00100F0A">
        <w:t xml:space="preserve"> to treat</w:t>
      </w:r>
      <w:r>
        <w:t xml:space="preserve"> Australian</w:t>
      </w:r>
      <w:r w:rsidRPr="00100F0A">
        <w:t xml:space="preserve"> SPL stockpiles over around a </w:t>
      </w:r>
      <w:r w:rsidR="00C34F48" w:rsidRPr="00100F0A">
        <w:t>10</w:t>
      </w:r>
      <w:r w:rsidR="00C34F48">
        <w:t>-year</w:t>
      </w:r>
      <w:r w:rsidRPr="00100F0A">
        <w:t xml:space="preserve"> period, whilst treating current arisings. REC </w:t>
      </w:r>
      <w:r>
        <w:t>(</w:t>
      </w:r>
      <w:r w:rsidRPr="00100F0A">
        <w:t>2016</w:t>
      </w:r>
      <w:r>
        <w:t>)</w:t>
      </w:r>
      <w:r w:rsidRPr="00100F0A">
        <w:t xml:space="preserve"> also notes that the treatment of SPL that has been landfilled has not yet been demonstrated and may require additional or different infrastructure installation. </w:t>
      </w:r>
    </w:p>
    <w:p w14:paraId="15334E4D" w14:textId="77777777" w:rsidR="00FA064F" w:rsidRPr="00100F0A" w:rsidRDefault="00FA064F" w:rsidP="00FA064F">
      <w:pPr>
        <w:pStyle w:val="BodyText"/>
      </w:pPr>
    </w:p>
    <w:p w14:paraId="6C4FAB20" w14:textId="77777777" w:rsidR="00FA064F" w:rsidRPr="00100F0A" w:rsidRDefault="00FA064F" w:rsidP="00FA064F">
      <w:pPr>
        <w:pStyle w:val="BodyText"/>
      </w:pPr>
      <w:r w:rsidRPr="00100F0A">
        <w:t>The uncertainty of the SPL assessment is low, due mainly to the recent and detailed study (REC 2016) of SPL processing capacity, generation and stockpiles in Australia providing the necessary data.</w:t>
      </w:r>
    </w:p>
    <w:p w14:paraId="4764CB95" w14:textId="77777777" w:rsidR="00FA064F" w:rsidRPr="00100F0A" w:rsidRDefault="00FA064F" w:rsidP="00FA064F">
      <w:pPr>
        <w:pStyle w:val="BodyText"/>
      </w:pPr>
    </w:p>
    <w:p w14:paraId="00E2EEC5" w14:textId="24B32C36" w:rsidR="00FA064F" w:rsidRDefault="00FA064F" w:rsidP="00FA064F">
      <w:pPr>
        <w:rPr>
          <w:color w:val="080808"/>
        </w:rPr>
      </w:pPr>
      <w:r w:rsidRPr="00100F0A">
        <w:rPr>
          <w:b/>
          <w:color w:val="080808"/>
        </w:rPr>
        <w:t xml:space="preserve">Recommendation </w:t>
      </w:r>
      <w:r>
        <w:rPr>
          <w:b/>
          <w:color w:val="080808"/>
        </w:rPr>
        <w:t>6</w:t>
      </w:r>
      <w:r w:rsidRPr="00100F0A">
        <w:rPr>
          <w:b/>
          <w:color w:val="080808"/>
        </w:rPr>
        <w:t xml:space="preserve">: </w:t>
      </w:r>
      <w:r w:rsidRPr="00100F0A">
        <w:rPr>
          <w:color w:val="080808"/>
        </w:rPr>
        <w:t xml:space="preserve">Qld, NSW, Vic and Tas </w:t>
      </w:r>
      <w:r w:rsidR="003E7966">
        <w:rPr>
          <w:color w:val="080808"/>
        </w:rPr>
        <w:t>governments</w:t>
      </w:r>
      <w:r w:rsidRPr="00100F0A">
        <w:rPr>
          <w:color w:val="080808"/>
        </w:rPr>
        <w:t xml:space="preserve"> and DoEE </w:t>
      </w:r>
      <w:r>
        <w:rPr>
          <w:color w:val="080808"/>
        </w:rPr>
        <w:t xml:space="preserve">should </w:t>
      </w:r>
      <w:r w:rsidRPr="00100F0A">
        <w:rPr>
          <w:color w:val="080808"/>
        </w:rPr>
        <w:t xml:space="preserve">continue to actively engage with </w:t>
      </w:r>
      <w:r>
        <w:rPr>
          <w:color w:val="080808"/>
        </w:rPr>
        <w:t>a</w:t>
      </w:r>
      <w:r w:rsidRPr="00100F0A">
        <w:rPr>
          <w:color w:val="080808"/>
        </w:rPr>
        <w:t xml:space="preserve">luminium smelting companies regarding current SPL stockpiles to ensure that stockpiles continue to be drawn down each year until </w:t>
      </w:r>
      <w:r w:rsidR="003E7966">
        <w:rPr>
          <w:color w:val="080808"/>
        </w:rPr>
        <w:t>they</w:t>
      </w:r>
      <w:r w:rsidRPr="00100F0A">
        <w:rPr>
          <w:color w:val="080808"/>
        </w:rPr>
        <w:t xml:space="preserve"> are removed. </w:t>
      </w:r>
    </w:p>
    <w:p w14:paraId="24A91453" w14:textId="057D726C" w:rsidR="00083C1C" w:rsidRDefault="00083C1C" w:rsidP="00FA064F">
      <w:pPr>
        <w:rPr>
          <w:color w:val="080808"/>
        </w:rPr>
      </w:pPr>
    </w:p>
    <w:p w14:paraId="1CEEB4AA" w14:textId="77777777" w:rsidR="00FA064F" w:rsidRPr="00100F0A" w:rsidRDefault="00FA064F" w:rsidP="00FA064F">
      <w:pPr>
        <w:pStyle w:val="Heading2"/>
      </w:pPr>
      <w:bookmarkStart w:id="451" w:name="_Toc13225561"/>
      <w:r w:rsidRPr="00100F0A">
        <w:t>Hazardous waste energy recovery facilities</w:t>
      </w:r>
      <w:bookmarkEnd w:id="451"/>
    </w:p>
    <w:p w14:paraId="0C95A0F9" w14:textId="65DB12CB" w:rsidR="00FA064F" w:rsidRPr="00100F0A" w:rsidRDefault="00FA064F" w:rsidP="00FA064F">
      <w:pPr>
        <w:rPr>
          <w:color w:val="000000"/>
          <w:szCs w:val="20"/>
        </w:rPr>
      </w:pPr>
      <w:r w:rsidRPr="00100F0A">
        <w:rPr>
          <w:color w:val="000000"/>
          <w:szCs w:val="20"/>
        </w:rPr>
        <w:t>At a national level, the assessment indicates that capacity has increased significantly since the 2015 assessment, due to the inclusion of cement kilns within the project scope and the allocation of these energy recovery tonnages to this group. The estimated arisings for this infrastructure group (2</w:t>
      </w:r>
      <w:r>
        <w:rPr>
          <w:color w:val="000000"/>
          <w:szCs w:val="20"/>
        </w:rPr>
        <w:t xml:space="preserve"> </w:t>
      </w:r>
      <w:r w:rsidRPr="00100F0A">
        <w:rPr>
          <w:color w:val="000000"/>
          <w:szCs w:val="20"/>
        </w:rPr>
        <w:t xml:space="preserve">kt) are incorrect. Industry reported </w:t>
      </w:r>
      <w:r w:rsidR="003A772B" w:rsidRPr="009D734D">
        <w:rPr>
          <w:color w:val="000000"/>
          <w:szCs w:val="20"/>
          <w:highlight w:val="red"/>
        </w:rPr>
        <w:t>CIC</w:t>
      </w:r>
      <w:r w:rsidRPr="00100F0A">
        <w:rPr>
          <w:color w:val="000000"/>
          <w:szCs w:val="20"/>
        </w:rPr>
        <w:t xml:space="preserve"> kt of waste currently received. The reasons for this are:</w:t>
      </w:r>
    </w:p>
    <w:p w14:paraId="634D2CCF" w14:textId="77777777" w:rsidR="00FA064F" w:rsidRPr="00100F0A" w:rsidRDefault="00FA064F" w:rsidP="009D734D">
      <w:pPr>
        <w:pStyle w:val="ListNumber"/>
        <w:numPr>
          <w:ilvl w:val="0"/>
          <w:numId w:val="62"/>
        </w:numPr>
      </w:pPr>
      <w:r w:rsidRPr="00100F0A">
        <w:t xml:space="preserve">Some of the 26 kt of solvents/paints recycling tonnages may actually be sent to energy recovery infrastructure. Currently, the jurisdictional waste tracking systems do not support the separate reporting of tonnages sent to recycling vs energy recovery, which limits the ability to assess energy recovery infrastructure need. </w:t>
      </w:r>
    </w:p>
    <w:p w14:paraId="22BCFA2C" w14:textId="77777777" w:rsidR="00FA064F" w:rsidRPr="00100F0A" w:rsidRDefault="00FA064F" w:rsidP="00FA064F">
      <w:pPr>
        <w:pStyle w:val="ListNumber"/>
      </w:pPr>
      <w:r w:rsidRPr="00100F0A">
        <w:t xml:space="preserve">Some of the waste that </w:t>
      </w:r>
      <w:r>
        <w:t>is</w:t>
      </w:r>
      <w:r w:rsidRPr="00100F0A">
        <w:t xml:space="preserve"> sent for energy recovery do</w:t>
      </w:r>
      <w:r>
        <w:t>es</w:t>
      </w:r>
      <w:r w:rsidRPr="00100F0A">
        <w:t xml:space="preserve"> not require tracking in some jurisdictions, for example waste oil in NSW and EOLT in NSW, SA and Vic.</w:t>
      </w:r>
    </w:p>
    <w:p w14:paraId="46D63A9B" w14:textId="77777777" w:rsidR="00FA064F" w:rsidRPr="00100F0A" w:rsidRDefault="00FA064F" w:rsidP="00FA064F">
      <w:pPr>
        <w:rPr>
          <w:color w:val="000000"/>
          <w:szCs w:val="20"/>
        </w:rPr>
      </w:pPr>
    </w:p>
    <w:p w14:paraId="27EB9825" w14:textId="206CEBAF" w:rsidR="000C7898" w:rsidRDefault="00FA064F" w:rsidP="00FA064F">
      <w:pPr>
        <w:rPr>
          <w:color w:val="000000"/>
          <w:szCs w:val="20"/>
        </w:rPr>
      </w:pPr>
      <w:r w:rsidRPr="00100F0A">
        <w:rPr>
          <w:color w:val="000000"/>
          <w:szCs w:val="20"/>
        </w:rPr>
        <w:t xml:space="preserve">Currently Australia's energy recovery from hazardous waste relies upon cement kilns as the offtake market. Whilst current installed capacity exceeds the </w:t>
      </w:r>
      <w:r w:rsidR="003A772B" w:rsidRPr="009D734D">
        <w:rPr>
          <w:color w:val="000000"/>
          <w:szCs w:val="20"/>
          <w:highlight w:val="red"/>
        </w:rPr>
        <w:t>CIC</w:t>
      </w:r>
      <w:r w:rsidRPr="00100F0A">
        <w:rPr>
          <w:color w:val="000000"/>
          <w:szCs w:val="20"/>
        </w:rPr>
        <w:t xml:space="preserve"> kt estimated as received, this does not allow for significant increases without either amendment to cement kiln licences (if technical</w:t>
      </w:r>
      <w:r>
        <w:rPr>
          <w:color w:val="000000"/>
          <w:szCs w:val="20"/>
        </w:rPr>
        <w:t>ly</w:t>
      </w:r>
      <w:r w:rsidRPr="00100F0A">
        <w:rPr>
          <w:color w:val="000000"/>
          <w:szCs w:val="20"/>
        </w:rPr>
        <w:t xml:space="preserve"> feasible) or the development of additional energy recovery infrastructure apart from cement kilns. </w:t>
      </w:r>
    </w:p>
    <w:p w14:paraId="31296D8F" w14:textId="77777777" w:rsidR="00B8053D" w:rsidRPr="00100F0A" w:rsidRDefault="00B8053D" w:rsidP="00FA064F">
      <w:pPr>
        <w:rPr>
          <w:color w:val="000000"/>
          <w:szCs w:val="20"/>
        </w:rPr>
      </w:pPr>
    </w:p>
    <w:p w14:paraId="61BAB3FD" w14:textId="77777777" w:rsidR="00FA064F" w:rsidRPr="00100F0A" w:rsidRDefault="00FA064F" w:rsidP="00FA064F">
      <w:pPr>
        <w:pStyle w:val="Heading2"/>
      </w:pPr>
      <w:bookmarkStart w:id="452" w:name="_Toc13225562"/>
      <w:r w:rsidRPr="00100F0A">
        <w:t>Chemical and physical treatment (CPT) plant facilities</w:t>
      </w:r>
      <w:bookmarkEnd w:id="452"/>
      <w:r w:rsidRPr="00100F0A">
        <w:t xml:space="preserve"> </w:t>
      </w:r>
    </w:p>
    <w:p w14:paraId="5297DDC8" w14:textId="247E8667" w:rsidR="00FA064F" w:rsidRDefault="00FA064F" w:rsidP="00FA064F">
      <w:pPr>
        <w:pStyle w:val="BodyText"/>
      </w:pPr>
      <w:r w:rsidRPr="00100F0A">
        <w:rPr>
          <w:color w:val="080808"/>
          <w:lang w:eastAsia="en-AU"/>
        </w:rPr>
        <w:t>CPT plants are the archetypal hazardous waste facility, treating a range of waste types using a range of processes. Many of these operations are currently suffering from falling demand as manufacturing activity declines.</w:t>
      </w:r>
      <w:r w:rsidRPr="00100F0A">
        <w:t xml:space="preserve"> Across the country, industry reported falling amounts of hazardous manufacturing waste sent for treatment. In some instances, sharp declines were reported. This issue was reported in 2015 and remains current for th</w:t>
      </w:r>
      <w:r>
        <w:t>is</w:t>
      </w:r>
      <w:r w:rsidRPr="00100F0A">
        <w:t xml:space="preserve"> 2018 assessment. Our analysis, based on waste tracking data, estimated tonnages of waste sent to CPT of 700 kt in 2015 to just 400 kt in 2018, a fall of around 43% over three years.  </w:t>
      </w:r>
    </w:p>
    <w:p w14:paraId="24F6DED5" w14:textId="77777777" w:rsidR="009537C4" w:rsidRPr="00100F0A" w:rsidRDefault="009537C4" w:rsidP="00FA064F">
      <w:pPr>
        <w:pStyle w:val="BodyText"/>
      </w:pPr>
    </w:p>
    <w:p w14:paraId="2ECF8DDB" w14:textId="77777777" w:rsidR="00FA064F" w:rsidRPr="00100F0A" w:rsidRDefault="00FA064F" w:rsidP="00FA064F">
      <w:pPr>
        <w:pStyle w:val="BodyText"/>
      </w:pPr>
      <w:r w:rsidRPr="00100F0A">
        <w:t>This project is focused on identifying where Australia’s hazardous waste industry may become constrained over the next 20 years. CPT operators flagged that undersupply of waste could cause infrastructure shortages due to closure of key infrastructure that may no longer be viable as demand falls for processing of key high-volume waste.</w:t>
      </w:r>
    </w:p>
    <w:p w14:paraId="6B81C4DA" w14:textId="77777777" w:rsidR="00FA064F" w:rsidRPr="00100F0A" w:rsidRDefault="00FA064F" w:rsidP="00FA064F">
      <w:pPr>
        <w:pStyle w:val="BodyText"/>
      </w:pPr>
    </w:p>
    <w:p w14:paraId="6C69C52C" w14:textId="7E817E56" w:rsidR="00FA064F" w:rsidRPr="00100F0A" w:rsidRDefault="00FA064F" w:rsidP="00FA064F">
      <w:pPr>
        <w:rPr>
          <w:color w:val="000000"/>
          <w:szCs w:val="20"/>
        </w:rPr>
      </w:pPr>
      <w:r w:rsidRPr="00100F0A">
        <w:t xml:space="preserve">However, the overall tonnages of hazardous waste are projected to increase from around 6 </w:t>
      </w:r>
      <w:r>
        <w:t>Mt</w:t>
      </w:r>
      <w:r w:rsidRPr="00100F0A">
        <w:t xml:space="preserve"> currently to almost 10 </w:t>
      </w:r>
      <w:r>
        <w:t>Mt</w:t>
      </w:r>
      <w:r w:rsidRPr="00100F0A">
        <w:t xml:space="preserve"> in 2038</w:t>
      </w:r>
      <w:r>
        <w:t>, s</w:t>
      </w:r>
      <w:r w:rsidRPr="00100F0A">
        <w:t>o whil</w:t>
      </w:r>
      <w:r>
        <w:t>e</w:t>
      </w:r>
      <w:r w:rsidRPr="00100F0A">
        <w:t xml:space="preserve"> tonnages of some waste</w:t>
      </w:r>
      <w:r>
        <w:t xml:space="preserve"> </w:t>
      </w:r>
      <w:r w:rsidR="00C34F48">
        <w:t>are</w:t>
      </w:r>
      <w:r w:rsidRPr="00100F0A">
        <w:t xml:space="preserve"> declining and projected to continue doing so, other hazardous waste ty</w:t>
      </w:r>
      <w:r>
        <w:t>p</w:t>
      </w:r>
      <w:r w:rsidRPr="00100F0A">
        <w:t>es are projected to increase significantly. The challenge for industry and government is to plan for and implement infrastructure changes that can manage the rapidly changing composition and generating sectors/ locations of hazardous waste.</w:t>
      </w:r>
    </w:p>
    <w:p w14:paraId="30BE0B11" w14:textId="77777777" w:rsidR="00FA064F" w:rsidRPr="00100F0A" w:rsidRDefault="00FA064F" w:rsidP="00FA064F">
      <w:pPr>
        <w:rPr>
          <w:color w:val="000000"/>
          <w:szCs w:val="20"/>
        </w:rPr>
      </w:pPr>
    </w:p>
    <w:p w14:paraId="05BB5C2D" w14:textId="77777777" w:rsidR="00FA064F" w:rsidRPr="00100F0A" w:rsidRDefault="00FA064F" w:rsidP="00FA064F">
      <w:pPr>
        <w:rPr>
          <w:color w:val="000000"/>
          <w:szCs w:val="20"/>
        </w:rPr>
      </w:pPr>
      <w:r w:rsidRPr="00100F0A">
        <w:rPr>
          <w:color w:val="000000"/>
          <w:szCs w:val="20"/>
        </w:rPr>
        <w:t>At a national level, based on the best, high and low projections of arisings, CPT infrastructure is estimated to be able to meet national demand over the next 20 years. For all three scenarios, the projections are based on varying degrees of decline in some waste groups, such as B Acids and E Reactive chemicals, and growth in other waste groups, such as D300 Non-toxic salts and C Alkalis that are projected to increase driven by oil and gas</w:t>
      </w:r>
      <w:r>
        <w:rPr>
          <w:color w:val="000000"/>
          <w:szCs w:val="20"/>
        </w:rPr>
        <w:t>, particularly coal seam gas (CSG),</w:t>
      </w:r>
      <w:r w:rsidRPr="00100F0A">
        <w:rPr>
          <w:color w:val="000000"/>
          <w:szCs w:val="20"/>
        </w:rPr>
        <w:t xml:space="preserve"> industry developments. </w:t>
      </w:r>
    </w:p>
    <w:p w14:paraId="7FCBEB62" w14:textId="77777777" w:rsidR="00FA064F" w:rsidRPr="00100F0A" w:rsidRDefault="00FA064F" w:rsidP="00FA064F">
      <w:pPr>
        <w:rPr>
          <w:color w:val="000000"/>
          <w:szCs w:val="20"/>
        </w:rPr>
      </w:pPr>
    </w:p>
    <w:p w14:paraId="4D1201EA" w14:textId="77777777" w:rsidR="00FA064F" w:rsidRPr="00100F0A" w:rsidRDefault="00FA064F" w:rsidP="00FA064F">
      <w:pPr>
        <w:rPr>
          <w:color w:val="080808"/>
        </w:rPr>
      </w:pPr>
      <w:r w:rsidRPr="00100F0A">
        <w:rPr>
          <w:color w:val="080808"/>
          <w:lang w:eastAsia="en-AU"/>
        </w:rPr>
        <w:t>CPT current installed capacity is projected to be sufficient under all scenarios for NSW, Qld, SA</w:t>
      </w:r>
      <w:r>
        <w:rPr>
          <w:color w:val="080808"/>
          <w:lang w:eastAsia="en-AU"/>
        </w:rPr>
        <w:t>, Vic</w:t>
      </w:r>
      <w:r w:rsidRPr="00100F0A">
        <w:rPr>
          <w:color w:val="080808"/>
          <w:lang w:eastAsia="en-AU"/>
        </w:rPr>
        <w:t xml:space="preserve"> and WA. </w:t>
      </w:r>
      <w:r w:rsidRPr="00100F0A">
        <w:rPr>
          <w:color w:val="080808"/>
        </w:rPr>
        <w:t xml:space="preserve">ACT, NT and Tas have no local CPT capacity. Tas in particular appears to have a shortage of CPT capacity with no CPT capacity identified and estimated arisings of 16 kt. </w:t>
      </w:r>
    </w:p>
    <w:p w14:paraId="46E05CD4" w14:textId="77777777" w:rsidR="00FA064F" w:rsidRPr="00100F0A" w:rsidRDefault="00FA064F" w:rsidP="00FA064F">
      <w:pPr>
        <w:rPr>
          <w:color w:val="080808"/>
        </w:rPr>
      </w:pPr>
    </w:p>
    <w:p w14:paraId="2855FD4B" w14:textId="1EDC6CC9" w:rsidR="00FA064F" w:rsidRPr="00100F0A" w:rsidRDefault="00FA064F" w:rsidP="00FA064F">
      <w:pPr>
        <w:rPr>
          <w:color w:val="080808"/>
        </w:rPr>
      </w:pPr>
      <w:r w:rsidRPr="00100F0A">
        <w:rPr>
          <w:b/>
          <w:color w:val="080808"/>
        </w:rPr>
        <w:t xml:space="preserve">Recommendation </w:t>
      </w:r>
      <w:r>
        <w:rPr>
          <w:b/>
          <w:color w:val="080808"/>
        </w:rPr>
        <w:t>7</w:t>
      </w:r>
      <w:r w:rsidRPr="00100F0A">
        <w:rPr>
          <w:b/>
          <w:color w:val="080808"/>
        </w:rPr>
        <w:t xml:space="preserve">: </w:t>
      </w:r>
      <w:r w:rsidRPr="00100F0A">
        <w:rPr>
          <w:color w:val="080808"/>
        </w:rPr>
        <w:t>Do</w:t>
      </w:r>
      <w:r>
        <w:rPr>
          <w:color w:val="080808"/>
        </w:rPr>
        <w:t>E</w:t>
      </w:r>
      <w:r w:rsidRPr="00100F0A">
        <w:rPr>
          <w:color w:val="080808"/>
        </w:rPr>
        <w:t xml:space="preserve">E and/or NSW and Qld EPAs </w:t>
      </w:r>
      <w:r w:rsidR="003E7966">
        <w:rPr>
          <w:color w:val="080808"/>
        </w:rPr>
        <w:t xml:space="preserve">should consult with the CSG industry </w:t>
      </w:r>
      <w:r w:rsidRPr="00100F0A">
        <w:rPr>
          <w:color w:val="080808"/>
        </w:rPr>
        <w:t>to develop a strategic plan for managing its waste, in particular waste in remote areas. This recommendation was made in 2015 and remains current.</w:t>
      </w:r>
    </w:p>
    <w:p w14:paraId="05E2FCA4" w14:textId="77777777" w:rsidR="00FA064F" w:rsidRPr="00100F0A" w:rsidRDefault="00FA064F" w:rsidP="00FA064F">
      <w:pPr>
        <w:rPr>
          <w:b/>
          <w:color w:val="080808"/>
        </w:rPr>
      </w:pPr>
    </w:p>
    <w:p w14:paraId="7002E39C" w14:textId="7F625AEA" w:rsidR="00FA064F" w:rsidRDefault="00FA064F" w:rsidP="00FA064F">
      <w:pPr>
        <w:rPr>
          <w:color w:val="080808"/>
        </w:rPr>
      </w:pPr>
      <w:r w:rsidRPr="00100F0A">
        <w:rPr>
          <w:b/>
          <w:color w:val="080808"/>
        </w:rPr>
        <w:t xml:space="preserve">Recommendation </w:t>
      </w:r>
      <w:r>
        <w:rPr>
          <w:b/>
          <w:color w:val="080808"/>
        </w:rPr>
        <w:t>8</w:t>
      </w:r>
      <w:r w:rsidRPr="00100F0A">
        <w:rPr>
          <w:b/>
          <w:color w:val="080808"/>
        </w:rPr>
        <w:t xml:space="preserve">: </w:t>
      </w:r>
      <w:r w:rsidRPr="00100F0A">
        <w:rPr>
          <w:color w:val="080808"/>
        </w:rPr>
        <w:t>Do</w:t>
      </w:r>
      <w:r>
        <w:rPr>
          <w:color w:val="080808"/>
        </w:rPr>
        <w:t>E</w:t>
      </w:r>
      <w:r w:rsidRPr="00100F0A">
        <w:rPr>
          <w:color w:val="080808"/>
        </w:rPr>
        <w:t xml:space="preserve">E and/or Tas EPA should further investigate the supply of </w:t>
      </w:r>
      <w:r>
        <w:rPr>
          <w:color w:val="080808"/>
        </w:rPr>
        <w:t>CPT</w:t>
      </w:r>
      <w:r w:rsidRPr="00100F0A">
        <w:rPr>
          <w:color w:val="080808"/>
        </w:rPr>
        <w:t xml:space="preserve"> capacity for hazardous waste in Tas. This recommendation was made in 2015 and remains current.</w:t>
      </w:r>
    </w:p>
    <w:p w14:paraId="7B46CCA6" w14:textId="77777777" w:rsidR="00B8053D" w:rsidRPr="00100F0A" w:rsidRDefault="00B8053D" w:rsidP="00FA064F">
      <w:pPr>
        <w:rPr>
          <w:color w:val="080808"/>
        </w:rPr>
      </w:pPr>
    </w:p>
    <w:p w14:paraId="39E2D52D" w14:textId="77777777" w:rsidR="00FA064F" w:rsidRPr="00100F0A" w:rsidRDefault="00FA064F" w:rsidP="00FA064F">
      <w:pPr>
        <w:pStyle w:val="Heading2"/>
      </w:pPr>
      <w:bookmarkStart w:id="453" w:name="_Toc13225563"/>
      <w:r w:rsidRPr="00100F0A">
        <w:t>Clinical waste treatment facilities</w:t>
      </w:r>
      <w:bookmarkEnd w:id="453"/>
      <w:r w:rsidRPr="00100F0A">
        <w:t xml:space="preserve"> </w:t>
      </w:r>
    </w:p>
    <w:p w14:paraId="4E1902C7" w14:textId="105372A7" w:rsidR="00FA064F" w:rsidRPr="00100F0A" w:rsidRDefault="00FA064F" w:rsidP="00FA064F">
      <w:pPr>
        <w:rPr>
          <w:color w:val="080808"/>
        </w:rPr>
      </w:pPr>
      <w:r>
        <w:rPr>
          <w:color w:val="080808"/>
        </w:rPr>
        <w:t>In</w:t>
      </w:r>
      <w:r w:rsidRPr="00100F0A">
        <w:rPr>
          <w:color w:val="080808"/>
        </w:rPr>
        <w:t xml:space="preserve"> the best estimate, </w:t>
      </w:r>
      <w:r>
        <w:rPr>
          <w:color w:val="080808"/>
        </w:rPr>
        <w:t xml:space="preserve">clinical waste quantities will grow at the projected </w:t>
      </w:r>
      <w:r w:rsidR="00C34F48">
        <w:rPr>
          <w:color w:val="080808"/>
        </w:rPr>
        <w:t>20-year average</w:t>
      </w:r>
      <w:r w:rsidRPr="00100F0A">
        <w:rPr>
          <w:color w:val="080808"/>
        </w:rPr>
        <w:t xml:space="preserve"> annual</w:t>
      </w:r>
      <w:r>
        <w:rPr>
          <w:color w:val="080808"/>
        </w:rPr>
        <w:t xml:space="preserve"> growth rate of</w:t>
      </w:r>
      <w:r w:rsidRPr="00100F0A">
        <w:rPr>
          <w:color w:val="080808"/>
        </w:rPr>
        <w:t xml:space="preserve"> population growth (1.4% </w:t>
      </w:r>
      <w:r>
        <w:rPr>
          <w:color w:val="080808"/>
        </w:rPr>
        <w:t>pa</w:t>
      </w:r>
      <w:r w:rsidRPr="00100F0A">
        <w:rPr>
          <w:color w:val="080808"/>
        </w:rPr>
        <w:t>)</w:t>
      </w:r>
      <w:r>
        <w:rPr>
          <w:color w:val="080808"/>
        </w:rPr>
        <w:t xml:space="preserve">. At this rate, </w:t>
      </w:r>
      <w:r w:rsidRPr="00100F0A">
        <w:rPr>
          <w:color w:val="080808"/>
        </w:rPr>
        <w:t>the installed capacity of clinical waste treatment could be exceeded by 2024. Based on the high projection,</w:t>
      </w:r>
      <w:r>
        <w:rPr>
          <w:color w:val="080808"/>
        </w:rPr>
        <w:t xml:space="preserve"> with growth of 2.0 to 2.1% growth based on</w:t>
      </w:r>
      <w:r w:rsidRPr="00100F0A">
        <w:rPr>
          <w:color w:val="080808"/>
        </w:rPr>
        <w:t xml:space="preserve"> Thornton </w:t>
      </w:r>
      <w:r>
        <w:rPr>
          <w:color w:val="080808"/>
        </w:rPr>
        <w:t>(</w:t>
      </w:r>
      <w:r w:rsidRPr="00100F0A">
        <w:rPr>
          <w:color w:val="080808"/>
        </w:rPr>
        <w:t>2014</w:t>
      </w:r>
      <w:r>
        <w:rPr>
          <w:color w:val="080808"/>
        </w:rPr>
        <w:t>)</w:t>
      </w:r>
      <w:r w:rsidRPr="00100F0A">
        <w:rPr>
          <w:color w:val="080808"/>
        </w:rPr>
        <w:t xml:space="preserve">, national capacity could be exceeded in 2022. Under the low scenario where the waste arisings trend is flat, capacity is projected to meet demand over the next 20 years. </w:t>
      </w:r>
    </w:p>
    <w:p w14:paraId="308C678F" w14:textId="77777777" w:rsidR="00FA064F" w:rsidRPr="00100F0A" w:rsidRDefault="00FA064F" w:rsidP="00FA064F">
      <w:pPr>
        <w:rPr>
          <w:color w:val="080808"/>
        </w:rPr>
      </w:pPr>
    </w:p>
    <w:p w14:paraId="156D9592" w14:textId="77777777" w:rsidR="00FA064F" w:rsidRPr="00100F0A" w:rsidRDefault="00FA064F" w:rsidP="00FA064F">
      <w:pPr>
        <w:rPr>
          <w:color w:val="080808"/>
        </w:rPr>
      </w:pPr>
      <w:r w:rsidRPr="00100F0A">
        <w:rPr>
          <w:color w:val="080808"/>
        </w:rPr>
        <w:t>The infrastructure needs vs capacity assessment for this group has high uncertainty due to a poor response rate from industry. Despite this uncertainty, the assessment indicate</w:t>
      </w:r>
      <w:r>
        <w:rPr>
          <w:color w:val="080808"/>
        </w:rPr>
        <w:t>s</w:t>
      </w:r>
      <w:r w:rsidRPr="00100F0A">
        <w:rPr>
          <w:color w:val="080808"/>
        </w:rPr>
        <w:t xml:space="preserve"> that Australia's clinical waste treatment capacity </w:t>
      </w:r>
      <w:r>
        <w:rPr>
          <w:color w:val="080808"/>
        </w:rPr>
        <w:t>will</w:t>
      </w:r>
      <w:r w:rsidRPr="00100F0A">
        <w:rPr>
          <w:color w:val="080808"/>
        </w:rPr>
        <w:t xml:space="preserve"> soon become constrained and investment in additional infrastructure may be required.</w:t>
      </w:r>
    </w:p>
    <w:p w14:paraId="280FB37E" w14:textId="77777777" w:rsidR="00FA064F" w:rsidRPr="00100F0A" w:rsidRDefault="00FA064F" w:rsidP="00FA064F">
      <w:pPr>
        <w:rPr>
          <w:color w:val="080808"/>
        </w:rPr>
      </w:pPr>
      <w:r w:rsidRPr="00100F0A">
        <w:rPr>
          <w:color w:val="080808"/>
        </w:rPr>
        <w:tab/>
      </w:r>
    </w:p>
    <w:p w14:paraId="7D65BE1D" w14:textId="3D4421C9" w:rsidR="00FA064F" w:rsidRPr="00100F0A" w:rsidRDefault="00FA064F" w:rsidP="00FA064F">
      <w:pPr>
        <w:rPr>
          <w:color w:val="080808"/>
        </w:rPr>
      </w:pPr>
      <w:r w:rsidRPr="00100F0A">
        <w:rPr>
          <w:color w:val="080808"/>
        </w:rPr>
        <w:t>NT</w:t>
      </w:r>
      <w:r>
        <w:rPr>
          <w:color w:val="080808"/>
        </w:rPr>
        <w:t>, SA</w:t>
      </w:r>
      <w:r w:rsidR="00F64C8A">
        <w:rPr>
          <w:color w:val="080808"/>
        </w:rPr>
        <w:t xml:space="preserve">, Tas </w:t>
      </w:r>
      <w:r w:rsidRPr="00100F0A">
        <w:rPr>
          <w:color w:val="080808"/>
        </w:rPr>
        <w:t xml:space="preserve">and WA all appear to have sufficient clinical waste treatment capacity. ACT, NSW, Qld, and </w:t>
      </w:r>
      <w:r>
        <w:rPr>
          <w:color w:val="080808"/>
        </w:rPr>
        <w:t>Vic</w:t>
      </w:r>
      <w:r w:rsidRPr="00100F0A">
        <w:rPr>
          <w:color w:val="080808"/>
        </w:rPr>
        <w:t xml:space="preserve"> all appear to have insufficient local supply of clinical waste treatment capacity and are likely to be exporting significant quantities interstate. Based on the national assessment</w:t>
      </w:r>
      <w:r>
        <w:rPr>
          <w:color w:val="080808"/>
        </w:rPr>
        <w:t>,</w:t>
      </w:r>
      <w:r w:rsidRPr="00100F0A">
        <w:rPr>
          <w:color w:val="080808"/>
        </w:rPr>
        <w:t xml:space="preserve"> interstate capacity will soon become constrained.</w:t>
      </w:r>
    </w:p>
    <w:p w14:paraId="433B5A77" w14:textId="77777777" w:rsidR="00FA064F" w:rsidRPr="00100F0A" w:rsidRDefault="00FA064F" w:rsidP="00FA064F">
      <w:pPr>
        <w:rPr>
          <w:color w:val="080808"/>
        </w:rPr>
      </w:pPr>
    </w:p>
    <w:p w14:paraId="570A71DA" w14:textId="79D0E093" w:rsidR="00FA064F" w:rsidRDefault="00FA064F" w:rsidP="00FA064F">
      <w:pPr>
        <w:rPr>
          <w:color w:val="080808"/>
        </w:rPr>
      </w:pPr>
      <w:r w:rsidRPr="00100F0A">
        <w:rPr>
          <w:b/>
          <w:color w:val="080808"/>
        </w:rPr>
        <w:t xml:space="preserve">Recommendation </w:t>
      </w:r>
      <w:r>
        <w:rPr>
          <w:b/>
          <w:color w:val="080808"/>
        </w:rPr>
        <w:t>9</w:t>
      </w:r>
      <w:r w:rsidRPr="00100F0A">
        <w:rPr>
          <w:b/>
          <w:color w:val="080808"/>
        </w:rPr>
        <w:t xml:space="preserve">: </w:t>
      </w:r>
      <w:r w:rsidRPr="00100F0A">
        <w:rPr>
          <w:color w:val="080808"/>
        </w:rPr>
        <w:t xml:space="preserve">ACT, NSW, Qld, and </w:t>
      </w:r>
      <w:r>
        <w:rPr>
          <w:color w:val="080808"/>
        </w:rPr>
        <w:t xml:space="preserve">Vic </w:t>
      </w:r>
      <w:r w:rsidR="003E7966">
        <w:rPr>
          <w:color w:val="080808"/>
        </w:rPr>
        <w:t>governments</w:t>
      </w:r>
      <w:r w:rsidRPr="00100F0A">
        <w:rPr>
          <w:color w:val="080808"/>
        </w:rPr>
        <w:t xml:space="preserve"> </w:t>
      </w:r>
      <w:r>
        <w:rPr>
          <w:color w:val="080808"/>
        </w:rPr>
        <w:t xml:space="preserve">should </w:t>
      </w:r>
      <w:r w:rsidRPr="00100F0A">
        <w:rPr>
          <w:color w:val="080808"/>
        </w:rPr>
        <w:t>consider completing feasibility studies to determine the viability of establishing clinical waste recycling capacity in their jurisdiction.</w:t>
      </w:r>
    </w:p>
    <w:p w14:paraId="0A769F84" w14:textId="77777777" w:rsidR="00FA064F" w:rsidRPr="00100F0A" w:rsidRDefault="00FA064F" w:rsidP="00FA064F">
      <w:pPr>
        <w:rPr>
          <w:color w:val="080808"/>
        </w:rPr>
      </w:pPr>
    </w:p>
    <w:p w14:paraId="46BEA43E" w14:textId="77777777" w:rsidR="00FA064F" w:rsidRPr="00100F0A" w:rsidRDefault="00FA064F" w:rsidP="00FA064F">
      <w:pPr>
        <w:pStyle w:val="Heading2"/>
      </w:pPr>
      <w:bookmarkStart w:id="454" w:name="_Toc13225564"/>
      <w:r w:rsidRPr="00100F0A">
        <w:t>Bioremediation facilities</w:t>
      </w:r>
      <w:bookmarkEnd w:id="454"/>
    </w:p>
    <w:p w14:paraId="1AAFB585" w14:textId="77777777" w:rsidR="00FA064F" w:rsidRPr="00100F0A" w:rsidRDefault="00FA064F" w:rsidP="00FA064F">
      <w:pPr>
        <w:pStyle w:val="BodyText"/>
      </w:pPr>
      <w:r>
        <w:t>There is limited coverage of the capacity of t</w:t>
      </w:r>
      <w:r w:rsidRPr="00100F0A">
        <w:t xml:space="preserve">his infrastructure group. Composting facilities are excluded from the database. This group is intended to refer to facilities that treat hazardous waste though biodegradation. Many commercial composting facilities are licenced to receive low level hazardous waste which </w:t>
      </w:r>
      <w:r>
        <w:t>is</w:t>
      </w:r>
      <w:r w:rsidRPr="00100F0A">
        <w:t xml:space="preserve"> effectively bioremediated in the composting process and these facilities are not within the project scope. </w:t>
      </w:r>
    </w:p>
    <w:p w14:paraId="61D35E5F" w14:textId="77777777" w:rsidR="00FA064F" w:rsidRPr="00100F0A" w:rsidRDefault="00FA064F" w:rsidP="00FA064F">
      <w:pPr>
        <w:pStyle w:val="BodyText"/>
      </w:pPr>
    </w:p>
    <w:p w14:paraId="04D83F0D" w14:textId="77777777" w:rsidR="00FA064F" w:rsidRPr="00100F0A" w:rsidRDefault="00FA064F" w:rsidP="00FA064F">
      <w:pPr>
        <w:pStyle w:val="BodyText"/>
      </w:pPr>
      <w:r w:rsidRPr="00100F0A">
        <w:t>Some 200 kt of hazardous waste were reported in tracking data as bioremediated. Most, if not all, of this material would be processed by commercial composting facilities licenced to take a range of low hazard organic waste such as grease trap. These composting facilities are not included in this database. Whilst it is worth maintaining transparency on the amount of hazardous waste being reported as bioremediated by the composting industry, it is beyond the project scope to assess the capacity of bioremediation capacity in Australia.</w:t>
      </w:r>
    </w:p>
    <w:p w14:paraId="76F795B5" w14:textId="77777777" w:rsidR="00FA064F" w:rsidRPr="00100F0A" w:rsidRDefault="00FA064F" w:rsidP="00FA064F">
      <w:pPr>
        <w:pStyle w:val="BodyText"/>
      </w:pPr>
    </w:p>
    <w:p w14:paraId="1337459B" w14:textId="6B930B90" w:rsidR="00FA064F" w:rsidRDefault="00FA064F" w:rsidP="00FA064F">
      <w:pPr>
        <w:rPr>
          <w:color w:val="080808"/>
        </w:rPr>
      </w:pPr>
      <w:r w:rsidRPr="00100F0A">
        <w:rPr>
          <w:b/>
          <w:color w:val="080808"/>
        </w:rPr>
        <w:t>Recommendation 1</w:t>
      </w:r>
      <w:r>
        <w:rPr>
          <w:b/>
          <w:color w:val="080808"/>
        </w:rPr>
        <w:t>0</w:t>
      </w:r>
      <w:r w:rsidRPr="00100F0A">
        <w:rPr>
          <w:b/>
          <w:color w:val="080808"/>
        </w:rPr>
        <w:t xml:space="preserve">: </w:t>
      </w:r>
      <w:r w:rsidRPr="00100F0A">
        <w:rPr>
          <w:color w:val="080808"/>
        </w:rPr>
        <w:t xml:space="preserve">State regulators that are operating waste tracking systems complete ongoing auditing of waste treated through bioremediation to ensure that only appropriate hazardous waste </w:t>
      </w:r>
      <w:r>
        <w:rPr>
          <w:color w:val="080808"/>
        </w:rPr>
        <w:t>is</w:t>
      </w:r>
      <w:r w:rsidRPr="00100F0A">
        <w:rPr>
          <w:color w:val="080808"/>
        </w:rPr>
        <w:t xml:space="preserve"> sent to composting operations. This may already be occurring. </w:t>
      </w:r>
    </w:p>
    <w:p w14:paraId="3629528F" w14:textId="50EEE1CF" w:rsidR="00083C1C" w:rsidRDefault="00083C1C" w:rsidP="00FA064F">
      <w:pPr>
        <w:rPr>
          <w:color w:val="080808"/>
        </w:rPr>
      </w:pPr>
    </w:p>
    <w:p w14:paraId="7759ADCB" w14:textId="466D3EA8" w:rsidR="003A772B" w:rsidRDefault="003A772B" w:rsidP="00FA064F">
      <w:pPr>
        <w:rPr>
          <w:color w:val="080808"/>
        </w:rPr>
      </w:pPr>
    </w:p>
    <w:p w14:paraId="68097AE3" w14:textId="77777777" w:rsidR="003A772B" w:rsidRPr="00100F0A" w:rsidRDefault="003A772B" w:rsidP="00FA064F">
      <w:pPr>
        <w:rPr>
          <w:color w:val="080808"/>
        </w:rPr>
      </w:pPr>
    </w:p>
    <w:p w14:paraId="4A7600BB" w14:textId="77777777" w:rsidR="00FA064F" w:rsidRPr="00100F0A" w:rsidRDefault="00FA064F" w:rsidP="00FA064F">
      <w:pPr>
        <w:pStyle w:val="Heading2"/>
      </w:pPr>
      <w:bookmarkStart w:id="455" w:name="_Toc13225565"/>
      <w:r w:rsidRPr="00100F0A">
        <w:t xml:space="preserve">Oily water treatment </w:t>
      </w:r>
      <w:r>
        <w:t xml:space="preserve">(OWT) </w:t>
      </w:r>
      <w:r w:rsidRPr="00100F0A">
        <w:t>facilities</w:t>
      </w:r>
      <w:bookmarkEnd w:id="455"/>
      <w:r w:rsidRPr="00100F0A">
        <w:t xml:space="preserve"> </w:t>
      </w:r>
    </w:p>
    <w:p w14:paraId="2C06F355" w14:textId="3DCBD634" w:rsidR="00FA064F" w:rsidRPr="00100F0A" w:rsidRDefault="00FA064F" w:rsidP="00FA064F">
      <w:pPr>
        <w:pStyle w:val="BodyText"/>
      </w:pPr>
      <w:r w:rsidRPr="00100F0A">
        <w:t xml:space="preserve">This is a new infrastructure group for the 2018 assessment. Under the best estimate projection capacity would be exceeded in 2025, or as soon as 2019 under the high scenario estimate. Under the low projection, estimated capacity is not expected to be exceeded over the </w:t>
      </w:r>
      <w:r w:rsidR="00C34F48" w:rsidRPr="00100F0A">
        <w:t>20</w:t>
      </w:r>
      <w:r w:rsidR="00C34F48">
        <w:t>-year</w:t>
      </w:r>
      <w:r w:rsidRPr="00100F0A">
        <w:t xml:space="preserve"> projection period.  The reported 2016-17 arisings of 187 kt are more than the estimated receipts of around 150 kt which may be due to a lack of response from industry and the need to use averages for around a third of sites</w:t>
      </w:r>
      <w:r>
        <w:t>,</w:t>
      </w:r>
      <w:r w:rsidRPr="00100F0A">
        <w:t xml:space="preserve"> or it could be due to the database not including all sites from this diffuse infrastructure group.</w:t>
      </w:r>
    </w:p>
    <w:p w14:paraId="21B1BEDA" w14:textId="77777777" w:rsidR="00FA064F" w:rsidRPr="00100F0A" w:rsidRDefault="00FA064F" w:rsidP="00FA064F">
      <w:pPr>
        <w:pStyle w:val="BodyText"/>
      </w:pPr>
    </w:p>
    <w:p w14:paraId="3AF362CC" w14:textId="77777777" w:rsidR="00FA064F" w:rsidRPr="00100F0A" w:rsidRDefault="00FA064F" w:rsidP="00FA064F">
      <w:pPr>
        <w:pStyle w:val="BodyText"/>
      </w:pPr>
      <w:r w:rsidRPr="00100F0A">
        <w:t xml:space="preserve">The uncertainty of the needs vs capacity assessment is very high due </w:t>
      </w:r>
      <w:r>
        <w:t xml:space="preserve">to </w:t>
      </w:r>
      <w:r w:rsidRPr="00100F0A">
        <w:t xml:space="preserve">the capacity assessment relying on average installed capacity for around a third of the sites and the high risk that small OWT plants are not included in the database. </w:t>
      </w:r>
    </w:p>
    <w:p w14:paraId="26220F64" w14:textId="77777777" w:rsidR="00FA064F" w:rsidRPr="00100F0A" w:rsidRDefault="00FA064F" w:rsidP="00FA064F">
      <w:pPr>
        <w:pStyle w:val="BodyText"/>
      </w:pPr>
    </w:p>
    <w:p w14:paraId="03B53CA8" w14:textId="77777777" w:rsidR="00FA064F" w:rsidRPr="00100F0A" w:rsidRDefault="00FA064F" w:rsidP="00FA064F">
      <w:pPr>
        <w:pStyle w:val="BodyText"/>
      </w:pPr>
      <w:r w:rsidRPr="00100F0A">
        <w:t xml:space="preserve">Noting the above, the assessment indicates that capacity for OWT in Australia could become constrained over the next </w:t>
      </w:r>
      <w:r>
        <w:t>10</w:t>
      </w:r>
      <w:r w:rsidRPr="00100F0A">
        <w:t xml:space="preserve"> years and some additional capacity may be required. </w:t>
      </w:r>
    </w:p>
    <w:p w14:paraId="5AE4BDE4" w14:textId="77777777" w:rsidR="00FA064F" w:rsidRPr="00100F0A" w:rsidRDefault="00FA064F" w:rsidP="00FA064F">
      <w:pPr>
        <w:pStyle w:val="BodyText"/>
      </w:pPr>
    </w:p>
    <w:p w14:paraId="1455AAE6" w14:textId="026BFEF8" w:rsidR="00FA064F" w:rsidRDefault="00FA064F" w:rsidP="00FA064F">
      <w:pPr>
        <w:pStyle w:val="BodyText"/>
      </w:pPr>
      <w:r w:rsidRPr="00100F0A">
        <w:t>The jurisdictional assessment indicates that all jurisdictions, apart from Qld, Tas and Vic, lack OWT capacity. However, OWT facilities are typically relatively simple operations that could be established quickly and in response to market demand</w:t>
      </w:r>
      <w:r>
        <w:t>,</w:t>
      </w:r>
      <w:r w:rsidRPr="00100F0A">
        <w:t xml:space="preserve"> and is an infrastructure group that should not require government involvement.</w:t>
      </w:r>
    </w:p>
    <w:p w14:paraId="04212260" w14:textId="77777777" w:rsidR="00B8053D" w:rsidRDefault="00B8053D" w:rsidP="00FA064F">
      <w:pPr>
        <w:pStyle w:val="BodyText"/>
      </w:pPr>
    </w:p>
    <w:p w14:paraId="3589EF94" w14:textId="77777777" w:rsidR="00FA064F" w:rsidRPr="00100F0A" w:rsidRDefault="00FA064F" w:rsidP="00FA064F">
      <w:pPr>
        <w:pStyle w:val="Heading2"/>
      </w:pPr>
      <w:bookmarkStart w:id="456" w:name="_Toc13225566"/>
      <w:r w:rsidRPr="00100F0A">
        <w:t>Contaminated soils treatment facilities</w:t>
      </w:r>
      <w:bookmarkEnd w:id="456"/>
      <w:r w:rsidRPr="00100F0A">
        <w:t xml:space="preserve"> </w:t>
      </w:r>
    </w:p>
    <w:p w14:paraId="07B8D92F" w14:textId="77777777" w:rsidR="00FA064F" w:rsidRPr="00100F0A" w:rsidRDefault="00FA064F" w:rsidP="00FA064F">
      <w:pPr>
        <w:rPr>
          <w:color w:val="000000"/>
          <w:szCs w:val="20"/>
        </w:rPr>
      </w:pPr>
      <w:r w:rsidRPr="00100F0A">
        <w:rPr>
          <w:color w:val="000000"/>
          <w:szCs w:val="20"/>
        </w:rPr>
        <w:t xml:space="preserve">At a national level, under the best estimate projection, arisings would not exceed installed capacity over the next 20 years, </w:t>
      </w:r>
      <w:r>
        <w:rPr>
          <w:color w:val="000000"/>
          <w:szCs w:val="20"/>
        </w:rPr>
        <w:t xml:space="preserve">but would do so </w:t>
      </w:r>
      <w:r w:rsidRPr="00100F0A">
        <w:rPr>
          <w:color w:val="000000"/>
          <w:szCs w:val="20"/>
        </w:rPr>
        <w:t>under the high scenario. Under the low scenario</w:t>
      </w:r>
      <w:r>
        <w:rPr>
          <w:color w:val="000000"/>
          <w:szCs w:val="20"/>
        </w:rPr>
        <w:t>,</w:t>
      </w:r>
      <w:r w:rsidRPr="00100F0A">
        <w:rPr>
          <w:color w:val="000000"/>
          <w:szCs w:val="20"/>
        </w:rPr>
        <w:t xml:space="preserve"> capacity would not be exceeded over the projection period. </w:t>
      </w:r>
    </w:p>
    <w:p w14:paraId="5970A070" w14:textId="77777777" w:rsidR="00FA064F" w:rsidRPr="00100F0A" w:rsidRDefault="00FA064F" w:rsidP="00FA064F">
      <w:pPr>
        <w:rPr>
          <w:color w:val="000000"/>
          <w:szCs w:val="20"/>
        </w:rPr>
      </w:pPr>
    </w:p>
    <w:p w14:paraId="50C7C3A6" w14:textId="77777777" w:rsidR="00FA064F" w:rsidRPr="00100F0A" w:rsidRDefault="00FA064F" w:rsidP="00FA064F">
      <w:pPr>
        <w:rPr>
          <w:color w:val="000000"/>
          <w:szCs w:val="20"/>
        </w:rPr>
      </w:pPr>
      <w:r w:rsidRPr="00100F0A">
        <w:rPr>
          <w:color w:val="000000"/>
          <w:szCs w:val="20"/>
        </w:rPr>
        <w:t xml:space="preserve">Significant additional soil treatment capacity is under construction/commissioning in Vic that will add around 300 kt of additional installed capacity </w:t>
      </w:r>
      <w:r>
        <w:rPr>
          <w:color w:val="000000"/>
          <w:szCs w:val="20"/>
        </w:rPr>
        <w:t>and</w:t>
      </w:r>
      <w:r w:rsidRPr="00100F0A">
        <w:rPr>
          <w:color w:val="000000"/>
          <w:szCs w:val="20"/>
        </w:rPr>
        <w:t xml:space="preserve"> provide sufficient capacity for the long-term for Vic. The significant Vic treatment capacity may also be utilised to treat soil from interstate, with appropriate approvals in place. </w:t>
      </w:r>
    </w:p>
    <w:p w14:paraId="1AA9A4C7" w14:textId="77777777" w:rsidR="00FA064F" w:rsidRPr="00100F0A" w:rsidRDefault="00FA064F" w:rsidP="00FA064F">
      <w:pPr>
        <w:rPr>
          <w:color w:val="000000"/>
          <w:szCs w:val="20"/>
        </w:rPr>
      </w:pPr>
    </w:p>
    <w:p w14:paraId="7923283A" w14:textId="77777777" w:rsidR="00FA064F" w:rsidRPr="00100F0A" w:rsidRDefault="00FA064F" w:rsidP="00FA064F">
      <w:pPr>
        <w:rPr>
          <w:color w:val="000000"/>
          <w:szCs w:val="20"/>
        </w:rPr>
      </w:pPr>
      <w:r w:rsidRPr="00100F0A">
        <w:rPr>
          <w:color w:val="000000"/>
          <w:szCs w:val="20"/>
        </w:rPr>
        <w:t>The uncertainty of the needs vs capacity assessment is moderate due</w:t>
      </w:r>
      <w:r>
        <w:rPr>
          <w:color w:val="000000"/>
          <w:szCs w:val="20"/>
        </w:rPr>
        <w:t xml:space="preserve"> to</w:t>
      </w:r>
      <w:r w:rsidRPr="00100F0A">
        <w:rPr>
          <w:color w:val="000000"/>
          <w:szCs w:val="20"/>
        </w:rPr>
        <w:t xml:space="preserve"> the highly fluctuating generation rates of contaminated soil and the difficulty that contaminated soil facilities face in securing the contaminated soil for treatment. Industry report onsite management, contamination </w:t>
      </w:r>
      <w:r>
        <w:rPr>
          <w:color w:val="000000"/>
          <w:szCs w:val="20"/>
        </w:rPr>
        <w:t>dilution</w:t>
      </w:r>
      <w:r w:rsidRPr="00100F0A">
        <w:rPr>
          <w:color w:val="000000"/>
          <w:szCs w:val="20"/>
        </w:rPr>
        <w:t xml:space="preserve"> with clean soil and landfill disposal as serious threats to their investments, which reduces the certainty in infrastructure capacity investment. Importantly, these estimates assume no change to the current fate patterns of contaminated soil, which, based on the national average, is estimated to be 87%</w:t>
      </w:r>
      <w:r>
        <w:rPr>
          <w:color w:val="000000"/>
          <w:szCs w:val="20"/>
        </w:rPr>
        <w:t xml:space="preserve"> to</w:t>
      </w:r>
      <w:r w:rsidRPr="00100F0A">
        <w:rPr>
          <w:color w:val="000000"/>
          <w:szCs w:val="20"/>
        </w:rPr>
        <w:t xml:space="preserve"> landfill. If the treatment proportions are higher in other jurisdictions, the above assessment of no national capacity constraints would be affected.  </w:t>
      </w:r>
    </w:p>
    <w:p w14:paraId="54CB3347" w14:textId="77777777" w:rsidR="00FA064F" w:rsidRPr="00100F0A" w:rsidRDefault="00FA064F" w:rsidP="00FA064F">
      <w:pPr>
        <w:rPr>
          <w:color w:val="000000"/>
          <w:szCs w:val="20"/>
        </w:rPr>
      </w:pPr>
    </w:p>
    <w:p w14:paraId="127B0E87" w14:textId="77777777" w:rsidR="00FA064F" w:rsidRDefault="00FA064F" w:rsidP="00FA064F">
      <w:pPr>
        <w:rPr>
          <w:color w:val="000000"/>
          <w:szCs w:val="20"/>
        </w:rPr>
      </w:pPr>
      <w:r w:rsidRPr="00100F0A">
        <w:rPr>
          <w:color w:val="000000"/>
          <w:szCs w:val="20"/>
        </w:rPr>
        <w:t xml:space="preserve">Noting the above, the assessment indicates that there may be a need for additional soil treatment capacity in Australia if contaminated soil generation rates are high, except for Vic which has significant capacity coming online. </w:t>
      </w:r>
    </w:p>
    <w:p w14:paraId="15E8FB75" w14:textId="77777777" w:rsidR="00FA064F" w:rsidRPr="00100F0A" w:rsidRDefault="00FA064F" w:rsidP="00FA064F">
      <w:pPr>
        <w:rPr>
          <w:color w:val="000000"/>
          <w:szCs w:val="20"/>
        </w:rPr>
      </w:pPr>
    </w:p>
    <w:p w14:paraId="260363A3" w14:textId="5D446F52" w:rsidR="00FA064F" w:rsidRPr="00100F0A" w:rsidRDefault="00FA064F" w:rsidP="00FA064F">
      <w:pPr>
        <w:rPr>
          <w:color w:val="080808"/>
        </w:rPr>
      </w:pPr>
      <w:r w:rsidRPr="00100F0A">
        <w:rPr>
          <w:color w:val="080808"/>
        </w:rPr>
        <w:t>Installed capacity is concentrated in Vic, with some capacity also in NSW</w:t>
      </w:r>
      <w:r w:rsidR="00F64C8A">
        <w:rPr>
          <w:color w:val="080808"/>
        </w:rPr>
        <w:t>, Tas</w:t>
      </w:r>
      <w:r w:rsidRPr="00100F0A">
        <w:rPr>
          <w:color w:val="080808"/>
        </w:rPr>
        <w:t xml:space="preserve"> and WA. A shortfall in current capacity is apparent in </w:t>
      </w:r>
      <w:r>
        <w:rPr>
          <w:color w:val="080808"/>
        </w:rPr>
        <w:t xml:space="preserve">NT, </w:t>
      </w:r>
      <w:r w:rsidRPr="00100F0A">
        <w:rPr>
          <w:color w:val="080808"/>
        </w:rPr>
        <w:t>Qld,</w:t>
      </w:r>
      <w:r w:rsidR="00F64C8A">
        <w:rPr>
          <w:color w:val="080808"/>
        </w:rPr>
        <w:t xml:space="preserve"> and</w:t>
      </w:r>
      <w:r w:rsidRPr="00100F0A">
        <w:rPr>
          <w:color w:val="080808"/>
        </w:rPr>
        <w:t xml:space="preserve"> SA. Contaminated soil in these jurisdictions is likely disposed to landfill.</w:t>
      </w:r>
    </w:p>
    <w:p w14:paraId="6B123D87" w14:textId="77777777" w:rsidR="00FA064F" w:rsidRPr="00100F0A" w:rsidRDefault="00FA064F" w:rsidP="00FA064F">
      <w:pPr>
        <w:rPr>
          <w:color w:val="000000"/>
          <w:szCs w:val="20"/>
        </w:rPr>
      </w:pPr>
    </w:p>
    <w:p w14:paraId="35CF51AA" w14:textId="06306BC9" w:rsidR="00FA064F" w:rsidRDefault="00FA064F" w:rsidP="00FA064F">
      <w:pPr>
        <w:rPr>
          <w:color w:val="080808"/>
        </w:rPr>
      </w:pPr>
      <w:r w:rsidRPr="00100F0A">
        <w:rPr>
          <w:b/>
          <w:color w:val="080808"/>
        </w:rPr>
        <w:t>Recommendation 1</w:t>
      </w:r>
      <w:r>
        <w:rPr>
          <w:b/>
          <w:color w:val="080808"/>
        </w:rPr>
        <w:t>1</w:t>
      </w:r>
      <w:r w:rsidRPr="00100F0A">
        <w:rPr>
          <w:b/>
          <w:color w:val="080808"/>
        </w:rPr>
        <w:t xml:space="preserve">: </w:t>
      </w:r>
      <w:r>
        <w:rPr>
          <w:color w:val="080808"/>
        </w:rPr>
        <w:t xml:space="preserve">NT, </w:t>
      </w:r>
      <w:r w:rsidRPr="00100F0A">
        <w:rPr>
          <w:color w:val="080808"/>
        </w:rPr>
        <w:t xml:space="preserve">Qld, </w:t>
      </w:r>
      <w:r w:rsidR="00F64C8A">
        <w:rPr>
          <w:color w:val="080808"/>
        </w:rPr>
        <w:t xml:space="preserve">and </w:t>
      </w:r>
      <w:r w:rsidRPr="00100F0A">
        <w:rPr>
          <w:color w:val="080808"/>
        </w:rPr>
        <w:t xml:space="preserve">SA </w:t>
      </w:r>
      <w:r w:rsidR="003E7966">
        <w:rPr>
          <w:color w:val="080808"/>
        </w:rPr>
        <w:t>governments</w:t>
      </w:r>
      <w:r>
        <w:rPr>
          <w:color w:val="080808"/>
        </w:rPr>
        <w:t xml:space="preserve"> should</w:t>
      </w:r>
      <w:r w:rsidRPr="00100F0A">
        <w:rPr>
          <w:color w:val="080808"/>
        </w:rPr>
        <w:t xml:space="preserve"> consider completing feasibility studies to determine the viability of establishing contaminated soil treatment capacity in their jurisdiction.</w:t>
      </w:r>
    </w:p>
    <w:p w14:paraId="0AA3BD41" w14:textId="77777777" w:rsidR="00B8053D" w:rsidRPr="00100F0A" w:rsidRDefault="00B8053D" w:rsidP="00FA064F">
      <w:pPr>
        <w:rPr>
          <w:color w:val="080808"/>
        </w:rPr>
      </w:pPr>
    </w:p>
    <w:p w14:paraId="6D7CB6B4" w14:textId="77777777" w:rsidR="00FA064F" w:rsidRPr="00100F0A" w:rsidRDefault="00FA064F" w:rsidP="00FA064F">
      <w:pPr>
        <w:pStyle w:val="Heading2"/>
      </w:pPr>
      <w:bookmarkStart w:id="457" w:name="_Toc13225567"/>
      <w:r w:rsidRPr="00100F0A">
        <w:t>Hazardous waste landfill facilities</w:t>
      </w:r>
      <w:bookmarkEnd w:id="457"/>
      <w:r w:rsidRPr="00100F0A">
        <w:t xml:space="preserve"> </w:t>
      </w:r>
    </w:p>
    <w:p w14:paraId="647A1053" w14:textId="77777777" w:rsidR="00FA064F" w:rsidRPr="00100F0A" w:rsidRDefault="00FA064F" w:rsidP="00FA064F">
      <w:pPr>
        <w:rPr>
          <w:color w:val="080808"/>
          <w:lang w:eastAsia="en-AU"/>
        </w:rPr>
      </w:pPr>
      <w:r w:rsidRPr="00100F0A">
        <w:rPr>
          <w:color w:val="080808"/>
          <w:lang w:eastAsia="en-AU"/>
        </w:rPr>
        <w:t>At a national level, for all three scenarios</w:t>
      </w:r>
      <w:r>
        <w:rPr>
          <w:color w:val="080808"/>
          <w:lang w:eastAsia="en-AU"/>
        </w:rPr>
        <w:t>,</w:t>
      </w:r>
      <w:r w:rsidRPr="00100F0A">
        <w:rPr>
          <w:color w:val="080808"/>
          <w:lang w:eastAsia="en-AU"/>
        </w:rPr>
        <w:t xml:space="preserve"> the current 2016-17 arisings exceed the current installed annual capacity. The modelling assessment for this infrastructure group is incorrect. The response rate from site operators was only 50%, meaning infrastructure group averages were used, and generally the responses provided data only on waste currently received with little information on the installed capacity (</w:t>
      </w:r>
      <w:r>
        <w:rPr>
          <w:color w:val="080808"/>
          <w:lang w:eastAsia="en-AU"/>
        </w:rPr>
        <w:t>i.e. how much waste the landfill can receive annually</w:t>
      </w:r>
      <w:r w:rsidRPr="00100F0A">
        <w:rPr>
          <w:color w:val="080808"/>
          <w:lang w:eastAsia="en-AU"/>
        </w:rPr>
        <w:t>). This is understandable as, unlike other infrastructure types, landfills are usually able to cater to varying capacity demands (within reason) and a site’s installed annual capacity can be difficult to define.</w:t>
      </w:r>
    </w:p>
    <w:p w14:paraId="39D12096" w14:textId="77777777" w:rsidR="00FA064F" w:rsidRPr="00100F0A" w:rsidRDefault="00FA064F" w:rsidP="00FA064F">
      <w:pPr>
        <w:rPr>
          <w:color w:val="080808"/>
          <w:lang w:eastAsia="en-AU"/>
        </w:rPr>
      </w:pPr>
    </w:p>
    <w:p w14:paraId="26DBEB91" w14:textId="4306AF0E" w:rsidR="00FA064F" w:rsidRDefault="00FA064F" w:rsidP="00FA064F">
      <w:pPr>
        <w:rPr>
          <w:color w:val="080808"/>
          <w:lang w:eastAsia="en-AU"/>
        </w:rPr>
      </w:pPr>
      <w:r w:rsidRPr="00100F0A">
        <w:rPr>
          <w:color w:val="080808"/>
          <w:lang w:eastAsia="en-AU"/>
        </w:rPr>
        <w:t xml:space="preserve">Perhaps more important than the above analysis are industry comments regarding the expected life (i.e. amount of airspace remaining and the number of years of operation before this capacity is consumed) of the </w:t>
      </w:r>
      <w:r w:rsidR="00323336">
        <w:rPr>
          <w:color w:val="080808"/>
          <w:lang w:eastAsia="en-AU"/>
        </w:rPr>
        <w:t>seven</w:t>
      </w:r>
      <w:r w:rsidRPr="00100F0A">
        <w:rPr>
          <w:color w:val="080808"/>
          <w:lang w:eastAsia="en-AU"/>
        </w:rPr>
        <w:t xml:space="preserve"> landfill sites included in this infrastructure group.</w:t>
      </w:r>
      <w:r w:rsidR="00521A7B">
        <w:rPr>
          <w:rStyle w:val="FootnoteReference"/>
          <w:color w:val="080808"/>
          <w:lang w:eastAsia="en-AU"/>
        </w:rPr>
        <w:footnoteReference w:id="45"/>
      </w:r>
      <w:r w:rsidRPr="00100F0A">
        <w:rPr>
          <w:color w:val="080808"/>
          <w:lang w:eastAsia="en-AU"/>
        </w:rPr>
        <w:t xml:space="preserve"> Landfill operators were asked how much waste could be received at the site before the site’s airspace was consumed. Where the operator responded, they all responded with an estimate of the expected year of closure or simply stated that the site had more than 20 years capacity remaining. </w:t>
      </w:r>
    </w:p>
    <w:p w14:paraId="5DE8E1AE" w14:textId="77777777" w:rsidR="00FA064F" w:rsidRDefault="00FA064F" w:rsidP="00FA064F">
      <w:pPr>
        <w:rPr>
          <w:color w:val="080808"/>
          <w:lang w:eastAsia="en-AU"/>
        </w:rPr>
      </w:pPr>
    </w:p>
    <w:p w14:paraId="292FAA45" w14:textId="77777777" w:rsidR="003A772B" w:rsidRPr="00100F0A" w:rsidRDefault="003A772B" w:rsidP="003A772B">
      <w:pPr>
        <w:rPr>
          <w:color w:val="080808"/>
          <w:lang w:eastAsia="en-AU"/>
        </w:rPr>
      </w:pPr>
      <w:r>
        <w:rPr>
          <w:rFonts w:eastAsia="Times New Roman"/>
          <w:shd w:val="clear" w:color="auto" w:fill="FF0000"/>
        </w:rPr>
        <w:t>Text withheld to maintain commercial confidentiality</w:t>
      </w:r>
      <w:r w:rsidRPr="00887A1F">
        <w:rPr>
          <w:color w:val="080808"/>
          <w:lang w:eastAsia="en-AU"/>
        </w:rPr>
        <w:t>.</w:t>
      </w:r>
      <w:r w:rsidRPr="00100F0A">
        <w:rPr>
          <w:color w:val="080808"/>
          <w:lang w:eastAsia="en-AU"/>
        </w:rPr>
        <w:t xml:space="preserve"> No other sites surveyed in this category responded with a definitive response of planned closure within the new 20 years. Apart from Suez Elizabeth Drive, responses were generally vague on the expected closure year and it is recommended that more detailed investigation of the likely closure date of the landfills in this category be completed. Given the small number of sites and the extreme difficulty some jurisdictions have experienced in establishing new hazardous waste landfills, it is important to better understand the risk profile of each site in terms of its likelihood of closure due to: a lack of airspace, regulatory non-compliance, community concern and sudden airspace consumption due to extreme weather events such as cyclone or fire. </w:t>
      </w:r>
    </w:p>
    <w:p w14:paraId="24A3DBD4" w14:textId="77777777" w:rsidR="003A772B" w:rsidRPr="00100F0A" w:rsidRDefault="003A772B" w:rsidP="003A772B">
      <w:pPr>
        <w:rPr>
          <w:color w:val="080808"/>
          <w:lang w:eastAsia="en-AU"/>
        </w:rPr>
      </w:pPr>
    </w:p>
    <w:p w14:paraId="408DBBAE" w14:textId="77777777" w:rsidR="003A772B" w:rsidRDefault="003A772B" w:rsidP="00FA064F">
      <w:pPr>
        <w:rPr>
          <w:color w:val="080808"/>
          <w:lang w:eastAsia="en-AU"/>
        </w:rPr>
      </w:pPr>
      <w:r w:rsidRPr="00100F0A">
        <w:rPr>
          <w:b/>
          <w:color w:val="080808"/>
          <w:lang w:eastAsia="en-AU"/>
        </w:rPr>
        <w:t>Recommendation 1</w:t>
      </w:r>
      <w:r>
        <w:rPr>
          <w:b/>
          <w:color w:val="080808"/>
          <w:lang w:eastAsia="en-AU"/>
        </w:rPr>
        <w:t>2</w:t>
      </w:r>
      <w:r w:rsidRPr="00100F0A">
        <w:rPr>
          <w:b/>
          <w:color w:val="080808"/>
          <w:lang w:eastAsia="en-AU"/>
        </w:rPr>
        <w:t xml:space="preserve">: </w:t>
      </w:r>
      <w:r w:rsidRPr="00100F0A">
        <w:rPr>
          <w:color w:val="080808"/>
          <w:lang w:eastAsia="en-AU"/>
        </w:rPr>
        <w:t xml:space="preserve">DoEE </w:t>
      </w:r>
      <w:r>
        <w:rPr>
          <w:color w:val="080808"/>
          <w:lang w:eastAsia="en-AU"/>
        </w:rPr>
        <w:t xml:space="preserve">should </w:t>
      </w:r>
      <w:r w:rsidRPr="00100F0A">
        <w:rPr>
          <w:color w:val="080808"/>
          <w:lang w:eastAsia="en-AU"/>
        </w:rPr>
        <w:t xml:space="preserve">work with the jurisdictions to complete a detailed assessment of the likely closure year of the identified hazardous waste landfill facility infrastructure including a risk assessment of site capacity being impacted by issues such as extreme weather events. </w:t>
      </w:r>
    </w:p>
    <w:p w14:paraId="162DB69B" w14:textId="77777777" w:rsidR="003A772B" w:rsidRDefault="003A772B" w:rsidP="00FA064F">
      <w:pPr>
        <w:rPr>
          <w:color w:val="080808"/>
          <w:lang w:eastAsia="en-AU"/>
        </w:rPr>
      </w:pPr>
    </w:p>
    <w:p w14:paraId="7ED28CEB" w14:textId="3D3613A6" w:rsidR="00FA064F" w:rsidRPr="00100F0A" w:rsidRDefault="003A772B" w:rsidP="00FA064F">
      <w:pPr>
        <w:rPr>
          <w:color w:val="080808"/>
          <w:lang w:eastAsia="en-AU"/>
        </w:rPr>
      </w:pPr>
      <w:r>
        <w:rPr>
          <w:rFonts w:eastAsia="Times New Roman"/>
          <w:shd w:val="clear" w:color="auto" w:fill="FF0000"/>
        </w:rPr>
        <w:t>Text withheld to maintain commercial confidentiality</w:t>
      </w:r>
      <w:r w:rsidR="00FA064F" w:rsidRPr="00100F0A">
        <w:rPr>
          <w:color w:val="080808"/>
          <w:lang w:eastAsia="en-AU"/>
        </w:rPr>
        <w:t>.</w:t>
      </w:r>
    </w:p>
    <w:p w14:paraId="6E74FFA4" w14:textId="77777777" w:rsidR="00FA064F" w:rsidRPr="00100F0A" w:rsidRDefault="00FA064F" w:rsidP="00FA064F">
      <w:pPr>
        <w:pStyle w:val="Heading3"/>
      </w:pPr>
      <w:r w:rsidRPr="00100F0A">
        <w:t>Landfill facilities (NEPM code N, T)</w:t>
      </w:r>
    </w:p>
    <w:p w14:paraId="1980228D" w14:textId="77777777" w:rsidR="00FA064F" w:rsidRPr="00100F0A" w:rsidRDefault="00FA064F" w:rsidP="00FA064F">
      <w:pPr>
        <w:rPr>
          <w:color w:val="080808"/>
          <w:szCs w:val="20"/>
        </w:rPr>
      </w:pPr>
      <w:r w:rsidRPr="00100F0A">
        <w:rPr>
          <w:color w:val="080808"/>
          <w:szCs w:val="20"/>
        </w:rPr>
        <w:t xml:space="preserve">This infrastructure group is not in the scope of hazardous waste database. As discussed in Section 3.2, a significant number of landfills are licensed to take hazardous waste NEPM codes N and T only (asbestos, EOLT, low level contaminated soil) and these facilities are not included in the infrastructure database. This is reflected in the almost </w:t>
      </w:r>
      <w:r>
        <w:rPr>
          <w:color w:val="080808"/>
          <w:szCs w:val="20"/>
        </w:rPr>
        <w:t>3 Mt</w:t>
      </w:r>
      <w:r w:rsidRPr="00100F0A">
        <w:rPr>
          <w:color w:val="080808"/>
          <w:szCs w:val="20"/>
        </w:rPr>
        <w:t xml:space="preserve"> of hazardous and controlled waste estimated to be sent to this infrastructure group, by far the largest portion of hazardous waste (almost half of the estimated 6 </w:t>
      </w:r>
      <w:r>
        <w:rPr>
          <w:color w:val="080808"/>
          <w:szCs w:val="20"/>
        </w:rPr>
        <w:t>Mt</w:t>
      </w:r>
      <w:r w:rsidRPr="00100F0A">
        <w:rPr>
          <w:color w:val="080808"/>
          <w:szCs w:val="20"/>
        </w:rPr>
        <w:t xml:space="preserve"> of arisings). Based on industry consultation and our assessment of landfill infrastructure for NEPM codes N and T only, we do not believe there is likely to be a national shortage of this infrastructure group over the next 20 years.</w:t>
      </w:r>
    </w:p>
    <w:p w14:paraId="63BA4B52" w14:textId="77777777" w:rsidR="00FA064F" w:rsidRPr="00100F0A" w:rsidRDefault="00FA064F" w:rsidP="00FA064F">
      <w:pPr>
        <w:pStyle w:val="Heading3"/>
      </w:pPr>
      <w:r w:rsidRPr="00100F0A">
        <w:t xml:space="preserve">Landfills for asbestos disposal </w:t>
      </w:r>
    </w:p>
    <w:p w14:paraId="7CE8694B" w14:textId="631B90DC" w:rsidR="00FA064F" w:rsidRDefault="00FA064F" w:rsidP="00FA064F">
      <w:pPr>
        <w:rPr>
          <w:color w:val="080808"/>
        </w:rPr>
      </w:pPr>
      <w:r w:rsidRPr="00100F0A">
        <w:rPr>
          <w:color w:val="080808"/>
        </w:rPr>
        <w:t>Unlike most waste, it is commonly accepted that the most appropriate fate for asbestos waste is landfill, where it can be safely removed from the environment for the long term. Across Australia, state and local governments are working towards a gradual rationalisation in the number of landfills in order to minimise the environmental and human health risks that landfills can create. As small regional landfills close, they are often replaced with transfer stations that consolidate waste and enable higher rates of resource recovery, reduce long term liabilities and risks, and transport bulk waste loads to a regional landfill.  However, few transfer stations in Australia accept asbestos. This creates a potentially serious problem of lack of local access to disposal options for waste asbestos. Consultation suggests this is a current issue and it is likely to worsen.</w:t>
      </w:r>
      <w:r>
        <w:rPr>
          <w:color w:val="080808"/>
        </w:rPr>
        <w:t xml:space="preserve"> </w:t>
      </w:r>
    </w:p>
    <w:p w14:paraId="33913671" w14:textId="77777777" w:rsidR="00B8053D" w:rsidRDefault="00B8053D" w:rsidP="00FA064F">
      <w:pPr>
        <w:rPr>
          <w:rFonts w:eastAsiaTheme="majorEastAsia" w:cstheme="majorBidi"/>
          <w:b/>
          <w:color w:val="4D4DB8"/>
          <w:sz w:val="24"/>
          <w:szCs w:val="26"/>
        </w:rPr>
      </w:pPr>
    </w:p>
    <w:p w14:paraId="7B1C60A6" w14:textId="77777777" w:rsidR="00FA064F" w:rsidRPr="00100F0A" w:rsidRDefault="00FA064F" w:rsidP="00FA064F">
      <w:pPr>
        <w:pStyle w:val="Heading2"/>
      </w:pPr>
      <w:bookmarkStart w:id="458" w:name="_Toc13225568"/>
      <w:r w:rsidRPr="00100F0A">
        <w:t>POP thermal destruction facilities</w:t>
      </w:r>
      <w:bookmarkEnd w:id="458"/>
      <w:r w:rsidRPr="00100F0A">
        <w:t xml:space="preserve"> </w:t>
      </w:r>
    </w:p>
    <w:p w14:paraId="7C5FA81C" w14:textId="77777777" w:rsidR="003A772B" w:rsidRPr="00100F0A" w:rsidRDefault="003A772B" w:rsidP="003A772B">
      <w:pPr>
        <w:pStyle w:val="BodyText"/>
      </w:pPr>
      <w:r w:rsidRPr="00100F0A">
        <w:t xml:space="preserve">At a national level, under all scenarios the current and expected future POP capacity would be greatly exceeded in 2020 when, under the best estimate scenario, arisings are projected to increase to over 400 kt and increase to 450 kt by 2037. The major increases in arisings in 2020 are </w:t>
      </w:r>
      <w:r>
        <w:t>mostly</w:t>
      </w:r>
      <w:r w:rsidRPr="00100F0A">
        <w:t xml:space="preserve"> PFAS contaminated waste (soils, AFFF, biosolids) in 2020 and </w:t>
      </w:r>
      <w:r>
        <w:t>greater quantities of</w:t>
      </w:r>
      <w:r w:rsidRPr="00100F0A">
        <w:t xml:space="preserve"> POP-BDEs and HBCD waste starting in 2023. Whilst this identifies a major gap in Australia's dedicated POP thermal destruction capacity, the capacity assessment uncertainty for this group is very high. </w:t>
      </w:r>
      <w:r w:rsidRPr="008D144B">
        <w:t>POP destruction capacity</w:t>
      </w:r>
      <w:r>
        <w:t xml:space="preserve"> could turn out to be adequate due to</w:t>
      </w:r>
      <w:r w:rsidRPr="00100F0A">
        <w:t xml:space="preserve">: </w:t>
      </w:r>
    </w:p>
    <w:p w14:paraId="7CC13F51" w14:textId="77777777" w:rsidR="003A772B" w:rsidRPr="00100F0A" w:rsidRDefault="003A772B" w:rsidP="009D734D">
      <w:pPr>
        <w:pStyle w:val="ListNumber"/>
        <w:numPr>
          <w:ilvl w:val="0"/>
          <w:numId w:val="63"/>
        </w:numPr>
      </w:pPr>
      <w:r w:rsidRPr="00100F0A">
        <w:t xml:space="preserve">POP </w:t>
      </w:r>
      <w:r>
        <w:t>thermal destruction</w:t>
      </w:r>
      <w:r w:rsidRPr="00100F0A">
        <w:t xml:space="preserve"> capacity within soils treatment facilities. By 2020, as noted above, Australia should have soil treatment facilities, that are able to receive POP, with a total installed capacity of over 300 kt. The capacity of these facilities to receive POP is not yet clear and for this assessment a conservative estimate is made of less than </w:t>
      </w:r>
      <w:r w:rsidRPr="003A772B">
        <w:rPr>
          <w:shd w:val="clear" w:color="auto" w:fill="FF0000"/>
        </w:rPr>
        <w:t>CIC</w:t>
      </w:r>
      <w:r>
        <w:t xml:space="preserve"> </w:t>
      </w:r>
      <w:r w:rsidRPr="00100F0A">
        <w:t>of POP waste capacity within these facilities. It is possible that PFAS contaminated waste (soil and biosolids in particular) may</w:t>
      </w:r>
      <w:r>
        <w:t xml:space="preserve"> </w:t>
      </w:r>
      <w:r w:rsidRPr="00100F0A">
        <w:t>be treated by these facilities in much larger tonnages sufficient to manage the projected arisings.</w:t>
      </w:r>
    </w:p>
    <w:p w14:paraId="1CA6FE17" w14:textId="77777777" w:rsidR="003A772B" w:rsidRPr="00100F0A" w:rsidRDefault="003A772B" w:rsidP="003A772B">
      <w:pPr>
        <w:pStyle w:val="ListNumber"/>
      </w:pPr>
      <w:r w:rsidRPr="00100F0A">
        <w:t xml:space="preserve">POP </w:t>
      </w:r>
      <w:r>
        <w:t>thermal destruction</w:t>
      </w:r>
      <w:r w:rsidRPr="00100F0A">
        <w:t xml:space="preserve"> capacity within cement kilns. Cement kilns in Australia are currently destroying some POP including PFOS. The capacity of Australia's cement kilns to destroy POP is estimated to be </w:t>
      </w:r>
      <w:r w:rsidRPr="004909AC">
        <w:rPr>
          <w:shd w:val="clear" w:color="auto" w:fill="FF0000"/>
        </w:rPr>
        <w:t>CIC</w:t>
      </w:r>
      <w:r w:rsidRPr="00100F0A">
        <w:t xml:space="preserve">. The capacity of cement kilns to destroy additional POP tonnages </w:t>
      </w:r>
      <w:r>
        <w:t>i</w:t>
      </w:r>
      <w:r w:rsidRPr="00100F0A">
        <w:t xml:space="preserve">s unknown and there may be additional capacity if the appropriate testing and license approvals were successfully completed. </w:t>
      </w:r>
    </w:p>
    <w:p w14:paraId="4D6E6EFA" w14:textId="77777777" w:rsidR="003A772B" w:rsidRPr="00100F0A" w:rsidRDefault="003A772B" w:rsidP="003A772B">
      <w:pPr>
        <w:pStyle w:val="ListNumber"/>
      </w:pPr>
      <w:r w:rsidRPr="00100F0A">
        <w:t xml:space="preserve">POP </w:t>
      </w:r>
      <w:r>
        <w:t>thermal destruction</w:t>
      </w:r>
      <w:r w:rsidRPr="00100F0A">
        <w:t xml:space="preserve"> capacity within </w:t>
      </w:r>
      <w:r>
        <w:t>c</w:t>
      </w:r>
      <w:r w:rsidRPr="00100F0A">
        <w:t xml:space="preserve">linical waste </w:t>
      </w:r>
      <w:r>
        <w:t>thermal destruction (</w:t>
      </w:r>
      <w:r w:rsidRPr="00100F0A">
        <w:t>TD</w:t>
      </w:r>
      <w:r>
        <w:t>)</w:t>
      </w:r>
      <w:r w:rsidRPr="00100F0A">
        <w:t xml:space="preserve"> facilities. Daniels (Toxfree) Laverton facility is licenced </w:t>
      </w:r>
      <w:r>
        <w:t>to process</w:t>
      </w:r>
      <w:r w:rsidRPr="00100F0A">
        <w:t xml:space="preserve"> highly contaminated PCB waste. Daniels (Toxfree) did not state the potential tonnages of POP that could be destroyed at the facility.  </w:t>
      </w:r>
    </w:p>
    <w:p w14:paraId="20A4569F" w14:textId="77777777" w:rsidR="003A772B" w:rsidRPr="00100F0A" w:rsidRDefault="003A772B" w:rsidP="003A772B">
      <w:pPr>
        <w:pStyle w:val="ListNumber"/>
        <w:numPr>
          <w:ilvl w:val="0"/>
          <w:numId w:val="0"/>
        </w:numPr>
      </w:pPr>
    </w:p>
    <w:p w14:paraId="5B9BD785" w14:textId="77777777" w:rsidR="003A772B" w:rsidRPr="00100F0A" w:rsidRDefault="003A772B" w:rsidP="003A772B">
      <w:pPr>
        <w:pStyle w:val="BodyText"/>
      </w:pPr>
      <w:r w:rsidRPr="00100F0A">
        <w:t>It may be the case that the current and planned suite of infrastructure that is able to destroy POP</w:t>
      </w:r>
      <w:r>
        <w:t>s</w:t>
      </w:r>
      <w:r w:rsidRPr="00100F0A">
        <w:t xml:space="preserve"> can manage the projected tonnages of POP waste</w:t>
      </w:r>
      <w:r>
        <w:t>. This</w:t>
      </w:r>
      <w:r w:rsidRPr="00100F0A">
        <w:t xml:space="preserve"> will depend on the ability of the soil treatment, cement kilns and clinical waste destruction facilities</w:t>
      </w:r>
      <w:r>
        <w:t>’</w:t>
      </w:r>
      <w:r w:rsidRPr="00100F0A">
        <w:t xml:space="preserve"> ability to demonstrate the destruction of POP at the currently licensed limits. Future increases in POP waste may be able to be managed in the current infrastructure subject </w:t>
      </w:r>
      <w:r>
        <w:t xml:space="preserve">to </w:t>
      </w:r>
      <w:r w:rsidRPr="00100F0A">
        <w:t>demonstration of POP destruction and the approval of large increases in licensed capacities for POP waste.</w:t>
      </w:r>
    </w:p>
    <w:p w14:paraId="04A7E748" w14:textId="77777777" w:rsidR="003A772B" w:rsidRPr="00100F0A" w:rsidRDefault="003A772B" w:rsidP="003A772B">
      <w:pPr>
        <w:pStyle w:val="BodyText"/>
      </w:pPr>
      <w:r w:rsidRPr="00100F0A">
        <w:t xml:space="preserve"> </w:t>
      </w:r>
    </w:p>
    <w:p w14:paraId="38606017" w14:textId="77777777" w:rsidR="003A772B" w:rsidRDefault="003A772B" w:rsidP="003A772B">
      <w:pPr>
        <w:pStyle w:val="BodyText"/>
      </w:pPr>
      <w:r w:rsidRPr="00100F0A">
        <w:rPr>
          <w:b/>
        </w:rPr>
        <w:t>Recommendation 1</w:t>
      </w:r>
      <w:r>
        <w:rPr>
          <w:b/>
        </w:rPr>
        <w:t>3</w:t>
      </w:r>
      <w:r w:rsidRPr="00100F0A">
        <w:rPr>
          <w:b/>
        </w:rPr>
        <w:t>:</w:t>
      </w:r>
      <w:r w:rsidRPr="00100F0A">
        <w:t xml:space="preserve"> DoEE </w:t>
      </w:r>
      <w:r>
        <w:t xml:space="preserve">should </w:t>
      </w:r>
      <w:r w:rsidRPr="00100F0A">
        <w:t xml:space="preserve">work with jurisdictions and industry to agree an approach to determine the upper limit for tonnages/concentrations that can be received at the high temperature thermal soil treatment facilities, cement kilns and clinical waste thermal destruction units that will ensure thermal destruction of the PFAS, </w:t>
      </w:r>
      <w:r>
        <w:t>POP-</w:t>
      </w:r>
      <w:r w:rsidRPr="00100F0A">
        <w:t>BDE, HBCD</w:t>
      </w:r>
      <w:r>
        <w:t xml:space="preserve"> and</w:t>
      </w:r>
      <w:r w:rsidRPr="00100F0A">
        <w:t xml:space="preserve"> HCB wastes. This information is required to better understand how much additional dedicated POP thermal destruction capacity (from technologies such as plasma arc) may be required in future.</w:t>
      </w:r>
    </w:p>
    <w:p w14:paraId="725F98AD" w14:textId="2389DB11" w:rsidR="00FA064F" w:rsidRDefault="00FA064F" w:rsidP="00FA064F">
      <w:pPr>
        <w:pStyle w:val="BodyText"/>
      </w:pPr>
    </w:p>
    <w:p w14:paraId="58711623" w14:textId="77777777" w:rsidR="00FA064F" w:rsidRPr="00100F0A" w:rsidRDefault="00FA064F" w:rsidP="00FA064F">
      <w:pPr>
        <w:pStyle w:val="Heading3"/>
      </w:pPr>
      <w:r>
        <w:t xml:space="preserve">Thermal destruction of </w:t>
      </w:r>
      <w:r w:rsidRPr="00100F0A">
        <w:t>PFAS</w:t>
      </w:r>
      <w:r>
        <w:t xml:space="preserve"> in </w:t>
      </w:r>
      <w:r w:rsidRPr="00100F0A">
        <w:t>contaminated water</w:t>
      </w:r>
    </w:p>
    <w:p w14:paraId="056B2F22" w14:textId="77777777" w:rsidR="00FA064F" w:rsidRPr="00100F0A" w:rsidRDefault="00FA064F" w:rsidP="00FA064F">
      <w:pPr>
        <w:pStyle w:val="BodyText"/>
      </w:pPr>
      <w:r w:rsidRPr="00100F0A">
        <w:t xml:space="preserve">Industry commented that </w:t>
      </w:r>
      <w:r>
        <w:t xml:space="preserve">it </w:t>
      </w:r>
      <w:r w:rsidRPr="00100F0A">
        <w:t>urgently need</w:t>
      </w:r>
      <w:r>
        <w:t>s</w:t>
      </w:r>
      <w:r w:rsidRPr="00100F0A">
        <w:t xml:space="preserve"> further direction from regulators regarding the process requirements and contaminant thresholds for PFAS</w:t>
      </w:r>
      <w:r>
        <w:t>-</w:t>
      </w:r>
      <w:r w:rsidRPr="00100F0A">
        <w:t xml:space="preserve">impacted water clean-up. There is inconsistency between the jurisdictions and reliance on existing guidelines that do not specify PFAS limits. </w:t>
      </w:r>
    </w:p>
    <w:p w14:paraId="7BFBECD6" w14:textId="77777777" w:rsidR="00FA064F" w:rsidRPr="00100F0A" w:rsidRDefault="00FA064F" w:rsidP="00FA064F">
      <w:pPr>
        <w:pStyle w:val="BodyText"/>
      </w:pPr>
    </w:p>
    <w:p w14:paraId="0AB9C482" w14:textId="77777777" w:rsidR="00FA064F" w:rsidRPr="00100F0A" w:rsidRDefault="00FA064F" w:rsidP="00FA064F">
      <w:pPr>
        <w:pStyle w:val="BodyText"/>
      </w:pPr>
      <w:r w:rsidRPr="00100F0A">
        <w:rPr>
          <w:b/>
        </w:rPr>
        <w:t>Recommendation 1</w:t>
      </w:r>
      <w:r>
        <w:rPr>
          <w:b/>
        </w:rPr>
        <w:t>4</w:t>
      </w:r>
      <w:r w:rsidRPr="00100F0A">
        <w:rPr>
          <w:b/>
        </w:rPr>
        <w:t xml:space="preserve">: </w:t>
      </w:r>
      <w:r>
        <w:t>T</w:t>
      </w:r>
      <w:r w:rsidRPr="00100F0A">
        <w:t>he process requirements and contaminant thresholds that need to be met for PFAS</w:t>
      </w:r>
      <w:r>
        <w:t>-</w:t>
      </w:r>
      <w:r w:rsidRPr="00100F0A">
        <w:t>impacted water clean-up should be defined. DoEE may be best placed to le</w:t>
      </w:r>
      <w:r>
        <w:t>a</w:t>
      </w:r>
      <w:r w:rsidRPr="00100F0A">
        <w:t>d the development of a recommended process and threshold that the jurisdictions could choose to adopt. This work may already be underway.</w:t>
      </w:r>
    </w:p>
    <w:p w14:paraId="13B45EF5" w14:textId="77777777" w:rsidR="00FA064F" w:rsidRDefault="00FA064F" w:rsidP="00FA064F">
      <w:pPr>
        <w:pStyle w:val="BodyText"/>
      </w:pPr>
    </w:p>
    <w:p w14:paraId="09ABAB88" w14:textId="77777777" w:rsidR="00FA064F" w:rsidRPr="00100F0A" w:rsidRDefault="00FA064F" w:rsidP="00FA064F">
      <w:pPr>
        <w:pStyle w:val="BodyText"/>
      </w:pPr>
      <w:r w:rsidRPr="00100F0A">
        <w:t>PFAS</w:t>
      </w:r>
      <w:r>
        <w:t>-</w:t>
      </w:r>
      <w:r w:rsidRPr="00100F0A">
        <w:t>contaminated groundwater is being cleaned</w:t>
      </w:r>
      <w:r>
        <w:t xml:space="preserve"> </w:t>
      </w:r>
      <w:r w:rsidRPr="00100F0A">
        <w:t>up using activated carbon filtration processes to remove PFAS. Once the filtration media’s capacity to adsorb PFAS is exhausted, the contaminated material needs to be renewed. Industry commented that in Qld this material is able to be sent to landfill whereas in other jurisdictions the PFAS</w:t>
      </w:r>
      <w:r>
        <w:t>-</w:t>
      </w:r>
      <w:r w:rsidRPr="00100F0A">
        <w:t>contaminated material must be thermal</w:t>
      </w:r>
      <w:r>
        <w:t>ly</w:t>
      </w:r>
      <w:r w:rsidRPr="00100F0A">
        <w:t xml:space="preserve"> treated to destroy PFAS.  If PFAS</w:t>
      </w:r>
      <w:r>
        <w:t>-</w:t>
      </w:r>
      <w:r w:rsidRPr="00100F0A">
        <w:t>contaminated filtration media is being sen</w:t>
      </w:r>
      <w:r>
        <w:t>t</w:t>
      </w:r>
      <w:r w:rsidRPr="00100F0A">
        <w:t xml:space="preserve"> to landfill, rather than being thermal</w:t>
      </w:r>
      <w:r>
        <w:t>ly</w:t>
      </w:r>
      <w:r w:rsidRPr="00100F0A">
        <w:t xml:space="preserve"> destroyed, it would seem to defeat the efforts in removing PFAS from the groundwater in the first place (i.e. in landfill PFAS will presumably make its way back to </w:t>
      </w:r>
      <w:r>
        <w:t>the environment</w:t>
      </w:r>
      <w:r w:rsidRPr="00100F0A">
        <w:t xml:space="preserve">). </w:t>
      </w:r>
    </w:p>
    <w:p w14:paraId="19E041AC" w14:textId="77777777" w:rsidR="00FA064F" w:rsidRPr="00100F0A" w:rsidRDefault="00FA064F" w:rsidP="00FA064F">
      <w:pPr>
        <w:pStyle w:val="BodyText"/>
      </w:pPr>
    </w:p>
    <w:p w14:paraId="4B441EFA" w14:textId="79B86ACE" w:rsidR="00FA064F" w:rsidRDefault="00FA064F" w:rsidP="00FA064F">
      <w:pPr>
        <w:pStyle w:val="BodyText"/>
      </w:pPr>
      <w:r w:rsidRPr="00100F0A">
        <w:rPr>
          <w:b/>
        </w:rPr>
        <w:t>Recommendation 1</w:t>
      </w:r>
      <w:r>
        <w:rPr>
          <w:b/>
        </w:rPr>
        <w:t>5</w:t>
      </w:r>
      <w:r w:rsidRPr="00100F0A">
        <w:rPr>
          <w:b/>
        </w:rPr>
        <w:t xml:space="preserve">: </w:t>
      </w:r>
      <w:r>
        <w:t>T</w:t>
      </w:r>
      <w:r w:rsidRPr="00100F0A">
        <w:t>he management requirements of PFAS</w:t>
      </w:r>
      <w:r>
        <w:t>-</w:t>
      </w:r>
      <w:r w:rsidRPr="00100F0A">
        <w:t xml:space="preserve">contaminated </w:t>
      </w:r>
      <w:r w:rsidR="00E1116E">
        <w:t>filter media</w:t>
      </w:r>
      <w:r w:rsidRPr="00100F0A">
        <w:t xml:space="preserve"> should be reviewed to ensure a nationally consistent approach.</w:t>
      </w:r>
    </w:p>
    <w:p w14:paraId="32E667EF" w14:textId="77777777" w:rsidR="00083C1C" w:rsidRPr="00100F0A" w:rsidRDefault="00083C1C" w:rsidP="00FA064F">
      <w:pPr>
        <w:pStyle w:val="BodyText"/>
      </w:pPr>
    </w:p>
    <w:p w14:paraId="0F653F34" w14:textId="77777777" w:rsidR="00FA064F" w:rsidRPr="00100F0A" w:rsidRDefault="00FA064F" w:rsidP="00FA064F">
      <w:pPr>
        <w:pStyle w:val="Heading2"/>
      </w:pPr>
      <w:bookmarkStart w:id="459" w:name="_Toc13225569"/>
      <w:r w:rsidRPr="00100F0A">
        <w:t>Clinical waste thermal destruction facilities</w:t>
      </w:r>
      <w:bookmarkEnd w:id="459"/>
    </w:p>
    <w:p w14:paraId="3A367453" w14:textId="77777777" w:rsidR="00FA064F" w:rsidRPr="00100F0A" w:rsidRDefault="00FA064F" w:rsidP="00FA064F">
      <w:pPr>
        <w:rPr>
          <w:color w:val="080808"/>
        </w:rPr>
      </w:pPr>
      <w:r w:rsidRPr="00100F0A">
        <w:rPr>
          <w:color w:val="080808"/>
        </w:rPr>
        <w:t xml:space="preserve">At a national level, based on the best, high and low projections of arisings, clinical waste thermal destruction infrastructure is estimated to meet national demand over the next 20 years. </w:t>
      </w:r>
    </w:p>
    <w:p w14:paraId="5619641A" w14:textId="77777777" w:rsidR="00FA064F" w:rsidRPr="00100F0A" w:rsidRDefault="00FA064F" w:rsidP="00FA064F">
      <w:pPr>
        <w:rPr>
          <w:color w:val="080808"/>
        </w:rPr>
      </w:pPr>
    </w:p>
    <w:p w14:paraId="27220C05" w14:textId="77777777" w:rsidR="00FA064F" w:rsidRPr="00100F0A" w:rsidRDefault="00FA064F" w:rsidP="00FA064F">
      <w:pPr>
        <w:rPr>
          <w:color w:val="080808"/>
        </w:rPr>
      </w:pPr>
      <w:r w:rsidRPr="00100F0A">
        <w:rPr>
          <w:color w:val="080808"/>
        </w:rPr>
        <w:t>The estimated 2016-17 arisings of 21 kt aligns with the 20 kt of waste received as reported by industry. With a currently capacity of 33 kt</w:t>
      </w:r>
      <w:r>
        <w:rPr>
          <w:color w:val="080808"/>
        </w:rPr>
        <w:t>/yr</w:t>
      </w:r>
      <w:r w:rsidRPr="00100F0A">
        <w:rPr>
          <w:color w:val="080808"/>
        </w:rPr>
        <w:t xml:space="preserve"> and an expected increase of 3 kt, there appears to be sufficient clinical waste thermal destruction capacity in Australia. </w:t>
      </w:r>
    </w:p>
    <w:p w14:paraId="6033D5BC" w14:textId="77777777" w:rsidR="00FA064F" w:rsidRPr="00100F0A" w:rsidRDefault="00FA064F" w:rsidP="00FA064F">
      <w:pPr>
        <w:rPr>
          <w:color w:val="080808"/>
        </w:rPr>
      </w:pPr>
    </w:p>
    <w:p w14:paraId="3F9B76CC" w14:textId="45B85248" w:rsidR="00FA064F" w:rsidRPr="00100F0A" w:rsidRDefault="00FA064F" w:rsidP="00FA064F">
      <w:pPr>
        <w:rPr>
          <w:color w:val="080808"/>
        </w:rPr>
      </w:pPr>
      <w:r w:rsidRPr="00100F0A">
        <w:rPr>
          <w:color w:val="080808"/>
        </w:rPr>
        <w:t>The spare capacity of this infrastructure group has the potential to be impacted by the demand for POP thermal destruction where the site currently</w:t>
      </w:r>
      <w:r>
        <w:rPr>
          <w:color w:val="080808"/>
        </w:rPr>
        <w:t xml:space="preserve"> </w:t>
      </w:r>
      <w:r w:rsidR="005275DA">
        <w:rPr>
          <w:color w:val="080808"/>
        </w:rPr>
        <w:t>has</w:t>
      </w:r>
      <w:r w:rsidR="005275DA" w:rsidRPr="00100F0A">
        <w:rPr>
          <w:color w:val="080808"/>
        </w:rPr>
        <w:t xml:space="preserve"> or</w:t>
      </w:r>
      <w:r w:rsidRPr="00100F0A">
        <w:rPr>
          <w:color w:val="080808"/>
        </w:rPr>
        <w:t xml:space="preserve"> gains a licence for POP destruction. </w:t>
      </w:r>
    </w:p>
    <w:p w14:paraId="4A29405B" w14:textId="77777777" w:rsidR="00FA064F" w:rsidRPr="00100F0A" w:rsidRDefault="00FA064F" w:rsidP="00FA064F">
      <w:pPr>
        <w:rPr>
          <w:color w:val="080808"/>
        </w:rPr>
      </w:pPr>
      <w:r w:rsidRPr="00100F0A">
        <w:rPr>
          <w:color w:val="080808"/>
        </w:rPr>
        <w:t xml:space="preserve"> </w:t>
      </w:r>
    </w:p>
    <w:p w14:paraId="2B96D181" w14:textId="77777777" w:rsidR="00FA064F" w:rsidRPr="00100F0A" w:rsidRDefault="00FA064F" w:rsidP="00FA064F">
      <w:pPr>
        <w:rPr>
          <w:color w:val="080808"/>
        </w:rPr>
      </w:pPr>
      <w:r w:rsidRPr="00100F0A">
        <w:rPr>
          <w:color w:val="080808"/>
        </w:rPr>
        <w:t xml:space="preserve">There is also reasonable national coverage with facilities in all jurisdictions apart from </w:t>
      </w:r>
      <w:r>
        <w:rPr>
          <w:color w:val="080808"/>
        </w:rPr>
        <w:t xml:space="preserve">ACT, </w:t>
      </w:r>
      <w:r w:rsidRPr="00100F0A">
        <w:rPr>
          <w:color w:val="080808"/>
        </w:rPr>
        <w:t>NT and Tas. The NT is serviced by a clinical waste treatment facility (autoclave). Tas has no clinical waste facilities (treatment or thermal destruction) in the 2018 database, which indicates a gap in capacity in Tas.</w:t>
      </w:r>
    </w:p>
    <w:p w14:paraId="53F011A9" w14:textId="77777777" w:rsidR="00FA064F" w:rsidRPr="00100F0A" w:rsidRDefault="00FA064F" w:rsidP="00FA064F">
      <w:pPr>
        <w:rPr>
          <w:b/>
          <w:color w:val="080808"/>
        </w:rPr>
      </w:pPr>
    </w:p>
    <w:p w14:paraId="3BE26B65" w14:textId="4062B45F" w:rsidR="00FA064F" w:rsidRDefault="00FA064F" w:rsidP="00FA064F">
      <w:pPr>
        <w:rPr>
          <w:color w:val="080808"/>
        </w:rPr>
      </w:pPr>
      <w:r w:rsidRPr="00100F0A">
        <w:rPr>
          <w:b/>
          <w:color w:val="080808"/>
        </w:rPr>
        <w:t>Recommendation 1</w:t>
      </w:r>
      <w:r>
        <w:rPr>
          <w:b/>
          <w:color w:val="080808"/>
        </w:rPr>
        <w:t>6</w:t>
      </w:r>
      <w:r w:rsidRPr="00100F0A">
        <w:rPr>
          <w:b/>
          <w:color w:val="080808"/>
        </w:rPr>
        <w:t xml:space="preserve">: </w:t>
      </w:r>
      <w:r w:rsidRPr="00100F0A">
        <w:rPr>
          <w:color w:val="080808"/>
        </w:rPr>
        <w:t>Do</w:t>
      </w:r>
      <w:r>
        <w:rPr>
          <w:color w:val="080808"/>
        </w:rPr>
        <w:t>E</w:t>
      </w:r>
      <w:r w:rsidRPr="00100F0A">
        <w:rPr>
          <w:color w:val="080808"/>
        </w:rPr>
        <w:t>E and/or Tas EPA should further investigate the need for clinical waste treatment or thermal destruction facilities in Tas.</w:t>
      </w:r>
      <w:r>
        <w:rPr>
          <w:color w:val="080808"/>
        </w:rPr>
        <w:t xml:space="preserve"> </w:t>
      </w:r>
    </w:p>
    <w:p w14:paraId="25AE85BE" w14:textId="77777777" w:rsidR="00B8053D" w:rsidRPr="00100F0A" w:rsidRDefault="00B8053D" w:rsidP="00FA064F">
      <w:pPr>
        <w:rPr>
          <w:color w:val="080808"/>
        </w:rPr>
      </w:pPr>
    </w:p>
    <w:p w14:paraId="783EC3DA" w14:textId="77777777" w:rsidR="00FA064F" w:rsidRPr="00100F0A" w:rsidRDefault="00FA064F" w:rsidP="00FA064F">
      <w:pPr>
        <w:pStyle w:val="Heading2"/>
      </w:pPr>
      <w:bookmarkStart w:id="460" w:name="_Toc13225570"/>
      <w:r w:rsidRPr="00100F0A">
        <w:t>Transfer station or temporary storage facilities</w:t>
      </w:r>
      <w:bookmarkEnd w:id="460"/>
    </w:p>
    <w:p w14:paraId="1AEC6AF3" w14:textId="77777777" w:rsidR="00FA064F" w:rsidRPr="00100F0A" w:rsidRDefault="00FA064F" w:rsidP="00FA064F">
      <w:pPr>
        <w:pStyle w:val="BodyText"/>
      </w:pPr>
      <w:r w:rsidRPr="00100F0A">
        <w:t>Projections indicate that under all scenarios the current national transfer/temporary storage capacity of hazardous waste infrastructure is exceeded. These projections are not accurate due mainly to the capacity database having limited coverage of this group. Whilst some transfer facilities are included in this dataset</w:t>
      </w:r>
      <w:r>
        <w:t>,</w:t>
      </w:r>
      <w:r w:rsidRPr="00100F0A">
        <w:t xml:space="preserve"> it is recognised that there are other facilities which deal with hazardous waste that are not included in the dataset, such as smaller storage facilities and transfer stations.</w:t>
      </w:r>
    </w:p>
    <w:p w14:paraId="7ACF9D5A" w14:textId="77777777" w:rsidR="00FA064F" w:rsidRPr="00100F0A" w:rsidRDefault="00FA064F" w:rsidP="00FA064F">
      <w:pPr>
        <w:pStyle w:val="BodyText"/>
      </w:pPr>
    </w:p>
    <w:p w14:paraId="09D484ED" w14:textId="77777777" w:rsidR="00FA064F" w:rsidRPr="00100F0A" w:rsidRDefault="00FA064F" w:rsidP="00FA064F">
      <w:pPr>
        <w:pStyle w:val="BodyText"/>
      </w:pPr>
      <w:r>
        <w:t>T</w:t>
      </w:r>
      <w:r w:rsidRPr="00100F0A">
        <w:t>ransfer capacity estimates are</w:t>
      </w:r>
      <w:r>
        <w:t xml:space="preserve"> also</w:t>
      </w:r>
      <w:r w:rsidRPr="00100F0A">
        <w:t xml:space="preserve"> incomplete due to limited infrastructure coverage and some capacity being provided within other infrastructure groups. The capacity of transfer infrastructure is also not fixed (i.e. capacity can be scaled up and down by simply increas</w:t>
      </w:r>
      <w:r>
        <w:t>ing</w:t>
      </w:r>
      <w:r w:rsidRPr="00100F0A">
        <w:t xml:space="preserve"> the rate of load transfers).</w:t>
      </w:r>
    </w:p>
    <w:p w14:paraId="38FC3C0F" w14:textId="77777777" w:rsidR="00FA064F" w:rsidRPr="00100F0A" w:rsidRDefault="00FA064F" w:rsidP="00FA064F">
      <w:pPr>
        <w:pStyle w:val="BodyText"/>
      </w:pPr>
    </w:p>
    <w:p w14:paraId="3F98DB9F" w14:textId="77777777" w:rsidR="00FA064F" w:rsidRPr="00100F0A" w:rsidRDefault="00FA064F" w:rsidP="00FA064F">
      <w:pPr>
        <w:pStyle w:val="BodyText"/>
      </w:pPr>
      <w:r>
        <w:t>The project team</w:t>
      </w:r>
      <w:r w:rsidRPr="00100F0A">
        <w:t xml:space="preserve"> surveyed industry asking </w:t>
      </w:r>
      <w:r>
        <w:t>respondents</w:t>
      </w:r>
      <w:r w:rsidRPr="00100F0A">
        <w:t xml:space="preserve"> to flag any major transport constraints. Very long transport distances particularly in WA were raised several times as a major barrier to treating/recovering hazardous waste. WA has </w:t>
      </w:r>
      <w:r>
        <w:t>four</w:t>
      </w:r>
      <w:r w:rsidRPr="00100F0A">
        <w:t xml:space="preserve"> of the 19 transfer station facilities in the 2018 database. For such a large state this appears low. If not already being undertaken, further investigation of strategic locations for transfer station facilities in WA is recommended. Consultation with industry on establishing joint venture transfer stations to consolidate waste from a range of waste companies and generators should be explored for WA and potentially Qld (to reduce costs of </w:t>
      </w:r>
      <w:r>
        <w:t>transporting coal-seam gas</w:t>
      </w:r>
      <w:r w:rsidRPr="00100F0A">
        <w:t xml:space="preserve"> waste). </w:t>
      </w:r>
    </w:p>
    <w:p w14:paraId="662E4A3C" w14:textId="77777777" w:rsidR="00FA064F" w:rsidRPr="00100F0A" w:rsidRDefault="00FA064F" w:rsidP="00FA064F">
      <w:pPr>
        <w:pStyle w:val="BodyText"/>
      </w:pPr>
    </w:p>
    <w:p w14:paraId="18E2DA15" w14:textId="334D8CB6" w:rsidR="00FA064F" w:rsidRDefault="00FA064F" w:rsidP="00FA064F">
      <w:pPr>
        <w:pStyle w:val="BodyText"/>
      </w:pPr>
      <w:r w:rsidRPr="00100F0A">
        <w:rPr>
          <w:b/>
          <w:color w:val="080808"/>
        </w:rPr>
        <w:t xml:space="preserve">Recommendation 17: </w:t>
      </w:r>
      <w:r w:rsidR="00D30CF1">
        <w:t xml:space="preserve">DoEE and/or WA </w:t>
      </w:r>
      <w:r w:rsidRPr="00100F0A">
        <w:t xml:space="preserve">and Qld </w:t>
      </w:r>
      <w:r w:rsidR="003E7966">
        <w:t>governments</w:t>
      </w:r>
      <w:r w:rsidRPr="00100F0A">
        <w:t xml:space="preserve"> should complete a detailed assessment and consultation with industry regarding the need for and (where required) best location(s) for additional hazardous waste transfer station/temporary storage infrastructure. This recommendation was made in 2015 and remains current.</w:t>
      </w:r>
    </w:p>
    <w:p w14:paraId="411BEEEB" w14:textId="77777777" w:rsidR="00B8053D" w:rsidRPr="00100F0A" w:rsidRDefault="00B8053D" w:rsidP="00FA064F">
      <w:pPr>
        <w:pStyle w:val="BodyText"/>
      </w:pPr>
    </w:p>
    <w:p w14:paraId="51D51BE3" w14:textId="77777777" w:rsidR="00FA064F" w:rsidRPr="00100F0A" w:rsidRDefault="00FA064F" w:rsidP="00FA064F">
      <w:pPr>
        <w:pStyle w:val="Heading2"/>
      </w:pPr>
      <w:bookmarkStart w:id="461" w:name="_Toc13225571"/>
      <w:r w:rsidRPr="00100F0A">
        <w:t>Long-term isolation facilities</w:t>
      </w:r>
      <w:bookmarkEnd w:id="461"/>
    </w:p>
    <w:p w14:paraId="0782F769" w14:textId="77777777" w:rsidR="003A772B" w:rsidRPr="00100F0A" w:rsidRDefault="003A772B" w:rsidP="003A772B">
      <w:pPr>
        <w:pStyle w:val="Heading3-nonumber"/>
      </w:pPr>
      <w:r w:rsidRPr="00100F0A">
        <w:t>Long-term isolation facilities</w:t>
      </w:r>
    </w:p>
    <w:p w14:paraId="465A3A81" w14:textId="77777777" w:rsidR="003A772B" w:rsidRDefault="003A772B" w:rsidP="003A772B">
      <w:pPr>
        <w:pStyle w:val="BodyText"/>
      </w:pPr>
      <w:r w:rsidRPr="00100F0A">
        <w:t xml:space="preserve">Two long-term isolation facilities are currently under development and aim to be operational in around </w:t>
      </w:r>
      <w:r>
        <w:t>five</w:t>
      </w:r>
      <w:r w:rsidRPr="00100F0A">
        <w:t xml:space="preserve"> years’ time. Assuming that both become operational, they would provide capacity for up to </w:t>
      </w:r>
      <w:r w:rsidRPr="004909AC">
        <w:rPr>
          <w:shd w:val="clear" w:color="auto" w:fill="FF0000"/>
        </w:rPr>
        <w:t>CIC</w:t>
      </w:r>
      <w:r>
        <w:t xml:space="preserve"> </w:t>
      </w:r>
      <w:r w:rsidRPr="00100F0A">
        <w:t xml:space="preserve">for highly intractable waste that </w:t>
      </w:r>
      <w:r>
        <w:t>lacks</w:t>
      </w:r>
      <w:r w:rsidRPr="00100F0A">
        <w:t xml:space="preserve"> viable treatment or destruction options. This would provide good mitigation for the risks associated with having only </w:t>
      </w:r>
      <w:r>
        <w:t>six</w:t>
      </w:r>
      <w:r w:rsidRPr="00100F0A">
        <w:t xml:space="preserve"> </w:t>
      </w:r>
      <w:r>
        <w:t xml:space="preserve">(operational) </w:t>
      </w:r>
      <w:r w:rsidRPr="00100F0A">
        <w:t xml:space="preserve">hazardous waste landfills in Australia, with the main NSW site due to close in </w:t>
      </w:r>
      <w:r w:rsidRPr="004909AC">
        <w:rPr>
          <w:shd w:val="clear" w:color="auto" w:fill="FF0000"/>
        </w:rPr>
        <w:t>CIC</w:t>
      </w:r>
      <w:r w:rsidRPr="00100F0A">
        <w:t>.</w:t>
      </w:r>
    </w:p>
    <w:p w14:paraId="0E834C05" w14:textId="77777777" w:rsidR="003A772B" w:rsidRDefault="003A772B" w:rsidP="003A772B">
      <w:pPr>
        <w:pStyle w:val="BodyText"/>
      </w:pPr>
    </w:p>
    <w:p w14:paraId="5E081788" w14:textId="77777777" w:rsidR="003A772B" w:rsidRDefault="003A772B" w:rsidP="003A772B">
      <w:pPr>
        <w:pStyle w:val="BodyText"/>
      </w:pPr>
      <w:r w:rsidRPr="00895CD4">
        <w:t>CSG reverse osmosis brine wastes and long-term isolation capacity</w:t>
      </w:r>
      <w:r w:rsidRPr="00F64C8A">
        <w:t>:</w:t>
      </w:r>
      <w:r>
        <w:t xml:space="preserve"> under the high projection scenario, it is assumed that, after five years new arisings of CSG reverse osmosis brine wastes will be required to be managed offsite and would be sent to long-term isolation facilities (rather than being stored onsite). Historical stockpiles are assumed to remain onsite. </w:t>
      </w:r>
    </w:p>
    <w:p w14:paraId="777BB3B0" w14:textId="77777777" w:rsidR="003A772B" w:rsidRDefault="003A772B" w:rsidP="003A772B">
      <w:pPr>
        <w:pStyle w:val="BodyText"/>
      </w:pPr>
    </w:p>
    <w:p w14:paraId="5FA96DBB" w14:textId="77777777" w:rsidR="003A772B" w:rsidRDefault="003A772B" w:rsidP="003A772B">
      <w:pPr>
        <w:pStyle w:val="BodyText"/>
      </w:pPr>
      <w:r>
        <w:t xml:space="preserve">This results in a very large increase, 2.5 Mt/yr, in 2023 increasing to 3.2 Mt/yr by 2037 that is projected to need long-term isolation facility capacity. This presents a shortfall of </w:t>
      </w:r>
      <w:r w:rsidRPr="004909AC">
        <w:rPr>
          <w:shd w:val="clear" w:color="auto" w:fill="FF0000"/>
        </w:rPr>
        <w:t>CIC</w:t>
      </w:r>
      <w:r>
        <w:t xml:space="preserve"> Mt of capacity in 2023, even when the currently planned facilities are built and operating at capacity. </w:t>
      </w:r>
    </w:p>
    <w:p w14:paraId="01E39673" w14:textId="77777777" w:rsidR="003A772B" w:rsidRDefault="003A772B" w:rsidP="003A772B">
      <w:pPr>
        <w:pStyle w:val="BodyText"/>
      </w:pPr>
    </w:p>
    <w:p w14:paraId="3C330746" w14:textId="4E352D6A" w:rsidR="00B557F6" w:rsidRDefault="003A772B" w:rsidP="00FA064F">
      <w:pPr>
        <w:pStyle w:val="BodyText"/>
      </w:pPr>
      <w:r w:rsidRPr="00F7413A">
        <w:rPr>
          <w:b/>
        </w:rPr>
        <w:t>Recommendation</w:t>
      </w:r>
      <w:r>
        <w:rPr>
          <w:b/>
        </w:rPr>
        <w:t xml:space="preserve"> 18</w:t>
      </w:r>
      <w:r>
        <w:t>: DoEE should work with state and territory governments to assess the appropriate management of CSG RO brine wastes and determine the likelihood that offsite disposal requirements will be needed in future.</w:t>
      </w:r>
    </w:p>
    <w:p w14:paraId="7A5A32A9" w14:textId="77777777" w:rsidR="00B8053D" w:rsidRDefault="00B8053D" w:rsidP="00FA064F">
      <w:pPr>
        <w:pStyle w:val="BodyText"/>
      </w:pPr>
    </w:p>
    <w:p w14:paraId="2E0AB8A0" w14:textId="77777777" w:rsidR="00FA064F" w:rsidRPr="00100F0A" w:rsidRDefault="00FA064F" w:rsidP="00FA064F">
      <w:pPr>
        <w:pStyle w:val="Heading2"/>
      </w:pPr>
      <w:bookmarkStart w:id="462" w:name="_Toc9383927"/>
      <w:bookmarkStart w:id="463" w:name="_Toc9383928"/>
      <w:bookmarkStart w:id="464" w:name="_Toc13225572"/>
      <w:bookmarkEnd w:id="462"/>
      <w:bookmarkEnd w:id="463"/>
      <w:r w:rsidRPr="00100F0A">
        <w:t>Uncertainty in assessing need vs capacity</w:t>
      </w:r>
      <w:bookmarkEnd w:id="464"/>
    </w:p>
    <w:p w14:paraId="6C598F44" w14:textId="77777777" w:rsidR="00FA064F" w:rsidRPr="00100F0A" w:rsidRDefault="00FA064F" w:rsidP="00FA064F">
      <w:pPr>
        <w:rPr>
          <w:color w:val="080808"/>
        </w:rPr>
      </w:pPr>
      <w:r w:rsidRPr="00100F0A">
        <w:rPr>
          <w:color w:val="080808"/>
        </w:rPr>
        <w:t xml:space="preserve">Future scenarios are inherently uncertain. The arisings of hazardous waste are influenced by industrial markets, development activities, social licences, government regulations and technological innovations that are all unpredictable. The infrastructure servicing this waste is </w:t>
      </w:r>
      <w:r>
        <w:rPr>
          <w:color w:val="080808"/>
        </w:rPr>
        <w:t xml:space="preserve">changeable and </w:t>
      </w:r>
      <w:r w:rsidRPr="00100F0A">
        <w:rPr>
          <w:color w:val="080808"/>
        </w:rPr>
        <w:t>difficult to characterise</w:t>
      </w:r>
      <w:r>
        <w:rPr>
          <w:color w:val="080808"/>
        </w:rPr>
        <w:t>,</w:t>
      </w:r>
      <w:r w:rsidRPr="00100F0A">
        <w:rPr>
          <w:color w:val="080808"/>
        </w:rPr>
        <w:t xml:space="preserve"> and information on its activities is limited and hard to obtain. The language of the jurisdictional data (e.g. NEPM codes) differs from that of the industry, creating problems and uncertainties in matching the two. As a result of these uncertainties, the key conclusions of this analysis should be taken as indicative. </w:t>
      </w:r>
    </w:p>
    <w:p w14:paraId="42DA05EF" w14:textId="77777777" w:rsidR="00FA064F" w:rsidRPr="00100F0A" w:rsidRDefault="00FA064F" w:rsidP="00FA064F">
      <w:pPr>
        <w:rPr>
          <w:color w:val="080808"/>
        </w:rPr>
      </w:pPr>
    </w:p>
    <w:p w14:paraId="412280C2" w14:textId="77777777" w:rsidR="00FA064F" w:rsidRPr="00100F0A" w:rsidRDefault="00FA064F" w:rsidP="00FA064F">
      <w:pPr>
        <w:rPr>
          <w:color w:val="080808"/>
        </w:rPr>
      </w:pPr>
      <w:r w:rsidRPr="00100F0A">
        <w:rPr>
          <w:color w:val="080808"/>
        </w:rPr>
        <w:t xml:space="preserve">Since the 2015 assessment, significant work has been undertaken by DoEE and the jurisdictions to better understand, document and </w:t>
      </w:r>
      <w:r>
        <w:rPr>
          <w:color w:val="080808"/>
        </w:rPr>
        <w:t>rationalise</w:t>
      </w:r>
      <w:r w:rsidRPr="00100F0A">
        <w:rPr>
          <w:color w:val="080808"/>
        </w:rPr>
        <w:t xml:space="preserve"> hazardous waste tracking systems and the recording of hazardous waste arisings and management method</w:t>
      </w:r>
      <w:r>
        <w:rPr>
          <w:color w:val="080808"/>
        </w:rPr>
        <w:t>s</w:t>
      </w:r>
      <w:r w:rsidRPr="00100F0A">
        <w:rPr>
          <w:color w:val="080808"/>
        </w:rPr>
        <w:t xml:space="preserve">. However, there are still challenges in compiling the data required to complete this assessment. For example, it is still not possible to determine from the tracking system data the tonnages of hazardous waste sent to energy recovery </w:t>
      </w:r>
      <w:r>
        <w:rPr>
          <w:color w:val="080808"/>
        </w:rPr>
        <w:t>(it is hidden in</w:t>
      </w:r>
      <w:r w:rsidRPr="00100F0A">
        <w:rPr>
          <w:color w:val="080808"/>
        </w:rPr>
        <w:t xml:space="preserve"> the recycling tonnages</w:t>
      </w:r>
      <w:r>
        <w:rPr>
          <w:color w:val="080808"/>
        </w:rPr>
        <w:t>)</w:t>
      </w:r>
      <w:r w:rsidRPr="00100F0A">
        <w:rPr>
          <w:color w:val="080808"/>
        </w:rPr>
        <w:t xml:space="preserve">. </w:t>
      </w:r>
    </w:p>
    <w:p w14:paraId="63B271A2" w14:textId="77777777" w:rsidR="00FA064F" w:rsidRPr="00100F0A" w:rsidRDefault="00FA064F" w:rsidP="00FA064F">
      <w:pPr>
        <w:rPr>
          <w:color w:val="080808"/>
        </w:rPr>
      </w:pPr>
      <w:r w:rsidRPr="00100F0A">
        <w:rPr>
          <w:color w:val="080808"/>
        </w:rPr>
        <w:t xml:space="preserve"> </w:t>
      </w:r>
    </w:p>
    <w:p w14:paraId="4FBE47EA" w14:textId="7276724A" w:rsidR="00FA064F" w:rsidRPr="00100F0A" w:rsidRDefault="00FA064F" w:rsidP="00FA064F">
      <w:pPr>
        <w:rPr>
          <w:color w:val="080808"/>
        </w:rPr>
      </w:pPr>
      <w:r w:rsidRPr="00100F0A">
        <w:rPr>
          <w:b/>
          <w:color w:val="080808"/>
        </w:rPr>
        <w:t>Recommendation 1</w:t>
      </w:r>
      <w:r w:rsidR="005F7356">
        <w:rPr>
          <w:b/>
          <w:color w:val="080808"/>
        </w:rPr>
        <w:t>9</w:t>
      </w:r>
      <w:r w:rsidRPr="00100F0A">
        <w:rPr>
          <w:b/>
          <w:color w:val="080808"/>
        </w:rPr>
        <w:t xml:space="preserve">: </w:t>
      </w:r>
      <w:r w:rsidRPr="00100F0A">
        <w:rPr>
          <w:color w:val="080808"/>
        </w:rPr>
        <w:t xml:space="preserve">DoEE and the jurisdictions </w:t>
      </w:r>
      <w:r>
        <w:rPr>
          <w:color w:val="080808"/>
        </w:rPr>
        <w:t xml:space="preserve">should </w:t>
      </w:r>
      <w:r w:rsidRPr="00100F0A">
        <w:rPr>
          <w:color w:val="080808"/>
        </w:rPr>
        <w:t>continue to improve the consistency and completeness of tracking system data and work towards systems that enable reporting of energy recovery separately from recycling.</w:t>
      </w:r>
    </w:p>
    <w:p w14:paraId="28E54DBC" w14:textId="07478963" w:rsidR="00601CB2" w:rsidRPr="00100F0A" w:rsidRDefault="00601CB2">
      <w:r w:rsidRPr="00100F0A">
        <w:br w:type="page"/>
      </w:r>
    </w:p>
    <w:p w14:paraId="344F5F6D" w14:textId="77777777" w:rsidR="00887A1F" w:rsidRDefault="00887A1F" w:rsidP="00887A1F">
      <w:pPr>
        <w:pStyle w:val="Heading1nonumber"/>
      </w:pPr>
      <w:bookmarkStart w:id="465" w:name="_Toc13225573"/>
      <w:r>
        <w:t>Bibliography</w:t>
      </w:r>
      <w:bookmarkEnd w:id="465"/>
    </w:p>
    <w:p w14:paraId="640C96B6" w14:textId="77777777" w:rsidR="00887A1F" w:rsidRDefault="00887A1F" w:rsidP="00887A1F">
      <w:pPr>
        <w:pStyle w:val="BodyText"/>
      </w:pPr>
      <w:r>
        <w:t xml:space="preserve">The following documents were used in this project, including in developing projections of future quantities of hazardous waste. They are cited in either or both of this report or its accompanying </w:t>
      </w:r>
      <w:r>
        <w:rPr>
          <w:i/>
        </w:rPr>
        <w:t>Hazardous waste needs vs capacities model 2018</w:t>
      </w:r>
      <w:r>
        <w:t>.</w:t>
      </w:r>
    </w:p>
    <w:p w14:paraId="51FEB436" w14:textId="77777777" w:rsidR="00887A1F" w:rsidRDefault="00887A1F" w:rsidP="00887A1F">
      <w:pPr>
        <w:pStyle w:val="BodyText"/>
      </w:pPr>
    </w:p>
    <w:p w14:paraId="33544B44" w14:textId="171EE60A"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ABARES (Australian Bureau of Agricultural and Resource Economics and Sciences 2018) </w:t>
      </w:r>
      <w:r>
        <w:rPr>
          <w:rFonts w:asciiTheme="minorHAnsi" w:hAnsiTheme="minorHAnsi" w:cs="Times New Roman"/>
          <w:i/>
          <w:color w:val="000000"/>
          <w:lang w:eastAsia="en-AU"/>
        </w:rPr>
        <w:t xml:space="preserve">Agricultural </w:t>
      </w:r>
      <w:r w:rsidR="005275DA">
        <w:rPr>
          <w:rFonts w:asciiTheme="minorHAnsi" w:hAnsiTheme="minorHAnsi" w:cs="Times New Roman"/>
          <w:i/>
          <w:color w:val="000000"/>
          <w:lang w:eastAsia="en-AU"/>
        </w:rPr>
        <w:t>commodities</w:t>
      </w:r>
      <w:r>
        <w:rPr>
          <w:rFonts w:asciiTheme="minorHAnsi" w:hAnsiTheme="minorHAnsi" w:cs="Times New Roman"/>
          <w:i/>
          <w:color w:val="000000"/>
          <w:lang w:eastAsia="en-AU"/>
        </w:rPr>
        <w:t xml:space="preserve"> and trade data</w:t>
      </w:r>
      <w:r>
        <w:rPr>
          <w:rFonts w:asciiTheme="minorHAnsi" w:hAnsiTheme="minorHAnsi" w:cs="Times New Roman"/>
          <w:color w:val="000000"/>
          <w:lang w:eastAsia="en-AU"/>
        </w:rPr>
        <w:t xml:space="preserve">, March Quarter 2018, available at: </w:t>
      </w:r>
      <w:hyperlink r:id="rId108" w:anchor="agricultural-commodities" w:history="1">
        <w:r>
          <w:rPr>
            <w:rStyle w:val="Hyperlink"/>
            <w:rFonts w:asciiTheme="minorHAnsi" w:hAnsiTheme="minorHAnsi"/>
            <w:lang w:eastAsia="en-AU"/>
          </w:rPr>
          <w:t>http://www.agriculture.gov.au/abares/research-topics/agricultural-commodities/agricultural-commodities-trade-data#agricultural-commodities</w:t>
        </w:r>
      </w:hyperlink>
      <w:r>
        <w:rPr>
          <w:rFonts w:asciiTheme="minorHAnsi" w:hAnsiTheme="minorHAnsi" w:cs="Times New Roman"/>
          <w:color w:val="000000"/>
          <w:lang w:eastAsia="en-AU"/>
        </w:rPr>
        <w:t xml:space="preserve"> </w:t>
      </w:r>
    </w:p>
    <w:p w14:paraId="43D84CC4" w14:textId="176BD6D7"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ABC News, 19 October 2017: </w:t>
      </w:r>
      <w:r>
        <w:rPr>
          <w:rFonts w:asciiTheme="minorHAnsi" w:hAnsiTheme="minorHAnsi" w:cs="Times New Roman"/>
          <w:i/>
          <w:color w:val="000000"/>
          <w:lang w:eastAsia="en-AU"/>
        </w:rPr>
        <w:t>Forrestfield Airport Link toxic soil dump creates headache for WA Government</w:t>
      </w:r>
      <w:r>
        <w:rPr>
          <w:rFonts w:asciiTheme="minorHAnsi" w:hAnsiTheme="minorHAnsi" w:cs="Times New Roman"/>
          <w:color w:val="000000"/>
          <w:lang w:eastAsia="en-AU"/>
        </w:rPr>
        <w:t xml:space="preserve">, available at: </w:t>
      </w:r>
      <w:hyperlink r:id="rId109" w:history="1">
        <w:r>
          <w:rPr>
            <w:rStyle w:val="Hyperlink"/>
            <w:rFonts w:asciiTheme="minorHAnsi" w:hAnsiTheme="minorHAnsi"/>
            <w:lang w:eastAsia="en-AU"/>
          </w:rPr>
          <w:t>http://www.abc.net.au/news/2017-10-19/forrestfield-tunnel-toxic-pfas-soil-dump-future-uncertain/9066212</w:t>
        </w:r>
      </w:hyperlink>
      <w:r>
        <w:rPr>
          <w:rFonts w:asciiTheme="minorHAnsi" w:hAnsiTheme="minorHAnsi" w:cs="Times New Roman"/>
          <w:color w:val="000000"/>
          <w:lang w:eastAsia="en-AU"/>
        </w:rPr>
        <w:t xml:space="preserve">  </w:t>
      </w:r>
    </w:p>
    <w:p w14:paraId="5C05C59B" w14:textId="1F1DBB57"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ABS (Australian Bureau of Statistics 2013) 3222.0 - </w:t>
      </w:r>
      <w:r>
        <w:rPr>
          <w:rFonts w:asciiTheme="minorHAnsi" w:hAnsiTheme="minorHAnsi" w:cs="Times New Roman"/>
          <w:i/>
          <w:color w:val="000000"/>
          <w:lang w:eastAsia="en-AU"/>
        </w:rPr>
        <w:t>Population Projections, Australia, 2012 (base) to 2101</w:t>
      </w:r>
      <w:r>
        <w:rPr>
          <w:rFonts w:asciiTheme="minorHAnsi" w:hAnsiTheme="minorHAnsi" w:cs="Times New Roman"/>
          <w:color w:val="000000"/>
          <w:lang w:eastAsia="en-AU"/>
        </w:rPr>
        <w:t xml:space="preserve">, available at: </w:t>
      </w:r>
      <w:hyperlink r:id="rId110" w:history="1">
        <w:r>
          <w:rPr>
            <w:rStyle w:val="Hyperlink"/>
            <w:rFonts w:asciiTheme="minorHAnsi" w:hAnsiTheme="minorHAnsi"/>
            <w:lang w:eastAsia="en-AU"/>
          </w:rPr>
          <w:t>http://www.abs.gov.au/AUSSTATS/abs@.nsf/DetailsPage/3222.02012%20(base)%20to%202101?OpenDocument</w:t>
        </w:r>
      </w:hyperlink>
      <w:r>
        <w:rPr>
          <w:rFonts w:asciiTheme="minorHAnsi" w:hAnsiTheme="minorHAnsi" w:cs="Times New Roman"/>
          <w:color w:val="000000"/>
          <w:lang w:eastAsia="en-AU"/>
        </w:rPr>
        <w:t xml:space="preserve"> </w:t>
      </w:r>
    </w:p>
    <w:p w14:paraId="647AB34F" w14:textId="52A8CC26"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ACIL Tasman (June 2012) </w:t>
      </w:r>
      <w:r>
        <w:rPr>
          <w:rFonts w:asciiTheme="minorHAnsi" w:hAnsiTheme="minorHAnsi" w:cs="Times New Roman"/>
          <w:i/>
          <w:color w:val="000000"/>
          <w:lang w:eastAsia="en-AU"/>
        </w:rPr>
        <w:t>Economic significance of Coal Seam Gas in Queensland</w:t>
      </w:r>
      <w:r>
        <w:rPr>
          <w:rFonts w:asciiTheme="minorHAnsi" w:hAnsiTheme="minorHAnsi" w:cs="Times New Roman"/>
          <w:color w:val="000000"/>
          <w:lang w:eastAsia="en-AU"/>
        </w:rPr>
        <w:t xml:space="preserve">, prepared for the Australian Petroleum Production &amp; Exploration Association, available at: </w:t>
      </w:r>
      <w:hyperlink r:id="rId111" w:history="1">
        <w:r>
          <w:rPr>
            <w:rStyle w:val="Hyperlink"/>
            <w:rFonts w:asciiTheme="minorHAnsi" w:hAnsiTheme="minorHAnsi"/>
            <w:lang w:eastAsia="en-AU"/>
          </w:rPr>
          <w:t>https://acilallen.com.au/projects/economic-analysis/economic-significance-of-coal-seam-gas-in-queensland</w:t>
        </w:r>
      </w:hyperlink>
      <w:r>
        <w:rPr>
          <w:rFonts w:asciiTheme="minorHAnsi" w:hAnsiTheme="minorHAnsi" w:cs="Times New Roman"/>
          <w:color w:val="000000"/>
          <w:lang w:eastAsia="en-AU"/>
        </w:rPr>
        <w:t xml:space="preserve"> </w:t>
      </w:r>
    </w:p>
    <w:p w14:paraId="523DBC08" w14:textId="30ACBBF3"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Australian Government (2017) </w:t>
      </w:r>
      <w:r>
        <w:rPr>
          <w:rFonts w:asciiTheme="minorHAnsi" w:hAnsiTheme="minorHAnsi" w:cs="Times New Roman"/>
          <w:i/>
          <w:color w:val="000000"/>
          <w:lang w:eastAsia="en-AU"/>
        </w:rPr>
        <w:t>Australian Budget 2017-18 - Mid-Year Economic and Fiscal Outlook - Part 2: Economic outlook</w:t>
      </w:r>
      <w:r>
        <w:rPr>
          <w:rFonts w:asciiTheme="minorHAnsi" w:hAnsiTheme="minorHAnsi" w:cs="Times New Roman"/>
          <w:color w:val="000000"/>
          <w:lang w:eastAsia="en-AU"/>
        </w:rPr>
        <w:t xml:space="preserve">, available at: </w:t>
      </w:r>
      <w:hyperlink r:id="rId112" w:history="1">
        <w:r>
          <w:rPr>
            <w:rStyle w:val="Hyperlink"/>
            <w:rFonts w:asciiTheme="minorHAnsi" w:hAnsiTheme="minorHAnsi"/>
            <w:lang w:eastAsia="en-AU"/>
          </w:rPr>
          <w:t>http://www.budget.gov.au/2017-18/content/myefo/html/</w:t>
        </w:r>
      </w:hyperlink>
      <w:r>
        <w:rPr>
          <w:rFonts w:asciiTheme="minorHAnsi" w:hAnsiTheme="minorHAnsi" w:cs="Times New Roman"/>
          <w:color w:val="000000"/>
          <w:lang w:eastAsia="en-AU"/>
        </w:rPr>
        <w:t xml:space="preserve"> </w:t>
      </w:r>
    </w:p>
    <w:p w14:paraId="2563730C" w14:textId="6DB33390"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Batteries International (2015) </w:t>
      </w:r>
      <w:r>
        <w:rPr>
          <w:rFonts w:asciiTheme="minorHAnsi" w:hAnsiTheme="minorHAnsi" w:cs="Times New Roman"/>
          <w:i/>
          <w:color w:val="000000"/>
          <w:lang w:eastAsia="en-AU"/>
        </w:rPr>
        <w:t>Problems for China’s Lead Acid Tax</w:t>
      </w:r>
      <w:r>
        <w:rPr>
          <w:rFonts w:asciiTheme="minorHAnsi" w:hAnsiTheme="minorHAnsi" w:cs="Times New Roman"/>
          <w:color w:val="000000"/>
          <w:lang w:eastAsia="en-AU"/>
        </w:rPr>
        <w:t xml:space="preserve">, available at: </w:t>
      </w:r>
      <w:hyperlink r:id="rId113" w:history="1">
        <w:r>
          <w:rPr>
            <w:rStyle w:val="Hyperlink"/>
            <w:rFonts w:asciiTheme="minorHAnsi" w:hAnsiTheme="minorHAnsi"/>
            <w:lang w:eastAsia="en-AU"/>
          </w:rPr>
          <w:t>http://www.batteriesinternational.com/problems-for-chinas-lead-acid-tax/</w:t>
        </w:r>
      </w:hyperlink>
      <w:r>
        <w:rPr>
          <w:rFonts w:asciiTheme="minorHAnsi" w:hAnsiTheme="minorHAnsi" w:cs="Times New Roman"/>
          <w:color w:val="000000"/>
          <w:lang w:eastAsia="en-AU"/>
        </w:rPr>
        <w:t xml:space="preserve"> </w:t>
      </w:r>
    </w:p>
    <w:p w14:paraId="73415BAA" w14:textId="77777777"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BE (Blue Environment 2016) Model of e-waste generation, prepared for Sustainability Victoria (used with permission)</w:t>
      </w:r>
    </w:p>
    <w:p w14:paraId="2D666D77" w14:textId="77777777"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BE </w:t>
      </w:r>
      <w:r>
        <w:rPr>
          <w:rFonts w:asciiTheme="minorHAnsi" w:hAnsiTheme="minorHAnsi" w:cs="Times New Roman"/>
          <w:i/>
          <w:color w:val="000000"/>
          <w:lang w:eastAsia="en-AU"/>
        </w:rPr>
        <w:t>et al.</w:t>
      </w:r>
      <w:r>
        <w:rPr>
          <w:rFonts w:asciiTheme="minorHAnsi" w:hAnsiTheme="minorHAnsi" w:cs="Times New Roman"/>
          <w:color w:val="000000"/>
          <w:lang w:eastAsia="en-AU"/>
        </w:rPr>
        <w:t xml:space="preserve"> (Blue Environment, Randell Environmental Consulting and Ascend Waste and Environment 2014) </w:t>
      </w:r>
      <w:r>
        <w:rPr>
          <w:rFonts w:asciiTheme="minorHAnsi" w:hAnsiTheme="minorHAnsi" w:cs="Times New Roman"/>
          <w:i/>
          <w:color w:val="000000"/>
          <w:lang w:eastAsia="en-AU"/>
        </w:rPr>
        <w:t>'New' Wastes: Stockholm Chemical Waste Arisings, position paper prepared for the Department of the Environment</w:t>
      </w:r>
      <w:r>
        <w:rPr>
          <w:rFonts w:asciiTheme="minorHAnsi" w:hAnsiTheme="minorHAnsi" w:cs="Times New Roman"/>
          <w:color w:val="000000"/>
          <w:lang w:eastAsia="en-AU"/>
        </w:rPr>
        <w:t xml:space="preserve"> (unpublished).</w:t>
      </w:r>
    </w:p>
    <w:p w14:paraId="4D822680" w14:textId="0ECE16CC" w:rsidR="00887A1F" w:rsidRDefault="00887A1F" w:rsidP="00887A1F">
      <w:pPr>
        <w:pStyle w:val="BodyText"/>
        <w:spacing w:after="120"/>
        <w:rPr>
          <w:rFonts w:asciiTheme="minorHAnsi" w:hAnsiTheme="minorHAnsi" w:cs="Times New Roman"/>
          <w:b/>
          <w:color w:val="000000"/>
          <w:lang w:eastAsia="en-AU"/>
        </w:rPr>
      </w:pPr>
      <w:r>
        <w:t xml:space="preserve">BE </w:t>
      </w:r>
      <w:r>
        <w:rPr>
          <w:i/>
        </w:rPr>
        <w:t xml:space="preserve">et al. </w:t>
      </w:r>
      <w:r>
        <w:t xml:space="preserve">(Blue Environment, Ascend Waste and Environment and Randell Environmental Consulting 2017), </w:t>
      </w:r>
      <w:r>
        <w:rPr>
          <w:i/>
        </w:rPr>
        <w:t xml:space="preserve">Australian hazardous waste data and reporting standard, </w:t>
      </w:r>
      <w:r>
        <w:t>prepared for the Department of Environment</w:t>
      </w:r>
      <w:r w:rsidR="008A278B">
        <w:t xml:space="preserve"> and Energy</w:t>
      </w:r>
      <w:r>
        <w:t xml:space="preserve">, available at: </w:t>
      </w:r>
      <w:hyperlink r:id="rId114" w:history="1">
        <w:r>
          <w:rPr>
            <w:rStyle w:val="Hyperlink"/>
          </w:rPr>
          <w:t>http://www.environment.gov.au/protection/waste-resource-recovery/publications/australian-hazardous-waste-data-reporting-standard</w:t>
        </w:r>
      </w:hyperlink>
      <w:r>
        <w:t xml:space="preserve"> </w:t>
      </w:r>
    </w:p>
    <w:p w14:paraId="150BE627" w14:textId="134D50C7"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BE </w:t>
      </w:r>
      <w:r>
        <w:rPr>
          <w:rFonts w:asciiTheme="minorHAnsi" w:hAnsiTheme="minorHAnsi" w:cs="Times New Roman"/>
          <w:i/>
          <w:color w:val="000000"/>
          <w:lang w:eastAsia="en-AU"/>
        </w:rPr>
        <w:t>et al.</w:t>
      </w:r>
      <w:r>
        <w:rPr>
          <w:rFonts w:asciiTheme="minorHAnsi" w:hAnsiTheme="minorHAnsi" w:cs="Times New Roman"/>
          <w:color w:val="000000"/>
          <w:lang w:eastAsia="en-AU"/>
        </w:rPr>
        <w:t xml:space="preserve"> (Blue Environment, Randell Environmental Consulting and Ascend Waste and Environment 2018) </w:t>
      </w:r>
      <w:r>
        <w:rPr>
          <w:rFonts w:asciiTheme="minorHAnsi" w:hAnsiTheme="minorHAnsi" w:cs="Times New Roman"/>
          <w:i/>
          <w:color w:val="000000"/>
          <w:lang w:eastAsia="en-AU"/>
        </w:rPr>
        <w:t>Hazardous waste in Australia 2017</w:t>
      </w:r>
      <w:r>
        <w:rPr>
          <w:rFonts w:asciiTheme="minorHAnsi" w:hAnsiTheme="minorHAnsi" w:cs="Times New Roman"/>
          <w:color w:val="000000"/>
          <w:lang w:eastAsia="en-AU"/>
        </w:rPr>
        <w:t>, prepared</w:t>
      </w:r>
      <w:r w:rsidR="008A278B">
        <w:rPr>
          <w:rFonts w:asciiTheme="minorHAnsi" w:hAnsiTheme="minorHAnsi" w:cs="Times New Roman"/>
          <w:color w:val="000000"/>
          <w:lang w:eastAsia="en-AU"/>
        </w:rPr>
        <w:t xml:space="preserve"> for</w:t>
      </w:r>
      <w:r>
        <w:rPr>
          <w:rFonts w:asciiTheme="minorHAnsi" w:hAnsiTheme="minorHAnsi" w:cs="Times New Roman"/>
          <w:color w:val="000000"/>
          <w:lang w:eastAsia="en-AU"/>
        </w:rPr>
        <w:t xml:space="preserve"> the Department of the Environment and Energy, available at: </w:t>
      </w:r>
      <w:hyperlink r:id="rId115" w:history="1">
        <w:r>
          <w:rPr>
            <w:rStyle w:val="Hyperlink"/>
            <w:rFonts w:asciiTheme="minorHAnsi" w:hAnsiTheme="minorHAnsi"/>
            <w:lang w:eastAsia="en-AU"/>
          </w:rPr>
          <w:t>http://www.environment.gov.au/protection/hazardous-waste</w:t>
        </w:r>
      </w:hyperlink>
      <w:r>
        <w:rPr>
          <w:rFonts w:asciiTheme="minorHAnsi" w:hAnsiTheme="minorHAnsi" w:cs="Times New Roman"/>
          <w:color w:val="000000"/>
          <w:lang w:eastAsia="en-AU"/>
        </w:rPr>
        <w:t xml:space="preserve"> </w:t>
      </w:r>
    </w:p>
    <w:p w14:paraId="126C922F" w14:textId="18208C68" w:rsidR="004F1B1F" w:rsidRDefault="004F1B1F" w:rsidP="00887A1F">
      <w:pPr>
        <w:pStyle w:val="BodyText"/>
        <w:spacing w:after="120"/>
        <w:rPr>
          <w:rFonts w:asciiTheme="minorHAnsi" w:hAnsiTheme="minorHAnsi" w:cs="Times New Roman"/>
          <w:color w:val="000000"/>
          <w:lang w:eastAsia="en-AU"/>
        </w:rPr>
      </w:pPr>
      <w:r>
        <w:rPr>
          <w:sz w:val="21"/>
          <w:szCs w:val="21"/>
        </w:rPr>
        <w:t xml:space="preserve">Centre for International Economics 2017, </w:t>
      </w:r>
      <w:hyperlink r:id="rId116" w:history="1">
        <w:r w:rsidRPr="00535484">
          <w:rPr>
            <w:rStyle w:val="Hyperlink"/>
          </w:rPr>
          <w:t>Headline economic value for waste and materials efficiency in Australia</w:t>
        </w:r>
      </w:hyperlink>
    </w:p>
    <w:p w14:paraId="04891DFE" w14:textId="33B72868"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CSIRO (2018) </w:t>
      </w:r>
      <w:r>
        <w:rPr>
          <w:rFonts w:asciiTheme="minorHAnsi" w:hAnsiTheme="minorHAnsi" w:cs="Times New Roman"/>
          <w:i/>
          <w:color w:val="000000"/>
          <w:lang w:eastAsia="en-AU"/>
        </w:rPr>
        <w:t>Lithium battery recycling in Australia Current status and opportunities for developing a new industry</w:t>
      </w:r>
      <w:r>
        <w:rPr>
          <w:rFonts w:asciiTheme="minorHAnsi" w:hAnsiTheme="minorHAnsi" w:cs="Times New Roman"/>
          <w:color w:val="000000"/>
          <w:lang w:eastAsia="en-AU"/>
        </w:rPr>
        <w:t xml:space="preserve">, available at </w:t>
      </w:r>
      <w:hyperlink r:id="rId117" w:history="1">
        <w:r>
          <w:rPr>
            <w:rStyle w:val="Hyperlink"/>
            <w:rFonts w:asciiTheme="minorHAnsi" w:hAnsiTheme="minorHAnsi"/>
            <w:lang w:eastAsia="en-AU"/>
          </w:rPr>
          <w:t>https://www.csiro.au/en/Research/EF/Areas/Energy-storage/Battery-recycling</w:t>
        </w:r>
      </w:hyperlink>
    </w:p>
    <w:p w14:paraId="1B50591D" w14:textId="1495E138"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Deloitte Access Economics (2011) </w:t>
      </w:r>
      <w:r>
        <w:rPr>
          <w:rFonts w:asciiTheme="minorHAnsi" w:hAnsiTheme="minorHAnsi" w:cs="Times New Roman"/>
          <w:i/>
          <w:color w:val="000000"/>
          <w:lang w:eastAsia="en-AU"/>
        </w:rPr>
        <w:t>Long Term Economic and Demographic Projections, ADF Posture Review</w:t>
      </w:r>
      <w:r>
        <w:rPr>
          <w:rFonts w:asciiTheme="minorHAnsi" w:hAnsiTheme="minorHAnsi" w:cs="Times New Roman"/>
          <w:color w:val="000000"/>
          <w:lang w:eastAsia="en-AU"/>
        </w:rPr>
        <w:t xml:space="preserve">, prepared for the Department of Defence, November, available at: </w:t>
      </w:r>
      <w:hyperlink r:id="rId118" w:history="1">
        <w:r>
          <w:rPr>
            <w:rStyle w:val="Hyperlink"/>
            <w:rFonts w:asciiTheme="minorHAnsi" w:hAnsiTheme="minorHAnsi"/>
            <w:lang w:eastAsia="en-AU"/>
          </w:rPr>
          <w:t>http://www.defence.gov.au/oscdf/adf-posture-review/docs/interim/AttachD.pdf</w:t>
        </w:r>
      </w:hyperlink>
      <w:r>
        <w:rPr>
          <w:rFonts w:asciiTheme="minorHAnsi" w:hAnsiTheme="minorHAnsi" w:cs="Times New Roman"/>
          <w:color w:val="000000"/>
          <w:lang w:eastAsia="en-AU"/>
        </w:rPr>
        <w:t xml:space="preserve"> </w:t>
      </w:r>
    </w:p>
    <w:p w14:paraId="74777E15" w14:textId="54EDE71A"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Department of Jobs and Small Business, employment projections, downloaded August 2018 from: </w:t>
      </w:r>
      <w:hyperlink r:id="rId119" w:history="1">
        <w:r>
          <w:rPr>
            <w:rStyle w:val="Hyperlink"/>
            <w:rFonts w:asciiTheme="minorHAnsi" w:hAnsiTheme="minorHAnsi"/>
            <w:lang w:eastAsia="en-AU"/>
          </w:rPr>
          <w:t>http://lmip.gov.au/default.aspx?LMIP/EmploymentProjections</w:t>
        </w:r>
      </w:hyperlink>
      <w:r>
        <w:rPr>
          <w:rFonts w:asciiTheme="minorHAnsi" w:hAnsiTheme="minorHAnsi" w:cs="Times New Roman"/>
          <w:color w:val="000000"/>
          <w:lang w:eastAsia="en-AU"/>
        </w:rPr>
        <w:t xml:space="preserve"> </w:t>
      </w:r>
    </w:p>
    <w:p w14:paraId="272CCF96" w14:textId="45C7AE68"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DoE (Department of the Environment 2012) Waste Emissions Projections, </w:t>
      </w:r>
      <w:hyperlink r:id="rId120" w:history="1">
        <w:r>
          <w:rPr>
            <w:rStyle w:val="Hyperlink"/>
            <w:rFonts w:asciiTheme="minorHAnsi" w:hAnsiTheme="minorHAnsi"/>
            <w:lang w:eastAsia="en-AU"/>
          </w:rPr>
          <w:t>http://www.climatechange.gov.au/sites/climatechange/files/files/climate-change/projections/aep-waste.pdf</w:t>
        </w:r>
      </w:hyperlink>
      <w:r>
        <w:rPr>
          <w:rFonts w:asciiTheme="minorHAnsi" w:hAnsiTheme="minorHAnsi" w:cs="Times New Roman"/>
          <w:color w:val="000000"/>
          <w:lang w:eastAsia="en-AU"/>
        </w:rPr>
        <w:t xml:space="preserve"> </w:t>
      </w:r>
    </w:p>
    <w:p w14:paraId="7D246CF4" w14:textId="187A9D15"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DoEE (Department of the Environment and Energy 2017) </w:t>
      </w:r>
      <w:r>
        <w:rPr>
          <w:rFonts w:asciiTheme="minorHAnsi" w:hAnsiTheme="minorHAnsi" w:cs="Times New Roman"/>
          <w:i/>
          <w:color w:val="000000"/>
          <w:lang w:eastAsia="en-AU"/>
        </w:rPr>
        <w:t>Annual Report 2016-17</w:t>
      </w:r>
      <w:r>
        <w:rPr>
          <w:rFonts w:asciiTheme="minorHAnsi" w:hAnsiTheme="minorHAnsi" w:cs="Times New Roman"/>
          <w:color w:val="000000"/>
          <w:lang w:eastAsia="en-AU"/>
        </w:rPr>
        <w:t xml:space="preserve"> (Appendix: Operation of the Product Stewardship (Oil) Act 2000), available at: </w:t>
      </w:r>
      <w:hyperlink r:id="rId121" w:history="1">
        <w:r>
          <w:rPr>
            <w:rStyle w:val="Hyperlink"/>
            <w:rFonts w:asciiTheme="minorHAnsi" w:hAnsiTheme="minorHAnsi"/>
            <w:lang w:eastAsia="en-AU"/>
          </w:rPr>
          <w:t>http://www.environment.gov.au/system/files/resources/00a9e787-a1a6-4d80-9ab7-f44e6896110c/files/annual-report-2016-17-appendices.pdf</w:t>
        </w:r>
      </w:hyperlink>
      <w:r>
        <w:rPr>
          <w:rFonts w:asciiTheme="minorHAnsi" w:hAnsiTheme="minorHAnsi" w:cs="Times New Roman"/>
          <w:color w:val="000000"/>
          <w:lang w:eastAsia="en-AU"/>
        </w:rPr>
        <w:t xml:space="preserve"> </w:t>
      </w:r>
    </w:p>
    <w:p w14:paraId="7974C712" w14:textId="32E8E52E"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Environment Protection Authority Tasmania (2009) </w:t>
      </w:r>
      <w:r>
        <w:rPr>
          <w:rFonts w:asciiTheme="minorHAnsi" w:hAnsiTheme="minorHAnsi" w:cs="Times New Roman"/>
          <w:i/>
          <w:color w:val="000000"/>
          <w:lang w:eastAsia="en-AU"/>
        </w:rPr>
        <w:t>Environment Protection Notice EPN 7043/3</w:t>
      </w:r>
      <w:r>
        <w:rPr>
          <w:rFonts w:asciiTheme="minorHAnsi" w:hAnsiTheme="minorHAnsi" w:cs="Times New Roman"/>
          <w:color w:val="000000"/>
          <w:lang w:eastAsia="en-AU"/>
        </w:rPr>
        <w:t xml:space="preserve">, issued 18/3/2009, available at: </w:t>
      </w:r>
      <w:hyperlink r:id="rId122" w:history="1">
        <w:r>
          <w:rPr>
            <w:rStyle w:val="Hyperlink"/>
            <w:rFonts w:asciiTheme="minorHAnsi" w:hAnsiTheme="minorHAnsi"/>
            <w:lang w:eastAsia="en-AU"/>
          </w:rPr>
          <w:t>https://nyrstarhobart.com/wp-content/uploads/2015/10/NH-12-14-Public-Env-Report.pdf</w:t>
        </w:r>
      </w:hyperlink>
      <w:r>
        <w:rPr>
          <w:rFonts w:asciiTheme="minorHAnsi" w:hAnsiTheme="minorHAnsi" w:cs="Times New Roman"/>
          <w:color w:val="000000"/>
          <w:lang w:eastAsia="en-AU"/>
        </w:rPr>
        <w:t xml:space="preserve"> </w:t>
      </w:r>
    </w:p>
    <w:p w14:paraId="1005F640" w14:textId="77777777"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Gallen </w:t>
      </w:r>
      <w:r>
        <w:rPr>
          <w:rFonts w:asciiTheme="minorHAnsi" w:hAnsiTheme="minorHAnsi" w:cs="Times New Roman"/>
          <w:i/>
          <w:color w:val="000000"/>
          <w:lang w:eastAsia="en-AU"/>
        </w:rPr>
        <w:t>et al</w:t>
      </w:r>
      <w:r>
        <w:rPr>
          <w:rFonts w:asciiTheme="minorHAnsi" w:hAnsiTheme="minorHAnsi" w:cs="Times New Roman"/>
          <w:color w:val="000000"/>
          <w:lang w:eastAsia="en-AU"/>
        </w:rPr>
        <w:t xml:space="preserve"> (2016) Occurrence and distribution of brominated flame retardants and perfluoroalkyl substances in Australian landfill leachate and biosolids, </w:t>
      </w:r>
      <w:r>
        <w:rPr>
          <w:rFonts w:asciiTheme="minorHAnsi" w:hAnsiTheme="minorHAnsi" w:cs="Times New Roman"/>
          <w:i/>
          <w:color w:val="000000"/>
          <w:lang w:eastAsia="en-AU"/>
        </w:rPr>
        <w:t>Journal of Hazardous Materials</w:t>
      </w:r>
      <w:r>
        <w:rPr>
          <w:rFonts w:asciiTheme="minorHAnsi" w:hAnsiTheme="minorHAnsi" w:cs="Times New Roman"/>
          <w:color w:val="000000"/>
          <w:lang w:eastAsia="en-AU"/>
        </w:rPr>
        <w:t xml:space="preserve"> 312 (2016) 55–64</w:t>
      </w:r>
    </w:p>
    <w:p w14:paraId="4FC4C0B4" w14:textId="2BACD22E"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Glinin et al (2013) </w:t>
      </w:r>
      <w:r>
        <w:rPr>
          <w:rFonts w:asciiTheme="minorHAnsi" w:hAnsiTheme="minorHAnsi" w:cs="Times New Roman"/>
          <w:i/>
          <w:color w:val="000000"/>
          <w:lang w:eastAsia="en-AU"/>
        </w:rPr>
        <w:t>Outotec® Ausmelt Technology for Treating Zinc Residues</w:t>
      </w:r>
      <w:r>
        <w:rPr>
          <w:rFonts w:asciiTheme="minorHAnsi" w:hAnsiTheme="minorHAnsi" w:cs="Times New Roman"/>
          <w:color w:val="000000"/>
          <w:lang w:eastAsia="en-AU"/>
        </w:rPr>
        <w:t xml:space="preserve">, available at: </w:t>
      </w:r>
      <w:hyperlink r:id="rId123" w:history="1">
        <w:r>
          <w:rPr>
            <w:rStyle w:val="Hyperlink"/>
            <w:rFonts w:asciiTheme="minorHAnsi" w:hAnsiTheme="minorHAnsi"/>
            <w:lang w:eastAsia="en-AU"/>
          </w:rPr>
          <w:t>https://www.researchgate.net/publication/270048746_Ausmelt_Technology_for_Treating_Zinc_Residues</w:t>
        </w:r>
      </w:hyperlink>
      <w:r>
        <w:rPr>
          <w:rFonts w:asciiTheme="minorHAnsi" w:hAnsiTheme="minorHAnsi" w:cs="Times New Roman"/>
          <w:color w:val="000000"/>
          <w:lang w:eastAsia="en-AU"/>
        </w:rPr>
        <w:t xml:space="preserve"> </w:t>
      </w:r>
    </w:p>
    <w:p w14:paraId="4A218FDC" w14:textId="2007F898"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Heads of EPAs (2018) </w:t>
      </w:r>
      <w:r>
        <w:rPr>
          <w:rFonts w:asciiTheme="minorHAnsi" w:hAnsiTheme="minorHAnsi" w:cs="Times New Roman"/>
          <w:i/>
          <w:color w:val="000000"/>
          <w:lang w:eastAsia="en-AU"/>
        </w:rPr>
        <w:t>PFAS National Environmental Management Plan</w:t>
      </w:r>
      <w:r>
        <w:rPr>
          <w:rFonts w:asciiTheme="minorHAnsi" w:hAnsiTheme="minorHAnsi" w:cs="Times New Roman"/>
          <w:color w:val="000000"/>
          <w:lang w:eastAsia="en-AU"/>
        </w:rPr>
        <w:t xml:space="preserve">, available at: </w:t>
      </w:r>
      <w:hyperlink r:id="rId124" w:history="1">
        <w:r>
          <w:rPr>
            <w:rStyle w:val="Hyperlink"/>
            <w:rFonts w:asciiTheme="minorHAnsi" w:hAnsiTheme="minorHAnsi"/>
            <w:lang w:eastAsia="en-AU"/>
          </w:rPr>
          <w:t>http://www.epa.vic.gov.au/~/media/Files/Your%20environment/Land%20and%20groundwater/PFAS%20in%20Victoria/PFAS%20NEMP/FINAL_PFAS-NEMP-20180110.pdf</w:t>
        </w:r>
      </w:hyperlink>
      <w:r>
        <w:rPr>
          <w:rFonts w:asciiTheme="minorHAnsi" w:hAnsiTheme="minorHAnsi" w:cs="Times New Roman"/>
          <w:color w:val="000000"/>
          <w:lang w:eastAsia="en-AU"/>
        </w:rPr>
        <w:t xml:space="preserve"> </w:t>
      </w:r>
    </w:p>
    <w:p w14:paraId="0498B5EE" w14:textId="6CD89670" w:rsidR="00887A1F" w:rsidRDefault="00887A1F" w:rsidP="00887A1F">
      <w:pPr>
        <w:pStyle w:val="BodyText"/>
        <w:spacing w:before="120" w:after="120"/>
        <w:rPr>
          <w:rFonts w:asciiTheme="minorHAnsi" w:hAnsiTheme="minorHAnsi" w:cs="Times New Roman"/>
          <w:color w:val="000000"/>
          <w:lang w:eastAsia="en-AU"/>
        </w:rPr>
      </w:pPr>
      <w:r>
        <w:rPr>
          <w:rFonts w:asciiTheme="minorHAnsi" w:hAnsiTheme="minorHAnsi" w:cs="Times New Roman"/>
          <w:color w:val="000000"/>
          <w:lang w:eastAsia="en-AU"/>
        </w:rPr>
        <w:t xml:space="preserve">Hyder Consulting (2015) </w:t>
      </w:r>
      <w:r>
        <w:rPr>
          <w:rFonts w:asciiTheme="minorHAnsi" w:hAnsiTheme="minorHAnsi" w:cs="Times New Roman"/>
          <w:i/>
          <w:color w:val="000000"/>
          <w:lang w:eastAsia="en-AU"/>
        </w:rPr>
        <w:t>Stocks and Fate of End of Life Tyres - 2013-14 Study</w:t>
      </w:r>
      <w:r>
        <w:rPr>
          <w:rFonts w:asciiTheme="minorHAnsi" w:hAnsiTheme="minorHAnsi" w:cs="Times New Roman"/>
          <w:color w:val="000000"/>
          <w:lang w:eastAsia="en-AU"/>
        </w:rPr>
        <w:t xml:space="preserve">, prepared for the National Environment Protection Council, available at: </w:t>
      </w:r>
      <w:hyperlink r:id="rId125" w:history="1">
        <w:r>
          <w:rPr>
            <w:rStyle w:val="Hyperlink"/>
            <w:rFonts w:asciiTheme="minorHAnsi" w:hAnsiTheme="minorHAnsi"/>
            <w:lang w:eastAsia="en-AU"/>
          </w:rPr>
          <w:t>http://www.nepc.gov.au/resource/stocks-and-fate-end-life-tyres-2013-14-study</w:t>
        </w:r>
      </w:hyperlink>
      <w:r>
        <w:rPr>
          <w:rFonts w:asciiTheme="minorHAnsi" w:hAnsiTheme="minorHAnsi" w:cs="Times New Roman"/>
          <w:color w:val="000000"/>
          <w:lang w:eastAsia="en-AU"/>
        </w:rPr>
        <w:t xml:space="preserve"> </w:t>
      </w:r>
    </w:p>
    <w:p w14:paraId="7188181E" w14:textId="77777777"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KMH (2013) Reducing releases of POP-BDEs to the environment - Option impact analysis (not public)</w:t>
      </w:r>
    </w:p>
    <w:p w14:paraId="0D121AA2" w14:textId="77777777" w:rsidR="00887A1F" w:rsidRDefault="00887A1F" w:rsidP="00887A1F">
      <w:pPr>
        <w:pStyle w:val="BodyText"/>
        <w:spacing w:after="120"/>
        <w:rPr>
          <w:rFonts w:asciiTheme="minorHAnsi" w:hAnsiTheme="minorHAnsi" w:cs="Times New Roman"/>
          <w:lang w:eastAsia="en-AU"/>
        </w:rPr>
      </w:pPr>
      <w:r>
        <w:rPr>
          <w:rFonts w:asciiTheme="minorHAnsi" w:hAnsiTheme="minorHAnsi" w:cs="Times New Roman"/>
          <w:lang w:eastAsia="en-AU"/>
        </w:rPr>
        <w:t xml:space="preserve">Lewis H, CEO Australian Battery Recycling Initiative (ABRI 2014) Battery stewardship and recycling update, presentation to </w:t>
      </w:r>
      <w:r>
        <w:rPr>
          <w:rFonts w:asciiTheme="minorHAnsi" w:hAnsiTheme="minorHAnsi" w:cs="Times New Roman"/>
          <w:i/>
          <w:iCs/>
          <w:lang w:eastAsia="en-AU"/>
        </w:rPr>
        <w:t>Waste Expo 2014</w:t>
      </w:r>
      <w:r>
        <w:rPr>
          <w:rFonts w:asciiTheme="minorHAnsi" w:hAnsiTheme="minorHAnsi" w:cs="Times New Roman"/>
          <w:lang w:eastAsia="en-AU"/>
        </w:rPr>
        <w:t>, Melbourne, 16 May 2014</w:t>
      </w:r>
    </w:p>
    <w:p w14:paraId="0A946357" w14:textId="4C1041DF"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Melbourne Water (2010) </w:t>
      </w:r>
      <w:r>
        <w:rPr>
          <w:rFonts w:asciiTheme="minorHAnsi" w:hAnsiTheme="minorHAnsi" w:cs="Times New Roman"/>
          <w:i/>
          <w:iCs/>
          <w:color w:val="000000"/>
          <w:lang w:eastAsia="en-AU"/>
        </w:rPr>
        <w:t>Expressions of Interest: Implementation of a research and development project for energy, nutrient, metal, fuel or chemical extraction, geotechnical reuse, building material extender, decontamination, stabilisation, or other conversion leading to 'Beneficial Use' of biosolids.</w:t>
      </w:r>
      <w:r>
        <w:rPr>
          <w:rFonts w:asciiTheme="minorHAnsi" w:hAnsiTheme="minorHAnsi" w:cs="Times New Roman"/>
          <w:color w:val="000000"/>
          <w:lang w:eastAsia="en-AU"/>
        </w:rPr>
        <w:t xml:space="preserve"> Available from: </w:t>
      </w:r>
      <w:hyperlink r:id="rId126" w:history="1">
        <w:r>
          <w:rPr>
            <w:rStyle w:val="Hyperlink"/>
            <w:rFonts w:asciiTheme="minorHAnsi" w:hAnsiTheme="minorHAnsi"/>
            <w:lang w:eastAsia="en-AU"/>
          </w:rPr>
          <w:t>http://www.icnvic.org.au/media/documents/water%20industry/melb%20water%20-%20eoi%20-%20beneficial%20use%20of%20biosolids.pdf</w:t>
        </w:r>
      </w:hyperlink>
    </w:p>
    <w:p w14:paraId="79B3B3B4" w14:textId="26BBD32B" w:rsidR="00887A1F" w:rsidRDefault="00887A1F" w:rsidP="00887A1F">
      <w:pPr>
        <w:pStyle w:val="BodyText"/>
        <w:spacing w:after="120"/>
        <w:rPr>
          <w:rFonts w:asciiTheme="minorHAnsi" w:hAnsiTheme="minorHAnsi" w:cs="Times New Roman"/>
          <w:iCs/>
          <w:color w:val="000000"/>
          <w:lang w:eastAsia="en-AU"/>
        </w:rPr>
      </w:pPr>
      <w:r>
        <w:rPr>
          <w:rFonts w:asciiTheme="minorHAnsi" w:hAnsiTheme="minorHAnsi" w:cs="Times New Roman"/>
          <w:color w:val="000000"/>
          <w:lang w:eastAsia="en-AU"/>
        </w:rPr>
        <w:t xml:space="preserve">NICNAS (National Industrial Chemicals Notification and Assessment Scheme 2014) </w:t>
      </w:r>
      <w:r>
        <w:rPr>
          <w:rFonts w:asciiTheme="minorHAnsi" w:hAnsiTheme="minorHAnsi" w:cs="Times New Roman"/>
          <w:i/>
          <w:iCs/>
          <w:color w:val="000000"/>
          <w:lang w:eastAsia="en-AU"/>
        </w:rPr>
        <w:t>National Assessment of Chemicals Associated with Coal Seam Gas Extraction in Australia</w:t>
      </w:r>
      <w:r>
        <w:rPr>
          <w:rFonts w:asciiTheme="minorHAnsi" w:hAnsiTheme="minorHAnsi" w:cs="Times New Roman"/>
          <w:iCs/>
          <w:color w:val="000000"/>
          <w:lang w:eastAsia="en-AU"/>
        </w:rPr>
        <w:t xml:space="preserve">, available from: </w:t>
      </w:r>
      <w:hyperlink r:id="rId127" w:history="1">
        <w:r>
          <w:rPr>
            <w:rStyle w:val="Hyperlink"/>
            <w:rFonts w:asciiTheme="minorHAnsi" w:hAnsiTheme="minorHAnsi"/>
            <w:lang w:eastAsia="en-AU"/>
          </w:rPr>
          <w:t>http://www.nicnas.gov.au/communications/issues/fracking-hydraulic-fracturing-coal-seam-gas-extraction/information-sheet</w:t>
        </w:r>
      </w:hyperlink>
      <w:r>
        <w:rPr>
          <w:rFonts w:asciiTheme="minorHAnsi" w:hAnsiTheme="minorHAnsi" w:cs="Times New Roman"/>
          <w:iCs/>
          <w:color w:val="000000"/>
          <w:lang w:eastAsia="en-AU"/>
        </w:rPr>
        <w:t xml:space="preserve"> </w:t>
      </w:r>
    </w:p>
    <w:p w14:paraId="7E01FBF2" w14:textId="0EA0D338" w:rsidR="00887A1F" w:rsidRDefault="00887A1F" w:rsidP="00887A1F">
      <w:pPr>
        <w:pStyle w:val="BodyText"/>
        <w:spacing w:after="120"/>
        <w:rPr>
          <w:rFonts w:asciiTheme="minorHAnsi" w:hAnsiTheme="minorHAnsi" w:cs="Times New Roman"/>
          <w:i/>
          <w:iCs/>
          <w:color w:val="000000"/>
          <w:lang w:eastAsia="en-AU"/>
        </w:rPr>
      </w:pPr>
      <w:r>
        <w:rPr>
          <w:rFonts w:asciiTheme="minorHAnsi" w:hAnsiTheme="minorHAnsi" w:cs="Times New Roman"/>
          <w:color w:val="000000"/>
          <w:lang w:eastAsia="en-AU"/>
        </w:rPr>
        <w:t xml:space="preserve">Nolan Consulting &amp; SRU (Nolan Consulting and Sustainable Resource Use 2014) </w:t>
      </w:r>
      <w:r>
        <w:rPr>
          <w:rFonts w:asciiTheme="minorHAnsi" w:hAnsiTheme="minorHAnsi" w:cs="Times New Roman"/>
          <w:i/>
          <w:iCs/>
          <w:color w:val="000000"/>
          <w:lang w:eastAsia="en-AU"/>
        </w:rPr>
        <w:t>Study into stocks and flows, market analysis and processing capacity of waste paint, prepared for the National Environment Protection Council Service Corporation</w:t>
      </w:r>
      <w:r>
        <w:rPr>
          <w:rFonts w:asciiTheme="minorHAnsi" w:hAnsiTheme="minorHAnsi" w:cs="Times New Roman"/>
          <w:iCs/>
          <w:color w:val="000000"/>
          <w:lang w:eastAsia="en-AU"/>
        </w:rPr>
        <w:t xml:space="preserve">, available from: </w:t>
      </w:r>
      <w:hyperlink r:id="rId128" w:history="1">
        <w:r>
          <w:rPr>
            <w:rStyle w:val="Hyperlink"/>
            <w:rFonts w:asciiTheme="minorHAnsi" w:hAnsiTheme="minorHAnsi"/>
            <w:lang w:eastAsia="en-AU"/>
          </w:rPr>
          <w:t>http://www.sustainability.vic.gov.au/~/media/resources/documents/services%20and%20advice/business/paint%20product%20stewardship/study%20into%20stocks%20and%20flows_%20market%20analysis%20and%20processing%20capacity%20of%20waste%20paint%20in%20australia.pdf</w:t>
        </w:r>
      </w:hyperlink>
    </w:p>
    <w:p w14:paraId="2D2B60FC" w14:textId="4AD3C078"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Nyrstar (2015) </w:t>
      </w:r>
      <w:r>
        <w:rPr>
          <w:rFonts w:asciiTheme="minorHAnsi" w:hAnsiTheme="minorHAnsi" w:cs="Times New Roman"/>
          <w:i/>
          <w:color w:val="000000"/>
          <w:lang w:eastAsia="en-AU"/>
        </w:rPr>
        <w:t>Nyrstar Public Environment Report 2012-2014</w:t>
      </w:r>
      <w:r>
        <w:rPr>
          <w:rFonts w:asciiTheme="minorHAnsi" w:hAnsiTheme="minorHAnsi" w:cs="Times New Roman"/>
          <w:color w:val="000000"/>
          <w:lang w:eastAsia="en-AU"/>
        </w:rPr>
        <w:t xml:space="preserve">, available at: </w:t>
      </w:r>
      <w:hyperlink r:id="rId129" w:history="1">
        <w:r>
          <w:rPr>
            <w:rStyle w:val="Hyperlink"/>
            <w:rFonts w:asciiTheme="minorHAnsi" w:hAnsiTheme="minorHAnsi"/>
            <w:lang w:eastAsia="en-AU"/>
          </w:rPr>
          <w:t>https://nyrstarhobart.com/wp-content/uploads/2015/10/NH-12-14-Public-Env-Report.pdf</w:t>
        </w:r>
      </w:hyperlink>
      <w:r>
        <w:rPr>
          <w:rFonts w:asciiTheme="minorHAnsi" w:hAnsiTheme="minorHAnsi" w:cs="Times New Roman"/>
          <w:color w:val="000000"/>
          <w:lang w:eastAsia="en-AU"/>
        </w:rPr>
        <w:t xml:space="preserve"> </w:t>
      </w:r>
    </w:p>
    <w:p w14:paraId="743476F0" w14:textId="388B8D1E"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Nyrstar (2017) Nyrstar fact sheet 2017, available at: </w:t>
      </w:r>
      <w:hyperlink r:id="rId130" w:history="1">
        <w:r>
          <w:rPr>
            <w:rStyle w:val="Hyperlink"/>
            <w:rFonts w:asciiTheme="minorHAnsi" w:hAnsiTheme="minorHAnsi"/>
            <w:lang w:eastAsia="en-AU"/>
          </w:rPr>
          <w:t>https://www.nyrstar.com/~/media/Files/N/Nyrstar/resources-and-materials/factsheets/fact-sheet-hobart.pdf</w:t>
        </w:r>
      </w:hyperlink>
      <w:r>
        <w:rPr>
          <w:rFonts w:asciiTheme="minorHAnsi" w:hAnsiTheme="minorHAnsi" w:cs="Times New Roman"/>
          <w:color w:val="000000"/>
          <w:lang w:eastAsia="en-AU"/>
        </w:rPr>
        <w:t xml:space="preserve"> </w:t>
      </w:r>
    </w:p>
    <w:p w14:paraId="1BC3DBC3" w14:textId="5CB1835A"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Nyrstar (2018) Nyrstar fact sheet 2018, available at: </w:t>
      </w:r>
      <w:hyperlink r:id="rId131" w:history="1">
        <w:r>
          <w:rPr>
            <w:rStyle w:val="Hyperlink"/>
            <w:rFonts w:asciiTheme="minorHAnsi" w:hAnsiTheme="minorHAnsi"/>
            <w:lang w:eastAsia="en-AU"/>
          </w:rPr>
          <w:t>https://www.nyrstar.com/~/media/Files/N/Nyrstar/operations/melting/2018%20Fact%20Sheet%20-%20Hobart.pdf</w:t>
        </w:r>
      </w:hyperlink>
      <w:r>
        <w:rPr>
          <w:rFonts w:asciiTheme="minorHAnsi" w:hAnsiTheme="minorHAnsi" w:cs="Times New Roman"/>
          <w:color w:val="000000"/>
          <w:lang w:eastAsia="en-AU"/>
        </w:rPr>
        <w:t xml:space="preserve"> </w:t>
      </w:r>
    </w:p>
    <w:p w14:paraId="43D28402" w14:textId="2108EA2A"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Office of the Chief Economist (2017) </w:t>
      </w:r>
      <w:r>
        <w:rPr>
          <w:rFonts w:asciiTheme="minorHAnsi" w:hAnsiTheme="minorHAnsi" w:cs="Times New Roman"/>
          <w:i/>
          <w:color w:val="000000"/>
          <w:lang w:eastAsia="en-AU"/>
        </w:rPr>
        <w:t>Resources and Energy Quarterly (Sept 2017)</w:t>
      </w:r>
      <w:r>
        <w:rPr>
          <w:rFonts w:asciiTheme="minorHAnsi" w:hAnsiTheme="minorHAnsi" w:cs="Times New Roman"/>
          <w:color w:val="000000"/>
          <w:lang w:eastAsia="en-AU"/>
        </w:rPr>
        <w:t xml:space="preserve">, available at: </w:t>
      </w:r>
      <w:hyperlink r:id="rId132" w:history="1">
        <w:r>
          <w:rPr>
            <w:rStyle w:val="Hyperlink"/>
            <w:rFonts w:asciiTheme="minorHAnsi" w:hAnsiTheme="minorHAnsi"/>
            <w:lang w:eastAsia="en-AU"/>
          </w:rPr>
          <w:t>https://industry.gov.au/Office-of-the-Chief-Economist/Publications/ResourcesandEnergyQuarterlySeptember2017/documents/Resources-and-Energy-Quarterly-September-2017-Aluminium-alumina-and-bauxite.pdf</w:t>
        </w:r>
      </w:hyperlink>
      <w:r>
        <w:rPr>
          <w:rFonts w:asciiTheme="minorHAnsi" w:hAnsiTheme="minorHAnsi" w:cs="Times New Roman"/>
          <w:color w:val="000000"/>
          <w:lang w:eastAsia="en-AU"/>
        </w:rPr>
        <w:t xml:space="preserve"> </w:t>
      </w:r>
    </w:p>
    <w:p w14:paraId="7E1F1518" w14:textId="6E0C1842"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Office of the Chief Economist (2018) </w:t>
      </w:r>
      <w:r>
        <w:rPr>
          <w:rFonts w:asciiTheme="minorHAnsi" w:hAnsiTheme="minorHAnsi" w:cs="Times New Roman"/>
          <w:i/>
          <w:color w:val="000000"/>
          <w:lang w:eastAsia="en-AU"/>
        </w:rPr>
        <w:t>Resources and Energy Quarterly (March 2018)</w:t>
      </w:r>
      <w:r>
        <w:rPr>
          <w:rFonts w:asciiTheme="minorHAnsi" w:hAnsiTheme="minorHAnsi" w:cs="Times New Roman"/>
          <w:color w:val="000000"/>
          <w:lang w:eastAsia="en-AU"/>
        </w:rPr>
        <w:t xml:space="preserve">, available at: </w:t>
      </w:r>
      <w:hyperlink r:id="rId133" w:history="1">
        <w:r>
          <w:rPr>
            <w:rStyle w:val="Hyperlink"/>
            <w:rFonts w:asciiTheme="minorHAnsi" w:hAnsiTheme="minorHAnsi"/>
            <w:lang w:eastAsia="en-AU"/>
          </w:rPr>
          <w:t>https://industry.gov.au/Office-of-the-Chief-Economist/Publications/ResourcesandEnergyQuarterlyMarch2018/index.html</w:t>
        </w:r>
      </w:hyperlink>
      <w:r>
        <w:rPr>
          <w:rFonts w:asciiTheme="minorHAnsi" w:hAnsiTheme="minorHAnsi" w:cs="Times New Roman"/>
          <w:color w:val="000000"/>
          <w:lang w:eastAsia="en-AU"/>
        </w:rPr>
        <w:t xml:space="preserve"> </w:t>
      </w:r>
    </w:p>
    <w:p w14:paraId="097927CB" w14:textId="610B955C"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Orica (2017) </w:t>
      </w:r>
      <w:r>
        <w:rPr>
          <w:rFonts w:asciiTheme="minorHAnsi" w:hAnsiTheme="minorHAnsi" w:cs="Times New Roman"/>
          <w:i/>
          <w:color w:val="000000"/>
          <w:lang w:eastAsia="en-AU"/>
        </w:rPr>
        <w:t>HCB Fact Sheet Nov 2017</w:t>
      </w:r>
      <w:r>
        <w:rPr>
          <w:rFonts w:asciiTheme="minorHAnsi" w:hAnsiTheme="minorHAnsi" w:cs="Times New Roman"/>
          <w:color w:val="000000"/>
          <w:lang w:eastAsia="en-AU"/>
        </w:rPr>
        <w:t xml:space="preserve">, available at: </w:t>
      </w:r>
      <w:hyperlink r:id="rId134" w:history="1">
        <w:r>
          <w:rPr>
            <w:rStyle w:val="Hyperlink"/>
            <w:rFonts w:asciiTheme="minorHAnsi" w:hAnsiTheme="minorHAnsi"/>
            <w:lang w:eastAsia="en-AU"/>
          </w:rPr>
          <w:t>http://www.orica.com/ArticleDocuments/775/20171204_Updated%20HCB%20Fact%20Sheet.pdf.aspx</w:t>
        </w:r>
      </w:hyperlink>
      <w:r>
        <w:rPr>
          <w:rFonts w:asciiTheme="minorHAnsi" w:hAnsiTheme="minorHAnsi" w:cs="Times New Roman"/>
          <w:color w:val="000000"/>
          <w:lang w:eastAsia="en-AU"/>
        </w:rPr>
        <w:t xml:space="preserve"> </w:t>
      </w:r>
    </w:p>
    <w:p w14:paraId="07F843C8" w14:textId="77777777"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PSD (Pollution Solutions and Designs 2017) </w:t>
      </w:r>
      <w:r>
        <w:rPr>
          <w:rFonts w:asciiTheme="minorHAnsi" w:hAnsiTheme="minorHAnsi" w:cs="Times New Roman"/>
          <w:i/>
          <w:color w:val="000000"/>
          <w:lang w:eastAsia="en-AU"/>
        </w:rPr>
        <w:t>Biosolids Production in Australia 2017</w:t>
      </w:r>
      <w:r>
        <w:rPr>
          <w:rFonts w:asciiTheme="minorHAnsi" w:hAnsiTheme="minorHAnsi" w:cs="Times New Roman"/>
          <w:color w:val="000000"/>
          <w:lang w:eastAsia="en-AU"/>
        </w:rPr>
        <w:t>, available to Biosolids Partnership Members only, December</w:t>
      </w:r>
    </w:p>
    <w:p w14:paraId="5A4D0980" w14:textId="146DCE28" w:rsidR="00887A1F" w:rsidRDefault="00887A1F" w:rsidP="00887A1F">
      <w:pPr>
        <w:pStyle w:val="BodyText"/>
        <w:spacing w:after="120"/>
      </w:pPr>
      <w:r>
        <w:t xml:space="preserve">Randell Environmental Consulting (2017) </w:t>
      </w:r>
      <w:r>
        <w:rPr>
          <w:i/>
        </w:rPr>
        <w:t xml:space="preserve">National market development strategy for used tyres 2017-2022, </w:t>
      </w:r>
      <w:r>
        <w:t xml:space="preserve">developed for Sustainability Victoria, available at: </w:t>
      </w:r>
      <w:hyperlink r:id="rId135" w:history="1">
        <w:r>
          <w:rPr>
            <w:rStyle w:val="Hyperlink"/>
          </w:rPr>
          <w:t>https://www.sustainability.vic.gov.au/Business/Market-development/Tyre-stewardship</w:t>
        </w:r>
      </w:hyperlink>
    </w:p>
    <w:p w14:paraId="58725608" w14:textId="538A7EF1"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Randell Environmental Consulting (2018) Waste </w:t>
      </w:r>
      <w:r w:rsidR="0018460F">
        <w:rPr>
          <w:rFonts w:asciiTheme="minorHAnsi" w:hAnsiTheme="minorHAnsi" w:cs="Times New Roman"/>
          <w:color w:val="000000"/>
          <w:lang w:eastAsia="en-AU"/>
        </w:rPr>
        <w:t>lithium ion</w:t>
      </w:r>
      <w:r>
        <w:rPr>
          <w:rFonts w:asciiTheme="minorHAnsi" w:hAnsiTheme="minorHAnsi" w:cs="Times New Roman"/>
          <w:color w:val="000000"/>
          <w:lang w:eastAsia="en-AU"/>
        </w:rPr>
        <w:t xml:space="preserve"> battery projections, produced for the </w:t>
      </w:r>
      <w:r w:rsidR="008A278B">
        <w:rPr>
          <w:rFonts w:asciiTheme="minorHAnsi" w:hAnsiTheme="minorHAnsi" w:cs="Times New Roman"/>
          <w:color w:val="000000"/>
          <w:lang w:eastAsia="en-AU"/>
        </w:rPr>
        <w:t>Department of Environment and Energy</w:t>
      </w:r>
      <w:r>
        <w:rPr>
          <w:rFonts w:asciiTheme="minorHAnsi" w:hAnsiTheme="minorHAnsi" w:cs="Times New Roman"/>
          <w:color w:val="000000"/>
          <w:lang w:eastAsia="en-AU"/>
        </w:rPr>
        <w:t xml:space="preserve">, June, available at: </w:t>
      </w:r>
      <w:hyperlink r:id="rId136" w:history="1">
        <w:r>
          <w:rPr>
            <w:rStyle w:val="Hyperlink"/>
            <w:rFonts w:asciiTheme="minorHAnsi" w:hAnsiTheme="minorHAnsi"/>
            <w:lang w:eastAsia="en-AU"/>
          </w:rPr>
          <w:t>https://www.environment.gov.au/system/files/resources/dd827a0f-f9fa-4024-b1e0-5b11c2c43748/files/waste-lithium-battery-projections.pdf</w:t>
        </w:r>
      </w:hyperlink>
    </w:p>
    <w:p w14:paraId="355B4547" w14:textId="0334B60D"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Randell Environmental Consulting 2016 </w:t>
      </w:r>
      <w:r>
        <w:rPr>
          <w:rFonts w:asciiTheme="minorHAnsi" w:hAnsiTheme="minorHAnsi" w:cs="Times New Roman"/>
          <w:i/>
          <w:color w:val="000000"/>
          <w:lang w:eastAsia="en-AU"/>
        </w:rPr>
        <w:t xml:space="preserve">Spent pot lining project (feasibility of an agreement based approach to clear stockpiles), </w:t>
      </w:r>
      <w:r>
        <w:rPr>
          <w:rFonts w:asciiTheme="minorHAnsi" w:hAnsiTheme="minorHAnsi" w:cs="Times New Roman"/>
          <w:color w:val="000000"/>
          <w:lang w:eastAsia="en-AU"/>
        </w:rPr>
        <w:t xml:space="preserve">available at: </w:t>
      </w:r>
      <w:hyperlink r:id="rId137" w:history="1">
        <w:r>
          <w:rPr>
            <w:rStyle w:val="Hyperlink"/>
            <w:rFonts w:asciiTheme="minorHAnsi" w:hAnsiTheme="minorHAnsi"/>
            <w:lang w:eastAsia="en-AU"/>
          </w:rPr>
          <w:t>http://www.environment.gov.au/protection/publications/spent-pot-lining-project-feasibility-agreement-based-approach-clear-stockpiles-final</w:t>
        </w:r>
      </w:hyperlink>
    </w:p>
    <w:p w14:paraId="097D7C81" w14:textId="77777777"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SIA (Sustainable Infrastructure Australia 2008) Orica Hexachlorobenzene waste stockpile - Independent assessment report</w:t>
      </w:r>
    </w:p>
    <w:p w14:paraId="2E1E0DD2" w14:textId="1838C3AD"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Tasmanian Government (2016) </w:t>
      </w:r>
      <w:r>
        <w:rPr>
          <w:rFonts w:asciiTheme="minorHAnsi" w:hAnsiTheme="minorHAnsi" w:cs="Times New Roman"/>
          <w:i/>
          <w:color w:val="000000"/>
          <w:lang w:eastAsia="en-AU"/>
        </w:rPr>
        <w:t>The mining and mineral processing industry in Tasmania</w:t>
      </w:r>
      <w:r>
        <w:rPr>
          <w:rFonts w:asciiTheme="minorHAnsi" w:hAnsiTheme="minorHAnsi" w:cs="Times New Roman"/>
          <w:color w:val="000000"/>
          <w:lang w:eastAsia="en-AU"/>
        </w:rPr>
        <w:t xml:space="preserve">, </w:t>
      </w:r>
      <w:hyperlink r:id="rId138" w:history="1">
        <w:r>
          <w:rPr>
            <w:rStyle w:val="Hyperlink"/>
            <w:rFonts w:asciiTheme="minorHAnsi" w:hAnsiTheme="minorHAnsi"/>
            <w:lang w:eastAsia="en-AU"/>
          </w:rPr>
          <w:t>https://www.cg.tas.gov.au/__data/assets/pdf_file/0020/123374/Investment_Guide_-Mining_and_Minerals_INVEST14205.pdf</w:t>
        </w:r>
      </w:hyperlink>
      <w:r>
        <w:rPr>
          <w:rFonts w:asciiTheme="minorHAnsi" w:hAnsiTheme="minorHAnsi" w:cs="Times New Roman"/>
          <w:color w:val="000000"/>
          <w:lang w:eastAsia="en-AU"/>
        </w:rPr>
        <w:t xml:space="preserve"> </w:t>
      </w:r>
    </w:p>
    <w:p w14:paraId="52050A87" w14:textId="54B78B1B"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Tasmanian Times (2012) </w:t>
      </w:r>
      <w:r>
        <w:rPr>
          <w:rFonts w:asciiTheme="minorHAnsi" w:hAnsiTheme="minorHAnsi" w:cs="Times New Roman"/>
          <w:i/>
          <w:color w:val="000000"/>
          <w:lang w:eastAsia="en-AU"/>
        </w:rPr>
        <w:t>Riding roughshod over a local community ... ?</w:t>
      </w:r>
      <w:r>
        <w:rPr>
          <w:rFonts w:asciiTheme="minorHAnsi" w:hAnsiTheme="minorHAnsi" w:cs="Times New Roman"/>
          <w:color w:val="000000"/>
          <w:lang w:eastAsia="en-AU"/>
        </w:rPr>
        <w:t xml:space="preserve"> Available at: </w:t>
      </w:r>
      <w:hyperlink r:id="rId139" w:history="1">
        <w:r>
          <w:rPr>
            <w:rStyle w:val="Hyperlink"/>
            <w:rFonts w:asciiTheme="minorHAnsi" w:hAnsiTheme="minorHAnsi"/>
            <w:lang w:eastAsia="en-AU"/>
          </w:rPr>
          <w:t>http://tasmaniantimes.com/index.php?/weblog/article/more-than-20-years-planning-for-a-c-cell-in-tasmania/</w:t>
        </w:r>
      </w:hyperlink>
      <w:r>
        <w:rPr>
          <w:rFonts w:asciiTheme="minorHAnsi" w:hAnsiTheme="minorHAnsi" w:cs="Times New Roman"/>
          <w:color w:val="000000"/>
          <w:lang w:eastAsia="en-AU"/>
        </w:rPr>
        <w:t xml:space="preserve"> </w:t>
      </w:r>
    </w:p>
    <w:p w14:paraId="2671C3B2" w14:textId="77777777"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Thornton T (2014) </w:t>
      </w:r>
      <w:r>
        <w:rPr>
          <w:rFonts w:asciiTheme="minorHAnsi" w:hAnsiTheme="minorHAnsi" w:cs="Times New Roman"/>
          <w:i/>
          <w:color w:val="000000"/>
          <w:lang w:eastAsia="en-AU"/>
        </w:rPr>
        <w:t>Estimates for Victorian Public Hospital Waste Generation</w:t>
      </w:r>
      <w:r>
        <w:rPr>
          <w:rFonts w:asciiTheme="minorHAnsi" w:hAnsiTheme="minorHAnsi" w:cs="Times New Roman"/>
          <w:color w:val="000000"/>
          <w:lang w:eastAsia="en-AU"/>
        </w:rPr>
        <w:t>, pers comm</w:t>
      </w:r>
    </w:p>
    <w:p w14:paraId="756D57A8" w14:textId="206071B0" w:rsidR="00887A1F" w:rsidRDefault="00887A1F" w:rsidP="00887A1F">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UNEP (United Nations Environment Program 2012) Guidance for the inventory of polybrominated diphenyl ethers (PBDEs) listed under the Stockholm Convention on Persistent Organic Pollutants, available at: </w:t>
      </w:r>
      <w:hyperlink r:id="rId140" w:history="1">
        <w:r>
          <w:rPr>
            <w:rStyle w:val="Hyperlink"/>
            <w:rFonts w:asciiTheme="minorHAnsi" w:hAnsiTheme="minorHAnsi"/>
            <w:lang w:eastAsia="en-AU"/>
          </w:rPr>
          <w:t>http://www.unido.org/fileadmin/user_media/Services/Environmental_Management/Stockholm_Convention/Guidance_Docs/UNEP-</w:t>
        </w:r>
        <w:r w:rsidR="00374225">
          <w:rPr>
            <w:rStyle w:val="Hyperlink"/>
            <w:rFonts w:asciiTheme="minorHAnsi" w:hAnsiTheme="minorHAnsi"/>
            <w:lang w:eastAsia="en-AU"/>
          </w:rPr>
          <w:t>POP</w:t>
        </w:r>
        <w:r>
          <w:rPr>
            <w:rStyle w:val="Hyperlink"/>
            <w:rFonts w:asciiTheme="minorHAnsi" w:hAnsiTheme="minorHAnsi"/>
            <w:lang w:eastAsia="en-AU"/>
          </w:rPr>
          <w:t>-GUID-NIP-2012-PBDEs-Inventory.En.pdf</w:t>
        </w:r>
      </w:hyperlink>
      <w:r>
        <w:rPr>
          <w:rFonts w:asciiTheme="minorHAnsi" w:hAnsiTheme="minorHAnsi" w:cs="Times New Roman"/>
          <w:color w:val="000000"/>
          <w:lang w:eastAsia="en-AU"/>
        </w:rPr>
        <w:t xml:space="preserve"> </w:t>
      </w:r>
    </w:p>
    <w:p w14:paraId="4907AD23" w14:textId="2EF62F7A" w:rsidR="0023197E" w:rsidRPr="00100F0A" w:rsidRDefault="00887A1F" w:rsidP="002D3048">
      <w:pPr>
        <w:pStyle w:val="BodyText"/>
      </w:pPr>
      <w:r>
        <w:rPr>
          <w:rFonts w:asciiTheme="minorHAnsi" w:hAnsiTheme="minorHAnsi" w:cs="Times New Roman"/>
          <w:color w:val="000000"/>
          <w:lang w:eastAsia="en-AU"/>
        </w:rPr>
        <w:t xml:space="preserve">WB (2017) </w:t>
      </w:r>
      <w:r>
        <w:rPr>
          <w:rFonts w:asciiTheme="minorHAnsi" w:hAnsiTheme="minorHAnsi" w:cs="Times New Roman"/>
          <w:i/>
          <w:color w:val="000000"/>
          <w:lang w:eastAsia="en-AU"/>
        </w:rPr>
        <w:t>World Bank Zinc Price Forecast</w:t>
      </w:r>
      <w:r>
        <w:rPr>
          <w:rFonts w:asciiTheme="minorHAnsi" w:hAnsiTheme="minorHAnsi" w:cs="Times New Roman"/>
          <w:color w:val="000000"/>
          <w:lang w:eastAsia="en-AU"/>
        </w:rPr>
        <w:t xml:space="preserve">, available at: </w:t>
      </w:r>
      <w:hyperlink r:id="rId141" w:history="1">
        <w:r>
          <w:rPr>
            <w:rStyle w:val="Hyperlink"/>
            <w:rFonts w:asciiTheme="minorHAnsi" w:hAnsiTheme="minorHAnsi"/>
            <w:lang w:eastAsia="en-AU"/>
          </w:rPr>
          <w:t>https://knoema.com/ftmgyvg/zinc-prices-forecast-long-term-2017-to-2030-data-and-charts</w:t>
        </w:r>
      </w:hyperlink>
      <w:r>
        <w:rPr>
          <w:rFonts w:asciiTheme="minorHAnsi" w:hAnsiTheme="minorHAnsi" w:cs="Times New Roman"/>
          <w:color w:val="000000"/>
          <w:lang w:eastAsia="en-AU"/>
        </w:rPr>
        <w:t xml:space="preserve"> </w:t>
      </w:r>
    </w:p>
    <w:p w14:paraId="491E6557" w14:textId="77777777" w:rsidR="001E0333" w:rsidRPr="00100F0A" w:rsidRDefault="001E0333" w:rsidP="002D3048">
      <w:pPr>
        <w:pStyle w:val="BodyText"/>
        <w:sectPr w:rsidR="001E0333" w:rsidRPr="00100F0A" w:rsidSect="00F804F3">
          <w:headerReference w:type="even" r:id="rId142"/>
          <w:footerReference w:type="even" r:id="rId143"/>
          <w:headerReference w:type="first" r:id="rId144"/>
          <w:footerReference w:type="first" r:id="rId145"/>
          <w:pgSz w:w="11906" w:h="16838" w:code="9"/>
          <w:pgMar w:top="1440" w:right="1077" w:bottom="1440" w:left="1797" w:header="709" w:footer="454" w:gutter="0"/>
          <w:cols w:space="708"/>
          <w:docGrid w:linePitch="360"/>
        </w:sectPr>
      </w:pPr>
    </w:p>
    <w:p w14:paraId="468A051C" w14:textId="645FC53B" w:rsidR="00437FF2" w:rsidRPr="00100F0A" w:rsidRDefault="00437FF2" w:rsidP="002D3048">
      <w:pPr>
        <w:pStyle w:val="BodyText"/>
      </w:pPr>
    </w:p>
    <w:tbl>
      <w:tblPr>
        <w:tblStyle w:val="TableGrid"/>
        <w:tblW w:w="8931" w:type="dxa"/>
        <w:tblInd w:w="340" w:type="dxa"/>
        <w:tblBorders>
          <w:top w:val="none" w:sz="0" w:space="0" w:color="auto"/>
          <w:left w:val="single" w:sz="24" w:space="0" w:color="C7C7C7"/>
          <w:bottom w:val="none" w:sz="0" w:space="0" w:color="auto"/>
          <w:right w:val="none" w:sz="0" w:space="0" w:color="auto"/>
          <w:insideH w:val="none" w:sz="0" w:space="0" w:color="auto"/>
          <w:insideV w:val="none" w:sz="0" w:space="0" w:color="auto"/>
        </w:tblBorders>
        <w:tblLayout w:type="fixed"/>
        <w:tblCellMar>
          <w:left w:w="340" w:type="dxa"/>
          <w:right w:w="0" w:type="dxa"/>
        </w:tblCellMar>
        <w:tblLook w:val="04A0" w:firstRow="1" w:lastRow="0" w:firstColumn="1" w:lastColumn="0" w:noHBand="0" w:noVBand="1"/>
      </w:tblPr>
      <w:tblGrid>
        <w:gridCol w:w="8931"/>
      </w:tblGrid>
      <w:tr w:rsidR="004C1D5F" w:rsidRPr="00100F0A" w14:paraId="053DF3EC" w14:textId="77777777" w:rsidTr="00940D53">
        <w:trPr>
          <w:cantSplit/>
          <w:trHeight w:hRule="exact" w:val="3798"/>
        </w:trPr>
        <w:tc>
          <w:tcPr>
            <w:tcW w:w="8931" w:type="dxa"/>
            <w:tcBorders>
              <w:left w:val="nil"/>
            </w:tcBorders>
          </w:tcPr>
          <w:p w14:paraId="37F2E481" w14:textId="77777777" w:rsidR="004C1D5F" w:rsidRPr="00100F0A" w:rsidRDefault="004C1D5F" w:rsidP="0071690A">
            <w:pPr>
              <w:pStyle w:val="BodyText"/>
            </w:pPr>
          </w:p>
          <w:p w14:paraId="7C3500D3" w14:textId="77777777" w:rsidR="00FE192D" w:rsidRPr="00100F0A" w:rsidRDefault="00FE192D" w:rsidP="00304F93">
            <w:pPr>
              <w:pStyle w:val="BodyText"/>
            </w:pPr>
          </w:p>
          <w:p w14:paraId="186DA84C" w14:textId="77777777" w:rsidR="00437FF2" w:rsidRPr="00100F0A" w:rsidRDefault="00437FF2" w:rsidP="00304F93">
            <w:pPr>
              <w:pStyle w:val="BodyText"/>
            </w:pPr>
          </w:p>
          <w:p w14:paraId="41DE3903" w14:textId="77777777" w:rsidR="00FE192D" w:rsidRPr="00100F0A" w:rsidRDefault="00FE192D" w:rsidP="00FE192D"/>
        </w:tc>
      </w:tr>
      <w:tr w:rsidR="00586128" w:rsidRPr="00100F0A" w14:paraId="44136D30" w14:textId="77777777" w:rsidTr="00940D53">
        <w:trPr>
          <w:cantSplit/>
          <w:trHeight w:val="1701"/>
        </w:trPr>
        <w:tc>
          <w:tcPr>
            <w:tcW w:w="8931" w:type="dxa"/>
            <w:vAlign w:val="center"/>
          </w:tcPr>
          <w:p w14:paraId="34C35151" w14:textId="08F86DF9" w:rsidR="00586128" w:rsidRPr="00100F0A" w:rsidRDefault="00E6248F" w:rsidP="00B145AC">
            <w:pPr>
              <w:pStyle w:val="AppendixHeading"/>
              <w:tabs>
                <w:tab w:val="left" w:pos="1735"/>
              </w:tabs>
              <w:ind w:left="1735" w:hanging="1735"/>
            </w:pPr>
            <w:bookmarkStart w:id="466" w:name="_Toc13182562"/>
            <w:r w:rsidRPr="00100F0A">
              <w:t>Wastes that are tracked in tracking systems</w:t>
            </w:r>
            <w:bookmarkEnd w:id="466"/>
          </w:p>
        </w:tc>
      </w:tr>
    </w:tbl>
    <w:p w14:paraId="38509F55" w14:textId="77777777" w:rsidR="004C1D5F" w:rsidRPr="00100F0A" w:rsidRDefault="004C1D5F" w:rsidP="00586128"/>
    <w:p w14:paraId="27FB26BE" w14:textId="77777777" w:rsidR="00C74E4C" w:rsidRPr="00100F0A" w:rsidRDefault="00C74E4C" w:rsidP="004C1D5F"/>
    <w:p w14:paraId="440FC7D8" w14:textId="77777777" w:rsidR="00E53026" w:rsidRPr="00100F0A" w:rsidRDefault="00E53026" w:rsidP="004C1D5F"/>
    <w:p w14:paraId="3D725E69" w14:textId="77777777" w:rsidR="00E53026" w:rsidRPr="00100F0A" w:rsidRDefault="00E53026" w:rsidP="004C1D5F"/>
    <w:p w14:paraId="0191537C" w14:textId="77777777" w:rsidR="00E53026" w:rsidRPr="00100F0A" w:rsidRDefault="00E53026" w:rsidP="004C1D5F"/>
    <w:p w14:paraId="0AA0CF9A" w14:textId="77777777" w:rsidR="00E53026" w:rsidRPr="00100F0A" w:rsidRDefault="00E53026" w:rsidP="004C1D5F"/>
    <w:p w14:paraId="4760028E" w14:textId="77777777" w:rsidR="00E53026" w:rsidRPr="00100F0A" w:rsidRDefault="00E53026" w:rsidP="004C1D5F"/>
    <w:p w14:paraId="7130972C" w14:textId="77777777" w:rsidR="00E53026" w:rsidRPr="00100F0A" w:rsidRDefault="00E53026" w:rsidP="004C1D5F"/>
    <w:p w14:paraId="3FE57B76" w14:textId="77777777" w:rsidR="00E53026" w:rsidRPr="00100F0A" w:rsidRDefault="00E53026" w:rsidP="004C1D5F"/>
    <w:p w14:paraId="575B0438" w14:textId="77777777" w:rsidR="00E53026" w:rsidRPr="00100F0A" w:rsidRDefault="00E53026" w:rsidP="004C1D5F"/>
    <w:p w14:paraId="61BF14D3" w14:textId="77777777" w:rsidR="00E53026" w:rsidRPr="00100F0A" w:rsidRDefault="00E53026" w:rsidP="004C1D5F"/>
    <w:p w14:paraId="53E45CC9" w14:textId="77777777" w:rsidR="00E53026" w:rsidRPr="00100F0A" w:rsidRDefault="00E53026" w:rsidP="004C1D5F"/>
    <w:p w14:paraId="75FD1024" w14:textId="77777777" w:rsidR="00E53026" w:rsidRPr="00100F0A" w:rsidRDefault="00E53026" w:rsidP="004C1D5F"/>
    <w:p w14:paraId="133D68CE" w14:textId="77777777" w:rsidR="00E53026" w:rsidRPr="00100F0A" w:rsidRDefault="00E53026" w:rsidP="004C1D5F"/>
    <w:p w14:paraId="7AE51D3D" w14:textId="77777777" w:rsidR="00E53026" w:rsidRPr="00100F0A" w:rsidRDefault="00E53026" w:rsidP="004C1D5F"/>
    <w:p w14:paraId="034BF4A4" w14:textId="77777777" w:rsidR="00E53026" w:rsidRPr="00100F0A" w:rsidRDefault="00E53026" w:rsidP="004C1D5F"/>
    <w:p w14:paraId="36CD5F8B" w14:textId="77777777" w:rsidR="00E53026" w:rsidRPr="00100F0A" w:rsidRDefault="00E53026" w:rsidP="004C1D5F"/>
    <w:p w14:paraId="7E21FB30" w14:textId="77777777" w:rsidR="00E53026" w:rsidRPr="00100F0A" w:rsidRDefault="00E53026" w:rsidP="004C1D5F"/>
    <w:p w14:paraId="51546CA4" w14:textId="77777777" w:rsidR="00E53026" w:rsidRPr="00100F0A" w:rsidRDefault="00E53026" w:rsidP="004C1D5F"/>
    <w:p w14:paraId="47EB4AEC" w14:textId="77777777" w:rsidR="00E53026" w:rsidRPr="00100F0A" w:rsidRDefault="00E53026" w:rsidP="004C1D5F"/>
    <w:p w14:paraId="09B990DA" w14:textId="77777777" w:rsidR="00E53026" w:rsidRPr="00100F0A" w:rsidRDefault="00E53026" w:rsidP="004C1D5F"/>
    <w:p w14:paraId="46EE614C" w14:textId="77777777" w:rsidR="00E53026" w:rsidRPr="00100F0A" w:rsidRDefault="00E53026" w:rsidP="004C1D5F"/>
    <w:p w14:paraId="191AA6F4" w14:textId="77777777" w:rsidR="00E53026" w:rsidRPr="00100F0A" w:rsidRDefault="00E53026" w:rsidP="004C1D5F"/>
    <w:p w14:paraId="09CB4C17" w14:textId="2D504745" w:rsidR="00E53026" w:rsidRPr="00100F0A" w:rsidRDefault="00E53026" w:rsidP="004C1D5F"/>
    <w:p w14:paraId="7BCAF0AA" w14:textId="337F985A" w:rsidR="008365F5" w:rsidRPr="00100F0A" w:rsidRDefault="008365F5" w:rsidP="004C1D5F"/>
    <w:p w14:paraId="4104926E" w14:textId="677268B7" w:rsidR="008365F5" w:rsidRPr="00100F0A" w:rsidRDefault="008365F5" w:rsidP="004C1D5F"/>
    <w:p w14:paraId="2B281DC2" w14:textId="3D0A56D2" w:rsidR="008365F5" w:rsidRPr="00100F0A" w:rsidRDefault="008365F5" w:rsidP="004C1D5F"/>
    <w:p w14:paraId="50B18ABC" w14:textId="77777777" w:rsidR="008365F5" w:rsidRPr="00100F0A" w:rsidRDefault="008365F5" w:rsidP="004C1D5F"/>
    <w:p w14:paraId="51039CE5" w14:textId="77777777" w:rsidR="00E53026" w:rsidRPr="00100F0A" w:rsidRDefault="00E53026" w:rsidP="004C1D5F"/>
    <w:p w14:paraId="2799884D" w14:textId="77777777" w:rsidR="00E53026" w:rsidRPr="00100F0A" w:rsidRDefault="00E53026" w:rsidP="004C1D5F"/>
    <w:p w14:paraId="78AE1340" w14:textId="77777777" w:rsidR="00E53026" w:rsidRPr="00100F0A" w:rsidRDefault="00E53026" w:rsidP="004C1D5F"/>
    <w:p w14:paraId="77A10387" w14:textId="3A4FA867" w:rsidR="00E53026" w:rsidRPr="00100F0A" w:rsidRDefault="00E6248F" w:rsidP="00E53026">
      <w:pPr>
        <w:pStyle w:val="BodyText"/>
      </w:pPr>
      <w:r w:rsidRPr="00100F0A">
        <w:rPr>
          <w:noProof/>
          <w:lang w:eastAsia="en-AU"/>
        </w:rPr>
        <w:drawing>
          <wp:anchor distT="0" distB="0" distL="114300" distR="114300" simplePos="0" relativeHeight="251652608" behindDoc="0" locked="0" layoutInCell="1" allowOverlap="1" wp14:anchorId="77113A91" wp14:editId="7CF648BA">
            <wp:simplePos x="0" y="0"/>
            <wp:positionH relativeFrom="margin">
              <wp:align>left</wp:align>
            </wp:positionH>
            <wp:positionV relativeFrom="paragraph">
              <wp:posOffset>349885</wp:posOffset>
            </wp:positionV>
            <wp:extent cx="5694680" cy="8101965"/>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6" cstate="print">
                      <a:extLst>
                        <a:ext uri="{28A0092B-C50C-407E-A947-70E740481C1C}">
                          <a14:useLocalDpi xmlns:a14="http://schemas.microsoft.com/office/drawing/2010/main" val="0"/>
                        </a:ext>
                      </a:extLst>
                    </a:blip>
                    <a:srcRect/>
                    <a:stretch/>
                  </pic:blipFill>
                  <pic:spPr bwMode="auto">
                    <a:xfrm>
                      <a:off x="0" y="0"/>
                      <a:ext cx="5694680" cy="8101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3026" w:rsidRPr="00100F0A">
        <w:t>The following diagram shows wastes that are not tracked in intra-state tracking systems by states that run such systems</w:t>
      </w:r>
      <w:r w:rsidRPr="00100F0A">
        <w:t>.</w:t>
      </w:r>
      <w:r w:rsidR="004F1B1F">
        <w:t xml:space="preserve"> </w:t>
      </w:r>
      <w:r w:rsidR="00830EC4">
        <w:t xml:space="preserve">Emerging </w:t>
      </w:r>
      <w:r w:rsidR="004F1B1F">
        <w:t xml:space="preserve">wastes </w:t>
      </w:r>
      <w:r w:rsidR="00830EC4">
        <w:t xml:space="preserve">such as </w:t>
      </w:r>
      <w:r w:rsidR="004F1B1F">
        <w:t>Li-ion batteries are not yet tracked by any jurisdiction.</w:t>
      </w:r>
    </w:p>
    <w:p w14:paraId="0D0BE130" w14:textId="1BCAAE5B" w:rsidR="008365F5" w:rsidRPr="00100F0A" w:rsidRDefault="008365F5" w:rsidP="00E53026">
      <w:pPr>
        <w:pStyle w:val="BodyText"/>
      </w:pPr>
    </w:p>
    <w:p w14:paraId="498F8A36" w14:textId="22B61974" w:rsidR="008365F5" w:rsidRPr="00100F0A" w:rsidRDefault="008365F5" w:rsidP="00E53026">
      <w:pPr>
        <w:pStyle w:val="BodyText"/>
      </w:pPr>
    </w:p>
    <w:tbl>
      <w:tblPr>
        <w:tblStyle w:val="TableGrid"/>
        <w:tblW w:w="8931" w:type="dxa"/>
        <w:tblInd w:w="340" w:type="dxa"/>
        <w:tblBorders>
          <w:top w:val="none" w:sz="0" w:space="0" w:color="auto"/>
          <w:left w:val="single" w:sz="24" w:space="0" w:color="C7C7C7"/>
          <w:bottom w:val="none" w:sz="0" w:space="0" w:color="auto"/>
          <w:right w:val="none" w:sz="0" w:space="0" w:color="auto"/>
          <w:insideH w:val="none" w:sz="0" w:space="0" w:color="auto"/>
          <w:insideV w:val="none" w:sz="0" w:space="0" w:color="auto"/>
        </w:tblBorders>
        <w:tblLayout w:type="fixed"/>
        <w:tblCellMar>
          <w:left w:w="340" w:type="dxa"/>
          <w:right w:w="0" w:type="dxa"/>
        </w:tblCellMar>
        <w:tblLook w:val="04A0" w:firstRow="1" w:lastRow="0" w:firstColumn="1" w:lastColumn="0" w:noHBand="0" w:noVBand="1"/>
      </w:tblPr>
      <w:tblGrid>
        <w:gridCol w:w="8931"/>
      </w:tblGrid>
      <w:tr w:rsidR="00052973" w:rsidRPr="00100F0A" w14:paraId="37610AFE" w14:textId="77777777" w:rsidTr="00667E7A">
        <w:trPr>
          <w:cantSplit/>
          <w:trHeight w:hRule="exact" w:val="3798"/>
        </w:trPr>
        <w:tc>
          <w:tcPr>
            <w:tcW w:w="8931" w:type="dxa"/>
            <w:tcBorders>
              <w:left w:val="nil"/>
            </w:tcBorders>
          </w:tcPr>
          <w:p w14:paraId="0F674DA7" w14:textId="77777777" w:rsidR="00052973" w:rsidRPr="00100F0A" w:rsidRDefault="00052973" w:rsidP="00667E7A">
            <w:pPr>
              <w:pStyle w:val="BodyText"/>
            </w:pPr>
          </w:p>
          <w:p w14:paraId="091AAA28" w14:textId="77777777" w:rsidR="00052973" w:rsidRPr="00100F0A" w:rsidRDefault="00052973" w:rsidP="00667E7A">
            <w:pPr>
              <w:pStyle w:val="BodyText"/>
            </w:pPr>
          </w:p>
          <w:p w14:paraId="5EFE73A1" w14:textId="77777777" w:rsidR="00052973" w:rsidRPr="00100F0A" w:rsidRDefault="00052973" w:rsidP="00667E7A">
            <w:pPr>
              <w:pStyle w:val="BodyText"/>
            </w:pPr>
          </w:p>
          <w:p w14:paraId="62A6E30B" w14:textId="77777777" w:rsidR="00052973" w:rsidRPr="00100F0A" w:rsidRDefault="00052973" w:rsidP="00667E7A"/>
        </w:tc>
      </w:tr>
      <w:tr w:rsidR="00052973" w:rsidRPr="00100F0A" w14:paraId="1ED99D7D" w14:textId="77777777" w:rsidTr="00667E7A">
        <w:trPr>
          <w:cantSplit/>
          <w:trHeight w:val="1701"/>
        </w:trPr>
        <w:tc>
          <w:tcPr>
            <w:tcW w:w="8931" w:type="dxa"/>
            <w:vAlign w:val="center"/>
          </w:tcPr>
          <w:p w14:paraId="20EF7EA1" w14:textId="5079F9C4" w:rsidR="00052973" w:rsidRPr="00100F0A" w:rsidRDefault="00052973" w:rsidP="00667E7A">
            <w:pPr>
              <w:pStyle w:val="AppendixHeading"/>
              <w:tabs>
                <w:tab w:val="left" w:pos="1735"/>
              </w:tabs>
              <w:ind w:left="1735" w:hanging="1735"/>
            </w:pPr>
            <w:bookmarkStart w:id="467" w:name="_Toc13182563"/>
            <w:r w:rsidRPr="00100F0A">
              <w:t>NEPM 75 codes links to waste groups</w:t>
            </w:r>
            <w:bookmarkEnd w:id="467"/>
          </w:p>
        </w:tc>
      </w:tr>
    </w:tbl>
    <w:p w14:paraId="3EFB36D4" w14:textId="46734BFD" w:rsidR="008365F5" w:rsidRPr="00100F0A" w:rsidRDefault="008365F5" w:rsidP="00E53026">
      <w:pPr>
        <w:pStyle w:val="BodyText"/>
      </w:pPr>
    </w:p>
    <w:p w14:paraId="5037151B" w14:textId="6C3191BC" w:rsidR="008365F5" w:rsidRPr="00100F0A" w:rsidRDefault="008365F5" w:rsidP="00E53026">
      <w:pPr>
        <w:pStyle w:val="BodyText"/>
      </w:pPr>
    </w:p>
    <w:p w14:paraId="44B0CCD6" w14:textId="4DAF0B2D" w:rsidR="008365F5" w:rsidRPr="00100F0A" w:rsidRDefault="008365F5" w:rsidP="00E53026">
      <w:pPr>
        <w:pStyle w:val="BodyText"/>
      </w:pPr>
    </w:p>
    <w:p w14:paraId="4F4CAA98" w14:textId="4B395C9D" w:rsidR="008365F5" w:rsidRPr="00100F0A" w:rsidRDefault="008365F5" w:rsidP="00E53026">
      <w:pPr>
        <w:pStyle w:val="BodyText"/>
      </w:pPr>
    </w:p>
    <w:p w14:paraId="72A2D33E" w14:textId="6B8ED40D" w:rsidR="008365F5" w:rsidRPr="00100F0A" w:rsidRDefault="008365F5" w:rsidP="00E53026">
      <w:pPr>
        <w:pStyle w:val="BodyText"/>
      </w:pPr>
    </w:p>
    <w:p w14:paraId="6169F187" w14:textId="3863BD28" w:rsidR="008365F5" w:rsidRPr="00100F0A" w:rsidRDefault="008365F5" w:rsidP="00E53026">
      <w:pPr>
        <w:pStyle w:val="BodyText"/>
      </w:pPr>
    </w:p>
    <w:p w14:paraId="655C7DB2" w14:textId="284F1186" w:rsidR="008365F5" w:rsidRPr="00100F0A" w:rsidRDefault="008365F5" w:rsidP="00E53026">
      <w:pPr>
        <w:pStyle w:val="BodyText"/>
      </w:pPr>
    </w:p>
    <w:p w14:paraId="7C5FFED1" w14:textId="09BFA086" w:rsidR="008365F5" w:rsidRPr="00100F0A" w:rsidRDefault="008365F5" w:rsidP="00E53026">
      <w:pPr>
        <w:pStyle w:val="BodyText"/>
      </w:pPr>
    </w:p>
    <w:p w14:paraId="177DED41" w14:textId="1D7B8454" w:rsidR="008365F5" w:rsidRPr="00100F0A" w:rsidRDefault="008365F5" w:rsidP="00E53026">
      <w:pPr>
        <w:pStyle w:val="BodyText"/>
      </w:pPr>
    </w:p>
    <w:p w14:paraId="26903BAC" w14:textId="064DEEF5" w:rsidR="00052973" w:rsidRPr="00100F0A" w:rsidRDefault="00052973" w:rsidP="00E53026">
      <w:pPr>
        <w:pStyle w:val="BodyText"/>
      </w:pPr>
    </w:p>
    <w:p w14:paraId="76D4ECB1" w14:textId="61892B46" w:rsidR="00052973" w:rsidRPr="00100F0A" w:rsidRDefault="00052973" w:rsidP="00E53026">
      <w:pPr>
        <w:pStyle w:val="BodyText"/>
      </w:pPr>
    </w:p>
    <w:p w14:paraId="664E08B3" w14:textId="5AB0A6EC" w:rsidR="00052973" w:rsidRPr="00100F0A" w:rsidRDefault="00052973" w:rsidP="00E53026">
      <w:pPr>
        <w:pStyle w:val="BodyText"/>
      </w:pPr>
    </w:p>
    <w:p w14:paraId="46009B27" w14:textId="204D04D5" w:rsidR="00052973" w:rsidRPr="00100F0A" w:rsidRDefault="00052973" w:rsidP="00E53026">
      <w:pPr>
        <w:pStyle w:val="BodyText"/>
      </w:pPr>
    </w:p>
    <w:p w14:paraId="45BF14CE" w14:textId="4E8DE9DE" w:rsidR="00052973" w:rsidRPr="00100F0A" w:rsidRDefault="00052973" w:rsidP="00E53026">
      <w:pPr>
        <w:pStyle w:val="BodyText"/>
      </w:pPr>
    </w:p>
    <w:p w14:paraId="3551CAFB" w14:textId="1DE4D727" w:rsidR="00052973" w:rsidRPr="00100F0A" w:rsidRDefault="00052973" w:rsidP="00E53026">
      <w:pPr>
        <w:pStyle w:val="BodyText"/>
      </w:pPr>
    </w:p>
    <w:p w14:paraId="6F1EB015" w14:textId="07560952" w:rsidR="00052973" w:rsidRPr="00100F0A" w:rsidRDefault="00052973" w:rsidP="00E53026">
      <w:pPr>
        <w:pStyle w:val="BodyText"/>
      </w:pPr>
    </w:p>
    <w:p w14:paraId="0AB053A7" w14:textId="2985DE60" w:rsidR="00052973" w:rsidRPr="00100F0A" w:rsidRDefault="00052973" w:rsidP="00E53026">
      <w:pPr>
        <w:pStyle w:val="BodyText"/>
      </w:pPr>
    </w:p>
    <w:p w14:paraId="0FB0BEE7" w14:textId="0A9855F9" w:rsidR="00052973" w:rsidRPr="00100F0A" w:rsidRDefault="00052973" w:rsidP="00E53026">
      <w:pPr>
        <w:pStyle w:val="BodyText"/>
      </w:pPr>
    </w:p>
    <w:p w14:paraId="1126F1D3" w14:textId="1E17E041" w:rsidR="00052973" w:rsidRPr="00100F0A" w:rsidRDefault="00052973" w:rsidP="00E53026">
      <w:pPr>
        <w:pStyle w:val="BodyText"/>
      </w:pPr>
    </w:p>
    <w:p w14:paraId="1502E4B9" w14:textId="2B0D4F25" w:rsidR="00052973" w:rsidRPr="00100F0A" w:rsidRDefault="00052973" w:rsidP="00E53026">
      <w:pPr>
        <w:pStyle w:val="BodyText"/>
      </w:pPr>
    </w:p>
    <w:p w14:paraId="38A21249" w14:textId="3CA45E2D" w:rsidR="00052973" w:rsidRPr="00100F0A" w:rsidRDefault="00052973" w:rsidP="00E53026">
      <w:pPr>
        <w:pStyle w:val="BodyText"/>
      </w:pPr>
    </w:p>
    <w:p w14:paraId="08BDAE28" w14:textId="6FCEE4C8" w:rsidR="00052973" w:rsidRPr="00100F0A" w:rsidRDefault="00052973" w:rsidP="00E53026">
      <w:pPr>
        <w:pStyle w:val="BodyText"/>
      </w:pPr>
    </w:p>
    <w:p w14:paraId="6F2BCBF5" w14:textId="7E3C6738" w:rsidR="00052973" w:rsidRPr="00100F0A" w:rsidRDefault="00052973" w:rsidP="00E53026">
      <w:pPr>
        <w:pStyle w:val="BodyText"/>
      </w:pPr>
    </w:p>
    <w:p w14:paraId="6E50BADD" w14:textId="2A1DA34D" w:rsidR="00052973" w:rsidRPr="00100F0A" w:rsidRDefault="00052973" w:rsidP="00E53026">
      <w:pPr>
        <w:pStyle w:val="BodyText"/>
      </w:pPr>
    </w:p>
    <w:p w14:paraId="4E0E93EB" w14:textId="204D7B22" w:rsidR="00052973" w:rsidRPr="00100F0A" w:rsidRDefault="00052973" w:rsidP="00E53026">
      <w:pPr>
        <w:pStyle w:val="BodyText"/>
      </w:pPr>
    </w:p>
    <w:p w14:paraId="57799C3F" w14:textId="6F6BEF01" w:rsidR="00052973" w:rsidRPr="00100F0A" w:rsidRDefault="00052973" w:rsidP="00E53026">
      <w:pPr>
        <w:pStyle w:val="BodyText"/>
      </w:pPr>
    </w:p>
    <w:p w14:paraId="1ABCFC91" w14:textId="5F31FC3F" w:rsidR="00052973" w:rsidRPr="00100F0A" w:rsidRDefault="00052973" w:rsidP="00E53026">
      <w:pPr>
        <w:pStyle w:val="BodyText"/>
      </w:pPr>
    </w:p>
    <w:p w14:paraId="1BA6F839" w14:textId="6F8D556E" w:rsidR="00052973" w:rsidRPr="00100F0A" w:rsidRDefault="00052973" w:rsidP="00E53026">
      <w:pPr>
        <w:pStyle w:val="BodyText"/>
      </w:pPr>
    </w:p>
    <w:p w14:paraId="1C135C0B" w14:textId="2DBEC7DF" w:rsidR="00052973" w:rsidRPr="00100F0A" w:rsidRDefault="00052973" w:rsidP="00E53026">
      <w:pPr>
        <w:pStyle w:val="BodyText"/>
      </w:pPr>
    </w:p>
    <w:p w14:paraId="0B06807E" w14:textId="137C2A62" w:rsidR="00052973" w:rsidRPr="00100F0A" w:rsidRDefault="00052973" w:rsidP="00E53026">
      <w:pPr>
        <w:pStyle w:val="BodyText"/>
      </w:pPr>
    </w:p>
    <w:p w14:paraId="1D72A574" w14:textId="5242214A" w:rsidR="00052973" w:rsidRPr="00100F0A" w:rsidRDefault="00052973" w:rsidP="00E53026">
      <w:pPr>
        <w:pStyle w:val="BodyText"/>
      </w:pPr>
    </w:p>
    <w:tbl>
      <w:tblPr>
        <w:tblW w:w="4914" w:type="pct"/>
        <w:tblLayout w:type="fixed"/>
        <w:tblLook w:val="04A0" w:firstRow="1" w:lastRow="0" w:firstColumn="1" w:lastColumn="0" w:noHBand="0" w:noVBand="1"/>
      </w:tblPr>
      <w:tblGrid>
        <w:gridCol w:w="807"/>
        <w:gridCol w:w="4975"/>
        <w:gridCol w:w="1015"/>
        <w:gridCol w:w="1706"/>
        <w:gridCol w:w="543"/>
      </w:tblGrid>
      <w:tr w:rsidR="00052973" w:rsidRPr="00100F0A" w14:paraId="50BAC75B" w14:textId="77777777" w:rsidTr="00052973">
        <w:trPr>
          <w:trHeight w:val="285"/>
          <w:tblHeader/>
        </w:trPr>
        <w:tc>
          <w:tcPr>
            <w:tcW w:w="446" w:type="pct"/>
            <w:tcBorders>
              <w:top w:val="single" w:sz="4" w:space="0" w:color="auto"/>
              <w:left w:val="single" w:sz="4" w:space="0" w:color="auto"/>
              <w:bottom w:val="single" w:sz="12" w:space="0" w:color="000000"/>
              <w:right w:val="nil"/>
            </w:tcBorders>
            <w:shd w:val="clear" w:color="000000" w:fill="F2F2F2"/>
            <w:noWrap/>
            <w:vAlign w:val="bottom"/>
            <w:hideMark/>
          </w:tcPr>
          <w:p w14:paraId="4C0D59F5" w14:textId="77777777" w:rsidR="00052973" w:rsidRPr="00100F0A" w:rsidRDefault="00052973" w:rsidP="00052973">
            <w:pPr>
              <w:rPr>
                <w:rFonts w:eastAsia="Times New Roman" w:cs="Calibri"/>
                <w:b/>
                <w:bCs/>
                <w:color w:val="000000"/>
                <w:sz w:val="20"/>
                <w:szCs w:val="20"/>
                <w:lang w:eastAsia="en-AU"/>
              </w:rPr>
            </w:pPr>
            <w:r w:rsidRPr="00100F0A">
              <w:rPr>
                <w:rFonts w:eastAsia="Times New Roman" w:cs="Calibri"/>
                <w:b/>
                <w:bCs/>
                <w:color w:val="000000"/>
                <w:sz w:val="20"/>
                <w:szCs w:val="20"/>
                <w:lang w:eastAsia="en-AU"/>
              </w:rPr>
              <w:t>NEPM code</w:t>
            </w:r>
          </w:p>
        </w:tc>
        <w:tc>
          <w:tcPr>
            <w:tcW w:w="2750" w:type="pct"/>
            <w:tcBorders>
              <w:top w:val="single" w:sz="4" w:space="0" w:color="auto"/>
              <w:left w:val="nil"/>
              <w:bottom w:val="single" w:sz="12" w:space="0" w:color="000000"/>
              <w:right w:val="nil"/>
            </w:tcBorders>
            <w:shd w:val="clear" w:color="000000" w:fill="F2F2F2"/>
            <w:noWrap/>
            <w:vAlign w:val="bottom"/>
            <w:hideMark/>
          </w:tcPr>
          <w:p w14:paraId="3740DECD" w14:textId="77777777" w:rsidR="00052973" w:rsidRPr="00100F0A" w:rsidRDefault="00052973" w:rsidP="00052973">
            <w:pPr>
              <w:rPr>
                <w:rFonts w:eastAsia="Times New Roman" w:cs="Calibri"/>
                <w:b/>
                <w:bCs/>
                <w:color w:val="000000"/>
                <w:sz w:val="20"/>
                <w:szCs w:val="20"/>
                <w:lang w:eastAsia="en-AU"/>
              </w:rPr>
            </w:pPr>
            <w:r w:rsidRPr="00100F0A">
              <w:rPr>
                <w:rFonts w:eastAsia="Times New Roman" w:cs="Calibri"/>
                <w:b/>
                <w:bCs/>
                <w:color w:val="000000"/>
                <w:sz w:val="20"/>
                <w:szCs w:val="20"/>
                <w:lang w:eastAsia="en-AU"/>
              </w:rPr>
              <w:t>NEPM waste description</w:t>
            </w:r>
          </w:p>
        </w:tc>
        <w:tc>
          <w:tcPr>
            <w:tcW w:w="561" w:type="pct"/>
            <w:tcBorders>
              <w:top w:val="single" w:sz="4" w:space="0" w:color="auto"/>
              <w:left w:val="nil"/>
              <w:bottom w:val="single" w:sz="12" w:space="0" w:color="000000"/>
              <w:right w:val="nil"/>
            </w:tcBorders>
            <w:shd w:val="clear" w:color="000000" w:fill="F2F2F2"/>
            <w:noWrap/>
            <w:vAlign w:val="bottom"/>
            <w:hideMark/>
          </w:tcPr>
          <w:p w14:paraId="4EB02D4C" w14:textId="77777777" w:rsidR="00052973" w:rsidRPr="00100F0A" w:rsidRDefault="00052973" w:rsidP="00052973">
            <w:pPr>
              <w:rPr>
                <w:rFonts w:eastAsia="Times New Roman" w:cs="Calibri"/>
                <w:b/>
                <w:bCs/>
                <w:color w:val="000000"/>
                <w:sz w:val="20"/>
                <w:szCs w:val="20"/>
                <w:lang w:eastAsia="en-AU"/>
              </w:rPr>
            </w:pPr>
            <w:r w:rsidRPr="00100F0A">
              <w:rPr>
                <w:rFonts w:eastAsia="Times New Roman" w:cs="Calibri"/>
                <w:b/>
                <w:bCs/>
                <w:color w:val="000000"/>
                <w:sz w:val="20"/>
                <w:szCs w:val="20"/>
                <w:lang w:eastAsia="en-AU"/>
              </w:rPr>
              <w:t>Waste group</w:t>
            </w:r>
          </w:p>
        </w:tc>
        <w:tc>
          <w:tcPr>
            <w:tcW w:w="943" w:type="pct"/>
            <w:tcBorders>
              <w:top w:val="single" w:sz="4" w:space="0" w:color="auto"/>
              <w:left w:val="nil"/>
              <w:bottom w:val="nil"/>
              <w:right w:val="nil"/>
            </w:tcBorders>
            <w:shd w:val="clear" w:color="000000" w:fill="F2F2F2"/>
            <w:noWrap/>
            <w:vAlign w:val="bottom"/>
            <w:hideMark/>
          </w:tcPr>
          <w:p w14:paraId="57C699BE" w14:textId="77777777" w:rsidR="00052973" w:rsidRPr="00100F0A" w:rsidRDefault="00052973" w:rsidP="00052973">
            <w:pPr>
              <w:rPr>
                <w:rFonts w:eastAsia="Times New Roman" w:cs="Calibri"/>
                <w:b/>
                <w:bCs/>
                <w:color w:val="000000"/>
                <w:sz w:val="20"/>
                <w:szCs w:val="20"/>
                <w:lang w:eastAsia="en-AU"/>
              </w:rPr>
            </w:pPr>
            <w:r w:rsidRPr="00100F0A">
              <w:rPr>
                <w:rFonts w:eastAsia="Times New Roman" w:cs="Calibri"/>
                <w:b/>
                <w:bCs/>
                <w:color w:val="000000"/>
                <w:sz w:val="20"/>
                <w:szCs w:val="20"/>
                <w:lang w:eastAsia="en-AU"/>
              </w:rPr>
              <w:t>Waste group description</w:t>
            </w:r>
          </w:p>
        </w:tc>
        <w:tc>
          <w:tcPr>
            <w:tcW w:w="300" w:type="pct"/>
            <w:tcBorders>
              <w:top w:val="single" w:sz="4" w:space="0" w:color="auto"/>
              <w:left w:val="nil"/>
              <w:bottom w:val="nil"/>
              <w:right w:val="single" w:sz="4" w:space="0" w:color="auto"/>
            </w:tcBorders>
            <w:shd w:val="clear" w:color="000000" w:fill="F2F2F2"/>
            <w:noWrap/>
            <w:vAlign w:val="bottom"/>
            <w:hideMark/>
          </w:tcPr>
          <w:p w14:paraId="790505C1" w14:textId="77777777" w:rsidR="00052973" w:rsidRPr="00100F0A" w:rsidRDefault="00052973" w:rsidP="00052973">
            <w:pPr>
              <w:rPr>
                <w:rFonts w:eastAsia="Times New Roman" w:cs="Calibri"/>
                <w:b/>
                <w:bCs/>
                <w:color w:val="000000"/>
                <w:sz w:val="20"/>
                <w:szCs w:val="20"/>
                <w:lang w:eastAsia="en-AU"/>
              </w:rPr>
            </w:pPr>
            <w:r w:rsidRPr="00100F0A">
              <w:rPr>
                <w:rFonts w:eastAsia="Times New Roman" w:cs="Calibri"/>
                <w:b/>
                <w:bCs/>
                <w:color w:val="000000"/>
                <w:sz w:val="20"/>
                <w:szCs w:val="20"/>
                <w:lang w:eastAsia="en-AU"/>
              </w:rPr>
              <w:t> </w:t>
            </w:r>
          </w:p>
        </w:tc>
      </w:tr>
      <w:tr w:rsidR="00052973" w:rsidRPr="00100F0A" w14:paraId="677A91D3" w14:textId="77777777" w:rsidTr="00052973">
        <w:trPr>
          <w:trHeight w:val="270"/>
        </w:trPr>
        <w:tc>
          <w:tcPr>
            <w:tcW w:w="446" w:type="pct"/>
            <w:tcBorders>
              <w:top w:val="nil"/>
              <w:left w:val="single" w:sz="4" w:space="0" w:color="auto"/>
              <w:bottom w:val="nil"/>
              <w:right w:val="nil"/>
            </w:tcBorders>
            <w:shd w:val="clear" w:color="000000" w:fill="F2F2F2"/>
            <w:noWrap/>
            <w:vAlign w:val="center"/>
            <w:hideMark/>
          </w:tcPr>
          <w:p w14:paraId="287ECCD8"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A100</w:t>
            </w:r>
          </w:p>
        </w:tc>
        <w:tc>
          <w:tcPr>
            <w:tcW w:w="2750" w:type="pct"/>
            <w:tcBorders>
              <w:top w:val="nil"/>
              <w:left w:val="nil"/>
              <w:bottom w:val="nil"/>
              <w:right w:val="nil"/>
            </w:tcBorders>
            <w:shd w:val="clear" w:color="000000" w:fill="F2F2F2"/>
            <w:noWrap/>
            <w:vAlign w:val="center"/>
            <w:hideMark/>
          </w:tcPr>
          <w:p w14:paraId="23854BB1"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Waste resulting from surface treatment of metals and plastics</w:t>
            </w:r>
          </w:p>
        </w:tc>
        <w:tc>
          <w:tcPr>
            <w:tcW w:w="561" w:type="pct"/>
            <w:tcBorders>
              <w:top w:val="nil"/>
              <w:left w:val="nil"/>
              <w:bottom w:val="nil"/>
              <w:right w:val="nil"/>
            </w:tcBorders>
            <w:shd w:val="clear" w:color="000000" w:fill="F2F2F2"/>
            <w:noWrap/>
            <w:vAlign w:val="bottom"/>
            <w:hideMark/>
          </w:tcPr>
          <w:p w14:paraId="4BB59B3E"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A</w:t>
            </w:r>
          </w:p>
        </w:tc>
        <w:tc>
          <w:tcPr>
            <w:tcW w:w="1243" w:type="pct"/>
            <w:gridSpan w:val="2"/>
            <w:vMerge w:val="restart"/>
            <w:tcBorders>
              <w:top w:val="single" w:sz="12" w:space="0" w:color="000000"/>
              <w:left w:val="nil"/>
              <w:bottom w:val="nil"/>
              <w:right w:val="single" w:sz="4" w:space="0" w:color="auto"/>
            </w:tcBorders>
            <w:shd w:val="clear" w:color="000000" w:fill="F2F2F2"/>
            <w:noWrap/>
            <w:vAlign w:val="center"/>
            <w:hideMark/>
          </w:tcPr>
          <w:p w14:paraId="1111807A"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Plating &amp; heat treatment</w:t>
            </w:r>
          </w:p>
        </w:tc>
      </w:tr>
      <w:tr w:rsidR="00052973" w:rsidRPr="00100F0A" w14:paraId="32C342F9"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64392CC2"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A110</w:t>
            </w:r>
          </w:p>
        </w:tc>
        <w:tc>
          <w:tcPr>
            <w:tcW w:w="2750" w:type="pct"/>
            <w:tcBorders>
              <w:top w:val="nil"/>
              <w:left w:val="nil"/>
              <w:bottom w:val="nil"/>
              <w:right w:val="nil"/>
            </w:tcBorders>
            <w:shd w:val="clear" w:color="000000" w:fill="F2F2F2"/>
            <w:noWrap/>
            <w:vAlign w:val="center"/>
            <w:hideMark/>
          </w:tcPr>
          <w:p w14:paraId="0076F7E8"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Waste from heat treatment and tempering operations containing cyanides</w:t>
            </w:r>
          </w:p>
        </w:tc>
        <w:tc>
          <w:tcPr>
            <w:tcW w:w="561" w:type="pct"/>
            <w:tcBorders>
              <w:top w:val="nil"/>
              <w:left w:val="nil"/>
              <w:bottom w:val="nil"/>
              <w:right w:val="nil"/>
            </w:tcBorders>
            <w:shd w:val="clear" w:color="000000" w:fill="F2F2F2"/>
            <w:noWrap/>
            <w:vAlign w:val="bottom"/>
            <w:hideMark/>
          </w:tcPr>
          <w:p w14:paraId="6F112232"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A</w:t>
            </w:r>
          </w:p>
        </w:tc>
        <w:tc>
          <w:tcPr>
            <w:tcW w:w="1243" w:type="pct"/>
            <w:gridSpan w:val="2"/>
            <w:vMerge/>
            <w:tcBorders>
              <w:top w:val="nil"/>
              <w:left w:val="nil"/>
              <w:bottom w:val="nil"/>
              <w:right w:val="single" w:sz="4" w:space="0" w:color="auto"/>
            </w:tcBorders>
            <w:vAlign w:val="center"/>
            <w:hideMark/>
          </w:tcPr>
          <w:p w14:paraId="7F59CABA" w14:textId="77777777" w:rsidR="00052973" w:rsidRPr="00100F0A" w:rsidRDefault="00052973" w:rsidP="00052973">
            <w:pPr>
              <w:rPr>
                <w:rFonts w:eastAsia="Times New Roman" w:cs="Calibri"/>
                <w:color w:val="000000"/>
                <w:sz w:val="20"/>
                <w:szCs w:val="20"/>
                <w:lang w:eastAsia="en-AU"/>
              </w:rPr>
            </w:pPr>
          </w:p>
        </w:tc>
      </w:tr>
      <w:tr w:rsidR="00052973" w:rsidRPr="00100F0A" w14:paraId="4806472F"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07ED189C"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A130</w:t>
            </w:r>
          </w:p>
        </w:tc>
        <w:tc>
          <w:tcPr>
            <w:tcW w:w="2750" w:type="pct"/>
            <w:tcBorders>
              <w:top w:val="nil"/>
              <w:left w:val="nil"/>
              <w:bottom w:val="nil"/>
              <w:right w:val="nil"/>
            </w:tcBorders>
            <w:shd w:val="clear" w:color="000000" w:fill="F2F2F2"/>
            <w:noWrap/>
            <w:vAlign w:val="center"/>
            <w:hideMark/>
          </w:tcPr>
          <w:p w14:paraId="2DD5DD75"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Cyanides (inorganic)</w:t>
            </w:r>
          </w:p>
        </w:tc>
        <w:tc>
          <w:tcPr>
            <w:tcW w:w="561" w:type="pct"/>
            <w:tcBorders>
              <w:top w:val="nil"/>
              <w:left w:val="nil"/>
              <w:bottom w:val="nil"/>
              <w:right w:val="nil"/>
            </w:tcBorders>
            <w:shd w:val="clear" w:color="000000" w:fill="F2F2F2"/>
            <w:noWrap/>
            <w:vAlign w:val="bottom"/>
            <w:hideMark/>
          </w:tcPr>
          <w:p w14:paraId="009DA19B"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A</w:t>
            </w:r>
          </w:p>
        </w:tc>
        <w:tc>
          <w:tcPr>
            <w:tcW w:w="1243" w:type="pct"/>
            <w:gridSpan w:val="2"/>
            <w:vMerge/>
            <w:tcBorders>
              <w:top w:val="nil"/>
              <w:left w:val="nil"/>
              <w:bottom w:val="nil"/>
              <w:right w:val="single" w:sz="4" w:space="0" w:color="auto"/>
            </w:tcBorders>
            <w:vAlign w:val="center"/>
            <w:hideMark/>
          </w:tcPr>
          <w:p w14:paraId="3A4D7174" w14:textId="77777777" w:rsidR="00052973" w:rsidRPr="00100F0A" w:rsidRDefault="00052973" w:rsidP="00052973">
            <w:pPr>
              <w:rPr>
                <w:rFonts w:eastAsia="Times New Roman" w:cs="Calibri"/>
                <w:color w:val="000000"/>
                <w:sz w:val="20"/>
                <w:szCs w:val="20"/>
                <w:lang w:eastAsia="en-AU"/>
              </w:rPr>
            </w:pPr>
          </w:p>
        </w:tc>
      </w:tr>
      <w:tr w:rsidR="00052973" w:rsidRPr="00100F0A" w14:paraId="794F11CF" w14:textId="77777777" w:rsidTr="00052973">
        <w:trPr>
          <w:trHeight w:val="255"/>
        </w:trPr>
        <w:tc>
          <w:tcPr>
            <w:tcW w:w="446" w:type="pct"/>
            <w:tcBorders>
              <w:top w:val="single" w:sz="4" w:space="0" w:color="808080"/>
              <w:left w:val="single" w:sz="4" w:space="0" w:color="auto"/>
              <w:bottom w:val="single" w:sz="4" w:space="0" w:color="808080"/>
              <w:right w:val="nil"/>
            </w:tcBorders>
            <w:shd w:val="clear" w:color="000000" w:fill="F2F2F2"/>
            <w:noWrap/>
            <w:vAlign w:val="center"/>
            <w:hideMark/>
          </w:tcPr>
          <w:p w14:paraId="33E5A56D"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B100</w:t>
            </w:r>
          </w:p>
        </w:tc>
        <w:tc>
          <w:tcPr>
            <w:tcW w:w="2750" w:type="pct"/>
            <w:tcBorders>
              <w:top w:val="single" w:sz="4" w:space="0" w:color="808080"/>
              <w:left w:val="nil"/>
              <w:bottom w:val="single" w:sz="4" w:space="0" w:color="808080"/>
              <w:right w:val="nil"/>
            </w:tcBorders>
            <w:shd w:val="clear" w:color="000000" w:fill="F2F2F2"/>
            <w:noWrap/>
            <w:vAlign w:val="center"/>
            <w:hideMark/>
          </w:tcPr>
          <w:p w14:paraId="0C0807CA"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Acidic solutions or acids in solid form</w:t>
            </w:r>
          </w:p>
        </w:tc>
        <w:tc>
          <w:tcPr>
            <w:tcW w:w="561" w:type="pct"/>
            <w:tcBorders>
              <w:top w:val="single" w:sz="4" w:space="0" w:color="808080"/>
              <w:left w:val="nil"/>
              <w:bottom w:val="single" w:sz="4" w:space="0" w:color="808080"/>
              <w:right w:val="nil"/>
            </w:tcBorders>
            <w:shd w:val="clear" w:color="000000" w:fill="F2F2F2"/>
            <w:noWrap/>
            <w:vAlign w:val="bottom"/>
            <w:hideMark/>
          </w:tcPr>
          <w:p w14:paraId="2B1F84E9"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B</w:t>
            </w:r>
          </w:p>
        </w:tc>
        <w:tc>
          <w:tcPr>
            <w:tcW w:w="943" w:type="pct"/>
            <w:tcBorders>
              <w:top w:val="single" w:sz="4" w:space="0" w:color="808080"/>
              <w:left w:val="nil"/>
              <w:bottom w:val="single" w:sz="4" w:space="0" w:color="808080"/>
              <w:right w:val="nil"/>
            </w:tcBorders>
            <w:shd w:val="clear" w:color="000000" w:fill="F2F2F2"/>
            <w:noWrap/>
            <w:vAlign w:val="bottom"/>
            <w:hideMark/>
          </w:tcPr>
          <w:p w14:paraId="733A9EC8"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Acids</w:t>
            </w:r>
          </w:p>
        </w:tc>
        <w:tc>
          <w:tcPr>
            <w:tcW w:w="300" w:type="pct"/>
            <w:tcBorders>
              <w:top w:val="single" w:sz="4" w:space="0" w:color="808080"/>
              <w:left w:val="nil"/>
              <w:bottom w:val="single" w:sz="4" w:space="0" w:color="808080"/>
              <w:right w:val="single" w:sz="4" w:space="0" w:color="auto"/>
            </w:tcBorders>
            <w:shd w:val="clear" w:color="000000" w:fill="F2F2F2"/>
            <w:noWrap/>
            <w:vAlign w:val="bottom"/>
            <w:hideMark/>
          </w:tcPr>
          <w:p w14:paraId="2AEA4B14" w14:textId="77777777" w:rsidR="00052973" w:rsidRPr="00100F0A" w:rsidRDefault="00052973" w:rsidP="00052973">
            <w:pPr>
              <w:jc w:val="right"/>
              <w:rPr>
                <w:rFonts w:eastAsia="Times New Roman" w:cs="Calibri"/>
                <w:color w:val="000000"/>
                <w:sz w:val="20"/>
                <w:szCs w:val="20"/>
                <w:lang w:eastAsia="en-AU"/>
              </w:rPr>
            </w:pPr>
            <w:r w:rsidRPr="00100F0A">
              <w:rPr>
                <w:rFonts w:eastAsia="Times New Roman" w:cs="Calibri"/>
                <w:color w:val="000000"/>
                <w:sz w:val="20"/>
                <w:szCs w:val="20"/>
                <w:lang w:eastAsia="en-AU"/>
              </w:rPr>
              <w:t> </w:t>
            </w:r>
          </w:p>
        </w:tc>
      </w:tr>
      <w:tr w:rsidR="00052973" w:rsidRPr="00100F0A" w14:paraId="7C9BF4A4"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696B2057"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C100</w:t>
            </w:r>
          </w:p>
        </w:tc>
        <w:tc>
          <w:tcPr>
            <w:tcW w:w="2750" w:type="pct"/>
            <w:tcBorders>
              <w:top w:val="nil"/>
              <w:left w:val="nil"/>
              <w:bottom w:val="nil"/>
              <w:right w:val="nil"/>
            </w:tcBorders>
            <w:shd w:val="clear" w:color="000000" w:fill="F2F2F2"/>
            <w:noWrap/>
            <w:vAlign w:val="center"/>
            <w:hideMark/>
          </w:tcPr>
          <w:p w14:paraId="4DC4AA68"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Basic solutions or bases in solid form</w:t>
            </w:r>
          </w:p>
        </w:tc>
        <w:tc>
          <w:tcPr>
            <w:tcW w:w="561" w:type="pct"/>
            <w:tcBorders>
              <w:top w:val="nil"/>
              <w:left w:val="nil"/>
              <w:bottom w:val="nil"/>
              <w:right w:val="nil"/>
            </w:tcBorders>
            <w:shd w:val="clear" w:color="000000" w:fill="F2F2F2"/>
            <w:noWrap/>
            <w:vAlign w:val="bottom"/>
            <w:hideMark/>
          </w:tcPr>
          <w:p w14:paraId="0CCA3AD7"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C</w:t>
            </w:r>
          </w:p>
        </w:tc>
        <w:tc>
          <w:tcPr>
            <w:tcW w:w="943" w:type="pct"/>
            <w:tcBorders>
              <w:top w:val="nil"/>
              <w:left w:val="nil"/>
              <w:bottom w:val="single" w:sz="4" w:space="0" w:color="808080"/>
              <w:right w:val="nil"/>
            </w:tcBorders>
            <w:shd w:val="clear" w:color="000000" w:fill="F2F2F2"/>
            <w:noWrap/>
            <w:vAlign w:val="bottom"/>
            <w:hideMark/>
          </w:tcPr>
          <w:p w14:paraId="45400287"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Alkalis</w:t>
            </w:r>
          </w:p>
        </w:tc>
        <w:tc>
          <w:tcPr>
            <w:tcW w:w="300" w:type="pct"/>
            <w:tcBorders>
              <w:top w:val="nil"/>
              <w:left w:val="nil"/>
              <w:bottom w:val="single" w:sz="4" w:space="0" w:color="808080"/>
              <w:right w:val="single" w:sz="4" w:space="0" w:color="auto"/>
            </w:tcBorders>
            <w:shd w:val="clear" w:color="000000" w:fill="F2F2F2"/>
            <w:noWrap/>
            <w:vAlign w:val="bottom"/>
            <w:hideMark/>
          </w:tcPr>
          <w:p w14:paraId="43ADC644" w14:textId="77777777" w:rsidR="00052973" w:rsidRPr="00100F0A" w:rsidRDefault="00052973" w:rsidP="00052973">
            <w:pPr>
              <w:jc w:val="right"/>
              <w:rPr>
                <w:rFonts w:eastAsia="Times New Roman" w:cs="Calibri"/>
                <w:color w:val="000000"/>
                <w:sz w:val="20"/>
                <w:szCs w:val="20"/>
                <w:lang w:eastAsia="en-AU"/>
              </w:rPr>
            </w:pPr>
            <w:r w:rsidRPr="00100F0A">
              <w:rPr>
                <w:rFonts w:eastAsia="Times New Roman" w:cs="Calibri"/>
                <w:color w:val="000000"/>
                <w:sz w:val="20"/>
                <w:szCs w:val="20"/>
                <w:lang w:eastAsia="en-AU"/>
              </w:rPr>
              <w:t> </w:t>
            </w:r>
          </w:p>
        </w:tc>
      </w:tr>
      <w:tr w:rsidR="00052973" w:rsidRPr="00100F0A" w14:paraId="0240E488" w14:textId="77777777" w:rsidTr="00052973">
        <w:trPr>
          <w:trHeight w:val="255"/>
        </w:trPr>
        <w:tc>
          <w:tcPr>
            <w:tcW w:w="446" w:type="pct"/>
            <w:tcBorders>
              <w:top w:val="single" w:sz="4" w:space="0" w:color="808080"/>
              <w:left w:val="single" w:sz="4" w:space="0" w:color="auto"/>
              <w:bottom w:val="nil"/>
              <w:right w:val="nil"/>
            </w:tcBorders>
            <w:shd w:val="clear" w:color="000000" w:fill="F2F2F2"/>
            <w:noWrap/>
            <w:vAlign w:val="center"/>
            <w:hideMark/>
          </w:tcPr>
          <w:p w14:paraId="060544E6"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D100</w:t>
            </w:r>
          </w:p>
        </w:tc>
        <w:tc>
          <w:tcPr>
            <w:tcW w:w="2750" w:type="pct"/>
            <w:tcBorders>
              <w:top w:val="single" w:sz="4" w:space="0" w:color="808080"/>
              <w:left w:val="nil"/>
              <w:bottom w:val="nil"/>
              <w:right w:val="nil"/>
            </w:tcBorders>
            <w:shd w:val="clear" w:color="000000" w:fill="F2F2F2"/>
            <w:noWrap/>
            <w:vAlign w:val="center"/>
            <w:hideMark/>
          </w:tcPr>
          <w:p w14:paraId="1330CED9"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Metal carbonyls</w:t>
            </w:r>
          </w:p>
        </w:tc>
        <w:tc>
          <w:tcPr>
            <w:tcW w:w="561" w:type="pct"/>
            <w:tcBorders>
              <w:top w:val="single" w:sz="4" w:space="0" w:color="808080"/>
              <w:left w:val="nil"/>
              <w:bottom w:val="single" w:sz="4" w:space="0" w:color="808080"/>
              <w:right w:val="nil"/>
            </w:tcBorders>
            <w:shd w:val="clear" w:color="000000" w:fill="F2F2F2"/>
            <w:noWrap/>
            <w:vAlign w:val="bottom"/>
            <w:hideMark/>
          </w:tcPr>
          <w:p w14:paraId="527C2383"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D</w:t>
            </w:r>
          </w:p>
        </w:tc>
        <w:tc>
          <w:tcPr>
            <w:tcW w:w="943" w:type="pct"/>
            <w:tcBorders>
              <w:top w:val="nil"/>
              <w:left w:val="nil"/>
              <w:bottom w:val="single" w:sz="4" w:space="0" w:color="808080"/>
              <w:right w:val="nil"/>
            </w:tcBorders>
            <w:shd w:val="clear" w:color="000000" w:fill="F2F2F2"/>
            <w:noWrap/>
            <w:vAlign w:val="bottom"/>
            <w:hideMark/>
          </w:tcPr>
          <w:p w14:paraId="7F6B39C5"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inorganic chemicals</w:t>
            </w:r>
          </w:p>
        </w:tc>
        <w:tc>
          <w:tcPr>
            <w:tcW w:w="300" w:type="pct"/>
            <w:tcBorders>
              <w:top w:val="nil"/>
              <w:left w:val="nil"/>
              <w:bottom w:val="single" w:sz="4" w:space="0" w:color="808080"/>
              <w:right w:val="single" w:sz="4" w:space="0" w:color="auto"/>
            </w:tcBorders>
            <w:shd w:val="clear" w:color="000000" w:fill="F2F2F2"/>
            <w:noWrap/>
            <w:vAlign w:val="bottom"/>
            <w:hideMark/>
          </w:tcPr>
          <w:p w14:paraId="4F942AF5" w14:textId="77777777" w:rsidR="00052973" w:rsidRPr="00100F0A" w:rsidRDefault="00052973" w:rsidP="00052973">
            <w:pPr>
              <w:jc w:val="right"/>
              <w:rPr>
                <w:rFonts w:eastAsia="Times New Roman" w:cs="Calibri"/>
                <w:color w:val="000000"/>
                <w:sz w:val="20"/>
                <w:szCs w:val="20"/>
                <w:lang w:eastAsia="en-AU"/>
              </w:rPr>
            </w:pPr>
            <w:r w:rsidRPr="00100F0A">
              <w:rPr>
                <w:rFonts w:eastAsia="Times New Roman" w:cs="Calibri"/>
                <w:color w:val="000000"/>
                <w:sz w:val="20"/>
                <w:szCs w:val="20"/>
                <w:lang w:eastAsia="en-AU"/>
              </w:rPr>
              <w:t> </w:t>
            </w:r>
          </w:p>
        </w:tc>
      </w:tr>
      <w:tr w:rsidR="00052973" w:rsidRPr="00100F0A" w14:paraId="31BC717A"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0E8BDB9F"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D110</w:t>
            </w:r>
          </w:p>
        </w:tc>
        <w:tc>
          <w:tcPr>
            <w:tcW w:w="2750" w:type="pct"/>
            <w:tcBorders>
              <w:top w:val="nil"/>
              <w:left w:val="nil"/>
              <w:bottom w:val="nil"/>
              <w:right w:val="nil"/>
            </w:tcBorders>
            <w:shd w:val="clear" w:color="000000" w:fill="F2F2F2"/>
            <w:noWrap/>
            <w:vAlign w:val="center"/>
            <w:hideMark/>
          </w:tcPr>
          <w:p w14:paraId="26752EAB"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Inorganic fluorine compounds excluding calcium fluoride</w:t>
            </w:r>
          </w:p>
        </w:tc>
        <w:tc>
          <w:tcPr>
            <w:tcW w:w="561" w:type="pct"/>
            <w:tcBorders>
              <w:top w:val="nil"/>
              <w:left w:val="nil"/>
              <w:bottom w:val="nil"/>
              <w:right w:val="nil"/>
            </w:tcBorders>
            <w:shd w:val="clear" w:color="000000" w:fill="F2F2F2"/>
            <w:noWrap/>
            <w:vAlign w:val="bottom"/>
            <w:hideMark/>
          </w:tcPr>
          <w:p w14:paraId="788C20AC"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D110</w:t>
            </w:r>
          </w:p>
        </w:tc>
        <w:tc>
          <w:tcPr>
            <w:tcW w:w="1243" w:type="pct"/>
            <w:gridSpan w:val="2"/>
            <w:tcBorders>
              <w:top w:val="single" w:sz="4" w:space="0" w:color="808080"/>
              <w:left w:val="nil"/>
              <w:bottom w:val="single" w:sz="4" w:space="0" w:color="808080"/>
              <w:right w:val="single" w:sz="4" w:space="0" w:color="auto"/>
            </w:tcBorders>
            <w:shd w:val="clear" w:color="000000" w:fill="F2F2F2"/>
            <w:noWrap/>
            <w:vAlign w:val="bottom"/>
            <w:hideMark/>
          </w:tcPr>
          <w:p w14:paraId="32CE5C6C" w14:textId="5693F5D1"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Inorganic fluorine (</w:t>
            </w:r>
            <w:r w:rsidR="008637BA">
              <w:rPr>
                <w:rFonts w:eastAsia="Times New Roman" w:cs="Calibri"/>
                <w:color w:val="000000"/>
                <w:sz w:val="20"/>
                <w:szCs w:val="20"/>
                <w:lang w:eastAsia="en-AU"/>
              </w:rPr>
              <w:t>SPL</w:t>
            </w:r>
            <w:r w:rsidRPr="00100F0A">
              <w:rPr>
                <w:rFonts w:eastAsia="Times New Roman" w:cs="Calibri"/>
                <w:color w:val="000000"/>
                <w:sz w:val="20"/>
                <w:szCs w:val="20"/>
                <w:lang w:eastAsia="en-AU"/>
              </w:rPr>
              <w:t>)</w:t>
            </w:r>
          </w:p>
        </w:tc>
      </w:tr>
      <w:tr w:rsidR="00052973" w:rsidRPr="00100F0A" w14:paraId="0954DFB1"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255A31C9"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D120</w:t>
            </w:r>
          </w:p>
        </w:tc>
        <w:tc>
          <w:tcPr>
            <w:tcW w:w="2750" w:type="pct"/>
            <w:tcBorders>
              <w:top w:val="nil"/>
              <w:left w:val="nil"/>
              <w:bottom w:val="nil"/>
              <w:right w:val="nil"/>
            </w:tcBorders>
            <w:shd w:val="clear" w:color="000000" w:fill="F2F2F2"/>
            <w:noWrap/>
            <w:vAlign w:val="center"/>
            <w:hideMark/>
          </w:tcPr>
          <w:p w14:paraId="1034A50B"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Mercury; mercury compounds</w:t>
            </w:r>
          </w:p>
        </w:tc>
        <w:tc>
          <w:tcPr>
            <w:tcW w:w="561" w:type="pct"/>
            <w:tcBorders>
              <w:top w:val="single" w:sz="4" w:space="0" w:color="808080"/>
              <w:left w:val="nil"/>
              <w:bottom w:val="single" w:sz="4" w:space="0" w:color="808080"/>
              <w:right w:val="nil"/>
            </w:tcBorders>
            <w:shd w:val="clear" w:color="000000" w:fill="F2F2F2"/>
            <w:noWrap/>
            <w:vAlign w:val="bottom"/>
            <w:hideMark/>
          </w:tcPr>
          <w:p w14:paraId="4EAC533D"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D120</w:t>
            </w:r>
          </w:p>
        </w:tc>
        <w:tc>
          <w:tcPr>
            <w:tcW w:w="943" w:type="pct"/>
            <w:tcBorders>
              <w:top w:val="nil"/>
              <w:left w:val="nil"/>
              <w:bottom w:val="single" w:sz="4" w:space="0" w:color="808080"/>
              <w:right w:val="nil"/>
            </w:tcBorders>
            <w:shd w:val="clear" w:color="000000" w:fill="F2F2F2"/>
            <w:noWrap/>
            <w:vAlign w:val="bottom"/>
            <w:hideMark/>
          </w:tcPr>
          <w:p w14:paraId="4402267F"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Mercury and compounds</w:t>
            </w:r>
          </w:p>
        </w:tc>
        <w:tc>
          <w:tcPr>
            <w:tcW w:w="300" w:type="pct"/>
            <w:tcBorders>
              <w:top w:val="nil"/>
              <w:left w:val="nil"/>
              <w:bottom w:val="single" w:sz="4" w:space="0" w:color="808080"/>
              <w:right w:val="single" w:sz="4" w:space="0" w:color="auto"/>
            </w:tcBorders>
            <w:shd w:val="clear" w:color="000000" w:fill="F2F2F2"/>
            <w:noWrap/>
            <w:vAlign w:val="bottom"/>
            <w:hideMark/>
          </w:tcPr>
          <w:p w14:paraId="218BC016" w14:textId="77777777" w:rsidR="00052973" w:rsidRPr="00100F0A" w:rsidRDefault="00052973" w:rsidP="00052973">
            <w:pPr>
              <w:jc w:val="right"/>
              <w:rPr>
                <w:rFonts w:eastAsia="Times New Roman" w:cs="Calibri"/>
                <w:color w:val="000000"/>
                <w:sz w:val="20"/>
                <w:szCs w:val="20"/>
                <w:lang w:eastAsia="en-AU"/>
              </w:rPr>
            </w:pPr>
            <w:r w:rsidRPr="00100F0A">
              <w:rPr>
                <w:rFonts w:eastAsia="Times New Roman" w:cs="Calibri"/>
                <w:color w:val="000000"/>
                <w:sz w:val="20"/>
                <w:szCs w:val="20"/>
                <w:lang w:eastAsia="en-AU"/>
              </w:rPr>
              <w:t> </w:t>
            </w:r>
          </w:p>
        </w:tc>
      </w:tr>
      <w:tr w:rsidR="00052973" w:rsidRPr="00100F0A" w14:paraId="74C1B8DD"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181638A9"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D130</w:t>
            </w:r>
          </w:p>
        </w:tc>
        <w:tc>
          <w:tcPr>
            <w:tcW w:w="2750" w:type="pct"/>
            <w:tcBorders>
              <w:top w:val="nil"/>
              <w:left w:val="nil"/>
              <w:bottom w:val="nil"/>
              <w:right w:val="nil"/>
            </w:tcBorders>
            <w:shd w:val="clear" w:color="000000" w:fill="F2F2F2"/>
            <w:noWrap/>
            <w:vAlign w:val="center"/>
            <w:hideMark/>
          </w:tcPr>
          <w:p w14:paraId="27885714"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Arsenic; arsenic compounds</w:t>
            </w:r>
          </w:p>
        </w:tc>
        <w:tc>
          <w:tcPr>
            <w:tcW w:w="561" w:type="pct"/>
            <w:tcBorders>
              <w:top w:val="nil"/>
              <w:left w:val="nil"/>
              <w:bottom w:val="nil"/>
              <w:right w:val="nil"/>
            </w:tcBorders>
            <w:shd w:val="clear" w:color="000000" w:fill="F2F2F2"/>
            <w:noWrap/>
            <w:vAlign w:val="bottom"/>
            <w:hideMark/>
          </w:tcPr>
          <w:p w14:paraId="34817022"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D</w:t>
            </w:r>
          </w:p>
        </w:tc>
        <w:tc>
          <w:tcPr>
            <w:tcW w:w="1243" w:type="pct"/>
            <w:gridSpan w:val="2"/>
            <w:vMerge w:val="restart"/>
            <w:tcBorders>
              <w:top w:val="single" w:sz="4" w:space="0" w:color="808080"/>
              <w:left w:val="nil"/>
              <w:bottom w:val="single" w:sz="4" w:space="0" w:color="808080"/>
              <w:right w:val="single" w:sz="4" w:space="0" w:color="auto"/>
            </w:tcBorders>
            <w:shd w:val="clear" w:color="000000" w:fill="F2F2F2"/>
            <w:noWrap/>
            <w:vAlign w:val="center"/>
            <w:hideMark/>
          </w:tcPr>
          <w:p w14:paraId="64B7A855"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inorganic chemicals</w:t>
            </w:r>
          </w:p>
        </w:tc>
      </w:tr>
      <w:tr w:rsidR="00052973" w:rsidRPr="00100F0A" w14:paraId="74F08BE5"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46DDFD61"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D140</w:t>
            </w:r>
          </w:p>
        </w:tc>
        <w:tc>
          <w:tcPr>
            <w:tcW w:w="2750" w:type="pct"/>
            <w:tcBorders>
              <w:top w:val="nil"/>
              <w:left w:val="nil"/>
              <w:bottom w:val="nil"/>
              <w:right w:val="nil"/>
            </w:tcBorders>
            <w:shd w:val="clear" w:color="000000" w:fill="F2F2F2"/>
            <w:noWrap/>
            <w:vAlign w:val="center"/>
            <w:hideMark/>
          </w:tcPr>
          <w:p w14:paraId="4D4E5F42"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Chromium compounds (hexavalent and trivalent)</w:t>
            </w:r>
          </w:p>
        </w:tc>
        <w:tc>
          <w:tcPr>
            <w:tcW w:w="561" w:type="pct"/>
            <w:tcBorders>
              <w:top w:val="nil"/>
              <w:left w:val="nil"/>
              <w:bottom w:val="nil"/>
              <w:right w:val="nil"/>
            </w:tcBorders>
            <w:shd w:val="clear" w:color="000000" w:fill="F2F2F2"/>
            <w:noWrap/>
            <w:vAlign w:val="bottom"/>
            <w:hideMark/>
          </w:tcPr>
          <w:p w14:paraId="52A94BD4"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D</w:t>
            </w:r>
          </w:p>
        </w:tc>
        <w:tc>
          <w:tcPr>
            <w:tcW w:w="1243" w:type="pct"/>
            <w:gridSpan w:val="2"/>
            <w:vMerge/>
            <w:tcBorders>
              <w:top w:val="nil"/>
              <w:left w:val="nil"/>
              <w:bottom w:val="nil"/>
              <w:right w:val="single" w:sz="4" w:space="0" w:color="auto"/>
            </w:tcBorders>
            <w:vAlign w:val="center"/>
            <w:hideMark/>
          </w:tcPr>
          <w:p w14:paraId="43CEF096" w14:textId="77777777" w:rsidR="00052973" w:rsidRPr="00100F0A" w:rsidRDefault="00052973" w:rsidP="00052973">
            <w:pPr>
              <w:rPr>
                <w:rFonts w:eastAsia="Times New Roman" w:cs="Calibri"/>
                <w:color w:val="000000"/>
                <w:sz w:val="20"/>
                <w:szCs w:val="20"/>
                <w:lang w:eastAsia="en-AU"/>
              </w:rPr>
            </w:pPr>
          </w:p>
        </w:tc>
      </w:tr>
      <w:tr w:rsidR="00052973" w:rsidRPr="00100F0A" w14:paraId="5B9F9973"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4B33D57D"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D150</w:t>
            </w:r>
          </w:p>
        </w:tc>
        <w:tc>
          <w:tcPr>
            <w:tcW w:w="2750" w:type="pct"/>
            <w:tcBorders>
              <w:top w:val="nil"/>
              <w:left w:val="nil"/>
              <w:bottom w:val="nil"/>
              <w:right w:val="nil"/>
            </w:tcBorders>
            <w:shd w:val="clear" w:color="000000" w:fill="F2F2F2"/>
            <w:noWrap/>
            <w:vAlign w:val="center"/>
            <w:hideMark/>
          </w:tcPr>
          <w:p w14:paraId="1E91FBA5"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Cadmium; cadmium compounds</w:t>
            </w:r>
          </w:p>
        </w:tc>
        <w:tc>
          <w:tcPr>
            <w:tcW w:w="561" w:type="pct"/>
            <w:tcBorders>
              <w:top w:val="nil"/>
              <w:left w:val="nil"/>
              <w:bottom w:val="nil"/>
              <w:right w:val="nil"/>
            </w:tcBorders>
            <w:shd w:val="clear" w:color="000000" w:fill="F2F2F2"/>
            <w:noWrap/>
            <w:vAlign w:val="bottom"/>
            <w:hideMark/>
          </w:tcPr>
          <w:p w14:paraId="616FBD9C"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D</w:t>
            </w:r>
          </w:p>
        </w:tc>
        <w:tc>
          <w:tcPr>
            <w:tcW w:w="1243" w:type="pct"/>
            <w:gridSpan w:val="2"/>
            <w:vMerge/>
            <w:tcBorders>
              <w:top w:val="nil"/>
              <w:left w:val="nil"/>
              <w:bottom w:val="nil"/>
              <w:right w:val="single" w:sz="4" w:space="0" w:color="auto"/>
            </w:tcBorders>
            <w:vAlign w:val="center"/>
            <w:hideMark/>
          </w:tcPr>
          <w:p w14:paraId="16C9ED41" w14:textId="77777777" w:rsidR="00052973" w:rsidRPr="00100F0A" w:rsidRDefault="00052973" w:rsidP="00052973">
            <w:pPr>
              <w:rPr>
                <w:rFonts w:eastAsia="Times New Roman" w:cs="Calibri"/>
                <w:color w:val="000000"/>
                <w:sz w:val="20"/>
                <w:szCs w:val="20"/>
                <w:lang w:eastAsia="en-AU"/>
              </w:rPr>
            </w:pPr>
          </w:p>
        </w:tc>
      </w:tr>
      <w:tr w:rsidR="00052973" w:rsidRPr="00100F0A" w14:paraId="05FD441F"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14CEAB85"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D160</w:t>
            </w:r>
          </w:p>
        </w:tc>
        <w:tc>
          <w:tcPr>
            <w:tcW w:w="2750" w:type="pct"/>
            <w:tcBorders>
              <w:top w:val="nil"/>
              <w:left w:val="nil"/>
              <w:bottom w:val="nil"/>
              <w:right w:val="nil"/>
            </w:tcBorders>
            <w:shd w:val="clear" w:color="000000" w:fill="F2F2F2"/>
            <w:noWrap/>
            <w:vAlign w:val="center"/>
            <w:hideMark/>
          </w:tcPr>
          <w:p w14:paraId="5796BF84"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Beryllium; beryllium compounds</w:t>
            </w:r>
          </w:p>
        </w:tc>
        <w:tc>
          <w:tcPr>
            <w:tcW w:w="561" w:type="pct"/>
            <w:tcBorders>
              <w:top w:val="nil"/>
              <w:left w:val="nil"/>
              <w:bottom w:val="nil"/>
              <w:right w:val="nil"/>
            </w:tcBorders>
            <w:shd w:val="clear" w:color="000000" w:fill="F2F2F2"/>
            <w:noWrap/>
            <w:vAlign w:val="bottom"/>
            <w:hideMark/>
          </w:tcPr>
          <w:p w14:paraId="4D3E1F9E"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D</w:t>
            </w:r>
          </w:p>
        </w:tc>
        <w:tc>
          <w:tcPr>
            <w:tcW w:w="1243" w:type="pct"/>
            <w:gridSpan w:val="2"/>
            <w:vMerge/>
            <w:tcBorders>
              <w:top w:val="nil"/>
              <w:left w:val="nil"/>
              <w:bottom w:val="nil"/>
              <w:right w:val="single" w:sz="4" w:space="0" w:color="auto"/>
            </w:tcBorders>
            <w:vAlign w:val="center"/>
            <w:hideMark/>
          </w:tcPr>
          <w:p w14:paraId="634FC31E" w14:textId="77777777" w:rsidR="00052973" w:rsidRPr="00100F0A" w:rsidRDefault="00052973" w:rsidP="00052973">
            <w:pPr>
              <w:rPr>
                <w:rFonts w:eastAsia="Times New Roman" w:cs="Calibri"/>
                <w:color w:val="000000"/>
                <w:sz w:val="20"/>
                <w:szCs w:val="20"/>
                <w:lang w:eastAsia="en-AU"/>
              </w:rPr>
            </w:pPr>
          </w:p>
        </w:tc>
      </w:tr>
      <w:tr w:rsidR="00052973" w:rsidRPr="00100F0A" w14:paraId="33ED099B"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602B1427"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D170</w:t>
            </w:r>
          </w:p>
        </w:tc>
        <w:tc>
          <w:tcPr>
            <w:tcW w:w="2750" w:type="pct"/>
            <w:tcBorders>
              <w:top w:val="nil"/>
              <w:left w:val="nil"/>
              <w:bottom w:val="nil"/>
              <w:right w:val="nil"/>
            </w:tcBorders>
            <w:shd w:val="clear" w:color="000000" w:fill="F2F2F2"/>
            <w:noWrap/>
            <w:vAlign w:val="center"/>
            <w:hideMark/>
          </w:tcPr>
          <w:p w14:paraId="6FB11387"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Antimony; antimony compounds</w:t>
            </w:r>
          </w:p>
        </w:tc>
        <w:tc>
          <w:tcPr>
            <w:tcW w:w="561" w:type="pct"/>
            <w:tcBorders>
              <w:top w:val="nil"/>
              <w:left w:val="nil"/>
              <w:bottom w:val="nil"/>
              <w:right w:val="nil"/>
            </w:tcBorders>
            <w:shd w:val="clear" w:color="000000" w:fill="F2F2F2"/>
            <w:noWrap/>
            <w:vAlign w:val="bottom"/>
            <w:hideMark/>
          </w:tcPr>
          <w:p w14:paraId="77470971"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D</w:t>
            </w:r>
          </w:p>
        </w:tc>
        <w:tc>
          <w:tcPr>
            <w:tcW w:w="1243" w:type="pct"/>
            <w:gridSpan w:val="2"/>
            <w:vMerge/>
            <w:tcBorders>
              <w:top w:val="nil"/>
              <w:left w:val="nil"/>
              <w:bottom w:val="nil"/>
              <w:right w:val="single" w:sz="4" w:space="0" w:color="auto"/>
            </w:tcBorders>
            <w:vAlign w:val="center"/>
            <w:hideMark/>
          </w:tcPr>
          <w:p w14:paraId="7B42275D" w14:textId="77777777" w:rsidR="00052973" w:rsidRPr="00100F0A" w:rsidRDefault="00052973" w:rsidP="00052973">
            <w:pPr>
              <w:rPr>
                <w:rFonts w:eastAsia="Times New Roman" w:cs="Calibri"/>
                <w:color w:val="000000"/>
                <w:sz w:val="20"/>
                <w:szCs w:val="20"/>
                <w:lang w:eastAsia="en-AU"/>
              </w:rPr>
            </w:pPr>
          </w:p>
        </w:tc>
      </w:tr>
      <w:tr w:rsidR="00052973" w:rsidRPr="00100F0A" w14:paraId="0E99F24E"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27964BAA"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D180</w:t>
            </w:r>
          </w:p>
        </w:tc>
        <w:tc>
          <w:tcPr>
            <w:tcW w:w="2750" w:type="pct"/>
            <w:tcBorders>
              <w:top w:val="nil"/>
              <w:left w:val="nil"/>
              <w:bottom w:val="nil"/>
              <w:right w:val="nil"/>
            </w:tcBorders>
            <w:shd w:val="clear" w:color="000000" w:fill="F2F2F2"/>
            <w:noWrap/>
            <w:vAlign w:val="center"/>
            <w:hideMark/>
          </w:tcPr>
          <w:p w14:paraId="4BE16FC1"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Thallium; thallium compounds</w:t>
            </w:r>
          </w:p>
        </w:tc>
        <w:tc>
          <w:tcPr>
            <w:tcW w:w="561" w:type="pct"/>
            <w:tcBorders>
              <w:top w:val="nil"/>
              <w:left w:val="nil"/>
              <w:bottom w:val="nil"/>
              <w:right w:val="nil"/>
            </w:tcBorders>
            <w:shd w:val="clear" w:color="000000" w:fill="F2F2F2"/>
            <w:noWrap/>
            <w:vAlign w:val="bottom"/>
            <w:hideMark/>
          </w:tcPr>
          <w:p w14:paraId="22892564"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D</w:t>
            </w:r>
          </w:p>
        </w:tc>
        <w:tc>
          <w:tcPr>
            <w:tcW w:w="1243" w:type="pct"/>
            <w:gridSpan w:val="2"/>
            <w:vMerge/>
            <w:tcBorders>
              <w:top w:val="nil"/>
              <w:left w:val="nil"/>
              <w:bottom w:val="nil"/>
              <w:right w:val="single" w:sz="4" w:space="0" w:color="auto"/>
            </w:tcBorders>
            <w:vAlign w:val="center"/>
            <w:hideMark/>
          </w:tcPr>
          <w:p w14:paraId="026C44D9" w14:textId="77777777" w:rsidR="00052973" w:rsidRPr="00100F0A" w:rsidRDefault="00052973" w:rsidP="00052973">
            <w:pPr>
              <w:rPr>
                <w:rFonts w:eastAsia="Times New Roman" w:cs="Calibri"/>
                <w:color w:val="000000"/>
                <w:sz w:val="20"/>
                <w:szCs w:val="20"/>
                <w:lang w:eastAsia="en-AU"/>
              </w:rPr>
            </w:pPr>
          </w:p>
        </w:tc>
      </w:tr>
      <w:tr w:rsidR="00052973" w:rsidRPr="00100F0A" w14:paraId="2C90D4E8"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42F15A07"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D190</w:t>
            </w:r>
          </w:p>
        </w:tc>
        <w:tc>
          <w:tcPr>
            <w:tcW w:w="2750" w:type="pct"/>
            <w:tcBorders>
              <w:top w:val="nil"/>
              <w:left w:val="nil"/>
              <w:bottom w:val="nil"/>
              <w:right w:val="nil"/>
            </w:tcBorders>
            <w:shd w:val="clear" w:color="000000" w:fill="F2F2F2"/>
            <w:noWrap/>
            <w:vAlign w:val="center"/>
            <w:hideMark/>
          </w:tcPr>
          <w:p w14:paraId="40179828"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Copper compounds</w:t>
            </w:r>
          </w:p>
        </w:tc>
        <w:tc>
          <w:tcPr>
            <w:tcW w:w="561" w:type="pct"/>
            <w:tcBorders>
              <w:top w:val="nil"/>
              <w:left w:val="nil"/>
              <w:bottom w:val="nil"/>
              <w:right w:val="nil"/>
            </w:tcBorders>
            <w:shd w:val="clear" w:color="000000" w:fill="F2F2F2"/>
            <w:noWrap/>
            <w:vAlign w:val="bottom"/>
            <w:hideMark/>
          </w:tcPr>
          <w:p w14:paraId="643519A9"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D</w:t>
            </w:r>
          </w:p>
        </w:tc>
        <w:tc>
          <w:tcPr>
            <w:tcW w:w="1243" w:type="pct"/>
            <w:gridSpan w:val="2"/>
            <w:vMerge/>
            <w:tcBorders>
              <w:top w:val="nil"/>
              <w:left w:val="nil"/>
              <w:bottom w:val="nil"/>
              <w:right w:val="single" w:sz="4" w:space="0" w:color="auto"/>
            </w:tcBorders>
            <w:vAlign w:val="center"/>
            <w:hideMark/>
          </w:tcPr>
          <w:p w14:paraId="64264E25" w14:textId="77777777" w:rsidR="00052973" w:rsidRPr="00100F0A" w:rsidRDefault="00052973" w:rsidP="00052973">
            <w:pPr>
              <w:rPr>
                <w:rFonts w:eastAsia="Times New Roman" w:cs="Calibri"/>
                <w:color w:val="000000"/>
                <w:sz w:val="20"/>
                <w:szCs w:val="20"/>
                <w:lang w:eastAsia="en-AU"/>
              </w:rPr>
            </w:pPr>
          </w:p>
        </w:tc>
      </w:tr>
      <w:tr w:rsidR="00052973" w:rsidRPr="00100F0A" w14:paraId="346F98BD"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4B449E99"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D200</w:t>
            </w:r>
          </w:p>
        </w:tc>
        <w:tc>
          <w:tcPr>
            <w:tcW w:w="2750" w:type="pct"/>
            <w:tcBorders>
              <w:top w:val="nil"/>
              <w:left w:val="nil"/>
              <w:bottom w:val="nil"/>
              <w:right w:val="nil"/>
            </w:tcBorders>
            <w:shd w:val="clear" w:color="000000" w:fill="F2F2F2"/>
            <w:noWrap/>
            <w:vAlign w:val="center"/>
            <w:hideMark/>
          </w:tcPr>
          <w:p w14:paraId="22853704"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Cobalt compounds</w:t>
            </w:r>
          </w:p>
        </w:tc>
        <w:tc>
          <w:tcPr>
            <w:tcW w:w="561" w:type="pct"/>
            <w:tcBorders>
              <w:top w:val="nil"/>
              <w:left w:val="nil"/>
              <w:bottom w:val="nil"/>
              <w:right w:val="nil"/>
            </w:tcBorders>
            <w:shd w:val="clear" w:color="000000" w:fill="F2F2F2"/>
            <w:noWrap/>
            <w:vAlign w:val="bottom"/>
            <w:hideMark/>
          </w:tcPr>
          <w:p w14:paraId="6B9C495A"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D</w:t>
            </w:r>
          </w:p>
        </w:tc>
        <w:tc>
          <w:tcPr>
            <w:tcW w:w="1243" w:type="pct"/>
            <w:gridSpan w:val="2"/>
            <w:vMerge/>
            <w:tcBorders>
              <w:top w:val="nil"/>
              <w:left w:val="nil"/>
              <w:bottom w:val="nil"/>
              <w:right w:val="single" w:sz="4" w:space="0" w:color="auto"/>
            </w:tcBorders>
            <w:vAlign w:val="center"/>
            <w:hideMark/>
          </w:tcPr>
          <w:p w14:paraId="65B6E4AC" w14:textId="77777777" w:rsidR="00052973" w:rsidRPr="00100F0A" w:rsidRDefault="00052973" w:rsidP="00052973">
            <w:pPr>
              <w:rPr>
                <w:rFonts w:eastAsia="Times New Roman" w:cs="Calibri"/>
                <w:color w:val="000000"/>
                <w:sz w:val="20"/>
                <w:szCs w:val="20"/>
                <w:lang w:eastAsia="en-AU"/>
              </w:rPr>
            </w:pPr>
          </w:p>
        </w:tc>
      </w:tr>
      <w:tr w:rsidR="00052973" w:rsidRPr="00100F0A" w14:paraId="57849E73"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384366F9"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D210</w:t>
            </w:r>
          </w:p>
        </w:tc>
        <w:tc>
          <w:tcPr>
            <w:tcW w:w="2750" w:type="pct"/>
            <w:tcBorders>
              <w:top w:val="nil"/>
              <w:left w:val="nil"/>
              <w:bottom w:val="nil"/>
              <w:right w:val="nil"/>
            </w:tcBorders>
            <w:shd w:val="clear" w:color="000000" w:fill="F2F2F2"/>
            <w:noWrap/>
            <w:vAlign w:val="center"/>
            <w:hideMark/>
          </w:tcPr>
          <w:p w14:paraId="0CD22FE8"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Nickel compounds</w:t>
            </w:r>
          </w:p>
        </w:tc>
        <w:tc>
          <w:tcPr>
            <w:tcW w:w="561" w:type="pct"/>
            <w:tcBorders>
              <w:top w:val="nil"/>
              <w:left w:val="nil"/>
              <w:bottom w:val="nil"/>
              <w:right w:val="nil"/>
            </w:tcBorders>
            <w:shd w:val="clear" w:color="000000" w:fill="F2F2F2"/>
            <w:noWrap/>
            <w:vAlign w:val="bottom"/>
            <w:hideMark/>
          </w:tcPr>
          <w:p w14:paraId="76849BC3"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D</w:t>
            </w:r>
          </w:p>
        </w:tc>
        <w:tc>
          <w:tcPr>
            <w:tcW w:w="1243" w:type="pct"/>
            <w:gridSpan w:val="2"/>
            <w:vMerge/>
            <w:tcBorders>
              <w:top w:val="nil"/>
              <w:left w:val="nil"/>
              <w:bottom w:val="nil"/>
              <w:right w:val="single" w:sz="4" w:space="0" w:color="auto"/>
            </w:tcBorders>
            <w:vAlign w:val="center"/>
            <w:hideMark/>
          </w:tcPr>
          <w:p w14:paraId="585888CA" w14:textId="77777777" w:rsidR="00052973" w:rsidRPr="00100F0A" w:rsidRDefault="00052973" w:rsidP="00052973">
            <w:pPr>
              <w:rPr>
                <w:rFonts w:eastAsia="Times New Roman" w:cs="Calibri"/>
                <w:color w:val="000000"/>
                <w:sz w:val="20"/>
                <w:szCs w:val="20"/>
                <w:lang w:eastAsia="en-AU"/>
              </w:rPr>
            </w:pPr>
          </w:p>
        </w:tc>
      </w:tr>
      <w:tr w:rsidR="00052973" w:rsidRPr="00100F0A" w14:paraId="79ED1079"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15BF7F4A"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D220</w:t>
            </w:r>
          </w:p>
        </w:tc>
        <w:tc>
          <w:tcPr>
            <w:tcW w:w="2750" w:type="pct"/>
            <w:tcBorders>
              <w:top w:val="nil"/>
              <w:left w:val="nil"/>
              <w:bottom w:val="nil"/>
              <w:right w:val="nil"/>
            </w:tcBorders>
            <w:shd w:val="clear" w:color="000000" w:fill="F2F2F2"/>
            <w:noWrap/>
            <w:vAlign w:val="center"/>
            <w:hideMark/>
          </w:tcPr>
          <w:p w14:paraId="6E8307BB"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Lead; lead compounds</w:t>
            </w:r>
          </w:p>
        </w:tc>
        <w:tc>
          <w:tcPr>
            <w:tcW w:w="561" w:type="pct"/>
            <w:tcBorders>
              <w:top w:val="single" w:sz="4" w:space="0" w:color="808080"/>
              <w:left w:val="nil"/>
              <w:bottom w:val="single" w:sz="4" w:space="0" w:color="808080"/>
              <w:right w:val="nil"/>
            </w:tcBorders>
            <w:shd w:val="clear" w:color="000000" w:fill="F2F2F2"/>
            <w:noWrap/>
            <w:vAlign w:val="bottom"/>
            <w:hideMark/>
          </w:tcPr>
          <w:p w14:paraId="33CC8692"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D220</w:t>
            </w:r>
          </w:p>
        </w:tc>
        <w:tc>
          <w:tcPr>
            <w:tcW w:w="943" w:type="pct"/>
            <w:tcBorders>
              <w:top w:val="nil"/>
              <w:left w:val="nil"/>
              <w:bottom w:val="single" w:sz="4" w:space="0" w:color="808080"/>
              <w:right w:val="nil"/>
            </w:tcBorders>
            <w:shd w:val="clear" w:color="000000" w:fill="F2F2F2"/>
            <w:noWrap/>
            <w:vAlign w:val="bottom"/>
            <w:hideMark/>
          </w:tcPr>
          <w:p w14:paraId="48536FC5"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Lead and compounds</w:t>
            </w:r>
          </w:p>
        </w:tc>
        <w:tc>
          <w:tcPr>
            <w:tcW w:w="300" w:type="pct"/>
            <w:tcBorders>
              <w:top w:val="nil"/>
              <w:left w:val="nil"/>
              <w:bottom w:val="single" w:sz="4" w:space="0" w:color="808080"/>
              <w:right w:val="single" w:sz="4" w:space="0" w:color="auto"/>
            </w:tcBorders>
            <w:shd w:val="clear" w:color="000000" w:fill="F2F2F2"/>
            <w:noWrap/>
            <w:vAlign w:val="bottom"/>
            <w:hideMark/>
          </w:tcPr>
          <w:p w14:paraId="43F3C583" w14:textId="77777777" w:rsidR="00052973" w:rsidRPr="00100F0A" w:rsidRDefault="00052973" w:rsidP="00052973">
            <w:pPr>
              <w:jc w:val="right"/>
              <w:rPr>
                <w:rFonts w:eastAsia="Times New Roman" w:cs="Calibri"/>
                <w:color w:val="000000"/>
                <w:sz w:val="20"/>
                <w:szCs w:val="20"/>
                <w:lang w:eastAsia="en-AU"/>
              </w:rPr>
            </w:pPr>
            <w:r w:rsidRPr="00100F0A">
              <w:rPr>
                <w:rFonts w:eastAsia="Times New Roman" w:cs="Calibri"/>
                <w:color w:val="000000"/>
                <w:sz w:val="20"/>
                <w:szCs w:val="20"/>
                <w:lang w:eastAsia="en-AU"/>
              </w:rPr>
              <w:t> </w:t>
            </w:r>
          </w:p>
        </w:tc>
      </w:tr>
      <w:tr w:rsidR="00052973" w:rsidRPr="00100F0A" w14:paraId="41993E53"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169DE2A7"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D230</w:t>
            </w:r>
          </w:p>
        </w:tc>
        <w:tc>
          <w:tcPr>
            <w:tcW w:w="2750" w:type="pct"/>
            <w:tcBorders>
              <w:top w:val="nil"/>
              <w:left w:val="nil"/>
              <w:bottom w:val="nil"/>
              <w:right w:val="nil"/>
            </w:tcBorders>
            <w:shd w:val="clear" w:color="000000" w:fill="F2F2F2"/>
            <w:noWrap/>
            <w:vAlign w:val="center"/>
            <w:hideMark/>
          </w:tcPr>
          <w:p w14:paraId="420CDB56"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Zinc compounds</w:t>
            </w:r>
          </w:p>
        </w:tc>
        <w:tc>
          <w:tcPr>
            <w:tcW w:w="561" w:type="pct"/>
            <w:tcBorders>
              <w:top w:val="nil"/>
              <w:left w:val="nil"/>
              <w:bottom w:val="nil"/>
              <w:right w:val="nil"/>
            </w:tcBorders>
            <w:shd w:val="clear" w:color="000000" w:fill="F2F2F2"/>
            <w:noWrap/>
            <w:vAlign w:val="bottom"/>
            <w:hideMark/>
          </w:tcPr>
          <w:p w14:paraId="024754B4"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D230</w:t>
            </w:r>
          </w:p>
        </w:tc>
        <w:tc>
          <w:tcPr>
            <w:tcW w:w="943" w:type="pct"/>
            <w:tcBorders>
              <w:top w:val="nil"/>
              <w:left w:val="nil"/>
              <w:bottom w:val="single" w:sz="4" w:space="0" w:color="808080"/>
              <w:right w:val="nil"/>
            </w:tcBorders>
            <w:shd w:val="clear" w:color="000000" w:fill="F2F2F2"/>
            <w:noWrap/>
            <w:vAlign w:val="bottom"/>
            <w:hideMark/>
          </w:tcPr>
          <w:p w14:paraId="0589246F"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Zinc compounds</w:t>
            </w:r>
          </w:p>
        </w:tc>
        <w:tc>
          <w:tcPr>
            <w:tcW w:w="300" w:type="pct"/>
            <w:tcBorders>
              <w:top w:val="nil"/>
              <w:left w:val="nil"/>
              <w:bottom w:val="single" w:sz="4" w:space="0" w:color="808080"/>
              <w:right w:val="single" w:sz="4" w:space="0" w:color="auto"/>
            </w:tcBorders>
            <w:shd w:val="clear" w:color="000000" w:fill="F2F2F2"/>
            <w:noWrap/>
            <w:vAlign w:val="bottom"/>
            <w:hideMark/>
          </w:tcPr>
          <w:p w14:paraId="79475BCA" w14:textId="77777777" w:rsidR="00052973" w:rsidRPr="00100F0A" w:rsidRDefault="00052973" w:rsidP="00052973">
            <w:pPr>
              <w:jc w:val="right"/>
              <w:rPr>
                <w:rFonts w:eastAsia="Times New Roman" w:cs="Calibri"/>
                <w:color w:val="000000"/>
                <w:sz w:val="20"/>
                <w:szCs w:val="20"/>
                <w:lang w:eastAsia="en-AU"/>
              </w:rPr>
            </w:pPr>
            <w:r w:rsidRPr="00100F0A">
              <w:rPr>
                <w:rFonts w:eastAsia="Times New Roman" w:cs="Calibri"/>
                <w:color w:val="000000"/>
                <w:sz w:val="20"/>
                <w:szCs w:val="20"/>
                <w:lang w:eastAsia="en-AU"/>
              </w:rPr>
              <w:t> </w:t>
            </w:r>
          </w:p>
        </w:tc>
      </w:tr>
      <w:tr w:rsidR="00052973" w:rsidRPr="00100F0A" w14:paraId="09766246"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2EF8BAB7"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D240</w:t>
            </w:r>
          </w:p>
        </w:tc>
        <w:tc>
          <w:tcPr>
            <w:tcW w:w="2750" w:type="pct"/>
            <w:tcBorders>
              <w:top w:val="nil"/>
              <w:left w:val="nil"/>
              <w:bottom w:val="nil"/>
              <w:right w:val="nil"/>
            </w:tcBorders>
            <w:shd w:val="clear" w:color="000000" w:fill="F2F2F2"/>
            <w:noWrap/>
            <w:vAlign w:val="center"/>
            <w:hideMark/>
          </w:tcPr>
          <w:p w14:paraId="171FB9AD"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Selenium; selenium compounds</w:t>
            </w:r>
          </w:p>
        </w:tc>
        <w:tc>
          <w:tcPr>
            <w:tcW w:w="561" w:type="pct"/>
            <w:tcBorders>
              <w:top w:val="single" w:sz="4" w:space="0" w:color="808080"/>
              <w:left w:val="nil"/>
              <w:bottom w:val="nil"/>
              <w:right w:val="nil"/>
            </w:tcBorders>
            <w:shd w:val="clear" w:color="000000" w:fill="F2F2F2"/>
            <w:noWrap/>
            <w:vAlign w:val="bottom"/>
            <w:hideMark/>
          </w:tcPr>
          <w:p w14:paraId="3722E85B"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D</w:t>
            </w:r>
          </w:p>
        </w:tc>
        <w:tc>
          <w:tcPr>
            <w:tcW w:w="1243" w:type="pct"/>
            <w:gridSpan w:val="2"/>
            <w:vMerge w:val="restart"/>
            <w:tcBorders>
              <w:top w:val="single" w:sz="4" w:space="0" w:color="808080"/>
              <w:left w:val="nil"/>
              <w:bottom w:val="single" w:sz="4" w:space="0" w:color="808080"/>
              <w:right w:val="single" w:sz="4" w:space="0" w:color="auto"/>
            </w:tcBorders>
            <w:shd w:val="clear" w:color="000000" w:fill="F2F2F2"/>
            <w:noWrap/>
            <w:vAlign w:val="center"/>
            <w:hideMark/>
          </w:tcPr>
          <w:p w14:paraId="5138C1FA"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inorganic chemicals</w:t>
            </w:r>
          </w:p>
        </w:tc>
      </w:tr>
      <w:tr w:rsidR="00052973" w:rsidRPr="00100F0A" w14:paraId="0DADDCB0"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1DA4D1BA"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D250</w:t>
            </w:r>
          </w:p>
        </w:tc>
        <w:tc>
          <w:tcPr>
            <w:tcW w:w="2750" w:type="pct"/>
            <w:tcBorders>
              <w:top w:val="nil"/>
              <w:left w:val="nil"/>
              <w:bottom w:val="nil"/>
              <w:right w:val="nil"/>
            </w:tcBorders>
            <w:shd w:val="clear" w:color="000000" w:fill="F2F2F2"/>
            <w:noWrap/>
            <w:vAlign w:val="center"/>
            <w:hideMark/>
          </w:tcPr>
          <w:p w14:paraId="570E8C2F"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Tellurium; tellurium compounds</w:t>
            </w:r>
          </w:p>
        </w:tc>
        <w:tc>
          <w:tcPr>
            <w:tcW w:w="561" w:type="pct"/>
            <w:tcBorders>
              <w:top w:val="nil"/>
              <w:left w:val="nil"/>
              <w:bottom w:val="nil"/>
              <w:right w:val="nil"/>
            </w:tcBorders>
            <w:shd w:val="clear" w:color="000000" w:fill="F2F2F2"/>
            <w:noWrap/>
            <w:vAlign w:val="bottom"/>
            <w:hideMark/>
          </w:tcPr>
          <w:p w14:paraId="6424C914"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D</w:t>
            </w:r>
          </w:p>
        </w:tc>
        <w:tc>
          <w:tcPr>
            <w:tcW w:w="1243" w:type="pct"/>
            <w:gridSpan w:val="2"/>
            <w:vMerge/>
            <w:tcBorders>
              <w:top w:val="nil"/>
              <w:left w:val="nil"/>
              <w:bottom w:val="nil"/>
              <w:right w:val="single" w:sz="4" w:space="0" w:color="auto"/>
            </w:tcBorders>
            <w:vAlign w:val="center"/>
            <w:hideMark/>
          </w:tcPr>
          <w:p w14:paraId="7242F495" w14:textId="77777777" w:rsidR="00052973" w:rsidRPr="00100F0A" w:rsidRDefault="00052973" w:rsidP="00052973">
            <w:pPr>
              <w:rPr>
                <w:rFonts w:eastAsia="Times New Roman" w:cs="Calibri"/>
                <w:color w:val="000000"/>
                <w:sz w:val="20"/>
                <w:szCs w:val="20"/>
                <w:lang w:eastAsia="en-AU"/>
              </w:rPr>
            </w:pPr>
          </w:p>
        </w:tc>
      </w:tr>
      <w:tr w:rsidR="00052973" w:rsidRPr="00100F0A" w14:paraId="5A6A916C"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61F7F66C"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D270</w:t>
            </w:r>
          </w:p>
        </w:tc>
        <w:tc>
          <w:tcPr>
            <w:tcW w:w="2750" w:type="pct"/>
            <w:tcBorders>
              <w:top w:val="nil"/>
              <w:left w:val="nil"/>
              <w:bottom w:val="nil"/>
              <w:right w:val="nil"/>
            </w:tcBorders>
            <w:shd w:val="clear" w:color="000000" w:fill="F2F2F2"/>
            <w:noWrap/>
            <w:vAlign w:val="center"/>
            <w:hideMark/>
          </w:tcPr>
          <w:p w14:paraId="00B566B4"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Vanadium compounds</w:t>
            </w:r>
          </w:p>
        </w:tc>
        <w:tc>
          <w:tcPr>
            <w:tcW w:w="561" w:type="pct"/>
            <w:tcBorders>
              <w:top w:val="nil"/>
              <w:left w:val="nil"/>
              <w:bottom w:val="nil"/>
              <w:right w:val="nil"/>
            </w:tcBorders>
            <w:shd w:val="clear" w:color="000000" w:fill="F2F2F2"/>
            <w:noWrap/>
            <w:vAlign w:val="bottom"/>
            <w:hideMark/>
          </w:tcPr>
          <w:p w14:paraId="4A31B638"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D</w:t>
            </w:r>
          </w:p>
        </w:tc>
        <w:tc>
          <w:tcPr>
            <w:tcW w:w="1243" w:type="pct"/>
            <w:gridSpan w:val="2"/>
            <w:vMerge/>
            <w:tcBorders>
              <w:top w:val="nil"/>
              <w:left w:val="nil"/>
              <w:bottom w:val="nil"/>
              <w:right w:val="single" w:sz="4" w:space="0" w:color="auto"/>
            </w:tcBorders>
            <w:vAlign w:val="center"/>
            <w:hideMark/>
          </w:tcPr>
          <w:p w14:paraId="70287056" w14:textId="77777777" w:rsidR="00052973" w:rsidRPr="00100F0A" w:rsidRDefault="00052973" w:rsidP="00052973">
            <w:pPr>
              <w:rPr>
                <w:rFonts w:eastAsia="Times New Roman" w:cs="Calibri"/>
                <w:color w:val="000000"/>
                <w:sz w:val="20"/>
                <w:szCs w:val="20"/>
                <w:lang w:eastAsia="en-AU"/>
              </w:rPr>
            </w:pPr>
          </w:p>
        </w:tc>
      </w:tr>
      <w:tr w:rsidR="00052973" w:rsidRPr="00100F0A" w14:paraId="5D011F11"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4559B194"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D290</w:t>
            </w:r>
          </w:p>
        </w:tc>
        <w:tc>
          <w:tcPr>
            <w:tcW w:w="2750" w:type="pct"/>
            <w:tcBorders>
              <w:top w:val="nil"/>
              <w:left w:val="nil"/>
              <w:bottom w:val="nil"/>
              <w:right w:val="nil"/>
            </w:tcBorders>
            <w:shd w:val="clear" w:color="000000" w:fill="F2F2F2"/>
            <w:noWrap/>
            <w:vAlign w:val="center"/>
            <w:hideMark/>
          </w:tcPr>
          <w:p w14:paraId="1CFE5056"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Barium compounds (excluding barium sulphate)</w:t>
            </w:r>
          </w:p>
        </w:tc>
        <w:tc>
          <w:tcPr>
            <w:tcW w:w="561" w:type="pct"/>
            <w:tcBorders>
              <w:top w:val="nil"/>
              <w:left w:val="nil"/>
              <w:bottom w:val="single" w:sz="4" w:space="0" w:color="808080"/>
              <w:right w:val="nil"/>
            </w:tcBorders>
            <w:shd w:val="clear" w:color="000000" w:fill="F2F2F2"/>
            <w:noWrap/>
            <w:vAlign w:val="bottom"/>
            <w:hideMark/>
          </w:tcPr>
          <w:p w14:paraId="635CB75A"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D</w:t>
            </w:r>
          </w:p>
        </w:tc>
        <w:tc>
          <w:tcPr>
            <w:tcW w:w="1243" w:type="pct"/>
            <w:gridSpan w:val="2"/>
            <w:vMerge/>
            <w:tcBorders>
              <w:top w:val="nil"/>
              <w:left w:val="nil"/>
              <w:bottom w:val="single" w:sz="4" w:space="0" w:color="808080"/>
              <w:right w:val="single" w:sz="4" w:space="0" w:color="auto"/>
            </w:tcBorders>
            <w:vAlign w:val="center"/>
            <w:hideMark/>
          </w:tcPr>
          <w:p w14:paraId="76F2D5CD" w14:textId="77777777" w:rsidR="00052973" w:rsidRPr="00100F0A" w:rsidRDefault="00052973" w:rsidP="00052973">
            <w:pPr>
              <w:rPr>
                <w:rFonts w:eastAsia="Times New Roman" w:cs="Calibri"/>
                <w:color w:val="000000"/>
                <w:sz w:val="20"/>
                <w:szCs w:val="20"/>
                <w:lang w:eastAsia="en-AU"/>
              </w:rPr>
            </w:pPr>
          </w:p>
        </w:tc>
      </w:tr>
      <w:tr w:rsidR="00052973" w:rsidRPr="00100F0A" w14:paraId="3EE8682B"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0F11CA49"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D300</w:t>
            </w:r>
          </w:p>
        </w:tc>
        <w:tc>
          <w:tcPr>
            <w:tcW w:w="2750" w:type="pct"/>
            <w:tcBorders>
              <w:top w:val="nil"/>
              <w:left w:val="nil"/>
              <w:bottom w:val="nil"/>
              <w:right w:val="nil"/>
            </w:tcBorders>
            <w:shd w:val="clear" w:color="000000" w:fill="F2F2F2"/>
            <w:noWrap/>
            <w:vAlign w:val="center"/>
            <w:hideMark/>
          </w:tcPr>
          <w:p w14:paraId="388A16B4"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Non-toxic salts</w:t>
            </w:r>
          </w:p>
        </w:tc>
        <w:tc>
          <w:tcPr>
            <w:tcW w:w="561" w:type="pct"/>
            <w:tcBorders>
              <w:top w:val="nil"/>
              <w:left w:val="nil"/>
              <w:bottom w:val="nil"/>
              <w:right w:val="nil"/>
            </w:tcBorders>
            <w:shd w:val="clear" w:color="000000" w:fill="F2F2F2"/>
            <w:noWrap/>
            <w:vAlign w:val="bottom"/>
            <w:hideMark/>
          </w:tcPr>
          <w:p w14:paraId="2495DC79"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D300</w:t>
            </w:r>
          </w:p>
        </w:tc>
        <w:tc>
          <w:tcPr>
            <w:tcW w:w="943" w:type="pct"/>
            <w:tcBorders>
              <w:top w:val="nil"/>
              <w:left w:val="nil"/>
              <w:bottom w:val="single" w:sz="4" w:space="0" w:color="808080"/>
              <w:right w:val="nil"/>
            </w:tcBorders>
            <w:shd w:val="clear" w:color="000000" w:fill="F2F2F2"/>
            <w:noWrap/>
            <w:vAlign w:val="bottom"/>
            <w:hideMark/>
          </w:tcPr>
          <w:p w14:paraId="2437C2B5"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Non-toxic salts</w:t>
            </w:r>
          </w:p>
        </w:tc>
        <w:tc>
          <w:tcPr>
            <w:tcW w:w="300" w:type="pct"/>
            <w:tcBorders>
              <w:top w:val="nil"/>
              <w:left w:val="nil"/>
              <w:bottom w:val="single" w:sz="4" w:space="0" w:color="808080"/>
              <w:right w:val="single" w:sz="4" w:space="0" w:color="auto"/>
            </w:tcBorders>
            <w:shd w:val="clear" w:color="000000" w:fill="F2F2F2"/>
            <w:noWrap/>
            <w:vAlign w:val="bottom"/>
            <w:hideMark/>
          </w:tcPr>
          <w:p w14:paraId="0A356ECD" w14:textId="77777777" w:rsidR="00052973" w:rsidRPr="00100F0A" w:rsidRDefault="00052973" w:rsidP="00052973">
            <w:pPr>
              <w:jc w:val="right"/>
              <w:rPr>
                <w:rFonts w:eastAsia="Times New Roman" w:cs="Calibri"/>
                <w:color w:val="000000"/>
                <w:sz w:val="20"/>
                <w:szCs w:val="20"/>
                <w:lang w:eastAsia="en-AU"/>
              </w:rPr>
            </w:pPr>
            <w:r w:rsidRPr="00100F0A">
              <w:rPr>
                <w:rFonts w:eastAsia="Times New Roman" w:cs="Calibri"/>
                <w:color w:val="000000"/>
                <w:sz w:val="20"/>
                <w:szCs w:val="20"/>
                <w:lang w:eastAsia="en-AU"/>
              </w:rPr>
              <w:t> </w:t>
            </w:r>
          </w:p>
        </w:tc>
      </w:tr>
      <w:tr w:rsidR="00052973" w:rsidRPr="00100F0A" w14:paraId="01BEC835"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74F10E36"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D310</w:t>
            </w:r>
          </w:p>
        </w:tc>
        <w:tc>
          <w:tcPr>
            <w:tcW w:w="2750" w:type="pct"/>
            <w:tcBorders>
              <w:top w:val="nil"/>
              <w:left w:val="nil"/>
              <w:bottom w:val="nil"/>
              <w:right w:val="nil"/>
            </w:tcBorders>
            <w:shd w:val="clear" w:color="000000" w:fill="F2F2F2"/>
            <w:noWrap/>
            <w:vAlign w:val="center"/>
            <w:hideMark/>
          </w:tcPr>
          <w:p w14:paraId="5EBB3097"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Boron compounds</w:t>
            </w:r>
          </w:p>
        </w:tc>
        <w:tc>
          <w:tcPr>
            <w:tcW w:w="561" w:type="pct"/>
            <w:tcBorders>
              <w:top w:val="single" w:sz="4" w:space="0" w:color="808080"/>
              <w:left w:val="nil"/>
              <w:bottom w:val="nil"/>
              <w:right w:val="nil"/>
            </w:tcBorders>
            <w:shd w:val="clear" w:color="000000" w:fill="F2F2F2"/>
            <w:noWrap/>
            <w:vAlign w:val="bottom"/>
            <w:hideMark/>
          </w:tcPr>
          <w:p w14:paraId="4E43FE2D"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D</w:t>
            </w:r>
          </w:p>
        </w:tc>
        <w:tc>
          <w:tcPr>
            <w:tcW w:w="1243" w:type="pct"/>
            <w:gridSpan w:val="2"/>
            <w:vMerge w:val="restart"/>
            <w:tcBorders>
              <w:top w:val="single" w:sz="4" w:space="0" w:color="808080"/>
              <w:left w:val="nil"/>
              <w:bottom w:val="single" w:sz="4" w:space="0" w:color="808080"/>
              <w:right w:val="single" w:sz="4" w:space="0" w:color="auto"/>
            </w:tcBorders>
            <w:shd w:val="clear" w:color="000000" w:fill="F2F2F2"/>
            <w:noWrap/>
            <w:vAlign w:val="center"/>
            <w:hideMark/>
          </w:tcPr>
          <w:p w14:paraId="217ADEB7"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inorganic chemicals</w:t>
            </w:r>
          </w:p>
        </w:tc>
      </w:tr>
      <w:tr w:rsidR="00052973" w:rsidRPr="00100F0A" w14:paraId="104ED866"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0F1355CD"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D330</w:t>
            </w:r>
          </w:p>
        </w:tc>
        <w:tc>
          <w:tcPr>
            <w:tcW w:w="2750" w:type="pct"/>
            <w:tcBorders>
              <w:top w:val="nil"/>
              <w:left w:val="nil"/>
              <w:bottom w:val="nil"/>
              <w:right w:val="nil"/>
            </w:tcBorders>
            <w:shd w:val="clear" w:color="000000" w:fill="F2F2F2"/>
            <w:noWrap/>
            <w:vAlign w:val="center"/>
            <w:hideMark/>
          </w:tcPr>
          <w:p w14:paraId="73CF43F5"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Inorganic sulfides</w:t>
            </w:r>
          </w:p>
        </w:tc>
        <w:tc>
          <w:tcPr>
            <w:tcW w:w="561" w:type="pct"/>
            <w:tcBorders>
              <w:top w:val="nil"/>
              <w:left w:val="nil"/>
              <w:bottom w:val="nil"/>
              <w:right w:val="nil"/>
            </w:tcBorders>
            <w:shd w:val="clear" w:color="000000" w:fill="F2F2F2"/>
            <w:noWrap/>
            <w:vAlign w:val="bottom"/>
            <w:hideMark/>
          </w:tcPr>
          <w:p w14:paraId="716EFE78"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D</w:t>
            </w:r>
          </w:p>
        </w:tc>
        <w:tc>
          <w:tcPr>
            <w:tcW w:w="1243" w:type="pct"/>
            <w:gridSpan w:val="2"/>
            <w:vMerge/>
            <w:tcBorders>
              <w:top w:val="nil"/>
              <w:left w:val="nil"/>
              <w:bottom w:val="nil"/>
              <w:right w:val="single" w:sz="4" w:space="0" w:color="auto"/>
            </w:tcBorders>
            <w:vAlign w:val="center"/>
            <w:hideMark/>
          </w:tcPr>
          <w:p w14:paraId="4A253429" w14:textId="77777777" w:rsidR="00052973" w:rsidRPr="00100F0A" w:rsidRDefault="00052973" w:rsidP="00052973">
            <w:pPr>
              <w:rPr>
                <w:rFonts w:eastAsia="Times New Roman" w:cs="Calibri"/>
                <w:color w:val="000000"/>
                <w:sz w:val="20"/>
                <w:szCs w:val="20"/>
                <w:lang w:eastAsia="en-AU"/>
              </w:rPr>
            </w:pPr>
          </w:p>
        </w:tc>
      </w:tr>
      <w:tr w:rsidR="00052973" w:rsidRPr="00100F0A" w14:paraId="358DDBF7"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3BD069D1"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D340</w:t>
            </w:r>
          </w:p>
        </w:tc>
        <w:tc>
          <w:tcPr>
            <w:tcW w:w="2750" w:type="pct"/>
            <w:tcBorders>
              <w:top w:val="nil"/>
              <w:left w:val="nil"/>
              <w:bottom w:val="nil"/>
              <w:right w:val="nil"/>
            </w:tcBorders>
            <w:shd w:val="clear" w:color="000000" w:fill="F2F2F2"/>
            <w:noWrap/>
            <w:vAlign w:val="center"/>
            <w:hideMark/>
          </w:tcPr>
          <w:p w14:paraId="45784992"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Perchlorates</w:t>
            </w:r>
          </w:p>
        </w:tc>
        <w:tc>
          <w:tcPr>
            <w:tcW w:w="561" w:type="pct"/>
            <w:tcBorders>
              <w:top w:val="nil"/>
              <w:left w:val="nil"/>
              <w:bottom w:val="nil"/>
              <w:right w:val="nil"/>
            </w:tcBorders>
            <w:shd w:val="clear" w:color="000000" w:fill="F2F2F2"/>
            <w:noWrap/>
            <w:vAlign w:val="bottom"/>
            <w:hideMark/>
          </w:tcPr>
          <w:p w14:paraId="32AB4D4B"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D</w:t>
            </w:r>
          </w:p>
        </w:tc>
        <w:tc>
          <w:tcPr>
            <w:tcW w:w="1243" w:type="pct"/>
            <w:gridSpan w:val="2"/>
            <w:vMerge/>
            <w:tcBorders>
              <w:top w:val="nil"/>
              <w:left w:val="nil"/>
              <w:bottom w:val="nil"/>
              <w:right w:val="single" w:sz="4" w:space="0" w:color="auto"/>
            </w:tcBorders>
            <w:vAlign w:val="center"/>
            <w:hideMark/>
          </w:tcPr>
          <w:p w14:paraId="70C0F542" w14:textId="77777777" w:rsidR="00052973" w:rsidRPr="00100F0A" w:rsidRDefault="00052973" w:rsidP="00052973">
            <w:pPr>
              <w:rPr>
                <w:rFonts w:eastAsia="Times New Roman" w:cs="Calibri"/>
                <w:color w:val="000000"/>
                <w:sz w:val="20"/>
                <w:szCs w:val="20"/>
                <w:lang w:eastAsia="en-AU"/>
              </w:rPr>
            </w:pPr>
          </w:p>
        </w:tc>
      </w:tr>
      <w:tr w:rsidR="00052973" w:rsidRPr="00100F0A" w14:paraId="5028C319"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1E3C574B"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D350</w:t>
            </w:r>
          </w:p>
        </w:tc>
        <w:tc>
          <w:tcPr>
            <w:tcW w:w="2750" w:type="pct"/>
            <w:tcBorders>
              <w:top w:val="nil"/>
              <w:left w:val="nil"/>
              <w:bottom w:val="nil"/>
              <w:right w:val="nil"/>
            </w:tcBorders>
            <w:shd w:val="clear" w:color="000000" w:fill="F2F2F2"/>
            <w:noWrap/>
            <w:vAlign w:val="center"/>
            <w:hideMark/>
          </w:tcPr>
          <w:p w14:paraId="0BED9371"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Chlorates</w:t>
            </w:r>
          </w:p>
        </w:tc>
        <w:tc>
          <w:tcPr>
            <w:tcW w:w="561" w:type="pct"/>
            <w:tcBorders>
              <w:top w:val="nil"/>
              <w:left w:val="nil"/>
              <w:bottom w:val="nil"/>
              <w:right w:val="nil"/>
            </w:tcBorders>
            <w:shd w:val="clear" w:color="000000" w:fill="F2F2F2"/>
            <w:noWrap/>
            <w:vAlign w:val="bottom"/>
            <w:hideMark/>
          </w:tcPr>
          <w:p w14:paraId="343E1C8F"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D</w:t>
            </w:r>
          </w:p>
        </w:tc>
        <w:tc>
          <w:tcPr>
            <w:tcW w:w="1243" w:type="pct"/>
            <w:gridSpan w:val="2"/>
            <w:vMerge/>
            <w:tcBorders>
              <w:top w:val="nil"/>
              <w:left w:val="nil"/>
              <w:bottom w:val="nil"/>
              <w:right w:val="single" w:sz="4" w:space="0" w:color="auto"/>
            </w:tcBorders>
            <w:vAlign w:val="center"/>
            <w:hideMark/>
          </w:tcPr>
          <w:p w14:paraId="4DDA70DE" w14:textId="77777777" w:rsidR="00052973" w:rsidRPr="00100F0A" w:rsidRDefault="00052973" w:rsidP="00052973">
            <w:pPr>
              <w:rPr>
                <w:rFonts w:eastAsia="Times New Roman" w:cs="Calibri"/>
                <w:color w:val="000000"/>
                <w:sz w:val="20"/>
                <w:szCs w:val="20"/>
                <w:lang w:eastAsia="en-AU"/>
              </w:rPr>
            </w:pPr>
          </w:p>
        </w:tc>
      </w:tr>
      <w:tr w:rsidR="00052973" w:rsidRPr="00100F0A" w14:paraId="240530F3" w14:textId="77777777" w:rsidTr="00052973">
        <w:trPr>
          <w:trHeight w:val="255"/>
        </w:trPr>
        <w:tc>
          <w:tcPr>
            <w:tcW w:w="446" w:type="pct"/>
            <w:tcBorders>
              <w:top w:val="nil"/>
              <w:left w:val="single" w:sz="4" w:space="0" w:color="auto"/>
              <w:bottom w:val="single" w:sz="4" w:space="0" w:color="808080"/>
              <w:right w:val="nil"/>
            </w:tcBorders>
            <w:shd w:val="clear" w:color="000000" w:fill="F2F2F2"/>
            <w:noWrap/>
            <w:vAlign w:val="center"/>
            <w:hideMark/>
          </w:tcPr>
          <w:p w14:paraId="46D176BD"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D360</w:t>
            </w:r>
          </w:p>
        </w:tc>
        <w:tc>
          <w:tcPr>
            <w:tcW w:w="2750" w:type="pct"/>
            <w:tcBorders>
              <w:top w:val="nil"/>
              <w:left w:val="nil"/>
              <w:bottom w:val="single" w:sz="4" w:space="0" w:color="808080"/>
              <w:right w:val="nil"/>
            </w:tcBorders>
            <w:shd w:val="clear" w:color="000000" w:fill="F2F2F2"/>
            <w:noWrap/>
            <w:vAlign w:val="center"/>
            <w:hideMark/>
          </w:tcPr>
          <w:p w14:paraId="6CC516A3"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Phosphorus compounds excluding mineral phosphates</w:t>
            </w:r>
          </w:p>
        </w:tc>
        <w:tc>
          <w:tcPr>
            <w:tcW w:w="561" w:type="pct"/>
            <w:tcBorders>
              <w:top w:val="nil"/>
              <w:left w:val="nil"/>
              <w:bottom w:val="single" w:sz="4" w:space="0" w:color="808080"/>
              <w:right w:val="nil"/>
            </w:tcBorders>
            <w:shd w:val="clear" w:color="000000" w:fill="F2F2F2"/>
            <w:noWrap/>
            <w:vAlign w:val="bottom"/>
            <w:hideMark/>
          </w:tcPr>
          <w:p w14:paraId="60024D38"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D</w:t>
            </w:r>
          </w:p>
        </w:tc>
        <w:tc>
          <w:tcPr>
            <w:tcW w:w="1243" w:type="pct"/>
            <w:gridSpan w:val="2"/>
            <w:vMerge/>
            <w:tcBorders>
              <w:top w:val="nil"/>
              <w:left w:val="nil"/>
              <w:bottom w:val="single" w:sz="4" w:space="0" w:color="808080"/>
              <w:right w:val="single" w:sz="4" w:space="0" w:color="auto"/>
            </w:tcBorders>
            <w:vAlign w:val="center"/>
            <w:hideMark/>
          </w:tcPr>
          <w:p w14:paraId="53594DA9" w14:textId="77777777" w:rsidR="00052973" w:rsidRPr="00100F0A" w:rsidRDefault="00052973" w:rsidP="00052973">
            <w:pPr>
              <w:rPr>
                <w:rFonts w:eastAsia="Times New Roman" w:cs="Calibri"/>
                <w:color w:val="000000"/>
                <w:sz w:val="20"/>
                <w:szCs w:val="20"/>
                <w:lang w:eastAsia="en-AU"/>
              </w:rPr>
            </w:pPr>
          </w:p>
        </w:tc>
      </w:tr>
      <w:tr w:rsidR="00052973" w:rsidRPr="00100F0A" w14:paraId="4D27DA31"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7633AAF9"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E100</w:t>
            </w:r>
          </w:p>
        </w:tc>
        <w:tc>
          <w:tcPr>
            <w:tcW w:w="2750" w:type="pct"/>
            <w:tcBorders>
              <w:top w:val="nil"/>
              <w:left w:val="nil"/>
              <w:bottom w:val="nil"/>
              <w:right w:val="nil"/>
            </w:tcBorders>
            <w:shd w:val="clear" w:color="000000" w:fill="F2F2F2"/>
            <w:noWrap/>
            <w:vAlign w:val="center"/>
            <w:hideMark/>
          </w:tcPr>
          <w:p w14:paraId="37330459"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Waste containing peroxides other than hydrogen peroxide</w:t>
            </w:r>
          </w:p>
        </w:tc>
        <w:tc>
          <w:tcPr>
            <w:tcW w:w="561" w:type="pct"/>
            <w:tcBorders>
              <w:top w:val="nil"/>
              <w:left w:val="nil"/>
              <w:bottom w:val="single" w:sz="4" w:space="0" w:color="808080"/>
              <w:right w:val="nil"/>
            </w:tcBorders>
            <w:shd w:val="clear" w:color="000000" w:fill="F2F2F2"/>
            <w:noWrap/>
            <w:vAlign w:val="bottom"/>
            <w:hideMark/>
          </w:tcPr>
          <w:p w14:paraId="3B3AA7C5"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E</w:t>
            </w:r>
          </w:p>
        </w:tc>
        <w:tc>
          <w:tcPr>
            <w:tcW w:w="943" w:type="pct"/>
            <w:tcBorders>
              <w:top w:val="nil"/>
              <w:left w:val="nil"/>
              <w:bottom w:val="single" w:sz="4" w:space="0" w:color="808080"/>
              <w:right w:val="nil"/>
            </w:tcBorders>
            <w:shd w:val="clear" w:color="000000" w:fill="F2F2F2"/>
            <w:noWrap/>
            <w:vAlign w:val="bottom"/>
            <w:hideMark/>
          </w:tcPr>
          <w:p w14:paraId="5442F773"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Reactive chemicals</w:t>
            </w:r>
          </w:p>
        </w:tc>
        <w:tc>
          <w:tcPr>
            <w:tcW w:w="300" w:type="pct"/>
            <w:tcBorders>
              <w:top w:val="nil"/>
              <w:left w:val="nil"/>
              <w:bottom w:val="single" w:sz="4" w:space="0" w:color="808080"/>
              <w:right w:val="single" w:sz="4" w:space="0" w:color="auto"/>
            </w:tcBorders>
            <w:shd w:val="clear" w:color="000000" w:fill="F2F2F2"/>
            <w:noWrap/>
            <w:vAlign w:val="bottom"/>
            <w:hideMark/>
          </w:tcPr>
          <w:p w14:paraId="281BCA2D" w14:textId="77777777" w:rsidR="00052973" w:rsidRPr="00100F0A" w:rsidRDefault="00052973" w:rsidP="00052973">
            <w:pPr>
              <w:jc w:val="right"/>
              <w:rPr>
                <w:rFonts w:eastAsia="Times New Roman" w:cs="Calibri"/>
                <w:color w:val="000000"/>
                <w:sz w:val="20"/>
                <w:szCs w:val="20"/>
                <w:lang w:eastAsia="en-AU"/>
              </w:rPr>
            </w:pPr>
            <w:r w:rsidRPr="00100F0A">
              <w:rPr>
                <w:rFonts w:eastAsia="Times New Roman" w:cs="Calibri"/>
                <w:color w:val="000000"/>
                <w:sz w:val="20"/>
                <w:szCs w:val="20"/>
                <w:lang w:eastAsia="en-AU"/>
              </w:rPr>
              <w:t> </w:t>
            </w:r>
          </w:p>
        </w:tc>
      </w:tr>
      <w:tr w:rsidR="00052973" w:rsidRPr="00100F0A" w14:paraId="21283A65"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0CEA6C56"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F100</w:t>
            </w:r>
          </w:p>
        </w:tc>
        <w:tc>
          <w:tcPr>
            <w:tcW w:w="2750" w:type="pct"/>
            <w:tcBorders>
              <w:top w:val="nil"/>
              <w:left w:val="nil"/>
              <w:bottom w:val="nil"/>
              <w:right w:val="nil"/>
            </w:tcBorders>
            <w:shd w:val="clear" w:color="000000" w:fill="F2F2F2"/>
            <w:noWrap/>
            <w:vAlign w:val="center"/>
            <w:hideMark/>
          </w:tcPr>
          <w:p w14:paraId="184ACD40"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Waste from the production, formulation and use of inks, dyes, pigments, paints, lacquers and varnish</w:t>
            </w:r>
          </w:p>
        </w:tc>
        <w:tc>
          <w:tcPr>
            <w:tcW w:w="561" w:type="pct"/>
            <w:tcBorders>
              <w:top w:val="nil"/>
              <w:left w:val="nil"/>
              <w:bottom w:val="nil"/>
              <w:right w:val="nil"/>
            </w:tcBorders>
            <w:shd w:val="clear" w:color="000000" w:fill="F2F2F2"/>
            <w:noWrap/>
            <w:vAlign w:val="bottom"/>
            <w:hideMark/>
          </w:tcPr>
          <w:p w14:paraId="08B0D7F6"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F</w:t>
            </w:r>
          </w:p>
        </w:tc>
        <w:tc>
          <w:tcPr>
            <w:tcW w:w="1243" w:type="pct"/>
            <w:gridSpan w:val="2"/>
            <w:vMerge w:val="restart"/>
            <w:tcBorders>
              <w:top w:val="single" w:sz="4" w:space="0" w:color="808080"/>
              <w:left w:val="nil"/>
              <w:bottom w:val="single" w:sz="4" w:space="0" w:color="808080"/>
              <w:right w:val="single" w:sz="4" w:space="0" w:color="auto"/>
            </w:tcBorders>
            <w:shd w:val="clear" w:color="000000" w:fill="F2F2F2"/>
            <w:noWrap/>
            <w:vAlign w:val="center"/>
            <w:hideMark/>
          </w:tcPr>
          <w:p w14:paraId="0359A554"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Paints, resins, inks, organic sludges</w:t>
            </w:r>
          </w:p>
        </w:tc>
      </w:tr>
      <w:tr w:rsidR="00052973" w:rsidRPr="00100F0A" w14:paraId="6E5F02E6"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1F54F4FB"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F110</w:t>
            </w:r>
          </w:p>
        </w:tc>
        <w:tc>
          <w:tcPr>
            <w:tcW w:w="2750" w:type="pct"/>
            <w:tcBorders>
              <w:top w:val="nil"/>
              <w:left w:val="nil"/>
              <w:bottom w:val="nil"/>
              <w:right w:val="nil"/>
            </w:tcBorders>
            <w:shd w:val="clear" w:color="000000" w:fill="F2F2F2"/>
            <w:noWrap/>
            <w:vAlign w:val="center"/>
            <w:hideMark/>
          </w:tcPr>
          <w:p w14:paraId="1947152E"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Waste from the production, formulation and use of resins, latex, plasticisers, glues and adhesives</w:t>
            </w:r>
          </w:p>
        </w:tc>
        <w:tc>
          <w:tcPr>
            <w:tcW w:w="561" w:type="pct"/>
            <w:tcBorders>
              <w:top w:val="nil"/>
              <w:left w:val="nil"/>
              <w:bottom w:val="nil"/>
              <w:right w:val="nil"/>
            </w:tcBorders>
            <w:shd w:val="clear" w:color="000000" w:fill="F2F2F2"/>
            <w:noWrap/>
            <w:vAlign w:val="bottom"/>
            <w:hideMark/>
          </w:tcPr>
          <w:p w14:paraId="570450F0"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F</w:t>
            </w:r>
          </w:p>
        </w:tc>
        <w:tc>
          <w:tcPr>
            <w:tcW w:w="1243" w:type="pct"/>
            <w:gridSpan w:val="2"/>
            <w:vMerge/>
            <w:tcBorders>
              <w:top w:val="nil"/>
              <w:left w:val="nil"/>
              <w:bottom w:val="nil"/>
              <w:right w:val="single" w:sz="4" w:space="0" w:color="auto"/>
            </w:tcBorders>
            <w:vAlign w:val="center"/>
            <w:hideMark/>
          </w:tcPr>
          <w:p w14:paraId="5BA1EF1D" w14:textId="77777777" w:rsidR="00052973" w:rsidRPr="00100F0A" w:rsidRDefault="00052973" w:rsidP="00052973">
            <w:pPr>
              <w:rPr>
                <w:rFonts w:eastAsia="Times New Roman" w:cs="Calibri"/>
                <w:color w:val="000000"/>
                <w:sz w:val="20"/>
                <w:szCs w:val="20"/>
                <w:lang w:eastAsia="en-AU"/>
              </w:rPr>
            </w:pPr>
          </w:p>
        </w:tc>
      </w:tr>
      <w:tr w:rsidR="00052973" w:rsidRPr="00100F0A" w14:paraId="08A41F2C" w14:textId="77777777" w:rsidTr="00052973">
        <w:trPr>
          <w:trHeight w:val="270"/>
        </w:trPr>
        <w:tc>
          <w:tcPr>
            <w:tcW w:w="446" w:type="pct"/>
            <w:tcBorders>
              <w:top w:val="single" w:sz="4" w:space="0" w:color="808080"/>
              <w:left w:val="single" w:sz="4" w:space="0" w:color="auto"/>
              <w:bottom w:val="nil"/>
              <w:right w:val="nil"/>
            </w:tcBorders>
            <w:shd w:val="clear" w:color="000000" w:fill="F2F2F2"/>
            <w:noWrap/>
            <w:vAlign w:val="center"/>
            <w:hideMark/>
          </w:tcPr>
          <w:p w14:paraId="4DFF29D0"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G100</w:t>
            </w:r>
          </w:p>
        </w:tc>
        <w:tc>
          <w:tcPr>
            <w:tcW w:w="2750" w:type="pct"/>
            <w:tcBorders>
              <w:top w:val="single" w:sz="4" w:space="0" w:color="808080"/>
              <w:left w:val="nil"/>
              <w:bottom w:val="nil"/>
              <w:right w:val="nil"/>
            </w:tcBorders>
            <w:shd w:val="clear" w:color="000000" w:fill="F2F2F2"/>
            <w:noWrap/>
            <w:vAlign w:val="center"/>
            <w:hideMark/>
          </w:tcPr>
          <w:p w14:paraId="50F3FEEE"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Ethers</w:t>
            </w:r>
          </w:p>
        </w:tc>
        <w:tc>
          <w:tcPr>
            <w:tcW w:w="561" w:type="pct"/>
            <w:tcBorders>
              <w:top w:val="single" w:sz="4" w:space="0" w:color="808080"/>
              <w:left w:val="nil"/>
              <w:bottom w:val="nil"/>
              <w:right w:val="nil"/>
            </w:tcBorders>
            <w:shd w:val="clear" w:color="000000" w:fill="F2F2F2"/>
            <w:noWrap/>
            <w:vAlign w:val="bottom"/>
            <w:hideMark/>
          </w:tcPr>
          <w:p w14:paraId="3B87DFA8"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G</w:t>
            </w:r>
          </w:p>
        </w:tc>
        <w:tc>
          <w:tcPr>
            <w:tcW w:w="1243" w:type="pct"/>
            <w:gridSpan w:val="2"/>
            <w:vMerge w:val="restart"/>
            <w:tcBorders>
              <w:top w:val="single" w:sz="4" w:space="0" w:color="808080"/>
              <w:left w:val="nil"/>
              <w:bottom w:val="single" w:sz="4" w:space="0" w:color="808080"/>
              <w:right w:val="single" w:sz="4" w:space="0" w:color="auto"/>
            </w:tcBorders>
            <w:shd w:val="clear" w:color="000000" w:fill="F2F2F2"/>
            <w:noWrap/>
            <w:vAlign w:val="center"/>
            <w:hideMark/>
          </w:tcPr>
          <w:p w14:paraId="669BF8C9"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Organic solvents</w:t>
            </w:r>
          </w:p>
        </w:tc>
      </w:tr>
      <w:tr w:rsidR="00052973" w:rsidRPr="00100F0A" w14:paraId="2F750BCF" w14:textId="77777777" w:rsidTr="00052973">
        <w:trPr>
          <w:trHeight w:val="270"/>
        </w:trPr>
        <w:tc>
          <w:tcPr>
            <w:tcW w:w="446" w:type="pct"/>
            <w:tcBorders>
              <w:top w:val="nil"/>
              <w:left w:val="single" w:sz="4" w:space="0" w:color="auto"/>
              <w:bottom w:val="nil"/>
              <w:right w:val="nil"/>
            </w:tcBorders>
            <w:shd w:val="clear" w:color="000000" w:fill="F2F2F2"/>
            <w:noWrap/>
            <w:vAlign w:val="center"/>
            <w:hideMark/>
          </w:tcPr>
          <w:p w14:paraId="1B4CA0E5"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G110</w:t>
            </w:r>
          </w:p>
        </w:tc>
        <w:tc>
          <w:tcPr>
            <w:tcW w:w="2750" w:type="pct"/>
            <w:tcBorders>
              <w:top w:val="nil"/>
              <w:left w:val="nil"/>
              <w:bottom w:val="nil"/>
              <w:right w:val="nil"/>
            </w:tcBorders>
            <w:shd w:val="clear" w:color="000000" w:fill="F2F2F2"/>
            <w:noWrap/>
            <w:vAlign w:val="center"/>
            <w:hideMark/>
          </w:tcPr>
          <w:p w14:paraId="65C536B9"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Organic solvents excluding halogenated solvents</w:t>
            </w:r>
          </w:p>
        </w:tc>
        <w:tc>
          <w:tcPr>
            <w:tcW w:w="561" w:type="pct"/>
            <w:tcBorders>
              <w:top w:val="nil"/>
              <w:left w:val="nil"/>
              <w:bottom w:val="nil"/>
              <w:right w:val="nil"/>
            </w:tcBorders>
            <w:shd w:val="clear" w:color="000000" w:fill="F2F2F2"/>
            <w:noWrap/>
            <w:vAlign w:val="bottom"/>
            <w:hideMark/>
          </w:tcPr>
          <w:p w14:paraId="59D146A0"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G</w:t>
            </w:r>
          </w:p>
        </w:tc>
        <w:tc>
          <w:tcPr>
            <w:tcW w:w="1243" w:type="pct"/>
            <w:gridSpan w:val="2"/>
            <w:vMerge/>
            <w:tcBorders>
              <w:top w:val="nil"/>
              <w:left w:val="nil"/>
              <w:bottom w:val="nil"/>
              <w:right w:val="single" w:sz="4" w:space="0" w:color="auto"/>
            </w:tcBorders>
            <w:vAlign w:val="center"/>
            <w:hideMark/>
          </w:tcPr>
          <w:p w14:paraId="4C8F45C9" w14:textId="77777777" w:rsidR="00052973" w:rsidRPr="00100F0A" w:rsidRDefault="00052973" w:rsidP="00052973">
            <w:pPr>
              <w:rPr>
                <w:rFonts w:eastAsia="Times New Roman" w:cs="Calibri"/>
                <w:color w:val="000000"/>
                <w:sz w:val="20"/>
                <w:szCs w:val="20"/>
                <w:lang w:eastAsia="en-AU"/>
              </w:rPr>
            </w:pPr>
          </w:p>
        </w:tc>
      </w:tr>
      <w:tr w:rsidR="00052973" w:rsidRPr="00100F0A" w14:paraId="29DE7152"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3852CB3B"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G150</w:t>
            </w:r>
          </w:p>
        </w:tc>
        <w:tc>
          <w:tcPr>
            <w:tcW w:w="2750" w:type="pct"/>
            <w:tcBorders>
              <w:top w:val="nil"/>
              <w:left w:val="nil"/>
              <w:bottom w:val="nil"/>
              <w:right w:val="nil"/>
            </w:tcBorders>
            <w:shd w:val="clear" w:color="000000" w:fill="F2F2F2"/>
            <w:noWrap/>
            <w:vAlign w:val="center"/>
            <w:hideMark/>
          </w:tcPr>
          <w:p w14:paraId="5B4B77C4"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Halogenated organic solvents</w:t>
            </w:r>
          </w:p>
        </w:tc>
        <w:tc>
          <w:tcPr>
            <w:tcW w:w="561" w:type="pct"/>
            <w:tcBorders>
              <w:top w:val="nil"/>
              <w:left w:val="nil"/>
              <w:bottom w:val="nil"/>
              <w:right w:val="nil"/>
            </w:tcBorders>
            <w:shd w:val="clear" w:color="000000" w:fill="F2F2F2"/>
            <w:noWrap/>
            <w:vAlign w:val="bottom"/>
            <w:hideMark/>
          </w:tcPr>
          <w:p w14:paraId="793E722A"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G</w:t>
            </w:r>
          </w:p>
        </w:tc>
        <w:tc>
          <w:tcPr>
            <w:tcW w:w="1243" w:type="pct"/>
            <w:gridSpan w:val="2"/>
            <w:vMerge/>
            <w:tcBorders>
              <w:top w:val="nil"/>
              <w:left w:val="nil"/>
              <w:bottom w:val="nil"/>
              <w:right w:val="single" w:sz="4" w:space="0" w:color="auto"/>
            </w:tcBorders>
            <w:vAlign w:val="center"/>
            <w:hideMark/>
          </w:tcPr>
          <w:p w14:paraId="6BAEBEE6" w14:textId="77777777" w:rsidR="00052973" w:rsidRPr="00100F0A" w:rsidRDefault="00052973" w:rsidP="00052973">
            <w:pPr>
              <w:rPr>
                <w:rFonts w:eastAsia="Times New Roman" w:cs="Calibri"/>
                <w:color w:val="000000"/>
                <w:sz w:val="20"/>
                <w:szCs w:val="20"/>
                <w:lang w:eastAsia="en-AU"/>
              </w:rPr>
            </w:pPr>
          </w:p>
        </w:tc>
      </w:tr>
      <w:tr w:rsidR="00052973" w:rsidRPr="00100F0A" w14:paraId="54DE4E81" w14:textId="77777777" w:rsidTr="00052973">
        <w:trPr>
          <w:trHeight w:val="255"/>
        </w:trPr>
        <w:tc>
          <w:tcPr>
            <w:tcW w:w="446" w:type="pct"/>
            <w:tcBorders>
              <w:top w:val="nil"/>
              <w:left w:val="single" w:sz="4" w:space="0" w:color="auto"/>
              <w:bottom w:val="single" w:sz="4" w:space="0" w:color="808080"/>
              <w:right w:val="nil"/>
            </w:tcBorders>
            <w:shd w:val="clear" w:color="000000" w:fill="F2F2F2"/>
            <w:noWrap/>
            <w:vAlign w:val="center"/>
            <w:hideMark/>
          </w:tcPr>
          <w:p w14:paraId="55AE22B1"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G160</w:t>
            </w:r>
          </w:p>
        </w:tc>
        <w:tc>
          <w:tcPr>
            <w:tcW w:w="2750" w:type="pct"/>
            <w:tcBorders>
              <w:top w:val="nil"/>
              <w:left w:val="nil"/>
              <w:bottom w:val="single" w:sz="4" w:space="0" w:color="808080"/>
              <w:right w:val="nil"/>
            </w:tcBorders>
            <w:shd w:val="clear" w:color="000000" w:fill="F2F2F2"/>
            <w:noWrap/>
            <w:vAlign w:val="center"/>
            <w:hideMark/>
          </w:tcPr>
          <w:p w14:paraId="1475BA38"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Waste from the production, formulation and use of organic solvents</w:t>
            </w:r>
          </w:p>
        </w:tc>
        <w:tc>
          <w:tcPr>
            <w:tcW w:w="561" w:type="pct"/>
            <w:tcBorders>
              <w:top w:val="nil"/>
              <w:left w:val="nil"/>
              <w:bottom w:val="single" w:sz="4" w:space="0" w:color="808080"/>
              <w:right w:val="nil"/>
            </w:tcBorders>
            <w:shd w:val="clear" w:color="000000" w:fill="F2F2F2"/>
            <w:noWrap/>
            <w:vAlign w:val="bottom"/>
            <w:hideMark/>
          </w:tcPr>
          <w:p w14:paraId="0375A8A0"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G</w:t>
            </w:r>
          </w:p>
        </w:tc>
        <w:tc>
          <w:tcPr>
            <w:tcW w:w="1243" w:type="pct"/>
            <w:gridSpan w:val="2"/>
            <w:vMerge/>
            <w:tcBorders>
              <w:top w:val="nil"/>
              <w:left w:val="nil"/>
              <w:bottom w:val="single" w:sz="4" w:space="0" w:color="808080"/>
              <w:right w:val="single" w:sz="4" w:space="0" w:color="auto"/>
            </w:tcBorders>
            <w:vAlign w:val="center"/>
            <w:hideMark/>
          </w:tcPr>
          <w:p w14:paraId="53D2B107" w14:textId="77777777" w:rsidR="00052973" w:rsidRPr="00100F0A" w:rsidRDefault="00052973" w:rsidP="00052973">
            <w:pPr>
              <w:rPr>
                <w:rFonts w:eastAsia="Times New Roman" w:cs="Calibri"/>
                <w:color w:val="000000"/>
                <w:sz w:val="20"/>
                <w:szCs w:val="20"/>
                <w:lang w:eastAsia="en-AU"/>
              </w:rPr>
            </w:pPr>
          </w:p>
        </w:tc>
      </w:tr>
      <w:tr w:rsidR="00052973" w:rsidRPr="00100F0A" w14:paraId="3A4A84C1"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6F769974"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H100</w:t>
            </w:r>
          </w:p>
        </w:tc>
        <w:tc>
          <w:tcPr>
            <w:tcW w:w="2750" w:type="pct"/>
            <w:tcBorders>
              <w:top w:val="nil"/>
              <w:left w:val="nil"/>
              <w:bottom w:val="nil"/>
              <w:right w:val="nil"/>
            </w:tcBorders>
            <w:shd w:val="clear" w:color="000000" w:fill="F2F2F2"/>
            <w:noWrap/>
            <w:vAlign w:val="center"/>
            <w:hideMark/>
          </w:tcPr>
          <w:p w14:paraId="33E9FB3E"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Waste from the production, formulation and use of biocides and phytopharmaceuticals</w:t>
            </w:r>
          </w:p>
        </w:tc>
        <w:tc>
          <w:tcPr>
            <w:tcW w:w="561" w:type="pct"/>
            <w:tcBorders>
              <w:top w:val="nil"/>
              <w:left w:val="nil"/>
              <w:bottom w:val="nil"/>
              <w:right w:val="nil"/>
            </w:tcBorders>
            <w:shd w:val="clear" w:color="000000" w:fill="F2F2F2"/>
            <w:noWrap/>
            <w:vAlign w:val="bottom"/>
            <w:hideMark/>
          </w:tcPr>
          <w:p w14:paraId="325835FE"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H</w:t>
            </w:r>
          </w:p>
        </w:tc>
        <w:tc>
          <w:tcPr>
            <w:tcW w:w="1243" w:type="pct"/>
            <w:gridSpan w:val="2"/>
            <w:vMerge w:val="restart"/>
            <w:tcBorders>
              <w:top w:val="single" w:sz="4" w:space="0" w:color="808080"/>
              <w:left w:val="nil"/>
              <w:bottom w:val="single" w:sz="4" w:space="0" w:color="808080"/>
              <w:right w:val="single" w:sz="4" w:space="0" w:color="auto"/>
            </w:tcBorders>
            <w:shd w:val="clear" w:color="000000" w:fill="F2F2F2"/>
            <w:noWrap/>
            <w:vAlign w:val="center"/>
            <w:hideMark/>
          </w:tcPr>
          <w:p w14:paraId="7D1C1B26"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Pesticides</w:t>
            </w:r>
          </w:p>
        </w:tc>
      </w:tr>
      <w:tr w:rsidR="00052973" w:rsidRPr="00100F0A" w14:paraId="670BA46A"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57D3B502"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H110</w:t>
            </w:r>
          </w:p>
        </w:tc>
        <w:tc>
          <w:tcPr>
            <w:tcW w:w="2750" w:type="pct"/>
            <w:tcBorders>
              <w:top w:val="nil"/>
              <w:left w:val="nil"/>
              <w:bottom w:val="nil"/>
              <w:right w:val="nil"/>
            </w:tcBorders>
            <w:shd w:val="clear" w:color="000000" w:fill="F2F2F2"/>
            <w:noWrap/>
            <w:vAlign w:val="center"/>
            <w:hideMark/>
          </w:tcPr>
          <w:p w14:paraId="6FD3DFD8"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Organic phosphorous compounds</w:t>
            </w:r>
          </w:p>
        </w:tc>
        <w:tc>
          <w:tcPr>
            <w:tcW w:w="561" w:type="pct"/>
            <w:tcBorders>
              <w:top w:val="nil"/>
              <w:left w:val="nil"/>
              <w:bottom w:val="nil"/>
              <w:right w:val="nil"/>
            </w:tcBorders>
            <w:shd w:val="clear" w:color="000000" w:fill="F2F2F2"/>
            <w:noWrap/>
            <w:vAlign w:val="bottom"/>
            <w:hideMark/>
          </w:tcPr>
          <w:p w14:paraId="2E3F64AB"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H</w:t>
            </w:r>
          </w:p>
        </w:tc>
        <w:tc>
          <w:tcPr>
            <w:tcW w:w="1243" w:type="pct"/>
            <w:gridSpan w:val="2"/>
            <w:vMerge/>
            <w:tcBorders>
              <w:top w:val="nil"/>
              <w:left w:val="nil"/>
              <w:bottom w:val="nil"/>
              <w:right w:val="single" w:sz="4" w:space="0" w:color="auto"/>
            </w:tcBorders>
            <w:vAlign w:val="center"/>
            <w:hideMark/>
          </w:tcPr>
          <w:p w14:paraId="5105D00F" w14:textId="77777777" w:rsidR="00052973" w:rsidRPr="00100F0A" w:rsidRDefault="00052973" w:rsidP="00052973">
            <w:pPr>
              <w:rPr>
                <w:rFonts w:eastAsia="Times New Roman" w:cs="Calibri"/>
                <w:color w:val="000000"/>
                <w:sz w:val="20"/>
                <w:szCs w:val="20"/>
                <w:lang w:eastAsia="en-AU"/>
              </w:rPr>
            </w:pPr>
          </w:p>
        </w:tc>
      </w:tr>
      <w:tr w:rsidR="00052973" w:rsidRPr="00100F0A" w14:paraId="4BCF0998"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44AF75F6"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H170</w:t>
            </w:r>
          </w:p>
        </w:tc>
        <w:tc>
          <w:tcPr>
            <w:tcW w:w="2750" w:type="pct"/>
            <w:tcBorders>
              <w:top w:val="nil"/>
              <w:left w:val="nil"/>
              <w:bottom w:val="nil"/>
              <w:right w:val="nil"/>
            </w:tcBorders>
            <w:shd w:val="clear" w:color="000000" w:fill="F2F2F2"/>
            <w:noWrap/>
            <w:vAlign w:val="center"/>
            <w:hideMark/>
          </w:tcPr>
          <w:p w14:paraId="1A4D3716"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Waste from manufacture, formulation and use of wood-preserving chemicals</w:t>
            </w:r>
          </w:p>
        </w:tc>
        <w:tc>
          <w:tcPr>
            <w:tcW w:w="561" w:type="pct"/>
            <w:tcBorders>
              <w:top w:val="nil"/>
              <w:left w:val="nil"/>
              <w:bottom w:val="nil"/>
              <w:right w:val="nil"/>
            </w:tcBorders>
            <w:shd w:val="clear" w:color="000000" w:fill="F2F2F2"/>
            <w:noWrap/>
            <w:vAlign w:val="bottom"/>
            <w:hideMark/>
          </w:tcPr>
          <w:p w14:paraId="1F46FCDE"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H</w:t>
            </w:r>
          </w:p>
        </w:tc>
        <w:tc>
          <w:tcPr>
            <w:tcW w:w="1243" w:type="pct"/>
            <w:gridSpan w:val="2"/>
            <w:vMerge/>
            <w:tcBorders>
              <w:top w:val="nil"/>
              <w:left w:val="nil"/>
              <w:bottom w:val="nil"/>
              <w:right w:val="single" w:sz="4" w:space="0" w:color="auto"/>
            </w:tcBorders>
            <w:vAlign w:val="center"/>
            <w:hideMark/>
          </w:tcPr>
          <w:p w14:paraId="015F9B22" w14:textId="77777777" w:rsidR="00052973" w:rsidRPr="00100F0A" w:rsidRDefault="00052973" w:rsidP="00052973">
            <w:pPr>
              <w:rPr>
                <w:rFonts w:eastAsia="Times New Roman" w:cs="Calibri"/>
                <w:color w:val="000000"/>
                <w:sz w:val="20"/>
                <w:szCs w:val="20"/>
                <w:lang w:eastAsia="en-AU"/>
              </w:rPr>
            </w:pPr>
          </w:p>
        </w:tc>
      </w:tr>
      <w:tr w:rsidR="00052973" w:rsidRPr="00100F0A" w14:paraId="1A78FAF5" w14:textId="77777777" w:rsidTr="00052973">
        <w:trPr>
          <w:trHeight w:val="255"/>
        </w:trPr>
        <w:tc>
          <w:tcPr>
            <w:tcW w:w="446" w:type="pct"/>
            <w:tcBorders>
              <w:top w:val="single" w:sz="4" w:space="0" w:color="808080"/>
              <w:left w:val="single" w:sz="4" w:space="0" w:color="auto"/>
              <w:bottom w:val="nil"/>
              <w:right w:val="nil"/>
            </w:tcBorders>
            <w:shd w:val="clear" w:color="000000" w:fill="F2F2F2"/>
            <w:noWrap/>
            <w:vAlign w:val="center"/>
            <w:hideMark/>
          </w:tcPr>
          <w:p w14:paraId="60AFE66F"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J100</w:t>
            </w:r>
          </w:p>
        </w:tc>
        <w:tc>
          <w:tcPr>
            <w:tcW w:w="2750" w:type="pct"/>
            <w:tcBorders>
              <w:top w:val="single" w:sz="4" w:space="0" w:color="808080"/>
              <w:left w:val="nil"/>
              <w:bottom w:val="nil"/>
              <w:right w:val="nil"/>
            </w:tcBorders>
            <w:shd w:val="clear" w:color="000000" w:fill="F2F2F2"/>
            <w:noWrap/>
            <w:vAlign w:val="center"/>
            <w:hideMark/>
          </w:tcPr>
          <w:p w14:paraId="572809F0"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Waste mineral oils unfit for their original intended use</w:t>
            </w:r>
          </w:p>
        </w:tc>
        <w:tc>
          <w:tcPr>
            <w:tcW w:w="561" w:type="pct"/>
            <w:tcBorders>
              <w:top w:val="single" w:sz="4" w:space="0" w:color="808080"/>
              <w:left w:val="nil"/>
              <w:bottom w:val="nil"/>
              <w:right w:val="nil"/>
            </w:tcBorders>
            <w:shd w:val="clear" w:color="000000" w:fill="F2F2F2"/>
            <w:noWrap/>
            <w:vAlign w:val="bottom"/>
            <w:hideMark/>
          </w:tcPr>
          <w:p w14:paraId="36121F52"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J100 &amp; J160</w:t>
            </w:r>
          </w:p>
        </w:tc>
        <w:tc>
          <w:tcPr>
            <w:tcW w:w="943" w:type="pct"/>
            <w:tcBorders>
              <w:top w:val="nil"/>
              <w:left w:val="nil"/>
              <w:bottom w:val="single" w:sz="4" w:space="0" w:color="808080"/>
              <w:right w:val="nil"/>
            </w:tcBorders>
            <w:shd w:val="clear" w:color="000000" w:fill="F2F2F2"/>
            <w:noWrap/>
            <w:vAlign w:val="bottom"/>
            <w:hideMark/>
          </w:tcPr>
          <w:p w14:paraId="70484C2D"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Oils</w:t>
            </w:r>
          </w:p>
        </w:tc>
        <w:tc>
          <w:tcPr>
            <w:tcW w:w="300" w:type="pct"/>
            <w:tcBorders>
              <w:top w:val="nil"/>
              <w:left w:val="nil"/>
              <w:bottom w:val="single" w:sz="4" w:space="0" w:color="808080"/>
              <w:right w:val="single" w:sz="4" w:space="0" w:color="auto"/>
            </w:tcBorders>
            <w:shd w:val="clear" w:color="000000" w:fill="F2F2F2"/>
            <w:noWrap/>
            <w:vAlign w:val="bottom"/>
            <w:hideMark/>
          </w:tcPr>
          <w:p w14:paraId="209F4DD0" w14:textId="77777777" w:rsidR="00052973" w:rsidRPr="00100F0A" w:rsidRDefault="00052973" w:rsidP="00052973">
            <w:pPr>
              <w:jc w:val="right"/>
              <w:rPr>
                <w:rFonts w:eastAsia="Times New Roman" w:cs="Calibri"/>
                <w:color w:val="000000"/>
                <w:sz w:val="20"/>
                <w:szCs w:val="20"/>
                <w:lang w:eastAsia="en-AU"/>
              </w:rPr>
            </w:pPr>
            <w:r w:rsidRPr="00100F0A">
              <w:rPr>
                <w:rFonts w:eastAsia="Times New Roman" w:cs="Calibri"/>
                <w:color w:val="000000"/>
                <w:sz w:val="20"/>
                <w:szCs w:val="20"/>
                <w:lang w:eastAsia="en-AU"/>
              </w:rPr>
              <w:t> </w:t>
            </w:r>
          </w:p>
        </w:tc>
      </w:tr>
      <w:tr w:rsidR="00052973" w:rsidRPr="00100F0A" w14:paraId="0EACDCFC"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2E404D0A"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J120</w:t>
            </w:r>
          </w:p>
        </w:tc>
        <w:tc>
          <w:tcPr>
            <w:tcW w:w="2750" w:type="pct"/>
            <w:tcBorders>
              <w:top w:val="nil"/>
              <w:left w:val="nil"/>
              <w:bottom w:val="nil"/>
              <w:right w:val="nil"/>
            </w:tcBorders>
            <w:shd w:val="clear" w:color="000000" w:fill="F2F2F2"/>
            <w:noWrap/>
            <w:vAlign w:val="center"/>
            <w:hideMark/>
          </w:tcPr>
          <w:p w14:paraId="73D84FC6"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Waste oil/water, hydrocarbons/water mixtures or emulsions</w:t>
            </w:r>
          </w:p>
        </w:tc>
        <w:tc>
          <w:tcPr>
            <w:tcW w:w="561" w:type="pct"/>
            <w:tcBorders>
              <w:top w:val="single" w:sz="4" w:space="0" w:color="808080"/>
              <w:left w:val="nil"/>
              <w:bottom w:val="single" w:sz="4" w:space="0" w:color="808080"/>
              <w:right w:val="nil"/>
            </w:tcBorders>
            <w:shd w:val="clear" w:color="000000" w:fill="F2F2F2"/>
            <w:noWrap/>
            <w:vAlign w:val="bottom"/>
            <w:hideMark/>
          </w:tcPr>
          <w:p w14:paraId="4C794249"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J120</w:t>
            </w:r>
          </w:p>
        </w:tc>
        <w:tc>
          <w:tcPr>
            <w:tcW w:w="943" w:type="pct"/>
            <w:tcBorders>
              <w:top w:val="nil"/>
              <w:left w:val="nil"/>
              <w:bottom w:val="single" w:sz="4" w:space="0" w:color="808080"/>
              <w:right w:val="nil"/>
            </w:tcBorders>
            <w:shd w:val="clear" w:color="000000" w:fill="F2F2F2"/>
            <w:noWrap/>
            <w:vAlign w:val="bottom"/>
            <w:hideMark/>
          </w:tcPr>
          <w:p w14:paraId="62F0BEF6"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Waste oil/water mixtures</w:t>
            </w:r>
          </w:p>
        </w:tc>
        <w:tc>
          <w:tcPr>
            <w:tcW w:w="300" w:type="pct"/>
            <w:tcBorders>
              <w:top w:val="nil"/>
              <w:left w:val="nil"/>
              <w:bottom w:val="single" w:sz="4" w:space="0" w:color="808080"/>
              <w:right w:val="single" w:sz="4" w:space="0" w:color="auto"/>
            </w:tcBorders>
            <w:shd w:val="clear" w:color="000000" w:fill="F2F2F2"/>
            <w:noWrap/>
            <w:vAlign w:val="bottom"/>
            <w:hideMark/>
          </w:tcPr>
          <w:p w14:paraId="48DAD868" w14:textId="77777777" w:rsidR="00052973" w:rsidRPr="00100F0A" w:rsidRDefault="00052973" w:rsidP="00052973">
            <w:pPr>
              <w:jc w:val="right"/>
              <w:rPr>
                <w:rFonts w:eastAsia="Times New Roman" w:cs="Calibri"/>
                <w:color w:val="000000"/>
                <w:sz w:val="20"/>
                <w:szCs w:val="20"/>
                <w:lang w:eastAsia="en-AU"/>
              </w:rPr>
            </w:pPr>
            <w:r w:rsidRPr="00100F0A">
              <w:rPr>
                <w:rFonts w:eastAsia="Times New Roman" w:cs="Calibri"/>
                <w:color w:val="000000"/>
                <w:sz w:val="20"/>
                <w:szCs w:val="20"/>
                <w:lang w:eastAsia="en-AU"/>
              </w:rPr>
              <w:t> </w:t>
            </w:r>
          </w:p>
        </w:tc>
      </w:tr>
      <w:tr w:rsidR="00052973" w:rsidRPr="00100F0A" w14:paraId="5AFF40D7" w14:textId="77777777" w:rsidTr="00052973">
        <w:trPr>
          <w:trHeight w:val="255"/>
        </w:trPr>
        <w:tc>
          <w:tcPr>
            <w:tcW w:w="446" w:type="pct"/>
            <w:tcBorders>
              <w:top w:val="nil"/>
              <w:left w:val="single" w:sz="4" w:space="0" w:color="auto"/>
              <w:bottom w:val="single" w:sz="4" w:space="0" w:color="808080"/>
              <w:right w:val="nil"/>
            </w:tcBorders>
            <w:shd w:val="clear" w:color="000000" w:fill="F2F2F2"/>
            <w:noWrap/>
            <w:vAlign w:val="center"/>
            <w:hideMark/>
          </w:tcPr>
          <w:p w14:paraId="18A662CD"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J160</w:t>
            </w:r>
          </w:p>
        </w:tc>
        <w:tc>
          <w:tcPr>
            <w:tcW w:w="2750" w:type="pct"/>
            <w:tcBorders>
              <w:top w:val="nil"/>
              <w:left w:val="nil"/>
              <w:bottom w:val="single" w:sz="4" w:space="0" w:color="808080"/>
              <w:right w:val="nil"/>
            </w:tcBorders>
            <w:shd w:val="clear" w:color="000000" w:fill="F2F2F2"/>
            <w:noWrap/>
            <w:vAlign w:val="center"/>
            <w:hideMark/>
          </w:tcPr>
          <w:p w14:paraId="42290F3D"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Waste tarry residues arising from refining, distillation, and any pyrolytic treatment</w:t>
            </w:r>
          </w:p>
        </w:tc>
        <w:tc>
          <w:tcPr>
            <w:tcW w:w="561" w:type="pct"/>
            <w:tcBorders>
              <w:top w:val="nil"/>
              <w:left w:val="nil"/>
              <w:bottom w:val="single" w:sz="4" w:space="0" w:color="808080"/>
              <w:right w:val="nil"/>
            </w:tcBorders>
            <w:shd w:val="clear" w:color="000000" w:fill="F2F2F2"/>
            <w:noWrap/>
            <w:vAlign w:val="bottom"/>
            <w:hideMark/>
          </w:tcPr>
          <w:p w14:paraId="3C3A7CEA"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J100 &amp; J160</w:t>
            </w:r>
          </w:p>
        </w:tc>
        <w:tc>
          <w:tcPr>
            <w:tcW w:w="943" w:type="pct"/>
            <w:tcBorders>
              <w:top w:val="nil"/>
              <w:left w:val="nil"/>
              <w:bottom w:val="single" w:sz="4" w:space="0" w:color="808080"/>
              <w:right w:val="nil"/>
            </w:tcBorders>
            <w:shd w:val="clear" w:color="000000" w:fill="F2F2F2"/>
            <w:noWrap/>
            <w:vAlign w:val="bottom"/>
            <w:hideMark/>
          </w:tcPr>
          <w:p w14:paraId="2AD6EA1C"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Oils</w:t>
            </w:r>
          </w:p>
        </w:tc>
        <w:tc>
          <w:tcPr>
            <w:tcW w:w="300" w:type="pct"/>
            <w:tcBorders>
              <w:top w:val="nil"/>
              <w:left w:val="nil"/>
              <w:bottom w:val="single" w:sz="4" w:space="0" w:color="808080"/>
              <w:right w:val="single" w:sz="4" w:space="0" w:color="auto"/>
            </w:tcBorders>
            <w:shd w:val="clear" w:color="000000" w:fill="F2F2F2"/>
            <w:noWrap/>
            <w:vAlign w:val="bottom"/>
            <w:hideMark/>
          </w:tcPr>
          <w:p w14:paraId="11E00A7E" w14:textId="77777777" w:rsidR="00052973" w:rsidRPr="00100F0A" w:rsidRDefault="00052973" w:rsidP="00052973">
            <w:pPr>
              <w:jc w:val="right"/>
              <w:rPr>
                <w:rFonts w:eastAsia="Times New Roman" w:cs="Calibri"/>
                <w:color w:val="000000"/>
                <w:sz w:val="20"/>
                <w:szCs w:val="20"/>
                <w:lang w:eastAsia="en-AU"/>
              </w:rPr>
            </w:pPr>
            <w:r w:rsidRPr="00100F0A">
              <w:rPr>
                <w:rFonts w:eastAsia="Times New Roman" w:cs="Calibri"/>
                <w:color w:val="000000"/>
                <w:sz w:val="20"/>
                <w:szCs w:val="20"/>
                <w:lang w:eastAsia="en-AU"/>
              </w:rPr>
              <w:t> </w:t>
            </w:r>
          </w:p>
        </w:tc>
      </w:tr>
      <w:tr w:rsidR="00052973" w:rsidRPr="00100F0A" w14:paraId="08D68F48"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0D67535F"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K100</w:t>
            </w:r>
          </w:p>
        </w:tc>
        <w:tc>
          <w:tcPr>
            <w:tcW w:w="2750" w:type="pct"/>
            <w:tcBorders>
              <w:top w:val="nil"/>
              <w:left w:val="nil"/>
              <w:bottom w:val="nil"/>
              <w:right w:val="nil"/>
            </w:tcBorders>
            <w:shd w:val="clear" w:color="000000" w:fill="F2F2F2"/>
            <w:noWrap/>
            <w:vAlign w:val="center"/>
            <w:hideMark/>
          </w:tcPr>
          <w:p w14:paraId="4FF62021"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Animal effluent and residues (abattoir effluent, poultry and fish processing wastes)</w:t>
            </w:r>
          </w:p>
        </w:tc>
        <w:tc>
          <w:tcPr>
            <w:tcW w:w="561" w:type="pct"/>
            <w:tcBorders>
              <w:top w:val="nil"/>
              <w:left w:val="nil"/>
              <w:bottom w:val="nil"/>
              <w:right w:val="nil"/>
            </w:tcBorders>
            <w:shd w:val="clear" w:color="000000" w:fill="F2F2F2"/>
            <w:noWrap/>
            <w:vAlign w:val="bottom"/>
            <w:hideMark/>
          </w:tcPr>
          <w:p w14:paraId="303B69CE"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K</w:t>
            </w:r>
          </w:p>
        </w:tc>
        <w:tc>
          <w:tcPr>
            <w:tcW w:w="1243" w:type="pct"/>
            <w:gridSpan w:val="2"/>
            <w:tcBorders>
              <w:top w:val="single" w:sz="4" w:space="0" w:color="808080"/>
              <w:left w:val="nil"/>
              <w:bottom w:val="single" w:sz="4" w:space="0" w:color="808080"/>
              <w:right w:val="single" w:sz="4" w:space="0" w:color="auto"/>
            </w:tcBorders>
            <w:shd w:val="clear" w:color="000000" w:fill="F2F2F2"/>
            <w:noWrap/>
            <w:vAlign w:val="bottom"/>
            <w:hideMark/>
          </w:tcPr>
          <w:p w14:paraId="7256D92D"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putrescible / organic wastes</w:t>
            </w:r>
          </w:p>
        </w:tc>
      </w:tr>
      <w:tr w:rsidR="00052973" w:rsidRPr="00100F0A" w14:paraId="7C6207C8"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2A43816B"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K110</w:t>
            </w:r>
          </w:p>
        </w:tc>
        <w:tc>
          <w:tcPr>
            <w:tcW w:w="2750" w:type="pct"/>
            <w:tcBorders>
              <w:top w:val="nil"/>
              <w:left w:val="nil"/>
              <w:bottom w:val="nil"/>
              <w:right w:val="nil"/>
            </w:tcBorders>
            <w:shd w:val="clear" w:color="000000" w:fill="F2F2F2"/>
            <w:noWrap/>
            <w:vAlign w:val="center"/>
            <w:hideMark/>
          </w:tcPr>
          <w:p w14:paraId="7AC8AB8D"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Grease trap waste</w:t>
            </w:r>
          </w:p>
        </w:tc>
        <w:tc>
          <w:tcPr>
            <w:tcW w:w="561" w:type="pct"/>
            <w:tcBorders>
              <w:top w:val="single" w:sz="4" w:space="0" w:color="808080"/>
              <w:left w:val="nil"/>
              <w:bottom w:val="single" w:sz="4" w:space="0" w:color="808080"/>
              <w:right w:val="nil"/>
            </w:tcBorders>
            <w:shd w:val="clear" w:color="000000" w:fill="F2F2F2"/>
            <w:noWrap/>
            <w:vAlign w:val="bottom"/>
            <w:hideMark/>
          </w:tcPr>
          <w:p w14:paraId="7F6A3D93"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K110</w:t>
            </w:r>
          </w:p>
        </w:tc>
        <w:tc>
          <w:tcPr>
            <w:tcW w:w="943" w:type="pct"/>
            <w:tcBorders>
              <w:top w:val="nil"/>
              <w:left w:val="nil"/>
              <w:bottom w:val="single" w:sz="4" w:space="0" w:color="808080"/>
              <w:right w:val="nil"/>
            </w:tcBorders>
            <w:shd w:val="clear" w:color="000000" w:fill="F2F2F2"/>
            <w:noWrap/>
            <w:vAlign w:val="bottom"/>
            <w:hideMark/>
          </w:tcPr>
          <w:p w14:paraId="29C92C43"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Grease trap wastes</w:t>
            </w:r>
          </w:p>
        </w:tc>
        <w:tc>
          <w:tcPr>
            <w:tcW w:w="300" w:type="pct"/>
            <w:tcBorders>
              <w:top w:val="nil"/>
              <w:left w:val="nil"/>
              <w:bottom w:val="single" w:sz="4" w:space="0" w:color="808080"/>
              <w:right w:val="single" w:sz="4" w:space="0" w:color="auto"/>
            </w:tcBorders>
            <w:shd w:val="clear" w:color="000000" w:fill="F2F2F2"/>
            <w:noWrap/>
            <w:vAlign w:val="bottom"/>
            <w:hideMark/>
          </w:tcPr>
          <w:p w14:paraId="25B3C38F" w14:textId="77777777" w:rsidR="00052973" w:rsidRPr="00100F0A" w:rsidRDefault="00052973" w:rsidP="00052973">
            <w:pPr>
              <w:jc w:val="right"/>
              <w:rPr>
                <w:rFonts w:eastAsia="Times New Roman" w:cs="Calibri"/>
                <w:color w:val="000000"/>
                <w:sz w:val="20"/>
                <w:szCs w:val="20"/>
                <w:lang w:eastAsia="en-AU"/>
              </w:rPr>
            </w:pPr>
            <w:r w:rsidRPr="00100F0A">
              <w:rPr>
                <w:rFonts w:eastAsia="Times New Roman" w:cs="Calibri"/>
                <w:color w:val="000000"/>
                <w:sz w:val="20"/>
                <w:szCs w:val="20"/>
                <w:lang w:eastAsia="en-AU"/>
              </w:rPr>
              <w:t> </w:t>
            </w:r>
          </w:p>
        </w:tc>
      </w:tr>
      <w:tr w:rsidR="00052973" w:rsidRPr="00100F0A" w14:paraId="7AC4E1EF"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57D184C2"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K140</w:t>
            </w:r>
          </w:p>
        </w:tc>
        <w:tc>
          <w:tcPr>
            <w:tcW w:w="2750" w:type="pct"/>
            <w:tcBorders>
              <w:top w:val="nil"/>
              <w:left w:val="nil"/>
              <w:bottom w:val="nil"/>
              <w:right w:val="nil"/>
            </w:tcBorders>
            <w:shd w:val="clear" w:color="000000" w:fill="F2F2F2"/>
            <w:noWrap/>
            <w:vAlign w:val="center"/>
            <w:hideMark/>
          </w:tcPr>
          <w:p w14:paraId="1BDEDF1F"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Tannery wastes (including leather dust, ash, sludges and flours)</w:t>
            </w:r>
          </w:p>
        </w:tc>
        <w:tc>
          <w:tcPr>
            <w:tcW w:w="561" w:type="pct"/>
            <w:tcBorders>
              <w:top w:val="nil"/>
              <w:left w:val="nil"/>
              <w:bottom w:val="nil"/>
              <w:right w:val="nil"/>
            </w:tcBorders>
            <w:shd w:val="clear" w:color="000000" w:fill="F2F2F2"/>
            <w:noWrap/>
            <w:vAlign w:val="bottom"/>
            <w:hideMark/>
          </w:tcPr>
          <w:p w14:paraId="5022572B"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K</w:t>
            </w:r>
          </w:p>
        </w:tc>
        <w:tc>
          <w:tcPr>
            <w:tcW w:w="1243" w:type="pct"/>
            <w:gridSpan w:val="2"/>
            <w:vMerge w:val="restart"/>
            <w:tcBorders>
              <w:top w:val="single" w:sz="4" w:space="0" w:color="808080"/>
              <w:left w:val="nil"/>
              <w:bottom w:val="single" w:sz="4" w:space="0" w:color="808080"/>
              <w:right w:val="single" w:sz="4" w:space="0" w:color="auto"/>
            </w:tcBorders>
            <w:shd w:val="clear" w:color="000000" w:fill="F2F2F2"/>
            <w:noWrap/>
            <w:vAlign w:val="center"/>
            <w:hideMark/>
          </w:tcPr>
          <w:p w14:paraId="5076DB38"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putrescible / organic wastes</w:t>
            </w:r>
          </w:p>
        </w:tc>
      </w:tr>
      <w:tr w:rsidR="00052973" w:rsidRPr="00100F0A" w14:paraId="39678CB2"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6E1C91EC"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K190</w:t>
            </w:r>
          </w:p>
        </w:tc>
        <w:tc>
          <w:tcPr>
            <w:tcW w:w="2750" w:type="pct"/>
            <w:tcBorders>
              <w:top w:val="nil"/>
              <w:left w:val="nil"/>
              <w:bottom w:val="nil"/>
              <w:right w:val="nil"/>
            </w:tcBorders>
            <w:shd w:val="clear" w:color="000000" w:fill="F2F2F2"/>
            <w:noWrap/>
            <w:vAlign w:val="center"/>
            <w:hideMark/>
          </w:tcPr>
          <w:p w14:paraId="5916ED90"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Wool scouring wastes</w:t>
            </w:r>
          </w:p>
        </w:tc>
        <w:tc>
          <w:tcPr>
            <w:tcW w:w="561" w:type="pct"/>
            <w:tcBorders>
              <w:top w:val="nil"/>
              <w:left w:val="nil"/>
              <w:bottom w:val="nil"/>
              <w:right w:val="nil"/>
            </w:tcBorders>
            <w:shd w:val="clear" w:color="000000" w:fill="F2F2F2"/>
            <w:noWrap/>
            <w:vAlign w:val="bottom"/>
            <w:hideMark/>
          </w:tcPr>
          <w:p w14:paraId="5FA49DA1"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K</w:t>
            </w:r>
          </w:p>
        </w:tc>
        <w:tc>
          <w:tcPr>
            <w:tcW w:w="1243" w:type="pct"/>
            <w:gridSpan w:val="2"/>
            <w:vMerge/>
            <w:tcBorders>
              <w:top w:val="nil"/>
              <w:left w:val="nil"/>
              <w:bottom w:val="nil"/>
              <w:right w:val="single" w:sz="4" w:space="0" w:color="auto"/>
            </w:tcBorders>
            <w:vAlign w:val="center"/>
            <w:hideMark/>
          </w:tcPr>
          <w:p w14:paraId="49400E0B" w14:textId="77777777" w:rsidR="00052973" w:rsidRPr="00100F0A" w:rsidRDefault="00052973" w:rsidP="00052973">
            <w:pPr>
              <w:rPr>
                <w:rFonts w:eastAsia="Times New Roman" w:cs="Calibri"/>
                <w:color w:val="000000"/>
                <w:sz w:val="20"/>
                <w:szCs w:val="20"/>
                <w:lang w:eastAsia="en-AU"/>
              </w:rPr>
            </w:pPr>
          </w:p>
        </w:tc>
      </w:tr>
      <w:tr w:rsidR="00052973" w:rsidRPr="00100F0A" w14:paraId="28F8F74D" w14:textId="77777777" w:rsidTr="00052973">
        <w:trPr>
          <w:trHeight w:val="765"/>
        </w:trPr>
        <w:tc>
          <w:tcPr>
            <w:tcW w:w="446" w:type="pct"/>
            <w:tcBorders>
              <w:top w:val="single" w:sz="4" w:space="0" w:color="808080"/>
              <w:left w:val="single" w:sz="4" w:space="0" w:color="auto"/>
              <w:bottom w:val="nil"/>
              <w:right w:val="nil"/>
            </w:tcBorders>
            <w:shd w:val="clear" w:color="000000" w:fill="F2F2F2"/>
            <w:noWrap/>
            <w:vAlign w:val="center"/>
            <w:hideMark/>
          </w:tcPr>
          <w:p w14:paraId="548D5431"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M100</w:t>
            </w:r>
          </w:p>
        </w:tc>
        <w:tc>
          <w:tcPr>
            <w:tcW w:w="2750" w:type="pct"/>
            <w:tcBorders>
              <w:top w:val="single" w:sz="4" w:space="0" w:color="808080"/>
              <w:left w:val="nil"/>
              <w:bottom w:val="nil"/>
              <w:right w:val="nil"/>
            </w:tcBorders>
            <w:shd w:val="clear" w:color="000000" w:fill="F2F2F2"/>
            <w:vAlign w:val="center"/>
            <w:hideMark/>
          </w:tcPr>
          <w:p w14:paraId="4CE3B93C"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Waste substances and articles containing or contaminated with polychlorinated biphenyls, polychlorinated napthalenes, polychlorinated terphenyls and/or polybrominated biphenyls</w:t>
            </w:r>
          </w:p>
        </w:tc>
        <w:tc>
          <w:tcPr>
            <w:tcW w:w="561" w:type="pct"/>
            <w:tcBorders>
              <w:top w:val="single" w:sz="4" w:space="0" w:color="808080"/>
              <w:left w:val="nil"/>
              <w:bottom w:val="nil"/>
              <w:right w:val="nil"/>
            </w:tcBorders>
            <w:shd w:val="clear" w:color="000000" w:fill="F2F2F2"/>
            <w:noWrap/>
            <w:vAlign w:val="bottom"/>
            <w:hideMark/>
          </w:tcPr>
          <w:p w14:paraId="5746200B"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M100</w:t>
            </w:r>
          </w:p>
        </w:tc>
        <w:tc>
          <w:tcPr>
            <w:tcW w:w="943" w:type="pct"/>
            <w:tcBorders>
              <w:top w:val="nil"/>
              <w:left w:val="nil"/>
              <w:bottom w:val="single" w:sz="4" w:space="0" w:color="808080"/>
              <w:right w:val="nil"/>
            </w:tcBorders>
            <w:shd w:val="clear" w:color="000000" w:fill="F2F2F2"/>
            <w:noWrap/>
            <w:vAlign w:val="bottom"/>
            <w:hideMark/>
          </w:tcPr>
          <w:p w14:paraId="38481964"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PCB wastes</w:t>
            </w:r>
          </w:p>
        </w:tc>
        <w:tc>
          <w:tcPr>
            <w:tcW w:w="300" w:type="pct"/>
            <w:tcBorders>
              <w:top w:val="nil"/>
              <w:left w:val="nil"/>
              <w:bottom w:val="single" w:sz="4" w:space="0" w:color="808080"/>
              <w:right w:val="single" w:sz="4" w:space="0" w:color="auto"/>
            </w:tcBorders>
            <w:shd w:val="clear" w:color="000000" w:fill="F2F2F2"/>
            <w:noWrap/>
            <w:vAlign w:val="bottom"/>
            <w:hideMark/>
          </w:tcPr>
          <w:p w14:paraId="4102F189" w14:textId="77777777" w:rsidR="00052973" w:rsidRPr="00100F0A" w:rsidRDefault="00052973" w:rsidP="00052973">
            <w:pPr>
              <w:jc w:val="right"/>
              <w:rPr>
                <w:rFonts w:eastAsia="Times New Roman" w:cs="Calibri"/>
                <w:color w:val="000000"/>
                <w:sz w:val="20"/>
                <w:szCs w:val="20"/>
                <w:lang w:eastAsia="en-AU"/>
              </w:rPr>
            </w:pPr>
            <w:r w:rsidRPr="00100F0A">
              <w:rPr>
                <w:rFonts w:eastAsia="Times New Roman" w:cs="Calibri"/>
                <w:color w:val="000000"/>
                <w:sz w:val="20"/>
                <w:szCs w:val="20"/>
                <w:lang w:eastAsia="en-AU"/>
              </w:rPr>
              <w:t> </w:t>
            </w:r>
          </w:p>
        </w:tc>
      </w:tr>
      <w:tr w:rsidR="00052973" w:rsidRPr="00100F0A" w14:paraId="7DC077AC"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72341957"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M150</w:t>
            </w:r>
          </w:p>
        </w:tc>
        <w:tc>
          <w:tcPr>
            <w:tcW w:w="2750" w:type="pct"/>
            <w:tcBorders>
              <w:top w:val="nil"/>
              <w:left w:val="nil"/>
              <w:bottom w:val="nil"/>
              <w:right w:val="nil"/>
            </w:tcBorders>
            <w:shd w:val="clear" w:color="000000" w:fill="F2F2F2"/>
            <w:noWrap/>
            <w:vAlign w:val="center"/>
            <w:hideMark/>
          </w:tcPr>
          <w:p w14:paraId="53BD0CAD"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Phenols, phenol compounds including chlorophenols</w:t>
            </w:r>
          </w:p>
        </w:tc>
        <w:tc>
          <w:tcPr>
            <w:tcW w:w="561" w:type="pct"/>
            <w:tcBorders>
              <w:top w:val="single" w:sz="4" w:space="0" w:color="808080"/>
              <w:left w:val="nil"/>
              <w:bottom w:val="single" w:sz="4" w:space="0" w:color="808080"/>
              <w:right w:val="nil"/>
            </w:tcBorders>
            <w:shd w:val="clear" w:color="000000" w:fill="F2F2F2"/>
            <w:noWrap/>
            <w:vAlign w:val="center"/>
            <w:hideMark/>
          </w:tcPr>
          <w:p w14:paraId="169C1C3F"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M</w:t>
            </w:r>
          </w:p>
        </w:tc>
        <w:tc>
          <w:tcPr>
            <w:tcW w:w="943" w:type="pct"/>
            <w:tcBorders>
              <w:top w:val="nil"/>
              <w:left w:val="nil"/>
              <w:bottom w:val="single" w:sz="4" w:space="0" w:color="808080"/>
              <w:right w:val="nil"/>
            </w:tcBorders>
            <w:shd w:val="clear" w:color="000000" w:fill="F2F2F2"/>
            <w:noWrap/>
            <w:vAlign w:val="center"/>
            <w:hideMark/>
          </w:tcPr>
          <w:p w14:paraId="7DF456BA"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organic chemicals</w:t>
            </w:r>
          </w:p>
        </w:tc>
        <w:tc>
          <w:tcPr>
            <w:tcW w:w="300" w:type="pct"/>
            <w:tcBorders>
              <w:top w:val="nil"/>
              <w:left w:val="nil"/>
              <w:bottom w:val="single" w:sz="4" w:space="0" w:color="808080"/>
              <w:right w:val="single" w:sz="4" w:space="0" w:color="auto"/>
            </w:tcBorders>
            <w:shd w:val="clear" w:color="000000" w:fill="F2F2F2"/>
            <w:noWrap/>
            <w:vAlign w:val="center"/>
            <w:hideMark/>
          </w:tcPr>
          <w:p w14:paraId="21B02677" w14:textId="77777777" w:rsidR="00052973" w:rsidRPr="00100F0A" w:rsidRDefault="00052973" w:rsidP="00052973">
            <w:pPr>
              <w:jc w:val="right"/>
              <w:rPr>
                <w:rFonts w:eastAsia="Times New Roman" w:cs="Calibri"/>
                <w:color w:val="000000"/>
                <w:sz w:val="20"/>
                <w:szCs w:val="20"/>
                <w:lang w:eastAsia="en-AU"/>
              </w:rPr>
            </w:pPr>
            <w:r w:rsidRPr="00100F0A">
              <w:rPr>
                <w:rFonts w:eastAsia="Times New Roman" w:cs="Calibri"/>
                <w:color w:val="000000"/>
                <w:sz w:val="20"/>
                <w:szCs w:val="20"/>
                <w:lang w:eastAsia="en-AU"/>
              </w:rPr>
              <w:t> </w:t>
            </w:r>
          </w:p>
        </w:tc>
      </w:tr>
      <w:tr w:rsidR="00052973" w:rsidRPr="00100F0A" w14:paraId="1B03829F" w14:textId="77777777" w:rsidTr="00052973">
        <w:trPr>
          <w:trHeight w:val="255"/>
        </w:trPr>
        <w:tc>
          <w:tcPr>
            <w:tcW w:w="446" w:type="pct"/>
            <w:vMerge w:val="restart"/>
            <w:tcBorders>
              <w:top w:val="nil"/>
              <w:left w:val="single" w:sz="4" w:space="0" w:color="auto"/>
              <w:bottom w:val="nil"/>
              <w:right w:val="nil"/>
            </w:tcBorders>
            <w:shd w:val="clear" w:color="000000" w:fill="F2F2F2"/>
            <w:noWrap/>
            <w:vAlign w:val="center"/>
            <w:hideMark/>
          </w:tcPr>
          <w:p w14:paraId="5BBBF685"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M160</w:t>
            </w:r>
          </w:p>
        </w:tc>
        <w:tc>
          <w:tcPr>
            <w:tcW w:w="2750" w:type="pct"/>
            <w:vMerge w:val="restart"/>
            <w:tcBorders>
              <w:top w:val="nil"/>
              <w:left w:val="nil"/>
              <w:bottom w:val="nil"/>
              <w:right w:val="nil"/>
            </w:tcBorders>
            <w:shd w:val="clear" w:color="000000" w:fill="F2F2F2"/>
            <w:vAlign w:val="center"/>
            <w:hideMark/>
          </w:tcPr>
          <w:p w14:paraId="54ED4207"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Organo halogen compounds—other than substances referred to in this Table or Table 2</w:t>
            </w:r>
          </w:p>
        </w:tc>
        <w:tc>
          <w:tcPr>
            <w:tcW w:w="561" w:type="pct"/>
            <w:tcBorders>
              <w:top w:val="nil"/>
              <w:left w:val="nil"/>
              <w:bottom w:val="nil"/>
              <w:right w:val="nil"/>
            </w:tcBorders>
            <w:shd w:val="clear" w:color="000000" w:fill="F2F2F2"/>
            <w:noWrap/>
            <w:vAlign w:val="bottom"/>
            <w:hideMark/>
          </w:tcPr>
          <w:p w14:paraId="2D0AEE18"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M160a&amp;b</w:t>
            </w:r>
          </w:p>
        </w:tc>
        <w:tc>
          <w:tcPr>
            <w:tcW w:w="943" w:type="pct"/>
            <w:tcBorders>
              <w:top w:val="nil"/>
              <w:left w:val="nil"/>
              <w:bottom w:val="single" w:sz="4" w:space="0" w:color="808080"/>
              <w:right w:val="nil"/>
            </w:tcBorders>
            <w:shd w:val="clear" w:color="000000" w:fill="F2F2F2"/>
            <w:noWrap/>
            <w:vAlign w:val="bottom"/>
            <w:hideMark/>
          </w:tcPr>
          <w:p w14:paraId="175CE99C"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POP BDEs and HBCD</w:t>
            </w:r>
          </w:p>
        </w:tc>
        <w:tc>
          <w:tcPr>
            <w:tcW w:w="300" w:type="pct"/>
            <w:tcBorders>
              <w:top w:val="nil"/>
              <w:left w:val="nil"/>
              <w:bottom w:val="single" w:sz="4" w:space="0" w:color="808080"/>
              <w:right w:val="single" w:sz="4" w:space="0" w:color="auto"/>
            </w:tcBorders>
            <w:shd w:val="clear" w:color="000000" w:fill="F2F2F2"/>
            <w:noWrap/>
            <w:vAlign w:val="bottom"/>
            <w:hideMark/>
          </w:tcPr>
          <w:p w14:paraId="627AC5CF" w14:textId="77777777" w:rsidR="00052973" w:rsidRPr="00100F0A" w:rsidRDefault="00052973" w:rsidP="00052973">
            <w:pPr>
              <w:jc w:val="right"/>
              <w:rPr>
                <w:rFonts w:eastAsia="Times New Roman" w:cs="Calibri"/>
                <w:color w:val="000000"/>
                <w:sz w:val="20"/>
                <w:szCs w:val="20"/>
                <w:lang w:eastAsia="en-AU"/>
              </w:rPr>
            </w:pPr>
            <w:r w:rsidRPr="00100F0A">
              <w:rPr>
                <w:rFonts w:eastAsia="Times New Roman" w:cs="Calibri"/>
                <w:color w:val="000000"/>
                <w:sz w:val="20"/>
                <w:szCs w:val="20"/>
                <w:lang w:eastAsia="en-AU"/>
              </w:rPr>
              <w:t> </w:t>
            </w:r>
          </w:p>
        </w:tc>
      </w:tr>
      <w:tr w:rsidR="00052973" w:rsidRPr="00100F0A" w14:paraId="06C98FCF" w14:textId="77777777" w:rsidTr="00052973">
        <w:trPr>
          <w:trHeight w:val="255"/>
        </w:trPr>
        <w:tc>
          <w:tcPr>
            <w:tcW w:w="446" w:type="pct"/>
            <w:vMerge/>
            <w:tcBorders>
              <w:top w:val="nil"/>
              <w:left w:val="single" w:sz="4" w:space="0" w:color="auto"/>
              <w:bottom w:val="nil"/>
              <w:right w:val="nil"/>
            </w:tcBorders>
            <w:vAlign w:val="center"/>
            <w:hideMark/>
          </w:tcPr>
          <w:p w14:paraId="70B6E13B" w14:textId="77777777" w:rsidR="00052973" w:rsidRPr="00100F0A" w:rsidRDefault="00052973" w:rsidP="00052973">
            <w:pPr>
              <w:rPr>
                <w:rFonts w:eastAsia="Times New Roman" w:cs="Calibri"/>
                <w:color w:val="000000"/>
                <w:sz w:val="20"/>
                <w:szCs w:val="20"/>
                <w:lang w:eastAsia="en-AU"/>
              </w:rPr>
            </w:pPr>
          </w:p>
        </w:tc>
        <w:tc>
          <w:tcPr>
            <w:tcW w:w="2750" w:type="pct"/>
            <w:vMerge/>
            <w:tcBorders>
              <w:top w:val="nil"/>
              <w:left w:val="nil"/>
              <w:bottom w:val="nil"/>
              <w:right w:val="nil"/>
            </w:tcBorders>
            <w:vAlign w:val="center"/>
            <w:hideMark/>
          </w:tcPr>
          <w:p w14:paraId="32EB7B9C" w14:textId="77777777" w:rsidR="00052973" w:rsidRPr="00100F0A" w:rsidRDefault="00052973" w:rsidP="00052973">
            <w:pPr>
              <w:rPr>
                <w:rFonts w:eastAsia="Times New Roman" w:cs="Calibri"/>
                <w:color w:val="080808"/>
                <w:sz w:val="20"/>
                <w:szCs w:val="20"/>
                <w:lang w:eastAsia="en-AU"/>
              </w:rPr>
            </w:pPr>
          </w:p>
        </w:tc>
        <w:tc>
          <w:tcPr>
            <w:tcW w:w="561" w:type="pct"/>
            <w:tcBorders>
              <w:top w:val="nil"/>
              <w:left w:val="nil"/>
              <w:bottom w:val="nil"/>
              <w:right w:val="nil"/>
            </w:tcBorders>
            <w:shd w:val="clear" w:color="000000" w:fill="F2F2F2"/>
            <w:noWrap/>
            <w:vAlign w:val="bottom"/>
            <w:hideMark/>
          </w:tcPr>
          <w:p w14:paraId="0EF1EE29"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M160c</w:t>
            </w:r>
          </w:p>
        </w:tc>
        <w:tc>
          <w:tcPr>
            <w:tcW w:w="943" w:type="pct"/>
            <w:tcBorders>
              <w:top w:val="nil"/>
              <w:left w:val="nil"/>
              <w:bottom w:val="nil"/>
              <w:right w:val="nil"/>
            </w:tcBorders>
            <w:shd w:val="clear" w:color="000000" w:fill="F2F2F2"/>
            <w:noWrap/>
            <w:vAlign w:val="bottom"/>
            <w:hideMark/>
          </w:tcPr>
          <w:p w14:paraId="724A503E"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HCB</w:t>
            </w:r>
          </w:p>
        </w:tc>
        <w:tc>
          <w:tcPr>
            <w:tcW w:w="300" w:type="pct"/>
            <w:tcBorders>
              <w:top w:val="nil"/>
              <w:left w:val="nil"/>
              <w:bottom w:val="nil"/>
              <w:right w:val="single" w:sz="4" w:space="0" w:color="auto"/>
            </w:tcBorders>
            <w:shd w:val="clear" w:color="000000" w:fill="F2F2F2"/>
            <w:noWrap/>
            <w:vAlign w:val="bottom"/>
            <w:hideMark/>
          </w:tcPr>
          <w:p w14:paraId="27F540F4" w14:textId="77777777" w:rsidR="00052973" w:rsidRPr="00100F0A" w:rsidRDefault="00052973" w:rsidP="00052973">
            <w:pPr>
              <w:jc w:val="right"/>
              <w:rPr>
                <w:rFonts w:eastAsia="Times New Roman" w:cs="Calibri"/>
                <w:color w:val="000000"/>
                <w:sz w:val="20"/>
                <w:szCs w:val="20"/>
                <w:lang w:eastAsia="en-AU"/>
              </w:rPr>
            </w:pPr>
            <w:r w:rsidRPr="00100F0A">
              <w:rPr>
                <w:rFonts w:eastAsia="Times New Roman" w:cs="Calibri"/>
                <w:color w:val="000000"/>
                <w:sz w:val="20"/>
                <w:szCs w:val="20"/>
                <w:lang w:eastAsia="en-AU"/>
              </w:rPr>
              <w:t> </w:t>
            </w:r>
          </w:p>
        </w:tc>
      </w:tr>
      <w:tr w:rsidR="00052973" w:rsidRPr="00100F0A" w14:paraId="19EC7C13"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7D9EB064"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M170</w:t>
            </w:r>
          </w:p>
        </w:tc>
        <w:tc>
          <w:tcPr>
            <w:tcW w:w="2750" w:type="pct"/>
            <w:tcBorders>
              <w:top w:val="nil"/>
              <w:left w:val="nil"/>
              <w:bottom w:val="nil"/>
              <w:right w:val="nil"/>
            </w:tcBorders>
            <w:shd w:val="clear" w:color="000000" w:fill="F2F2F2"/>
            <w:noWrap/>
            <w:vAlign w:val="center"/>
            <w:hideMark/>
          </w:tcPr>
          <w:p w14:paraId="4BE1F55F"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Polychlorinated dibenzo-furan (any congener)</w:t>
            </w:r>
          </w:p>
        </w:tc>
        <w:tc>
          <w:tcPr>
            <w:tcW w:w="561" w:type="pct"/>
            <w:tcBorders>
              <w:top w:val="single" w:sz="4" w:space="0" w:color="808080"/>
              <w:left w:val="nil"/>
              <w:bottom w:val="nil"/>
              <w:right w:val="nil"/>
            </w:tcBorders>
            <w:shd w:val="clear" w:color="000000" w:fill="F2F2F2"/>
            <w:noWrap/>
            <w:vAlign w:val="bottom"/>
            <w:hideMark/>
          </w:tcPr>
          <w:p w14:paraId="368F1FE5"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M</w:t>
            </w:r>
          </w:p>
        </w:tc>
        <w:tc>
          <w:tcPr>
            <w:tcW w:w="1243" w:type="pct"/>
            <w:gridSpan w:val="2"/>
            <w:vMerge w:val="restart"/>
            <w:tcBorders>
              <w:top w:val="single" w:sz="4" w:space="0" w:color="808080"/>
              <w:left w:val="nil"/>
              <w:bottom w:val="single" w:sz="4" w:space="0" w:color="808080"/>
              <w:right w:val="single" w:sz="4" w:space="0" w:color="auto"/>
            </w:tcBorders>
            <w:shd w:val="clear" w:color="000000" w:fill="F2F2F2"/>
            <w:noWrap/>
            <w:vAlign w:val="center"/>
            <w:hideMark/>
          </w:tcPr>
          <w:p w14:paraId="2BC75AA0"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organic chemicals</w:t>
            </w:r>
          </w:p>
        </w:tc>
      </w:tr>
      <w:tr w:rsidR="00052973" w:rsidRPr="00100F0A" w14:paraId="7FDCDF18"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2060B77A"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M180</w:t>
            </w:r>
          </w:p>
        </w:tc>
        <w:tc>
          <w:tcPr>
            <w:tcW w:w="2750" w:type="pct"/>
            <w:tcBorders>
              <w:top w:val="nil"/>
              <w:left w:val="nil"/>
              <w:bottom w:val="nil"/>
              <w:right w:val="nil"/>
            </w:tcBorders>
            <w:shd w:val="clear" w:color="000000" w:fill="F2F2F2"/>
            <w:noWrap/>
            <w:vAlign w:val="center"/>
            <w:hideMark/>
          </w:tcPr>
          <w:p w14:paraId="396B7D3E"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Polychlorinated dibenzo-p-dioxin (any congener)</w:t>
            </w:r>
          </w:p>
        </w:tc>
        <w:tc>
          <w:tcPr>
            <w:tcW w:w="561" w:type="pct"/>
            <w:tcBorders>
              <w:top w:val="nil"/>
              <w:left w:val="nil"/>
              <w:bottom w:val="nil"/>
              <w:right w:val="nil"/>
            </w:tcBorders>
            <w:shd w:val="clear" w:color="000000" w:fill="F2F2F2"/>
            <w:noWrap/>
            <w:vAlign w:val="bottom"/>
            <w:hideMark/>
          </w:tcPr>
          <w:p w14:paraId="6BB076A8"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M</w:t>
            </w:r>
          </w:p>
        </w:tc>
        <w:tc>
          <w:tcPr>
            <w:tcW w:w="1243" w:type="pct"/>
            <w:gridSpan w:val="2"/>
            <w:vMerge/>
            <w:tcBorders>
              <w:top w:val="nil"/>
              <w:left w:val="nil"/>
              <w:bottom w:val="nil"/>
              <w:right w:val="single" w:sz="4" w:space="0" w:color="auto"/>
            </w:tcBorders>
            <w:vAlign w:val="center"/>
            <w:hideMark/>
          </w:tcPr>
          <w:p w14:paraId="6BC501A4" w14:textId="77777777" w:rsidR="00052973" w:rsidRPr="00100F0A" w:rsidRDefault="00052973" w:rsidP="00052973">
            <w:pPr>
              <w:rPr>
                <w:rFonts w:eastAsia="Times New Roman" w:cs="Calibri"/>
                <w:color w:val="000000"/>
                <w:sz w:val="20"/>
                <w:szCs w:val="20"/>
                <w:lang w:eastAsia="en-AU"/>
              </w:rPr>
            </w:pPr>
          </w:p>
        </w:tc>
      </w:tr>
      <w:tr w:rsidR="00052973" w:rsidRPr="00100F0A" w14:paraId="395137D0"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576798EC"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M210</w:t>
            </w:r>
          </w:p>
        </w:tc>
        <w:tc>
          <w:tcPr>
            <w:tcW w:w="2750" w:type="pct"/>
            <w:tcBorders>
              <w:top w:val="nil"/>
              <w:left w:val="nil"/>
              <w:bottom w:val="nil"/>
              <w:right w:val="nil"/>
            </w:tcBorders>
            <w:shd w:val="clear" w:color="000000" w:fill="F2F2F2"/>
            <w:noWrap/>
            <w:vAlign w:val="center"/>
            <w:hideMark/>
          </w:tcPr>
          <w:p w14:paraId="3C6283A8"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Cyanides (organic)</w:t>
            </w:r>
          </w:p>
        </w:tc>
        <w:tc>
          <w:tcPr>
            <w:tcW w:w="561" w:type="pct"/>
            <w:tcBorders>
              <w:top w:val="nil"/>
              <w:left w:val="nil"/>
              <w:bottom w:val="nil"/>
              <w:right w:val="nil"/>
            </w:tcBorders>
            <w:shd w:val="clear" w:color="000000" w:fill="F2F2F2"/>
            <w:noWrap/>
            <w:vAlign w:val="bottom"/>
            <w:hideMark/>
          </w:tcPr>
          <w:p w14:paraId="2A61896B"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M</w:t>
            </w:r>
          </w:p>
        </w:tc>
        <w:tc>
          <w:tcPr>
            <w:tcW w:w="1243" w:type="pct"/>
            <w:gridSpan w:val="2"/>
            <w:vMerge/>
            <w:tcBorders>
              <w:top w:val="nil"/>
              <w:left w:val="nil"/>
              <w:bottom w:val="nil"/>
              <w:right w:val="single" w:sz="4" w:space="0" w:color="auto"/>
            </w:tcBorders>
            <w:vAlign w:val="center"/>
            <w:hideMark/>
          </w:tcPr>
          <w:p w14:paraId="7AE188FC" w14:textId="77777777" w:rsidR="00052973" w:rsidRPr="00100F0A" w:rsidRDefault="00052973" w:rsidP="00052973">
            <w:pPr>
              <w:rPr>
                <w:rFonts w:eastAsia="Times New Roman" w:cs="Calibri"/>
                <w:color w:val="000000"/>
                <w:sz w:val="20"/>
                <w:szCs w:val="20"/>
                <w:lang w:eastAsia="en-AU"/>
              </w:rPr>
            </w:pPr>
          </w:p>
        </w:tc>
      </w:tr>
      <w:tr w:rsidR="00052973" w:rsidRPr="00100F0A" w14:paraId="6AFF7478"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7BD70199"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M220</w:t>
            </w:r>
          </w:p>
        </w:tc>
        <w:tc>
          <w:tcPr>
            <w:tcW w:w="2750" w:type="pct"/>
            <w:tcBorders>
              <w:top w:val="nil"/>
              <w:left w:val="nil"/>
              <w:bottom w:val="nil"/>
              <w:right w:val="nil"/>
            </w:tcBorders>
            <w:shd w:val="clear" w:color="000000" w:fill="F2F2F2"/>
            <w:noWrap/>
            <w:vAlign w:val="center"/>
            <w:hideMark/>
          </w:tcPr>
          <w:p w14:paraId="02653F06"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Isocyanate compounds</w:t>
            </w:r>
          </w:p>
        </w:tc>
        <w:tc>
          <w:tcPr>
            <w:tcW w:w="561" w:type="pct"/>
            <w:tcBorders>
              <w:top w:val="nil"/>
              <w:left w:val="nil"/>
              <w:bottom w:val="nil"/>
              <w:right w:val="nil"/>
            </w:tcBorders>
            <w:shd w:val="clear" w:color="000000" w:fill="F2F2F2"/>
            <w:noWrap/>
            <w:vAlign w:val="bottom"/>
            <w:hideMark/>
          </w:tcPr>
          <w:p w14:paraId="012F8726"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M</w:t>
            </w:r>
          </w:p>
        </w:tc>
        <w:tc>
          <w:tcPr>
            <w:tcW w:w="1243" w:type="pct"/>
            <w:gridSpan w:val="2"/>
            <w:vMerge/>
            <w:tcBorders>
              <w:top w:val="nil"/>
              <w:left w:val="nil"/>
              <w:bottom w:val="nil"/>
              <w:right w:val="single" w:sz="4" w:space="0" w:color="auto"/>
            </w:tcBorders>
            <w:vAlign w:val="center"/>
            <w:hideMark/>
          </w:tcPr>
          <w:p w14:paraId="1760789A" w14:textId="77777777" w:rsidR="00052973" w:rsidRPr="00100F0A" w:rsidRDefault="00052973" w:rsidP="00052973">
            <w:pPr>
              <w:rPr>
                <w:rFonts w:eastAsia="Times New Roman" w:cs="Calibri"/>
                <w:color w:val="000000"/>
                <w:sz w:val="20"/>
                <w:szCs w:val="20"/>
                <w:lang w:eastAsia="en-AU"/>
              </w:rPr>
            </w:pPr>
          </w:p>
        </w:tc>
      </w:tr>
      <w:tr w:rsidR="00052973" w:rsidRPr="00100F0A" w14:paraId="3C13F717"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65240613"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M230</w:t>
            </w:r>
          </w:p>
        </w:tc>
        <w:tc>
          <w:tcPr>
            <w:tcW w:w="2750" w:type="pct"/>
            <w:tcBorders>
              <w:top w:val="nil"/>
              <w:left w:val="nil"/>
              <w:bottom w:val="nil"/>
              <w:right w:val="nil"/>
            </w:tcBorders>
            <w:shd w:val="clear" w:color="000000" w:fill="F2F2F2"/>
            <w:noWrap/>
            <w:vAlign w:val="center"/>
            <w:hideMark/>
          </w:tcPr>
          <w:p w14:paraId="3209FB44"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Triethylamine catalysts for setting foundry sands</w:t>
            </w:r>
          </w:p>
        </w:tc>
        <w:tc>
          <w:tcPr>
            <w:tcW w:w="561" w:type="pct"/>
            <w:tcBorders>
              <w:top w:val="nil"/>
              <w:left w:val="nil"/>
              <w:bottom w:val="nil"/>
              <w:right w:val="nil"/>
            </w:tcBorders>
            <w:shd w:val="clear" w:color="000000" w:fill="F2F2F2"/>
            <w:noWrap/>
            <w:vAlign w:val="bottom"/>
            <w:hideMark/>
          </w:tcPr>
          <w:p w14:paraId="43F93CEA"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M</w:t>
            </w:r>
          </w:p>
        </w:tc>
        <w:tc>
          <w:tcPr>
            <w:tcW w:w="1243" w:type="pct"/>
            <w:gridSpan w:val="2"/>
            <w:vMerge/>
            <w:tcBorders>
              <w:top w:val="nil"/>
              <w:left w:val="nil"/>
              <w:bottom w:val="nil"/>
              <w:right w:val="single" w:sz="4" w:space="0" w:color="auto"/>
            </w:tcBorders>
            <w:vAlign w:val="center"/>
            <w:hideMark/>
          </w:tcPr>
          <w:p w14:paraId="4BA2B559" w14:textId="77777777" w:rsidR="00052973" w:rsidRPr="00100F0A" w:rsidRDefault="00052973" w:rsidP="00052973">
            <w:pPr>
              <w:rPr>
                <w:rFonts w:eastAsia="Times New Roman" w:cs="Calibri"/>
                <w:color w:val="000000"/>
                <w:sz w:val="20"/>
                <w:szCs w:val="20"/>
                <w:lang w:eastAsia="en-AU"/>
              </w:rPr>
            </w:pPr>
          </w:p>
        </w:tc>
      </w:tr>
      <w:tr w:rsidR="00052973" w:rsidRPr="00100F0A" w14:paraId="10653080" w14:textId="77777777" w:rsidTr="00052973">
        <w:trPr>
          <w:trHeight w:val="510"/>
        </w:trPr>
        <w:tc>
          <w:tcPr>
            <w:tcW w:w="446" w:type="pct"/>
            <w:tcBorders>
              <w:top w:val="nil"/>
              <w:left w:val="single" w:sz="4" w:space="0" w:color="auto"/>
              <w:bottom w:val="nil"/>
              <w:right w:val="nil"/>
            </w:tcBorders>
            <w:shd w:val="clear" w:color="000000" w:fill="F2F2F2"/>
            <w:noWrap/>
            <w:vAlign w:val="center"/>
            <w:hideMark/>
          </w:tcPr>
          <w:p w14:paraId="64FB0C70"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M250</w:t>
            </w:r>
          </w:p>
        </w:tc>
        <w:tc>
          <w:tcPr>
            <w:tcW w:w="2750" w:type="pct"/>
            <w:tcBorders>
              <w:top w:val="nil"/>
              <w:left w:val="nil"/>
              <w:bottom w:val="nil"/>
              <w:right w:val="nil"/>
            </w:tcBorders>
            <w:shd w:val="clear" w:color="000000" w:fill="F2F2F2"/>
            <w:vAlign w:val="center"/>
            <w:hideMark/>
          </w:tcPr>
          <w:p w14:paraId="0E1911C9"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Surface active agents (surfactants), containing principally organic constituents and which may contain metals and inorganic materials</w:t>
            </w:r>
          </w:p>
        </w:tc>
        <w:tc>
          <w:tcPr>
            <w:tcW w:w="561" w:type="pct"/>
            <w:tcBorders>
              <w:top w:val="nil"/>
              <w:left w:val="nil"/>
              <w:bottom w:val="nil"/>
              <w:right w:val="nil"/>
            </w:tcBorders>
            <w:shd w:val="clear" w:color="000000" w:fill="F2F2F2"/>
            <w:noWrap/>
            <w:vAlign w:val="bottom"/>
            <w:hideMark/>
          </w:tcPr>
          <w:p w14:paraId="72CC117A"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M</w:t>
            </w:r>
          </w:p>
        </w:tc>
        <w:tc>
          <w:tcPr>
            <w:tcW w:w="1243" w:type="pct"/>
            <w:gridSpan w:val="2"/>
            <w:vMerge/>
            <w:tcBorders>
              <w:top w:val="nil"/>
              <w:left w:val="nil"/>
              <w:bottom w:val="nil"/>
              <w:right w:val="single" w:sz="4" w:space="0" w:color="auto"/>
            </w:tcBorders>
            <w:vAlign w:val="center"/>
            <w:hideMark/>
          </w:tcPr>
          <w:p w14:paraId="19C75DC6" w14:textId="77777777" w:rsidR="00052973" w:rsidRPr="00100F0A" w:rsidRDefault="00052973" w:rsidP="00052973">
            <w:pPr>
              <w:rPr>
                <w:rFonts w:eastAsia="Times New Roman" w:cs="Calibri"/>
                <w:color w:val="000000"/>
                <w:sz w:val="20"/>
                <w:szCs w:val="20"/>
                <w:lang w:eastAsia="en-AU"/>
              </w:rPr>
            </w:pPr>
          </w:p>
        </w:tc>
      </w:tr>
      <w:tr w:rsidR="00052973" w:rsidRPr="00100F0A" w14:paraId="3E82F72F"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1502617D"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M260</w:t>
            </w:r>
          </w:p>
        </w:tc>
        <w:tc>
          <w:tcPr>
            <w:tcW w:w="2750" w:type="pct"/>
            <w:tcBorders>
              <w:top w:val="nil"/>
              <w:left w:val="nil"/>
              <w:bottom w:val="nil"/>
              <w:right w:val="nil"/>
            </w:tcBorders>
            <w:shd w:val="clear" w:color="000000" w:fill="F2F2F2"/>
            <w:noWrap/>
            <w:vAlign w:val="center"/>
            <w:hideMark/>
          </w:tcPr>
          <w:p w14:paraId="1762BAB9"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Highly odorous organic chemicals (including mercaptans and acrylates)</w:t>
            </w:r>
          </w:p>
        </w:tc>
        <w:tc>
          <w:tcPr>
            <w:tcW w:w="561" w:type="pct"/>
            <w:tcBorders>
              <w:top w:val="nil"/>
              <w:left w:val="nil"/>
              <w:bottom w:val="single" w:sz="4" w:space="0" w:color="808080"/>
              <w:right w:val="nil"/>
            </w:tcBorders>
            <w:shd w:val="clear" w:color="000000" w:fill="F2F2F2"/>
            <w:noWrap/>
            <w:vAlign w:val="bottom"/>
            <w:hideMark/>
          </w:tcPr>
          <w:p w14:paraId="41A21B88"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M</w:t>
            </w:r>
          </w:p>
        </w:tc>
        <w:tc>
          <w:tcPr>
            <w:tcW w:w="1243" w:type="pct"/>
            <w:gridSpan w:val="2"/>
            <w:vMerge/>
            <w:tcBorders>
              <w:top w:val="nil"/>
              <w:left w:val="nil"/>
              <w:bottom w:val="single" w:sz="4" w:space="0" w:color="808080"/>
              <w:right w:val="single" w:sz="4" w:space="0" w:color="auto"/>
            </w:tcBorders>
            <w:vAlign w:val="center"/>
            <w:hideMark/>
          </w:tcPr>
          <w:p w14:paraId="0306FF76" w14:textId="77777777" w:rsidR="00052973" w:rsidRPr="00100F0A" w:rsidRDefault="00052973" w:rsidP="00052973">
            <w:pPr>
              <w:rPr>
                <w:rFonts w:eastAsia="Times New Roman" w:cs="Calibri"/>
                <w:color w:val="000000"/>
                <w:sz w:val="20"/>
                <w:szCs w:val="20"/>
                <w:lang w:eastAsia="en-AU"/>
              </w:rPr>
            </w:pPr>
          </w:p>
        </w:tc>
      </w:tr>
      <w:tr w:rsidR="00052973" w:rsidRPr="00100F0A" w14:paraId="12CB4AB7" w14:textId="77777777" w:rsidTr="00052973">
        <w:trPr>
          <w:trHeight w:val="255"/>
        </w:trPr>
        <w:tc>
          <w:tcPr>
            <w:tcW w:w="446" w:type="pct"/>
            <w:vMerge w:val="restart"/>
            <w:tcBorders>
              <w:top w:val="nil"/>
              <w:left w:val="single" w:sz="4" w:space="0" w:color="auto"/>
              <w:bottom w:val="single" w:sz="4" w:space="0" w:color="808080"/>
              <w:right w:val="nil"/>
            </w:tcBorders>
            <w:shd w:val="clear" w:color="000000" w:fill="F2F2F2"/>
            <w:noWrap/>
            <w:vAlign w:val="center"/>
            <w:hideMark/>
          </w:tcPr>
          <w:p w14:paraId="41518B16"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M270</w:t>
            </w:r>
          </w:p>
        </w:tc>
        <w:tc>
          <w:tcPr>
            <w:tcW w:w="2750" w:type="pct"/>
            <w:vMerge w:val="restart"/>
            <w:tcBorders>
              <w:top w:val="nil"/>
              <w:left w:val="nil"/>
              <w:bottom w:val="single" w:sz="4" w:space="0" w:color="808080"/>
              <w:right w:val="nil"/>
            </w:tcBorders>
            <w:shd w:val="clear" w:color="000000" w:fill="F2F2F2"/>
            <w:noWrap/>
            <w:vAlign w:val="center"/>
            <w:hideMark/>
          </w:tcPr>
          <w:p w14:paraId="7051A0A2"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PFAS contaminated materials</w:t>
            </w:r>
          </w:p>
        </w:tc>
        <w:tc>
          <w:tcPr>
            <w:tcW w:w="561" w:type="pct"/>
            <w:tcBorders>
              <w:top w:val="nil"/>
              <w:left w:val="nil"/>
              <w:bottom w:val="single" w:sz="4" w:space="0" w:color="808080"/>
              <w:right w:val="nil"/>
            </w:tcBorders>
            <w:shd w:val="clear" w:color="000000" w:fill="F2F2F2"/>
            <w:noWrap/>
            <w:vAlign w:val="bottom"/>
            <w:hideMark/>
          </w:tcPr>
          <w:p w14:paraId="068C584C"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M270a</w:t>
            </w:r>
          </w:p>
        </w:tc>
        <w:tc>
          <w:tcPr>
            <w:tcW w:w="943" w:type="pct"/>
            <w:tcBorders>
              <w:top w:val="nil"/>
              <w:left w:val="nil"/>
              <w:bottom w:val="single" w:sz="4" w:space="0" w:color="808080"/>
              <w:right w:val="nil"/>
            </w:tcBorders>
            <w:shd w:val="clear" w:color="000000" w:fill="F2F2F2"/>
            <w:noWrap/>
            <w:vAlign w:val="center"/>
            <w:hideMark/>
          </w:tcPr>
          <w:p w14:paraId="51240F62"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PFOS contaminated biosolids</w:t>
            </w:r>
          </w:p>
        </w:tc>
        <w:tc>
          <w:tcPr>
            <w:tcW w:w="300" w:type="pct"/>
            <w:tcBorders>
              <w:top w:val="nil"/>
              <w:left w:val="nil"/>
              <w:bottom w:val="single" w:sz="4" w:space="0" w:color="808080"/>
              <w:right w:val="single" w:sz="4" w:space="0" w:color="auto"/>
            </w:tcBorders>
            <w:shd w:val="clear" w:color="000000" w:fill="F2F2F2"/>
            <w:noWrap/>
            <w:vAlign w:val="center"/>
            <w:hideMark/>
          </w:tcPr>
          <w:p w14:paraId="6F6F1025"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 </w:t>
            </w:r>
          </w:p>
        </w:tc>
      </w:tr>
      <w:tr w:rsidR="00052973" w:rsidRPr="00100F0A" w14:paraId="6339153F" w14:textId="77777777" w:rsidTr="00052973">
        <w:trPr>
          <w:trHeight w:val="255"/>
        </w:trPr>
        <w:tc>
          <w:tcPr>
            <w:tcW w:w="446" w:type="pct"/>
            <w:vMerge/>
            <w:tcBorders>
              <w:top w:val="nil"/>
              <w:left w:val="single" w:sz="4" w:space="0" w:color="auto"/>
              <w:bottom w:val="single" w:sz="4" w:space="0" w:color="808080"/>
              <w:right w:val="nil"/>
            </w:tcBorders>
            <w:vAlign w:val="center"/>
            <w:hideMark/>
          </w:tcPr>
          <w:p w14:paraId="1BFDF7EB" w14:textId="77777777" w:rsidR="00052973" w:rsidRPr="00100F0A" w:rsidRDefault="00052973" w:rsidP="00052973">
            <w:pPr>
              <w:rPr>
                <w:rFonts w:eastAsia="Times New Roman" w:cs="Calibri"/>
                <w:color w:val="000000"/>
                <w:sz w:val="20"/>
                <w:szCs w:val="20"/>
                <w:lang w:eastAsia="en-AU"/>
              </w:rPr>
            </w:pPr>
          </w:p>
        </w:tc>
        <w:tc>
          <w:tcPr>
            <w:tcW w:w="2750" w:type="pct"/>
            <w:vMerge/>
            <w:tcBorders>
              <w:top w:val="nil"/>
              <w:left w:val="nil"/>
              <w:bottom w:val="single" w:sz="4" w:space="0" w:color="808080"/>
              <w:right w:val="nil"/>
            </w:tcBorders>
            <w:vAlign w:val="center"/>
            <w:hideMark/>
          </w:tcPr>
          <w:p w14:paraId="791CB701" w14:textId="77777777" w:rsidR="00052973" w:rsidRPr="00100F0A" w:rsidRDefault="00052973" w:rsidP="00052973">
            <w:pPr>
              <w:rPr>
                <w:rFonts w:eastAsia="Times New Roman" w:cs="Calibri"/>
                <w:color w:val="000000"/>
                <w:sz w:val="20"/>
                <w:szCs w:val="20"/>
                <w:lang w:eastAsia="en-AU"/>
              </w:rPr>
            </w:pPr>
          </w:p>
        </w:tc>
        <w:tc>
          <w:tcPr>
            <w:tcW w:w="561" w:type="pct"/>
            <w:tcBorders>
              <w:top w:val="nil"/>
              <w:left w:val="nil"/>
              <w:bottom w:val="single" w:sz="4" w:space="0" w:color="808080"/>
              <w:right w:val="nil"/>
            </w:tcBorders>
            <w:shd w:val="clear" w:color="000000" w:fill="F2F2F2"/>
            <w:noWrap/>
            <w:vAlign w:val="bottom"/>
            <w:hideMark/>
          </w:tcPr>
          <w:p w14:paraId="5DA589E3"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M270b</w:t>
            </w:r>
          </w:p>
        </w:tc>
        <w:tc>
          <w:tcPr>
            <w:tcW w:w="943" w:type="pct"/>
            <w:tcBorders>
              <w:top w:val="nil"/>
              <w:left w:val="nil"/>
              <w:bottom w:val="single" w:sz="4" w:space="0" w:color="808080"/>
              <w:right w:val="nil"/>
            </w:tcBorders>
            <w:shd w:val="clear" w:color="000000" w:fill="F2F2F2"/>
            <w:noWrap/>
            <w:vAlign w:val="center"/>
            <w:hideMark/>
          </w:tcPr>
          <w:p w14:paraId="32A7B24A"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PFAS contaminated soils</w:t>
            </w:r>
          </w:p>
        </w:tc>
        <w:tc>
          <w:tcPr>
            <w:tcW w:w="300" w:type="pct"/>
            <w:tcBorders>
              <w:top w:val="nil"/>
              <w:left w:val="nil"/>
              <w:bottom w:val="single" w:sz="4" w:space="0" w:color="808080"/>
              <w:right w:val="single" w:sz="4" w:space="0" w:color="auto"/>
            </w:tcBorders>
            <w:shd w:val="clear" w:color="000000" w:fill="F2F2F2"/>
            <w:noWrap/>
            <w:vAlign w:val="center"/>
            <w:hideMark/>
          </w:tcPr>
          <w:p w14:paraId="666F9F24"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 </w:t>
            </w:r>
          </w:p>
        </w:tc>
      </w:tr>
      <w:tr w:rsidR="00052973" w:rsidRPr="00100F0A" w14:paraId="5880A3FA" w14:textId="77777777" w:rsidTr="00052973">
        <w:trPr>
          <w:trHeight w:val="255"/>
        </w:trPr>
        <w:tc>
          <w:tcPr>
            <w:tcW w:w="446" w:type="pct"/>
            <w:vMerge/>
            <w:tcBorders>
              <w:top w:val="nil"/>
              <w:left w:val="single" w:sz="4" w:space="0" w:color="auto"/>
              <w:bottom w:val="single" w:sz="4" w:space="0" w:color="808080"/>
              <w:right w:val="nil"/>
            </w:tcBorders>
            <w:vAlign w:val="center"/>
            <w:hideMark/>
          </w:tcPr>
          <w:p w14:paraId="1FF104AE" w14:textId="77777777" w:rsidR="00052973" w:rsidRPr="00100F0A" w:rsidRDefault="00052973" w:rsidP="00052973">
            <w:pPr>
              <w:rPr>
                <w:rFonts w:eastAsia="Times New Roman" w:cs="Calibri"/>
                <w:color w:val="000000"/>
                <w:sz w:val="20"/>
                <w:szCs w:val="20"/>
                <w:lang w:eastAsia="en-AU"/>
              </w:rPr>
            </w:pPr>
          </w:p>
        </w:tc>
        <w:tc>
          <w:tcPr>
            <w:tcW w:w="2750" w:type="pct"/>
            <w:vMerge/>
            <w:tcBorders>
              <w:top w:val="nil"/>
              <w:left w:val="nil"/>
              <w:bottom w:val="single" w:sz="4" w:space="0" w:color="808080"/>
              <w:right w:val="nil"/>
            </w:tcBorders>
            <w:vAlign w:val="center"/>
            <w:hideMark/>
          </w:tcPr>
          <w:p w14:paraId="7C4D452C" w14:textId="77777777" w:rsidR="00052973" w:rsidRPr="00100F0A" w:rsidRDefault="00052973" w:rsidP="00052973">
            <w:pPr>
              <w:rPr>
                <w:rFonts w:eastAsia="Times New Roman" w:cs="Calibri"/>
                <w:color w:val="000000"/>
                <w:sz w:val="20"/>
                <w:szCs w:val="20"/>
                <w:lang w:eastAsia="en-AU"/>
              </w:rPr>
            </w:pPr>
          </w:p>
        </w:tc>
        <w:tc>
          <w:tcPr>
            <w:tcW w:w="561" w:type="pct"/>
            <w:tcBorders>
              <w:top w:val="nil"/>
              <w:left w:val="nil"/>
              <w:bottom w:val="nil"/>
              <w:right w:val="nil"/>
            </w:tcBorders>
            <w:shd w:val="clear" w:color="000000" w:fill="F2F2F2"/>
            <w:noWrap/>
            <w:vAlign w:val="bottom"/>
            <w:hideMark/>
          </w:tcPr>
          <w:p w14:paraId="3B63B181"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M270c</w:t>
            </w:r>
          </w:p>
        </w:tc>
        <w:tc>
          <w:tcPr>
            <w:tcW w:w="943" w:type="pct"/>
            <w:tcBorders>
              <w:top w:val="nil"/>
              <w:left w:val="nil"/>
              <w:bottom w:val="single" w:sz="4" w:space="0" w:color="808080"/>
              <w:right w:val="nil"/>
            </w:tcBorders>
            <w:shd w:val="clear" w:color="000000" w:fill="F2F2F2"/>
            <w:noWrap/>
            <w:vAlign w:val="center"/>
            <w:hideMark/>
          </w:tcPr>
          <w:p w14:paraId="7A9D79E7"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AFFF concentrates</w:t>
            </w:r>
          </w:p>
        </w:tc>
        <w:tc>
          <w:tcPr>
            <w:tcW w:w="300" w:type="pct"/>
            <w:tcBorders>
              <w:top w:val="nil"/>
              <w:left w:val="nil"/>
              <w:bottom w:val="single" w:sz="4" w:space="0" w:color="808080"/>
              <w:right w:val="single" w:sz="4" w:space="0" w:color="auto"/>
            </w:tcBorders>
            <w:shd w:val="clear" w:color="000000" w:fill="F2F2F2"/>
            <w:noWrap/>
            <w:vAlign w:val="center"/>
            <w:hideMark/>
          </w:tcPr>
          <w:p w14:paraId="065A7D2C"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 </w:t>
            </w:r>
          </w:p>
        </w:tc>
      </w:tr>
      <w:tr w:rsidR="00052973" w:rsidRPr="00100F0A" w14:paraId="667D65C9"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5A1F80FD"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N100</w:t>
            </w:r>
          </w:p>
        </w:tc>
        <w:tc>
          <w:tcPr>
            <w:tcW w:w="2750" w:type="pct"/>
            <w:tcBorders>
              <w:top w:val="nil"/>
              <w:left w:val="nil"/>
              <w:bottom w:val="nil"/>
              <w:right w:val="nil"/>
            </w:tcBorders>
            <w:shd w:val="clear" w:color="000000" w:fill="F2F2F2"/>
            <w:noWrap/>
            <w:vAlign w:val="center"/>
            <w:hideMark/>
          </w:tcPr>
          <w:p w14:paraId="05A45B95"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Containers and drums that are contaminated with residues of substances referred to in this list</w:t>
            </w:r>
          </w:p>
        </w:tc>
        <w:tc>
          <w:tcPr>
            <w:tcW w:w="561" w:type="pct"/>
            <w:tcBorders>
              <w:top w:val="single" w:sz="4" w:space="0" w:color="808080"/>
              <w:left w:val="nil"/>
              <w:bottom w:val="single" w:sz="4" w:space="0" w:color="808080"/>
              <w:right w:val="nil"/>
            </w:tcBorders>
            <w:shd w:val="clear" w:color="000000" w:fill="F2F2F2"/>
            <w:noWrap/>
            <w:vAlign w:val="bottom"/>
            <w:hideMark/>
          </w:tcPr>
          <w:p w14:paraId="0D5A054D"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N</w:t>
            </w:r>
          </w:p>
        </w:tc>
        <w:tc>
          <w:tcPr>
            <w:tcW w:w="943" w:type="pct"/>
            <w:tcBorders>
              <w:top w:val="nil"/>
              <w:left w:val="nil"/>
              <w:bottom w:val="single" w:sz="4" w:space="0" w:color="808080"/>
              <w:right w:val="nil"/>
            </w:tcBorders>
            <w:shd w:val="clear" w:color="000000" w:fill="F2F2F2"/>
            <w:noWrap/>
            <w:vAlign w:val="bottom"/>
            <w:hideMark/>
          </w:tcPr>
          <w:p w14:paraId="518A07DB"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soil/sludges</w:t>
            </w:r>
          </w:p>
        </w:tc>
        <w:tc>
          <w:tcPr>
            <w:tcW w:w="300" w:type="pct"/>
            <w:tcBorders>
              <w:top w:val="nil"/>
              <w:left w:val="nil"/>
              <w:bottom w:val="single" w:sz="4" w:space="0" w:color="808080"/>
              <w:right w:val="single" w:sz="4" w:space="0" w:color="auto"/>
            </w:tcBorders>
            <w:shd w:val="clear" w:color="000000" w:fill="F2F2F2"/>
            <w:noWrap/>
            <w:vAlign w:val="bottom"/>
            <w:hideMark/>
          </w:tcPr>
          <w:p w14:paraId="375C2ED5" w14:textId="77777777" w:rsidR="00052973" w:rsidRPr="00100F0A" w:rsidRDefault="00052973" w:rsidP="00052973">
            <w:pPr>
              <w:jc w:val="right"/>
              <w:rPr>
                <w:rFonts w:eastAsia="Times New Roman" w:cs="Calibri"/>
                <w:color w:val="000000"/>
                <w:sz w:val="20"/>
                <w:szCs w:val="20"/>
                <w:lang w:eastAsia="en-AU"/>
              </w:rPr>
            </w:pPr>
            <w:r w:rsidRPr="00100F0A">
              <w:rPr>
                <w:rFonts w:eastAsia="Times New Roman" w:cs="Calibri"/>
                <w:color w:val="000000"/>
                <w:sz w:val="20"/>
                <w:szCs w:val="20"/>
                <w:lang w:eastAsia="en-AU"/>
              </w:rPr>
              <w:t> </w:t>
            </w:r>
          </w:p>
        </w:tc>
      </w:tr>
      <w:tr w:rsidR="00052973" w:rsidRPr="00100F0A" w14:paraId="486734BE"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73B6CA00"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N120</w:t>
            </w:r>
          </w:p>
        </w:tc>
        <w:tc>
          <w:tcPr>
            <w:tcW w:w="2750" w:type="pct"/>
            <w:tcBorders>
              <w:top w:val="nil"/>
              <w:left w:val="nil"/>
              <w:bottom w:val="nil"/>
              <w:right w:val="nil"/>
            </w:tcBorders>
            <w:shd w:val="clear" w:color="000000" w:fill="F2F2F2"/>
            <w:noWrap/>
            <w:vAlign w:val="center"/>
            <w:hideMark/>
          </w:tcPr>
          <w:p w14:paraId="4670571D"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Soils contaminated with a controlled waste</w:t>
            </w:r>
          </w:p>
        </w:tc>
        <w:tc>
          <w:tcPr>
            <w:tcW w:w="561" w:type="pct"/>
            <w:tcBorders>
              <w:top w:val="nil"/>
              <w:left w:val="nil"/>
              <w:bottom w:val="single" w:sz="4" w:space="0" w:color="808080"/>
              <w:right w:val="nil"/>
            </w:tcBorders>
            <w:shd w:val="clear" w:color="000000" w:fill="F2F2F2"/>
            <w:noWrap/>
            <w:vAlign w:val="bottom"/>
            <w:hideMark/>
          </w:tcPr>
          <w:p w14:paraId="5ECAC9C7"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N120</w:t>
            </w:r>
          </w:p>
        </w:tc>
        <w:tc>
          <w:tcPr>
            <w:tcW w:w="943" w:type="pct"/>
            <w:tcBorders>
              <w:top w:val="nil"/>
              <w:left w:val="nil"/>
              <w:bottom w:val="single" w:sz="4" w:space="0" w:color="808080"/>
              <w:right w:val="nil"/>
            </w:tcBorders>
            <w:shd w:val="clear" w:color="000000" w:fill="F2F2F2"/>
            <w:noWrap/>
            <w:vAlign w:val="bottom"/>
            <w:hideMark/>
          </w:tcPr>
          <w:p w14:paraId="24ABB3C2"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Contaminated soils</w:t>
            </w:r>
          </w:p>
        </w:tc>
        <w:tc>
          <w:tcPr>
            <w:tcW w:w="300" w:type="pct"/>
            <w:tcBorders>
              <w:top w:val="nil"/>
              <w:left w:val="nil"/>
              <w:bottom w:val="single" w:sz="4" w:space="0" w:color="808080"/>
              <w:right w:val="single" w:sz="4" w:space="0" w:color="auto"/>
            </w:tcBorders>
            <w:shd w:val="clear" w:color="000000" w:fill="F2F2F2"/>
            <w:noWrap/>
            <w:vAlign w:val="bottom"/>
            <w:hideMark/>
          </w:tcPr>
          <w:p w14:paraId="6A1BD27F" w14:textId="77777777" w:rsidR="00052973" w:rsidRPr="00100F0A" w:rsidRDefault="00052973" w:rsidP="00052973">
            <w:pPr>
              <w:jc w:val="right"/>
              <w:rPr>
                <w:rFonts w:eastAsia="Times New Roman" w:cs="Calibri"/>
                <w:color w:val="000000"/>
                <w:sz w:val="20"/>
                <w:szCs w:val="20"/>
                <w:lang w:eastAsia="en-AU"/>
              </w:rPr>
            </w:pPr>
            <w:r w:rsidRPr="00100F0A">
              <w:rPr>
                <w:rFonts w:eastAsia="Times New Roman" w:cs="Calibri"/>
                <w:color w:val="000000"/>
                <w:sz w:val="20"/>
                <w:szCs w:val="20"/>
                <w:lang w:eastAsia="en-AU"/>
              </w:rPr>
              <w:t> </w:t>
            </w:r>
          </w:p>
        </w:tc>
      </w:tr>
      <w:tr w:rsidR="00052973" w:rsidRPr="00100F0A" w14:paraId="1DD6B760"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3A5F385D"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N140</w:t>
            </w:r>
          </w:p>
        </w:tc>
        <w:tc>
          <w:tcPr>
            <w:tcW w:w="2750" w:type="pct"/>
            <w:tcBorders>
              <w:top w:val="nil"/>
              <w:left w:val="nil"/>
              <w:bottom w:val="nil"/>
              <w:right w:val="nil"/>
            </w:tcBorders>
            <w:shd w:val="clear" w:color="000000" w:fill="F2F2F2"/>
            <w:noWrap/>
            <w:vAlign w:val="center"/>
            <w:hideMark/>
          </w:tcPr>
          <w:p w14:paraId="72020B5E"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Fire debris and fire wash waters</w:t>
            </w:r>
          </w:p>
        </w:tc>
        <w:tc>
          <w:tcPr>
            <w:tcW w:w="561" w:type="pct"/>
            <w:tcBorders>
              <w:top w:val="nil"/>
              <w:left w:val="nil"/>
              <w:bottom w:val="nil"/>
              <w:right w:val="nil"/>
            </w:tcBorders>
            <w:shd w:val="clear" w:color="000000" w:fill="F2F2F2"/>
            <w:noWrap/>
            <w:vAlign w:val="bottom"/>
            <w:hideMark/>
          </w:tcPr>
          <w:p w14:paraId="537B0F35"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N</w:t>
            </w:r>
          </w:p>
        </w:tc>
        <w:tc>
          <w:tcPr>
            <w:tcW w:w="1243" w:type="pct"/>
            <w:gridSpan w:val="2"/>
            <w:vMerge w:val="restart"/>
            <w:tcBorders>
              <w:top w:val="single" w:sz="4" w:space="0" w:color="808080"/>
              <w:left w:val="nil"/>
              <w:bottom w:val="single" w:sz="4" w:space="0" w:color="808080"/>
              <w:right w:val="single" w:sz="4" w:space="0" w:color="auto"/>
            </w:tcBorders>
            <w:shd w:val="clear" w:color="000000" w:fill="F2F2F2"/>
            <w:noWrap/>
            <w:vAlign w:val="center"/>
            <w:hideMark/>
          </w:tcPr>
          <w:p w14:paraId="33033A0C"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soil/sludges</w:t>
            </w:r>
          </w:p>
        </w:tc>
      </w:tr>
      <w:tr w:rsidR="00052973" w:rsidRPr="00100F0A" w14:paraId="35B1F01F"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5145AF9F"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N150</w:t>
            </w:r>
          </w:p>
        </w:tc>
        <w:tc>
          <w:tcPr>
            <w:tcW w:w="2750" w:type="pct"/>
            <w:tcBorders>
              <w:top w:val="nil"/>
              <w:left w:val="nil"/>
              <w:bottom w:val="nil"/>
              <w:right w:val="nil"/>
            </w:tcBorders>
            <w:shd w:val="clear" w:color="000000" w:fill="F2F2F2"/>
            <w:noWrap/>
            <w:vAlign w:val="center"/>
            <w:hideMark/>
          </w:tcPr>
          <w:p w14:paraId="796F471E"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Fly ash, excluding fly ash generated from Australian coal fired power stations</w:t>
            </w:r>
          </w:p>
        </w:tc>
        <w:tc>
          <w:tcPr>
            <w:tcW w:w="561" w:type="pct"/>
            <w:tcBorders>
              <w:top w:val="nil"/>
              <w:left w:val="nil"/>
              <w:bottom w:val="nil"/>
              <w:right w:val="nil"/>
            </w:tcBorders>
            <w:shd w:val="clear" w:color="000000" w:fill="F2F2F2"/>
            <w:noWrap/>
            <w:vAlign w:val="bottom"/>
            <w:hideMark/>
          </w:tcPr>
          <w:p w14:paraId="3D083A5E"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N</w:t>
            </w:r>
          </w:p>
        </w:tc>
        <w:tc>
          <w:tcPr>
            <w:tcW w:w="1243" w:type="pct"/>
            <w:gridSpan w:val="2"/>
            <w:vMerge/>
            <w:tcBorders>
              <w:top w:val="nil"/>
              <w:left w:val="nil"/>
              <w:bottom w:val="nil"/>
              <w:right w:val="single" w:sz="4" w:space="0" w:color="auto"/>
            </w:tcBorders>
            <w:vAlign w:val="center"/>
            <w:hideMark/>
          </w:tcPr>
          <w:p w14:paraId="7FB3F459" w14:textId="77777777" w:rsidR="00052973" w:rsidRPr="00100F0A" w:rsidRDefault="00052973" w:rsidP="00052973">
            <w:pPr>
              <w:rPr>
                <w:rFonts w:eastAsia="Times New Roman" w:cs="Calibri"/>
                <w:color w:val="000000"/>
                <w:sz w:val="20"/>
                <w:szCs w:val="20"/>
                <w:lang w:eastAsia="en-AU"/>
              </w:rPr>
            </w:pPr>
          </w:p>
        </w:tc>
      </w:tr>
      <w:tr w:rsidR="00052973" w:rsidRPr="00100F0A" w14:paraId="09B52DD8"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06559D6C"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N160</w:t>
            </w:r>
          </w:p>
        </w:tc>
        <w:tc>
          <w:tcPr>
            <w:tcW w:w="2750" w:type="pct"/>
            <w:tcBorders>
              <w:top w:val="nil"/>
              <w:left w:val="nil"/>
              <w:bottom w:val="nil"/>
              <w:right w:val="nil"/>
            </w:tcBorders>
            <w:shd w:val="clear" w:color="000000" w:fill="F2F2F2"/>
            <w:noWrap/>
            <w:vAlign w:val="center"/>
            <w:hideMark/>
          </w:tcPr>
          <w:p w14:paraId="1D84E8A4"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Encapsulated, chemically-fixed, solidified or polymerised wastes referred to in this list</w:t>
            </w:r>
          </w:p>
        </w:tc>
        <w:tc>
          <w:tcPr>
            <w:tcW w:w="561" w:type="pct"/>
            <w:tcBorders>
              <w:top w:val="nil"/>
              <w:left w:val="nil"/>
              <w:bottom w:val="nil"/>
              <w:right w:val="nil"/>
            </w:tcBorders>
            <w:shd w:val="clear" w:color="000000" w:fill="F2F2F2"/>
            <w:noWrap/>
            <w:vAlign w:val="bottom"/>
            <w:hideMark/>
          </w:tcPr>
          <w:p w14:paraId="0EDD9C18"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N</w:t>
            </w:r>
          </w:p>
        </w:tc>
        <w:tc>
          <w:tcPr>
            <w:tcW w:w="1243" w:type="pct"/>
            <w:gridSpan w:val="2"/>
            <w:vMerge/>
            <w:tcBorders>
              <w:top w:val="nil"/>
              <w:left w:val="nil"/>
              <w:bottom w:val="nil"/>
              <w:right w:val="single" w:sz="4" w:space="0" w:color="auto"/>
            </w:tcBorders>
            <w:vAlign w:val="center"/>
            <w:hideMark/>
          </w:tcPr>
          <w:p w14:paraId="66BA0741" w14:textId="77777777" w:rsidR="00052973" w:rsidRPr="00100F0A" w:rsidRDefault="00052973" w:rsidP="00052973">
            <w:pPr>
              <w:rPr>
                <w:rFonts w:eastAsia="Times New Roman" w:cs="Calibri"/>
                <w:color w:val="000000"/>
                <w:sz w:val="20"/>
                <w:szCs w:val="20"/>
                <w:lang w:eastAsia="en-AU"/>
              </w:rPr>
            </w:pPr>
          </w:p>
        </w:tc>
      </w:tr>
      <w:tr w:rsidR="00052973" w:rsidRPr="00100F0A" w14:paraId="3AE9C42D"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06AC7A29"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N190</w:t>
            </w:r>
          </w:p>
        </w:tc>
        <w:tc>
          <w:tcPr>
            <w:tcW w:w="2750" w:type="pct"/>
            <w:tcBorders>
              <w:top w:val="nil"/>
              <w:left w:val="nil"/>
              <w:bottom w:val="nil"/>
              <w:right w:val="nil"/>
            </w:tcBorders>
            <w:shd w:val="clear" w:color="000000" w:fill="F2F2F2"/>
            <w:noWrap/>
            <w:vAlign w:val="center"/>
            <w:hideMark/>
          </w:tcPr>
          <w:p w14:paraId="21D71D56"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Filter cake contaminated with residues of substances referred to in this list</w:t>
            </w:r>
          </w:p>
        </w:tc>
        <w:tc>
          <w:tcPr>
            <w:tcW w:w="561" w:type="pct"/>
            <w:tcBorders>
              <w:top w:val="nil"/>
              <w:left w:val="nil"/>
              <w:bottom w:val="nil"/>
              <w:right w:val="nil"/>
            </w:tcBorders>
            <w:shd w:val="clear" w:color="000000" w:fill="F2F2F2"/>
            <w:noWrap/>
            <w:vAlign w:val="bottom"/>
            <w:hideMark/>
          </w:tcPr>
          <w:p w14:paraId="548D26AF"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N</w:t>
            </w:r>
          </w:p>
        </w:tc>
        <w:tc>
          <w:tcPr>
            <w:tcW w:w="1243" w:type="pct"/>
            <w:gridSpan w:val="2"/>
            <w:vMerge/>
            <w:tcBorders>
              <w:top w:val="nil"/>
              <w:left w:val="nil"/>
              <w:bottom w:val="nil"/>
              <w:right w:val="single" w:sz="4" w:space="0" w:color="auto"/>
            </w:tcBorders>
            <w:vAlign w:val="center"/>
            <w:hideMark/>
          </w:tcPr>
          <w:p w14:paraId="4611FB7D" w14:textId="77777777" w:rsidR="00052973" w:rsidRPr="00100F0A" w:rsidRDefault="00052973" w:rsidP="00052973">
            <w:pPr>
              <w:rPr>
                <w:rFonts w:eastAsia="Times New Roman" w:cs="Calibri"/>
                <w:color w:val="000000"/>
                <w:sz w:val="20"/>
                <w:szCs w:val="20"/>
                <w:lang w:eastAsia="en-AU"/>
              </w:rPr>
            </w:pPr>
          </w:p>
        </w:tc>
      </w:tr>
      <w:tr w:rsidR="00052973" w:rsidRPr="00100F0A" w14:paraId="56467257" w14:textId="77777777" w:rsidTr="00052973">
        <w:trPr>
          <w:trHeight w:val="255"/>
        </w:trPr>
        <w:tc>
          <w:tcPr>
            <w:tcW w:w="446" w:type="pct"/>
            <w:vMerge w:val="restart"/>
            <w:tcBorders>
              <w:top w:val="nil"/>
              <w:left w:val="single" w:sz="4" w:space="0" w:color="auto"/>
              <w:bottom w:val="nil"/>
              <w:right w:val="nil"/>
            </w:tcBorders>
            <w:shd w:val="clear" w:color="000000" w:fill="F2F2F2"/>
            <w:vAlign w:val="center"/>
            <w:hideMark/>
          </w:tcPr>
          <w:p w14:paraId="3517BD0D"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N205</w:t>
            </w:r>
          </w:p>
        </w:tc>
        <w:tc>
          <w:tcPr>
            <w:tcW w:w="2750" w:type="pct"/>
            <w:vMerge w:val="restart"/>
            <w:tcBorders>
              <w:top w:val="nil"/>
              <w:left w:val="nil"/>
              <w:bottom w:val="nil"/>
              <w:right w:val="nil"/>
            </w:tcBorders>
            <w:shd w:val="clear" w:color="000000" w:fill="F2F2F2"/>
            <w:noWrap/>
            <w:vAlign w:val="center"/>
            <w:hideMark/>
          </w:tcPr>
          <w:p w14:paraId="6ABC793B"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Residues from industrial waste treatment/disposal operations</w:t>
            </w:r>
          </w:p>
        </w:tc>
        <w:tc>
          <w:tcPr>
            <w:tcW w:w="561" w:type="pct"/>
            <w:tcBorders>
              <w:top w:val="single" w:sz="4" w:space="0" w:color="808080"/>
              <w:left w:val="nil"/>
              <w:bottom w:val="single" w:sz="4" w:space="0" w:color="808080"/>
              <w:right w:val="nil"/>
            </w:tcBorders>
            <w:shd w:val="clear" w:color="000000" w:fill="F2F2F2"/>
            <w:noWrap/>
            <w:vAlign w:val="bottom"/>
            <w:hideMark/>
          </w:tcPr>
          <w:p w14:paraId="5B83C0A5"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N205a</w:t>
            </w:r>
          </w:p>
        </w:tc>
        <w:tc>
          <w:tcPr>
            <w:tcW w:w="943" w:type="pct"/>
            <w:tcBorders>
              <w:top w:val="nil"/>
              <w:left w:val="nil"/>
              <w:bottom w:val="single" w:sz="4" w:space="0" w:color="808080"/>
              <w:right w:val="nil"/>
            </w:tcBorders>
            <w:shd w:val="clear" w:color="000000" w:fill="F2F2F2"/>
            <w:noWrap/>
            <w:vAlign w:val="bottom"/>
            <w:hideMark/>
          </w:tcPr>
          <w:p w14:paraId="68826F94"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contaminated biosolids</w:t>
            </w:r>
          </w:p>
        </w:tc>
        <w:tc>
          <w:tcPr>
            <w:tcW w:w="300" w:type="pct"/>
            <w:tcBorders>
              <w:top w:val="nil"/>
              <w:left w:val="nil"/>
              <w:bottom w:val="single" w:sz="4" w:space="0" w:color="808080"/>
              <w:right w:val="single" w:sz="4" w:space="0" w:color="auto"/>
            </w:tcBorders>
            <w:shd w:val="clear" w:color="000000" w:fill="F2F2F2"/>
            <w:noWrap/>
            <w:vAlign w:val="bottom"/>
            <w:hideMark/>
          </w:tcPr>
          <w:p w14:paraId="6EFF6158" w14:textId="77777777" w:rsidR="00052973" w:rsidRPr="00100F0A" w:rsidRDefault="00052973" w:rsidP="00052973">
            <w:pPr>
              <w:jc w:val="right"/>
              <w:rPr>
                <w:rFonts w:eastAsia="Times New Roman" w:cs="Calibri"/>
                <w:color w:val="000000"/>
                <w:sz w:val="20"/>
                <w:szCs w:val="20"/>
                <w:lang w:eastAsia="en-AU"/>
              </w:rPr>
            </w:pPr>
            <w:r w:rsidRPr="00100F0A">
              <w:rPr>
                <w:rFonts w:eastAsia="Times New Roman" w:cs="Calibri"/>
                <w:color w:val="000000"/>
                <w:sz w:val="20"/>
                <w:szCs w:val="20"/>
                <w:lang w:eastAsia="en-AU"/>
              </w:rPr>
              <w:t> </w:t>
            </w:r>
          </w:p>
        </w:tc>
      </w:tr>
      <w:tr w:rsidR="00052973" w:rsidRPr="00100F0A" w14:paraId="58335F48" w14:textId="77777777" w:rsidTr="00052973">
        <w:trPr>
          <w:trHeight w:val="255"/>
        </w:trPr>
        <w:tc>
          <w:tcPr>
            <w:tcW w:w="446" w:type="pct"/>
            <w:vMerge/>
            <w:tcBorders>
              <w:top w:val="nil"/>
              <w:left w:val="single" w:sz="4" w:space="0" w:color="auto"/>
              <w:bottom w:val="nil"/>
              <w:right w:val="nil"/>
            </w:tcBorders>
            <w:vAlign w:val="center"/>
            <w:hideMark/>
          </w:tcPr>
          <w:p w14:paraId="679D59BB" w14:textId="77777777" w:rsidR="00052973" w:rsidRPr="00100F0A" w:rsidRDefault="00052973" w:rsidP="00052973">
            <w:pPr>
              <w:rPr>
                <w:rFonts w:eastAsia="Times New Roman" w:cs="Calibri"/>
                <w:color w:val="000000"/>
                <w:sz w:val="20"/>
                <w:szCs w:val="20"/>
                <w:lang w:eastAsia="en-AU"/>
              </w:rPr>
            </w:pPr>
          </w:p>
        </w:tc>
        <w:tc>
          <w:tcPr>
            <w:tcW w:w="2750" w:type="pct"/>
            <w:vMerge/>
            <w:tcBorders>
              <w:top w:val="nil"/>
              <w:left w:val="nil"/>
              <w:bottom w:val="nil"/>
              <w:right w:val="nil"/>
            </w:tcBorders>
            <w:vAlign w:val="center"/>
            <w:hideMark/>
          </w:tcPr>
          <w:p w14:paraId="1A884AE1" w14:textId="77777777" w:rsidR="00052973" w:rsidRPr="00100F0A" w:rsidRDefault="00052973" w:rsidP="00052973">
            <w:pPr>
              <w:rPr>
                <w:rFonts w:eastAsia="Times New Roman" w:cs="Calibri"/>
                <w:color w:val="080808"/>
                <w:sz w:val="20"/>
                <w:szCs w:val="20"/>
                <w:lang w:eastAsia="en-AU"/>
              </w:rPr>
            </w:pPr>
          </w:p>
        </w:tc>
        <w:tc>
          <w:tcPr>
            <w:tcW w:w="561" w:type="pct"/>
            <w:tcBorders>
              <w:top w:val="nil"/>
              <w:left w:val="nil"/>
              <w:bottom w:val="single" w:sz="4" w:space="0" w:color="808080"/>
              <w:right w:val="nil"/>
            </w:tcBorders>
            <w:shd w:val="clear" w:color="000000" w:fill="F2F2F2"/>
            <w:noWrap/>
            <w:vAlign w:val="bottom"/>
            <w:hideMark/>
          </w:tcPr>
          <w:p w14:paraId="79AD5B72"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N205b</w:t>
            </w:r>
          </w:p>
        </w:tc>
        <w:tc>
          <w:tcPr>
            <w:tcW w:w="1243" w:type="pct"/>
            <w:gridSpan w:val="2"/>
            <w:tcBorders>
              <w:top w:val="single" w:sz="4" w:space="0" w:color="808080"/>
              <w:left w:val="nil"/>
              <w:bottom w:val="single" w:sz="4" w:space="0" w:color="808080"/>
              <w:right w:val="single" w:sz="4" w:space="0" w:color="auto"/>
            </w:tcBorders>
            <w:shd w:val="clear" w:color="000000" w:fill="F2F2F2"/>
            <w:noWrap/>
            <w:vAlign w:val="bottom"/>
            <w:hideMark/>
          </w:tcPr>
          <w:p w14:paraId="0A9A3015"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industrial treatment residues</w:t>
            </w:r>
          </w:p>
        </w:tc>
      </w:tr>
      <w:tr w:rsidR="00052973" w:rsidRPr="00100F0A" w14:paraId="43432979"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45DB3C33"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N220</w:t>
            </w:r>
          </w:p>
        </w:tc>
        <w:tc>
          <w:tcPr>
            <w:tcW w:w="2750" w:type="pct"/>
            <w:tcBorders>
              <w:top w:val="nil"/>
              <w:left w:val="nil"/>
              <w:bottom w:val="nil"/>
              <w:right w:val="nil"/>
            </w:tcBorders>
            <w:shd w:val="clear" w:color="000000" w:fill="F2F2F2"/>
            <w:noWrap/>
            <w:vAlign w:val="center"/>
            <w:hideMark/>
          </w:tcPr>
          <w:p w14:paraId="06A151B7"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Asbestos</w:t>
            </w:r>
          </w:p>
        </w:tc>
        <w:tc>
          <w:tcPr>
            <w:tcW w:w="561" w:type="pct"/>
            <w:tcBorders>
              <w:top w:val="nil"/>
              <w:left w:val="nil"/>
              <w:bottom w:val="single" w:sz="4" w:space="0" w:color="808080"/>
              <w:right w:val="nil"/>
            </w:tcBorders>
            <w:shd w:val="clear" w:color="000000" w:fill="F2F2F2"/>
            <w:noWrap/>
            <w:vAlign w:val="bottom"/>
            <w:hideMark/>
          </w:tcPr>
          <w:p w14:paraId="75C87D25"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N220</w:t>
            </w:r>
          </w:p>
        </w:tc>
        <w:tc>
          <w:tcPr>
            <w:tcW w:w="943" w:type="pct"/>
            <w:tcBorders>
              <w:top w:val="nil"/>
              <w:left w:val="nil"/>
              <w:bottom w:val="single" w:sz="4" w:space="0" w:color="808080"/>
              <w:right w:val="nil"/>
            </w:tcBorders>
            <w:shd w:val="clear" w:color="000000" w:fill="F2F2F2"/>
            <w:noWrap/>
            <w:vAlign w:val="bottom"/>
            <w:hideMark/>
          </w:tcPr>
          <w:p w14:paraId="2775DFF7"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Asbestos containing material</w:t>
            </w:r>
          </w:p>
        </w:tc>
        <w:tc>
          <w:tcPr>
            <w:tcW w:w="300" w:type="pct"/>
            <w:tcBorders>
              <w:top w:val="nil"/>
              <w:left w:val="nil"/>
              <w:bottom w:val="single" w:sz="4" w:space="0" w:color="808080"/>
              <w:right w:val="single" w:sz="4" w:space="0" w:color="auto"/>
            </w:tcBorders>
            <w:shd w:val="clear" w:color="000000" w:fill="F2F2F2"/>
            <w:noWrap/>
            <w:vAlign w:val="bottom"/>
            <w:hideMark/>
          </w:tcPr>
          <w:p w14:paraId="701DD361" w14:textId="77777777" w:rsidR="00052973" w:rsidRPr="00100F0A" w:rsidRDefault="00052973" w:rsidP="00052973">
            <w:pPr>
              <w:jc w:val="right"/>
              <w:rPr>
                <w:rFonts w:eastAsia="Times New Roman" w:cs="Calibri"/>
                <w:color w:val="000000"/>
                <w:sz w:val="20"/>
                <w:szCs w:val="20"/>
                <w:lang w:eastAsia="en-AU"/>
              </w:rPr>
            </w:pPr>
            <w:r w:rsidRPr="00100F0A">
              <w:rPr>
                <w:rFonts w:eastAsia="Times New Roman" w:cs="Calibri"/>
                <w:color w:val="000000"/>
                <w:sz w:val="20"/>
                <w:szCs w:val="20"/>
                <w:lang w:eastAsia="en-AU"/>
              </w:rPr>
              <w:t> </w:t>
            </w:r>
          </w:p>
        </w:tc>
      </w:tr>
      <w:tr w:rsidR="00052973" w:rsidRPr="00100F0A" w14:paraId="165E79F0"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029ADCE7"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N230</w:t>
            </w:r>
          </w:p>
        </w:tc>
        <w:tc>
          <w:tcPr>
            <w:tcW w:w="2750" w:type="pct"/>
            <w:tcBorders>
              <w:top w:val="nil"/>
              <w:left w:val="nil"/>
              <w:bottom w:val="nil"/>
              <w:right w:val="nil"/>
            </w:tcBorders>
            <w:shd w:val="clear" w:color="000000" w:fill="F2F2F2"/>
            <w:noWrap/>
            <w:vAlign w:val="center"/>
            <w:hideMark/>
          </w:tcPr>
          <w:p w14:paraId="0A194A83"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Ceramic-based fibres with physico-chemical characteristics similar to those of asbestos</w:t>
            </w:r>
          </w:p>
        </w:tc>
        <w:tc>
          <w:tcPr>
            <w:tcW w:w="561" w:type="pct"/>
            <w:tcBorders>
              <w:top w:val="nil"/>
              <w:left w:val="nil"/>
              <w:bottom w:val="nil"/>
              <w:right w:val="nil"/>
            </w:tcBorders>
            <w:shd w:val="clear" w:color="000000" w:fill="F2F2F2"/>
            <w:noWrap/>
            <w:vAlign w:val="bottom"/>
            <w:hideMark/>
          </w:tcPr>
          <w:p w14:paraId="074C26BD"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N</w:t>
            </w:r>
          </w:p>
        </w:tc>
        <w:tc>
          <w:tcPr>
            <w:tcW w:w="943" w:type="pct"/>
            <w:tcBorders>
              <w:top w:val="nil"/>
              <w:left w:val="nil"/>
              <w:bottom w:val="single" w:sz="4" w:space="0" w:color="808080"/>
              <w:right w:val="nil"/>
            </w:tcBorders>
            <w:shd w:val="clear" w:color="000000" w:fill="F2F2F2"/>
            <w:noWrap/>
            <w:vAlign w:val="bottom"/>
            <w:hideMark/>
          </w:tcPr>
          <w:p w14:paraId="0F76CC0A"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soil/sludges</w:t>
            </w:r>
          </w:p>
        </w:tc>
        <w:tc>
          <w:tcPr>
            <w:tcW w:w="300" w:type="pct"/>
            <w:tcBorders>
              <w:top w:val="nil"/>
              <w:left w:val="nil"/>
              <w:bottom w:val="single" w:sz="4" w:space="0" w:color="808080"/>
              <w:right w:val="single" w:sz="4" w:space="0" w:color="auto"/>
            </w:tcBorders>
            <w:shd w:val="clear" w:color="000000" w:fill="F2F2F2"/>
            <w:noWrap/>
            <w:vAlign w:val="bottom"/>
            <w:hideMark/>
          </w:tcPr>
          <w:p w14:paraId="5B7E465E" w14:textId="77777777" w:rsidR="00052973" w:rsidRPr="00100F0A" w:rsidRDefault="00052973" w:rsidP="00052973">
            <w:pPr>
              <w:jc w:val="right"/>
              <w:rPr>
                <w:rFonts w:eastAsia="Times New Roman" w:cs="Calibri"/>
                <w:color w:val="000000"/>
                <w:sz w:val="20"/>
                <w:szCs w:val="20"/>
                <w:lang w:eastAsia="en-AU"/>
              </w:rPr>
            </w:pPr>
            <w:r w:rsidRPr="00100F0A">
              <w:rPr>
                <w:rFonts w:eastAsia="Times New Roman" w:cs="Calibri"/>
                <w:color w:val="000000"/>
                <w:sz w:val="20"/>
                <w:szCs w:val="20"/>
                <w:lang w:eastAsia="en-AU"/>
              </w:rPr>
              <w:t> </w:t>
            </w:r>
          </w:p>
        </w:tc>
      </w:tr>
      <w:tr w:rsidR="00052973" w:rsidRPr="00100F0A" w14:paraId="7BB44054" w14:textId="77777777" w:rsidTr="00052973">
        <w:trPr>
          <w:trHeight w:val="255"/>
        </w:trPr>
        <w:tc>
          <w:tcPr>
            <w:tcW w:w="446" w:type="pct"/>
            <w:tcBorders>
              <w:top w:val="single" w:sz="4" w:space="0" w:color="808080"/>
              <w:left w:val="single" w:sz="4" w:space="0" w:color="auto"/>
              <w:bottom w:val="nil"/>
              <w:right w:val="nil"/>
            </w:tcBorders>
            <w:shd w:val="clear" w:color="000000" w:fill="F2F2F2"/>
            <w:noWrap/>
            <w:vAlign w:val="center"/>
            <w:hideMark/>
          </w:tcPr>
          <w:p w14:paraId="4178B458"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R100</w:t>
            </w:r>
          </w:p>
        </w:tc>
        <w:tc>
          <w:tcPr>
            <w:tcW w:w="2750" w:type="pct"/>
            <w:tcBorders>
              <w:top w:val="single" w:sz="4" w:space="0" w:color="808080"/>
              <w:left w:val="nil"/>
              <w:bottom w:val="nil"/>
              <w:right w:val="nil"/>
            </w:tcBorders>
            <w:shd w:val="clear" w:color="000000" w:fill="F2F2F2"/>
            <w:noWrap/>
            <w:vAlign w:val="center"/>
            <w:hideMark/>
          </w:tcPr>
          <w:p w14:paraId="4EAB6ABC"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Clinical and related wastes</w:t>
            </w:r>
          </w:p>
        </w:tc>
        <w:tc>
          <w:tcPr>
            <w:tcW w:w="561" w:type="pct"/>
            <w:tcBorders>
              <w:top w:val="single" w:sz="4" w:space="0" w:color="808080"/>
              <w:left w:val="nil"/>
              <w:bottom w:val="nil"/>
              <w:right w:val="nil"/>
            </w:tcBorders>
            <w:shd w:val="clear" w:color="000000" w:fill="F2F2F2"/>
            <w:noWrap/>
            <w:vAlign w:val="bottom"/>
            <w:hideMark/>
          </w:tcPr>
          <w:p w14:paraId="212A952D"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R</w:t>
            </w:r>
          </w:p>
        </w:tc>
        <w:tc>
          <w:tcPr>
            <w:tcW w:w="1243" w:type="pct"/>
            <w:gridSpan w:val="2"/>
            <w:vMerge w:val="restart"/>
            <w:tcBorders>
              <w:top w:val="single" w:sz="4" w:space="0" w:color="808080"/>
              <w:left w:val="nil"/>
              <w:bottom w:val="single" w:sz="4" w:space="0" w:color="808080"/>
              <w:right w:val="single" w:sz="4" w:space="0" w:color="auto"/>
            </w:tcBorders>
            <w:shd w:val="clear" w:color="000000" w:fill="F2F2F2"/>
            <w:noWrap/>
            <w:vAlign w:val="center"/>
            <w:hideMark/>
          </w:tcPr>
          <w:p w14:paraId="79A9A1E1"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Clinical &amp; pharmaceutical</w:t>
            </w:r>
          </w:p>
        </w:tc>
      </w:tr>
      <w:tr w:rsidR="00052973" w:rsidRPr="00100F0A" w14:paraId="6D84D577"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4D14BFA4"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R120</w:t>
            </w:r>
          </w:p>
        </w:tc>
        <w:tc>
          <w:tcPr>
            <w:tcW w:w="2750" w:type="pct"/>
            <w:tcBorders>
              <w:top w:val="nil"/>
              <w:left w:val="nil"/>
              <w:bottom w:val="nil"/>
              <w:right w:val="nil"/>
            </w:tcBorders>
            <w:shd w:val="clear" w:color="000000" w:fill="F2F2F2"/>
            <w:noWrap/>
            <w:vAlign w:val="center"/>
            <w:hideMark/>
          </w:tcPr>
          <w:p w14:paraId="3008CA6D"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Waste pharmaceuticals, drugs and medicines</w:t>
            </w:r>
          </w:p>
        </w:tc>
        <w:tc>
          <w:tcPr>
            <w:tcW w:w="561" w:type="pct"/>
            <w:tcBorders>
              <w:top w:val="nil"/>
              <w:left w:val="nil"/>
              <w:bottom w:val="nil"/>
              <w:right w:val="nil"/>
            </w:tcBorders>
            <w:shd w:val="clear" w:color="000000" w:fill="F2F2F2"/>
            <w:noWrap/>
            <w:vAlign w:val="bottom"/>
            <w:hideMark/>
          </w:tcPr>
          <w:p w14:paraId="5C4A74E3"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R</w:t>
            </w:r>
          </w:p>
        </w:tc>
        <w:tc>
          <w:tcPr>
            <w:tcW w:w="1243" w:type="pct"/>
            <w:gridSpan w:val="2"/>
            <w:vMerge/>
            <w:tcBorders>
              <w:top w:val="nil"/>
              <w:left w:val="nil"/>
              <w:bottom w:val="nil"/>
              <w:right w:val="single" w:sz="4" w:space="0" w:color="auto"/>
            </w:tcBorders>
            <w:vAlign w:val="center"/>
            <w:hideMark/>
          </w:tcPr>
          <w:p w14:paraId="2F7318A2" w14:textId="77777777" w:rsidR="00052973" w:rsidRPr="00100F0A" w:rsidRDefault="00052973" w:rsidP="00052973">
            <w:pPr>
              <w:rPr>
                <w:rFonts w:eastAsia="Times New Roman" w:cs="Calibri"/>
                <w:color w:val="000000"/>
                <w:sz w:val="20"/>
                <w:szCs w:val="20"/>
                <w:lang w:eastAsia="en-AU"/>
              </w:rPr>
            </w:pPr>
          </w:p>
        </w:tc>
      </w:tr>
      <w:tr w:rsidR="00052973" w:rsidRPr="00100F0A" w14:paraId="63E7B718" w14:textId="77777777" w:rsidTr="00052973">
        <w:trPr>
          <w:trHeight w:val="255"/>
        </w:trPr>
        <w:tc>
          <w:tcPr>
            <w:tcW w:w="446" w:type="pct"/>
            <w:tcBorders>
              <w:top w:val="nil"/>
              <w:left w:val="single" w:sz="4" w:space="0" w:color="auto"/>
              <w:bottom w:val="single" w:sz="4" w:space="0" w:color="808080"/>
              <w:right w:val="nil"/>
            </w:tcBorders>
            <w:shd w:val="clear" w:color="000000" w:fill="F2F2F2"/>
            <w:noWrap/>
            <w:vAlign w:val="center"/>
            <w:hideMark/>
          </w:tcPr>
          <w:p w14:paraId="1BFE3589"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R140</w:t>
            </w:r>
          </w:p>
        </w:tc>
        <w:tc>
          <w:tcPr>
            <w:tcW w:w="2750" w:type="pct"/>
            <w:tcBorders>
              <w:top w:val="nil"/>
              <w:left w:val="nil"/>
              <w:bottom w:val="single" w:sz="4" w:space="0" w:color="808080"/>
              <w:right w:val="nil"/>
            </w:tcBorders>
            <w:shd w:val="clear" w:color="000000" w:fill="F2F2F2"/>
            <w:noWrap/>
            <w:vAlign w:val="center"/>
            <w:hideMark/>
          </w:tcPr>
          <w:p w14:paraId="025893A1"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Waste from the production and preparation of pharmaceutical products</w:t>
            </w:r>
          </w:p>
        </w:tc>
        <w:tc>
          <w:tcPr>
            <w:tcW w:w="561" w:type="pct"/>
            <w:tcBorders>
              <w:top w:val="nil"/>
              <w:left w:val="nil"/>
              <w:bottom w:val="single" w:sz="4" w:space="0" w:color="808080"/>
              <w:right w:val="nil"/>
            </w:tcBorders>
            <w:shd w:val="clear" w:color="000000" w:fill="F2F2F2"/>
            <w:noWrap/>
            <w:vAlign w:val="bottom"/>
            <w:hideMark/>
          </w:tcPr>
          <w:p w14:paraId="1B242636"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R</w:t>
            </w:r>
          </w:p>
        </w:tc>
        <w:tc>
          <w:tcPr>
            <w:tcW w:w="1243" w:type="pct"/>
            <w:gridSpan w:val="2"/>
            <w:vMerge/>
            <w:tcBorders>
              <w:top w:val="nil"/>
              <w:left w:val="nil"/>
              <w:bottom w:val="single" w:sz="4" w:space="0" w:color="808080"/>
              <w:right w:val="single" w:sz="4" w:space="0" w:color="auto"/>
            </w:tcBorders>
            <w:vAlign w:val="center"/>
            <w:hideMark/>
          </w:tcPr>
          <w:p w14:paraId="54DAAB3A" w14:textId="77777777" w:rsidR="00052973" w:rsidRPr="00100F0A" w:rsidRDefault="00052973" w:rsidP="00052973">
            <w:pPr>
              <w:rPr>
                <w:rFonts w:eastAsia="Times New Roman" w:cs="Calibri"/>
                <w:color w:val="000000"/>
                <w:sz w:val="20"/>
                <w:szCs w:val="20"/>
                <w:lang w:eastAsia="en-AU"/>
              </w:rPr>
            </w:pPr>
          </w:p>
        </w:tc>
      </w:tr>
      <w:tr w:rsidR="00052973" w:rsidRPr="00100F0A" w14:paraId="67475D3F" w14:textId="77777777" w:rsidTr="00052973">
        <w:trPr>
          <w:trHeight w:val="1020"/>
        </w:trPr>
        <w:tc>
          <w:tcPr>
            <w:tcW w:w="446" w:type="pct"/>
            <w:tcBorders>
              <w:top w:val="nil"/>
              <w:left w:val="single" w:sz="4" w:space="0" w:color="auto"/>
              <w:bottom w:val="nil"/>
              <w:right w:val="nil"/>
            </w:tcBorders>
            <w:shd w:val="clear" w:color="000000" w:fill="F2F2F2"/>
            <w:noWrap/>
            <w:vAlign w:val="center"/>
            <w:hideMark/>
          </w:tcPr>
          <w:p w14:paraId="4B680A8E"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T100</w:t>
            </w:r>
          </w:p>
        </w:tc>
        <w:tc>
          <w:tcPr>
            <w:tcW w:w="2750" w:type="pct"/>
            <w:tcBorders>
              <w:top w:val="nil"/>
              <w:left w:val="nil"/>
              <w:bottom w:val="nil"/>
              <w:right w:val="nil"/>
            </w:tcBorders>
            <w:shd w:val="clear" w:color="000000" w:fill="F2F2F2"/>
            <w:vAlign w:val="center"/>
            <w:hideMark/>
          </w:tcPr>
          <w:p w14:paraId="7169C692"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Waste chemical substances arising from research and development or teaching activities, including those which are not identified and/or are new and whose effects on human health and/or the environment are not known</w:t>
            </w:r>
          </w:p>
        </w:tc>
        <w:tc>
          <w:tcPr>
            <w:tcW w:w="561" w:type="pct"/>
            <w:tcBorders>
              <w:top w:val="nil"/>
              <w:left w:val="nil"/>
              <w:bottom w:val="nil"/>
              <w:right w:val="nil"/>
            </w:tcBorders>
            <w:shd w:val="clear" w:color="000000" w:fill="F2F2F2"/>
            <w:noWrap/>
            <w:vAlign w:val="bottom"/>
            <w:hideMark/>
          </w:tcPr>
          <w:p w14:paraId="01F3B8D8"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T</w:t>
            </w:r>
          </w:p>
        </w:tc>
        <w:tc>
          <w:tcPr>
            <w:tcW w:w="1243" w:type="pct"/>
            <w:gridSpan w:val="2"/>
            <w:vMerge w:val="restart"/>
            <w:tcBorders>
              <w:top w:val="single" w:sz="4" w:space="0" w:color="808080"/>
              <w:left w:val="nil"/>
              <w:bottom w:val="single" w:sz="4" w:space="0" w:color="808080"/>
              <w:right w:val="single" w:sz="4" w:space="0" w:color="auto"/>
            </w:tcBorders>
            <w:shd w:val="clear" w:color="000000" w:fill="F2F2F2"/>
            <w:noWrap/>
            <w:vAlign w:val="center"/>
            <w:hideMark/>
          </w:tcPr>
          <w:p w14:paraId="7E06D5DC"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miscellaneous</w:t>
            </w:r>
          </w:p>
        </w:tc>
      </w:tr>
      <w:tr w:rsidR="00052973" w:rsidRPr="00100F0A" w14:paraId="1B1B5515"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37D12243"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T120</w:t>
            </w:r>
          </w:p>
        </w:tc>
        <w:tc>
          <w:tcPr>
            <w:tcW w:w="2750" w:type="pct"/>
            <w:tcBorders>
              <w:top w:val="nil"/>
              <w:left w:val="nil"/>
              <w:bottom w:val="nil"/>
              <w:right w:val="nil"/>
            </w:tcBorders>
            <w:shd w:val="clear" w:color="000000" w:fill="F2F2F2"/>
            <w:noWrap/>
            <w:vAlign w:val="center"/>
            <w:hideMark/>
          </w:tcPr>
          <w:p w14:paraId="6D1C3F27"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Waste from the production, formulation and use of photographic chemicals and processing materials</w:t>
            </w:r>
          </w:p>
        </w:tc>
        <w:tc>
          <w:tcPr>
            <w:tcW w:w="561" w:type="pct"/>
            <w:tcBorders>
              <w:top w:val="nil"/>
              <w:left w:val="nil"/>
              <w:bottom w:val="nil"/>
              <w:right w:val="nil"/>
            </w:tcBorders>
            <w:shd w:val="clear" w:color="000000" w:fill="F2F2F2"/>
            <w:noWrap/>
            <w:vAlign w:val="bottom"/>
            <w:hideMark/>
          </w:tcPr>
          <w:p w14:paraId="6FAF9AB3"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T</w:t>
            </w:r>
          </w:p>
        </w:tc>
        <w:tc>
          <w:tcPr>
            <w:tcW w:w="1243" w:type="pct"/>
            <w:gridSpan w:val="2"/>
            <w:vMerge/>
            <w:tcBorders>
              <w:top w:val="nil"/>
              <w:left w:val="nil"/>
              <w:bottom w:val="nil"/>
              <w:right w:val="single" w:sz="4" w:space="0" w:color="auto"/>
            </w:tcBorders>
            <w:vAlign w:val="center"/>
            <w:hideMark/>
          </w:tcPr>
          <w:p w14:paraId="3ECEB5A5" w14:textId="77777777" w:rsidR="00052973" w:rsidRPr="00100F0A" w:rsidRDefault="00052973" w:rsidP="00052973">
            <w:pPr>
              <w:rPr>
                <w:rFonts w:eastAsia="Times New Roman" w:cs="Calibri"/>
                <w:color w:val="000000"/>
                <w:sz w:val="20"/>
                <w:szCs w:val="20"/>
                <w:lang w:eastAsia="en-AU"/>
              </w:rPr>
            </w:pPr>
          </w:p>
        </w:tc>
      </w:tr>
      <w:tr w:rsidR="00052973" w:rsidRPr="00100F0A" w14:paraId="1D0CCCD5" w14:textId="77777777" w:rsidTr="00052973">
        <w:trPr>
          <w:trHeight w:val="255"/>
        </w:trPr>
        <w:tc>
          <w:tcPr>
            <w:tcW w:w="446" w:type="pct"/>
            <w:tcBorders>
              <w:top w:val="nil"/>
              <w:left w:val="single" w:sz="4" w:space="0" w:color="auto"/>
              <w:bottom w:val="nil"/>
              <w:right w:val="nil"/>
            </w:tcBorders>
            <w:shd w:val="clear" w:color="000000" w:fill="F2F2F2"/>
            <w:noWrap/>
            <w:vAlign w:val="center"/>
            <w:hideMark/>
          </w:tcPr>
          <w:p w14:paraId="029BCDD1"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T140</w:t>
            </w:r>
          </w:p>
        </w:tc>
        <w:tc>
          <w:tcPr>
            <w:tcW w:w="2750" w:type="pct"/>
            <w:tcBorders>
              <w:top w:val="nil"/>
              <w:left w:val="nil"/>
              <w:bottom w:val="nil"/>
              <w:right w:val="nil"/>
            </w:tcBorders>
            <w:shd w:val="clear" w:color="000000" w:fill="F2F2F2"/>
            <w:noWrap/>
            <w:vAlign w:val="center"/>
            <w:hideMark/>
          </w:tcPr>
          <w:p w14:paraId="2E336D78"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Tyres</w:t>
            </w:r>
          </w:p>
        </w:tc>
        <w:tc>
          <w:tcPr>
            <w:tcW w:w="561" w:type="pct"/>
            <w:tcBorders>
              <w:top w:val="single" w:sz="4" w:space="0" w:color="808080"/>
              <w:left w:val="nil"/>
              <w:bottom w:val="single" w:sz="4" w:space="0" w:color="808080"/>
              <w:right w:val="nil"/>
            </w:tcBorders>
            <w:shd w:val="clear" w:color="000000" w:fill="F2F2F2"/>
            <w:noWrap/>
            <w:vAlign w:val="bottom"/>
            <w:hideMark/>
          </w:tcPr>
          <w:p w14:paraId="05FB6453"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T140</w:t>
            </w:r>
          </w:p>
        </w:tc>
        <w:tc>
          <w:tcPr>
            <w:tcW w:w="943" w:type="pct"/>
            <w:tcBorders>
              <w:top w:val="nil"/>
              <w:left w:val="nil"/>
              <w:bottom w:val="single" w:sz="4" w:space="0" w:color="808080"/>
              <w:right w:val="nil"/>
            </w:tcBorders>
            <w:shd w:val="clear" w:color="000000" w:fill="F2F2F2"/>
            <w:noWrap/>
            <w:vAlign w:val="bottom"/>
            <w:hideMark/>
          </w:tcPr>
          <w:p w14:paraId="18447276"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Tyres</w:t>
            </w:r>
          </w:p>
        </w:tc>
        <w:tc>
          <w:tcPr>
            <w:tcW w:w="300" w:type="pct"/>
            <w:tcBorders>
              <w:top w:val="nil"/>
              <w:left w:val="nil"/>
              <w:bottom w:val="single" w:sz="4" w:space="0" w:color="808080"/>
              <w:right w:val="single" w:sz="4" w:space="0" w:color="auto"/>
            </w:tcBorders>
            <w:shd w:val="clear" w:color="000000" w:fill="F2F2F2"/>
            <w:noWrap/>
            <w:vAlign w:val="bottom"/>
            <w:hideMark/>
          </w:tcPr>
          <w:p w14:paraId="14E7D616" w14:textId="77777777" w:rsidR="00052973" w:rsidRPr="00100F0A" w:rsidRDefault="00052973" w:rsidP="00052973">
            <w:pPr>
              <w:jc w:val="right"/>
              <w:rPr>
                <w:rFonts w:eastAsia="Times New Roman" w:cs="Calibri"/>
                <w:color w:val="000000"/>
                <w:sz w:val="20"/>
                <w:szCs w:val="20"/>
                <w:lang w:eastAsia="en-AU"/>
              </w:rPr>
            </w:pPr>
            <w:r w:rsidRPr="00100F0A">
              <w:rPr>
                <w:rFonts w:eastAsia="Times New Roman" w:cs="Calibri"/>
                <w:color w:val="000000"/>
                <w:sz w:val="20"/>
                <w:szCs w:val="20"/>
                <w:lang w:eastAsia="en-AU"/>
              </w:rPr>
              <w:t> </w:t>
            </w:r>
          </w:p>
        </w:tc>
      </w:tr>
      <w:tr w:rsidR="00052973" w:rsidRPr="00100F0A" w14:paraId="7AF8E8B3" w14:textId="77777777" w:rsidTr="00052973">
        <w:trPr>
          <w:trHeight w:val="270"/>
        </w:trPr>
        <w:tc>
          <w:tcPr>
            <w:tcW w:w="446" w:type="pct"/>
            <w:tcBorders>
              <w:top w:val="nil"/>
              <w:left w:val="single" w:sz="4" w:space="0" w:color="auto"/>
              <w:bottom w:val="single" w:sz="4" w:space="0" w:color="auto"/>
              <w:right w:val="nil"/>
            </w:tcBorders>
            <w:shd w:val="clear" w:color="000000" w:fill="F2F2F2"/>
            <w:noWrap/>
            <w:vAlign w:val="center"/>
            <w:hideMark/>
          </w:tcPr>
          <w:p w14:paraId="0F1ABBC2" w14:textId="77777777" w:rsidR="00052973" w:rsidRPr="00100F0A" w:rsidRDefault="00052973" w:rsidP="00052973">
            <w:pPr>
              <w:jc w:val="center"/>
              <w:rPr>
                <w:rFonts w:eastAsia="Times New Roman" w:cs="Calibri"/>
                <w:color w:val="000000"/>
                <w:sz w:val="20"/>
                <w:szCs w:val="20"/>
                <w:lang w:eastAsia="en-AU"/>
              </w:rPr>
            </w:pPr>
            <w:r w:rsidRPr="00100F0A">
              <w:rPr>
                <w:rFonts w:eastAsia="Times New Roman" w:cs="Calibri"/>
                <w:color w:val="000000"/>
                <w:sz w:val="20"/>
                <w:szCs w:val="20"/>
                <w:lang w:eastAsia="en-AU"/>
              </w:rPr>
              <w:t>T200</w:t>
            </w:r>
          </w:p>
        </w:tc>
        <w:tc>
          <w:tcPr>
            <w:tcW w:w="2750" w:type="pct"/>
            <w:tcBorders>
              <w:top w:val="nil"/>
              <w:left w:val="nil"/>
              <w:bottom w:val="single" w:sz="4" w:space="0" w:color="auto"/>
              <w:right w:val="nil"/>
            </w:tcBorders>
            <w:shd w:val="clear" w:color="000000" w:fill="F2F2F2"/>
            <w:noWrap/>
            <w:vAlign w:val="center"/>
            <w:hideMark/>
          </w:tcPr>
          <w:p w14:paraId="0FA1B3AF" w14:textId="77777777" w:rsidR="00052973" w:rsidRPr="00100F0A" w:rsidRDefault="00052973" w:rsidP="00052973">
            <w:pPr>
              <w:rPr>
                <w:rFonts w:eastAsia="Times New Roman" w:cs="Calibri"/>
                <w:color w:val="080808"/>
                <w:sz w:val="20"/>
                <w:szCs w:val="20"/>
                <w:lang w:eastAsia="en-AU"/>
              </w:rPr>
            </w:pPr>
            <w:r w:rsidRPr="00100F0A">
              <w:rPr>
                <w:rFonts w:eastAsia="Times New Roman" w:cs="Calibri"/>
                <w:color w:val="080808"/>
                <w:sz w:val="20"/>
                <w:szCs w:val="20"/>
                <w:lang w:eastAsia="en-AU"/>
              </w:rPr>
              <w:t>Waste of an explosive nature not subject to other legislation</w:t>
            </w:r>
          </w:p>
        </w:tc>
        <w:tc>
          <w:tcPr>
            <w:tcW w:w="561" w:type="pct"/>
            <w:tcBorders>
              <w:top w:val="nil"/>
              <w:left w:val="nil"/>
              <w:bottom w:val="single" w:sz="4" w:space="0" w:color="auto"/>
              <w:right w:val="nil"/>
            </w:tcBorders>
            <w:shd w:val="clear" w:color="000000" w:fill="F2F2F2"/>
            <w:noWrap/>
            <w:vAlign w:val="bottom"/>
            <w:hideMark/>
          </w:tcPr>
          <w:p w14:paraId="4976E883"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T</w:t>
            </w:r>
          </w:p>
        </w:tc>
        <w:tc>
          <w:tcPr>
            <w:tcW w:w="943" w:type="pct"/>
            <w:tcBorders>
              <w:top w:val="nil"/>
              <w:left w:val="nil"/>
              <w:bottom w:val="single" w:sz="4" w:space="0" w:color="auto"/>
              <w:right w:val="nil"/>
            </w:tcBorders>
            <w:shd w:val="clear" w:color="000000" w:fill="F2F2F2"/>
            <w:noWrap/>
            <w:vAlign w:val="bottom"/>
            <w:hideMark/>
          </w:tcPr>
          <w:p w14:paraId="71C2BC4F" w14:textId="77777777" w:rsidR="00052973" w:rsidRPr="00100F0A" w:rsidRDefault="00052973" w:rsidP="00052973">
            <w:pPr>
              <w:rPr>
                <w:rFonts w:eastAsia="Times New Roman" w:cs="Calibri"/>
                <w:color w:val="000000"/>
                <w:sz w:val="20"/>
                <w:szCs w:val="20"/>
                <w:lang w:eastAsia="en-AU"/>
              </w:rPr>
            </w:pPr>
            <w:r w:rsidRPr="00100F0A">
              <w:rPr>
                <w:rFonts w:eastAsia="Times New Roman" w:cs="Calibri"/>
                <w:color w:val="000000"/>
                <w:sz w:val="20"/>
                <w:szCs w:val="20"/>
                <w:lang w:eastAsia="en-AU"/>
              </w:rPr>
              <w:t>Other miscellaneous</w:t>
            </w:r>
          </w:p>
        </w:tc>
        <w:tc>
          <w:tcPr>
            <w:tcW w:w="300" w:type="pct"/>
            <w:tcBorders>
              <w:top w:val="nil"/>
              <w:left w:val="nil"/>
              <w:bottom w:val="single" w:sz="4" w:space="0" w:color="auto"/>
              <w:right w:val="single" w:sz="4" w:space="0" w:color="auto"/>
            </w:tcBorders>
            <w:shd w:val="clear" w:color="000000" w:fill="F2F2F2"/>
            <w:noWrap/>
            <w:vAlign w:val="bottom"/>
            <w:hideMark/>
          </w:tcPr>
          <w:p w14:paraId="56BF10EB" w14:textId="77777777" w:rsidR="00052973" w:rsidRPr="00100F0A" w:rsidRDefault="00052973" w:rsidP="00052973">
            <w:pPr>
              <w:jc w:val="right"/>
              <w:rPr>
                <w:rFonts w:eastAsia="Times New Roman" w:cs="Calibri"/>
                <w:color w:val="000000"/>
                <w:sz w:val="20"/>
                <w:szCs w:val="20"/>
                <w:lang w:eastAsia="en-AU"/>
              </w:rPr>
            </w:pPr>
            <w:r w:rsidRPr="00100F0A">
              <w:rPr>
                <w:rFonts w:eastAsia="Times New Roman" w:cs="Calibri"/>
                <w:color w:val="000000"/>
                <w:sz w:val="20"/>
                <w:szCs w:val="20"/>
                <w:lang w:eastAsia="en-AU"/>
              </w:rPr>
              <w:t> </w:t>
            </w:r>
          </w:p>
        </w:tc>
      </w:tr>
    </w:tbl>
    <w:tbl>
      <w:tblPr>
        <w:tblStyle w:val="TableGrid"/>
        <w:tblW w:w="8931" w:type="dxa"/>
        <w:tblInd w:w="340" w:type="dxa"/>
        <w:tblBorders>
          <w:top w:val="none" w:sz="0" w:space="0" w:color="auto"/>
          <w:left w:val="single" w:sz="24" w:space="0" w:color="C7C7C7"/>
          <w:bottom w:val="none" w:sz="0" w:space="0" w:color="auto"/>
          <w:right w:val="none" w:sz="0" w:space="0" w:color="auto"/>
          <w:insideH w:val="none" w:sz="0" w:space="0" w:color="auto"/>
          <w:insideV w:val="none" w:sz="0" w:space="0" w:color="auto"/>
        </w:tblBorders>
        <w:tblLayout w:type="fixed"/>
        <w:tblCellMar>
          <w:left w:w="340" w:type="dxa"/>
          <w:right w:w="0" w:type="dxa"/>
        </w:tblCellMar>
        <w:tblLook w:val="04A0" w:firstRow="1" w:lastRow="0" w:firstColumn="1" w:lastColumn="0" w:noHBand="0" w:noVBand="1"/>
      </w:tblPr>
      <w:tblGrid>
        <w:gridCol w:w="8931"/>
      </w:tblGrid>
      <w:tr w:rsidR="00C56E40" w:rsidRPr="00100F0A" w14:paraId="011799EE" w14:textId="77777777" w:rsidTr="007109C2">
        <w:trPr>
          <w:cantSplit/>
          <w:trHeight w:hRule="exact" w:val="3798"/>
        </w:trPr>
        <w:tc>
          <w:tcPr>
            <w:tcW w:w="8931" w:type="dxa"/>
            <w:tcBorders>
              <w:left w:val="nil"/>
            </w:tcBorders>
          </w:tcPr>
          <w:p w14:paraId="59F758D4" w14:textId="77777777" w:rsidR="00C56E40" w:rsidRPr="00100F0A" w:rsidRDefault="00C56E40" w:rsidP="007109C2"/>
        </w:tc>
      </w:tr>
    </w:tbl>
    <w:p w14:paraId="6868DCEE" w14:textId="501C5A81" w:rsidR="00C56E40" w:rsidRPr="00100F0A" w:rsidRDefault="00C56E40" w:rsidP="001E0333">
      <w:pPr>
        <w:pStyle w:val="BodyText"/>
      </w:pPr>
    </w:p>
    <w:sectPr w:rsidR="00C56E40" w:rsidRPr="00100F0A" w:rsidSect="001E0333">
      <w:pgSz w:w="11906" w:h="16838" w:code="9"/>
      <w:pgMar w:top="1440" w:right="991" w:bottom="1440" w:left="1701"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E9DDD0" w14:textId="77777777" w:rsidR="00076A85" w:rsidRDefault="00076A85" w:rsidP="00547C1A">
      <w:r>
        <w:separator/>
      </w:r>
    </w:p>
  </w:endnote>
  <w:endnote w:type="continuationSeparator" w:id="0">
    <w:p w14:paraId="27D586BF" w14:textId="77777777" w:rsidR="00076A85" w:rsidRDefault="00076A85" w:rsidP="00547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charset w:val="00"/>
    <w:family w:val="auto"/>
    <w:pitch w:val="default"/>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F6224" w14:textId="77777777" w:rsidR="00A1102D" w:rsidRDefault="00A1102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4A9B9" w14:textId="7B2B2F4B" w:rsidR="00F42A40" w:rsidRDefault="00F42A40" w:rsidP="00B16888">
    <w:pPr>
      <w:pStyle w:val="Footer"/>
      <w:tabs>
        <w:tab w:val="right" w:pos="9593"/>
      </w:tabs>
    </w:pPr>
    <w:r>
      <w:t>Assessment of hazardous waste infrastructure needs and capacities in Australia 2018</w:t>
    </w:r>
    <w:r>
      <w:tab/>
    </w:r>
    <w:r w:rsidR="001B1D4E">
      <w:t>Final (non-confidential version)</w:t>
    </w:r>
  </w:p>
  <w:p w14:paraId="0A9FC1CD" w14:textId="77777777" w:rsidR="00F42A40" w:rsidRPr="00AB236F" w:rsidRDefault="00F42A40"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sidR="00A1102D">
      <w:rPr>
        <w:rStyle w:val="PageNumber"/>
        <w:noProof/>
      </w:rPr>
      <w:t>76</w:t>
    </w:r>
    <w:r w:rsidRPr="00AB236F">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5F7A3" w14:textId="77777777" w:rsidR="00F42A40" w:rsidRDefault="00F42A4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70814" w14:textId="0EBF9A76" w:rsidR="00F42A40" w:rsidRDefault="00F42A40" w:rsidP="002A3A54">
    <w:pPr>
      <w:pStyle w:val="Footer"/>
    </w:pPr>
    <w:r>
      <w:fldChar w:fldCharType="begin"/>
    </w:r>
    <w:r>
      <w:instrText xml:space="preserve"> DOCPROPERTY  xTitle  \* MERGEFORMAT </w:instrText>
    </w:r>
    <w:r>
      <w:fldChar w:fldCharType="separate"/>
    </w:r>
    <w:r w:rsidR="00EB634D">
      <w:rPr>
        <w:b/>
        <w:bCs/>
        <w:lang w:val="en-US"/>
      </w:rPr>
      <w:t>Error! Unknown document property name.</w:t>
    </w:r>
    <w:r>
      <w:fldChar w:fldCharType="end"/>
    </w:r>
    <w:r>
      <w:tab/>
    </w:r>
    <w:r>
      <w:tab/>
    </w:r>
    <w:r w:rsidRPr="00E45412">
      <w:t>Project</w:t>
    </w:r>
    <w:r>
      <w:t xml:space="preserve"> number </w:t>
    </w:r>
    <w:r>
      <w:fldChar w:fldCharType="begin"/>
    </w:r>
    <w:r>
      <w:instrText xml:space="preserve"> DOCPROPERTY  xProjectNumber  \* MERGEFORMAT </w:instrText>
    </w:r>
    <w:r>
      <w:fldChar w:fldCharType="separate"/>
    </w:r>
    <w:r w:rsidR="00EB634D">
      <w:rPr>
        <w:b/>
        <w:bCs/>
        <w:lang w:val="en-US"/>
      </w:rPr>
      <w:t>Error! Unknown document property name.</w:t>
    </w:r>
    <w:r>
      <w:fldChar w:fldCharType="end"/>
    </w:r>
    <w:r>
      <w:t xml:space="preserve"> </w:t>
    </w:r>
    <w:r>
      <w:fldChar w:fldCharType="begin"/>
    </w:r>
    <w:r>
      <w:instrText xml:space="preserve"> DOCPROPERTY  xDraft  \* MERGEFORMAT </w:instrText>
    </w:r>
    <w:r>
      <w:fldChar w:fldCharType="separate"/>
    </w:r>
    <w:r w:rsidR="00EB634D">
      <w:rPr>
        <w:b/>
        <w:bCs/>
        <w:lang w:val="en-US"/>
      </w:rPr>
      <w:t>Error! Unknown document property name.</w:t>
    </w:r>
    <w:r>
      <w:fldChar w:fldCharType="end"/>
    </w:r>
    <w:r>
      <w:t xml:space="preserve"> report Version </w:t>
    </w:r>
  </w:p>
  <w:p w14:paraId="539DA90D" w14:textId="77777777" w:rsidR="00F42A40" w:rsidRPr="005459E4" w:rsidRDefault="00F42A40" w:rsidP="002A3A54">
    <w:pPr>
      <w:pStyle w:val="Footer"/>
    </w:pPr>
    <w:r>
      <w:tab/>
    </w:r>
    <w:r w:rsidRPr="00EE4519">
      <w:t xml:space="preserve">Page </w:t>
    </w:r>
    <w:r w:rsidRPr="00EE4519">
      <w:rPr>
        <w:rStyle w:val="PageNumber"/>
        <w:rFonts w:cs="Arial"/>
        <w:szCs w:val="18"/>
      </w:rPr>
      <w:fldChar w:fldCharType="begin"/>
    </w:r>
    <w:r w:rsidRPr="00EE4519">
      <w:rPr>
        <w:rStyle w:val="PageNumber"/>
        <w:rFonts w:cs="Arial"/>
        <w:szCs w:val="18"/>
      </w:rPr>
      <w:instrText xml:space="preserve"> PAGE </w:instrText>
    </w:r>
    <w:r w:rsidRPr="00EE4519">
      <w:rPr>
        <w:rStyle w:val="PageNumber"/>
        <w:rFonts w:cs="Arial"/>
        <w:szCs w:val="18"/>
      </w:rPr>
      <w:fldChar w:fldCharType="separate"/>
    </w:r>
    <w:r>
      <w:rPr>
        <w:rStyle w:val="PageNumber"/>
        <w:rFonts w:cs="Arial"/>
        <w:noProof/>
        <w:szCs w:val="18"/>
      </w:rPr>
      <w:t>62</w:t>
    </w:r>
    <w:r w:rsidRPr="00EE4519">
      <w:rPr>
        <w:rStyle w:val="PageNumber"/>
        <w:rFonts w:cs="Arial"/>
        <w:szCs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254E8" w14:textId="77777777" w:rsidR="00F42A40" w:rsidRDefault="00F42A40">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FD71C" w14:textId="38777186" w:rsidR="00F42A40" w:rsidRDefault="00F42A40" w:rsidP="002A3A54">
    <w:pPr>
      <w:pStyle w:val="Footer"/>
    </w:pPr>
    <w:r>
      <w:fldChar w:fldCharType="begin"/>
    </w:r>
    <w:r>
      <w:instrText xml:space="preserve"> DOCPROPERTY  xTitle  \* MERGEFORMAT </w:instrText>
    </w:r>
    <w:r>
      <w:fldChar w:fldCharType="separate"/>
    </w:r>
    <w:r w:rsidR="00EB634D">
      <w:rPr>
        <w:b/>
        <w:bCs/>
        <w:lang w:val="en-US"/>
      </w:rPr>
      <w:t>Error! Unknown document property name.</w:t>
    </w:r>
    <w:r>
      <w:fldChar w:fldCharType="end"/>
    </w:r>
    <w:r>
      <w:tab/>
    </w:r>
    <w:r>
      <w:tab/>
    </w:r>
    <w:r w:rsidRPr="00E45412">
      <w:t>Project</w:t>
    </w:r>
    <w:r>
      <w:t xml:space="preserve"> number </w:t>
    </w:r>
    <w:r>
      <w:fldChar w:fldCharType="begin"/>
    </w:r>
    <w:r>
      <w:instrText xml:space="preserve"> DOCPROPERTY  xProjectNumber  \* MERGEFORMAT </w:instrText>
    </w:r>
    <w:r>
      <w:fldChar w:fldCharType="separate"/>
    </w:r>
    <w:r w:rsidR="00EB634D">
      <w:rPr>
        <w:b/>
        <w:bCs/>
        <w:lang w:val="en-US"/>
      </w:rPr>
      <w:t>Error! Unknown document property name.</w:t>
    </w:r>
    <w:r>
      <w:fldChar w:fldCharType="end"/>
    </w:r>
    <w:r>
      <w:t xml:space="preserve"> </w:t>
    </w:r>
    <w:r>
      <w:fldChar w:fldCharType="begin"/>
    </w:r>
    <w:r>
      <w:instrText xml:space="preserve"> DOCPROPERTY  xDraft  \* MERGEFORMAT </w:instrText>
    </w:r>
    <w:r>
      <w:fldChar w:fldCharType="separate"/>
    </w:r>
    <w:r w:rsidR="00EB634D">
      <w:rPr>
        <w:b/>
        <w:bCs/>
        <w:lang w:val="en-US"/>
      </w:rPr>
      <w:t>Error! Unknown document property name.</w:t>
    </w:r>
    <w:r>
      <w:fldChar w:fldCharType="end"/>
    </w:r>
    <w:r>
      <w:t xml:space="preserve"> report Version </w:t>
    </w:r>
  </w:p>
  <w:p w14:paraId="1DFC38EC" w14:textId="77777777" w:rsidR="00F42A40" w:rsidRPr="005459E4" w:rsidRDefault="00F42A40" w:rsidP="002A3A54">
    <w:pPr>
      <w:pStyle w:val="Footer"/>
    </w:pPr>
    <w:r>
      <w:tab/>
    </w:r>
    <w:r w:rsidRPr="00EE4519">
      <w:t xml:space="preserve">Page </w:t>
    </w:r>
    <w:r w:rsidRPr="00EE4519">
      <w:rPr>
        <w:rStyle w:val="PageNumber"/>
        <w:rFonts w:cs="Arial"/>
        <w:szCs w:val="18"/>
      </w:rPr>
      <w:fldChar w:fldCharType="begin"/>
    </w:r>
    <w:r w:rsidRPr="00EE4519">
      <w:rPr>
        <w:rStyle w:val="PageNumber"/>
        <w:rFonts w:cs="Arial"/>
        <w:szCs w:val="18"/>
      </w:rPr>
      <w:instrText xml:space="preserve"> PAGE </w:instrText>
    </w:r>
    <w:r w:rsidRPr="00EE4519">
      <w:rPr>
        <w:rStyle w:val="PageNumber"/>
        <w:rFonts w:cs="Arial"/>
        <w:szCs w:val="18"/>
      </w:rPr>
      <w:fldChar w:fldCharType="separate"/>
    </w:r>
    <w:r>
      <w:rPr>
        <w:rStyle w:val="PageNumber"/>
        <w:rFonts w:cs="Arial"/>
        <w:noProof/>
        <w:szCs w:val="18"/>
      </w:rPr>
      <w:t>80</w:t>
    </w:r>
    <w:r w:rsidRPr="00EE4519">
      <w:rPr>
        <w:rStyle w:val="PageNumber"/>
        <w:rFonts w:cs="Arial"/>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7BD3D" w14:textId="329828E8" w:rsidR="00F42A40" w:rsidRDefault="00F42A40" w:rsidP="00551A53">
    <w:pPr>
      <w:pStyle w:val="Footer"/>
      <w:tabs>
        <w:tab w:val="clear" w:pos="9072"/>
        <w:tab w:val="right" w:pos="13892"/>
      </w:tabs>
    </w:pPr>
    <w:r>
      <w:t>Assessment of hazardous waste infrastructure needs and capacities in Australia 2018</w:t>
    </w:r>
    <w:r>
      <w:tab/>
    </w:r>
    <w:r w:rsidR="001B1D4E">
      <w:t>Final (non-confidential version)</w:t>
    </w:r>
  </w:p>
  <w:p w14:paraId="1223ADD2" w14:textId="77777777" w:rsidR="00F42A40" w:rsidRPr="00AB236F" w:rsidRDefault="00F42A40"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sidR="00A1102D">
      <w:rPr>
        <w:rStyle w:val="PageNumber"/>
        <w:noProof/>
      </w:rPr>
      <w:t>122</w:t>
    </w:r>
    <w:r w:rsidRPr="00AB236F">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2F94F" w14:textId="77777777" w:rsidR="00F42A40" w:rsidRDefault="00F42A40">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47CB5" w14:textId="3A1B0440" w:rsidR="00F42A40" w:rsidRDefault="00F42A40" w:rsidP="002A3A54">
    <w:pPr>
      <w:pStyle w:val="Footer"/>
    </w:pPr>
    <w:r>
      <w:fldChar w:fldCharType="begin"/>
    </w:r>
    <w:r>
      <w:instrText xml:space="preserve"> DOCPROPERTY  xTitle  \* MERGEFORMAT </w:instrText>
    </w:r>
    <w:r>
      <w:fldChar w:fldCharType="separate"/>
    </w:r>
    <w:r w:rsidR="00EB634D">
      <w:rPr>
        <w:b/>
        <w:bCs/>
        <w:lang w:val="en-US"/>
      </w:rPr>
      <w:t>Error! Unknown document property name.</w:t>
    </w:r>
    <w:r>
      <w:fldChar w:fldCharType="end"/>
    </w:r>
    <w:r>
      <w:tab/>
    </w:r>
    <w:r>
      <w:tab/>
    </w:r>
    <w:r w:rsidRPr="00E45412">
      <w:t>Project</w:t>
    </w:r>
    <w:r>
      <w:t xml:space="preserve"> number </w:t>
    </w:r>
    <w:r>
      <w:fldChar w:fldCharType="begin"/>
    </w:r>
    <w:r>
      <w:instrText xml:space="preserve"> DOCPROPERTY  xProjectNumber  \* MERGEFORMAT </w:instrText>
    </w:r>
    <w:r>
      <w:fldChar w:fldCharType="separate"/>
    </w:r>
    <w:r w:rsidR="00EB634D">
      <w:rPr>
        <w:b/>
        <w:bCs/>
        <w:lang w:val="en-US"/>
      </w:rPr>
      <w:t>Error! Unknown document property name.</w:t>
    </w:r>
    <w:r>
      <w:fldChar w:fldCharType="end"/>
    </w:r>
    <w:r>
      <w:t xml:space="preserve"> </w:t>
    </w:r>
    <w:r>
      <w:fldChar w:fldCharType="begin"/>
    </w:r>
    <w:r>
      <w:instrText xml:space="preserve"> DOCPROPERTY  xDraft  \* MERGEFORMAT </w:instrText>
    </w:r>
    <w:r>
      <w:fldChar w:fldCharType="separate"/>
    </w:r>
    <w:r w:rsidR="00EB634D">
      <w:rPr>
        <w:b/>
        <w:bCs/>
        <w:lang w:val="en-US"/>
      </w:rPr>
      <w:t>Error! Unknown document property name.</w:t>
    </w:r>
    <w:r>
      <w:fldChar w:fldCharType="end"/>
    </w:r>
    <w:r>
      <w:t xml:space="preserve"> report Version </w:t>
    </w:r>
  </w:p>
  <w:p w14:paraId="7B6123B6" w14:textId="77777777" w:rsidR="00F42A40" w:rsidRPr="005459E4" w:rsidRDefault="00F42A40" w:rsidP="002A3A54">
    <w:pPr>
      <w:pStyle w:val="Footer"/>
    </w:pPr>
    <w:r>
      <w:tab/>
    </w:r>
    <w:r w:rsidRPr="00EE4519">
      <w:t xml:space="preserve">Page </w:t>
    </w:r>
    <w:r w:rsidRPr="00EE4519">
      <w:rPr>
        <w:rStyle w:val="PageNumber"/>
        <w:rFonts w:cs="Arial"/>
        <w:szCs w:val="18"/>
      </w:rPr>
      <w:fldChar w:fldCharType="begin"/>
    </w:r>
    <w:r w:rsidRPr="00EE4519">
      <w:rPr>
        <w:rStyle w:val="PageNumber"/>
        <w:rFonts w:cs="Arial"/>
        <w:szCs w:val="18"/>
      </w:rPr>
      <w:instrText xml:space="preserve"> PAGE </w:instrText>
    </w:r>
    <w:r w:rsidRPr="00EE4519">
      <w:rPr>
        <w:rStyle w:val="PageNumber"/>
        <w:rFonts w:cs="Arial"/>
        <w:szCs w:val="18"/>
      </w:rPr>
      <w:fldChar w:fldCharType="separate"/>
    </w:r>
    <w:r>
      <w:rPr>
        <w:rStyle w:val="PageNumber"/>
        <w:rFonts w:cs="Arial"/>
        <w:noProof/>
        <w:szCs w:val="18"/>
      </w:rPr>
      <w:t>80</w:t>
    </w:r>
    <w:r w:rsidRPr="00EE4519">
      <w:rPr>
        <w:rStyle w:val="PageNumber"/>
        <w:rFonts w:cs="Arial"/>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CBE05" w14:textId="77777777" w:rsidR="00F42A40" w:rsidRDefault="00F42A40">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8E3AC" w14:textId="4DCEDAFC" w:rsidR="00F42A40" w:rsidRDefault="00F42A40" w:rsidP="003879F7">
    <w:pPr>
      <w:pStyle w:val="Footer"/>
    </w:pPr>
    <w:r>
      <w:fldChar w:fldCharType="begin"/>
    </w:r>
    <w:r>
      <w:instrText xml:space="preserve"> DOCPROPERTY  xTitle  \* MERGEFORMAT </w:instrText>
    </w:r>
    <w:r>
      <w:fldChar w:fldCharType="separate"/>
    </w:r>
    <w:r w:rsidR="00EB634D">
      <w:rPr>
        <w:b/>
        <w:bCs/>
        <w:lang w:val="en-US"/>
      </w:rPr>
      <w:t>Error! Unknown document property name.</w:t>
    </w:r>
    <w:r>
      <w:fldChar w:fldCharType="end"/>
    </w:r>
    <w:r>
      <w:tab/>
    </w:r>
    <w:r>
      <w:tab/>
    </w:r>
    <w:r w:rsidRPr="00E45412">
      <w:t>Project</w:t>
    </w:r>
    <w:r>
      <w:t xml:space="preserve"> number </w:t>
    </w:r>
    <w:r>
      <w:fldChar w:fldCharType="begin"/>
    </w:r>
    <w:r>
      <w:instrText xml:space="preserve"> DOCPROPERTY  xProjectNumber  \* MERGEFORMAT </w:instrText>
    </w:r>
    <w:r>
      <w:fldChar w:fldCharType="separate"/>
    </w:r>
    <w:r w:rsidR="00EB634D">
      <w:rPr>
        <w:b/>
        <w:bCs/>
        <w:lang w:val="en-US"/>
      </w:rPr>
      <w:t>Error! Unknown document property name.</w:t>
    </w:r>
    <w:r>
      <w:fldChar w:fldCharType="end"/>
    </w:r>
    <w:r>
      <w:t xml:space="preserve"> </w:t>
    </w:r>
    <w:r>
      <w:fldChar w:fldCharType="begin"/>
    </w:r>
    <w:r>
      <w:instrText xml:space="preserve"> DOCPROPERTY  xDraft  \* MERGEFORMAT </w:instrText>
    </w:r>
    <w:r>
      <w:fldChar w:fldCharType="separate"/>
    </w:r>
    <w:r w:rsidR="00EB634D">
      <w:rPr>
        <w:b/>
        <w:bCs/>
        <w:lang w:val="en-US"/>
      </w:rPr>
      <w:t>Error! Unknown document property name.</w:t>
    </w:r>
    <w:r>
      <w:fldChar w:fldCharType="end"/>
    </w:r>
    <w:r>
      <w:t xml:space="preserve"> report Version </w:t>
    </w:r>
  </w:p>
  <w:p w14:paraId="03E2F8E8" w14:textId="77777777" w:rsidR="00F42A40" w:rsidRPr="005459E4" w:rsidRDefault="00F42A40" w:rsidP="003879F7">
    <w:pPr>
      <w:pStyle w:val="Footer"/>
    </w:pPr>
    <w:r>
      <w:tab/>
    </w:r>
    <w:r w:rsidRPr="00EE4519">
      <w:t xml:space="preserve">Page </w:t>
    </w:r>
    <w:r w:rsidRPr="00EE4519">
      <w:rPr>
        <w:rStyle w:val="PageNumber"/>
        <w:rFonts w:cs="Arial"/>
        <w:szCs w:val="18"/>
      </w:rPr>
      <w:fldChar w:fldCharType="begin"/>
    </w:r>
    <w:r w:rsidRPr="00EE4519">
      <w:rPr>
        <w:rStyle w:val="PageNumber"/>
        <w:rFonts w:cs="Arial"/>
        <w:szCs w:val="18"/>
      </w:rPr>
      <w:instrText xml:space="preserve"> PAGE </w:instrText>
    </w:r>
    <w:r w:rsidRPr="00EE4519">
      <w:rPr>
        <w:rStyle w:val="PageNumber"/>
        <w:rFonts w:cs="Arial"/>
        <w:szCs w:val="18"/>
      </w:rPr>
      <w:fldChar w:fldCharType="separate"/>
    </w:r>
    <w:r>
      <w:rPr>
        <w:rStyle w:val="PageNumber"/>
        <w:rFonts w:cs="Arial"/>
        <w:noProof/>
        <w:szCs w:val="18"/>
      </w:rPr>
      <w:t>92</w:t>
    </w:r>
    <w:r w:rsidRPr="00EE4519">
      <w:rPr>
        <w:rStyle w:val="PageNumber"/>
        <w:rFonts w:cs="Arial"/>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83874" w14:textId="77777777" w:rsidR="00F42A40" w:rsidRPr="00AB236F" w:rsidRDefault="00F42A40" w:rsidP="0094285D">
    <w:pPr>
      <w:pStyle w:val="Footer"/>
      <w:pBdr>
        <w:top w:val="none" w:sz="0" w:space="0" w:color="auto"/>
      </w:pBdr>
      <w:jc w:val="center"/>
      <w:rPr>
        <w:rStyle w:val="PageNumber"/>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72AAA" w14:textId="71A67DE4" w:rsidR="00F42A40" w:rsidRDefault="00F42A40" w:rsidP="00935DDE">
    <w:pPr>
      <w:pStyle w:val="Footer"/>
      <w:tabs>
        <w:tab w:val="clear" w:pos="9072"/>
        <w:tab w:val="right" w:pos="9593"/>
      </w:tabs>
    </w:pPr>
    <w:r>
      <w:t>Assessment of hazardous waste infrastructure needs and capacities in Australia 2018</w:t>
    </w:r>
    <w:r>
      <w:tab/>
    </w:r>
    <w:r w:rsidR="001B1D4E">
      <w:t>Final (non-confidential version)</w:t>
    </w:r>
  </w:p>
  <w:p w14:paraId="791C71DA" w14:textId="77777777" w:rsidR="00F42A40" w:rsidRPr="00AB236F" w:rsidRDefault="00F42A40"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sidR="00A1102D">
      <w:rPr>
        <w:rStyle w:val="PageNumber"/>
        <w:noProof/>
      </w:rPr>
      <w:t>163</w:t>
    </w:r>
    <w:r w:rsidRPr="00AB236F">
      <w:rPr>
        <w:rStyle w:val="PageNumber"/>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D51A1" w14:textId="77777777" w:rsidR="00F42A40" w:rsidRDefault="00F42A40">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06B4B" w14:textId="16B32F11" w:rsidR="00F42A40" w:rsidRDefault="00F42A40" w:rsidP="002A3A54">
    <w:pPr>
      <w:pStyle w:val="Footer"/>
    </w:pPr>
    <w:r>
      <w:fldChar w:fldCharType="begin"/>
    </w:r>
    <w:r>
      <w:instrText xml:space="preserve"> DOCPROPERTY  xTitle  \* MERGEFORMAT </w:instrText>
    </w:r>
    <w:r>
      <w:fldChar w:fldCharType="separate"/>
    </w:r>
    <w:r w:rsidR="00EB634D">
      <w:rPr>
        <w:b/>
        <w:bCs/>
        <w:lang w:val="en-US"/>
      </w:rPr>
      <w:t>Error! Unknown document property name.</w:t>
    </w:r>
    <w:r>
      <w:fldChar w:fldCharType="end"/>
    </w:r>
    <w:r>
      <w:tab/>
    </w:r>
    <w:r>
      <w:tab/>
    </w:r>
    <w:r w:rsidRPr="00E45412">
      <w:t>Project</w:t>
    </w:r>
    <w:r>
      <w:t xml:space="preserve"> number </w:t>
    </w:r>
    <w:r>
      <w:fldChar w:fldCharType="begin"/>
    </w:r>
    <w:r>
      <w:instrText xml:space="preserve"> DOCPROPERTY  xProjectNumber  \* MERGEFORMAT </w:instrText>
    </w:r>
    <w:r>
      <w:fldChar w:fldCharType="separate"/>
    </w:r>
    <w:r w:rsidR="00EB634D">
      <w:rPr>
        <w:b/>
        <w:bCs/>
        <w:lang w:val="en-US"/>
      </w:rPr>
      <w:t>Error! Unknown document property name.</w:t>
    </w:r>
    <w:r>
      <w:fldChar w:fldCharType="end"/>
    </w:r>
    <w:r>
      <w:t xml:space="preserve"> </w:t>
    </w:r>
    <w:r>
      <w:fldChar w:fldCharType="begin"/>
    </w:r>
    <w:r>
      <w:instrText xml:space="preserve"> DOCPROPERTY  xDraft  \* MERGEFORMAT </w:instrText>
    </w:r>
    <w:r>
      <w:fldChar w:fldCharType="separate"/>
    </w:r>
    <w:r w:rsidR="00EB634D">
      <w:rPr>
        <w:b/>
        <w:bCs/>
        <w:lang w:val="en-US"/>
      </w:rPr>
      <w:t>Error! Unknown document property name.</w:t>
    </w:r>
    <w:r>
      <w:fldChar w:fldCharType="end"/>
    </w:r>
    <w:r>
      <w:t xml:space="preserve"> report Version </w:t>
    </w:r>
  </w:p>
  <w:p w14:paraId="14210FDD" w14:textId="77777777" w:rsidR="00F42A40" w:rsidRPr="005459E4" w:rsidRDefault="00F42A40" w:rsidP="002A3A54">
    <w:pPr>
      <w:pStyle w:val="Footer"/>
    </w:pPr>
    <w:r>
      <w:tab/>
    </w:r>
    <w:r w:rsidRPr="00EE4519">
      <w:t xml:space="preserve">Page </w:t>
    </w:r>
    <w:r w:rsidRPr="00EE4519">
      <w:rPr>
        <w:rStyle w:val="PageNumber"/>
        <w:rFonts w:cs="Arial"/>
        <w:szCs w:val="18"/>
      </w:rPr>
      <w:fldChar w:fldCharType="begin"/>
    </w:r>
    <w:r w:rsidRPr="00EE4519">
      <w:rPr>
        <w:rStyle w:val="PageNumber"/>
        <w:rFonts w:cs="Arial"/>
        <w:szCs w:val="18"/>
      </w:rPr>
      <w:instrText xml:space="preserve"> PAGE </w:instrText>
    </w:r>
    <w:r w:rsidRPr="00EE4519">
      <w:rPr>
        <w:rStyle w:val="PageNumber"/>
        <w:rFonts w:cs="Arial"/>
        <w:szCs w:val="18"/>
      </w:rPr>
      <w:fldChar w:fldCharType="separate"/>
    </w:r>
    <w:r>
      <w:rPr>
        <w:rStyle w:val="PageNumber"/>
        <w:rFonts w:cs="Arial"/>
        <w:noProof/>
        <w:szCs w:val="18"/>
      </w:rPr>
      <w:t>80</w:t>
    </w:r>
    <w:r w:rsidRPr="00EE4519">
      <w:rPr>
        <w:rStyle w:val="PageNumber"/>
        <w:rFonts w:cs="Arial"/>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49BED" w14:textId="77777777" w:rsidR="00F42A40" w:rsidRDefault="00F42A40">
    <w:pPr>
      <w:pStyle w:val="Footer"/>
    </w:pPr>
    <w:r>
      <w:rPr>
        <w:noProof/>
        <w:lang w:eastAsia="en-AU"/>
      </w:rPr>
      <mc:AlternateContent>
        <mc:Choice Requires="wps">
          <w:drawing>
            <wp:anchor distT="0" distB="0" distL="114300" distR="114300" simplePos="0" relativeHeight="251654144" behindDoc="0" locked="0" layoutInCell="1" allowOverlap="1" wp14:anchorId="55297848" wp14:editId="26B71B49">
              <wp:simplePos x="0" y="0"/>
              <wp:positionH relativeFrom="page">
                <wp:posOffset>0</wp:posOffset>
              </wp:positionH>
              <wp:positionV relativeFrom="page">
                <wp:posOffset>7039429</wp:posOffset>
              </wp:positionV>
              <wp:extent cx="7560000" cy="3672000"/>
              <wp:effectExtent l="0" t="0" r="3175" b="5080"/>
              <wp:wrapNone/>
              <wp:docPr id="4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000" cy="3672000"/>
                      </a:xfrm>
                      <a:custGeom>
                        <a:avLst/>
                        <a:gdLst>
                          <a:gd name="T0" fmla="*/ 2381 w 2381"/>
                          <a:gd name="T1" fmla="*/ 596 h 1157"/>
                          <a:gd name="T2" fmla="*/ 2381 w 2381"/>
                          <a:gd name="T3" fmla="*/ 596 h 1157"/>
                          <a:gd name="T4" fmla="*/ 964 w 2381"/>
                          <a:gd name="T5" fmla="*/ 0 h 1157"/>
                          <a:gd name="T6" fmla="*/ 0 w 2381"/>
                          <a:gd name="T7" fmla="*/ 230 h 1157"/>
                          <a:gd name="T8" fmla="*/ 0 w 2381"/>
                          <a:gd name="T9" fmla="*/ 1157 h 1157"/>
                          <a:gd name="T10" fmla="*/ 2381 w 2381"/>
                          <a:gd name="T11" fmla="*/ 1157 h 1157"/>
                          <a:gd name="T12" fmla="*/ 2381 w 2381"/>
                          <a:gd name="T13" fmla="*/ 596 h 1157"/>
                        </a:gdLst>
                        <a:ahLst/>
                        <a:cxnLst>
                          <a:cxn ang="0">
                            <a:pos x="T0" y="T1"/>
                          </a:cxn>
                          <a:cxn ang="0">
                            <a:pos x="T2" y="T3"/>
                          </a:cxn>
                          <a:cxn ang="0">
                            <a:pos x="T4" y="T5"/>
                          </a:cxn>
                          <a:cxn ang="0">
                            <a:pos x="T6" y="T7"/>
                          </a:cxn>
                          <a:cxn ang="0">
                            <a:pos x="T8" y="T9"/>
                          </a:cxn>
                          <a:cxn ang="0">
                            <a:pos x="T10" y="T11"/>
                          </a:cxn>
                          <a:cxn ang="0">
                            <a:pos x="T12" y="T13"/>
                          </a:cxn>
                        </a:cxnLst>
                        <a:rect l="0" t="0" r="r" b="b"/>
                        <a:pathLst>
                          <a:path w="2381" h="1157">
                            <a:moveTo>
                              <a:pt x="2381" y="596"/>
                            </a:moveTo>
                            <a:cubicBezTo>
                              <a:pt x="2381" y="596"/>
                              <a:pt x="2381" y="596"/>
                              <a:pt x="2381" y="596"/>
                            </a:cubicBezTo>
                            <a:cubicBezTo>
                              <a:pt x="2095" y="239"/>
                              <a:pt x="1568" y="0"/>
                              <a:pt x="964" y="0"/>
                            </a:cubicBezTo>
                            <a:cubicBezTo>
                              <a:pt x="604" y="0"/>
                              <a:pt x="271" y="85"/>
                              <a:pt x="0" y="230"/>
                            </a:cubicBezTo>
                            <a:cubicBezTo>
                              <a:pt x="0" y="1157"/>
                              <a:pt x="0" y="1157"/>
                              <a:pt x="0" y="1157"/>
                            </a:cubicBezTo>
                            <a:cubicBezTo>
                              <a:pt x="2381" y="1157"/>
                              <a:pt x="2381" y="1157"/>
                              <a:pt x="2381" y="1157"/>
                            </a:cubicBezTo>
                            <a:lnTo>
                              <a:pt x="2381" y="596"/>
                            </a:lnTo>
                            <a:close/>
                          </a:path>
                        </a:pathLst>
                      </a:custGeom>
                      <a:blipFill dpi="0" rotWithShape="1">
                        <a:blip r:embed="rId1">
                          <a:extLst>
                            <a:ext uri="{28A0092B-C50C-407E-A947-70E740481C1C}">
                              <a14:useLocalDpi xmlns:a14="http://schemas.microsoft.com/office/drawing/2010/main" val="0"/>
                            </a:ext>
                          </a:extLst>
                        </a:blip>
                        <a:srcRect/>
                        <a:stretch>
                          <a:fillRect l="-22513" t="-34750" r="-12255" b="12"/>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DEBE357" id="Freeform 5" o:spid="_x0000_s1026" style="position:absolute;margin-left:0;margin-top:554.3pt;width:595.3pt;height:289.1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381,11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Y/xOggQAAGoMAAAOAAAAZHJzL2Uyb0RvYy54bWysV9tu4zYQfS/Q&#10;fyD4WEDRxZJlCXEWiR0XC6Ttopuiz7REWUIlUSVpO9mi/94ZUrLlJE6MYvMg83I4HJ6ZIU+uPz01&#10;NdlxqSrRzql/5VHC20zkVbuZ0z8eV86MEqVZm7NatHxOn7min25+/OF636U8EKWocy4JGGlVuu/m&#10;tNS6S11XZSVvmLoSHW9hshCyYRq6cuPmku3BelO7gedN3b2QeSdFxpWC0aWdpDfGflHwTP9WFIpr&#10;Us8p+KbNV5rvGr/uzTVLN5J1ZZX1brD/4UXDqhY2PZhaMs3IVlavTDVVJoUShb7KROOKoqgybs4A&#10;p/G9F6f5WrKOm7MAOao70KS+n9ns190XSap8TkOfkpY1EKOV5BwZJxHSs+9UCqiv3ReJB1Tdg8j+&#10;UjDhnsxgRwGGrPe/iByssK0WhpKnQja4Eg5Lngzzzwfm+ZMmGQzG0dSDP0oymJtMYwitiY3L0mF5&#10;tlX6Zy6MKbZ7UNqGLoeWIT7vvX8EK0VTQxR/ckkwmflkb376UB9gcNwDLEqmpCS+H8UvUcEI9Y6x&#10;yQh23lg4QiXT8Ixj0QjlnXFreoJ5+4DxCBNMzlmC+jzQ4J3xKBlhkKQzTvmXMj+m/j17F5Lvn2cf&#10;8mczZAgrh6TJnto+a6BFGF5VnknVTihMUUwhyMNHH7MBTAAKU+wMGLxE8OQiMKQAgk1lfWgZooxg&#10;k5QfgiGQCE4ucgNDhWj/siP6/RmB6REj1qWeSQlX7ctLVlICl+wa17C0YxoDMDTJfk6xoCgp4d3A&#10;ysOZRuz4ozAYjZGwCPAUiqrf+gjJtusqu+Pf3lsA+75p6Nw4nunE7GmvN+YlUKTgVTAxdA/G/Ghq&#10;o9C/KxYNlW7Aw4V2avG0Z1dMvdGKwXgQA1ew58zkzjBq4wjlPQTmQ+ftiuNdZ7e8ZPQybkxMwc+X&#10;OxxC+eHEq33q9r0QA3wAZLVQ3GYoppsp3kPeGbPHN2RdV92qqmuSd5V5laTQf1a6NI8uuG/yEUH9&#10;swui4WNxYh/0pci2DW+1VSiS10yDPFJl1SlKZMqbNYcHV37O7SbwCPaFgc+hUQ3/BLNbz0uCO2cR&#10;eQsn9OJ75zYJYyf27uPQC2f+wl/8iy76YbpVHN5kVi+7apAwfvjK2zeVRy+mrPgwIobsmJFKlkVw&#10;yJA4uAgcIiVYoEpmv0PNm9pWWnKdAd8sLYBSHMe7wAmCCC9nUF3OJIwjSDJg0fFhGOoHrga4V+w+&#10;BwP9BhgYtFabi7cV2LdIOzL4w9IjZYkfhN5dkDir6Sx2wlUYOUnszRzPT+4SKKkkXK4Gysoqz3n7&#10;ULX8OzAGN1kSBZFJGCXqKh+8V3KzXtSypxQFzlCmJzAptm1ueCw5y+/7tmZVbdsuBvno8RCQ4dfk&#10;jhFjqL+sYFuL/Bm0GKS0SW0Q6NAohfxGyR7E7pyqv7dMckrqzy2oycQPQwiONp0wAvkFkRrPrMcz&#10;rM3A1JxqCm8nNhcaerBk28lqU8JONq9bcQsasKgwR4x/1qu+A4LWnKAX36iYx32DOv6LcPMfAAAA&#10;//8DAFBLAwQKAAAAAAAAACEA36BjRXSqAAB0qgAAFAAAAGRycy9tZWRpYS9pbWFnZTEuanBn/9j/&#10;4QAYRXhpZgAASUkqAAgAAAAAAAAAAAAAAP/sABFEdWNreQABAAQAAABQAAD/4QNdaHR0cDovL25z&#10;LmFkb2JlLmNvbS94YXAvMS4wLwA8P3hwYWNrZXQgYmVnaW49Iu+7vyIgaWQ9Ilc1TTBNcENlaGlI&#10;enJlU3pOVGN6a2M5ZCI/PiA8eDp4bXBtZXRhIHhtbG5zOng9ImFkb2JlOm5zOm1ldGEvIiB4Onht&#10;cHRrPSJBZG9iZSBYTVAgQ29yZSA1LjMtYzAxMSA2Ni4xNDU2NjEsIDIwMTIvMDIvMDYtMTQ6NTY6&#10;Mjc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XBNTTpPcmlnaW5hbERvY3VtZW50SUQ9IjdG&#10;Q0Y1MEFFNTc2M0M2MTY4NzFBM0REQzRDRDVDMUIxIiB4bXBNTTpEb2N1bWVudElEPSJ4bXAuZGlk&#10;OkZDOEMxOEJBOEEyODExRTY5Rjk0ODRFQjVFRjc3QzlEIiB4bXBNTTpJbnN0YW5jZUlEPSJ4bXAu&#10;aWlkOkZDOEMxOEI5OEEyODExRTY5Rjk0ODRFQjVFRjc3QzlEIiB4bXA6Q3JlYXRvclRvb2w9IkFk&#10;b2JlIFBob3Rvc2hvcCBDUzYgV2luZG93cyI+IDx4bXBNTTpEZXJpdmVkRnJvbSBzdFJlZjppbnN0&#10;YW5jZUlEPSJ4bXAuaWlkOjU4MzUxNDlFMjg4QUU2MTFCQTI0RjIyQjQ2Qjc3N0Q4IiBzdFJlZjpk&#10;b2N1bWVudElEPSI3RkNGNTBBRTU3NjNDNjE2ODcxQTNEREM0Q0Q1QzFCMSIvPiA8L3JkZjpEZXNj&#10;cmlwdGlvbj4gPC9yZGY6UkRGPiA8L3g6eG1wbWV0YT4gPD94cGFja2V0IGVuZD0iciI/Pv/uAA5B&#10;ZG9iZQBkwAAAAAH/2wCEAAICAgICAgICAgIDAgICAwQDAgIDBAUEBAQEBAUGBQUFBQUFBgYHBwgH&#10;BwYJCQoKCQkMDAwMDAwMDAwMDAwMDAwBAwMDBQQFCQYGCQ0LCQsNDw4ODg4PDwwMDAwMDw8MDAwM&#10;DAwPDAwMDAwMDAwMDAwMDAwMDAwMDAwMDAwMDAwMDP/AABEIASwDugMBEQACEQEDEQH/xAGiAAAA&#10;BwEBAQEBAAAAAAAAAAAEBQMCBgEABwgJCgsBAAICAwEBAQEBAAAAAAAAAAEAAgMEBQYHCAkKCxAA&#10;AgEDAwIEAgYHAwQCBgJzAQIDEQQABSESMUFRBhNhInGBFDKRoQcVsUIjwVLR4TMWYvAkcoLxJUM0&#10;U5KismNzwjVEJ5OjszYXVGR0w9LiCCaDCQoYGYSURUaktFbTVSga8uPzxNTk9GV1hZWltcXV5fVm&#10;doaWprbG1ub2N0dXZ3eHl6e3x9fn9zhIWGh4iJiouMjY6PgpOUlZaXmJmam5ydnp+So6Slpqeoqa&#10;qrrK2ur6EQACAgECAwUFBAUGBAgDA20BAAIRAwQhEjFBBVETYSIGcYGRMqGx8BTB0eEjQhVSYnLx&#10;MyQ0Q4IWklMlomOywgdz0jXiRIMXVJMICQoYGSY2RRonZHRVN/Kjs8MoKdPj84SUpLTE1OT0ZXWF&#10;laW1xdXl9UZWZnaGlqa2xtbm9kdXZ3eHl6e3x9fn9zhIWGh4iJiouMjY6Pg5SVlpeYmZqbnJ2en5&#10;KjpKWmp6ipqqusra6vr/2gAMAwEAAhEDEQA/APiI0khYsXJJJqa+NDnR/npxxjf8fNwZaSJW+o/8&#10;x+84x1uWrs/b+tfyuOv7Heo/8x+84fz2TvP2/rR+Vx/ineo/8x+84/nsneft/Wv5XH+KbDsf2j95&#10;x/PZO8/b+tfyuP8AFN8m/nP3nH89k7z9v61/K4/xTuTfzn7zj+eyd5+39a/lcf4p3Jv5z95x/PZO&#10;8/b+tfyuP8U3yY/tH7zj+eyd5+39a/lcf4pur/zH7zj+eyd5+39a/lcf4prk9K8z95x/PZO8/b+t&#10;fyuP8UvQt/O334Rrcveft/Wj8rj/ABSpyb+dvvyX53L3/ev5XH+Kdyb+dvvx/O5e/wC9fyuP8U0W&#10;fszffj+dy9/3r+Vx/imucn8zY/ncvf8Aev5XH+Kdzk/mbH87l7/vX8rj/FNh3/mb78fzuXv+9fyu&#10;P8Uu5N/M334/ncvf9/61/K4/xTuTfzN9+P53L3/f+tfyuP8AFO5N/M334/ncvf8Af+tfyuP8U7k3&#10;8zffj+dy9/3/AK1/K4/xTuTfzN9+P53L3/f+tfyuP8U7k38zffj+dy9/3/rX8rj/ABTuTfzN9+P5&#10;3L3/AH/rX8rj/FO5N/M334/ncvf9/wCtfyuP8U7k38zffj+dy9/3/rX8rj/FO5t/MfvwjW5e/wC/&#10;9a/lcf4prm38x+/Jfncvn9v61/K4/wAU7m38x+/H87l8/t/Wv5XH+Kdzb+Y/fj+dy+f2/rX8rj/F&#10;Lld6/aP34/ncvn9v61/K4/xS/wBR/wCY4/ncvn9v61/KY/xTvUf+Y4/ncvn9v61/KY/xTvUf+Y4/&#10;ncvn9v61/KY/xTubn9o/fj+dy+f2/rX8pj/FN8pP5j9+P53L5/b+tfymP8U7lJ/Mfvx/O5fP7f1r&#10;+Ux/incpP5j9+P53L5/b+tfymP8AFO5yD9o/fj+dy+f2/rX8pj/FNc3P7R+/H87l8/t/Wv5TH+Kb&#10;5SfzH78B1uXvP2/rX8pj/FO5SfzH78j+dy9/3/rX8pj/ABTquerN9+P53L3/AH/rX8rj/FLlqD9t&#10;vvx/O5e/7/1r+Vx/ilzFqbMfvx/O5e/7/wBa/lMf4pT5SfzH78fzuXv+/wDWv5TH+KXKz13Y/fj+&#10;dy9/3/rX8pj/ABS+rfzHH87l7/v/AFr+Ux/immLU2Y/fj+dy9/3/AK1/KY/xSnyk/mP34/ncvf8A&#10;f+tfymP8U6rnqx+/CNbl7/v/AFr+Vx/infEOjH78l+dy+f2/rX8rj/FO5SfzH78B1uXvP2/rX8pj&#10;/FO5SfzH78j+dy9/3/rX8pj/ABTfJ+7H78fzuXv+/wDWv5TH+KbBb+Y4/ncvf9/61/K4/wAUvDPX&#10;7Rx/O5e/7/1r+UxfimyzH9o4/ncvf9/61/KYvxTgWr9o4Rrcvf8Af+tfymL8UqrXxrkvzuXz+39a&#10;/lMX4pWUe/bAdbl7z9v61/KYvxS+nucj+dy9/wB/61/KYu77lRFoa1PTH87l7/v/AFo/KYu77lQi&#10;vU4fzuXv+/8AWv5TF3fc1xGD87l7/v8A1r+Uxd33LWQEd8fzuXv+/wDWv5TF3fcpslBsT9OP53L3&#10;/f8ArT+Uxd33LCCO+P53L3/f+tfymLu+5r6cfzuXv+/9a/lMXd9zRFe5Hyx/O5e/7/1r+Uxd33NB&#10;aftE/PH87l7/AL/1r+Uxd33Lvvx/O5e/7/1r+Uxd33LiKCu+P53L3/f+tfymLu+5oVPfH87l7/v/&#10;AFr+Uxd33LgtTuTj+dy9/wB/61/KYu77mytO5x/O5e/7/wBa/lMXd9y9E36nH87l7/v/AFo/KYu7&#10;7kdCpU1qRUU22/Vh/O5e/wC/9a/k8Xd9yaoCRsW+84/ncvf9/wCtfyeLu+5bMh478uvicfzuXv8A&#10;v/Wv5PF3fcl7r2NRT/Pvj+dy9/3/AK1/J4u77lMLU0qfwx/O5e/7/wBa/k8Xd9yp6dNxXH87l7/v&#10;/Wv5PF3fcqLFXx+84/ncvf8Af+tfyeLu+5XWKm4LVO3U4/ncvf8Af+tfyeLu+5V9M0rVvvOP53L3&#10;/f8ArX8ni7vub9M+LfecfzuXv+/9a/k8Xd9ym0ROxLePU4/ncvf9/wCtfyeLu+5DvFQd+vicfzuX&#10;v+/9a/k8Xd9yGdCRj+dy9/3/AK1/J4u77kM0Y71Hywfncvf9/wCtfymLu+5RdAoqCeuP53L3/f8A&#10;rT+Uxd33KLKxHU/Rj+dy9/3/AK1/KYu77lvBu7MMfzuXv+/9a/lMX4pxU9mbH87l7/v/AFr+Uxfi&#10;mgp7s2P53L3/AH/rX8pi/FNlSP2mx/O5e/7/ANaY6TEen3NUb+Y4/ncvf9/62X5PF3fcvjheZgik&#10;knAdbl7/AL/1p/J4u77k/WNLKDcUlO1fbB+dy95+39aPyWLu+79THbqZ5GPxGle2P57L3n7f1r+S&#10;xd33fqQoLfzMMH57L3n7f1p/J4vxTm5Efab78fz2XvP2/rX8ni/FLPjXcM30nH89l7z9v61/J4vx&#10;TquerH78fz2XvP2/rX8ni/FNGo/ab78fz2XvP2/rX8nj/FLCzD9pvvx/PZe8/b+tfyeP8U1zf+Y/&#10;fj+ey95+39a/k8f4p3N/5j9+P57L3n7f1r+Tx/inc3/mP34/nsveft/Wv5PH+Kdzf+Y/fj+ey95+&#10;39a/k8f4pou/8x+/H89l7z9v61/J4/xTQd+7HH89l7z9v61/J4/xS7m38x+/H89l7z9v61/J4/xT&#10;ubfzH78fz2XvP2/rX8nj/FNcm/mOP57L3n7f1r+Tx/incm/mOP53Kep+39aRpMX4pos38xPXY/I4&#10;4tfk3s/f+tidHC9lTnL/AL9f7Hp9e39cp/NT/wBkz/LxQB7/AD/gMqgOIbthW5bdCmngs8y7Anw/&#10;Mrl64r4fmV2K+H5l2K+H5lsCuK+H5lsimK+H5ltBU/Rivh+ZVKDFfD8y0RQbDFfD8y6pHbCDS+H5&#10;l1T4YeNfD8y6p8MeNfD8y2Ce+PGvh+ZXYRJeDzLsPEvB5l2JkvB5lrI8a+H5lvCJLweZdh4l4PMu&#10;x4l4PMtgVx4l4PMrgtceJeDzLfGm+PEvB5l2PEvB5l1K7Y8S8HmXcaYRJeDzLdMlxLweZdTHiXg8&#10;y6mPEvB5l1K48S8HmW+J8MeJeDzLRB8MeJBh5ltVqd8bRw+a8KBja8Pm3QY2vD5tEeGNrw+bW/hj&#10;a8Pm6leoxteHzdxA6Y2vD5u38MPNeHzdQ40F4fN1DjQXh82xUdsaC8Pm41PbGgvD5tUONBeHzbFR&#10;2xoLw+bdT4Y0F4fN25640EiPm7iMaCeDzLqY8l4PMuC+ODiXg8y3xGN2vB5lriMNBeDzLRHhjQXg&#10;8y4dcaC8HmV+CWy8HmXZDiXg8y2OowiS8HmVdADkuJeDzKuAAMBkgw8yqqorkeJHD5q6KMeJeHzV&#10;OPzx4l4fNsJ41x4l4fNa6Cm1euPEvD5qRSowgrw+an6dfbCvD5uMYHfFeHzWlB2rivD5rSu3fFeH&#10;zcqb74rw+arwBG1cSV4fNZwIOR4l4fNUEdceJeHzXiKvjjxLw+aokdDhBXh80XGtSBhXh802hi2r&#10;udsV4fNUeOo6Yrw+aBki9sV4fNDiKp6U+WK8PmqCP54rw+aukR8MV4fNEpEfDFBHmr+jtvXFacIR&#10;74CVpTeIDBxJ4fNCSRY8S8Pmg3j9seJeHzQzJ448S8PmoyRigoT1x4l4fNDslB448SRHzWFfAY8S&#10;eDzKxloN8eJeDzKwAHxx4l4PMt0GPEkQrq7gW2A67CmNprzZDY2a20XrSVDdADja15pXf3PrOQOo&#10;PbwwLSUsopgK0pkUyKaaxtFOIB74LWlpWnTfDa0sIJ8cU01x+eK0ptXFaWYrTsVp2K07FaaPTFaa&#10;Fa4rTZr2xWmqnwxWnVPhkhKmJHm3U0O3Y/qyHCBuziVT+uY/F96UEep/z7DLsXJStyfVgOa5euLJ&#10;dirfXFXUIxVcBTFV1K7HFWwoG4xVs+2KuBPfbFW6jxxV2KuxV2Kt4Qrskh2ApayKt4QrYFckhcBT&#10;FW8VbFe2Kt0PfFXFfDFWqHFXb98IV3XCq9Vqd8VcygAU8cVcBQ4q3Q+GKup44UF1KdMWLqnwxV1T&#10;4Yq4E9xiq7FXYQFbpkuFXY0rsVdirsVdirsVdirsVdimLsWbhkShvIq0ckFdkkuxV2KuwEWhcvXI&#10;8KrwK/RvjVKqR4FVh0GEC0FWXrh4WKJRceFVYL3Bx4VXqprjwquKE+OPCq0xnBVKpmPviq0x4qpm&#10;MnbFVpiPfFWhFTxxVUVD0xq1XmGu++HhVcEpjwqvVSTjwqqLGScIiqKhj+L6MPCqcQJUU9sEhSCU&#10;V6NRkWNoKaH274raFEJrsMVtVSE13GK2ikhPhitohIfbFbRAgqKb4pWGEj5Y1aQoPFXDwpQjxY8K&#10;oGWKmPCqDaOuPCqHkQ0+nHhVRMY748KQt9NR0qcHCyWtGCOlMEhSqLRgZFVjR7bVJG9MVT3S7AyL&#10;68goqjYYqt1K634JTiDTFWOuKsScVUyoIwFKkRTIqtIrhCtEUw0rWAhWsCtH2xVTYHwxVbxr1xVo&#10;oANsVWEUxVrFXYq7FXYq7FXYsZOPQ/I/qxlyZBd/XMRkhiACT/n0GZGLkgtZPqwHN2LJ2Kr0FT9G&#10;KrmUUxVrFWxUdsVbqfDFWwT3GKtkVxVriMIVsADDSt40rsaV2NIdhV2BW1640lfhAQS7c5KmNuof&#10;DGlt1D4Y0ttitemNLa7fGltcu5wiIK22R4ZLwwvEtI9sIgEcTQBHbHgC8S8Vrh4Aok2d8PhhNuHW&#10;uRMAFMl2RpjxFrCIp4rdTDwhXUx4QrqY8IVrCIBXYeAK2OuERAVs7YaVbkZBWwK5FWyKDCBarclw&#10;q7ARSt5FXYq7FXYqC7FPE7AQturgpbdhAW3YV4nYrxOxXibXriF4lQCuGl4l6gAn5YCF4lQbbZGl&#10;tVA2wgLaso74UIpBvTFUSijFVUKAKjqcVVAuKrjHt0xq0LDHt3w8IW1vpV8ceALaz0qGpw8AW2ig&#10;PQYOALbXpe2PCFttY6HcY8K2rCMEbdsNLbXpVNDjwra4RUPTDwrassftjS2iY498NItNoI6ZEi2M&#10;jsmKw1XYZHgDC0PJDTqMeAJBQxh36Y8AZL0g36b48AQUUkHtjwBjaLS2+ePAF4lZYCO2PCE8ZU3g&#10;JHTbHhpIkUK8FPHFlxIRoNz1xTaBmtwR364raAaCh74raGkh274ragYu2+ISCpNHkqZcSz06ZCQ2&#10;XiUmTIUto6w02W6lXYhF+Jj7YiK2nF/cRWiehDtTZq/2YeALbD5eUjEt9kntjwBbUioGPAFtTI7Y&#10;JRSCostchSbWcadsMQglog+GSpFrd++CQSCtbpkaZLcaVoiuNK1xGAhWiBgVYRiVapTBaGsI3Voi&#10;uSpK0gAYCFW4Fdixk49D8j+rDIbMorv65hslA7/f/AZkYuSCtocn1YDm6hxZNhTiq4Cm4GKrjU9s&#10;VcOuKrsVdirsVdireEK7JIXL1xVdirsVdirsMRat9clwq6le2NUgthaeOLFdQ+GEBWwvjkuFVwWm&#10;PCriK48KuAphAVvChxwqWsUOwhIdhS2BXAUFvj44KQ3xxpQ7j44EuI8MVbUGvTFVxBwhLVDkldQ4&#10;q7jXrirgg98BCt8APHBSuKg+OEBWuA98Ku4gdMBCt09sFK6ntjSupXrjSu4L740ruA98aV3EDpjS&#10;up7Y0rqe2NK6ntjSup7Y0rqe2NK2BXtjSrwu/fAhdQDDSWwdxjSqynbGlRCUP3Y0qJUDrjSopaVx&#10;pUQgB2ONKrhRtjSqwWo6Y0gu9L2OKGxF8/pxCrXgqPpwqpeh88SrvQ9jgV3oV8cQqpHCQen34aVW&#10;MNBWnXGkErfS8Bix4lZIq9RivEiY4gD0OK8SaxQ1AoDjSCbTeG3PHv0w0hZLa19saRdIU2hr1rjS&#10;8SotofA40t2iorQ13qNsaSmEdp79sBCFX6pTAqm9pt364raCktqdjjS2l8sFOxxpIKXyQ/RjTLiQ&#10;TQip3xpeJByRDwONLxIUxe2NUkFQeP2xTakyACtMB3SCvtbN7mVVVahsjwsmWyJDpVtwJ/esKfeM&#10;aVhF1IZWZj3PXFUAyCm1euKqBWu2KqRXfAQgqTLTvkeFFrDjSQVp6YpaC164CkLSKZFksbpiqzFX&#10;YqtNTthpWgPHAQrmUUwUlSpjSHYVWt0wFKzIq7FjJzdD8j+rJT5Morv65hMlICpP+fYZkYuSC2Rk&#10;iwHNwXxxtK6gGEbq3kqS7GldjSuxpWwK40rfEY0glsADGmPE3hAXiduclS26h8MaW2wD3xpbXBQT&#10;iIrbZQdq4eALbXH54RGl4mwu/fJLxLwBjVqS3THhCHdMkIq1XJUreAhXYELl3OKr+NeuKuKD3wqW&#10;uFOmKHFScVbWPffCm1QIMIQS3wGGldwAwEK7gMFLbgoGNLbdBjS21xGNLbuI98KbdxHvitu4j3xW&#10;3BaYrbZFcVtriPfFbdxHvitu4j3xW3cR74rbuI98Vt3Ee+K24LTFbbIrittcR74rbuI98Vt3Ee+K&#10;27iPfFbdxHvitu4j3xW1yqK4KW13HwxpFthTXCAtruFetcNLaoiDoa40toiNBXv0xpbRSKMaW0Si&#10;jr7Y0topFFfoxpbRSoPfGltExxj36YCFJV/SFO+RRa9YPAYotcYCe2FbWG3p2OIFqZLTDTsclwse&#10;IuWGp6Y1SmZVBBx3ocbKOMqog5ClD4480GVti1p2ONItWW19jjS2i4rQV6HGltN4LbpthpBkncNo&#10;CKb9MKOJdJY7VoT/AJ/LApkhTZ0/ZpjTHiVEtfBTiniRcdn/AJOFeNGJa0/ZwEWnjVRbf5NMHCvE&#10;te1qMeFeJAy2YI7j3x4V4krmsq7VrjwqJJXNZ06g0rjTK0tltQBWlMSFtL5IKYFtCPDTtgKQUJLF&#10;t4b4GYNqS2zSsEXcnFlyZlZacum2puJiOVKAHx6/wwLxMQ1O6a6lL12BoBhq0gpM0dd/wx4U2oMt&#10;dj0wEUoKgygAnIpUSATiEFRZAe5w0ilErjwpAaK0wcIS10wSioKxhXIUm1hBxEVtqhw8AW2iPHEx&#10;pIK0qBvgS1irsVU3XbbxwFVOhwK4g4FaxpLsFMZNMKg/I/qwz5MoruA/4amYTJD0oTT/AD2GZGLk&#10;gtipO+WdWA5rsNMnY0h2FWwK4quApireKu64q3Q4Yi0FwU98nwsW+OCqVwWnjiq4Cp3wgKu4jJcK&#10;tgUxpW8VdhAVw3yVKvVanfGlXcB74EOMY98IS4RivfJKv4DxOKu4DxONK4IB3ONK3T540rfHGkF3&#10;EYKQ2FwgK2Eph4VXccNUruJxQ3xOEC0tcTh4VdxOPCrYQnrXHhVd6fzx4Vd6fzx4Vd6fzx4Vd6fh&#10;XHhVtU33x4VX8B748KtFBTvjwqs9Pwrjwq70z3rjwq70/CuPCrXpnHhVsR+NceFV4jA8ceFWmTbb&#10;HhVZ6Zx4Vb9M9648Ku9Pwrjwq70z3rjwq70/njwquCCvfHhVdwHvjwq7gMeFWwoxIpVwXwyKFVFq&#10;d/DFVZVAOKq6jwxQTSuoOKOJGRrvXFeJGxp33xXiRkab/RgK3aNWKtMjSq6RDCAlWEFexrh4Vcbf&#10;2OGqYlwtvY4sV4tQfbCBaCu+qe9cPChWW18Ad8IixKsLIkVoclTG1RbRq7g40toyO0O3XGltNbe0&#10;3FT2xpSU9t7Wm432xpFoo2pI+zjSCVBrM91xpFr0sq9qY0toyOxHzxpbRaWVOxONKCuNlXtT3xpl&#10;am1ntvv8saW0DNZinQnGltKpbTrQEfLGlBSee1O9a9caTaWyWo/aBIwEMgUBJZo3QEHI8LJLZrTi&#10;O/XIyCLpANb70KkjsMjTMFkek6KEQ3s6cQo+EdvH+GCmYKVa3fiVzHHQKppxGNKxCRAa08caSEOV&#10;p2xZIVwMSEhDOo3AwUlQK0ONKsK0GBCkQMVWdTTFVrKKYkJUytMjwqtIxpWuIxVpl22yJSFMjxyL&#10;JaRTFVh9sVWmp7YCrQHjgVzLttiqnQjFWsBQWm6H5H9WM+TKKp/zXmEyQ/f/AD8BmTiGyC3lnIsB&#10;zbG+G0t0GEbqXDbDTG125xpbdQ+GNLbYBOGMQVMl4XfJeGEcRXUGSEAFu2qZLhVsDAYqupkeEK4D&#10;JCKrwoOSpW+A98BCCuVBXvg4Vtd6Y98IC27gB0qcktthd+lMFLa7jjSLdTCAttgVyXCm2+ONItcq&#10;muFHEvKV8cV4mvT8K4rxNrHvvXCBakqnpjxOS4Qi3cAPHHhpbdwGK27gMatbXqorjwhbXFfDEClt&#10;rjklt3E4hbaocNJt1DjS26hxpbdxONLa9V33xpbXcfbGltvj88aW1rLtjS20q7740ttsm2wxpbaV&#10;d98aW13AeGNIJdx9saY8RbC+NcaSJN8BjTK2/TXEotpohTbAtrfTxW2mSgxW1vHFbXBDXFbb4HEL&#10;bYXxw0m1wQe+CQtFt8BkeELbfEDpjwBBKoF6Y8ARxK6LjwBSbRKLXHgDFGxpjwBSjY17Y8IRaYRI&#10;K1x4Qokj1TYY8ITxlFpF88eFeIoyOA9hhpeIohbfltQ1x4UGS8Wm/fBwhjxqi2gr0wiNKZL/AKoO&#10;y5KmPEqra9NqYQEEo6K0r4nbphoMVb6lXscIiEE0rpZdBQnDwBjxJrbWVD9iu3fHgC8TILez/wAi&#10;m2PAEcSPFjyH2aY8AQSpNpxOPAGNtppxruKjAYhbRq6fSlFwcK2iUsG/lOPCyBVPqDd0w8KbQ0lj&#10;/k098eFbS2WyO+PCtpRLZmpGAhlEpPc2RAr13wMkoktTU1BOArxUl0tuRXbAyEylstsTX+ORlyTd&#10;o/S9Da5l9RgfTAqfvGV0kGkRrd0lsgtLenw/aHtQ+FMLISec3MfNmNO/XAy4ylskHWuAsoytBvF8&#10;8iytBvEK71xSCh2jA33xZWoOuK2osoI3xpFodlP0Y0kKRFDXGkrCSdsaVaQe+NKtIwEK1kaV1MTF&#10;bWsBTBwBNqLig+nAYhbWDfBS21gISC4+2RpK01740q0iuNKt4+OPCgrWG30H9RxnHZkFT/mvMGkq&#10;BFD/AJ+AzIw8lLa7nLOrAc19DhS4g4QgtBTkmK9V3wgKv4jJcKt0phAQWwK5JDZXwwhIcFqd8KVV&#10;UFe+Aqv4D3yKHFB74QloIB45JVwUYgWgrgo7HDwob4nJCKrlUk7/AIYeFV3p+FceFW1TffHhVfwH&#10;vhEVdwGSpW+AxpBXBRXbGmK/icaVcqb740q7h4A4YhLuPzydK2F8a4CFXcF98FK1wHicQFdwHicl&#10;Su4AeOPCxk7iMeFjbYQHCIrbfpjww8K27gPDHhW3cB4Y8K22Ep2x4VtvjjwrbuOPCtu448K27jjw&#10;rbuOPCtu448K23xx4VtxWmPCt21TDwq2FrjwrydxwcK22AcBitrgCeuDhW2+Fexx4Vtxi5ChBx4V&#10;tTMRXoDjwrbaqa7g48K2v4DwwiK23wHhh4Vt3H54DFbcF8a4OFbXCMHuceFbXiOmNKrogrjSoqOM&#10;VxpUbGoxpBRkSivfHhQmMSDanhgIpUxijrtkVTGKLFEkxihr0HbFhaPS36bYQFJRMdpU9D0yVItE&#10;iy9jhEUEq0diK14k7YeFFopbCu3DCIoMkSlif5ePvkuFjxIoadQBhUnCAxlJXjsGr9k5KmPEm1vY&#10;mo+E9MaXiZBa2J/krtjS8SbLp9VFVpjSDJx0wfy1xpjbk03f7PH3wELxIxNNIAoK4OFeJEpp5H7F&#10;ceFIkvaxNPs0wcLLiQUthsarX5Y8K8SU3GnjeiY8K8SRXFjxqeGAxTGSTzWYaoK0+WR4WdpPPZdd&#10;qe5wGKCUnuLLY4OFMSo2ejS3kyKq1WtSfbIkNgLJtRS30e1EEQ/fHZq+FD4UyNJt5Zfq08rynuca&#10;UFIZofbvjSbS6SCta1wEMondL5IQDkeFs4kDJFTfIyGyRJCOg8Mgy4kI6g7YpBUHXbFkpMm2KQhm&#10;SuFKmY6b74qtKg4q0UHvgKqbADIoWYq4iuKqTD9eApWUIwKtpTIlIayLJawqMVWUpirjhCCsfp9/&#10;6jjk5Mgv/wCa8wErCNzTxP4bfwzJwDZjItqDXLuEW18SoB448ITxlxUZKMAvFbgKZPgCrl3OERAU&#10;rwoOGmNrwgr3wK2UHauKuCCu+EKv4DCm1yqK41a2up4YeFFtqtT/AEx4VtcY6+OHhXibWPfeuSiN&#10;0GSp6a++TpFt8FxpbbCCu2FbVAu++IW13EdsNJtsL41wgMTKl3Ae+S4WPGXcB4nERC8ZbCD3OHgC&#10;OJcEpgMV4i3Q+ODhXiLqHJRivEW+JyfCvGuCGuAwSJNlK+ODgTxOCEYRBBkuCE5LgRxFv0z4HHgY&#10;ykWxF41x4GPEWxGB44YwXib4ZPw1tsJj4a236ePhpt3p4+GttekMfDW3ekMfDW3ekMfDW3ekMfDW&#10;2xEDj4a236Ix8NFu9LjuMfDW2ileuPhrxFr0hj4aeItiOnTEwRxFv0+WxwcC8TRiA9sBgvE2sYr1&#10;yPAvEVVY1r3x4F4iqLGtdseBeIrzbgjvXHgRxFYbb548C8ZUzAR448KRK1vpEYeFk708Bigmm1i3&#10;75HhRxKgip448K8Tfp17Y8K8RVkiqe+PCniRSQ/PBS8SKSPfCIoMkakVNxXDwo4ymUMXTr0yMo7L&#10;xFNoIqGu/TK+FPEmkMVT9GERYyNpvBb71HhkuAMU2it69sIgxkUwhtN+h6YeBjaYR2dabHCIotGR&#10;2HcA5LhVFx2Jr9nthjFjI0i0sKndTk+FhxlHx6dtTgcaYmRRaabU/ZIxpjxJpBplKbVxpeJPrbTj&#10;t8J6Y0vEm6aaSv2CcICbVP0WT+zTDQVsaWa/Z5e2AgKi4tMJNClBTqMjwhUSNNp+yRjwq0+minSu&#10;NJtL5dOG/wAJHywEUglKbjTqV2PXCAjiY/dWB32rvhMBTKMkiubE7/DTBwBnxJFcWRFarX2wHGF5&#10;pX+jZJ3Eax7uabZWY0yZVFpkei2ReRaTHYV99/4ZHhtkJPNNZd7udiRXHw08TE5rU7rQ0rXIyhSR&#10;JJbm2K9j1yLMFKJIiK1G2AshslzxbnAy4kDLFX78jIWokgJIe2Q4QnjKCeKhwSjTOErKGaPINlqL&#10;IOnbFNqRRQepwrxFY6AjqeuKRJR4jAm1NxiqgwHXGkqLHtjSra40rVK4CFWuAB9ORpVMjAQoK07Z&#10;Gk2trjS2tbcY0trKUxpbWv0+/wDUcGTkzC//AJrzASvKCpO/U/rOZWDkwk4CmX9WteBXFDfEHJR5&#10;pC5UFe+WMl/Ae+KC2EA8cCFwFMVbArjSruJyUQgmlwSvWuT4WPEvEYr3wiK8S7gvvkqXiXqortjS&#10;2qKu++NKv4jthiEEuC+Ncnwsbb4DxOPCtt8B748K22FGERW14TDwra9UNckIoJXcDh4UNhD4YQFX&#10;hN8NKu4YeG1aEYPbHgVcIh4YiFIkuEVOgyXCwtv0zhEUgtiP2JyXAy4l3p/5OEQQS2I/bDwItd6f&#10;tjwLbhHjwKu9PCI0rhFXxw0q8Q/PGkEt+kcaRxO9I40vE2ISfHGl4m/R9jjS8TvR9jjS8TvR9jjS&#10;8TvR9jjS8Tfpe2NJBa9L2ONJa9H540rRiI8caVr0zgIVvgfDBStGPlsRjwq0IqdMeBV4QjHgVeoo&#10;ceBVdNzSnbAY0gq6oGNMjTFc1qpXvjSQoNafPGmVqRtiPb548NrbhAR3+7DwK36R98eBVyw1O9ce&#10;BUQkIHjgMEFErH7ZHgRaKSLptjwotHRRVxpUzhiqQMBjakptFCABkeBjaa28IqPljw0gyT63t12p&#10;WuGkcSdQ29AKDriAi7TeC1rTJcKpvDY9DSpPbCIoOyZw2Vf2T0w0x4kwi06p+yR88aYyNpjHpfQ0&#10;JOLBMYNMNfs7U74oKZLpQoDxqcUI6LSyONEO5xVPrTSyRuCCMVTyHSjTYV2xSFcaS38lcFpXrpRB&#10;/u6YCVRC6Wf5DgtWzpZ/kOEFVJ9Mah+AjCqXSaaan4TgkgpNc6ed6r374QhILjThv8P3ZM8kgpBd&#10;af1+Gu/fIptIJ9OJNAm5O2FRJN9O0JLeI3lyKUHwjbr18PbIkMrYV5huXuZWVT8ANBkBHdIkwSe2&#10;qTtuMlwsuJJJ7ahO2QnHZRJI7m2rUEd8q4WyMkhuLanjSuAxbAUokgoTscHCyS2WP2yMhQVAvHuc&#10;glBSR17YKZ4+aEkh279cHC3IR4fnjwqoGLr1x4VUmQjIyGyQh2WmQSpOu1ffFIUWXbfClQZB74qp&#10;EUxVwwFVjGu3vkULCKYClY3TAq3FXYqtbpgKrKV2ORycmwLqfq5/TmAlX4gs69gT+s5n6eAMbapF&#10;vgPfLK3YLlQV74eFK8IPfCBS3TYUDvkkcRbA8MQF4l6pU7/hkuFbVFjFe+GMUWv4DJ8IW1wQdsMY&#10;0xkdl3DJMLXKm/fCAtrwg71yXCtrggx4Ugt8fDBwp4l4Q++SAQSvWOp75KmK8RU8cIjak0uEVTvU&#10;YeBHEqCEV2JwiC8S4RU8clwLxLhGa9K4RBBkvEfiMPAjiXekPDCIp4m1iqemS4QvEv8ARPvhEQgy&#10;XCE174eEI414iYdsRAIMrb9M9xh8MIb9IdxkhABbpsRDwOS4Uca8QiuERXiXeiB0w8KLbENcHCni&#10;b9EjtjwrxO9Fu2PCkSbELeFceFNt+kw/Z/DEQtjIt+m38v4YfDDC2xET1H4Y+GFtd6VMfDC2708f&#10;DC236ftj4YW3en7Y+GFt3p+2Phhba9LxGPhpEnekP8zjwMuN3pD/ADOPAvG0YhjwLxrTD7Y+GvG1&#10;6R8MfDC8bvSPsMeCkiTfpfI/LBwptaYz4Ux4Vtr0ie2PCtr0jKmpB6YDFbVhsehwcCFdd/HHgVEx&#10;gNsceBVb6tG/WuAxpbU3swB8IODdNqBt2HbCAttCA13GGltVSHfeuPDbGRV1iGDgDC0VFHU0wcAX&#10;iTCOGnSuPhhPEUxgi36dsBxoJtN4Yq0FDg4EJvbwbjY48CCyK1grTbtg4AhP7e26bHExAQZUn1ta&#10;7jau2CmPGWRW1kDSq8dsICDMlOYLDfYV2xY8ScwabWhKk7YoMinEOmg0otMaDHiKYxaX4LXAQFsl&#10;N7bSqndO2RSmsOkksoKUHjiqc2ukbn4a+2RMqVPoNIA34HKzNIRa6SOyb4OJlS79EMf2fuwGa0vX&#10;SiOqn/P6MjxrTbaZQVCn/P6MImtIV9NJB+E5YJ2hLJtMO+1MJKCkV1pfWorvkgUMZutOIJomStWO&#10;XNiRU8TirenaCZ5DNIh4KCRWlK1HtiCgmko8wSg1t7deKoaN9xyVWvEXl15Y1LDfrWuExATGTG5r&#10;OjGuCmdpJdWnX55GUbCgpDPbUrkOBsBSK6tq12PXIyjTYJUkM9v12OQpmJ2lM0A98hMbMwUtlhA8&#10;cqpOyAeP2w0zgd0HInti2WhHQ+GAqChiPvwWlDutchM7JQrp+vK1tSKV64pBUXQUxZWh2UA4VBQ7&#10;in34pWKKnAVWsO/vkUKTdcVWt0wUlZjSuxpWiK4kK1SlMhkGzYHf9U8wK+9kieNHenf+ubDTfS0S&#10;XAeOT/iYrgvhkkrwpOSiN0FcEpk+FCqEwgKqKnhkqQqBDXviAglcE8a4WNruA8clEWUErlTfbLOF&#10;C/gcIiq5UYnph4VVViJO+PCpNLxDjwo4lUQnwwgIMl6RGu47YaY2q+iMlEKSvECjffJ0i1wi8ATh&#10;AW16wkndcNLaotvv0wgIJXi2+eGkcS4W/wA8IC8S9bcV7j55LhRaoIB8/lhEUGS4Qexw0jiXC2J9&#10;sIC239V98lwra9bTw3xAQSqC0NehyVItd9U9jhAW3C19jh4VtcLWp7jCIra/6oPHJcC242vHeuPA&#10;gyptYN+tfljwLxrvq9exwiCOJ31anY5LgXicLfwBx4F4m/qx/lrjwLxO+r0/ZpjwLxNeh7HHgXid&#10;6HsceBeJ3oexx4F4lrW5I2x4UgrfqxwcKbaNse1ceFba9Ajcg48K270eWwFPnjwrbvqxHvjwra0w&#10;U6jAYJBW+iPAjBwJt3oV8ceBbXC3p1rjwLbfogdj9OAwW3ekPDI8C2uEftjwLaqicTjwLaLj64JQ&#10;W0YoB2IyHAtqot0IqAanHhW1FrQE9DjwrbX1SnSuPCpLa2prvXHhQiI4OLb1x4VTOOEUB3x4VTCG&#10;EEjrjwsTsnMFuNqY8COJO7a2rT5YDGkGSf2kBBAp2wUx4mSW1uaA4CEEsmsrOpHXcZHhQye2stul&#10;cEhSlkFtY1AotMgxZBbaedtq7YkpT+20yv7JO2R4lpOrbSd/skbYJFICe2+kUpSvTIWmk6h0jYfD&#10;kZSpaTaDR6HZeuVGa0nUOkkihGVGTKI3RyaMOtCfux42dKo0im4WnzGAzWnHSSf2fuGR41pSfSTT&#10;7J/z+jCJoMUG+lH+U5MTY8KVXGlGh+E9csErQYseudM6/CR75ZGSKY1d6V1+eTtBCTJoMtxLTj8P&#10;fBbFZq1uunWxghFGr8R9qHwpkgWJeXX1p6jM1KE7k5aEMTvNP+0aV9snVpDF7uwFT8PXDwsrY3d2&#10;dOi98jKKgsburQ1IochTYCx+4tqE7HIzGzK0iuLbrseuV0yjJJLi269euQmNm2MkolgPfplVM7S6&#10;WGnjgITGSAkj9siz4kE6V2pgKRJCNAASd65FPEoPF88BFsom0LJGKd+uQ4WaFcAD6cSKSEK3TIpQ&#10;5FTikKDDauFKlWhwFVh6ZFCmVPXFVjAgYqp4q7FXYlWj2+eQycm2K3/qnmv/AFskxKAEkdT/AG5s&#10;dKLi4k5kFsLXLeH1I4jVqqxZPhCPEKr6dN8lGNFeMlwTJptWWOuxr9GFBkrCOm4rXFHEW+DYQLYy&#10;kqCJh2w8IY8SosLHqMnjiLXiVltyD3y7gC8SuLfvvviIhBkqC3HWmHhRxr1goemPCgyVvQr2x4WP&#10;EqC3PgckIoMlSO2NTsemHhRxFV+rHwIyUYoMiqpa+IOSpHEVVbXfocMYoMyqC2I/ZOT4Ax8Qrzam&#10;nTCIBTMr0tD4HDwBjxlVFp7EfPJRxheMr1tN+nL2yfhheNUFpT9imPhhTNWWz9jj4YRxleLP2w8A&#10;XjK4WX+TjwrxlWFmB2pkowCDMtiz8MlwBHiLxZE+304RAL4jf1D3yfAE+IuXT996nCIBfEX/AKPp&#10;0X78lwBHiNiwr1TbHgCJZG/0cvYcffHhY8ZbGn+G+GMAvGV31Ajtk/DC+IXfUa9vux8ML4hd9Q9j&#10;j4YXxC19Rp+zXHgC+IXfUv8AJpg4AviN/Ufb8MeAL4jTWFR9mmPAF8RZ+j/Y/h/THgCRkWtY0HfH&#10;gDLxFgsa+OPAF8RabKnYnHgC+ItNnX9mmDgC+Itay2/oceBfEUzZfP8Az+jHgSMiz6pv0ODw08bf&#10;1Sm+PAvG0bbbBwBPEsNr7HHgCiTX1X2ODwwnicbWnQHAYBPE0Lc+GDgC8SosTDoMBgCgyV0Vq7jB&#10;4YY8ZRcdR1GCWMLxlGxUckU7ZDw08ZRi2yPtvjwBRMrvqNelceAJ4y76gffHgC8ZV0tSNjsPHHgC&#10;8ZRsUIB8cRAIMrTm2jNQKdsPCxtkNrFv07YJQBUlkNrCKjbtkPDDG2T2tsCF2OPhhBNMqsbb4l2O&#10;RMAEcRZbZWfXY/LK5RCiVsrtLEHj8JOVSFJZRaacCBRD0yolIZRZ6Z0+E7jIk0yAZHbaSDT4CTTK&#10;pTZiKf2+kA0HCmVHIQnhT230cbfD2yuWUpELTmHRwKfBXKjlLLwwmsWk9P3eV+IyjjCPTSiBUR4+&#10;Iy4AvOlk9Y8BmvAGhpQHSPBxrwBTfS9vsHCJKYBLptLIGynLBJHAEon0s0NVOWcdMZY2OXel1r8B&#10;O+TjlLWYsdn0cueKxnc5Z4hLHhtQutOjsrY8QRLXqfllkTbEwp5nqtrJMXZwSctAprkGF3dhTqmX&#10;Bgxa7svtfDSuWBWLXllWux2wqxa8sxvUHY4CkGmL3loNyAa1yLYCxm6teux64DG2SQXFt12OQMKS&#10;CkVxbddjlco22gpNc2+2wPXKjCmYKSzwkDp3yHDbMbJa8JqajAYgMxug3hoe+VkMiKQzx0GRpFoK&#10;RRv7YExkgZl2+nFnxlLpB2yMuTKErKFYdsrbFEqKn2whVB1HTDS2hnFMBCQVlcFJaY7Y0qmx2xpV&#10;M4CFW4EOxKtHtkMnJnEtf9U81/62dp16W/0kfcc2Wk+lwsv1KscIJPXLhzU8lcRDJsFT09hhit0v&#10;WIHrXJLxKvobbVyURZQZKyQGvfplnCi0Qtv3ocIixkVcW4p0w8LC1UW4G9MlEUVtWWAHbJraqbcU&#10;2rhCDJeLbtQ4UcSqtp8xiglXW1+nFFq4tiB0OEIJVVt6HpkkcSsttXthCDJWFtQdKfPJMbVUtd8l&#10;FBKuLSuTRap9U6bVwhBKqtoT+zkkWrCypvSuSjzQZUqpaUNeOWMeNX+p17UxXjVUsvDfFPEqCyPh&#10;ixlNv6n7UxY8aslj4jl7YYoM1/1HwQL75NHGqCyI3oD7YQvGqrZA/sZJeNcLEfy0wheNcLHfwyS8&#10;aqNOB74oM2zpy/63tix43DTgD9mnzyUV4131AeAPyya8bjp48OPvivG1+j/c4rxu/RwPc4RuvG2N&#10;OA/yvbDwrxuOnjsOPvjwrxrTp3vjwrxrTp3vXHhSJqZ06u3hjwsuNZ+jtzjwrxqbadXHhXjUjp1O&#10;oqMBC8aw6f8A5OCl41jaeadDjSRNDmwNehxpPGtOnmnSuAhImsNiV3C4KZca02h7in0Y0kTWmz8K&#10;nGk8bX1M91OAheNY1lt9k4OFPGtFoV3oceFeK14tq+OPCtrvq1OxwGK2rxQ8T4VHXBwraYRR0pvX&#10;ImKQUyjiqBkeFNo6O0DeNcEhS2rjTyegrkFtVSwZT9jFBKZQ2jLQlaYotPLWDf2piUEsitbfcUB6&#10;YEcTK7G2JpsemKLtmNhafEuxyuSszsLKppvvlU0hmVhYd+vamY0yyZnZacaKQpJpvXKJSTEWWXWW&#10;mk8aqRXKpTbhFldnpdKmle2UTm2xiyO20uoFUPTKjNnwJ9b6UKD4MqM2UYJxDpY/kIyqU2fAmcWm&#10;0/ZNMrM08KNTTx040yPiLwrjp3gK4DkXhWtp232Tg8VeFQfTq/snJRyoMUDLp2xqpy2ORHClE+m1&#10;B+GmTGS0cNseudMIJoKmvTLBJjKCXNpojBkZfi6AZZGbWYMG1i0aUuKdD2y+E2uUWBX+mk1qKAjM&#10;mE7acg2Ybfads23TplwLSw2+siD9k75dE2rEbu03YcTTJqxS+s6g0B64oJpiV3akFgRjSQWNXdoD&#10;X59sNNoLG7m1pUUORIZhj91bEV2PXKpRbEkltia1ByshmEqmtAa9cqIpmSlMtsFJrWmVySClMyKO&#10;mVs7SuXfb3xpCXyjrTucjJIQUi7HIskvlUZEi2UTRQbr4ZHhbOJQI64apINqTKCcUoaRBT6cBSFL&#10;h44GSm48MVUyDTpiq3jXrgKrCKZFDWJUupXIZOTKLuI/5J5r/wBbNlPpVJXsCSPvzbYYCMLDg5Zb&#10;q6Qj3yyIvdiZGlUQ798nTHiKr6Gw64QF4rVFg774aRaISGnbJwG6CUSsQ8MsRauIum2EMZHZVEVO&#10;2Sa7VVh5bUwxUmkQlucmjiV1tj44o4lYW5HavyxXiV47blsVwhBkiVtgu9KYaCOIqwtwwAOEAMZS&#10;KstoPHJUGPGUQlmPHCKQZlECzqOnL2w7I4yrLZAblMlGkcZRC2Xgh98lsvEVYWX+QRhsMZSKstmR&#10;vxOPEw4irC0J/ZOTgRaDIlVFixpRDluzG1dbB+pTHZIKsLFuy098dmXEFZbB69PoxFIlJWXTj1Za&#10;j2w7Ndqv6PoPhQ4RSCSvXTz3QnJ2EWVX9HmgolD74QQjiKounsO2GwvEV36PJ/Zw2F4iuXTmrsgx&#10;4gvEVUac/dB9AwggsTIrhpzdlphY8RXfo5v2htkoqZltdNNfhXfJI4yv/Rr/AMoxtImerv0aw6qM&#10;FllxNHTiP2K/LJRJCmbhp5P7FPfJcRRxt/o+n7NceIrxtHT9vsHHiK8RU/qB/kx4ivGQsOn0340w&#10;8RXxCpfUP8nBxFfEKz6hUn4aY8RXxCpnTqdq42UjISpmxrtx+/FlxNHTz4AYQvGotp5HavthoLxr&#10;DYGn2fuwEBImotYeKmmCmXGpGxH8n34gAr4haNh/kgYeEL4pWnTx4f5/dgMQkZCt/R/0YOFlxtNp&#10;wI7nHhXxCpnTgOxH3f0x4V8QrW0/YUr1/wA+2PCkZCuXT/8AJJx4QnxFT6mw6LTBKIKRkRKQSCm1&#10;BkOAJ8QplBExNCNqZGWMUkZE7t4egPhkPDCeNNobFGNRWv0f0wGAUyTRNOUgfCTg4Qx4kyg04ClE&#10;ocBiFJTmCyYU+HI0GNsosLRqrVaVGA0vEzOws912Ox2yqRZg2zjTrPcHiSfA5jTls2xDPNO0/YEL&#10;udzmNOTYIAs707TyeI4npmLOTZGADNLPTq8PhyiU20QZVZ6cP5d8x55C2xjuya10/p8J6ZSchbRF&#10;O4bAdCpymeU0zEE0isQP2TlRyFPCmCWQNPhyJmV4UQtivdScjxFeFf8AUV7Lv74mS8K1rLb7OC0c&#10;Cg1pT9nCCvAg5bLkPs5MTIRwJVNYVr8P35OGQkpEErl0tKlih/z+jLxNjKLHNSs/hIVKb/wOWxm1&#10;Siwa9001clTXMiEmoxYbqWm7fZOZOObVOAIYNf6dxDnjmTCVtBxhhGoWXGp45dE01yjTC7+zr2p3&#10;y0Fiw69s92779snFBFsPvbPc7E798nSgUxa6tTU0WmAhnEscubUkn4cDYDTH7q22Ox65CUWQmWPX&#10;ESrWoOVSi2RkkdwF3plZjbMySG5WtQPHK5QCQUiuI6V+eVGNM7SeVKHI0m0DIuCUUgoGUGmR4U2l&#10;8i48LKJtCMNzkSGakyDvUZWSWUVBlHWuRssrUHUYm0gqRUUwMrUGFMIUFYRXDSVjCgwEKoMd8FKt&#10;rkJ7IK4Yzj6bZRb/AOqea39bNnIhFdupqTXNzD+7Dr8vNWWKncZOHJieSusQr45JiiFiqOhwhVZI&#10;K9jhSiBbexwg0gq6W3zGHiYopLWuESYy5IlLQnoK5LiYIlbJ/wCWnvkoy3YlELZMOor7ZO2KKSyr&#10;+wcbVEpYMTQIa42qMj02Q/s0x4qQUWulO2xFfbBxoRUWjknde2ETUoxNGPZN/fDxopFJor1pwGET&#10;QQjI9DfqE7ZLjRSLGhSkD4cRkWkTFoMtT8PbJeIvCEYugSHbjj4jGUdkSvl16D4a4+I18Kunl1z+&#10;yf8AP6MMcqCEVH5clrshrT/PtkvGRSKXy3L3Q/5/Rj4yDG0Qnlpz1Q09/wDax8Zj4ZRUflk1+zhG&#10;ZeAhEDyyxGy5Lxk0rR+V5CfsV2x8ZeFEr5VkPVCPo/sweOvCqjynIQKJ9BGEZ0GKqvlKTvH+GS8d&#10;HCrL5QftHvj46eFWXyhIN+BP0f2Y+OjhVl8oSf77/D+zDHUUpirr5OkP+66f5/LJ/mmPCvHkyQ/7&#10;rr8sI1QUxb/wW/8Avoj6P7Ml+bDHgd/guT/fZ/z+jCNUESgsPk2YdIj939mS/MhhwFYfJ0wG8RHy&#10;GSjqQUGBUz5QlOxiY+1P7Ml+YDHgKmfKMo6Rlfcj+zH8wGUIkFSfypMRTiPuw/mA2Uhn8qzAVp9w&#10;/sxGoDGSGfyxKOqmny/syX5gMFA+WnFaIR9GSjnBVQk8vSKKlCa5LxglDNoLCvwEYDkBW6Q7aG3d&#10;Pwwca8Sh+hmqRw/DJCaeJQfR3B+zTDxLxKZ0px0FcPFa8Si2lv3XG0cag2mMP2cIKRK1FtOPddsN&#10;srUjp/YCmEFeKln6PJrXCvGpmxatABikTtr9HsetB8sU2tOnkHxxXiXCybuBivG2LKvhgKRNVWxr&#10;t4eGRTxIiKzoelMBSJJjDbkHcimCk8SdW0O/Xt2yMuS8Sf28IBB3O2VrxMitbRWpQb0yEzsniT6H&#10;TeQWg+nK7W2RWmmEcKA5GcqCQWW6fp5rup2zGnNuDOtO0+lOu/WuYs5t0XoOm2BAXau2Y05t0Wd6&#10;fYbDY9MxpzbYc2a2Fh0qDsMxZzb4xZZZ2A/lOY05NgDIYLIAdDlRm2gJvBZ1PTtlUpM6TCOzHhkb&#10;Rwopbeg6YCWQiqiGu1KYLTwrvQ+eNrwtGDbcHG14VJ7YU2GIKDFDPb9fhyVseFAS2gNdt8IkkRSm&#10;e2bcU+/LRNiQx27sa1NN65ZGbVIMWvtPorELmTCbXKLC7+wqD8J2FcyoTaZBg2p6dVWBFO9cyYTa&#10;ZRYDqWnDcbn5ZkxlbTkFBgmpWHHopPzy6MmlhV9Zdfh75dA7qxG7sd22OWqxW7slHLriyixS6iCs&#10;wI2xpkxa8QbkDeuRkEhiV6nX55WQyBY3cx9fnlZi2A2kcyEE5WQ2BJ7hPbvlcotiTzpT78hwqlki&#10;9cBikJfInXBwskE6bmuAxZR5oN0AJyBDNRdRQfPKzFIQ5QdN8jws1B0FK74DFQh2AyPCyQ8gw1Sh&#10;TAriyWtuMBVRK998CrWBAyvJyQWhkp/Syi3/ANU81f62b05bWhrQkDbf6Dm1wT4oUXXZOaKS1B/Z&#10;yyMqNIPJGx2Vei703yfExRS2Ln9nHiVFxWD13TDxpRyacx/ZpgM0FGx6Wx/Zr7ZHxGKOi0g1/u8k&#10;MiJBMItHNahKbZLxGPCj49FZu2IyEIMUbFoTA14E7YfGKOBMYtDb/fZ6f59sfGK8CPj0E/yEf5/L&#10;HxivAmEOgGu47Y+KV4Ewj8v+C4PEK+Gj4vL5rXhXE5SFGMJlB5e3/u+2DxinwgmKeXB/vs/5/RhG&#10;YoOLuR0Xl3/IIyXjFj4RTCPy6DQcMfGPkvho6Ly2AamMn5f7WPjHyXwwjk8uJ19M/h/THxig4wjI&#10;fLqEkGI0p/n2x8Yo8II5PLiKaiKv3f0x8Yo8II2Py6n++j+H9MfGkvghGR+XE/31X50/pic0lGII&#10;2Py0h6w/gP6YPHknwwjU8rx/74wxznqg4gUSnleP/fAyf5j3MfAj5oxPK6DcRUyMtQei+CAjE8rp&#10;/vrl7ZHx5I8MI2PyrEx+KGnv/mMfzEkjECjU8pQ7UiqfDb+mH8xLyT4EUdF5PjY7QU29v6YDqZeS&#10;+BFHx+Soz1hH4f0wfmpeSPAij4/I0JAIh3+j+mA6mS+BFHR+RIj1g/V/TI/mZMhponvRcfkGKvww&#10;CtPb+mI1J6plpY1taLX8vYz1g/V/TD+Za/yoVP8AlXcdPht6n6P6Y/myF/LBv/lW6HcQU+gf0x/O&#10;ny/HxT+WDf8AyrVT/uivtQf0wjWy8vx8UHTBY/5ZKRtb0PyH9Ml+en5fj4o/LxQzflgp+1Dt/q1/&#10;UMkNbLrX4+LE6ceaHk/K2Om0Nd+nGn8Ml+cLH8sPNAS/leKfDb718B/TJR1htB0oPegJfyvPH+4p&#10;v4D+mT/O/j8FH5QeaAl/K402hHXwH9MnDWbsZaUDvS2b8r3p/dDr4D+mWfnGH5dLZvywkA/ua7+A&#10;/pko6w3tTGWnpLZvyzlA2t+/h/Zln52Xl+Piw8FLJvy1mH+6Kb9h/Zko60+X4+K+Cls35cTAV9En&#10;foQP6ZYNWUeElkv5f3A29AKK9aZL82R3IOJLpvIdwoqY67+H9mEas+SPCS2TyROaj0jQf5+GTGpQ&#10;cZCBm8lTKN4qf5/LJjU2iilsnk+YH+7P3ZMaj3IkCEI/lSZN/TP3ZMahhaDfyxMNzHT6MMs+2zIF&#10;Ct5elXqn4ZEZyy4kM+hTDov3DJeKUGSw6JIPtqafLCMpRakdIYfsfhkxK14qaXTGB+zTbCnjKoNN&#10;INSMbXjKsthSnwnBaeIplBZU6KRkJnZeIpzb21KdaZWvEWQWsZXjtleTkyhI2zGxj5Ku2Y5NNwNs&#10;ysLUMUqDlU57MwzSw01WpQGtfb+mY05NsN2cafplKfCTtmNOTkAM+07Th8IKkfLMWcm2IZvYWA22&#10;O3+fhmLlmQHJhHdmFnZgAUB6ZiSmXIjFk9radNj0ymci2RincFtTKTItoimUcFN8r4jbOkUsI98N&#10;rSJSIA71wEpAVBGvYZC0036Q8MbWlrR7bDG1pSaKoyQKCEO0VOm+StFIZ4utRhBQl8tsp7VywMSE&#10;lubUGtBT5ZOJphKIpjV5Z7HY75bGZaTFiV9ZVDfDmVimSWswthGpWINQQcy4SapQee6lYmr/AAUA&#10;FK5kQnTjzgCwXUbCu1DmTCVtRxgMFv7PiWqNq5lQ2Y8IYTfwAchSm+WgsSGB6inEkivXJx3LEFhF&#10;8u5PvllMrYndinLIyijiYxexgg/flRiyjJjdxHTx365DhbIlI54+uRlBtjJJZlrUUyswbYlKJ461&#10;rtlZiySuSLavvkTFbS+SPxyBFJtASJ1yLKB3QLpvvXIkNlqDIPfrlZW0OyjrgTxFDuopTAWUZIco&#10;N/lkWdqDqNsElBUmBA2yFllamRQYCVtYRtgW1hXIT5ItTNRk5j0s4r+A9/7vNXX3s3u8OnV2Nada&#10;n7sz9MfS4WUbplHpg7AnJcXqY1smEOmmuynph40UmUWmEGtPox41pHxaYD1Bx41pMo9KUDdSf8/l&#10;h4rQQmMOmqD9jthRSZRacP5aYgoIRqaeB1XDaKR8Nkg/YHTG1pMYrNSR8NMbWkxisl8MbWkwjs07&#10;jG1pHxWsdacR0xtaTGK0j/lGNrSYR2sfYUwEoIRsVstaDBaE0itVG+EFlFMYrWOlSK4bZ7I6O2i/&#10;lpjbGQBCNjt0/lpjbXwo1bdKA0yUTugxV0t18CMmikXHAgNSCdsUEI6ONKigxQmMUMZG4p8sBUJl&#10;BbxsdutMiypMktFORktIhLVK71pkN1pFpbR9KVyUbQQjorSM9qbdsmikWlso9x74pAR0MUYOwFaY&#10;ppOoLdKA8dyMjI7LSbQ2yGlVyHEtJzBaQ0G3bIylskBOraygO/HentlfGzATiHToa14bZDJPbZti&#10;E0i02H+T9WUeIWXCEfHpUJP2P8/uxMyvACjk0eD+Sv3f0wcZXwkQmiQHolD9H9MlHIQg4lVNDir/&#10;AHdfu/pk/FY+ErJ5egJ/u6ZGWUpGG1Q+W7cjdAcj4xT4CHfyvbHpGK/R/TEZivgId/Kduw3iB39v&#10;6ZLxyvgId/J9tTaH9X9MMdQQxlp0I/ku2b/dNPu/pk/zJYfl0HL5ItqbRfgD/DJw1RBRLTWgpvIl&#10;uy/DHvXwH9Mt/NsPyoS+TyBER/dV9tv6Y/nKQdKEul/L6NqgQCvvT+mTGt80flQlcv5cIa84AR2o&#10;B/TJ/nfNB0oSu4/LeOnw23fwH9MMdb+PwWP5UJPP+WcZBrbdPYf0ywa3z/HzRLSpPN+WSmoFtx96&#10;f2ZYNYw/LJPcflhTpD38Af4ZP8415NLYSi5/K9iv9yw3/lA/hlkdY0fkykVz+WUgFBETv3p/TLBr&#10;fx+CxlpCAk9x+WctNoO/h/ZlkdaPx/aw/LFJrj8tZqbwkAHqoFf1ZaNYCiWnKUTfl3OKgxNQdP8A&#10;OmTGrDHwClM3kK4Uf3PenTLY6sIOGkA/ke4HWKnvT+zJ/mx3seBBSeTrgbGIkD2x/NA8l4VBvKky&#10;0/dkU70x/MLwu/w7OoA4V+jAc9rSvHocwpVCB8sHirSYxaRIKDiRTIyyWkBktjp0mwp0GUym2xZp&#10;p1myla9hlM5s3oGl2prt3Hf5jMWc22DP7C0J418O2Y05uTHdnmn2YomxOY05uRAMysrQU6HMTJOw&#10;5MAym0tthsemY8i2xZDbQUAqO2VktgTRIgQB0ystwRSR0HfKxzZdESqZJCsq+2RLILwu/fIsl/EY&#10;qtZQRiqmybdMIYlSaP2ybFDvGD2wWpQckQG4qa5OMmKWzQBq5YCghILuDrt3yYLWQxW+tQVOx3OX&#10;Y5bsOFht/ZDc77bDMuE2mYYFqVmPjqOpzJhJx5hgGpW4+IUOxzMxFok851WH7Wx2OZsCwefalFuR&#10;Q775cGB5PPtUhG/X7X8DlsObWObBL6ECvXrljJiV3F9ob40gsbuYvtfLISDKLHruILQiuQ4WyLHr&#10;lOuRkG2KRyoQScgQzBSqYbmoplcoptLJVAG3jlZDKJtLZkrkCGSXulK1yPCyjzQMqA5CUWxBOuVm&#10;KqBUdDg4VUWUZGQoMo81B0HvlbYhpE8PHGrUKNN8HCyUyoOCQoKsZQBUZWqmfbIzVTYVG/iMlP6W&#10;cVTiP+Epmr/WzfU8NpHsKEjfw9v65fp5kBxcvNMI7aMdqbZdzLE8kbHCgOSpijURMBUIxEXamDdN&#10;JjEq0FcItSEwjVBkrLGkVGQTToKdsMSSiWyuCvSuTphaIVh2wgLaNienXDwraPjkG2EQtbRqSDbf&#10;JeGFtFxygGtcfDW0winHjj4a2jknApQ4+GxkUTHcb9cIxBhaZxXFaYThAW02gnr1p0yPhLxJrFKp&#10;226YPDSJIsOOx3x4E8SLjY/PDGFLaOUEgEdcnSqqLITuNu2IiwmdldQ4O4yQgC12i45WG2SOIIMz&#10;FMbe44nenTI+EF8YpnHedgR0x8IIOcokXLL8RoRj4YSMxRsVyX3QfOuPhhPiEpzbcpB3rTtkJRAS&#10;DaaRoR1UntvlVswUwgt1c7fAQK1wp4imcEciECgIp1x4RLmkFP4oVKruQe+QlABKZQRtWnYDKpRt&#10;IT23jUAUJrlZgyCdwHoMrMWxO4VHEGpyBiFpMohQ5GmUTRTCM7DDwhnxlFod/DBKK8aNQ7ZDgXiR&#10;S8aCuPCyjJEBVoCBXBTO2wq13XAQtrwinoKHAtt+mB16Y3SLa9KMnxx4ltTMSdaY3a81phQ7ED6c&#10;U0Fv1aOuyqTjSCAsayiPVR9GKOEKR0+Gmy4bKOEKbabCR9gHCJELwhDvpELDdPup/TD4hQYhCNol&#10;uf8Addfu/ph8WTHgCFm8vWxWoi3r/n0GSGaSDAJfJ5btz/uquT8eTHgCWzeVbc7+kBv3A/pkhnJ5&#10;sZYgUvl8o25G0YJ+WTGYtZwRSyfybC2wiFa+39MtGchrlhCVT+RoyppECe42/pkvzJYeCEnl8gxk&#10;V9EdfAf0ycdUWE9OJBKp/wAv0YU9AdewH9Mn+ZLX+THmk0/5eLvSGhr12/pk4asgsZaQeaTXH5eU&#10;qRCW36AA/wAMt/Ony/HxY/lY+aVv+X7VP+jke/GmThrTfRjLSgd6CfyGwJ/dEfd/TLfznuY/lwh/&#10;8EOD/d1/z+WA6u+5fy4RcPk+RT/d9P8APwyJ1JKRgpN7byw6MPg7ZCWa2QwsqstCdKfBTbKJZLbY&#10;4qZlY6UwoCKUHXMbJkoORDHuzSwsGHGvQDMaU7ciMGW2loaU+nMfJPZujFkVtb0pt2ynittjFOI4&#10;yB0yEpU2xgjI1p2yHEzARKrUUpgCVULhVeBTBJbXgV2yFra7gcbW3cadcbW1jKKZKK2pldsmhSZB&#10;74FQroKYhaQEiUrQZLiWkouoAwrv1yYkwkGOXduBXY5dCW7WxK/txRtu++ZMC1TYDqduDy23rmXj&#10;O7jSjbzvVbb7Wx6/wOZmItE4h5rqtts9dh45nQk0l51qdv175kRLCTzvVIevXr/XL4c2sc2B38X2&#10;tuhyxLD7yPc7dd8QkbsXu1I5YSGQoMeul2FcjwsgWPXC9fnkZRbIlI50qTtlfCyJSe4j/XkCFBtK&#10;5UysxbI80BImQlFsQEq5Ckg0gJI65EhPEUA8dD3yshlGVodkyNMkOy4DEFkCosvXKzjATaHZRkap&#10;kCpGMdd8U2pFBXbIyFrai6/rysxTaiRTK5BbW0r18R+vJ5BUWQK6n/Ec1X62y31hDIoA+n+GX4I7&#10;ONl5q5nBFBQUzIEd0HkrRzCu/SmTpgiVuFrg4UXSMSYEDHhXiTCOXYVOEQQZIpLnelR0yXAi1dLj&#10;ftk4Q3QSrfWQp2yzgYq63RNAKVwiCJJlC7sMlwMLRSzN0HUYYwW0QLkgU2yfCtqqXe+52phjC0GV&#10;JnbTq5FG375PwmPGnMTU3JqKZGWNHGjElTbfGMF4kfFcoKVpkzBeJM47pSPhPTr8sj4S8SZ2sxkP&#10;wkdOmQyQoJBTyBCaV75VSbTmCIBt69MVtMY+tKCmBbR0fpmg8N8IYyKL9OJvirv0pk4sEFMUj6HL&#10;4RssMh2QX1hxupHX3y3wmjiR9u0krKK7k9sfCSCy2wtg/wALsCf5coyRptDJodNAFRsKe2Y9tkRa&#10;fafppDcuq0ocqmW2MWXwaZGyCgHuTvlBk2UixpcQHifYYOJHCqfUgBRQdsMZJqlJllipQd6b5YDa&#10;q8EkhagO4FaYTBBNMhtJXKjkBXKzBMSnkLNsQK/LKpRbAU6t512VgR75VKKbTeHeh7ZClBTCNajA&#10;y4kWiEnrjSQbRKK1aE7YOFkjEFdjkZDZIKLjVhUjfbIJ4lVCrDcGuArxLiCDQU+eRXiap4nGrXiU&#10;yWU7DbDwp4m6g/PCIqCsfoPnkuFlalzA9seFBLvVA6nHhY8TRlB2Bx4V4lvqEdDXHhXia9U99sRF&#10;Bks9Q165LgRbTSVHXHhpbUg++NK2SOpyMgqm5Sldj7YBEsZIUiJiagZbwlhawpEK7VrjwleILRDA&#10;37APzx3CQQs+pW7EkIAceIstlBtKhbf0wa4DMhBiJIdtEtzuY8HiFj4SEk8vwdRGd8IykKcNoVvL&#10;MD9I6nw2/ph8co8BDt5Vi7RAf5/LJQ1BtfAUm8qou4jr2oP9rLPzK+A0vlda/wB0fw/pgOoQcFI6&#10;Ly4qHeM0+j+mQOdlHEmkOhLUUTKzmtsGKk8ttJC0BToMrM2wQTiKw4gfBSnhlUpNgimUVsRtTK+J&#10;mAjUgPhtgJtnSIWH55FKosW/fAVVPS8a42hsRgeOC1XBK+IxVxQDucVW8fDfFWiCMlFVjdMmqk/T&#10;FUOVB29q4qg5VAxVLphUHxyYYSSO8ipt3O+WRNFrYnew1qKd8yISapME1K3AL7HMrGWiTANTgG+x&#10;33zNxlom811a3FHFO/8AXM7GbLQXmepwAlvhpTMuLXJ5zqkO7+2XwaSXn+oxUrt1yxHEwq9ShPtt&#10;k4jdIkxS7jrUZPhZcTGruP7hgMUxkx6dNzXpkCG0FJZkAJyBDO0rnUb/ADyuUWcUomWv35WQzBpL&#10;5F65EhNpfImQ4WUSgmWhOQlFkg5ErlcgkIRk3yFJtDsgH8MNJBQ0ibZCUWXEhWWmVmKRJTYbdTg4&#10;WVqPEAn7sBimJWMoOQIZod0FNq5VIKp8aU+Yw5PpLMLuA9/sVzUfrZvpZZ6dx3/h/TNhixgQtxMk&#10;t1VZxXqDl8cYItBlsiFnFOoyXhhrMyuFxQ7EYRjDHjJRkN2QR0w+GvEm6XPwV/VhGNBk5bs/LJjG&#10;GPEiIrmrb77dsmMQCOMog3AqMsGMLxlFxXCAg1qffE4wBaDIlkdpMJYxQgHIEMVd5uFfh+nGG5QT&#10;SmkvM7mnyy8RCOJUJ40oa18csjAIJtMLZmB+Gmwqa4SEJ/BckjtsMgRaqnrOD7YiIVMLeWp38MJ2&#10;Up7bKW6DtkbRad2qsrdaCmRkOLYpBpkdtII6MWrXahyHgheIpj9dpQLT6MfBCJTIbS9cnsMI08fN&#10;j4hRI1EbLUA+IyX5aPmxOUoyPUKUBIqfnhGCIR4hXuyz/tbe2WwgIljKRlsVNYaGleQ61GWsOFMo&#10;aIpKllYCoP8AmMaQdleDWzZmsgJNeoyR0okN7T4pZrpvmaK5jACGlN8xJ6SMe9shmNsx0/V4lAIL&#10;HavE5jT08fNvGUslt9aZj8AC7b5izwDzbRlJTeHVi9Fb4sr8AeaeMpgl2pO42IxGEDvSJWrFFlFV&#10;I+WTEaZWp/VXQ80NT3GTtid01tGJ+EqVIG4OVyKAaZBAem+9MrItnEplGa0rkDAMk7tSSVA8MpnG&#10;gkJ1CB9IypKYRJXp1IxJplEopIwT9qnzwiTO0SITSoPTocjPlsgypEwEdGPxD9WVUWPGrSKlAykA&#10;16YCCvGgpJyvUD54iNrxoZr0DvlsMdrxuW8VjQkdO+T8II8QrhcJXYg+IwHHTKM7KNWL1VqCCOtB&#10;kCKbOJBTQsm++MdzupKCLPWhyfCGNrFlcMelMeELaqJVY8a748KLWM7VIHQYRGltSMhrQdTkgEW2&#10;XIPFqe1MMobKTSlIzL32wCFo4lITVNC3TJ+EgzpTluERd2w+GxORBC7DE0NflkxBhKVrDcVPcfPD&#10;wBgqpcU74JYwyBV1uANy4pkPCCbREd5GTx5b0rkZYhTZjlRRHrKR9on5ZTKNN4mvEiEb1yo2y4lR&#10;WjG4O/TI0kSVo/TJ+LEhlaICQn7PXAqqsCE4EFEi1Sg2rkSUgIqK3QH7PbIcVM6RKwDsMByFmIhF&#10;pbig2ysyJZGKJS3Hga42hELAOhqAMBLIbr/RXtXBxJptYd++AyXhbaKg2rgtPCFnpnG14Q70zhtH&#10;CGmj2xteFTKUxteFaUJGEFeFYY9t6jJ8S0osnbCCghQKAHv4YUISVAfHrhUICRKV98mGJCTXikr8&#10;tq5MNVMXuVJJ2y6BaphhupQg8jTqaZk4zu0Sef6pDsaV2/tzNxFx5vONTgqXBHfM3HOmgvNdVtwO&#10;ex65lwmS1yeaarB9rMuB3ceRed6lCSab5cxYNfw0J69ctgBaQxK6iAJ69cspLHbqIUJGCQpINMau&#10;Yuvzys7tsZJFPFSvXIkNgklM0f2sgQzEkpkTr88gYsuJASplZikG0vkTIUziaQLp18cBi2goSRKZ&#10;WYWmkKV3Jp2yJgFoKDqDkaXkhXTbIELaDdMrISCoMmCmXEpcBU9cBDKMlNl7jrlZDLiKiy7ZHgEk&#10;xlazgDTr1yHDxAgpEzbuI/4Wma/wR/snIe7ick70/wAzmdjH7sOFk5qol98ugPSp5K6ynxyVNRXe&#10;tkoxaxzRcUxBHTJ8DJOlmPpA1pXwx4EFTEx7Gu/fJRixRUUjjcHtllIKJEzk7nJAIRMcjA1FOm9c&#10;s4LVkFjeoo4tStMgcapybpCoBIqchwUxkpha1ZW96DJxYomHlIaE0AyYVN4I2BXY798BVkFvaqd6&#10;kEjp/mMrJVMEtV9zTxwWqY29uNtsbXmnttDTfptinhR/EqBvT5YhBFIuLegMhHud8LFHCMN9mb4q&#10;fLFjPk0IpwerMPbJhg1wmD04kbdcsCCiYvVQ7itdqnJUxTa1Zww7g7EHGlT1VVl+CoI7DFVhnP8A&#10;durLXo+TgQCxlyStkkkdkcmlfhp4ZnCQpgyDSGMR4E0Xp+IzDzEFnDm9IsI+aqY2FaVzCnFyAyS2&#10;EiULL8NOuYuQNkeafW7q1BShp1yqmxNVSQ8WV6b718MiQoTS2nqCrAAj9oZFNpxGykDi2/fFNpjF&#10;wpvu3jlclR8H2tvDIsoppEK/QMBZplA7Aj9kD78pnyUmk+gkjCVDcmPbKqRxJlbToN222pglGwok&#10;i3dOHNGG3Y5GOMp40vGpMpIaQCn7Jy2OIolPZel+0jUWhIHUZPwWHGuN+UoJDwFepyE8VBIkiBPF&#10;KleXyOAY2VpZOQDse+WxhSCUI8lB1Na5PhY2tWZgSVehptXAYWnjpNrPWfQBSZQdvtCv9crlitPi&#10;ph+lLaX7R4/PIeEVGS1F5Y5No2UnHwyz40I1CaE0OSjAhBmo7KQwNSN8nwseNUS7QcqgEnriYLxr&#10;GuIAS3IDJCC8aFk1GBBXkD2GWDHbGU0A+qxu1Kj2ywYmHiJfNqgtyXIqDtlscNsJ5KCB/TNrOeDN&#10;v49sn4DV4yLSaMCqEEnw8MjLDTKGSy36wPUnK+Bt4lhu1XbHw0cSjJOzCqP36dsPhrxLY7lg25+n&#10;AcTKEt00ivNtm3yieJvE0Wl2Sd2GYuTFTYJIlLmnfKuBmCi0uAehwSg2WjY5j2O+Q4UcSOimNR0y&#10;MhQSDaZRyVplRZhHxt3ystoRkZBOVlmEdGQPuyPVMkWprhYrxt3wFlFetCciyVAAMUhviG2OKXGM&#10;dsVW8B4Yq0ybdMVWFNsVpTKDCEELTGCMkhQMI71xQUO8I98NsEDJFSvXG0hASx5MFBSm5j+E/PLQ&#10;WosYu4iK7ZZAtU2JX8NQe29cyYFx5sF1G32c9cy8RcebzrVoAoY0O5zNjJoeY6rFXntmXjLXN5tq&#10;sH2vlmbAuNJ51qUO52y+JQwPUIftexy6B3ViF7B8998s4kWxy5g69cBNptj1zb8a9euRZxkkNxBW&#10;uENlpLPCRXbBKLMFKZYiKimVkM7S6aLb6cgQkFLXhB8chwtgKBeOhORIbIyQkybdO+QpnaCdNt/l&#10;gIRaGZMqMUg2oOm2QISgXTfIEJCiyd8FJUSu+AhlFQdQMrIZLOIORAplHmsKioHvlUOqjmp0/wCT&#10;fLML/inKewCU8idvD8czcUf3YdflluiFkr3zJhAcKOM0r+pttkvDDAlcr03yUYgIpGwuSRkqSnKy&#10;/u6YkMZNI/fDEMLR0Tk9KZIilJRKMCad8eJUSo6iu9O2TjMoJpEQhq0B3yRLHiTu2LH4XFQBsffI&#10;SFp5p5axVIO4ByF0tJ6sCAg8e3bB4hCeFNIlSiipAG4weIV4QnMEhUCiVFKVyJla8KbRgOK96dMC&#10;8KIj+HFHJNInYgAYbRaYRxO4G5xtSbTCG3cHrh4mNKzwOKbnEFBjaJg9RSKsSANxlgLDhRbenIQ3&#10;qlW6EGn9MsBYEKXKhpWo7ZLiRSYWs8QcAkVGEElaTuOSNuTo/Hj9oHwyXCUKskQkCusvNG6jqR74&#10;KUi1OG2pJxL+qOoI2+/JiZAY8ITeK14sGXcnqp/XkD3pApmmjSiJqMNitPxGUTbYlm0TIwG5K9fp&#10;zGnu2RKNiKDcmlBkBC2XGUULlQB8fQ+OS8EFEpkKkd/Gp48uu+H8uPNh4pR8V6a/C3bIywABkMpT&#10;yzvCT8e+3bKJYgzEyySyul57igIp+OVTgA2wluyOF0bw6VGV0GywiBIo8D88jKPcxkRSus1KUYD5&#10;YBjYcTbahwcJy+/JjEgydJqpUAIwIPbf+uTGNgciSXupGlSRWvUZfjw8R3ap5igItemibZ9x236f&#10;flo0sWo55Iz/ABKJjwkcK3Y++MtGCOqjUyC2DzHLDNxeTlH0Cnx+gjIjRgd7Makp7BrMV0ahgrd1&#10;PhkJ6fhDZHNxIwXcbA1HQ9cr8JnxKokRh2wcFLxWsfcbEdcHCFsIZg56np2xEAvFXJaLySIAqaEG&#10;mS8NeMtNqUjndgD9OGOIFHGWlv2Q1dtm2yfgBeNQbUCa8aUrQEdcjLCAgzUvrits/X2wDEjxEuuZ&#10;O6nauZGLCCWGTIaSS5vWT7J2r1HXMmOANJylBtqTrEwk+NCN2y2OEMJ5SQxW5v8A0nLxy0Un7OZE&#10;NNE97jyykI2y8wyqQpYU/mNf64cuihw8yjHqZA9GXWurxyqAZlZj4Zgz0oHe5UdTI9yJlu9hVNv5&#10;hlQxC2zxiVIXY7OAfA4nGkZCvF2T1A+eR4GYmQqpdkN17ZVODdHIUwgut+tdsxsmMFvjNMY7jlsd&#10;hmPLGA2CSPil8DlMos+NHx3BHcZUYpErTKKfpkJRtmCm0E4706ZUYNgkmUc6tQV6ZAwZ8SOjlANQ&#10;cgYMhNHxzeFMqMabOK0VHPv26YFRKy8vDAQkFeH37YKZcSorivUYkJBtVD74GS8PXFC6uK20d8Vt&#10;aQMU8TQUHFBNtMoAyQKFMqDhYyUGQU2wUxQksW2EBIS+aLao8ckikrmhqDth4kcISS5sxQmhJOWR&#10;k1ygGLXtlyBqpy+GQ2484Bgmp2DUcKp60zMx5GiWMF51qlg9WBU0BzNhNx8kBEbPM9W09jzAU9cy&#10;8eRxZ28x1axk+IEUFaVzOxzceVvNtStGDNyGw6ZkxkGsyLAtQtj8ffLgaY8ZYjeW5PalB1yYkniY&#10;3d2/05JeJj1zbmh274rxFIprapPXCDTZGZKTT2oBPXG2wSKUzW4365EhkJkpVPb7Up3yJDYJJXJb&#10;0rsciYtlpbJBvvXAYgs4yQcsW3frkDABmCl8sW2VEJQbRUyNJBpDyR0BOQlFsBQEi1OVmLIAKJQU&#10;wUnZQdMBCQoMlfHKiGSjxpgEbZRU6fF9+UxiBbG91nEf8k6ZgV/unKt6hyJP0n9eZ2L+7DgZuaJQ&#10;muZWP6WHREDpklVhhCo623NfbClM4lZqjtTEsJ8lfgVWo61wxYKsTPUDbJHkqbRIfppkEI1I2Ar1&#10;JwhNIq3iZm27dflkrWmUWkHYgGq1GAlICcQpwI/D55WSmk8gAJHMb07ZWCtI88FQGlaHChHW0oZQ&#10;OlMKlN43AXYD54oRETgtQjbriiScQMopQdsWCcQHlt0264qj0IHU4qqsRSqmp6b4QpUubp8Q38Rl&#10;kWBcrq5qy0J2ywNZRaRCQEcuPHphQhpbWeI+ojVC5ZiNFBXW1xdNyPDmlN26fRTL+IITS1d+fqxz&#10;sjKPihboR4ZGZBCp1a3nqyfCeLDZoz+sZWrKrdWIDAfERvgKp5bs4oOPH/KGUTZxT6CWZVFGLCnT&#10;KQLLNUa+avDkeXeuTjBbclzcM1AOQ9q5YI0glGxS1fi3wmmNMU8tZQjAOd6dsjOOyLZNbSxvSjcW&#10;AykwZxkn1rchGFaOOm2U5MVhs4qTr9IrGAQRTpTKfAK+IsbWFA6gV2yePTm2MsiWTazxkHGU9e2Z&#10;EdOw8RqXU3JEheoO2WDTolkWxawqklm+GnfJjTtRyKjaraynjI9ARUHLo4KYcdpXdzKtGiYupP2x&#10;lowsCUueZpBx5bg1HH7QyRxANUiS2JbiTiqgsybhu/04OAJFoyG/ubcluDV6EnxyvJiEg2wkY7pn&#10;BrlwN3DUOVfl/Js8VNrfW6GpkrtupyrLp9tgyjlTi312GQ8eXbMf8uWfiIptRotagjvhGCkxnaj+&#10;k4moKA4fDZ2oS3IJBUUA3rko42EpUELJeq25qOwyXAw40J9eVKpyoT3OPh2gzUnvxEvMvzFemTGF&#10;jxrUvhcbhgP8nvlgx0vFaWaisiqXjqd+g75YAxKVwyfWomgcmJ32pkwGssbu7Se1mKTx8kGyuPDx&#10;OZOPk0TQ/KNPstzXvmTw8QaLooq2no4aOXjTsTmPkwt0ZMqtNVlQATENHSgPv9+YhxU5EZWmwkhn&#10;QMmxyJxtgKqrFRuajwymcKbOJeH5bfTtmNMNsCioXIP2iNsx5ByIlNIpjsK1zHmG2MkyjmoAa5Rw&#10;2ztHRzd65AwSCj4bjpXIGDYJJrHcbCm+VygzBR8Nwa/RlfAztM4bjfqOmQMGUSmEdx8sqlBsBRiz&#10;16UrkeBPEio5jXt0yMo0EiSIE3yyumVq0c2/UdMSExKJEnvgpnxL1k364CFBtVEm+RSu9TFXF64q&#10;4NTCFaZqjCAqyowsZLKgYsVGQimEKhHAIphSgZE9sVQMsII375OLXJJLqyVwaVJrv/nTLAaaZBiV&#10;9p32qKSa5fim1EMG1LSahzx3r7ZmRyU0ZI7POtV0QmpCkVOZOLI4s4PMtX0BiGopO/f5HM2GWnGn&#10;B5hqnl9wXPp9OmZEMzSYPOdU0N1qOFK5kRytUo0wDUNJk+IcNhloyMWIXumMtPhI+WXQnZVi11Yu&#10;Cdj9OW2qRzWTVNdsbZRKTTWe53wWztKJrUgnvjbKMkqmtfEHC2gpVNbVGAsxJKZbbc9cDMFL5bag&#10;OxwEW2CSXS29exyqUWXEgngI7ZClEkFLESOmAhsjJASQZWQ2AodoqdsFJ4kM8WRkEgodkIOVkJtR&#10;KDf8MgBTKB3USm9fbKB1T1WcB7/3ea//AIpyXoobc+xP68zcX92HBzc0Wh75lQ+lh0RKmuSVWFdq&#10;Y2qZW0e++DiVOVogFOp23wg2iTbAlRTJA0wpfCm4apr4YmSQE3gY1+Lw2wWnhCZxmo7fTjaKpFQu&#10;UkA24+2NqyK2Zwarvt0wEpCewKHoSdqbjvXK5FkmcVAAAa+5yETutWjFJpSgIOTtHCjoU4Lt32xt&#10;BCZwtxWnUe+NsaRqGp2G+GO7GXJM4Wp37ZOmCaQy+9NsBCCi1nAO52wgLastwG2U1yXDSCVQyHj3&#10;BxBY2pq9KEk0rtk4lHDaZROGAHvXCZJ4QmsIJA26YBMrwBMFtoJDVkIYjYrth8Qo4Ai1sF4mlOXU&#10;eOGMyVMA3DZxK4dm4uOrDvk+JHCGWWdzEqhKBqDqcBkvAE4jmRhXkoAFTlUlqkVK3pohVqlviFDt&#10;TBjjZYSmUG16OIJYFgfs5kCIY8RRVrfl24rRWArtgkmMrZRacZQC3HkBWpwAMkbLPDGK1G3cZMY7&#10;YyNBCtrMcI2bjTvkvy4LV4pCGfzU8f2JKe4rX9eEaUebCeolXRXi83sxCvIKeJr/AFyY0gYfmZeS&#10;Kn8xNxBVxIteu/8AXLI6MDvR+YkUJ+mVmNfV4v4DJflgvjFO7PUwVpLKCpHfBPCIhIykq1xK4Wij&#10;lG24cYxgpNoP1JXA5fCAKA5cMQYmVLxdTxKUVyVPY4fCDHxCm+jX1qgYXQHqE0B9vpyvNDZMJbp5&#10;ezW6wepbyhN93HhQ7ZSINgkl9rqcRiZLiRa/sMRUH+3JcFLKVqMstRySeoruO1MNMLU4ppQat0P2&#10;SO4yM42EiVJhHMVowJU5XwMuNHw6k6HjIwdCKVyMsdhlHJS+W8WoZGpXK/BZ+KVZL8U4yORTcEY+&#10;Eg5LakueQJjdW/yaf24fCY8Sitwso4SUVgag4RjpTJCTtKn+6j6f8/bJCKQUNG3xVEnA9Vbx9skI&#10;2y5JpHfEUS6jAQ7CUeP01yMhS82prNCBNbycwNwe/wCGREkGKj9cglUQXSqr9PjHXJiZDA4wWM6r&#10;osqs01maRdSoNRTMrBnJNGmjJhAFhjQkdWICnkOp6b5lUJc2miEztdQkU8ZQOIFaZGWCNMoZCCym&#10;xuY5iGik2p9jMWeIByI5CU3FxLG1WWq0p3zFyRb4m0fFKkgqNjTpmHkiA3wRCkg17ZhzcmAtHRN0&#10;65jSbAEeklaDsMrZBGxuAOuJDIbIyKUdK5EwTxI6OcjYHK5QZCSOhuGrQtUUyBiz40yjuD4iuVyi&#10;yjNHx3DeIyswDPjTGC5YH4qUpkDCmYlaPiuQTT2yEo2yukYJVIFDvlZivErRy79chIMwaRSy18Mg&#10;niKosm+1MBDKMiqCXxIyNMuJes2+xGAhIkqCUk4GVrufvhC24yUG5GSRak01BtTFElP1u5pixUml&#10;rthCqBkwptDs2EBiTSg5JFMkNmBNoGQ0qckN2BSO6ANagZZHZgQxm7tkcMN98vEy1ZBQYrfWEZB2&#10;J7b0/pl0MhDjmILCr7R0ctSOuZMMpLXLCGC6j5dRvUPpH8P6ZeMxDX4Aefap5WVz/dEH3p/TLYak&#10;30acmnFdXnup+UqBqR9T/X2zIGoLT4Aef6n5Uah4xmo/z8MyMWoNsJ4uEMDv/LEtSDHt1zJGdq4S&#10;xG98vOKgx03yYzWkRIYrd6K6k/BQeNMkMiWM3OmOhPw5LjCQkdxZSCtUNK5ITZCVJNNaddiPnhJZ&#10;CZSuS0BJ3wWzjNLZ7WnvviS2xklsltkSWXEl01v1FMiUgpfJb+xyNNgKXyQe2RlFstAyRU7ZCltD&#10;PF41wEJEkLJDt3ykhkChHjpXI02RNIZkrkY4hRSDZW+mPH/deavgH+yctnK7VP8AlH9eZOL+7Dg5&#10;uaMQ7ZkR+lgOSIRumNqmECgn6MNqnEVFAqKeBxVV5sx9u2SCCreqSoUAdckxRtvE32q12xSEwUEU&#10;AHzwMk0gKsAhU1G+KCj44lLgAdBhYp5bIVIap2HTAUhOLc/F8xlUmSaxgeNMiFR8bV2I2G9cklMY&#10;zyAA7b4sZI+Ou2LFMI9hXJR5sZ8ldXoRljWq/WCnU0HjkSgrHuSwAVt65IIVoppEo4YknamTPJBT&#10;yGVnShGRQrIjOQtNq1yUUhP7W3FBiUsggij40qeWRVXCMpBGKo+Jgu7fEab4QpVgAxqYqg7imSti&#10;iYYasCqsAdqZGUqCUa9tJGCQz0p0JxjuxKWte3AHpMWoDsf4ZkY47tMkytBy3YgilffLaYo9F4uJ&#10;FrtscBjaCaTE3rlKI3EDq3fCII4kve+kqVMp+dcuxw3YTnsoPc8hvJyzJGNoM0JIA4+FyG+eXY8Y&#10;tqlJLJJJoXo7VzJjjDG0bbasyD02I4Ee/X78lLEKUyTBZi1HVgO9RkPCRxp5YaiOaiT4h0oMryYd&#10;mcJbs6tLlJouPOg7IegzHMKbeJuQsp61XDHmxJtDSTBTsAcnTFCNKSar8JwGFrdOE8tOLSEp/ITt&#10;iMK8aolw4qAQNuv+3hlioJ4rRUVyTVWIIp1yHhraMjvANi2wG2Rlj2SJIpb8dK1yvw2XEuF6p2Ow&#10;w+FaOJYb8DYEH54+CvGt/SBHRwD44+CvG3+kX/3592PgrxqLalv9ok++A4qXjR1nrrI3pzN6kRH2&#10;W3Fcj4bITTX1Le4+OIgEb8e30ZGUKbIytG2hjnBjmTltsP45jzbArmB7Mhk3hrupyoc2RVOFldrw&#10;uIVLndWGxHvkkKL2BtxSMNJF1qTUjJ45UWMhYY7qGm29xVlajk9dgcyoZGk42J3NjNbVqCRXdh4Z&#10;lY5cWzTOPDu6zuJIJQ0bFSB9k+FRkckFhJnNnqYlRS+/bbMDNGg5WM7sktvTlUMo4mnbNflczGm0&#10;UG3SuYWRyYI1YTQfDmLJsVRGB88AFqqCo2yXCi1RHIO/TAYraNib3yBDKMkwhO+57dsrIZ2mCMRu&#10;DUZCUUgotJ6UrQfPK+FsEkelwKChB+WQIZgo2OSvTrlZi2A2jIpGr17ZWQyCPibepOVyDNFq4HU5&#10;GlXiQDpQ48NrdLxKa9seBPEvEp9sBgvEuExXfrg4EcbmuTToBhEF41huK9SMPAvGp+uDtUY8CDNo&#10;zL3I+jHgRxKXroD1wiC8SxrhabGpw8K8Sgbjc/xwiKDK1CS526fdh4VtLZbo/LDwsZHZLJpuVdxk&#10;xFhxJLcTUr0ydUwmdkiuJQ1a0yYakmuAtKjc13y0GlSG4hU1qK165LjWkgu7GJx9muEZKYyjYYre&#10;aPE5PwV+7+mWRzNfhMUvfLkThvgpX5f0y2OemM8Nhhl/5VSpIjr27f0y4ahr8BhGoeTw3IhKb+39&#10;MsGpYSw0GC6l5OorHj0O3+dMtGoYeEwTUPKTCtEPj/ntlsc9sZwoMNvfLUi7FDTr/ntlwytdMQvN&#10;AcMQUNBlkcloOzGrnSGQmi98s40ApBdaeV6rTftjxN0ZJPLaUrhtnxJZNa9d8QUxklklv13+WFsB&#10;S6aDr8+2Rk2cSXSQDwOQRxIKWHwGCXJIKCeInqMpLZEoSSGvjkQ2AoJ4iNvfDDkVid1Ph7fs0zU/&#10;8U5tsuXqwPif15fi/uw4uYbq6s3TamXX6GAGyZW8YY/F4ZDiK0m0QRNyK7d8lGS0u9RnIC/ZG+St&#10;FJgn2d8lEoIVESjcq7ZO0UmcLMvTfbvja0mtu1T9kVpvXFKZxuuw4gEdxgJpaRqMtQRscjxlFJxb&#10;tUfRgMytJpb1JqcgZWlN4wAK9cAKopDXodvDDao+F+BqfCmIKCjxPUALSvXJMUVFOx2NKUwg0xkL&#10;V/WII75YCx4URwMw8O4wkIkF6WjD4q74QGCuoK0U9skRsgptDMygbA/PIoTKO6Ap8Irkoouk2t7t&#10;WIBbjt1w0vEU5iuUAqrhj3HtkSKSJIkXwpQCpwJtUjuGZxQEVxRaeQSyc1Q98VTz1kt2QkVJwSFq&#10;661SNRutQRQD3yeOLXKTGZpw8hkZqKeijMuDSZWjLe44kGu1MsRaP+vhdiQBTDEWWMjsovqQUUDV&#10;r2y+OMNZKUXF3WrB969MycWIW1TkUIb0ilW2I7ZkDGGstpqBDdScsEAGBCJN0sw+PY9anJUhTVRy&#10;ryqO1MkCiSYQyuDTkemStjSYQ3DRkEVPyyMhaYmmQ2mpMlK8spliDPjLJItWSRApIqN98q8IDcKJ&#10;lTmulY1DgH2x4SnjKDe6Zdw9Tk4R33YykaWpesD8VCMt4Q18RV1vR1ApXxwSFhlGSst5XpTKzFna&#10;oLonvTI8NrxEL1uSDs3bHwwjjK766yncg4RjC8ZWG7B70+WHgC8Za+t9aGuPhhBmVoviOtCPbCMY&#10;R4hb+vRk0IofHGWEUviFcLuMn+mQ8EL4hTG11JYiQHpQd8hkwAhshmILIbDXYQwq68u5/wAzmHPT&#10;hyI5izS3vorqPcKwI2I8cxcmLh3DdGdqUkKqeSfa7D2ysAswWzeyxKQw+EihyyMLWRoJDeL9YDGI&#10;em1aimWiNMOJJUaSrQTrUkfaOWwmYGw05RYQV1AsTq4Snb6OuZJlxBpiKZDpAjk4h0+FhTbxzA1M&#10;tvi5WHmze1s/S+JSSpFAM1WSTnQCfwLRdx2zDmXIgiC60oBuMpIBZoYyAHc0GShEWxkSAtM8airP&#10;QZZwhhxFDSahDHSjczWlBg4AV4iqxaizdFAHWu/9cBxLxlMYb1jtt098hPEAGcZkphFcyMaVoKds&#10;q8MNgNIxDU1ZifY5A4gyjIplBIqn6MrljDYJJpFcAdKdMpnGgyEyjY560HTKiGwTKYRyUANchKLY&#10;Jr2uC52IFMhwp4lyzcdy2GMbQZNG8A75PgCOJRa/PZqe+IxhBks+vt/vzD4QY8Rcb5j1cHD4QXiW&#10;tfKFqWx8ILxIU6gK0DY+EFMl4vhTdhj4QRxLGvUIrzw+EF4lE3w/ZfD4a8Sw3xXfkD88McSDOlBt&#10;QqD8QGT8EL4hS6W/rWrCtcBwsZZEBJfLvVgMMcLWchSi4vI9/jy0YQebDxSUgnvVJIDdMkMA8140&#10;A14Kn4hhOIJE0FLcBuhByPhBPEls0uPhBBmlsrcq7jB4SRJK56Ab7iuS4E2lM0KNUldjjw0qTXFj&#10;C1fhr88RIoMQWOXejwuG/dg1yYmWHhBid95dicGkW/T/AD2yccpDGeEEMM1HyspBPpEUO3+dMtGo&#10;kO5r8AebBdQ8p0qfTrX2/sy3HqpX0YT04rqwbUPKm7Ujpv2/2svGpl5Nf5cMI1DysRy+A7H/AD7Z&#10;ZHUFTipiV55dda/BQdctGZHAxW60aQVBTocmMqapIJtNKk1U5MZE8RSWazNSONB2OEytlGRSya2p&#10;9+C2Vpe9vSuxyMjsmO6Alg9jlbYgWhoTscidmQkg5Iupp44InYpgd1P6unifw/pmpv8A3TnJrWjE&#10;DxP68txH92GnLzR0IrSuXA+lgOSb26gfdkVR4UkUp1wgqioYQgq1cPEhFKQNhvkondSrKN+/yyds&#10;UZESD07ZKJVMIjvXptklTKNxtkZclTSIbAnIJTu2H6shPkhN4VApldqmURHQ9MIKo1QoFRklVwCa&#10;eGSCCjYkPbwyTFFIp6DqBigtn1AanYZYEImKVq7v06ZJjJGfXQtA7A9qDJBrV/rcdAQK5I8kFGwX&#10;aSbBegrXIIRizUI+HbCEFF8wQOO2SYq8RnB+A0P8MBSE0gNyDVhXIsmRWbVK8gffFWRxsqyRkbgf&#10;tYqvv5iXVlOw6ZKAssZJbJcV+KTp0zJhBokUmu9RjDhUCnfMmEGniVIrtqBiPh9ss4F4lVrhpSFQ&#10;GvXBw0pNqcqzqoO43y2LAoAzPyKtT3OZWPm1Sb3YDetO2XhgqryAB2ybEo2KhHxYWKJUivw4Qgou&#10;M0O/hhQiRIexofHJRYyNK8d1IvV9sEosbRKXhBBBqcgIWkSR6XjsK07YfCZcS4XJr8W2HgpBNqwn&#10;B6NvjTFWWU+IOJCQaREVxQ/EBSmVkMuJFC4X2yIC3aoZRxqtK98PClT9QnGqQ1yOBVryFR88ICCh&#10;mmoOuWxixUjc0yRjYVtLrftkfDVWEoalD9GJx2gmldXbr0p0OUzxNkJsi0rzDNZOokFUG29f65iZ&#10;cNhyYSehx6mt/CssX7twKkZiSxU3Cakl67MYpFC1/aOQA3ZmVoSdrmFh8IZGagI65JC25tpP3c6E&#10;ugPx5GRpjIWtliiukDR1268u2XCeyiDIdDghK+meSSLuCaUPy2zB1M7DkYo7sxgieMFCta7hvbNZ&#10;kLmQCZRxk0/UMw5lyIxRCwcux+eV2y4VrWQO5rkoypEoqT6cjihFcnxsOBANow5Exije/hko5N0G&#10;Lk0qRBydj4UGWeKGPCiI7codqk5DJMSDKIRyeovRBlLJFq70+JaUyMmceaLhnWtD1GVSZpnHMuVE&#10;WqZQyKdz9NMjwMgVZryMfCGB9u+Jx22cSmL5ValQScHhI41OW+8KZKONBmgm1AqegOS8NHGtN4zD&#10;oB74+GvFa362e5GPAtrHvSB9rJRggypCm/NTvXJ+Gx41E3u9enzx8NBm0+oqFABFa7/LHw0caz6+&#10;OOzb4+GvGtF4D+1j4a8bTXlBsa75KONBmhZL+hoSKZPw2PGlc2pDmQSAKdslHFZQZpVcaoqgkt3y&#10;0YGozSptUjYE8t8n4NMRLdK5L2rEjcHwwcDLiQkl2xFRt88BgkSS+S+kU7Eb7YPDTxIaa8kKgq1S&#10;TuMjLHsvEgXvZIzVhsdsr4GUZKTagh69e9cTCm2JtQN0jdCPllZDJCzMGWoNN8hSUBIpIoDU4ql0&#10;8bAVNBvgukJLcRKwIIqMeJaSO5sI5KjiCRjx0jhtjF3osZ5H0+pyQzL4bEb3y7HIWBSg8dv6ZaMz&#10;GWPZheo+WAahUrT/AD8MsjnYeEwi/wDK/Hl+7NK+39MtjnYyx0GE3/ls1NEPX/PtlozMOFh17oDg&#10;kFOhywZUEUxe80dwD8NKHamS8VDH7jTpVPQgYidpBSmaycVrthtPElctsR13xtlEoCSA+++334x5&#10;FshzUPS/4hz+nNT/AMU56sAKk+5/XluP+7DTl5o6M0plkT6WA5JxbANT5YVTuFVUcmp0wgWrnkr4&#10;U9slwhC6MhuuEClKKjK13PbJgMUUGUDbrk4xVERyFiBtkqVNbfc/RgkEgJ7AlQN8qOyaTiBSKDK5&#10;HZaTeDsSe2VopMFBp8PXCFpGRpI1Bt45K00mCI1BXESQYouMEHDxlHCEziUMKU+nHjKJRCMEKkUI&#10;rkxMsKaNsi/Fxr8stjK2MghpbZWIbZd+mWAsKR1vbqRRl2p1xMtlEbTSCCOLcLX2yNp4Ai6cgFWO&#10;m/frhBYTgAEXFCxPCgoN64eJhSd2lu3LYV2wSkkBkttaLQEpvTv0yHEmkyjtI/ljxLSpIfSFAARk&#10;xupCT3d2WUgNxZTXMjFDdqnJJJr08GRqkkbH3zMhBx5G2ONIwc8mNa1FOuZMYU0lM7W7JPDkTtk+&#10;FbRkOoCFqk1INKY+GJIMkz/TCybFART/AD75MYgGPEUDI/qMXBHyGWwFFiWkkoaZZbCkSj9snE2i&#10;QVlkockwV0k98IQUUkvidsKFUS1+z1yUWEuTZkYdaZOrYLhMfGmSjABSaRS3ciDYjw3yVI4mxdux&#10;+Ij5YmK8Sutz74OALxItL2gpsRglALxK63fLpQZDwwniRUc46k5A4wGUTujo50PU5HhbFX1E7HAY&#10;oJXLIteuR4WNtllYUrkohSUJIB28csFhCBkbt75OG5QUO0hX2yzhW3C4YdDT5Y1TGW6NgvSDRjVa&#10;ZAi1BpNra6hc8H3B6eIOU5cYpthkNsw0a/8Aq37qWTgD9hvEeGa/LBvjJPb8JNbmaGQ81+JSD1zG&#10;jCzu28VBQsdRF5EIufGVBRwcMsYCRMp3p0oDvbSuvFtwG+eY2UGmyJtMPqL21yjGLlbt9sjpQ5T4&#10;kg3RAZFbWkYIeE8lc/D4geAzHyyJDkQiAye3tpZlp0KD8MwchciCbW9mqH4q1pmFkLkxCL9NUFaZ&#10;XxMqcIzIK0ovt1wGRCkO+r/PBxlFLCqDbeuETJYkWpmHl8sNseBtIFB3HbCJJEFQwgii1BHfJcSe&#10;EKZiAryY0xu1qlH1Ih8C/aG9cTEFNr1uUGx+17ZHgCCVOfVUiHANxbLI4gWJmQhBqgNaCv8AlZYN&#10;OCwOUoSXWgpITdvE4fywR4xQJ1iZmJ9QcvDf+uGOnHVfFK+PUpmbc1/VgliAR4pTiK9LKOWVSgzh&#10;kJK43VdhtkOEs+NSeY06jJwibRKSXyXLrWhH0ZZRajNAvfSVoTQeOShGzujjtSN3X9oZb4QXict3&#10;Q15YPCCDNcbskdRj4QRxqX109yMBgApmVNroMRU9cCOMpTfStGeQNQfHLMQ3YTmaSSWV5kbxG+ZL&#10;UZkpFLcSRVBA6++NWjiIQ6XxBrXc7U7YOAMhMpgs/qJvv3oMhONBsibQklSC1Nq03yAFskiuZHQk&#10;q1DXDKFhbpCrqBrSYVGVmBZiTpkWdC0LUoakHKpg02xlSVM7Iacuh3yohlxlU+tFR1FMhKIZgrfr&#10;ngRU5GkqMl1GRRzv7ZGQSlV1LGFqD3yNLaSyTipoSfljwWkFBSS1rUffkfDpPEl03ptWoxAW7SSe&#10;CI1oN8mBS7MeutPjevw1374eIhiYgsWvNGRuR4fRkhmIY+GGH6h5eRq/BTfrt/TJwzytEsYYTqHl&#10;s0IC9+2WeMWHhBht75fcVqhoNhk4ZSSwnjobMQvNFcM1VoBl4yNfCxi70x1JHHYHqMmJBlEUkU9o&#10;y7FT1wQyHdsgd0H9T9m+xx/z2zA/4pzeIpSJNyNup/XlkP7sMMvNGRuTTLIfSwHJOIH4ip7jCqv6&#10;712bbJR5oVo5WJ3PbJqi1kKioofHFBVUl37ZIIRkT8iBloVHL8NN8KUzt5VB3Y9MElDIbNwRVmot&#10;NspklPIWXYhqjKyFTCKZelRsK4KVHQXQ37mnTBSUzgvKHYDpiqZJcA77fwwgWxkUVFcpy6rX3yXC&#10;wtMfrShaChPtjwrarHc81NdiN9skIoRKTF1pWlMsqkEK44vRWUHetcNopMEAQCgwErVIyOr0AHTf&#10;BaplHFt8VTXauILGSNiiFABWviclbCkyg5xkFSfA1wEopkdtcHgA2+2BUSJqnwxKCld/fegCS1a7&#10;bZlYYW1yLA77VHdyFcDfatc2MMVNMzslpup5CDIxAHSn9uZEINBkiIroE8WQdPtHr+vLxFhaOiaN&#10;2A9QRctuWPCqJu0hiVWWUO3Q0yURugoNLggUB28cnTFGRzmm1MICCiUmDGnfxwsVdZflk4c2MlVZ&#10;d+2W0wRCSVwUgokPtihUDldxuTthDCXJVMhVQSKE+OWhgtExPhlgQVUS1GKGmloMlEWq0XDVoTtk&#10;uFVYXB7HExVXS5bsRg4VRcd052JAyE47JjsjUuDQfFlVM+JGxXVDQnth4VtXF0D3GPAq9bkV6jHh&#10;VW9UOKV98aVDSKaVHjkojdBQUoNN/Htk0IetDjVoK7mceFCJhkYOtDSh64JQsJGzKra52X1CG8K5&#10;hZsbfCTMbadXhADVUCpHvmDw0W+0klJt5zIpKsxqCOmERtIR8V9K/wAJJYt/uxeoODJhsNoLL9G1&#10;S9lX6rM3PiPg5V3H35g5cVN0CzG0uZFoCBGU/ZFc1+UUHJxndlmnXLsaF9iMwMjkxZdbxmQLx3qN&#10;zmDlLlRTAWVQS3jlHEzWNCqigr16Y2gqJikPTpixUfqbMwrtjaQiDbhBQmtMeJNKHGu1MIkghcIz&#10;vtTbJcSEtuI23+LvkoyUoMwFlJH2vHJWxc0QgjDfaZtt8NoKUvArM0jsGr0Udsug1lI7tp6+lDQb&#10;9cycZprKl+jZRGZJZyGPZTl3EGLSrDEKCsj969chOQpUQjNQuyNCo6A9crAtVCXVPS+GNgTWm+S8&#10;K2MpcLo9VZSGkICnbHwGPir5dbgFArVPfCMKjJaBfV1YmmS8FTNCtfcz1+/Hw6YCakb2nUimGmXG&#10;tN94UxpeNcLyvSle+NLxL0m57V98jIbJBtEr05V6ZXwsktvJg5Ir08MnAbsZC0tDU+z3618MtY8K&#10;WXiowNMnAbsJimPStxrtWm+TpAQ6aqYmK0oOmPBbMmkJea0wFEcU60/zOSGFHGxm41p2JBfpvtkx&#10;htByIA6sxHKu4PTIywKMib6drttO/pyEROF+jqMx82Gg5GKfEU/ljikQSLRq/tLmDONOQEkmg3PF&#10;jQdjmOd20JdKzR9akdNsFJQb3BApUN798eG1S+WYsCK9N8PAqRS3hVyCQvucIgpKib8jqAwPSmJg&#10;i1OS5R12ND4ZUY0oKXSSjehwMrQEste4wFQUvlII8cilKp4o2B5eOINKkN3ZxMDxG9d8lxLTGLvT&#10;I2qSK17bf0xE6QY2xG+0aNuVEPX2/plgzMfDYde6ItTRD19svhktBhTEbzRQCTxPXbp/TDjnzREb&#10;pP8Aohf5W+xy7dfDMPj/AN05nC8hVjyp7/0P8czMY/dhqy80zgFT9GWRFRYDkmNW4gHt4YqrR9ae&#10;2GKopfh3ywboRUbFvh8csEbUq3EK3XtkuEMVWOXi2SAVMBMxANK9tsUo+BS+/KnemJFqnEEnCikk&#10;j3yJgCtp5BdKi19sj4YQSqreK1CpPXHwwjiKYxzbBuRHyxOIIMymcF6indq/PB4QR4hTBr5DGKGh&#10;rhGIMZzNIN7xuoegr265PwmvjKKt9UdaKWqP5u+IxDqyjIlN4b6V3oD8JHXEwAZWyKzDGnxMdtwc&#10;hM0EgsigQUBPUZVxFKawoHAIH34DIrSawwAbnbbtkeMopMYolJoe2SjIkoIRyRRqBvvk7Y0iVCAf&#10;qxsoId6rKfgNKdTlkQS1lBS6mYyVLj6cux4RI0WucmMalqrMdyCK9szsWERaTNJJryAqCVHKvXM6&#10;IacktkN9aZ/smg7DLAKaTJf6zChJy2JtFqwlZgK0p1GT4U2qCdiKV+neuSEUEq8cvYnbtkuFjaOj&#10;moeuPCqOjmBHQY8KFVZaHamSiKLGXJVWXffLhuwV1uADthMWMtkUtx4UyPCxtWW4YkUoKb7ZKMd2&#10;JKo9w70BoKZYIsVMykeGTjG0FeJz3pk+AIbM22SjAKpmSvfJ8KrlloeuAxVELOBvUYKVFRzgmlRk&#10;ZjZQi1mJ2BGV8ITar67KK9a+GPCtqiXNN/14aTxK4uvcYCEg2iEuiD45GkogXVRQ7e+A7ILvU9TY&#10;UNNz8sHEUKr2jiA3Io0I2JHWuESKoRFL7gfCRWuSEkiNolEHWp2wylQZcATC2mIYknYDauY8yCkC&#10;mQ2GoFCU2bkOhzFyYw2xNo9pfUcxutARUHv8sq2i2WUwtY0UjiNsEsmzOJtlmnonNHVxzHQZg5p2&#10;3xDOYo45kVkbk/R6eOavNycnFzTi0SSOgAO+YM4uVEsysbj0VHLsPxzDy47DdGabRagHqtK98x/C&#10;Z+IVUOhJNeRPbEwpRK1ZHWlWI9hlcrDMO9ZBvQHK+IksgAFrujjYbnDZTYQh+AnYVwglBoqEkjFf&#10;hAG+TG7GkC6Ofic7HYUyYFKQ16RSMuSd9smGNJJdTyHtUDYUyyEQSxlsEpad1JonXbvl4iA1luKF&#10;5X5caGnfGUqCOEFMl08ygBzQDfIiZK8AVU0qOPdI+THuabZIyK8ASDV7a8VSFPOrUA8NjluORayK&#10;YhJFPbgvJEzGtKZlRLj5DYYxfX936hBVkQdMvhG3HOyAN49OXI5kDBFiMhC1dTkUg8vbfHwIp8Ql&#10;NIL/ANXZTVqVNfDKsmOIDOJTOEPIw78sx5ABujEFNhpzkCpoTlMpdzM4wFp02WNq1J8MHEUcAb+r&#10;yRLyoSelK43aapR+syJVWHEeJx4VtCSNz2G9dzhApQUFJN6NdvbfJBTJIbu+NCAAPc5bAbtc5Wx6&#10;W+oGIIy7hYWks92G2qASe2SEaSTaWzSJWhPxHvlkWBYvqrGAclbdmoflQ5dFhIpPHdMAasclwhiC&#10;hJLxlk5I+/c5XPDGQ3ZxzSgbDINN81T2jxRygvCx4nr865h5tHCurk49TI9z0EXtvexBoWAJ3p3z&#10;USxCMnNhO0nuLxY29Kbap6jBwNvEll0YvtQnkD1GEQQZJWzFq8T17YkKJWkl3DyLAhgRvXAFlyY1&#10;PJPG5CMdu2S4bYIJtTePaQe1cEsQKQsOoowryp88h4IZIV72p61yMsIpIQxvjU16ZWcYZWhnvR3I&#10;yBgFtCST1FRQ1yBgniS+fjx5b7nImLKJtJp+JriAzpj9xboxJp1ycZmK8ILHrywjKsd619v6YfFM&#10;Q1iABSX9GR/5XXj26fdmH4p+23Lp8qj7f+fgM3OP+7Di5uaYQyEeHTLB9LAckasxO3bAqKjlFd/D&#10;CFVvXJNNqZZFCqsxWhy6KlEesW+LvkkK0DBmqTTbFU5gkPTjsB1xVHxMA1acdsVTFJAQOmKo5JQA&#10;BsRixki0YVqAKUxYq8czM/Ad8UFGuk0YBAqTtTFirxyTkUaPb2rkomipFoiKIyMalunTJ8YY8Ka2&#10;li7P0JHHv8xglO0gUyW0sihBavTKiWTJ7RCtBTtlUykJ1DUGldqdMrSm0BFBU0HtgItUwSYL3wcK&#10;olbgfzU2ycBuxnsF0dz8Zq21MtprtfPe+mlQ1MlCNlBKU/pkIx5OKdMyYY2qUkovb5J/7uQhwan5&#10;ZlYse7TMseuLsg7tU17Zmwg0koBronx+nMiMWqRtUiuGXoRkqYI1LgtttkojdVdJqHfpk0Kom3wh&#10;SiEmySEXHLuB1OKppFzC8qbYqu9Ug7jbJBhLk36+WxYL0nFdzljGfJXW7C9KHBTWjILpWPxbbZKK&#10;CiDOtK169MkhoyE77AZKHNBd6uWod6uEK71vCmSVwlJO9PowgKv9Q4eFVRJjXc0yMxsqJjuuJ6g7&#10;d8rpUULvl3pgIVXEnMABtxvkVVVYjetcatIVlmIO3348KbVRcbUrkZR2VUWbvyyFKj4bmV0Kersw&#10;pxPQ4kJCL05GnkeJTQgGqn5jcZXKVNgCamxeBuLuoLbKDlPiW2cKvFayKQ6qrgdQe+RM14U6jtop&#10;OMqo0clKFR0/VlGSezKEd03S0JQMxPMHp7ZRKbZSaW0JFBTrtlGSdBlEJ5bxem4IFKjrmNKVt0WS&#10;2dw0Jqp2pvlE423xNJ/FqQI5VpQdMxp42yM0wj1XktfUHhTMeWK22M166q6tRHINN/lkPAZ8SLi1&#10;jiamUb9shPDskSTGPVi5BoKdzv0+/MaeFtE0/tp4pV5cqim5HjlBx02CSJa4iRfhoT74OFlaFM/P&#10;w+eAxQSoPIF7jfamEBHE6NlJJJ2G+/TJkKCl93qA3hUCo64hKUsxZaKN61OTBpjLkofV2c965LjY&#10;Uqrbyoep+WCUrWkQskkf2txgBVDTalcI3CPYHuctibVIr7VXjU8z8ddifpzJxxaZMSuNUkfkWYUH&#10;QUzMjFxpsS1LUEaNmZqNWgHvvmTji48mN+pcPQIORfoBmWA0rSLhGCyRmvhkSyDIbEMACV4sRmNn&#10;FhsDKbaUIFJpXMCcS3QkmYvwSqhjUb1ykAgt9q8lw8gUh6fLCqXXMsyipbkCaUycObGSRztKWrXa&#10;uW0xQxumQ0DUI64RFUrvb+SlOQpXrlggwMmLXl8TUBq5YItZLHprhxU1rU0plkQi0G0pI+nJ0kFL&#10;57sx17kdMkApY1czm4J5PXfoMsiGsoIniPbJMUuuKHepBB6jErVqEdwC4SVv3f8AN3B7ZGcbDZHZ&#10;mOiatNH+4kIrHsBvuOx65qM+OnKwzspvqd4HUkrR2Hwn3zH4XI4mM2+ozxsyGjU61r/XHhTxK0t5&#10;X41PBxuff2yJDKMm0vYrpNyBJ4ZXTMm2O6jE4JKmm/XCEMbkkBYpLHsOjHxyZSEoulKjmjUFemRZ&#10;JHJfyR15UAHcVxq0F0WpxuPjORMEWqu6SJUOP45VKDKJtLpZpFJ4vlRDJBveyr9ogj6chwsolBPe&#10;hunXHhZ8SCmuar265GQplE2lUs1a198hLkx6oLmP+SmYTlPjsN8R+f8AAZvoD92HEzc0XG1dvDLY&#10;bxa+iJQnDwhUQu/enfJRgFRKD3ywRAVXjG/0ZIbIKNiAbY+GG0ItUVaChOIKCUyhcjYV+nCjiRyl&#10;yKHr1xUyVlMm3hgtHGUxgVm2qemFeK02hjkoB26174qnFvHCtCa86e2Amlq0wqNhWpyPEnhCZWyK&#10;x33275GcjS8ITmC1jJqUpt1GV8RXhTWC2AO1aUwiZC8ITiCEbA1pj4hXhCdwwrxG52yEpFeEIqnG&#10;hPywAlNBXE4VRUgDJxBKC762o71+WWDGwMlC41RIVr2rTfLsWIW1TnshE12MlKU3ah/zrl/ghr4y&#10;i7jUVccFO9KmuSjiALGUzTG7i7HI1bauZEINJmUvkuwPiRjyPX5Zl4oC2qcjSXSXbA18cyowDSZF&#10;tZS9KH6Mmdgo3RMcnE798QbQQmEKuTyWm475LkxTKONVBMrAbbU8cQUEqPq7mhH0ZZAWWPErLKcs&#10;4Qto2FqitaH2x4Qtpqly6p8T/D2x4QtqT3RO1a4RFhM7OE5OWANXEVUSe+TAUyteshJ7nJUxR6zr&#10;w4haN44gILlmYN2I8MNIR4lBQUOSiFWiRq9qZNFN8z3NMIKkOEg8a4bQu9TwpkondWxJXrTLLVeH&#10;3wHdV3qe+R4Aq8THxApgMAVV0uWr1HTB4YVFJdEdaEYDABUSl0Ce2ClVfUB3B3wGNquEzLkTEJtH&#10;QSk/Z69QcgYsolHwyzRyB60cbhh1yicAW2JZ5ZXNvqduqXYCXCCqz9CabUOYsoCO4bAVyJJBOqhu&#10;S9B4ZTKRZgMq0zi0hEgUt79KZjTmWyMQE8u4IkjEikA1pQZVZbKQlvqEa/C6U47hshKPEikxF/FN&#10;RFIQjcnIeEyBpXXUIoBT1Q3jh8NlxlQbWebD05AADuPEZXLEGUZJxbag0tCF4qBu3jlUsADYJkKt&#10;xqpQfuxuPtH2yPhBPilLU1qblzEe3Spr/XIywgpjlLILXW2XiJDuw+z2pmPPThtGQsxsNXfgAgUK&#10;R03/AK5i5MAptjlTEajWv81Poyg4g2DIrxXzMD0FO++VyxsuK0TDKJd2JPyyHDSrprkqDGoHscib&#10;Kg0hFRCKvTmTufbCIsuNRlZYjRemTMUcSitweW3YVwcBXiDpLt61FK4jHfNBksNxIRvQVyfAoSq5&#10;lcAmoPyycI7onsGNXchkryUtTcVzKhs0SLHrha7leCg7mmZUZNE2J6wLRQT6vJid0G1BQ75l4i48&#10;kv01nRxJzBA/u19vfMuWwa4iymVwZJHLcqE717DKrbOEKKyzIAof1DXt2GVzApNJompekoD7075S&#10;cYLIGkRDrMbMOQCDx3/rlcsEWYyFFtq6s/GPoBWuR/Lx80+IXLqyM1JBt2+eA4xDcMuK1Oa5jNHD&#10;Aiu4wWVQE8kMq1jah71xBLGR2YVq19JAWAXkK0r/AJnMiG7WxFtQZmIdeJ65kxxxLEhSN6hPFfix&#10;MQEKgmVhuAMhxFIY9qkhCkqQN/65ZHdLGEuKM1AC2WgMSFT1CV+MU8CDkZGmNIG4NEr2rlYmSU0k&#10;TzUqTSg7HvmRVhU0h1Eo8MwYCgAJ/hmFnxgtmLYsgl1mKeJWJBPTbMQ4Q5AKUS6goPILTsTkTjZ3&#10;SXHVauQa5A4bTxoaTUQjBkko9dhg/LhkMlprHfrexgVo6j4h75TOHDybo7pZcx8tq13yqMrNFnQD&#10;Gr1JIyd6rXeuT2VI5yjLSnfEUOSCLQKG3jY+oPgO1R2xRwtTRR8TLZ3IfxRjx2yEo2nkln16RarI&#10;gB9jXKjAMgbUZLkON1yHCzCWySAEkVByNJQryE/Rlc2cOaAlf36/0OVzGyOqG9U/8PmC5T5FU8m3&#10;8T09qZv4f3YcTNzRkdB0/HLMfJr6IpD+rJqiYmLNQeGEFUdGoO1d8lao6K3qak7EYLUotIQjdTSm&#10;NsVQ17ZOJ3QVRJ2jILbjtk2KYrdhqELvhAQUZFdIftDoMNITC3u15UIoAK1wEJCdxXqEBVFTgSm0&#10;B5ip2JGRkkI+NARXkfmcgyTi0ADDeu2RnyVk9vxNAelOoytU0iZQaL4d8VRizgeFfDFUxivECeDf&#10;y41bGTT3qkfLfLBBjaWXWrRqlK0IO2X44bsJyoJYdb+E7iv05eMbQZoCS/muv3SCoJqWNctjGmPF&#10;aIghMXGrcmB5e2SQm3qq/wATMEYLT2yURuxlySS5c8jVqgnYjMiEWoqEB5Oa16ZkD0tcnTxlKGlR&#10;XJxmwpE2MDXYYxjiF6nJGVrSZGwdBVgQB+1hiWMlH62YSBQMqnfJ3bAI+G4hn3ncIOqgbfrrkgxK&#10;nLJFzpFuv8xy7HzYdVyS5alNLeT4a064qiPiPfbFWxiwyclUVoKZYGlVQ79d6ZMKqVII364VV1Y1&#10;pXthCCrBz0woRUXHhQsR4UyQVeZPT2rU+4ySry/JRigqfMg4ULhJvkoc1XhgcsVdyAxVsPXFVwY/&#10;LFVVG369sVVfUxpVRZaUODhVFRXFD9HfIyGyoxZA1OmVlU0gbjQgA12PyyDKKcQuGXZamvU5TNti&#10;jYHeNt2+HsPDMabZFktrdLx+M122PfMaYbQmEV8eVEbiRvXMeUbbUx/SM3ChYOPA/wC3kOBbQrXT&#10;MTWoA3oMkIWtodr1+zECvXJeGtrTcO1TzO2A46RapC7yEMGIp1A3yuUGcZMnttYWCIIQzEDbam/v&#10;lUoM+JQ/SUkkpd3AHgOmQ4EcSYxahFSjbgilB+vHgtPEqC+hLqwdqgU417ZVPGzE2QW+s8EVQ9Mx&#10;p42fGmlvrdftMD2yg4WYyJ9DqylVAJJY0yqWFujO00/SSQRghvibamVnCz4m475n3bevTKpYqXiU&#10;Z9TMZCkUNa4Y414kkvdYYAkGhGXY8PEWEp0EhXzC4b45OIrTauW/l2HippFraOBSWvzyGTDwi0jJ&#10;aO/SDSLRHBPX6Mp4WwTUyZnBJNPfBVMpSsISQEKSzCvtlsGspFc3otyQY/UU7UArl4aZsM1JYLhn&#10;YD03bpzG3yzKwlx5JXZQukhZmACD4vA7jYZlzOzCHNN0JuCKLxQGgVupym21UlRUBMa8XA3XBapU&#10;8UrD1Gbjv/d4qpMrEc6Up0U/rwFV0Ly7k18NsikKzeqRUBtt8hPk2xbV2ZTseQ6j2yumSFM5VirA&#10;gYRFiRaXXaiT4vtb1ocmDTHhSG609ZVaRSF2+z3yyGRjMUGETvLbXDKELDoTlolbWqNdO4Cg8e5q&#10;cZDZQl19yJVS9Q2SgySGaBl91PQ98u6LSItEXozjcd+uUTK07ULYLGStQvienQ5XA2UEMJuSQSoP&#10;vmcOTFD+u3p8TQUNcx5i2UTRbjvStRyoAMqMG6JR4uhJbswapHUDIcFsiWOS6j8Zr8PHY/LD4bG0&#10;unvlI5o5BB64+GyEk00zVBwFZPiY0rmNmxt0Jp5+koyD8QJU0zXzhTkxlaXXN5DKDX7VdgOmV8JZ&#10;JBcqH3jNG/aQ5KINqklyCBQtxYHrk1SwyMG+M7/zdsBQVNyTuCCT3yssgl8rXCEkUOVFmgjcyqx5&#10;UIyBVRa8HcAfLISbIc0NJODuPen3HK58kdUN6n665gOU+UEFSPpP6s3sD+7DiZeaKQ0P0ZbjOzDo&#10;rq9fbLBuhUVyDsckQqYQS0O57ZFU0FyOIFQAO+SiLKCse7oQQag5PgCti8dgNh+P9cIjTGSoJWfY&#10;7U32yYYqyzuuwOTiGMiiY5pK1Db5JhxJrbuzU5HIyDKJT+2PGhXrlZZsigkagJPbpkCbW02gcbV+&#10;IYKTaZJOVI4rgItQU8tLqRmAK7U7ZWRTJNBPLyIVD88igld60g+I0r4ZOMbRaFmv5UNQR4V3/rl0&#10;MQtjOWyEk1SWn29yaZbwBq4ihRJJM1Xb4euW4oi2MjYblUgfAK+OZADUYq1rcPHReBodsZMYgWji&#10;zsyhHIJPTIbs6CsVncGNmrTcHJw5okAvh06VgZJn+EdAMvEyGHAEZDZKx5KTvthOUlhPGKRH1ZQD&#10;G9TTcHvhGQtfCEyW0CRILYhQ27eNcsEyWMo0gbuWaBaSyVFdhlsS1kJKZA9WB3banbLgwA3RSrF6&#10;YDGjj7stiGJDYZdgCOvQZbXDuwKa2Fm12wCGlPtE+GQllISE++rxxRlUbmyGjDbpkY5iSmkAZ6vx&#10;Gw8T45fGVsTsqh+JFTU98sprluiFk+VKYWHC2T3B375IFaVI6t8VTT3x4k0iNwKj5ZKMmJDayMp3&#10;pvtkrY0iEnYFSppvvhBUhWmmaRgSe3TJWhpZSOtKYQbVcJd+2SRTfq/LCDSkN+r8sPGUO9U9qZKM&#10;rULxIckml6yGu9MVpUWXfbFaX+qThWlyy42tKqzb9sjLcLSJWcilCMr4VpMob0CgpyPhkJRoJCe2&#10;uoUXgxPE7gHxzHk2xTUTVQMv0ZjTbIo21uT+192VEWztN451FD0OVnGGXEUSLvbYgYPDRxLTc+Df&#10;PCIUvEpSTb/a+jJUvE5LgBhXp3pkZDZNov60oasRKqRvlfCkSpr62V3BrXbqcicYLLjLRvCdhtg8&#10;EI4y767Iu4emPhAIMyqx6iQ1S4rTrkDiBSMhR8WrNyUFxQnKpaeNNgyEp9Z3vImjUXuffMaeIBlx&#10;lkUOqNbxs7MCaUUZj+HbOGUgqCa3LK5d3+EdBj4DcMpKP/xN6aijEt0AGQlpwk5FFtdkkblLIAT0&#10;H+ZwDTgd7HxSgrvVo+P95U13GXYcO7CeQkMVuNSQuRy6nb55k+CGviVoNRaIg+oPkcryacSG7KMy&#10;CnMXmBiVCfaH2qdKZjy00Q2jIWTWPmL1BwlioOzHKMmEANschKYzXUcqBk2JP8Mp4aZkpLPJIpZw&#10;Au32jk4Gzu1yCQXQe6BDKHC7ig6Hpl8Z8LWYAqMVkzQkuOJHQDbLfFMtmPhgKSy+k/KV1BjHwoDQ&#10;5IAoKsZ4gObseUnQ5MRPVjaClnj5AKebV74JbJCiJZZGIEYHauV2WVIlBJCORC0yJJDIBXW7+A1C&#10;gEUrTvkOIlmlTzyB2KEcTja7qDMzbsAceKkjdByLyJqSKeGAytnwoG4UKhbkanapxBosJxsMZuLQ&#10;SnkSKE5YMhDX4aUz2SwgyIh2/aOTGUy2RwUk95Uqrhdx4ZbGaOFKGZpD127jJSyGkgK9tHCrcpDQ&#10;ruMr4rZUgNZvC8ThGoq/ZHatMnjiLYyGzA3vCWoV7bk5kcTCkHJcVr0yNKlslwRyoa4OFkDSLtbt&#10;jC6g0PHfAY0nitjN1dMJHBO1cQqCNwGUjl92EhbWQ3JTYOdjUZj5Igs4yKPW/dRUNXxzFlhDk4pm&#10;1KTUHO9SCN9sqOEN/EiU1RZYeRossY6+I8OuVygAkStTmu4LmOvRwKke+V0yYzcT1qvIrQ1BOAxW&#10;gULFfcX4yHbs2VmKUySRJCSzAoRt88qkKZAoW4hFOSfFU7j2zHlIhsAS+S3HHmPi7FR1ysSMjRZx&#10;iEumiNKptTscMxsgDdBcpPbpmB+tyafLqEginv8Awzdw/uw4eXmrcj9OW4+TDouVyDlsUKwbLEq6&#10;yGm2NIRCSM1ATQeOGIUoxEQ0XkT33yaEaiqCF/HEsSiQqDbvTthDFYaHcVplgYS5K6bGmFgm1u1K&#10;VO1MBSDSdQTjYeGVFlxJ9bzjYE7ZEc0g2mS3YXuBkqZK31//ACqfLEhCYWmpyrLGAa1PbKzFbZct&#10;9J6dfsgnrlUhS22LkNUk1NK5KCUtuZ+Y323zJgwnyQaoHb7RPemWtSIaRogAB7ZPHzUrFvRE4Dg8&#10;Dsx75ewKbQXUDCvNfFa+HvjVtdoxby0kcCN1DKPiPvg4VtM7Z4VYvLICtN8MRSgoiXUrdIyqryqf&#10;h+WTZKMWohIn4RgGnfCAwnyQ8uoFUWViAx2I36ZZENS6HWI3Rgr8SoqMuhFjLkhVuGvSVepA3rlh&#10;FNRRS20aKOtScAkwHNTkieMlj8a02IzIgWMkKsx5V4UPTLSdmDL9FaXg0cQCtKpXk3zHyyiZZgI8&#10;6XdxgyeoTJ0cKdsqjLdkYoZ7KcuqlgCd8yYTYEKHIxSmORgSO+ZMJW1mK/1wDxU1HjliOFGRmtST&#10;2xQQv9SlAtMWK71mrQ0pkooLjMfEZNgrJKRvsa7YQgqyOD1woXFwO+Sirlloetcmq4y18MUFtZCD&#10;1xQuMvyxCheJenTDbJv1d6VAyUTuq9ZKnrlirxJTpiq4SnxxVeJSO+RKqqzmu9MiqPgfmdutK7ZG&#10;Q2UJtEXFA32exOY8w2xZFbTgoFruMxpxbArmVwa1oPbK+Fkqm8KqKt9+EQtWv0iQPtDJeErhqW/2&#10;hkZwoKva/Zj8NMrpW1vHruQPliYpCoL1+nLBwsl4vG/mwGKG/rjeORpWjeMB2OPCiSwXZJ32w8Ch&#10;HW85LihqDt8spzCotsWaW0tIRX4VVa8u+YhjbJLtQ8wpGVjRgQu58T+OGOHdjKVJX/iBpdkPEdaG&#10;v9cn4KjIioNUbd2etBgOBmcjUmslmqG9u+DwEcag2ps9SWwjFS8doY3gZgQd+uHgW0THc1NWNaDp&#10;gMFBTSC+jYiNV+I9T7ZRODYCnsNygFPU4kdsxpwtugU5s9SYIwVg5A6NuPwyg42y1Sa4uHAJbZu3&#10;bKzjRdomzu7e2jZXjZ5G616fRg4CqT6jrCIrmNGQg0FBXf6Mv08alugsDu3nu3M8bOzjcry7fLrm&#10;aKaygLjUdTSNAVYqCAF6UOSNdGKcafqcvog3FnyI3LDr+vKZhIR82pxwhWjR1L9jlUY7pKgurys1&#10;G+zTpv8A1wmCgpnb3yymgUFafjlGQUG6G6PCI4qF45VxNlLXhTju1MBktJZOnEEqeW/TBaUnnJdS&#10;GFADWtMIKEqYopIrUnph4lpCTyUTgwBBPTCJIIY9fUZaU4ivbLRNjwpBJbGNS0R5E9a9aZZxWghI&#10;ri7KycX+Hj0phCGN397IzstRw7ZfjYy5JA8pFeRqtcta0E0wZiOmKoKVwN+RGKqcF0UcivIMOORk&#10;kJLqD8JG8Saj5Yhkkn1gqW6YShVSUFak5RNkGzdECganvlLfA0VJ7kkH48iQ22opckV+KuUZI7Mo&#10;ltbwoTv175VTO0DcXFTyrUV74iKQUkmuyWNWoOwyJgm2oNWaFwGPJDscpnDZlEpwdQJQPG9UbYg9&#10;cxZwbAVAakUNK0J65Tw0W6BtTkuuRryG+xwT5KOalVP5j9mua/8AW5L5cTr77/wzdwvww4WXm0a1&#10;yzHyYdFy5dFCuv498tCq6VySolO1PxxClW/echTChM4eX7VOn04liVZPt7/5jCEbIhqUHSntkwwn&#10;yXJXlh3a0xSvEUwbqjYfUr2yBVOoPV26fjkY82UUb+99vxybLdf8W1Ovvj70G0ytfW5pwpX2yJpd&#10;2WwfWfT/AHn2a7V8comkIk+pwPD7ff5YYUk2lEvr78uldvnmVCmE7pSH1io9Ote+WbNaNP1jivPx&#10;/HJ46tSgLr19unGv05eKayor6/H4fHvWuSjw9WqVt2/r+oOPWu/XrhNMGWxev6Y5+HvgZQ5rm9fa&#10;n0Ydmw2h5frdDyrw7U8clHha53Syb616SepX067fPL48LWox1rtTpvl+OrYSuk/0z7R604mv3jBO&#10;mBTZ+VRx+z75VHmxFLz6nBq048dqdPxzIgxlST/H6g8K5d0YDmzSx5+j+7+3x+H51HTKJtgZfpHq&#10;ehP9apXkK160+nMf1XtTZt1U7r6t6n7v7VNumXQ4urXKmFX/AB9ZuPLnXfM3Fzaih4+VO9e1cyGO&#10;6cxcuAr4dsWMm158u1O3XFiublXt9GTigtffkmCJXoPHCEFWXp7+2HdDjWm+GNq0K+9cnuqovvXp&#10;jugrxTthQ09aCnjikOFcUr++1clDmqrHWv0ZZuqtjursd1dgKt7/ALPXIqjrb1+Q4Ur3+WApCfw/&#10;WOI58ae9com2RTO258tutN69Mx5tsUyPPjvlezJAT86fTk4c0HyQh55YjdfFy5Cv05Xk5LumG9Nq&#10;V+nKdl3bHqe344RTIKi8670/HHZK8+p2yMlK0et7fjkNkbtN63an44Y0g21+925fhhSE7sq1HGvK&#10;m9elMx9R9PxbYp/P9c+qN6f2ad61/DKI0k2wST1vVPOtcvhw21ZLrdEwc+R5eGW7NcUefV9M+n0/&#10;HImmxDW/Pk3qcvavTBslNU9PiK1yMktfu67ZWlEJSgyMrSE1h9P936X95XfKJ22BFSV9RvwygtkV&#10;Wx+s83py4+3zGVSZ7sjb1+Ef2uPv1rkAyCIj9X4a9K98LJq0+revP9ap6dD18ajpkTfSl26oKT9G&#10;Vl+qf3lT0pWnv7YY+J5fa1ypiV59X5D6zy4eoOPHpyof4VzJhbBMYfq3AehT7PxU60+nbBJIQF3X&#10;gOX2q/D88jGrWSXNy9LevL2yRpARmn+p+xz9+VP4ZjZqpvx3bKYPW4jlWlMxC3r5eXHfpXIG1KAn&#10;rw+HrgYpJL61PauSCQlkvOo5eOSZKE/Cg5dcUFILr06ty6dslFCVinFqdPxy4X0Yy82F6x6fMU68&#10;u3yPXLY31YFi17x4CteXL8N8vh5MJeaVNwoeVcs3Y7JZLXkeFKY7oNJXd86Dpxr71woQY9T9nr7Z&#10;GXJIQGo+ryHOvKn0YhkkJ51NafRkjSFyerx7UyidMgpSer2p198pboKf7yhrSv04C2KSepvlM+TO&#10;K2T1KGmVM0K/qen8Xj2xCpBc8qnEqlp9XkaV+jKp1TKNpla/WePelNsxZ02hEt6m3Lx2zHLdj5qM&#10;nq1HGv09MqyVSRzb/wBM/wAj+79+ua/9blP/2VBLAwQUAAYACAAAACEA9VbcedwAAAALAQAADwAA&#10;AGRycy9kb3ducmV2LnhtbEyPwU7DMBBE70j8g7VI3KidIoU0xKkoCME1LR/gxps4Il5HsduGv2d7&#10;gtvszmr2TbVd/CjOOMchkIZspUAgtcEO1Gv4Orw/FCBiMmTNGAg1/GCEbX17U5nShgs1eN6nXnAI&#10;xdJocClNpZSxdehNXIUJib0uzN4kHude2tlcONyPcq1ULr0ZiD84M+Grw/Z7f/Ia3jqFH21j1zhm&#10;h8+Gup17etxpfX+3vDyDSLikv2O44jM61Mx0DCeyUYwauEjibaaKHMTVzzaK1ZFVXuQbkHUl/3eo&#10;fwE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YWP8ToIEAABqDAAA&#10;DgAAAAAAAAAAAAAAAAA9AgAAZHJzL2Uyb0RvYy54bWxQSwECLQAKAAAAAAAAACEA36BjRXSqAAB0&#10;qgAAFAAAAAAAAAAAAAAAAADrBgAAZHJzL21lZGlhL2ltYWdlMS5qcGdQSwECLQAUAAYACAAAACEA&#10;9VbcedwAAAALAQAADwAAAAAAAAAAAAAAAACRsQAAZHJzL2Rvd25yZXYueG1sUEsBAi0AFAAGAAgA&#10;AAAhADedwRi6AAAAIQEAABkAAAAAAAAAAAAAAAAAmrIAAGRycy9fcmVscy9lMm9Eb2MueG1sLnJl&#10;bHNQSwUGAAAAAAYABgB8AQAAi7MAAAAA&#10;" path="m2381,596v,,,,,c2095,239,1568,,964,,604,,271,85,,230v,927,,927,,927c2381,1157,2381,1157,2381,1157r,-561xe" stroked="f">
              <v:fill r:id="rId2" o:title="" recolor="t" rotate="t" type="frame"/>
              <v:path arrowok="t" o:connecttype="custom" o:connectlocs="7560000,1891540;7560000,1891540;3060832,0;0,729957;0,3672000;7560000,3672000;7560000,1891540" o:connectangles="0,0,0,0,0,0,0"/>
              <w10:wrap anchorx="page" anchory="page"/>
            </v:shape>
          </w:pict>
        </mc:Fallback>
      </mc:AlternateContent>
    </w:r>
    <w:r>
      <w:rPr>
        <w:noProof/>
        <w:lang w:eastAsia="en-AU"/>
      </w:rPr>
      <mc:AlternateContent>
        <mc:Choice Requires="wps">
          <w:drawing>
            <wp:anchor distT="0" distB="0" distL="114300" distR="114300" simplePos="0" relativeHeight="251656192" behindDoc="0" locked="0" layoutInCell="1" allowOverlap="1" wp14:anchorId="7C5586F0" wp14:editId="599E7910">
              <wp:simplePos x="0" y="0"/>
              <wp:positionH relativeFrom="page">
                <wp:posOffset>0</wp:posOffset>
              </wp:positionH>
              <wp:positionV relativeFrom="page">
                <wp:posOffset>7039429</wp:posOffset>
              </wp:positionV>
              <wp:extent cx="7560000" cy="1891971"/>
              <wp:effectExtent l="0" t="0" r="3175" b="0"/>
              <wp:wrapNone/>
              <wp:docPr id="4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000" cy="1891971"/>
                      </a:xfrm>
                      <a:custGeom>
                        <a:avLst/>
                        <a:gdLst>
                          <a:gd name="T0" fmla="*/ 964 w 2381"/>
                          <a:gd name="T1" fmla="*/ 0 h 596"/>
                          <a:gd name="T2" fmla="*/ 0 w 2381"/>
                          <a:gd name="T3" fmla="*/ 230 h 596"/>
                          <a:gd name="T4" fmla="*/ 0 w 2381"/>
                          <a:gd name="T5" fmla="*/ 589 h 596"/>
                          <a:gd name="T6" fmla="*/ 1187 w 2381"/>
                          <a:gd name="T7" fmla="*/ 158 h 596"/>
                          <a:gd name="T8" fmla="*/ 2381 w 2381"/>
                          <a:gd name="T9" fmla="*/ 596 h 596"/>
                          <a:gd name="T10" fmla="*/ 964 w 2381"/>
                          <a:gd name="T11" fmla="*/ 0 h 596"/>
                        </a:gdLst>
                        <a:ahLst/>
                        <a:cxnLst>
                          <a:cxn ang="0">
                            <a:pos x="T0" y="T1"/>
                          </a:cxn>
                          <a:cxn ang="0">
                            <a:pos x="T2" y="T3"/>
                          </a:cxn>
                          <a:cxn ang="0">
                            <a:pos x="T4" y="T5"/>
                          </a:cxn>
                          <a:cxn ang="0">
                            <a:pos x="T6" y="T7"/>
                          </a:cxn>
                          <a:cxn ang="0">
                            <a:pos x="T8" y="T9"/>
                          </a:cxn>
                          <a:cxn ang="0">
                            <a:pos x="T10" y="T11"/>
                          </a:cxn>
                        </a:cxnLst>
                        <a:rect l="0" t="0" r="r" b="b"/>
                        <a:pathLst>
                          <a:path w="2381" h="596">
                            <a:moveTo>
                              <a:pt x="964" y="0"/>
                            </a:moveTo>
                            <a:cubicBezTo>
                              <a:pt x="604" y="0"/>
                              <a:pt x="271" y="85"/>
                              <a:pt x="0" y="230"/>
                            </a:cubicBezTo>
                            <a:cubicBezTo>
                              <a:pt x="0" y="589"/>
                              <a:pt x="0" y="589"/>
                              <a:pt x="0" y="589"/>
                            </a:cubicBezTo>
                            <a:cubicBezTo>
                              <a:pt x="277" y="326"/>
                              <a:pt x="705" y="158"/>
                              <a:pt x="1187" y="158"/>
                            </a:cubicBezTo>
                            <a:cubicBezTo>
                              <a:pt x="1672" y="158"/>
                              <a:pt x="2104" y="330"/>
                              <a:pt x="2381" y="596"/>
                            </a:cubicBezTo>
                            <a:cubicBezTo>
                              <a:pt x="2095" y="239"/>
                              <a:pt x="1568" y="0"/>
                              <a:pt x="964" y="0"/>
                            </a:cubicBezTo>
                            <a:close/>
                          </a:path>
                        </a:pathLst>
                      </a:custGeom>
                      <a:solidFill>
                        <a:srgbClr val="FFFFFF">
                          <a:alpha val="5019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380ADFB" id="Freeform 9" o:spid="_x0000_s1026" style="position:absolute;margin-left:0;margin-top:554.3pt;width:595.3pt;height:148.95pt;z-index:251653120;visibility:visible;mso-wrap-style:square;mso-wrap-distance-left:9pt;mso-wrap-distance-top:0;mso-wrap-distance-right:9pt;mso-wrap-distance-bottom:0;mso-position-horizontal:absolute;mso-position-horizontal-relative:page;mso-position-vertical:absolute;mso-position-vertical-relative:page;v-text-anchor:top" coordsize="238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w6AMAAFwKAAAOAAAAZHJzL2Uyb0RvYy54bWysVm2PmzgQ/n7S/QfLH0/KggkEiJatbrtN&#10;ddLetVL3foADJqADzNnOy7bqf++MDVmSbtrodPlAjP3weOaZGY9v3xzahuyE0rXsMspufEpEl8ui&#10;7jYZ/ftpNUso0YZ3BW9kJzL6LDR9c/frL7f7fikCWcmmEIoASaeX+z6jlTH90vN0XomW6xvZiw4W&#10;S6labuBVbbxC8T2wt40X+P7C20tV9ErmQmuYfXCL9M7yl6XIzYey1MKQJqNgm7FPZZ9rfHp3t3y5&#10;Ubyv6nwwg/8HK1ped7DpkeqBG062qv6Oqq1zJbUszU0uW0+WZZ0L6wN4w/wzbz5VvBfWFxBH90eZ&#10;9P9Hm/+1+6hIXWQ0DCjpeAsxWikhUHGSojz7Xi8B9an/qNBB3T/K/B8NC97JCr5owJD1/k9ZAAvf&#10;GmklOZSqxS/BWXKwyj8flRcHQ3KYjKOFDz9KclhjScrSmOHmHl+On+dbbd4Laan47lEbF7oCRlb4&#10;YrD+CVjKtoEo/uaRdBGSPQnmiWWD8BxRbILySUWidDEkwxECghyJ/As08wkmmF8gCiegS0TRBBMl&#10;6esWLSYgxpL4glHxFBYlr3NBYR69Q4EucKUTGGj0Ohe7UvMLokOUN2MceTWGNj90Q2xhRDgeKL5N&#10;qF5qTCQMNGTL05gogMJEuACGYCJ4PmTVj8EQMARHV4EhKAiOrwKD6gi2lQVu/9gMlBXR7MRF99kg&#10;jYIT7vxsU5TA2bZ26dxzg4qiMjgk+4zaciBVRjHncaGVO/EkLcSgslA1dmN7PMJ2L+v5dl3n9+Lz&#10;FL3wJ2jYxVIEUL9oe2I1HGedP1Ano1YndK+Ruy+gIAZvLPnPJ1Gjn3IHMRQK2DgPhtJ3psc+1CJM&#10;syiZbor1Np2/agu2iF3inZEFbBBt7rQYBXKhgc2H4+iqTQI/dRYH8xOZWLRw6Ta0OefeeXDPdGqk&#10;Fu7gxXSxJ/Axhaw1L6ewlk1drOqmwczRarN+2yiy49BpV/Znc4s3fcXdbOQzd8gCzwC3/Cc8jS3i&#10;TiKvs8PNQKcY0hh7hm2tX1IWhP59kM5WiySehaswmqWxn8xgn/sU0jINH1Zf0QoWLqu6KET3WHdi&#10;bPMsvK6NDhcO16Bto8ciSqMgsg6eWH+iAnY06GnOixOYktuugHm+rAQv3g1jw+vGjb1Ti61K4Pb4&#10;b4Ww7Rc7rmvRa1k8Q/dV0l1x4EoGg0qqz5Ts4XqTUf3vlitBSfNHB/eHlIUhlJGxL2EUB/Cipivr&#10;6QrvcqDKqKFwDuPwrXF3qG2v6k0FOzGrRSd/h65f1tibrX3OquEFrjDWg+G6hXek6btFvVwK774B&#10;AAD//wMAUEsDBBQABgAIAAAAIQDGLgx/3QAAAAsBAAAPAAAAZHJzL2Rvd25yZXYueG1sTI/BTsMw&#10;EETvSPyDtUjcqJ0CUUnjVKEKPUPLB7jxNkkbr6PYbcPfsz3BbXZnNfsmX02uFxccQ+dJQzJTIJBq&#10;bztqNHzvPp4WIEI0ZE3vCTX8YIBVcX+Xm8z6K33hZRsbwSEUMqOhjXHIpAx1i86EmR+Q2Dv40ZnI&#10;49hIO5orh7tezpVKpTMd8YfWDLhusT5tz07Dqd6ViXxX6+N883xA/KzKTVVp/fgwlUsQEaf4dww3&#10;fEaHgpn2/kw2iF4DF4m8TdQiBXHzkzfFas/qRaWvIItc/u9Q/AIAAP//AwBQSwECLQAUAAYACAAA&#10;ACEAtoM4kv4AAADhAQAAEwAAAAAAAAAAAAAAAAAAAAAAW0NvbnRlbnRfVHlwZXNdLnhtbFBLAQIt&#10;ABQABgAIAAAAIQA4/SH/1gAAAJQBAAALAAAAAAAAAAAAAAAAAC8BAABfcmVscy8ucmVsc1BLAQIt&#10;ABQABgAIAAAAIQAWF/Tw6AMAAFwKAAAOAAAAAAAAAAAAAAAAAC4CAABkcnMvZTJvRG9jLnhtbFBL&#10;AQItABQABgAIAAAAIQDGLgx/3QAAAAsBAAAPAAAAAAAAAAAAAAAAAEIGAABkcnMvZG93bnJldi54&#10;bWxQSwUGAAAAAAQABADzAAAATAcAAAAA&#10;" path="m964,c604,,271,85,,230,,589,,589,,589,277,326,705,158,1187,158v485,,917,172,1194,438c2095,239,1568,,964,xe" stroked="f">
              <v:fill opacity="32896f"/>
              <v:path arrowok="t" o:connecttype="custom" o:connectlocs="3060832,0;0,730123;0,1869750;3768887,501563;7560000,1891971;3060832,0" o:connectangles="0,0,0,0,0,0"/>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4E873" w14:textId="233A5821" w:rsidR="00F42A40" w:rsidRDefault="00F42A40" w:rsidP="00B16888">
    <w:pPr>
      <w:pStyle w:val="Footer"/>
      <w:tabs>
        <w:tab w:val="right" w:pos="9593"/>
      </w:tabs>
    </w:pPr>
    <w:r>
      <w:t>Assessment of hazardous waste infrastructure needs and capacities in Australia 2018</w:t>
    </w:r>
    <w:r>
      <w:tab/>
    </w:r>
    <w:r w:rsidR="001B1D4E">
      <w:t>Final (non-confidential version)</w:t>
    </w:r>
  </w:p>
  <w:p w14:paraId="606688C6" w14:textId="77777777" w:rsidR="00F42A40" w:rsidRPr="00AB236F" w:rsidRDefault="00F42A40" w:rsidP="001D22FE">
    <w:pPr>
      <w:pStyle w:val="Footer"/>
      <w:tabs>
        <w:tab w:val="clear" w:pos="9072"/>
      </w:tabs>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sidR="00A1102D">
      <w:rPr>
        <w:rStyle w:val="PageNumber"/>
        <w:noProof/>
      </w:rPr>
      <w:t>xiv</w:t>
    </w:r>
    <w:r w:rsidRPr="00AB236F">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7C45C" w14:textId="755EF249" w:rsidR="00F42A40" w:rsidRDefault="00F42A40" w:rsidP="00B16888">
    <w:pPr>
      <w:pStyle w:val="Footer"/>
      <w:tabs>
        <w:tab w:val="right" w:pos="9593"/>
      </w:tabs>
    </w:pPr>
    <w:r>
      <w:t>Assessment of hazardous waste infrastructure needs and capacities in Australia 2018</w:t>
    </w:r>
    <w:r>
      <w:tab/>
    </w:r>
    <w:r>
      <w:tab/>
    </w:r>
    <w:r>
      <w:tab/>
    </w:r>
    <w:r>
      <w:tab/>
    </w:r>
    <w:r>
      <w:tab/>
    </w:r>
    <w:r>
      <w:tab/>
    </w:r>
    <w:r>
      <w:tab/>
    </w:r>
    <w:r>
      <w:tab/>
    </w:r>
    <w:r w:rsidR="001B1D4E">
      <w:t>Final (non-confidential version)</w:t>
    </w:r>
  </w:p>
  <w:p w14:paraId="0384EA39" w14:textId="77777777" w:rsidR="00F42A40" w:rsidRPr="00AB236F" w:rsidRDefault="00F42A40"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sidR="00A1102D">
      <w:rPr>
        <w:rStyle w:val="PageNumber"/>
        <w:noProof/>
      </w:rPr>
      <w:t>xvi</w:t>
    </w:r>
    <w:r w:rsidRPr="00AB236F">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F8847" w14:textId="4B2D0582" w:rsidR="00F42A40" w:rsidRDefault="00F42A40" w:rsidP="00B16888">
    <w:pPr>
      <w:pStyle w:val="Footer"/>
      <w:tabs>
        <w:tab w:val="right" w:pos="9593"/>
      </w:tabs>
    </w:pPr>
    <w:r>
      <w:t>Assessment of hazardous waste infrastructure needs and capacities in Australia 2018</w:t>
    </w:r>
    <w:r>
      <w:tab/>
    </w:r>
    <w:r w:rsidR="001B1D4E">
      <w:t>Final (non-confidential version)</w:t>
    </w:r>
  </w:p>
  <w:p w14:paraId="382BFC7C" w14:textId="77777777" w:rsidR="00F42A40" w:rsidRPr="00AB236F" w:rsidRDefault="00F42A40"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sidR="00A1102D">
      <w:rPr>
        <w:rStyle w:val="PageNumber"/>
        <w:noProof/>
      </w:rPr>
      <w:t>xix</w:t>
    </w:r>
    <w:r w:rsidRPr="00AB236F">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88102" w14:textId="77777777" w:rsidR="00F42A40" w:rsidRDefault="00F42A4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F314A" w14:textId="41F0E3AB" w:rsidR="00F42A40" w:rsidRDefault="00F42A40" w:rsidP="002A3A54">
    <w:pPr>
      <w:pStyle w:val="Footer"/>
    </w:pPr>
    <w:r>
      <w:fldChar w:fldCharType="begin"/>
    </w:r>
    <w:r>
      <w:instrText xml:space="preserve"> DOCPROPERTY  xTitle  \* MERGEFORMAT </w:instrText>
    </w:r>
    <w:r>
      <w:fldChar w:fldCharType="separate"/>
    </w:r>
    <w:r w:rsidR="00EB634D">
      <w:rPr>
        <w:b/>
        <w:bCs/>
        <w:lang w:val="en-US"/>
      </w:rPr>
      <w:t>Error! Unknown document property name.</w:t>
    </w:r>
    <w:r>
      <w:fldChar w:fldCharType="end"/>
    </w:r>
    <w:r>
      <w:tab/>
    </w:r>
    <w:r>
      <w:tab/>
    </w:r>
    <w:r w:rsidRPr="00E45412">
      <w:t>Project</w:t>
    </w:r>
    <w:r>
      <w:t xml:space="preserve"> number </w:t>
    </w:r>
    <w:r>
      <w:fldChar w:fldCharType="begin"/>
    </w:r>
    <w:r>
      <w:instrText xml:space="preserve"> DOCPROPERTY  xProjectNumber  \* MERGEFORMAT </w:instrText>
    </w:r>
    <w:r>
      <w:fldChar w:fldCharType="separate"/>
    </w:r>
    <w:r w:rsidR="00EB634D">
      <w:rPr>
        <w:b/>
        <w:bCs/>
        <w:lang w:val="en-US"/>
      </w:rPr>
      <w:t>Error! Unknown document property name.</w:t>
    </w:r>
    <w:r>
      <w:fldChar w:fldCharType="end"/>
    </w:r>
    <w:r>
      <w:t xml:space="preserve"> </w:t>
    </w:r>
    <w:r>
      <w:fldChar w:fldCharType="begin"/>
    </w:r>
    <w:r>
      <w:instrText xml:space="preserve"> DOCPROPERTY  xDraft  \* MERGEFORMAT </w:instrText>
    </w:r>
    <w:r>
      <w:fldChar w:fldCharType="separate"/>
    </w:r>
    <w:r w:rsidR="00EB634D">
      <w:rPr>
        <w:b/>
        <w:bCs/>
        <w:lang w:val="en-US"/>
      </w:rPr>
      <w:t>Error! Unknown document property name.</w:t>
    </w:r>
    <w:r>
      <w:fldChar w:fldCharType="end"/>
    </w:r>
    <w:r>
      <w:t xml:space="preserve"> report Version </w:t>
    </w:r>
  </w:p>
  <w:p w14:paraId="1732AE37" w14:textId="77777777" w:rsidR="00F42A40" w:rsidRPr="005459E4" w:rsidRDefault="00F42A40" w:rsidP="002A3A54">
    <w:pPr>
      <w:pStyle w:val="Footer"/>
    </w:pPr>
    <w:r>
      <w:tab/>
    </w:r>
    <w:r w:rsidRPr="00EE4519">
      <w:t xml:space="preserve">Page </w:t>
    </w:r>
    <w:r w:rsidRPr="00EE4519">
      <w:rPr>
        <w:rStyle w:val="PageNumber"/>
        <w:rFonts w:cs="Arial"/>
        <w:szCs w:val="18"/>
      </w:rPr>
      <w:fldChar w:fldCharType="begin"/>
    </w:r>
    <w:r w:rsidRPr="00EE4519">
      <w:rPr>
        <w:rStyle w:val="PageNumber"/>
        <w:rFonts w:cs="Arial"/>
        <w:szCs w:val="18"/>
      </w:rPr>
      <w:instrText xml:space="preserve"> PAGE </w:instrText>
    </w:r>
    <w:r w:rsidRPr="00EE4519">
      <w:rPr>
        <w:rStyle w:val="PageNumber"/>
        <w:rFonts w:cs="Arial"/>
        <w:szCs w:val="18"/>
      </w:rPr>
      <w:fldChar w:fldCharType="separate"/>
    </w:r>
    <w:r>
      <w:rPr>
        <w:rStyle w:val="PageNumber"/>
        <w:rFonts w:cs="Arial"/>
        <w:noProof/>
        <w:szCs w:val="18"/>
      </w:rPr>
      <w:t>60</w:t>
    </w:r>
    <w:r w:rsidRPr="00EE4519">
      <w:rPr>
        <w:rStyle w:val="PageNumber"/>
        <w:rFonts w:cs="Arial"/>
        <w:szCs w:val="18"/>
      </w:rPr>
      <w:fldChar w:fldCharType="end"/>
    </w:r>
  </w:p>
  <w:p w14:paraId="5665BBD8" w14:textId="77777777" w:rsidR="00F42A40" w:rsidRDefault="00F42A40"/>
  <w:p w14:paraId="7992DB4F" w14:textId="77777777" w:rsidR="00F42A40" w:rsidRDefault="00F42A40"/>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37DB1" w14:textId="4050CD87" w:rsidR="00F42A40" w:rsidRDefault="00F42A40" w:rsidP="00931BAA">
    <w:pPr>
      <w:pStyle w:val="Footer"/>
      <w:tabs>
        <w:tab w:val="clear" w:pos="9072"/>
        <w:tab w:val="right" w:pos="13892"/>
      </w:tabs>
    </w:pPr>
    <w:r>
      <w:t>Assessment of hazardous waste infrastructure needs and capacities in Australia 2018</w:t>
    </w:r>
    <w:r>
      <w:tab/>
    </w:r>
    <w:r w:rsidR="001B1D4E">
      <w:t>Final (non-confidential version)</w:t>
    </w:r>
  </w:p>
  <w:p w14:paraId="1CB9C565" w14:textId="77777777" w:rsidR="00F42A40" w:rsidRPr="00AB236F" w:rsidRDefault="00F42A40"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sidR="00A1102D">
      <w:rPr>
        <w:rStyle w:val="PageNumber"/>
        <w:noProof/>
      </w:rPr>
      <w:t>18</w:t>
    </w:r>
    <w:r w:rsidRPr="00AB236F">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2D4946" w14:textId="77777777" w:rsidR="00076A85" w:rsidRPr="00477147" w:rsidRDefault="00076A85" w:rsidP="00547C1A">
      <w:pPr>
        <w:rPr>
          <w:color w:val="4D4DB8" w:themeColor="accent1"/>
        </w:rPr>
      </w:pPr>
      <w:bookmarkStart w:id="0" w:name="_Hlk487465832"/>
      <w:bookmarkEnd w:id="0"/>
      <w:r w:rsidRPr="00477147">
        <w:rPr>
          <w:color w:val="4D4DB8" w:themeColor="accent1"/>
        </w:rPr>
        <w:separator/>
      </w:r>
    </w:p>
  </w:footnote>
  <w:footnote w:type="continuationSeparator" w:id="0">
    <w:p w14:paraId="7DC67F86" w14:textId="77777777" w:rsidR="00076A85" w:rsidRDefault="00076A85" w:rsidP="00547C1A">
      <w:r>
        <w:continuationSeparator/>
      </w:r>
    </w:p>
  </w:footnote>
  <w:footnote w:id="1">
    <w:p w14:paraId="6F202764" w14:textId="1391A12D" w:rsidR="00F42A40" w:rsidRDefault="00F42A40">
      <w:pPr>
        <w:pStyle w:val="FootnoteText"/>
      </w:pPr>
      <w:r>
        <w:rPr>
          <w:rStyle w:val="FootnoteReference"/>
        </w:rPr>
        <w:footnoteRef/>
      </w:r>
      <w:r>
        <w:t xml:space="preserve"> For a discussion on these terms, see Section </w:t>
      </w:r>
      <w:r>
        <w:fldChar w:fldCharType="begin"/>
      </w:r>
      <w:r>
        <w:instrText xml:space="preserve"> REF _Ref408404160 \r \h </w:instrText>
      </w:r>
      <w:r>
        <w:fldChar w:fldCharType="separate"/>
      </w:r>
      <w:r w:rsidR="00EB634D">
        <w:t>1.2</w:t>
      </w:r>
      <w:r>
        <w:fldChar w:fldCharType="end"/>
      </w:r>
      <w:r>
        <w:t>.</w:t>
      </w:r>
    </w:p>
  </w:footnote>
  <w:footnote w:id="2">
    <w:p w14:paraId="43093F18" w14:textId="6E16E2B7" w:rsidR="00F42A40" w:rsidRDefault="00F42A40">
      <w:pPr>
        <w:pStyle w:val="FootnoteText"/>
      </w:pPr>
      <w:r>
        <w:rPr>
          <w:rStyle w:val="FootnoteReference"/>
        </w:rPr>
        <w:footnoteRef/>
      </w:r>
      <w:r w:rsidRPr="004410A4">
        <w:t xml:space="preserve"> </w:t>
      </w:r>
      <w:r>
        <w:t>NSW, Qld</w:t>
      </w:r>
      <w:r w:rsidRPr="004410A4">
        <w:t>, SA, V</w:t>
      </w:r>
      <w:r>
        <w:t>ic</w:t>
      </w:r>
      <w:r w:rsidRPr="004410A4">
        <w:t xml:space="preserve"> and WA have waste tracking system</w:t>
      </w:r>
      <w:r>
        <w:t xml:space="preserve">s for </w:t>
      </w:r>
      <w:r w:rsidRPr="004410A4">
        <w:rPr>
          <w:u w:val="single"/>
        </w:rPr>
        <w:t>intra</w:t>
      </w:r>
      <w:r w:rsidRPr="004410A4">
        <w:t xml:space="preserve">state and </w:t>
      </w:r>
      <w:r w:rsidRPr="004410A4">
        <w:rPr>
          <w:u w:val="single"/>
        </w:rPr>
        <w:t>inter</w:t>
      </w:r>
      <w:r w:rsidRPr="004410A4">
        <w:t>state</w:t>
      </w:r>
      <w:r>
        <w:t xml:space="preserve"> waste movements</w:t>
      </w:r>
      <w:r w:rsidRPr="004410A4">
        <w:t xml:space="preserve">, whilst </w:t>
      </w:r>
      <w:r>
        <w:t>ACT, NT, and Tas</w:t>
      </w:r>
      <w:r w:rsidRPr="004410A4">
        <w:t xml:space="preserve">, currently only have </w:t>
      </w:r>
      <w:r w:rsidRPr="004410A4">
        <w:rPr>
          <w:u w:val="single"/>
        </w:rPr>
        <w:t>inter</w:t>
      </w:r>
      <w:r w:rsidRPr="004410A4">
        <w:t>state waste tracking system</w:t>
      </w:r>
      <w:r>
        <w:t>s</w:t>
      </w:r>
      <w:r w:rsidRPr="004410A4">
        <w:t>.</w:t>
      </w:r>
    </w:p>
  </w:footnote>
  <w:footnote w:id="3">
    <w:p w14:paraId="2D91A163" w14:textId="588CF020" w:rsidR="00F42A40" w:rsidRPr="00100F0A" w:rsidRDefault="00F42A40" w:rsidP="00F62FA9">
      <w:pPr>
        <w:pStyle w:val="FootnoteText"/>
      </w:pPr>
      <w:r w:rsidRPr="00100F0A">
        <w:rPr>
          <w:rStyle w:val="FootnoteReference"/>
        </w:rPr>
        <w:footnoteRef/>
      </w:r>
      <w:r w:rsidRPr="00100F0A">
        <w:t xml:space="preserve"> The waste hierarchy expresses a policy preference in which recovery of waste is seen as preferable to treatment, and treatment is seen as preferable to untreated disposal.</w:t>
      </w:r>
    </w:p>
  </w:footnote>
  <w:footnote w:id="4">
    <w:p w14:paraId="424B7D7A" w14:textId="77777777" w:rsidR="00F42A40" w:rsidRDefault="00F42A40" w:rsidP="00F64C8A">
      <w:pPr>
        <w:pStyle w:val="FootnoteText"/>
      </w:pPr>
      <w:r>
        <w:rPr>
          <w:rStyle w:val="FootnoteReference"/>
        </w:rPr>
        <w:footnoteRef/>
      </w:r>
      <w:r>
        <w:t xml:space="preserve"> Waste lithium ion batteries are regulated as hazardous waste for international transport, but currently not for domestic transport</w:t>
      </w:r>
    </w:p>
  </w:footnote>
  <w:footnote w:id="5">
    <w:p w14:paraId="65199340" w14:textId="77777777" w:rsidR="00F42A40" w:rsidRDefault="00F42A40" w:rsidP="00F64C8A">
      <w:pPr>
        <w:pStyle w:val="FootnoteText"/>
      </w:pPr>
      <w:r>
        <w:rPr>
          <w:rStyle w:val="FootnoteReference"/>
        </w:rPr>
        <w:footnoteRef/>
      </w:r>
      <w:r>
        <w:t xml:space="preserve"> Despite NSW and Qld both having significant capacity (as noted above) the projected waste oil sent for re-refining exceeds capacity over the projection period.</w:t>
      </w:r>
    </w:p>
  </w:footnote>
  <w:footnote w:id="6">
    <w:p w14:paraId="2132E79A" w14:textId="77777777" w:rsidR="00F42A40" w:rsidRPr="00100F0A" w:rsidRDefault="00F42A40" w:rsidP="00F64C8A">
      <w:pPr>
        <w:pStyle w:val="FootnoteText"/>
      </w:pPr>
      <w:r w:rsidRPr="00100F0A">
        <w:rPr>
          <w:rStyle w:val="FootnoteReference"/>
        </w:rPr>
        <w:footnoteRef/>
      </w:r>
      <w:r w:rsidRPr="00100F0A">
        <w:t xml:space="preserve"> Port Pirie </w:t>
      </w:r>
      <w:r w:rsidRPr="00100F0A">
        <w:rPr>
          <w:color w:val="000000"/>
          <w:szCs w:val="20"/>
        </w:rPr>
        <w:t>is understood to have unconstrained capacity to process waste from the Hobart Zinc smelting operations</w:t>
      </w:r>
      <w:r>
        <w:rPr>
          <w:color w:val="000000"/>
          <w:szCs w:val="20"/>
        </w:rPr>
        <w:t>.</w:t>
      </w:r>
    </w:p>
  </w:footnote>
  <w:footnote w:id="7">
    <w:p w14:paraId="38EBC142" w14:textId="77777777" w:rsidR="00F42A40" w:rsidRDefault="00F42A40" w:rsidP="00F64C8A">
      <w:pPr>
        <w:pStyle w:val="FootnoteText"/>
      </w:pPr>
      <w:r>
        <w:rPr>
          <w:rStyle w:val="FootnoteReference"/>
        </w:rPr>
        <w:footnoteRef/>
      </w:r>
      <w:r>
        <w:t xml:space="preserve"> T</w:t>
      </w:r>
      <w:r w:rsidRPr="00100F0A">
        <w:rPr>
          <w:color w:val="080808"/>
          <w:lang w:eastAsia="en-AU"/>
        </w:rPr>
        <w:t>he Mount Walton Intractable Waste facility</w:t>
      </w:r>
      <w:r>
        <w:rPr>
          <w:color w:val="080808"/>
          <w:lang w:eastAsia="en-AU"/>
        </w:rPr>
        <w:t xml:space="preserve"> in WA is included in the seven hazardous waste landfills. It has historically only operated on a campaign basis and Tellus Holdings are</w:t>
      </w:r>
      <w:r w:rsidRPr="00100F0A">
        <w:rPr>
          <w:color w:val="080808"/>
          <w:lang w:eastAsia="en-AU"/>
        </w:rPr>
        <w:t xml:space="preserve"> building a long-term isolation facility </w:t>
      </w:r>
      <w:r>
        <w:rPr>
          <w:color w:val="080808"/>
          <w:lang w:eastAsia="en-AU"/>
        </w:rPr>
        <w:t>five km from site. The future operation of the Mount Walton Intractable waste facility is assumed unlikely following establishment of the Tellus Holdings site next-door.</w:t>
      </w:r>
    </w:p>
  </w:footnote>
  <w:footnote w:id="8">
    <w:p w14:paraId="0B3CFD34" w14:textId="5730A40D" w:rsidR="00F42A40" w:rsidRDefault="00F42A40" w:rsidP="00567CF9">
      <w:pPr>
        <w:pStyle w:val="FootnoteText"/>
      </w:pPr>
      <w:r>
        <w:rPr>
          <w:rStyle w:val="FootnoteReference"/>
        </w:rPr>
        <w:footnoteRef/>
      </w:r>
      <w:r>
        <w:t xml:space="preserve"> For a discussion on these terms, see Section </w:t>
      </w:r>
      <w:r>
        <w:fldChar w:fldCharType="begin"/>
      </w:r>
      <w:r>
        <w:instrText xml:space="preserve"> REF _Ref408404160 \r \h </w:instrText>
      </w:r>
      <w:r>
        <w:fldChar w:fldCharType="separate"/>
      </w:r>
      <w:r w:rsidR="00EB634D">
        <w:t>1.2</w:t>
      </w:r>
      <w:r>
        <w:fldChar w:fldCharType="end"/>
      </w:r>
      <w:r>
        <w:t>.</w:t>
      </w:r>
    </w:p>
  </w:footnote>
  <w:footnote w:id="9">
    <w:p w14:paraId="01D9F6AF" w14:textId="77777777" w:rsidR="00F42A40" w:rsidRPr="003A3C43" w:rsidRDefault="00F42A40" w:rsidP="006838E9">
      <w:pPr>
        <w:pStyle w:val="FootnoteText"/>
      </w:pPr>
      <w:r w:rsidRPr="003A3C43">
        <w:rPr>
          <w:rStyle w:val="FootnoteReference"/>
        </w:rPr>
        <w:footnoteRef/>
      </w:r>
      <w:r w:rsidRPr="003A3C43">
        <w:t xml:space="preserve"> From AS/NZS 3831:1998 </w:t>
      </w:r>
      <w:r w:rsidRPr="003A3C43">
        <w:rPr>
          <w:i/>
        </w:rPr>
        <w:t>Waste Management – Glossary of Terms.</w:t>
      </w:r>
    </w:p>
  </w:footnote>
  <w:footnote w:id="10">
    <w:p w14:paraId="21D93A45" w14:textId="4FDC0B51" w:rsidR="00F42A40" w:rsidRPr="003A3C43" w:rsidRDefault="00F42A40" w:rsidP="006838E9">
      <w:pPr>
        <w:pStyle w:val="FootnoteText"/>
      </w:pPr>
      <w:r w:rsidRPr="003A3C43">
        <w:rPr>
          <w:rStyle w:val="FootnoteReference"/>
        </w:rPr>
        <w:footnoteRef/>
      </w:r>
      <w:r w:rsidRPr="003A3C43">
        <w:t xml:space="preserve"> For example, the Australian Government has considered waste lithium ion batteries as hazardous</w:t>
      </w:r>
      <w:r>
        <w:t xml:space="preserve"> in assessing the adequacy of hazardous waste infrastructure</w:t>
      </w:r>
      <w:r w:rsidRPr="003A3C43">
        <w:t>.</w:t>
      </w:r>
      <w:r w:rsidRPr="002F582A">
        <w:t xml:space="preserve"> </w:t>
      </w:r>
      <w:r>
        <w:t>Lithium ion batteries are regulated as hazardous waste for the purposes of international movement, but not at the moment for domestic movement</w:t>
      </w:r>
    </w:p>
  </w:footnote>
  <w:footnote w:id="11">
    <w:p w14:paraId="259D205E" w14:textId="77777777" w:rsidR="00F42A40" w:rsidRPr="005275DA" w:rsidRDefault="00F42A40" w:rsidP="006838E9">
      <w:pPr>
        <w:pStyle w:val="FootnoteText"/>
        <w:rPr>
          <w:sz w:val="14"/>
        </w:rPr>
      </w:pPr>
      <w:r w:rsidRPr="003A3C43">
        <w:rPr>
          <w:rStyle w:val="FootnoteReference"/>
        </w:rPr>
        <w:footnoteRef/>
      </w:r>
      <w:r w:rsidRPr="003A3C43">
        <w:t xml:space="preserve"> Environment ACT (2000) </w:t>
      </w:r>
      <w:r w:rsidRPr="003A3C43">
        <w:rPr>
          <w:i/>
        </w:rPr>
        <w:t xml:space="preserve">ACT Environmental Standards: Assessment and Classification of Liquid &amp; Non-liquid Wastes, </w:t>
      </w:r>
      <w:r w:rsidRPr="003A3C43">
        <w:t xml:space="preserve">June, available from: </w:t>
      </w:r>
      <w:hyperlink r:id="rId1" w:history="1">
        <w:r w:rsidRPr="005275DA">
          <w:rPr>
            <w:rStyle w:val="Hyperlink"/>
            <w:rFonts w:eastAsiaTheme="majorEastAsia"/>
            <w:sz w:val="18"/>
          </w:rPr>
          <w:t>http://www.environment.act.gov.au/__data/assets/pdf_file/0005/585500/wastestandards.pdf</w:t>
        </w:r>
      </w:hyperlink>
    </w:p>
  </w:footnote>
  <w:footnote w:id="12">
    <w:p w14:paraId="297B32C1" w14:textId="6C44A356" w:rsidR="00F42A40" w:rsidRDefault="00F42A40">
      <w:pPr>
        <w:pStyle w:val="FootnoteText"/>
      </w:pPr>
      <w:r>
        <w:rPr>
          <w:rStyle w:val="FootnoteReference"/>
        </w:rPr>
        <w:footnoteRef/>
      </w:r>
      <w:r>
        <w:t xml:space="preserve"> Waste lithium ion batteries are regulated as hazardous waste for international transport, but currently not for domestic transport</w:t>
      </w:r>
    </w:p>
  </w:footnote>
  <w:footnote w:id="13">
    <w:p w14:paraId="2AA232CD" w14:textId="2C5D9462" w:rsidR="00F42A40" w:rsidRPr="00100F0A" w:rsidRDefault="00F42A40" w:rsidP="00601CB2">
      <w:pPr>
        <w:pStyle w:val="FootnoteText"/>
      </w:pPr>
      <w:r w:rsidRPr="00100F0A">
        <w:rPr>
          <w:rStyle w:val="FootnoteReference"/>
        </w:rPr>
        <w:footnoteRef/>
      </w:r>
      <w:r w:rsidRPr="00100F0A">
        <w:t xml:space="preserve"> The ‘primary function’ of the infrastructure refers to the waste management that the infrastructure provides (e.g. recycling, treatment, disposal).</w:t>
      </w:r>
    </w:p>
  </w:footnote>
  <w:footnote w:id="14">
    <w:p w14:paraId="11989108" w14:textId="4359A491" w:rsidR="00F42A40" w:rsidRDefault="00F42A40">
      <w:pPr>
        <w:pStyle w:val="FootnoteText"/>
      </w:pPr>
      <w:r>
        <w:rPr>
          <w:rStyle w:val="FootnoteReference"/>
        </w:rPr>
        <w:footnoteRef/>
      </w:r>
      <w:r>
        <w:t xml:space="preserve"> Waste lithium ion batteries are regulated as hazardous waste for international transport, but currently not for domestic transport</w:t>
      </w:r>
    </w:p>
  </w:footnote>
  <w:footnote w:id="15">
    <w:p w14:paraId="3FA90175" w14:textId="07E02A71" w:rsidR="00F42A40" w:rsidRPr="00100F0A" w:rsidRDefault="00F42A40">
      <w:pPr>
        <w:pStyle w:val="FootnoteText"/>
      </w:pPr>
      <w:r w:rsidRPr="00100F0A">
        <w:rPr>
          <w:rStyle w:val="FootnoteReference"/>
        </w:rPr>
        <w:footnoteRef/>
      </w:r>
      <w:r w:rsidRPr="00100F0A">
        <w:rPr>
          <w:rStyle w:val="FootnoteReference"/>
        </w:rPr>
        <w:footnoteRef/>
      </w:r>
      <w:r w:rsidRPr="00100F0A">
        <w:t xml:space="preserve"> This differs from the tonnage reported in Australia’s report to the Basel Convention because: the Basel report conservatively includes all biosolids; in this project some adjustments were made to make tonnages more representative (the grey shading in </w:t>
      </w:r>
      <w:r w:rsidRPr="00100F0A">
        <w:fldChar w:fldCharType="begin"/>
      </w:r>
      <w:r w:rsidRPr="00100F0A">
        <w:instrText xml:space="preserve"> REF _Ref419126685 \h </w:instrText>
      </w:r>
      <w:r w:rsidRPr="00100F0A">
        <w:fldChar w:fldCharType="separate"/>
      </w:r>
      <w:r w:rsidR="00EB634D" w:rsidRPr="00100F0A">
        <w:t xml:space="preserve">Table </w:t>
      </w:r>
      <w:r w:rsidR="00EB634D">
        <w:rPr>
          <w:noProof/>
        </w:rPr>
        <w:t>6</w:t>
      </w:r>
      <w:r w:rsidRPr="00100F0A">
        <w:fldChar w:fldCharType="end"/>
      </w:r>
      <w:r w:rsidRPr="00100F0A">
        <w:t xml:space="preserve">); and the Basel reports are by calendar year rather than financial year. </w:t>
      </w:r>
    </w:p>
  </w:footnote>
  <w:footnote w:id="16">
    <w:p w14:paraId="34B2D1AC" w14:textId="31E2BDC4" w:rsidR="00F42A40" w:rsidRPr="00100F0A" w:rsidRDefault="00F42A40" w:rsidP="00042612">
      <w:pPr>
        <w:pStyle w:val="FootnoteText"/>
      </w:pPr>
      <w:r w:rsidRPr="00100F0A">
        <w:rPr>
          <w:rStyle w:val="FootnoteReference"/>
        </w:rPr>
        <w:footnoteRef/>
      </w:r>
      <w:r w:rsidRPr="00100F0A">
        <w:t xml:space="preserve"> Comparison is between the current (2018) approach and that used in the 2015 projections. Only those assumptions that have resulted in significant changes to projections are discussed.</w:t>
      </w:r>
    </w:p>
  </w:footnote>
  <w:footnote w:id="17">
    <w:p w14:paraId="4B228D06" w14:textId="77777777" w:rsidR="00F42A40" w:rsidRPr="00100F0A" w:rsidRDefault="00F42A40" w:rsidP="00042612">
      <w:pPr>
        <w:pStyle w:val="FootnoteText"/>
      </w:pPr>
      <w:r w:rsidRPr="00100F0A">
        <w:rPr>
          <w:rStyle w:val="FootnoteReference"/>
        </w:rPr>
        <w:footnoteRef/>
      </w:r>
      <w:r w:rsidRPr="00100F0A">
        <w:t xml:space="preserve"> Note that M160a and M160b have been combined in modelling to M160 a&amp;b because their infrastructure needs are the same.</w:t>
      </w:r>
    </w:p>
  </w:footnote>
  <w:footnote w:id="18">
    <w:p w14:paraId="0788FB58" w14:textId="3DCFA4A3" w:rsidR="00F42A40" w:rsidRPr="00100F0A" w:rsidRDefault="00F42A40" w:rsidP="00042612">
      <w:pPr>
        <w:pStyle w:val="FootnoteText"/>
      </w:pPr>
      <w:r w:rsidRPr="00100F0A">
        <w:rPr>
          <w:rStyle w:val="FootnoteReference"/>
        </w:rPr>
        <w:footnoteRef/>
      </w:r>
      <w:r w:rsidRPr="00100F0A">
        <w:t xml:space="preserve"> The data obtained from these three jurisdictions included ANZSIC codes, allowing this level of analysis. Other jurisdictions did not provide this data. </w:t>
      </w:r>
    </w:p>
  </w:footnote>
  <w:footnote w:id="19">
    <w:p w14:paraId="2577EF74" w14:textId="77777777" w:rsidR="00F42A40" w:rsidRPr="00100F0A" w:rsidRDefault="00F42A40" w:rsidP="00601CB2">
      <w:pPr>
        <w:pStyle w:val="FootnoteText"/>
      </w:pPr>
      <w:r w:rsidRPr="00100F0A">
        <w:rPr>
          <w:rStyle w:val="FootnoteReference"/>
        </w:rPr>
        <w:footnoteRef/>
      </w:r>
      <w:r w:rsidRPr="00100F0A">
        <w:t xml:space="preserve"> </w:t>
      </w:r>
      <w:hyperlink r:id="rId2" w:history="1">
        <w:r w:rsidRPr="00100F0A">
          <w:rPr>
            <w:rStyle w:val="Hyperlink"/>
            <w:rFonts w:eastAsiaTheme="majorEastAsia"/>
            <w:sz w:val="18"/>
          </w:rPr>
          <w:t>http://www.mercuryconvention.org/Convention</w:t>
        </w:r>
      </w:hyperlink>
      <w:r w:rsidRPr="00100F0A">
        <w:t xml:space="preserve"> </w:t>
      </w:r>
    </w:p>
  </w:footnote>
  <w:footnote w:id="20">
    <w:p w14:paraId="0529FCED" w14:textId="77777777" w:rsidR="00F42A40" w:rsidRPr="00100F0A" w:rsidRDefault="00F42A40" w:rsidP="00601CB2">
      <w:pPr>
        <w:pStyle w:val="FootnoteText"/>
      </w:pPr>
      <w:r w:rsidRPr="00100F0A">
        <w:rPr>
          <w:rStyle w:val="FootnoteReference"/>
        </w:rPr>
        <w:footnoteRef/>
      </w:r>
      <w:r w:rsidRPr="00100F0A">
        <w:t xml:space="preserve"> Geoscience Australia (2015). Zinc-Lead-Silver. Accessed April 14, 2015 from </w:t>
      </w:r>
    </w:p>
    <w:p w14:paraId="36D8C406" w14:textId="77777777" w:rsidR="00F42A40" w:rsidRPr="00100F0A" w:rsidRDefault="00A1102D" w:rsidP="00601CB2">
      <w:pPr>
        <w:pStyle w:val="FootnoteText"/>
      </w:pPr>
      <w:hyperlink r:id="rId3" w:history="1">
        <w:r w:rsidR="00F42A40" w:rsidRPr="00100F0A">
          <w:rPr>
            <w:rStyle w:val="Hyperlink"/>
            <w:rFonts w:eastAsiaTheme="majorEastAsia"/>
            <w:sz w:val="18"/>
          </w:rPr>
          <w:t>http://www.ga.gov.au/scientific-topics/minerals/mineral-resources/aimr/zinc-lead-silver</w:t>
        </w:r>
      </w:hyperlink>
      <w:r w:rsidR="00F42A40" w:rsidRPr="00100F0A">
        <w:t xml:space="preserve">  </w:t>
      </w:r>
    </w:p>
    <w:p w14:paraId="34E4EF4D" w14:textId="77777777" w:rsidR="00F42A40" w:rsidRPr="00100F0A" w:rsidRDefault="00F42A40" w:rsidP="00601CB2">
      <w:pPr>
        <w:pStyle w:val="FootnoteText"/>
      </w:pPr>
    </w:p>
  </w:footnote>
  <w:footnote w:id="21">
    <w:p w14:paraId="4DBD1DA3" w14:textId="77777777" w:rsidR="00F42A40" w:rsidRPr="00100F0A" w:rsidRDefault="00F42A40" w:rsidP="00601CB2">
      <w:pPr>
        <w:pStyle w:val="FootnoteText"/>
      </w:pPr>
      <w:r w:rsidRPr="00100F0A">
        <w:rPr>
          <w:rStyle w:val="FootnoteReference"/>
        </w:rPr>
        <w:footnoteRef/>
      </w:r>
      <w:r w:rsidRPr="00100F0A">
        <w:t xml:space="preserve"> Also including compounds containing these elements.</w:t>
      </w:r>
    </w:p>
  </w:footnote>
  <w:footnote w:id="22">
    <w:p w14:paraId="6A4D1940" w14:textId="659FD4AC" w:rsidR="00F42A40" w:rsidRPr="00100F0A" w:rsidRDefault="00F42A40">
      <w:pPr>
        <w:pStyle w:val="FootnoteText"/>
      </w:pPr>
      <w:r w:rsidRPr="00100F0A">
        <w:rPr>
          <w:rStyle w:val="FootnoteReference"/>
        </w:rPr>
        <w:footnoteRef/>
      </w:r>
      <w:r w:rsidRPr="00100F0A">
        <w:t xml:space="preserve"> Combined projections for M160a and M160b</w:t>
      </w:r>
    </w:p>
  </w:footnote>
  <w:footnote w:id="23">
    <w:p w14:paraId="46F8899C" w14:textId="15483FA8" w:rsidR="00F42A40" w:rsidRPr="00100F0A" w:rsidRDefault="00F42A40" w:rsidP="00601CB2">
      <w:pPr>
        <w:pStyle w:val="FootnoteText"/>
      </w:pPr>
      <w:r w:rsidRPr="00100F0A">
        <w:rPr>
          <w:rStyle w:val="FootnoteReference"/>
        </w:rPr>
        <w:footnoteRef/>
      </w:r>
      <w:r w:rsidRPr="00100F0A">
        <w:t xml:space="preserve"> REC (Randell Environmental Consulting 2016) National market development strategy for used tyres, produced for Tyre Stewardship Australia and various others, available at: </w:t>
      </w:r>
      <w:hyperlink r:id="rId4" w:history="1">
        <w:r w:rsidRPr="00100F0A">
          <w:rPr>
            <w:rStyle w:val="Hyperlink"/>
            <w:sz w:val="18"/>
          </w:rPr>
          <w:t>https://www.accc.gov.au/system/files/public-registers/documents/AA1000409%20-%20Tyre%20Stewardship%20Australia%20Limited%20-%20Annexure%203%20-%20Appendix%20F%20-%20National%20Market%20Development%20Strategy%20for%20Used%20Tyres%20-%2005.12.17%20-%20PR.pdf</w:t>
        </w:r>
      </w:hyperlink>
      <w:r w:rsidRPr="00100F0A">
        <w:t xml:space="preserve">  </w:t>
      </w:r>
    </w:p>
  </w:footnote>
  <w:footnote w:id="24">
    <w:p w14:paraId="01B13D90" w14:textId="7287DDC0" w:rsidR="00F42A40" w:rsidRDefault="00F42A40">
      <w:pPr>
        <w:pStyle w:val="FootnoteText"/>
      </w:pPr>
      <w:r>
        <w:rPr>
          <w:rStyle w:val="FootnoteReference"/>
        </w:rPr>
        <w:footnoteRef/>
      </w:r>
      <w:r>
        <w:t xml:space="preserve"> Waste lithium ion batteries are regulated as hazardous waste for international transport, but currently not for domestic transport</w:t>
      </w:r>
    </w:p>
  </w:footnote>
  <w:footnote w:id="25">
    <w:p w14:paraId="0304D750" w14:textId="038FD00A" w:rsidR="00F42A40" w:rsidRPr="00100F0A" w:rsidRDefault="00F42A40" w:rsidP="008C351A">
      <w:pPr>
        <w:pStyle w:val="FootnoteText"/>
      </w:pPr>
      <w:r w:rsidRPr="00100F0A">
        <w:rPr>
          <w:rStyle w:val="FootnoteReference"/>
        </w:rPr>
        <w:footnoteRef/>
      </w:r>
      <w:r w:rsidRPr="00100F0A">
        <w:t xml:space="preserve"> Refers to the maximum capacity that the current installed infrastructure </w:t>
      </w:r>
      <w:r w:rsidRPr="00100F0A">
        <w:rPr>
          <w:u w:val="single"/>
        </w:rPr>
        <w:t>could</w:t>
      </w:r>
      <w:r w:rsidRPr="00100F0A">
        <w:t xml:space="preserve"> process on an annual basis. For some sites, an EPA licence or planning permit amendments may be required to process the installed capacity tonnage.</w:t>
      </w:r>
    </w:p>
  </w:footnote>
  <w:footnote w:id="26">
    <w:p w14:paraId="6BC4CCCF" w14:textId="77777777" w:rsidR="00F42A40" w:rsidRPr="00100F0A" w:rsidRDefault="00F42A40" w:rsidP="002A3A54">
      <w:pPr>
        <w:pStyle w:val="BodyText"/>
        <w:rPr>
          <w:rFonts w:asciiTheme="minorHAnsi" w:hAnsiTheme="minorHAnsi" w:cs="Times New Roman"/>
          <w:color w:val="000000"/>
          <w:sz w:val="18"/>
          <w:szCs w:val="18"/>
          <w:lang w:eastAsia="en-AU"/>
        </w:rPr>
      </w:pPr>
      <w:r w:rsidRPr="00100F0A">
        <w:rPr>
          <w:rStyle w:val="FootnoteReference"/>
          <w:sz w:val="18"/>
          <w:szCs w:val="18"/>
        </w:rPr>
        <w:footnoteRef/>
      </w:r>
      <w:r w:rsidRPr="00100F0A">
        <w:rPr>
          <w:sz w:val="18"/>
          <w:szCs w:val="18"/>
        </w:rPr>
        <w:t xml:space="preserve"> Available from: </w:t>
      </w:r>
      <w:hyperlink r:id="rId5" w:history="1">
        <w:r w:rsidRPr="00100F0A">
          <w:rPr>
            <w:rStyle w:val="Hyperlink"/>
            <w:rFonts w:asciiTheme="minorHAnsi" w:hAnsiTheme="minorHAnsi" w:cs="Times New Roman"/>
            <w:sz w:val="18"/>
            <w:szCs w:val="18"/>
            <w:lang w:eastAsia="en-AU"/>
          </w:rPr>
          <w:t>http://www.environment.gov.au/protection/publications/hazardous-waste-infrastructure-australia</w:t>
        </w:r>
      </w:hyperlink>
    </w:p>
    <w:p w14:paraId="77F21C9B" w14:textId="77777777" w:rsidR="00F42A40" w:rsidRPr="00100F0A" w:rsidRDefault="00F42A40" w:rsidP="002A3A54">
      <w:pPr>
        <w:pStyle w:val="FootnoteText"/>
      </w:pPr>
    </w:p>
  </w:footnote>
  <w:footnote w:id="27">
    <w:p w14:paraId="7700A227" w14:textId="5BDBBF16" w:rsidR="00F42A40" w:rsidRPr="00A307F3" w:rsidRDefault="00F42A40">
      <w:pPr>
        <w:pStyle w:val="FootnoteText"/>
      </w:pPr>
      <w:r w:rsidRPr="008A6FC8">
        <w:rPr>
          <w:rStyle w:val="FootnoteReference"/>
        </w:rPr>
        <w:footnoteRef/>
      </w:r>
      <w:r w:rsidRPr="008A6FC8">
        <w:t xml:space="preserve"> Cement kilns were excluded from the 2015 assessment but are </w:t>
      </w:r>
      <w:r w:rsidRPr="00A307F3">
        <w:t>included in the 2018 assessment.</w:t>
      </w:r>
    </w:p>
  </w:footnote>
  <w:footnote w:id="28">
    <w:p w14:paraId="5E9B7FDB" w14:textId="6D481AC4" w:rsidR="00F42A40" w:rsidRDefault="00F42A40">
      <w:pPr>
        <w:pStyle w:val="FootnoteText"/>
      </w:pPr>
      <w:r>
        <w:rPr>
          <w:rStyle w:val="FootnoteReference"/>
        </w:rPr>
        <w:footnoteRef/>
      </w:r>
      <w:r>
        <w:t xml:space="preserve"> Smelters (i.e. iron smelting operations) are not included in the scope expansion as it is understood these sites do not take significant amounts of hazardous wastes or provide important hazwaste management capacity.</w:t>
      </w:r>
    </w:p>
  </w:footnote>
  <w:footnote w:id="29">
    <w:p w14:paraId="1DDA67FB" w14:textId="5A973B12" w:rsidR="00F42A40" w:rsidRPr="00100F0A" w:rsidRDefault="00F42A40" w:rsidP="009A2482">
      <w:pPr>
        <w:pStyle w:val="FootnoteText"/>
      </w:pPr>
      <w:r w:rsidRPr="00100F0A">
        <w:rPr>
          <w:rStyle w:val="FootnoteReference"/>
        </w:rPr>
        <w:footnoteRef/>
      </w:r>
      <w:r w:rsidRPr="00100F0A">
        <w:t xml:space="preserve"> The waste ‘management method’ of the infrastructure refers to the waste management provided at the site (e.g. recycling energy recovery, treatment, disposal, short-term storage or transfer, long-term storage). Some sites provide more than one waste management method, in which case, where significant, the site has more than one entry in the database.  </w:t>
      </w:r>
    </w:p>
  </w:footnote>
  <w:footnote w:id="30">
    <w:p w14:paraId="264AD11E" w14:textId="30E35263" w:rsidR="00F42A40" w:rsidRPr="00100F0A" w:rsidRDefault="00F42A40" w:rsidP="002A3A54">
      <w:pPr>
        <w:pStyle w:val="FootnoteText"/>
      </w:pPr>
      <w:r w:rsidRPr="00100F0A">
        <w:rPr>
          <w:rStyle w:val="FootnoteReference"/>
        </w:rPr>
        <w:footnoteRef/>
      </w:r>
      <w:r w:rsidRPr="00100F0A">
        <w:t xml:space="preserve"> The waste hierarchy expresses a policy preference in which recovery of waste is seen as preferable to treatment, and treatment is seen as preferable to untreated disposal.</w:t>
      </w:r>
    </w:p>
  </w:footnote>
  <w:footnote w:id="31">
    <w:p w14:paraId="39F92B2D" w14:textId="3A830E9F" w:rsidR="00F42A40" w:rsidRPr="00100F0A" w:rsidRDefault="00F42A40" w:rsidP="005002D7">
      <w:pPr>
        <w:pStyle w:val="FootnoteText"/>
      </w:pPr>
      <w:r w:rsidRPr="00100F0A">
        <w:rPr>
          <w:rStyle w:val="FootnoteReference"/>
        </w:rPr>
        <w:footnoteRef/>
      </w:r>
      <w:r w:rsidRPr="00100F0A">
        <w:t xml:space="preserve"> Expected future infrastructure capacity refers to infrastructure projects that are close to operational and will add additional capacity to the current installed capacity in Australia in the near future (advanced planning and construction or commissioning). It could also make reference to the planned closure of a facility that will reduce the infrastructure capacity in Australia.</w:t>
      </w:r>
    </w:p>
  </w:footnote>
  <w:footnote w:id="32">
    <w:p w14:paraId="607B94EA" w14:textId="7ADD83ED" w:rsidR="00F42A40" w:rsidRPr="00100F0A" w:rsidRDefault="00F42A40">
      <w:pPr>
        <w:pStyle w:val="FootnoteText"/>
      </w:pPr>
      <w:r w:rsidRPr="00100F0A">
        <w:rPr>
          <w:rStyle w:val="FootnoteReference"/>
        </w:rPr>
        <w:footnoteRef/>
      </w:r>
      <w:r w:rsidRPr="00100F0A">
        <w:t xml:space="preserve"> This includes the 1</w:t>
      </w:r>
      <w:r>
        <w:t>1</w:t>
      </w:r>
      <w:r w:rsidRPr="00100F0A">
        <w:t xml:space="preserve"> </w:t>
      </w:r>
      <w:r>
        <w:t xml:space="preserve">capacities </w:t>
      </w:r>
      <w:r w:rsidRPr="00100F0A">
        <w:t>that are still under construction or commissioning.</w:t>
      </w:r>
    </w:p>
  </w:footnote>
  <w:footnote w:id="33">
    <w:p w14:paraId="3F8F9D93" w14:textId="67E8AE64" w:rsidR="00F42A40" w:rsidRPr="00100F0A" w:rsidRDefault="00F42A40">
      <w:pPr>
        <w:pStyle w:val="FootnoteText"/>
      </w:pPr>
      <w:r w:rsidRPr="00100F0A">
        <w:rPr>
          <w:rStyle w:val="FootnoteReference"/>
        </w:rPr>
        <w:footnoteRef/>
      </w:r>
      <w:r w:rsidRPr="00100F0A">
        <w:t xml:space="preserve"> Derived from industry consultation (not from jurisdictions’ waste tracking system data).</w:t>
      </w:r>
    </w:p>
  </w:footnote>
  <w:footnote w:id="34">
    <w:p w14:paraId="649CE279" w14:textId="1F1B03ED" w:rsidR="00F42A40" w:rsidRPr="00100F0A" w:rsidRDefault="00F42A40">
      <w:pPr>
        <w:pStyle w:val="FootnoteText"/>
      </w:pPr>
      <w:r w:rsidRPr="00100F0A">
        <w:rPr>
          <w:rStyle w:val="FootnoteReference"/>
        </w:rPr>
        <w:footnoteRef/>
      </w:r>
      <w:r w:rsidRPr="00100F0A">
        <w:t xml:space="preserve"> The expected capacity change presents: 1. additional capacity coming on</w:t>
      </w:r>
      <w:r>
        <w:t>-</w:t>
      </w:r>
      <w:r w:rsidRPr="00100F0A">
        <w:t xml:space="preserve">line from new sites </w:t>
      </w:r>
      <w:r>
        <w:t xml:space="preserve">/ </w:t>
      </w:r>
      <w:r w:rsidRPr="00100F0A">
        <w:t>capacity that is under construction or commissioning</w:t>
      </w:r>
      <w:r>
        <w:t>,</w:t>
      </w:r>
      <w:r w:rsidRPr="00100F0A">
        <w:t xml:space="preserve"> and 2. </w:t>
      </w:r>
      <w:r>
        <w:t>l</w:t>
      </w:r>
      <w:r w:rsidRPr="00100F0A">
        <w:t>ikely decreases in capacity from infrastructure closures or capacity reductions (presented as a negative value). No reductions in capacity are identified in the 2018 assessment.</w:t>
      </w:r>
    </w:p>
  </w:footnote>
  <w:footnote w:id="35">
    <w:p w14:paraId="661D5F83" w14:textId="77777777" w:rsidR="00F42A40" w:rsidRPr="00100F0A" w:rsidRDefault="00F42A40" w:rsidP="00142641">
      <w:pPr>
        <w:pStyle w:val="BodyText"/>
        <w:tabs>
          <w:tab w:val="left" w:pos="8647"/>
        </w:tabs>
        <w:ind w:right="879"/>
        <w:rPr>
          <w:sz w:val="18"/>
        </w:rPr>
      </w:pPr>
      <w:r w:rsidRPr="00100F0A">
        <w:rPr>
          <w:rStyle w:val="FootnoteReference"/>
        </w:rPr>
        <w:footnoteRef/>
      </w:r>
      <w:r w:rsidRPr="00100F0A">
        <w:t xml:space="preserve"> </w:t>
      </w:r>
      <w:r w:rsidRPr="00100F0A">
        <w:rPr>
          <w:sz w:val="18"/>
        </w:rPr>
        <w:t xml:space="preserve">Source: EPA website </w:t>
      </w:r>
      <w:r w:rsidRPr="00100F0A">
        <w:rPr>
          <w:i/>
          <w:sz w:val="18"/>
        </w:rPr>
        <w:t xml:space="preserve">EPA tightens regulations on tyre stockpiling </w:t>
      </w:r>
      <w:hyperlink r:id="rId6" w:history="1">
        <w:r w:rsidRPr="00100F0A">
          <w:rPr>
            <w:rStyle w:val="Hyperlink"/>
            <w:i w:val="0"/>
            <w:sz w:val="18"/>
          </w:rPr>
          <w:t>http://www.epa.vic.gov.au/about-us/news-centre/news-and-updates/news/2015/april/15/epa-tightens-regulations-on-tyre-stockpiling</w:t>
        </w:r>
      </w:hyperlink>
      <w:r w:rsidRPr="00100F0A">
        <w:rPr>
          <w:i/>
          <w:sz w:val="18"/>
        </w:rPr>
        <w:t xml:space="preserve"> </w:t>
      </w:r>
      <w:r w:rsidRPr="00100F0A">
        <w:rPr>
          <w:sz w:val="18"/>
        </w:rPr>
        <w:t>(June 2015)</w:t>
      </w:r>
    </w:p>
    <w:p w14:paraId="0FE622D9" w14:textId="77777777" w:rsidR="00F42A40" w:rsidRPr="00100F0A" w:rsidRDefault="00F42A40" w:rsidP="00142641">
      <w:pPr>
        <w:pStyle w:val="FootnoteText"/>
      </w:pPr>
    </w:p>
  </w:footnote>
  <w:footnote w:id="36">
    <w:p w14:paraId="2FBBE849" w14:textId="77221291" w:rsidR="00F42A40" w:rsidRPr="00100F0A" w:rsidRDefault="00F42A40" w:rsidP="00132AFD">
      <w:pPr>
        <w:pStyle w:val="FootnoteText"/>
      </w:pPr>
      <w:r w:rsidRPr="00100F0A">
        <w:rPr>
          <w:rStyle w:val="FootnoteReference"/>
        </w:rPr>
        <w:footnoteRef/>
      </w:r>
      <w:r w:rsidRPr="00100F0A">
        <w:t xml:space="preserve"> The Qld levy is proposed to be increased to </w:t>
      </w:r>
      <w:r>
        <w:t>$</w:t>
      </w:r>
      <w:r w:rsidRPr="00100F0A">
        <w:t>155/tonne for Category 2 regulated waste on July 1 2019.</w:t>
      </w:r>
    </w:p>
  </w:footnote>
  <w:footnote w:id="37">
    <w:p w14:paraId="55AF32E2" w14:textId="77777777" w:rsidR="00F42A40" w:rsidRPr="00100F0A" w:rsidRDefault="00F42A40" w:rsidP="002A3A54">
      <w:pPr>
        <w:pStyle w:val="FootnoteText"/>
      </w:pPr>
      <w:r w:rsidRPr="00100F0A">
        <w:rPr>
          <w:rStyle w:val="FootnoteReference"/>
        </w:rPr>
        <w:footnoteRef/>
      </w:r>
      <w:r w:rsidRPr="00100F0A">
        <w:t xml:space="preserve"> Gate fee: refers to the cost of tipping net of landfill levy.</w:t>
      </w:r>
    </w:p>
  </w:footnote>
  <w:footnote w:id="38">
    <w:p w14:paraId="1C5067EC" w14:textId="265FF82C" w:rsidR="00F42A40" w:rsidRPr="00100F0A" w:rsidRDefault="00F42A40" w:rsidP="007E5EB5">
      <w:pPr>
        <w:pStyle w:val="FootnoteText"/>
      </w:pPr>
      <w:r w:rsidRPr="00100F0A">
        <w:rPr>
          <w:rStyle w:val="FootnoteReference"/>
        </w:rPr>
        <w:footnoteRef/>
      </w:r>
      <w:r w:rsidRPr="00100F0A">
        <w:t xml:space="preserve"> The waste management method of the infrastructure refers to the waste management provided at the site (e.g. recycling energy recovery, treatment, disposal, short-term storage or transfer, long-term storage). Some sites provide more than one waste management method, in which case, where significant, the site has more than one entry in the database.  </w:t>
      </w:r>
    </w:p>
  </w:footnote>
  <w:footnote w:id="39">
    <w:p w14:paraId="09ADD637" w14:textId="24C496BC" w:rsidR="00F42A40" w:rsidRDefault="00F42A40">
      <w:pPr>
        <w:pStyle w:val="FootnoteText"/>
      </w:pPr>
      <w:r>
        <w:rPr>
          <w:rStyle w:val="FootnoteReference"/>
        </w:rPr>
        <w:footnoteRef/>
      </w:r>
      <w:r>
        <w:t xml:space="preserve"> T</w:t>
      </w:r>
      <w:r w:rsidRPr="00100F0A">
        <w:rPr>
          <w:color w:val="080808"/>
          <w:lang w:eastAsia="en-AU"/>
        </w:rPr>
        <w:t>he Mount Walton Intractable Waste facility</w:t>
      </w:r>
      <w:r>
        <w:rPr>
          <w:color w:val="080808"/>
          <w:lang w:eastAsia="en-AU"/>
        </w:rPr>
        <w:t xml:space="preserve"> in WA is included in the seven hazardous waste landfills. It has historically only operated on a campaign basis and Tellus Holdings are</w:t>
      </w:r>
      <w:r w:rsidRPr="00100F0A">
        <w:rPr>
          <w:color w:val="080808"/>
          <w:lang w:eastAsia="en-AU"/>
        </w:rPr>
        <w:t xml:space="preserve"> building a long-term isolation facility </w:t>
      </w:r>
      <w:r>
        <w:rPr>
          <w:color w:val="080808"/>
          <w:lang w:eastAsia="en-AU"/>
        </w:rPr>
        <w:t>five km from site. The future operation of the Mount Walton Intractable waste facility is assumed unlikely following establishment of the Tellus Holdings site next-door.</w:t>
      </w:r>
    </w:p>
  </w:footnote>
  <w:footnote w:id="40">
    <w:p w14:paraId="05F8DE36" w14:textId="32FF17F7" w:rsidR="00F42A40" w:rsidRDefault="00F42A40">
      <w:pPr>
        <w:pStyle w:val="FootnoteText"/>
      </w:pPr>
      <w:r>
        <w:rPr>
          <w:rStyle w:val="FootnoteReference"/>
        </w:rPr>
        <w:footnoteRef/>
      </w:r>
      <w:r>
        <w:t xml:space="preserve"> WA DWER noted: </w:t>
      </w:r>
      <w:r w:rsidRPr="0060059A">
        <w:t>State’s new Waste Strategy and proposed State Waste Infrastructure Plan</w:t>
      </w:r>
      <w:r>
        <w:t xml:space="preserve"> aim to reduce risks from long transport distances.</w:t>
      </w:r>
    </w:p>
  </w:footnote>
  <w:footnote w:id="41">
    <w:p w14:paraId="26A9B410" w14:textId="3644E90D" w:rsidR="00F42A40" w:rsidRDefault="00F42A40" w:rsidP="004428CC">
      <w:pPr>
        <w:pStyle w:val="FootnoteText"/>
      </w:pPr>
      <w:r>
        <w:rPr>
          <w:rStyle w:val="FootnoteReference"/>
        </w:rPr>
        <w:footnoteRef/>
      </w:r>
      <w:r>
        <w:t xml:space="preserve"> WA </w:t>
      </w:r>
      <w:r>
        <w:rPr>
          <w:rFonts w:asciiTheme="minorHAnsi" w:hAnsiTheme="minorHAnsi" w:cstheme="minorHAnsi"/>
        </w:rPr>
        <w:t>Department of Water and Environmental Regulation noted: I</w:t>
      </w:r>
      <w:r>
        <w:t>ntractable Waste Disposal Facility (IWDF) at Mount Walton is currently the only Class V landfill in WA. The WA Minister for Environment approved Tellus Holdings Limited’s proposal for the Sandy Ridge Facility through Part IV of the Environmental Protection Act 1986 on 27 June 2018. The proposal subsequently received Commonwealth approval through the Environment Protection and Biodiversity Act 1999 on 7 January 2019. The Sandy Ridge Facility is for a dual open cut kaolin clay mine and a near-surface geological waste repository accepting Class IV and Class V waste, approximately 75 kilometres (km) north east of Koolyanobbing and 5.5 km west of the Mount Walton IWDF. The Red Hill Waste Management Facility is a Class III and IV landfill, located in the Perth metropolitan area. The Class IV waste cells have been decommissioned, and this facility is not accepting any additional Class IV waste at this stage (but this is due to change). The Department of Water and Environmental Regulation (WA) is also aware that there may be two potential Class IV waste facilities proposed in WA in the near future.</w:t>
      </w:r>
    </w:p>
  </w:footnote>
  <w:footnote w:id="42">
    <w:p w14:paraId="60B8FD96" w14:textId="0E3D4C9A" w:rsidR="00F42A40" w:rsidRDefault="00F42A40">
      <w:pPr>
        <w:pStyle w:val="FootnoteText"/>
      </w:pPr>
      <w:r>
        <w:rPr>
          <w:rStyle w:val="FootnoteReference"/>
        </w:rPr>
        <w:footnoteRef/>
      </w:r>
      <w:r>
        <w:t xml:space="preserve"> Waste lithium ion batteries are regulated as hazardous waste for international transport, but currently not for domestic transport</w:t>
      </w:r>
    </w:p>
  </w:footnote>
  <w:footnote w:id="43">
    <w:p w14:paraId="127856AA" w14:textId="3D6F7491" w:rsidR="00F42A40" w:rsidRDefault="00F42A40">
      <w:pPr>
        <w:pStyle w:val="FootnoteText"/>
      </w:pPr>
      <w:r>
        <w:rPr>
          <w:rStyle w:val="FootnoteReference"/>
        </w:rPr>
        <w:footnoteRef/>
      </w:r>
      <w:r>
        <w:t xml:space="preserve"> Despite NSW and Qld both having significant capacity (as noted above) the projected waste oil sent for re-refining exceeds capacity over the projection period.</w:t>
      </w:r>
    </w:p>
  </w:footnote>
  <w:footnote w:id="44">
    <w:p w14:paraId="3436B471" w14:textId="77777777" w:rsidR="00F42A40" w:rsidRPr="00100F0A" w:rsidRDefault="00F42A40" w:rsidP="00FA064F">
      <w:pPr>
        <w:pStyle w:val="FootnoteText"/>
      </w:pPr>
      <w:r w:rsidRPr="00100F0A">
        <w:rPr>
          <w:rStyle w:val="FootnoteReference"/>
        </w:rPr>
        <w:footnoteRef/>
      </w:r>
      <w:r w:rsidRPr="00100F0A">
        <w:t xml:space="preserve"> Port Pirie </w:t>
      </w:r>
      <w:r w:rsidRPr="00100F0A">
        <w:rPr>
          <w:color w:val="000000"/>
          <w:szCs w:val="20"/>
        </w:rPr>
        <w:t>is understood to have unconstrained capacity to process waste from the Hobart Zinc smelting operations</w:t>
      </w:r>
      <w:r>
        <w:rPr>
          <w:color w:val="000000"/>
          <w:szCs w:val="20"/>
        </w:rPr>
        <w:t>.</w:t>
      </w:r>
    </w:p>
  </w:footnote>
  <w:footnote w:id="45">
    <w:p w14:paraId="48D168A1" w14:textId="41DC9373" w:rsidR="00F42A40" w:rsidRDefault="00F42A40">
      <w:pPr>
        <w:pStyle w:val="FootnoteText"/>
      </w:pPr>
      <w:r>
        <w:rPr>
          <w:rStyle w:val="FootnoteReference"/>
        </w:rPr>
        <w:footnoteRef/>
      </w:r>
      <w:r>
        <w:t xml:space="preserve"> T</w:t>
      </w:r>
      <w:r w:rsidRPr="00100F0A">
        <w:rPr>
          <w:color w:val="080808"/>
          <w:lang w:eastAsia="en-AU"/>
        </w:rPr>
        <w:t>he Mount Walton Intractable Waste facility</w:t>
      </w:r>
      <w:r>
        <w:rPr>
          <w:color w:val="080808"/>
          <w:lang w:eastAsia="en-AU"/>
        </w:rPr>
        <w:t xml:space="preserve"> in WA is included in the seven hazardous waste landfills. It has historically only operated on a campaign basis and Tellus Holdings are</w:t>
      </w:r>
      <w:r w:rsidRPr="00100F0A">
        <w:rPr>
          <w:color w:val="080808"/>
          <w:lang w:eastAsia="en-AU"/>
        </w:rPr>
        <w:t xml:space="preserve"> building a long-term isolation facility </w:t>
      </w:r>
      <w:r>
        <w:rPr>
          <w:color w:val="080808"/>
          <w:lang w:eastAsia="en-AU"/>
        </w:rPr>
        <w:t>five km from site. The future operation of the Mount Walton Intractable waste facility is assumed unlikely following establishment of the Tellus Holdings site next-door.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3D556" w14:textId="77777777" w:rsidR="00A1102D" w:rsidRDefault="00A1102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8BAD3" w14:textId="15C72405" w:rsidR="00F42A40" w:rsidRDefault="00F42A40" w:rsidP="00996685">
    <w:pPr>
      <w:pStyle w:val="Header"/>
      <w:jc w:val="right"/>
    </w:pPr>
    <w:r w:rsidRPr="006649EF">
      <w:rPr>
        <w:noProof/>
        <w:lang w:eastAsia="en-AU"/>
      </w:rPr>
      <w:drawing>
        <wp:anchor distT="0" distB="0" distL="114300" distR="114300" simplePos="0" relativeHeight="251650048" behindDoc="0" locked="0" layoutInCell="1" allowOverlap="1" wp14:anchorId="2B3401A7" wp14:editId="05E0260A">
          <wp:simplePos x="0" y="0"/>
          <wp:positionH relativeFrom="margin">
            <wp:align>center</wp:align>
          </wp:positionH>
          <wp:positionV relativeFrom="paragraph">
            <wp:posOffset>-126365</wp:posOffset>
          </wp:positionV>
          <wp:extent cx="1476000" cy="367200"/>
          <wp:effectExtent l="0" t="0" r="0" b="0"/>
          <wp:wrapSquare wrapText="bothSides"/>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18727"/>
                  <a:stretch/>
                </pic:blipFill>
                <pic:spPr bwMode="auto">
                  <a:xfrm>
                    <a:off x="0" y="0"/>
                    <a:ext cx="1476000" cy="36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49EF">
      <w:rPr>
        <w:noProof/>
        <w:lang w:eastAsia="en-AU"/>
      </w:rPr>
      <w:drawing>
        <wp:anchor distT="0" distB="0" distL="114300" distR="114300" simplePos="0" relativeHeight="251649024" behindDoc="0" locked="0" layoutInCell="1" allowOverlap="1" wp14:anchorId="22FD00B5" wp14:editId="031FFE91">
          <wp:simplePos x="0" y="0"/>
          <wp:positionH relativeFrom="margin">
            <wp:align>left</wp:align>
          </wp:positionH>
          <wp:positionV relativeFrom="paragraph">
            <wp:posOffset>-40640</wp:posOffset>
          </wp:positionV>
          <wp:extent cx="1390650" cy="255905"/>
          <wp:effectExtent l="0" t="0" r="0" b="0"/>
          <wp:wrapSquare wrapText="bothSides"/>
          <wp:docPr id="33" name="Picture 33"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90650" cy="255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inline distT="0" distB="0" distL="0" distR="0" wp14:anchorId="26A64C06" wp14:editId="7D75A53D">
          <wp:extent cx="1692000" cy="291600"/>
          <wp:effectExtent l="0" t="0" r="3810" b="0"/>
          <wp:docPr id="36" name="Picture 36" descr="C:\Users\sarah\AppData\Local\Microsoft\Windows\INetCache\Content.Word\BE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INetCache\Content.Word\BE logo 2017.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92000" cy="291600"/>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5D9FF" w14:textId="461CF575" w:rsidR="00F42A40" w:rsidRDefault="00F42A40" w:rsidP="00996685">
    <w:pPr>
      <w:pStyle w:val="Header"/>
      <w:jc w:val="right"/>
    </w:pPr>
    <w:r w:rsidRPr="006649EF">
      <w:rPr>
        <w:noProof/>
        <w:lang w:eastAsia="en-AU"/>
      </w:rPr>
      <w:drawing>
        <wp:anchor distT="0" distB="0" distL="114300" distR="114300" simplePos="0" relativeHeight="251660288" behindDoc="0" locked="0" layoutInCell="1" allowOverlap="1" wp14:anchorId="64A8EED7" wp14:editId="0F1BCC77">
          <wp:simplePos x="0" y="0"/>
          <wp:positionH relativeFrom="margin">
            <wp:posOffset>3693795</wp:posOffset>
          </wp:positionH>
          <wp:positionV relativeFrom="paragraph">
            <wp:posOffset>-184595</wp:posOffset>
          </wp:positionV>
          <wp:extent cx="1475740" cy="36703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18727"/>
                  <a:stretch/>
                </pic:blipFill>
                <pic:spPr bwMode="auto">
                  <a:xfrm>
                    <a:off x="0" y="0"/>
                    <a:ext cx="1475740" cy="367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1312" behindDoc="0" locked="0" layoutInCell="1" allowOverlap="1" wp14:anchorId="5B54E66D" wp14:editId="25510794">
          <wp:simplePos x="0" y="0"/>
          <wp:positionH relativeFrom="margin">
            <wp:align>right</wp:align>
          </wp:positionH>
          <wp:positionV relativeFrom="paragraph">
            <wp:posOffset>-76200</wp:posOffset>
          </wp:positionV>
          <wp:extent cx="1691640" cy="291465"/>
          <wp:effectExtent l="0" t="0" r="3810" b="0"/>
          <wp:wrapSquare wrapText="bothSides"/>
          <wp:docPr id="35" name="Picture 35" descr="C:\Users\sarah\AppData\Local\Microsoft\Windows\INetCache\Content.Word\BE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INetCache\Content.Word\BE logo 2017.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1640"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9EF">
      <w:rPr>
        <w:noProof/>
        <w:lang w:eastAsia="en-AU"/>
      </w:rPr>
      <w:drawing>
        <wp:anchor distT="0" distB="0" distL="114300" distR="114300" simplePos="0" relativeHeight="251659264" behindDoc="0" locked="0" layoutInCell="1" allowOverlap="1" wp14:anchorId="00438000" wp14:editId="017D5850">
          <wp:simplePos x="0" y="0"/>
          <wp:positionH relativeFrom="margin">
            <wp:align>left</wp:align>
          </wp:positionH>
          <wp:positionV relativeFrom="paragraph">
            <wp:posOffset>-40640</wp:posOffset>
          </wp:positionV>
          <wp:extent cx="1390650" cy="255905"/>
          <wp:effectExtent l="0" t="0" r="0" b="0"/>
          <wp:wrapSquare wrapText="bothSides"/>
          <wp:docPr id="25" name="Picture 25"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90650" cy="2559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A4B45" w14:textId="2D4ABE4E" w:rsidR="00F42A40" w:rsidRDefault="00F42A40" w:rsidP="00996685">
    <w:pPr>
      <w:pStyle w:val="Header"/>
      <w:jc w:val="right"/>
    </w:pPr>
    <w:r>
      <w:rPr>
        <w:noProof/>
        <w:lang w:eastAsia="en-AU"/>
      </w:rPr>
      <w:drawing>
        <wp:anchor distT="0" distB="0" distL="114300" distR="114300" simplePos="0" relativeHeight="251668480" behindDoc="0" locked="0" layoutInCell="1" allowOverlap="1" wp14:anchorId="2B26711B" wp14:editId="7CCDE6E1">
          <wp:simplePos x="0" y="0"/>
          <wp:positionH relativeFrom="margin">
            <wp:align>right</wp:align>
          </wp:positionH>
          <wp:positionV relativeFrom="paragraph">
            <wp:posOffset>-76200</wp:posOffset>
          </wp:positionV>
          <wp:extent cx="1691640" cy="291465"/>
          <wp:effectExtent l="0" t="0" r="3810" b="0"/>
          <wp:wrapSquare wrapText="bothSides"/>
          <wp:docPr id="906" name="Picture 906" descr="C:\Users\sarah\AppData\Local\Microsoft\Windows\INetCache\Content.Word\BE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INetCache\Content.Word\BE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1640"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9EF">
      <w:rPr>
        <w:noProof/>
        <w:lang w:eastAsia="en-AU"/>
      </w:rPr>
      <w:drawing>
        <wp:anchor distT="0" distB="0" distL="114300" distR="114300" simplePos="0" relativeHeight="251667456" behindDoc="0" locked="0" layoutInCell="1" allowOverlap="1" wp14:anchorId="021F5049" wp14:editId="0657AE74">
          <wp:simplePos x="0" y="0"/>
          <wp:positionH relativeFrom="margin">
            <wp:align>center</wp:align>
          </wp:positionH>
          <wp:positionV relativeFrom="paragraph">
            <wp:posOffset>-126365</wp:posOffset>
          </wp:positionV>
          <wp:extent cx="1476000" cy="367200"/>
          <wp:effectExtent l="0" t="0" r="0" b="0"/>
          <wp:wrapSquare wrapText="bothSides"/>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b="18727"/>
                  <a:stretch/>
                </pic:blipFill>
                <pic:spPr bwMode="auto">
                  <a:xfrm>
                    <a:off x="0" y="0"/>
                    <a:ext cx="1476000" cy="36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49EF">
      <w:rPr>
        <w:noProof/>
        <w:lang w:eastAsia="en-AU"/>
      </w:rPr>
      <w:drawing>
        <wp:anchor distT="0" distB="0" distL="114300" distR="114300" simplePos="0" relativeHeight="251666432" behindDoc="0" locked="0" layoutInCell="1" allowOverlap="1" wp14:anchorId="6CCC58E1" wp14:editId="767A9E2C">
          <wp:simplePos x="0" y="0"/>
          <wp:positionH relativeFrom="margin">
            <wp:align>left</wp:align>
          </wp:positionH>
          <wp:positionV relativeFrom="paragraph">
            <wp:posOffset>-40640</wp:posOffset>
          </wp:positionV>
          <wp:extent cx="1390650" cy="255905"/>
          <wp:effectExtent l="0" t="0" r="0" b="0"/>
          <wp:wrapSquare wrapText="bothSides"/>
          <wp:docPr id="915" name="Picture 915"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90650" cy="2559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478C4" w14:textId="77777777" w:rsidR="00F42A40" w:rsidRDefault="00F42A40">
    <w:pPr>
      <w:pStyle w:val="Header"/>
    </w:pPr>
    <w:r w:rsidRPr="00D95F6B">
      <w:rPr>
        <w:noProof/>
        <w:lang w:eastAsia="en-AU"/>
      </w:rPr>
      <w:drawing>
        <wp:inline distT="0" distB="0" distL="0" distR="0" wp14:anchorId="7F07A2D4" wp14:editId="40B1A58B">
          <wp:extent cx="2447925" cy="430112"/>
          <wp:effectExtent l="19050" t="0" r="0" b="0"/>
          <wp:docPr id="37"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450017" cy="430480"/>
                  </a:xfrm>
                  <a:prstGeom prst="rect">
                    <a:avLst/>
                  </a:prstGeom>
                  <a:noFill/>
                  <a:ln w="9525">
                    <a:noFill/>
                    <a:miter lim="800000"/>
                    <a:headEnd/>
                    <a:tailEnd/>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91013" w14:textId="77777777" w:rsidR="00F42A40" w:rsidRPr="007F6A5B" w:rsidRDefault="00F42A40" w:rsidP="002A3A54">
    <w:pPr>
      <w:pStyle w:val="Header"/>
    </w:pPr>
    <w:r>
      <w:rPr>
        <w:noProof/>
        <w:lang w:eastAsia="en-AU"/>
      </w:rPr>
      <w:drawing>
        <wp:inline distT="0" distB="0" distL="0" distR="0" wp14:anchorId="117D7C8C" wp14:editId="7A288CFA">
          <wp:extent cx="2286000" cy="393700"/>
          <wp:effectExtent l="19050" t="0" r="0" b="0"/>
          <wp:docPr id="38" name="Picture 78"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14:paraId="22BA70E9" w14:textId="77777777" w:rsidR="00F42A40" w:rsidRPr="005459E4" w:rsidRDefault="00F42A40" w:rsidP="002A3A5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3E563" w14:textId="77777777" w:rsidR="00F42A40" w:rsidRDefault="00F42A40">
    <w:pPr>
      <w:pStyle w:val="Header"/>
    </w:pPr>
    <w:r w:rsidRPr="00D95F6B">
      <w:rPr>
        <w:noProof/>
        <w:lang w:eastAsia="en-AU"/>
      </w:rPr>
      <w:drawing>
        <wp:inline distT="0" distB="0" distL="0" distR="0" wp14:anchorId="279C00D7" wp14:editId="00B54311">
          <wp:extent cx="2447925" cy="430112"/>
          <wp:effectExtent l="19050" t="0" r="0" b="0"/>
          <wp:docPr id="43"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450017" cy="430480"/>
                  </a:xfrm>
                  <a:prstGeom prst="rect">
                    <a:avLst/>
                  </a:prstGeom>
                  <a:noFill/>
                  <a:ln w="9525">
                    <a:noFill/>
                    <a:miter lim="800000"/>
                    <a:headEnd/>
                    <a:tailEnd/>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8E8BB" w14:textId="77777777" w:rsidR="00F42A40" w:rsidRPr="007F6A5B" w:rsidRDefault="00F42A40" w:rsidP="002A3A54">
    <w:pPr>
      <w:pStyle w:val="Header"/>
    </w:pPr>
    <w:r>
      <w:rPr>
        <w:noProof/>
        <w:lang w:eastAsia="en-AU"/>
      </w:rPr>
      <w:drawing>
        <wp:inline distT="0" distB="0" distL="0" distR="0" wp14:anchorId="6F89CE7B" wp14:editId="44DA9A8C">
          <wp:extent cx="2286000" cy="393700"/>
          <wp:effectExtent l="19050" t="0" r="0" b="0"/>
          <wp:docPr id="44" name="Picture 78"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14:paraId="10051E56" w14:textId="77777777" w:rsidR="00F42A40" w:rsidRPr="005459E4" w:rsidRDefault="00F42A40" w:rsidP="002A3A5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C532C" w14:textId="77777777" w:rsidR="00F42A40" w:rsidRDefault="00F42A40">
    <w:pPr>
      <w:pStyle w:val="Header"/>
    </w:pPr>
    <w:r w:rsidRPr="00D95F6B">
      <w:rPr>
        <w:noProof/>
        <w:lang w:eastAsia="en-AU"/>
      </w:rPr>
      <w:drawing>
        <wp:inline distT="0" distB="0" distL="0" distR="0" wp14:anchorId="593C726C" wp14:editId="1167CF9F">
          <wp:extent cx="2447925" cy="430112"/>
          <wp:effectExtent l="19050" t="0" r="0" b="0"/>
          <wp:docPr id="47"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450017" cy="430480"/>
                  </a:xfrm>
                  <a:prstGeom prst="rect">
                    <a:avLst/>
                  </a:prstGeom>
                  <a:noFill/>
                  <a:ln w="9525">
                    <a:noFill/>
                    <a:miter lim="800000"/>
                    <a:headEnd/>
                    <a:tailEnd/>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0EA0E" w14:textId="77777777" w:rsidR="00F42A40" w:rsidRPr="007F6A5B" w:rsidRDefault="00F42A40" w:rsidP="002A3A54">
    <w:pPr>
      <w:pStyle w:val="Header"/>
    </w:pPr>
    <w:r>
      <w:rPr>
        <w:noProof/>
        <w:lang w:eastAsia="en-AU"/>
      </w:rPr>
      <w:drawing>
        <wp:inline distT="0" distB="0" distL="0" distR="0" wp14:anchorId="79B3F726" wp14:editId="5694AEC6">
          <wp:extent cx="2286000" cy="393700"/>
          <wp:effectExtent l="19050" t="0" r="0" b="0"/>
          <wp:docPr id="54" name="Picture 78"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14:paraId="6FE00389" w14:textId="77777777" w:rsidR="00F42A40" w:rsidRPr="005459E4" w:rsidRDefault="00F42A40" w:rsidP="002A3A54">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F4BDC" w14:textId="77777777" w:rsidR="00F42A40" w:rsidRDefault="00F42A40">
    <w:pPr>
      <w:pStyle w:val="Header"/>
    </w:pPr>
    <w:r w:rsidRPr="00D95F6B">
      <w:rPr>
        <w:noProof/>
        <w:lang w:eastAsia="en-AU"/>
      </w:rPr>
      <w:drawing>
        <wp:inline distT="0" distB="0" distL="0" distR="0" wp14:anchorId="3E588AC2" wp14:editId="2101BB9F">
          <wp:extent cx="2447925" cy="430112"/>
          <wp:effectExtent l="19050" t="0" r="0" b="0"/>
          <wp:docPr id="56"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450017" cy="43048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07B43" w14:textId="095022E4" w:rsidR="00F42A40" w:rsidRDefault="00F42A40" w:rsidP="00996685">
    <w:pPr>
      <w:pStyle w:val="Header"/>
      <w:jc w:val="right"/>
    </w:pPr>
    <w:r>
      <w:rPr>
        <w:noProof/>
        <w:lang w:eastAsia="en-AU"/>
      </w:rPr>
      <w:drawing>
        <wp:anchor distT="0" distB="0" distL="114300" distR="114300" simplePos="0" relativeHeight="251648000" behindDoc="0" locked="0" layoutInCell="1" allowOverlap="1" wp14:anchorId="5C881EBD" wp14:editId="33EA06B4">
          <wp:simplePos x="0" y="0"/>
          <wp:positionH relativeFrom="column">
            <wp:posOffset>4040505</wp:posOffset>
          </wp:positionH>
          <wp:positionV relativeFrom="paragraph">
            <wp:posOffset>-40640</wp:posOffset>
          </wp:positionV>
          <wp:extent cx="1691640" cy="291465"/>
          <wp:effectExtent l="0" t="0" r="3810" b="0"/>
          <wp:wrapSquare wrapText="bothSides"/>
          <wp:docPr id="949" name="Picture 949" descr="C:\Users\sarah\AppData\Local\Microsoft\Windows\INetCache\Content.Word\BE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INetCache\Content.Word\BE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1640"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49EF">
      <w:rPr>
        <w:noProof/>
        <w:lang w:eastAsia="en-AU"/>
      </w:rPr>
      <w:drawing>
        <wp:anchor distT="0" distB="0" distL="114300" distR="114300" simplePos="0" relativeHeight="251645952" behindDoc="0" locked="0" layoutInCell="1" allowOverlap="1" wp14:anchorId="13741DF1" wp14:editId="340FE43C">
          <wp:simplePos x="0" y="0"/>
          <wp:positionH relativeFrom="margin">
            <wp:align>center</wp:align>
          </wp:positionH>
          <wp:positionV relativeFrom="paragraph">
            <wp:posOffset>-126365</wp:posOffset>
          </wp:positionV>
          <wp:extent cx="1476000" cy="367200"/>
          <wp:effectExtent l="0" t="0" r="0" b="0"/>
          <wp:wrapSquare wrapText="bothSides"/>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b="18727"/>
                  <a:stretch/>
                </pic:blipFill>
                <pic:spPr bwMode="auto">
                  <a:xfrm>
                    <a:off x="0" y="0"/>
                    <a:ext cx="1476000" cy="36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49EF">
      <w:rPr>
        <w:noProof/>
        <w:lang w:eastAsia="en-AU"/>
      </w:rPr>
      <w:drawing>
        <wp:anchor distT="0" distB="0" distL="114300" distR="114300" simplePos="0" relativeHeight="251644928" behindDoc="0" locked="0" layoutInCell="1" allowOverlap="1" wp14:anchorId="608D195D" wp14:editId="60B39827">
          <wp:simplePos x="0" y="0"/>
          <wp:positionH relativeFrom="margin">
            <wp:align>left</wp:align>
          </wp:positionH>
          <wp:positionV relativeFrom="paragraph">
            <wp:posOffset>-40640</wp:posOffset>
          </wp:positionV>
          <wp:extent cx="1390650" cy="255905"/>
          <wp:effectExtent l="0" t="0" r="0" b="0"/>
          <wp:wrapSquare wrapText="bothSides"/>
          <wp:docPr id="948" name="Picture 948"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90650" cy="2559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97BC0" w14:textId="77777777" w:rsidR="00F42A40" w:rsidRPr="007F6A5B" w:rsidRDefault="00F42A40" w:rsidP="003879F7">
    <w:pPr>
      <w:pStyle w:val="Header"/>
    </w:pPr>
    <w:r>
      <w:rPr>
        <w:noProof/>
        <w:lang w:eastAsia="en-AU"/>
      </w:rPr>
      <w:drawing>
        <wp:inline distT="0" distB="0" distL="0" distR="0" wp14:anchorId="1DB7EE97" wp14:editId="5A87867F">
          <wp:extent cx="2286000" cy="393700"/>
          <wp:effectExtent l="19050" t="0" r="0" b="0"/>
          <wp:docPr id="57" name="Picture 78"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14:paraId="4B6D637E" w14:textId="77777777" w:rsidR="00F42A40" w:rsidRPr="005459E4" w:rsidRDefault="00F42A40" w:rsidP="003879F7">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ACEA9" w14:textId="7D0BF971" w:rsidR="00F42A40" w:rsidRDefault="00F42A40" w:rsidP="00A03B80">
    <w:pPr>
      <w:pStyle w:val="Header"/>
      <w:jc w:val="right"/>
    </w:pPr>
    <w:r>
      <w:rPr>
        <w:noProof/>
        <w:lang w:eastAsia="en-AU"/>
      </w:rPr>
      <w:drawing>
        <wp:anchor distT="0" distB="0" distL="114300" distR="114300" simplePos="0" relativeHeight="251665408" behindDoc="0" locked="0" layoutInCell="1" allowOverlap="1" wp14:anchorId="53A71C7C" wp14:editId="1C3F97C5">
          <wp:simplePos x="0" y="0"/>
          <wp:positionH relativeFrom="margin">
            <wp:align>right</wp:align>
          </wp:positionH>
          <wp:positionV relativeFrom="paragraph">
            <wp:posOffset>-76200</wp:posOffset>
          </wp:positionV>
          <wp:extent cx="1691640" cy="291465"/>
          <wp:effectExtent l="0" t="0" r="3810" b="0"/>
          <wp:wrapSquare wrapText="bothSides"/>
          <wp:docPr id="45" name="Picture 45" descr="C:\Users\sarah\AppData\Local\Microsoft\Windows\INetCache\Content.Word\BE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INetCache\Content.Word\BE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1640"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9EF">
      <w:rPr>
        <w:noProof/>
        <w:lang w:eastAsia="en-AU"/>
      </w:rPr>
      <w:drawing>
        <wp:anchor distT="0" distB="0" distL="114300" distR="114300" simplePos="0" relativeHeight="251664384" behindDoc="0" locked="0" layoutInCell="1" allowOverlap="1" wp14:anchorId="11CEC824" wp14:editId="0B292ECC">
          <wp:simplePos x="0" y="0"/>
          <wp:positionH relativeFrom="margin">
            <wp:align>center</wp:align>
          </wp:positionH>
          <wp:positionV relativeFrom="paragraph">
            <wp:posOffset>-126365</wp:posOffset>
          </wp:positionV>
          <wp:extent cx="1476000" cy="3672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b="18727"/>
                  <a:stretch/>
                </pic:blipFill>
                <pic:spPr bwMode="auto">
                  <a:xfrm>
                    <a:off x="0" y="0"/>
                    <a:ext cx="1476000" cy="36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49EF">
      <w:rPr>
        <w:noProof/>
        <w:lang w:eastAsia="en-AU"/>
      </w:rPr>
      <w:drawing>
        <wp:anchor distT="0" distB="0" distL="114300" distR="114300" simplePos="0" relativeHeight="251663360" behindDoc="0" locked="0" layoutInCell="1" allowOverlap="1" wp14:anchorId="7D369A08" wp14:editId="45F4F092">
          <wp:simplePos x="0" y="0"/>
          <wp:positionH relativeFrom="margin">
            <wp:align>left</wp:align>
          </wp:positionH>
          <wp:positionV relativeFrom="paragraph">
            <wp:posOffset>-40640</wp:posOffset>
          </wp:positionV>
          <wp:extent cx="1390650" cy="255905"/>
          <wp:effectExtent l="0" t="0" r="0" b="0"/>
          <wp:wrapSquare wrapText="bothSides"/>
          <wp:docPr id="49" name="Picture 49"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90650" cy="255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DC9997" w14:textId="742E80BB" w:rsidR="00F42A40" w:rsidRPr="00A03B80" w:rsidRDefault="00F42A40" w:rsidP="00A03B8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B7200" w14:textId="77777777" w:rsidR="00F42A40" w:rsidRDefault="00F42A40">
    <w:pPr>
      <w:pStyle w:val="Header"/>
    </w:pPr>
    <w:r w:rsidRPr="00D95F6B">
      <w:rPr>
        <w:noProof/>
        <w:lang w:eastAsia="en-AU"/>
      </w:rPr>
      <w:drawing>
        <wp:inline distT="0" distB="0" distL="0" distR="0" wp14:anchorId="306F2C68" wp14:editId="340769AC">
          <wp:extent cx="2447925" cy="430112"/>
          <wp:effectExtent l="19050" t="0" r="0" b="0"/>
          <wp:docPr id="1442"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450017" cy="430480"/>
                  </a:xfrm>
                  <a:prstGeom prst="rect">
                    <a:avLst/>
                  </a:prstGeom>
                  <a:noFill/>
                  <a:ln w="9525">
                    <a:noFill/>
                    <a:miter lim="800000"/>
                    <a:headEnd/>
                    <a:tailEnd/>
                  </a:ln>
                </pic:spPr>
              </pic:pic>
            </a:graphicData>
          </a:graphic>
        </wp:inline>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E0B3A" w14:textId="77777777" w:rsidR="00F42A40" w:rsidRPr="007F6A5B" w:rsidRDefault="00F42A40" w:rsidP="002A3A54">
    <w:pPr>
      <w:pStyle w:val="Header"/>
    </w:pPr>
    <w:r>
      <w:rPr>
        <w:noProof/>
        <w:lang w:eastAsia="en-AU"/>
      </w:rPr>
      <w:drawing>
        <wp:inline distT="0" distB="0" distL="0" distR="0" wp14:anchorId="1B6DC7CC" wp14:editId="5D96AE8E">
          <wp:extent cx="2286000" cy="393700"/>
          <wp:effectExtent l="19050" t="0" r="0" b="0"/>
          <wp:docPr id="1443" name="Picture 78"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14:paraId="42B1820B" w14:textId="77777777" w:rsidR="00F42A40" w:rsidRPr="005459E4" w:rsidRDefault="00F42A40" w:rsidP="002A3A5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4E772" w14:textId="77777777" w:rsidR="00F42A40" w:rsidRDefault="00F42A40" w:rsidP="00996685">
    <w:pPr>
      <w:pStyle w:val="Header"/>
      <w:jc w:val="right"/>
    </w:pPr>
    <w:r>
      <w:rPr>
        <w:noProof/>
        <w:lang w:eastAsia="en-AU"/>
      </w:rPr>
      <w:drawing>
        <wp:inline distT="0" distB="0" distL="0" distR="0" wp14:anchorId="1E6E757B" wp14:editId="64E0FF82">
          <wp:extent cx="3054529" cy="528955"/>
          <wp:effectExtent l="0" t="0" r="0" b="4445"/>
          <wp:docPr id="950" name="Picture 950" descr="C:\Users\sarah\AppData\Local\Microsoft\Windows\INetCache\Content.Word\BE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INetCache\Content.Word\BE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9015" cy="53319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4D4D3" w14:textId="77777777" w:rsidR="00F42A40" w:rsidRDefault="00F42A4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C6B1F" w14:textId="77777777" w:rsidR="00F42A40" w:rsidRDefault="00F42A40" w:rsidP="00A03B80">
    <w:pPr>
      <w:pStyle w:val="Header"/>
      <w:jc w:val="right"/>
    </w:pPr>
    <w:r>
      <w:rPr>
        <w:noProof/>
        <w:lang w:eastAsia="en-AU"/>
      </w:rPr>
      <w:drawing>
        <wp:anchor distT="0" distB="0" distL="114300" distR="114300" simplePos="0" relativeHeight="251658240" behindDoc="0" locked="0" layoutInCell="1" allowOverlap="1" wp14:anchorId="6086685D" wp14:editId="2F9747D6">
          <wp:simplePos x="0" y="0"/>
          <wp:positionH relativeFrom="column">
            <wp:posOffset>7517130</wp:posOffset>
          </wp:positionH>
          <wp:positionV relativeFrom="paragraph">
            <wp:posOffset>-76200</wp:posOffset>
          </wp:positionV>
          <wp:extent cx="1691640" cy="291465"/>
          <wp:effectExtent l="0" t="0" r="3810" b="0"/>
          <wp:wrapSquare wrapText="bothSides"/>
          <wp:docPr id="6" name="Picture 6" descr="C:\Users\sarah\AppData\Local\Microsoft\Windows\INetCache\Content.Word\BE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INetCache\Content.Word\BE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1640" cy="29146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746536525"/>
        <w:docPartObj>
          <w:docPartGallery w:val="Watermarks"/>
          <w:docPartUnique/>
        </w:docPartObj>
      </w:sdtPr>
      <w:sdtEndPr/>
      <w:sdtContent>
        <w:r w:rsidR="00A1102D">
          <w:rPr>
            <w:noProof/>
          </w:rPr>
          <w:pict w14:anchorId="6F0304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left:0;text-align:left;margin-left:0;margin-top:0;width:527.85pt;height:131.95pt;rotation:315;z-index:-251645952;mso-wrap-edited:f;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Pr="006649EF">
      <w:rPr>
        <w:noProof/>
        <w:lang w:eastAsia="en-AU"/>
      </w:rPr>
      <w:drawing>
        <wp:anchor distT="0" distB="0" distL="114300" distR="114300" simplePos="0" relativeHeight="251657216" behindDoc="0" locked="0" layoutInCell="1" allowOverlap="1" wp14:anchorId="0DE24C50" wp14:editId="59AB9B3B">
          <wp:simplePos x="0" y="0"/>
          <wp:positionH relativeFrom="margin">
            <wp:align>center</wp:align>
          </wp:positionH>
          <wp:positionV relativeFrom="paragraph">
            <wp:posOffset>-126365</wp:posOffset>
          </wp:positionV>
          <wp:extent cx="1476000" cy="3672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b="18727"/>
                  <a:stretch/>
                </pic:blipFill>
                <pic:spPr bwMode="auto">
                  <a:xfrm>
                    <a:off x="0" y="0"/>
                    <a:ext cx="1476000" cy="36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49EF">
      <w:rPr>
        <w:noProof/>
        <w:lang w:eastAsia="en-AU"/>
      </w:rPr>
      <w:drawing>
        <wp:anchor distT="0" distB="0" distL="114300" distR="114300" simplePos="0" relativeHeight="251655168" behindDoc="0" locked="0" layoutInCell="1" allowOverlap="1" wp14:anchorId="4A36D97A" wp14:editId="276F1302">
          <wp:simplePos x="0" y="0"/>
          <wp:positionH relativeFrom="margin">
            <wp:align>left</wp:align>
          </wp:positionH>
          <wp:positionV relativeFrom="paragraph">
            <wp:posOffset>-40640</wp:posOffset>
          </wp:positionV>
          <wp:extent cx="1390650" cy="255905"/>
          <wp:effectExtent l="0" t="0" r="0" b="0"/>
          <wp:wrapSquare wrapText="bothSides"/>
          <wp:docPr id="10" name="Picture 10"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90650" cy="255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AB2C59" w14:textId="7A475DCE" w:rsidR="00F42A40" w:rsidRPr="00A03B80" w:rsidRDefault="00F42A40" w:rsidP="00A03B8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28A47" w14:textId="2BB8B8F1" w:rsidR="00F42A40" w:rsidRDefault="00F42A40" w:rsidP="00A03B80">
    <w:pPr>
      <w:pStyle w:val="Header"/>
      <w:jc w:val="right"/>
    </w:pPr>
    <w:r>
      <w:rPr>
        <w:noProof/>
        <w:lang w:eastAsia="en-AU"/>
      </w:rPr>
      <w:drawing>
        <wp:anchor distT="0" distB="0" distL="114300" distR="114300" simplePos="0" relativeHeight="251662336" behindDoc="0" locked="0" layoutInCell="1" allowOverlap="1" wp14:anchorId="282F9D03" wp14:editId="6B38EEC5">
          <wp:simplePos x="0" y="0"/>
          <wp:positionH relativeFrom="column">
            <wp:posOffset>4040505</wp:posOffset>
          </wp:positionH>
          <wp:positionV relativeFrom="paragraph">
            <wp:posOffset>-40640</wp:posOffset>
          </wp:positionV>
          <wp:extent cx="1691640" cy="291465"/>
          <wp:effectExtent l="0" t="0" r="3810" b="0"/>
          <wp:wrapSquare wrapText="bothSides"/>
          <wp:docPr id="11" name="Picture 11" descr="C:\Users\sarah\AppData\Local\Microsoft\Windows\INetCache\Content.Word\BE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INetCache\Content.Word\BE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1640"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49EF">
      <w:rPr>
        <w:noProof/>
        <w:lang w:eastAsia="en-AU"/>
      </w:rPr>
      <w:drawing>
        <wp:anchor distT="0" distB="0" distL="114300" distR="114300" simplePos="0" relativeHeight="251653120" behindDoc="0" locked="0" layoutInCell="1" allowOverlap="1" wp14:anchorId="3C5102E5" wp14:editId="022CDA81">
          <wp:simplePos x="0" y="0"/>
          <wp:positionH relativeFrom="margin">
            <wp:align>center</wp:align>
          </wp:positionH>
          <wp:positionV relativeFrom="paragraph">
            <wp:posOffset>-126365</wp:posOffset>
          </wp:positionV>
          <wp:extent cx="1476000" cy="367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b="18727"/>
                  <a:stretch/>
                </pic:blipFill>
                <pic:spPr bwMode="auto">
                  <a:xfrm>
                    <a:off x="0" y="0"/>
                    <a:ext cx="1476000" cy="36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49EF">
      <w:rPr>
        <w:noProof/>
        <w:lang w:eastAsia="en-AU"/>
      </w:rPr>
      <w:drawing>
        <wp:anchor distT="0" distB="0" distL="114300" distR="114300" simplePos="0" relativeHeight="251646976" behindDoc="0" locked="0" layoutInCell="1" allowOverlap="1" wp14:anchorId="25B25E0B" wp14:editId="0DC73FBD">
          <wp:simplePos x="0" y="0"/>
          <wp:positionH relativeFrom="margin">
            <wp:align>left</wp:align>
          </wp:positionH>
          <wp:positionV relativeFrom="paragraph">
            <wp:posOffset>-40640</wp:posOffset>
          </wp:positionV>
          <wp:extent cx="1390650" cy="255905"/>
          <wp:effectExtent l="0" t="0" r="0" b="0"/>
          <wp:wrapSquare wrapText="bothSides"/>
          <wp:docPr id="13" name="Picture 13"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90650" cy="255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67F9C4" w14:textId="1D2ED3BA" w:rsidR="00F42A40" w:rsidRPr="00A03B80" w:rsidRDefault="00F42A40" w:rsidP="00A03B8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F2E2D" w14:textId="77777777" w:rsidR="00F42A40" w:rsidRDefault="00F42A40">
    <w:pPr>
      <w:pStyle w:val="Header"/>
    </w:pPr>
    <w:r w:rsidRPr="00D95F6B">
      <w:rPr>
        <w:noProof/>
        <w:lang w:eastAsia="en-AU"/>
      </w:rPr>
      <w:drawing>
        <wp:inline distT="0" distB="0" distL="0" distR="0" wp14:anchorId="79EE32A5" wp14:editId="2FE4E3F8">
          <wp:extent cx="2447925" cy="430112"/>
          <wp:effectExtent l="19050" t="0" r="0" b="0"/>
          <wp:docPr id="919"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450017" cy="430480"/>
                  </a:xfrm>
                  <a:prstGeom prst="rect">
                    <a:avLst/>
                  </a:prstGeom>
                  <a:noFill/>
                  <a:ln w="9525">
                    <a:noFill/>
                    <a:miter lim="800000"/>
                    <a:headEnd/>
                    <a:tailEnd/>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C7FAC" w14:textId="77777777" w:rsidR="00F42A40" w:rsidRPr="007F6A5B" w:rsidRDefault="00F42A40" w:rsidP="002A3A54">
    <w:pPr>
      <w:pStyle w:val="Header"/>
    </w:pPr>
    <w:r>
      <w:rPr>
        <w:noProof/>
        <w:lang w:eastAsia="en-AU"/>
      </w:rPr>
      <w:drawing>
        <wp:inline distT="0" distB="0" distL="0" distR="0" wp14:anchorId="29362520" wp14:editId="7B0A754F">
          <wp:extent cx="2286000" cy="393700"/>
          <wp:effectExtent l="19050" t="0" r="0" b="0"/>
          <wp:docPr id="921" name="Picture 78"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14:paraId="77BAC126" w14:textId="77777777" w:rsidR="00F42A40" w:rsidRPr="005459E4" w:rsidRDefault="00F42A40" w:rsidP="002A3A5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A1460" w14:textId="6A0047BC" w:rsidR="00F42A40" w:rsidRDefault="00F42A40" w:rsidP="00931BAA">
    <w:pPr>
      <w:pStyle w:val="Header"/>
      <w:tabs>
        <w:tab w:val="clear" w:pos="9026"/>
        <w:tab w:val="right" w:pos="13892"/>
      </w:tabs>
      <w:jc w:val="center"/>
    </w:pPr>
    <w:r w:rsidRPr="006649EF">
      <w:rPr>
        <w:noProof/>
        <w:lang w:eastAsia="en-AU"/>
      </w:rPr>
      <w:drawing>
        <wp:anchor distT="0" distB="0" distL="114300" distR="114300" simplePos="0" relativeHeight="251652096" behindDoc="0" locked="0" layoutInCell="1" allowOverlap="1" wp14:anchorId="076C71F5" wp14:editId="5B435E32">
          <wp:simplePos x="0" y="0"/>
          <wp:positionH relativeFrom="margin">
            <wp:posOffset>7361555</wp:posOffset>
          </wp:positionH>
          <wp:positionV relativeFrom="paragraph">
            <wp:posOffset>-97790</wp:posOffset>
          </wp:positionV>
          <wp:extent cx="1476000" cy="367200"/>
          <wp:effectExtent l="0" t="0" r="0" b="0"/>
          <wp:wrapSquare wrapText="bothSides"/>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18727"/>
                  <a:stretch/>
                </pic:blipFill>
                <pic:spPr bwMode="auto">
                  <a:xfrm>
                    <a:off x="0" y="0"/>
                    <a:ext cx="1476000" cy="36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904449069"/>
        <w:docPartObj>
          <w:docPartGallery w:val="Watermarks"/>
          <w:docPartUnique/>
        </w:docPartObj>
      </w:sdtPr>
      <w:sdtEndPr/>
      <w:sdtContent>
        <w:r w:rsidR="00A1102D">
          <w:rPr>
            <w:noProof/>
          </w:rPr>
          <w:pict w14:anchorId="46F600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527.85pt;height:131.95pt;rotation:315;z-index:-251646976;mso-wrap-edited:f;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Pr="006649EF">
      <w:rPr>
        <w:noProof/>
        <w:lang w:eastAsia="en-AU"/>
      </w:rPr>
      <w:drawing>
        <wp:anchor distT="0" distB="0" distL="114300" distR="114300" simplePos="0" relativeHeight="251651072" behindDoc="0" locked="0" layoutInCell="1" allowOverlap="1" wp14:anchorId="04663B1A" wp14:editId="42817FCD">
          <wp:simplePos x="0" y="0"/>
          <wp:positionH relativeFrom="margin">
            <wp:align>left</wp:align>
          </wp:positionH>
          <wp:positionV relativeFrom="paragraph">
            <wp:posOffset>-40640</wp:posOffset>
          </wp:positionV>
          <wp:extent cx="1390650" cy="255905"/>
          <wp:effectExtent l="0" t="0" r="0" b="0"/>
          <wp:wrapSquare wrapText="bothSides"/>
          <wp:docPr id="923" name="Picture 923"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90650" cy="255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inline distT="0" distB="0" distL="0" distR="0" wp14:anchorId="584D4968" wp14:editId="7D10BAEE">
          <wp:extent cx="1692000" cy="291600"/>
          <wp:effectExtent l="0" t="0" r="3810" b="0"/>
          <wp:docPr id="925" name="Picture 925" descr="C:\Users\sarah\AppData\Local\Microsoft\Windows\INetCache\Content.Word\BE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INetCache\Content.Word\BE logo 2017.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92000" cy="291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5706E8CA"/>
    <w:lvl w:ilvl="0">
      <w:start w:val="1"/>
      <w:numFmt w:val="decimal"/>
      <w:pStyle w:val="ListNumber3"/>
      <w:lvlText w:val="%1."/>
      <w:lvlJc w:val="left"/>
      <w:pPr>
        <w:tabs>
          <w:tab w:val="num" w:pos="926"/>
        </w:tabs>
        <w:ind w:left="926" w:hanging="360"/>
      </w:pPr>
    </w:lvl>
  </w:abstractNum>
  <w:abstractNum w:abstractNumId="1" w15:restartNumberingAfterBreak="0">
    <w:nsid w:val="FFFFFF88"/>
    <w:multiLevelType w:val="singleLevel"/>
    <w:tmpl w:val="C8A4CC90"/>
    <w:lvl w:ilvl="0">
      <w:start w:val="1"/>
      <w:numFmt w:val="decimal"/>
      <w:pStyle w:val="ListNumber"/>
      <w:lvlText w:val="%1."/>
      <w:lvlJc w:val="left"/>
      <w:pPr>
        <w:tabs>
          <w:tab w:val="num" w:pos="360"/>
        </w:tabs>
        <w:ind w:left="360" w:hanging="360"/>
      </w:pPr>
      <w:rPr>
        <w:rFonts w:hint="default"/>
      </w:rPr>
    </w:lvl>
  </w:abstractNum>
  <w:abstractNum w:abstractNumId="2" w15:restartNumberingAfterBreak="0">
    <w:nsid w:val="009E5064"/>
    <w:multiLevelType w:val="hybridMultilevel"/>
    <w:tmpl w:val="E1286C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FC5F39"/>
    <w:multiLevelType w:val="multilevel"/>
    <w:tmpl w:val="AE2C595C"/>
    <w:lvl w:ilvl="0">
      <w:start w:val="1"/>
      <w:numFmt w:val="decimal"/>
      <w:lvlText w:val="%1."/>
      <w:lvlJc w:val="left"/>
      <w:pPr>
        <w:ind w:left="454" w:hanging="454"/>
      </w:pPr>
      <w:rPr>
        <w:rFonts w:hint="default"/>
        <w:color w:val="080808"/>
      </w:rPr>
    </w:lvl>
    <w:lvl w:ilvl="1">
      <w:start w:val="1"/>
      <w:numFmt w:val="bullet"/>
      <w:lvlText w:val=""/>
      <w:lvlJc w:val="left"/>
      <w:pPr>
        <w:ind w:left="907" w:hanging="453"/>
      </w:pPr>
      <w:rPr>
        <w:rFonts w:ascii="Symbol" w:hAnsi="Symbol" w:hint="default"/>
      </w:rPr>
    </w:lvl>
    <w:lvl w:ilvl="2">
      <w:start w:val="1"/>
      <w:numFmt w:val="bullet"/>
      <w:lvlText w:val="o"/>
      <w:lvlJc w:val="left"/>
      <w:pPr>
        <w:ind w:left="1361" w:hanging="454"/>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7562312"/>
    <w:multiLevelType w:val="hybridMultilevel"/>
    <w:tmpl w:val="5A82C838"/>
    <w:lvl w:ilvl="0" w:tplc="28C096DC">
      <w:start w:val="1"/>
      <w:numFmt w:val="upperLetter"/>
      <w:pStyle w:val="AppendixHeading"/>
      <w:lvlText w:val="Appendix %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344DC7"/>
    <w:multiLevelType w:val="hybridMultilevel"/>
    <w:tmpl w:val="D00CEEEE"/>
    <w:lvl w:ilvl="0" w:tplc="BD5C0BDA">
      <w:start w:val="1"/>
      <w:numFmt w:val="decimal"/>
      <w:lvlText w:val="%1"/>
      <w:lvlJc w:val="left"/>
      <w:pPr>
        <w:ind w:left="720" w:hanging="360"/>
      </w:pPr>
      <w:rPr>
        <w:rFonts w:hint="default"/>
        <w:color w:val="7070FF" w:themeColor="text2" w:themeTint="6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CE6FB8"/>
    <w:multiLevelType w:val="hybridMultilevel"/>
    <w:tmpl w:val="3CDC2F7A"/>
    <w:lvl w:ilvl="0" w:tplc="D45C57AE">
      <w:start w:val="1"/>
      <w:numFmt w:val="decimal"/>
      <w:pStyle w:val="SRUTableHeading"/>
      <w:lvlText w:val="Table %1"/>
      <w:lvlJc w:val="left"/>
      <w:pPr>
        <w:ind w:left="1495"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C090019" w:tentative="1">
      <w:start w:val="1"/>
      <w:numFmt w:val="lowerLetter"/>
      <w:lvlText w:val="%2."/>
      <w:lvlJc w:val="left"/>
      <w:pPr>
        <w:ind w:left="2575" w:hanging="360"/>
      </w:pPr>
    </w:lvl>
    <w:lvl w:ilvl="2" w:tplc="0C09001B" w:tentative="1">
      <w:start w:val="1"/>
      <w:numFmt w:val="lowerRoman"/>
      <w:lvlText w:val="%3."/>
      <w:lvlJc w:val="right"/>
      <w:pPr>
        <w:ind w:left="3295" w:hanging="180"/>
      </w:pPr>
    </w:lvl>
    <w:lvl w:ilvl="3" w:tplc="0C09000F" w:tentative="1">
      <w:start w:val="1"/>
      <w:numFmt w:val="decimal"/>
      <w:lvlText w:val="%4."/>
      <w:lvlJc w:val="left"/>
      <w:pPr>
        <w:ind w:left="4015" w:hanging="360"/>
      </w:pPr>
    </w:lvl>
    <w:lvl w:ilvl="4" w:tplc="0C090019" w:tentative="1">
      <w:start w:val="1"/>
      <w:numFmt w:val="lowerLetter"/>
      <w:lvlText w:val="%5."/>
      <w:lvlJc w:val="left"/>
      <w:pPr>
        <w:ind w:left="4735" w:hanging="360"/>
      </w:pPr>
    </w:lvl>
    <w:lvl w:ilvl="5" w:tplc="0C09001B" w:tentative="1">
      <w:start w:val="1"/>
      <w:numFmt w:val="lowerRoman"/>
      <w:lvlText w:val="%6."/>
      <w:lvlJc w:val="right"/>
      <w:pPr>
        <w:ind w:left="5455" w:hanging="180"/>
      </w:pPr>
    </w:lvl>
    <w:lvl w:ilvl="6" w:tplc="0C09000F" w:tentative="1">
      <w:start w:val="1"/>
      <w:numFmt w:val="decimal"/>
      <w:lvlText w:val="%7."/>
      <w:lvlJc w:val="left"/>
      <w:pPr>
        <w:ind w:left="6175" w:hanging="360"/>
      </w:pPr>
    </w:lvl>
    <w:lvl w:ilvl="7" w:tplc="0C090019" w:tentative="1">
      <w:start w:val="1"/>
      <w:numFmt w:val="lowerLetter"/>
      <w:lvlText w:val="%8."/>
      <w:lvlJc w:val="left"/>
      <w:pPr>
        <w:ind w:left="6895" w:hanging="360"/>
      </w:pPr>
    </w:lvl>
    <w:lvl w:ilvl="8" w:tplc="0C09001B" w:tentative="1">
      <w:start w:val="1"/>
      <w:numFmt w:val="lowerRoman"/>
      <w:lvlText w:val="%9."/>
      <w:lvlJc w:val="right"/>
      <w:pPr>
        <w:ind w:left="7615" w:hanging="180"/>
      </w:pPr>
    </w:lvl>
  </w:abstractNum>
  <w:abstractNum w:abstractNumId="7" w15:restartNumberingAfterBreak="0">
    <w:nsid w:val="16AF7A37"/>
    <w:multiLevelType w:val="hybridMultilevel"/>
    <w:tmpl w:val="DF94F17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5579BC"/>
    <w:multiLevelType w:val="hybridMultilevel"/>
    <w:tmpl w:val="DC0C7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8079B5"/>
    <w:multiLevelType w:val="hybridMultilevel"/>
    <w:tmpl w:val="7D80FBFE"/>
    <w:lvl w:ilvl="0" w:tplc="0C09000F">
      <w:start w:val="1"/>
      <w:numFmt w:val="decimal"/>
      <w:lvlText w:val="%1."/>
      <w:lvlJc w:val="left"/>
      <w:pPr>
        <w:ind w:left="360" w:hanging="360"/>
      </w:pPr>
    </w:lvl>
    <w:lvl w:ilvl="1" w:tplc="0C090019">
      <w:start w:val="1"/>
      <w:numFmt w:val="decimal"/>
      <w:lvlText w:val="%2."/>
      <w:lvlJc w:val="left"/>
      <w:pPr>
        <w:tabs>
          <w:tab w:val="num" w:pos="1080"/>
        </w:tabs>
        <w:ind w:left="1080" w:hanging="360"/>
      </w:pPr>
    </w:lvl>
    <w:lvl w:ilvl="2" w:tplc="0C09001B">
      <w:start w:val="1"/>
      <w:numFmt w:val="decimal"/>
      <w:lvlText w:val="%3."/>
      <w:lvlJc w:val="left"/>
      <w:pPr>
        <w:tabs>
          <w:tab w:val="num" w:pos="1800"/>
        </w:tabs>
        <w:ind w:left="1800" w:hanging="360"/>
      </w:pPr>
    </w:lvl>
    <w:lvl w:ilvl="3" w:tplc="0C09000F">
      <w:start w:val="1"/>
      <w:numFmt w:val="decimal"/>
      <w:lvlText w:val="%4."/>
      <w:lvlJc w:val="left"/>
      <w:pPr>
        <w:tabs>
          <w:tab w:val="num" w:pos="2520"/>
        </w:tabs>
        <w:ind w:left="2520" w:hanging="360"/>
      </w:pPr>
    </w:lvl>
    <w:lvl w:ilvl="4" w:tplc="0C090019">
      <w:start w:val="1"/>
      <w:numFmt w:val="decimal"/>
      <w:lvlText w:val="%5."/>
      <w:lvlJc w:val="left"/>
      <w:pPr>
        <w:tabs>
          <w:tab w:val="num" w:pos="3240"/>
        </w:tabs>
        <w:ind w:left="3240" w:hanging="360"/>
      </w:pPr>
    </w:lvl>
    <w:lvl w:ilvl="5" w:tplc="0C09001B">
      <w:start w:val="1"/>
      <w:numFmt w:val="decimal"/>
      <w:lvlText w:val="%6."/>
      <w:lvlJc w:val="left"/>
      <w:pPr>
        <w:tabs>
          <w:tab w:val="num" w:pos="3960"/>
        </w:tabs>
        <w:ind w:left="3960" w:hanging="360"/>
      </w:pPr>
    </w:lvl>
    <w:lvl w:ilvl="6" w:tplc="0C09000F">
      <w:start w:val="1"/>
      <w:numFmt w:val="decimal"/>
      <w:lvlText w:val="%7."/>
      <w:lvlJc w:val="left"/>
      <w:pPr>
        <w:tabs>
          <w:tab w:val="num" w:pos="4680"/>
        </w:tabs>
        <w:ind w:left="4680" w:hanging="360"/>
      </w:pPr>
    </w:lvl>
    <w:lvl w:ilvl="7" w:tplc="0C090019">
      <w:start w:val="1"/>
      <w:numFmt w:val="decimal"/>
      <w:lvlText w:val="%8."/>
      <w:lvlJc w:val="left"/>
      <w:pPr>
        <w:tabs>
          <w:tab w:val="num" w:pos="5400"/>
        </w:tabs>
        <w:ind w:left="5400" w:hanging="360"/>
      </w:pPr>
    </w:lvl>
    <w:lvl w:ilvl="8" w:tplc="0C09001B">
      <w:start w:val="1"/>
      <w:numFmt w:val="decimal"/>
      <w:lvlText w:val="%9."/>
      <w:lvlJc w:val="left"/>
      <w:pPr>
        <w:tabs>
          <w:tab w:val="num" w:pos="6120"/>
        </w:tabs>
        <w:ind w:left="6120" w:hanging="360"/>
      </w:pPr>
    </w:lvl>
  </w:abstractNum>
  <w:abstractNum w:abstractNumId="10" w15:restartNumberingAfterBreak="0">
    <w:nsid w:val="1F430D45"/>
    <w:multiLevelType w:val="hybridMultilevel"/>
    <w:tmpl w:val="5E38F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D24067"/>
    <w:multiLevelType w:val="multilevel"/>
    <w:tmpl w:val="44E20926"/>
    <w:lvl w:ilvl="0">
      <w:start w:val="1"/>
      <w:numFmt w:val="decimal"/>
      <w:pStyle w:val="Level1"/>
      <w:lvlText w:val="%1."/>
      <w:lvlJc w:val="left"/>
      <w:pPr>
        <w:tabs>
          <w:tab w:val="num" w:pos="720"/>
        </w:tabs>
        <w:ind w:left="720" w:hanging="720"/>
      </w:pPr>
      <w:rPr>
        <w:rFonts w:ascii="Arial" w:hAnsi="Arial" w:cs="Arial" w:hint="default"/>
        <w:b/>
        <w:i w:val="0"/>
        <w:caps w:val="0"/>
        <w:strike w:val="0"/>
        <w:dstrike w:val="0"/>
        <w:vanish w:val="0"/>
        <w:color w:val="000000"/>
        <w:sz w:val="22"/>
        <w:szCs w:val="22"/>
        <w:vertAlign w:val="baseline"/>
      </w:rPr>
    </w:lvl>
    <w:lvl w:ilvl="1">
      <w:start w:val="1"/>
      <w:numFmt w:val="decimal"/>
      <w:pStyle w:val="Level11"/>
      <w:lvlText w:val="%1.%2"/>
      <w:lvlJc w:val="left"/>
      <w:pPr>
        <w:tabs>
          <w:tab w:val="num" w:pos="842"/>
        </w:tabs>
        <w:ind w:left="842" w:hanging="700"/>
      </w:pPr>
      <w:rPr>
        <w:rFonts w:ascii="Arial" w:hAnsi="Arial" w:cs="Arial" w:hint="default"/>
        <w:b w:val="0"/>
        <w:i w:val="0"/>
        <w:caps w:val="0"/>
        <w:strike w:val="0"/>
        <w:dstrike w:val="0"/>
        <w:vanish w:val="0"/>
        <w:color w:val="000000"/>
        <w:sz w:val="22"/>
        <w:szCs w:val="22"/>
        <w:vertAlign w:val="baseline"/>
      </w:rPr>
    </w:lvl>
    <w:lvl w:ilvl="2">
      <w:start w:val="1"/>
      <w:numFmt w:val="lowerLetter"/>
      <w:pStyle w:val="Levela"/>
      <w:lvlText w:val="(%3)"/>
      <w:lvlJc w:val="left"/>
      <w:pPr>
        <w:tabs>
          <w:tab w:val="num" w:pos="1440"/>
        </w:tabs>
        <w:ind w:left="1440" w:hanging="720"/>
      </w:pPr>
      <w:rPr>
        <w:rFonts w:ascii="Arial" w:hAnsi="Arial" w:cs="Arial" w:hint="default"/>
        <w:b w:val="0"/>
        <w:i w:val="0"/>
        <w:caps w:val="0"/>
        <w:strike w:val="0"/>
        <w:dstrike w:val="0"/>
        <w:vanish w:val="0"/>
        <w:color w:val="000000"/>
        <w:sz w:val="22"/>
        <w:szCs w:val="22"/>
        <w:vertAlign w:val="baseline"/>
      </w:rPr>
    </w:lvl>
    <w:lvl w:ilvl="3">
      <w:start w:val="1"/>
      <w:numFmt w:val="lowerRoman"/>
      <w:pStyle w:val="Leveli"/>
      <w:lvlText w:val="(%4)"/>
      <w:lvlJc w:val="left"/>
      <w:pPr>
        <w:tabs>
          <w:tab w:val="num" w:pos="2160"/>
        </w:tabs>
        <w:ind w:left="2160" w:hanging="720"/>
      </w:pPr>
      <w:rPr>
        <w:rFonts w:ascii="Palatino" w:hAnsi="Palatino" w:hint="default"/>
        <w:b w:val="0"/>
        <w:i w:val="0"/>
        <w:caps w:val="0"/>
        <w:strike w:val="0"/>
        <w:dstrike w:val="0"/>
        <w:vanish w:val="0"/>
        <w:color w:val="000000"/>
        <w:sz w:val="24"/>
        <w:vertAlign w:val="baseline"/>
      </w:rPr>
    </w:lvl>
    <w:lvl w:ilvl="4">
      <w:start w:val="1"/>
      <w:numFmt w:val="upperLetter"/>
      <w:pStyle w:val="LevelA0"/>
      <w:lvlText w:val="(%5)"/>
      <w:lvlJc w:val="left"/>
      <w:pPr>
        <w:tabs>
          <w:tab w:val="num" w:pos="2880"/>
        </w:tabs>
        <w:ind w:left="2880" w:hanging="720"/>
      </w:pPr>
      <w:rPr>
        <w:rFonts w:ascii="Palatino" w:hAnsi="Palatino" w:hint="default"/>
        <w:b w:val="0"/>
        <w:i w:val="0"/>
        <w:caps w:val="0"/>
        <w:strike w:val="0"/>
        <w:dstrike w:val="0"/>
        <w:vanish w:val="0"/>
        <w:color w:val="000000"/>
        <w:sz w:val="24"/>
        <w:vertAlign w:val="baseline"/>
      </w:rPr>
    </w:lvl>
    <w:lvl w:ilvl="5">
      <w:start w:val="1"/>
      <w:numFmt w:val="upperRoman"/>
      <w:pStyle w:val="LevelI0"/>
      <w:lvlText w:val="(%6)"/>
      <w:lvlJc w:val="left"/>
      <w:pPr>
        <w:tabs>
          <w:tab w:val="num" w:pos="3600"/>
        </w:tabs>
        <w:ind w:left="3600" w:hanging="720"/>
      </w:pPr>
      <w:rPr>
        <w:rFonts w:ascii="Palatino" w:hAnsi="Palatino" w:hint="default"/>
        <w:b w:val="0"/>
        <w:i w:val="0"/>
        <w:caps w:val="0"/>
        <w:strike w:val="0"/>
        <w:dstrike w:val="0"/>
        <w:vanish w:val="0"/>
        <w:color w:val="000000"/>
        <w:sz w:val="24"/>
        <w:vertAlign w:val="baseline"/>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276F0527"/>
    <w:multiLevelType w:val="hybridMultilevel"/>
    <w:tmpl w:val="9E023C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A7F0F62"/>
    <w:multiLevelType w:val="hybridMultilevel"/>
    <w:tmpl w:val="E1286C7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B1804E6"/>
    <w:multiLevelType w:val="hybridMultilevel"/>
    <w:tmpl w:val="2C5295F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0641F83"/>
    <w:multiLevelType w:val="hybridMultilevel"/>
    <w:tmpl w:val="132AB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6D5307"/>
    <w:multiLevelType w:val="hybridMultilevel"/>
    <w:tmpl w:val="DAC68F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1F37249"/>
    <w:multiLevelType w:val="hybridMultilevel"/>
    <w:tmpl w:val="47109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9A05E9"/>
    <w:multiLevelType w:val="multilevel"/>
    <w:tmpl w:val="A036B586"/>
    <w:styleLink w:val="Dotpoints"/>
    <w:lvl w:ilvl="0">
      <w:start w:val="1"/>
      <w:numFmt w:val="bullet"/>
      <w:lvlText w:val=""/>
      <w:lvlJc w:val="left"/>
      <w:pPr>
        <w:ind w:left="357" w:hanging="357"/>
      </w:pPr>
      <w:rPr>
        <w:rFonts w:ascii="Symbol" w:hAnsi="Symbol" w:hint="default"/>
        <w:color w:val="auto"/>
      </w:rPr>
    </w:lvl>
    <w:lvl w:ilvl="1">
      <w:start w:val="1"/>
      <w:numFmt w:val="bullet"/>
      <w:lvlText w:val="-"/>
      <w:lvlJc w:val="left"/>
      <w:pPr>
        <w:tabs>
          <w:tab w:val="num" w:pos="907"/>
        </w:tabs>
        <w:ind w:left="907" w:hanging="550"/>
      </w:pPr>
      <w:rPr>
        <w:rFonts w:ascii="Courier New" w:hAnsi="Courier New" w:hint="default"/>
      </w:rPr>
    </w:lvl>
    <w:lvl w:ilvl="2">
      <w:start w:val="1"/>
      <w:numFmt w:val="bullet"/>
      <w:lvlText w:val=""/>
      <w:lvlJc w:val="left"/>
      <w:pPr>
        <w:tabs>
          <w:tab w:val="num" w:pos="1474"/>
        </w:tabs>
        <w:ind w:left="1474" w:hanging="567"/>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5814FAE"/>
    <w:multiLevelType w:val="hybridMultilevel"/>
    <w:tmpl w:val="10285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DC2418"/>
    <w:multiLevelType w:val="multilevel"/>
    <w:tmpl w:val="10A4E958"/>
    <w:lvl w:ilvl="0">
      <w:start w:val="1"/>
      <w:numFmt w:val="decimal"/>
      <w:lvlText w:val="%1."/>
      <w:lvlJc w:val="left"/>
      <w:pPr>
        <w:ind w:left="851" w:hanging="851"/>
      </w:pPr>
      <w:rPr>
        <w:rFonts w:hint="default"/>
        <w:b w:val="0"/>
        <w:bCs w:val="0"/>
        <w:i w:val="0"/>
        <w:iCs w:val="0"/>
        <w:caps w:val="0"/>
        <w:smallCaps w:val="0"/>
        <w:strike w:val="0"/>
        <w:dstrike w:val="0"/>
        <w:noProof w:val="0"/>
        <w:vanish w:val="0"/>
        <w:color w:val="000099" w:themeColor="text2"/>
        <w:spacing w:val="0"/>
        <w:kern w:val="0"/>
        <w:position w:val="0"/>
        <w:u w:val="none"/>
        <w:vertAlign w:val="baseline"/>
        <w:em w:val="none"/>
      </w:rPr>
    </w:lvl>
    <w:lvl w:ilvl="1">
      <w:start w:val="1"/>
      <w:numFmt w:val="decimal"/>
      <w:lvlText w:val="%1.%2"/>
      <w:lvlJc w:val="left"/>
      <w:pPr>
        <w:ind w:left="851" w:hanging="851"/>
      </w:pPr>
      <w:rPr>
        <w:b w:val="0"/>
        <w:bCs w:val="0"/>
        <w:i w:val="0"/>
        <w:iCs w:val="0"/>
        <w:caps w:val="0"/>
        <w:smallCaps w:val="0"/>
        <w:strike w:val="0"/>
        <w:dstrike w:val="0"/>
        <w:noProof w:val="0"/>
        <w:vanish w:val="0"/>
        <w:color w:val="000099" w:themeColor="text2"/>
        <w:spacing w:val="0"/>
        <w:kern w:val="0"/>
        <w:position w:val="0"/>
        <w:u w:val="none"/>
        <w:vertAlign w:val="baseline"/>
        <w:em w:val="no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B3E66B9"/>
    <w:multiLevelType w:val="hybridMultilevel"/>
    <w:tmpl w:val="6CD0CE0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C1400F6"/>
    <w:multiLevelType w:val="hybridMultilevel"/>
    <w:tmpl w:val="0B58A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233F7B"/>
    <w:multiLevelType w:val="hybridMultilevel"/>
    <w:tmpl w:val="E1286C7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CD311F1"/>
    <w:multiLevelType w:val="hybridMultilevel"/>
    <w:tmpl w:val="E1286C7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02724D0"/>
    <w:multiLevelType w:val="hybridMultilevel"/>
    <w:tmpl w:val="12BAC22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16D7C57"/>
    <w:multiLevelType w:val="hybridMultilevel"/>
    <w:tmpl w:val="E9B2197E"/>
    <w:lvl w:ilvl="0" w:tplc="0C090001">
      <w:start w:val="1"/>
      <w:numFmt w:val="bullet"/>
      <w:lvlText w:val=""/>
      <w:lvlJc w:val="left"/>
      <w:pPr>
        <w:ind w:left="757" w:hanging="360"/>
      </w:pPr>
      <w:rPr>
        <w:rFonts w:ascii="Symbol" w:hAnsi="Symbol"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27" w15:restartNumberingAfterBreak="0">
    <w:nsid w:val="534C5A65"/>
    <w:multiLevelType w:val="hybridMultilevel"/>
    <w:tmpl w:val="7D80FBFE"/>
    <w:lvl w:ilvl="0" w:tplc="0C09000F">
      <w:start w:val="1"/>
      <w:numFmt w:val="decimal"/>
      <w:lvlText w:val="%1."/>
      <w:lvlJc w:val="left"/>
      <w:pPr>
        <w:ind w:left="360" w:hanging="360"/>
      </w:pPr>
    </w:lvl>
    <w:lvl w:ilvl="1" w:tplc="0C090019">
      <w:start w:val="1"/>
      <w:numFmt w:val="decimal"/>
      <w:lvlText w:val="%2."/>
      <w:lvlJc w:val="left"/>
      <w:pPr>
        <w:tabs>
          <w:tab w:val="num" w:pos="1080"/>
        </w:tabs>
        <w:ind w:left="1080" w:hanging="360"/>
      </w:pPr>
    </w:lvl>
    <w:lvl w:ilvl="2" w:tplc="0C09001B">
      <w:start w:val="1"/>
      <w:numFmt w:val="decimal"/>
      <w:lvlText w:val="%3."/>
      <w:lvlJc w:val="left"/>
      <w:pPr>
        <w:tabs>
          <w:tab w:val="num" w:pos="1800"/>
        </w:tabs>
        <w:ind w:left="1800" w:hanging="360"/>
      </w:pPr>
    </w:lvl>
    <w:lvl w:ilvl="3" w:tplc="0C09000F">
      <w:start w:val="1"/>
      <w:numFmt w:val="decimal"/>
      <w:lvlText w:val="%4."/>
      <w:lvlJc w:val="left"/>
      <w:pPr>
        <w:tabs>
          <w:tab w:val="num" w:pos="2520"/>
        </w:tabs>
        <w:ind w:left="2520" w:hanging="360"/>
      </w:pPr>
    </w:lvl>
    <w:lvl w:ilvl="4" w:tplc="0C090019">
      <w:start w:val="1"/>
      <w:numFmt w:val="decimal"/>
      <w:lvlText w:val="%5."/>
      <w:lvlJc w:val="left"/>
      <w:pPr>
        <w:tabs>
          <w:tab w:val="num" w:pos="3240"/>
        </w:tabs>
        <w:ind w:left="3240" w:hanging="360"/>
      </w:pPr>
    </w:lvl>
    <w:lvl w:ilvl="5" w:tplc="0C09001B">
      <w:start w:val="1"/>
      <w:numFmt w:val="decimal"/>
      <w:lvlText w:val="%6."/>
      <w:lvlJc w:val="left"/>
      <w:pPr>
        <w:tabs>
          <w:tab w:val="num" w:pos="3960"/>
        </w:tabs>
        <w:ind w:left="3960" w:hanging="360"/>
      </w:pPr>
    </w:lvl>
    <w:lvl w:ilvl="6" w:tplc="0C09000F">
      <w:start w:val="1"/>
      <w:numFmt w:val="decimal"/>
      <w:lvlText w:val="%7."/>
      <w:lvlJc w:val="left"/>
      <w:pPr>
        <w:tabs>
          <w:tab w:val="num" w:pos="4680"/>
        </w:tabs>
        <w:ind w:left="4680" w:hanging="360"/>
      </w:pPr>
    </w:lvl>
    <w:lvl w:ilvl="7" w:tplc="0C090019">
      <w:start w:val="1"/>
      <w:numFmt w:val="decimal"/>
      <w:lvlText w:val="%8."/>
      <w:lvlJc w:val="left"/>
      <w:pPr>
        <w:tabs>
          <w:tab w:val="num" w:pos="5400"/>
        </w:tabs>
        <w:ind w:left="5400" w:hanging="360"/>
      </w:pPr>
    </w:lvl>
    <w:lvl w:ilvl="8" w:tplc="0C09001B">
      <w:start w:val="1"/>
      <w:numFmt w:val="decimal"/>
      <w:lvlText w:val="%9."/>
      <w:lvlJc w:val="left"/>
      <w:pPr>
        <w:tabs>
          <w:tab w:val="num" w:pos="6120"/>
        </w:tabs>
        <w:ind w:left="6120" w:hanging="360"/>
      </w:pPr>
    </w:lvl>
  </w:abstractNum>
  <w:abstractNum w:abstractNumId="28" w15:restartNumberingAfterBreak="0">
    <w:nsid w:val="5569643F"/>
    <w:multiLevelType w:val="hybridMultilevel"/>
    <w:tmpl w:val="027EEA0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3A247F"/>
    <w:multiLevelType w:val="hybridMultilevel"/>
    <w:tmpl w:val="C76E7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8673A8"/>
    <w:multiLevelType w:val="multilevel"/>
    <w:tmpl w:val="6352C660"/>
    <w:styleLink w:val="BEList"/>
    <w:lvl w:ilvl="0">
      <w:start w:val="1"/>
      <w:numFmt w:val="decimal"/>
      <w:lvlText w:val="%1."/>
      <w:lvlJc w:val="left"/>
      <w:pPr>
        <w:ind w:left="340" w:hanging="340"/>
      </w:pPr>
      <w:rPr>
        <w:rFonts w:hint="default"/>
        <w:color w:val="auto"/>
      </w:rPr>
    </w:lvl>
    <w:lvl w:ilvl="1">
      <w:start w:val="1"/>
      <w:numFmt w:val="lowerLetter"/>
      <w:lvlText w:val="%2)"/>
      <w:lvlJc w:val="left"/>
      <w:pPr>
        <w:ind w:left="680"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BC31490"/>
    <w:multiLevelType w:val="hybridMultilevel"/>
    <w:tmpl w:val="4498FF8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F95756"/>
    <w:multiLevelType w:val="multilevel"/>
    <w:tmpl w:val="DCDA1470"/>
    <w:lvl w:ilvl="0">
      <w:start w:val="1"/>
      <w:numFmt w:val="bullet"/>
      <w:pStyle w:val="Bullet1"/>
      <w:lvlText w:val=""/>
      <w:lvlJc w:val="left"/>
      <w:pPr>
        <w:ind w:left="425" w:hanging="425"/>
      </w:pPr>
      <w:rPr>
        <w:rFonts w:ascii="Symbol" w:hAnsi="Symbol" w:hint="default"/>
      </w:rPr>
    </w:lvl>
    <w:lvl w:ilvl="1">
      <w:start w:val="1"/>
      <w:numFmt w:val="bullet"/>
      <w:pStyle w:val="Bullet2"/>
      <w:lvlText w:val="-"/>
      <w:lvlJc w:val="left"/>
      <w:pPr>
        <w:ind w:left="851" w:hanging="426"/>
      </w:pPr>
      <w:rPr>
        <w:rFonts w:ascii="Courier New" w:hAnsi="Courier New" w:hint="default"/>
      </w:rPr>
    </w:lvl>
    <w:lvl w:ilvl="2">
      <w:start w:val="1"/>
      <w:numFmt w:val="bullet"/>
      <w:pStyle w:val="Bullet3"/>
      <w:lvlText w:val="o"/>
      <w:lvlJc w:val="left"/>
      <w:pPr>
        <w:ind w:left="1276" w:hanging="425"/>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5E133E8C"/>
    <w:multiLevelType w:val="hybridMultilevel"/>
    <w:tmpl w:val="7D80FBFE"/>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4" w15:restartNumberingAfterBreak="0">
    <w:nsid w:val="5EC567BA"/>
    <w:multiLevelType w:val="hybridMultilevel"/>
    <w:tmpl w:val="E1286C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1490232"/>
    <w:multiLevelType w:val="multilevel"/>
    <w:tmpl w:val="DBF62AB0"/>
    <w:lvl w:ilvl="0">
      <w:start w:val="1"/>
      <w:numFmt w:val="decimal"/>
      <w:lvlText w:val="%1."/>
      <w:lvlJc w:val="left"/>
      <w:pPr>
        <w:ind w:left="454" w:hanging="454"/>
      </w:pPr>
      <w:rPr>
        <w:rFonts w:hint="default"/>
        <w:color w:val="080808"/>
      </w:rPr>
    </w:lvl>
    <w:lvl w:ilvl="1">
      <w:start w:val="1"/>
      <w:numFmt w:val="bullet"/>
      <w:lvlText w:val=""/>
      <w:lvlJc w:val="left"/>
      <w:pPr>
        <w:ind w:left="907" w:hanging="453"/>
      </w:pPr>
      <w:rPr>
        <w:rFonts w:ascii="Symbol" w:hAnsi="Symbol" w:hint="default"/>
      </w:rPr>
    </w:lvl>
    <w:lvl w:ilvl="2">
      <w:start w:val="1"/>
      <w:numFmt w:val="bullet"/>
      <w:lvlText w:val="o"/>
      <w:lvlJc w:val="left"/>
      <w:pPr>
        <w:ind w:left="1361" w:hanging="454"/>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618A2CB5"/>
    <w:multiLevelType w:val="multilevel"/>
    <w:tmpl w:val="5AEC97BC"/>
    <w:name w:val="BE Appendix Headings"/>
    <w:lvl w:ilvl="0">
      <w:start w:val="1"/>
      <w:numFmt w:val="upperLetter"/>
      <w:lvlText w:val="Appendix %1"/>
      <w:lvlJc w:val="left"/>
      <w:pPr>
        <w:ind w:left="851" w:hanging="851"/>
      </w:pPr>
      <w:rPr>
        <w:rFonts w:hint="default"/>
        <w:b w:val="0"/>
        <w:bCs w:val="0"/>
        <w:i w:val="0"/>
        <w:iCs w:val="0"/>
        <w:caps w:val="0"/>
        <w:smallCaps w:val="0"/>
        <w:strike w:val="0"/>
        <w:dstrike w:val="0"/>
        <w:vanish w:val="0"/>
        <w:color w:val="000099" w:themeColor="text2"/>
        <w:spacing w:val="0"/>
        <w:kern w:val="0"/>
        <w:position w:val="0"/>
        <w:u w:val="none"/>
        <w:vertAlign w:val="baseline"/>
        <w:em w:val="none"/>
      </w:rPr>
    </w:lvl>
    <w:lvl w:ilvl="1">
      <w:start w:val="1"/>
      <w:numFmt w:val="decimal"/>
      <w:lvlText w:val="%1.%2"/>
      <w:lvlJc w:val="left"/>
      <w:pPr>
        <w:ind w:left="3971" w:hanging="851"/>
      </w:pPr>
      <w:rPr>
        <w:rFonts w:ascii="Arial Rounded MT Bold" w:hAnsi="Arial Rounded MT Bold"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6662F7A"/>
    <w:multiLevelType w:val="multilevel"/>
    <w:tmpl w:val="2A4AB7A4"/>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66E77F2C"/>
    <w:multiLevelType w:val="hybridMultilevel"/>
    <w:tmpl w:val="045EC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0B5228"/>
    <w:multiLevelType w:val="hybridMultilevel"/>
    <w:tmpl w:val="7D80FBFE"/>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0" w15:restartNumberingAfterBreak="0">
    <w:nsid w:val="71477219"/>
    <w:multiLevelType w:val="hybridMultilevel"/>
    <w:tmpl w:val="0F9E9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23062F4"/>
    <w:multiLevelType w:val="hybridMultilevel"/>
    <w:tmpl w:val="DAB03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355936"/>
    <w:multiLevelType w:val="hybridMultilevel"/>
    <w:tmpl w:val="8BBA0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71374E"/>
    <w:multiLevelType w:val="multilevel"/>
    <w:tmpl w:val="580C4DF4"/>
    <w:lvl w:ilvl="0">
      <w:start w:val="1"/>
      <w:numFmt w:val="upperLetter"/>
      <w:pStyle w:val="Appendix"/>
      <w:suff w:val="nothing"/>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AC1107F"/>
    <w:multiLevelType w:val="hybridMultilevel"/>
    <w:tmpl w:val="0A84E3F4"/>
    <w:lvl w:ilvl="0" w:tplc="B888B0BC">
      <w:start w:val="1"/>
      <w:numFmt w:val="bullet"/>
      <w:pStyle w:val="PointsBulletsSRU"/>
      <w:lvlText w:val=""/>
      <w:lvlJc w:val="left"/>
      <w:pPr>
        <w:tabs>
          <w:tab w:val="num" w:pos="1701"/>
        </w:tabs>
        <w:ind w:left="1701" w:hanging="567"/>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15:restartNumberingAfterBreak="0">
    <w:nsid w:val="7BFA70AD"/>
    <w:multiLevelType w:val="multilevel"/>
    <w:tmpl w:val="DBF62AB0"/>
    <w:lvl w:ilvl="0">
      <w:start w:val="1"/>
      <w:numFmt w:val="decimal"/>
      <w:lvlText w:val="%1."/>
      <w:lvlJc w:val="left"/>
      <w:pPr>
        <w:ind w:left="454" w:hanging="454"/>
      </w:pPr>
      <w:rPr>
        <w:rFonts w:hint="default"/>
        <w:color w:val="080808"/>
      </w:rPr>
    </w:lvl>
    <w:lvl w:ilvl="1">
      <w:start w:val="1"/>
      <w:numFmt w:val="bullet"/>
      <w:lvlText w:val=""/>
      <w:lvlJc w:val="left"/>
      <w:pPr>
        <w:ind w:left="907" w:hanging="453"/>
      </w:pPr>
      <w:rPr>
        <w:rFonts w:ascii="Symbol" w:hAnsi="Symbol" w:hint="default"/>
      </w:rPr>
    </w:lvl>
    <w:lvl w:ilvl="2">
      <w:start w:val="1"/>
      <w:numFmt w:val="bullet"/>
      <w:lvlText w:val="o"/>
      <w:lvlJc w:val="left"/>
      <w:pPr>
        <w:ind w:left="1361" w:hanging="454"/>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 w15:restartNumberingAfterBreak="0">
    <w:nsid w:val="7BFB2423"/>
    <w:multiLevelType w:val="multilevel"/>
    <w:tmpl w:val="BA82B626"/>
    <w:lvl w:ilvl="0">
      <w:start w:val="1"/>
      <w:numFmt w:val="decimal"/>
      <w:pStyle w:val="Number1"/>
      <w:lvlText w:val="%1."/>
      <w:lvlJc w:val="left"/>
      <w:pPr>
        <w:ind w:left="425" w:hanging="425"/>
      </w:pPr>
      <w:rPr>
        <w:rFonts w:hint="default"/>
      </w:rPr>
    </w:lvl>
    <w:lvl w:ilvl="1">
      <w:start w:val="1"/>
      <w:numFmt w:val="lowerLetter"/>
      <w:pStyle w:val="Number2"/>
      <w:lvlText w:val="%2)"/>
      <w:lvlJc w:val="left"/>
      <w:pPr>
        <w:ind w:left="851" w:hanging="426"/>
      </w:pPr>
      <w:rPr>
        <w:rFonts w:hint="default"/>
      </w:rPr>
    </w:lvl>
    <w:lvl w:ilvl="2">
      <w:start w:val="1"/>
      <w:numFmt w:val="lowerRoman"/>
      <w:pStyle w:val="Number3"/>
      <w:lvlText w:val="(%3)"/>
      <w:lvlJc w:val="right"/>
      <w:pPr>
        <w:ind w:left="1276" w:hanging="425"/>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
  </w:num>
  <w:num w:numId="2">
    <w:abstractNumId w:val="0"/>
  </w:num>
  <w:num w:numId="3">
    <w:abstractNumId w:val="32"/>
  </w:num>
  <w:num w:numId="4">
    <w:abstractNumId w:val="46"/>
  </w:num>
  <w:num w:numId="5">
    <w:abstractNumId w:val="37"/>
  </w:num>
  <w:num w:numId="6">
    <w:abstractNumId w:val="43"/>
  </w:num>
  <w:num w:numId="7">
    <w:abstractNumId w:val="4"/>
  </w:num>
  <w:num w:numId="8">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23"/>
  </w:num>
  <w:num w:numId="11">
    <w:abstractNumId w:val="18"/>
  </w:num>
  <w:num w:numId="12">
    <w:abstractNumId w:val="30"/>
  </w:num>
  <w:num w:numId="13">
    <w:abstractNumId w:val="6"/>
  </w:num>
  <w:num w:numId="14">
    <w:abstractNumId w:val="11"/>
  </w:num>
  <w:num w:numId="15">
    <w:abstractNumId w:val="10"/>
  </w:num>
  <w:num w:numId="16">
    <w:abstractNumId w:val="14"/>
  </w:num>
  <w:num w:numId="17">
    <w:abstractNumId w:val="16"/>
  </w:num>
  <w:num w:numId="18">
    <w:abstractNumId w:val="12"/>
  </w:num>
  <w:num w:numId="19">
    <w:abstractNumId w:val="31"/>
  </w:num>
  <w:num w:numId="20">
    <w:abstractNumId w:val="40"/>
  </w:num>
  <w:num w:numId="21">
    <w:abstractNumId w:val="42"/>
  </w:num>
  <w:num w:numId="22">
    <w:abstractNumId w:val="22"/>
  </w:num>
  <w:num w:numId="23">
    <w:abstractNumId w:val="8"/>
  </w:num>
  <w:num w:numId="24">
    <w:abstractNumId w:val="15"/>
  </w:num>
  <w:num w:numId="25">
    <w:abstractNumId w:val="19"/>
  </w:num>
  <w:num w:numId="26">
    <w:abstractNumId w:val="29"/>
  </w:num>
  <w:num w:numId="27">
    <w:abstractNumId w:val="28"/>
  </w:num>
  <w:num w:numId="28">
    <w:abstractNumId w:val="7"/>
  </w:num>
  <w:num w:numId="29">
    <w:abstractNumId w:val="3"/>
  </w:num>
  <w:num w:numId="30">
    <w:abstractNumId w:val="21"/>
  </w:num>
  <w:num w:numId="31">
    <w:abstractNumId w:val="34"/>
  </w:num>
  <w:num w:numId="32">
    <w:abstractNumId w:val="41"/>
  </w:num>
  <w:num w:numId="33">
    <w:abstractNumId w:val="17"/>
  </w:num>
  <w:num w:numId="34">
    <w:abstractNumId w:val="38"/>
  </w:num>
  <w:num w:numId="35">
    <w:abstractNumId w:val="5"/>
  </w:num>
  <w:num w:numId="36">
    <w:abstractNumId w:val="20"/>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2"/>
  </w:num>
  <w:num w:numId="40">
    <w:abstractNumId w:val="35"/>
  </w:num>
  <w:num w:numId="41">
    <w:abstractNumId w:val="45"/>
  </w:num>
  <w:num w:numId="42">
    <w:abstractNumId w:val="1"/>
  </w:num>
  <w:num w:numId="43">
    <w:abstractNumId w:val="1"/>
    <w:lvlOverride w:ilvl="0">
      <w:startOverride w:val="1"/>
    </w:lvlOverride>
  </w:num>
  <w:num w:numId="44">
    <w:abstractNumId w:val="33"/>
  </w:num>
  <w:num w:numId="45">
    <w:abstractNumId w:val="24"/>
  </w:num>
  <w:num w:numId="46">
    <w:abstractNumId w:val="1"/>
    <w:lvlOverride w:ilvl="0">
      <w:startOverride w:val="1"/>
    </w:lvlOverride>
  </w:num>
  <w:num w:numId="47">
    <w:abstractNumId w:val="1"/>
  </w:num>
  <w:num w:numId="48">
    <w:abstractNumId w:val="9"/>
  </w:num>
  <w:num w:numId="49">
    <w:abstractNumId w:val="1"/>
    <w:lvlOverride w:ilvl="0">
      <w:startOverride w:val="1"/>
    </w:lvlOverride>
  </w:num>
  <w:num w:numId="50">
    <w:abstractNumId w:val="1"/>
    <w:lvlOverride w:ilvl="0">
      <w:startOverride w:val="1"/>
    </w:lvlOverride>
  </w:num>
  <w:num w:numId="51">
    <w:abstractNumId w:val="1"/>
    <w:lvlOverride w:ilvl="0">
      <w:startOverride w:val="1"/>
    </w:lvlOverride>
  </w:num>
  <w:num w:numId="52">
    <w:abstractNumId w:val="32"/>
  </w:num>
  <w:num w:numId="53">
    <w:abstractNumId w:val="37"/>
  </w:num>
  <w:num w:numId="54">
    <w:abstractNumId w:val="1"/>
    <w:lvlOverride w:ilvl="0">
      <w:startOverride w:val="1"/>
    </w:lvlOverride>
  </w:num>
  <w:num w:numId="55">
    <w:abstractNumId w:val="1"/>
    <w:lvlOverride w:ilvl="0">
      <w:startOverride w:val="1"/>
    </w:lvlOverride>
  </w:num>
  <w:num w:numId="56">
    <w:abstractNumId w:val="1"/>
    <w:lvlOverride w:ilvl="0">
      <w:startOverride w:val="1"/>
    </w:lvlOverride>
  </w:num>
  <w:num w:numId="57">
    <w:abstractNumId w:val="1"/>
    <w:lvlOverride w:ilvl="0">
      <w:startOverride w:val="1"/>
    </w:lvlOverride>
  </w:num>
  <w:num w:numId="58">
    <w:abstractNumId w:val="1"/>
    <w:lvlOverride w:ilvl="0">
      <w:startOverride w:val="1"/>
    </w:lvlOverride>
  </w:num>
  <w:num w:numId="59">
    <w:abstractNumId w:val="13"/>
  </w:num>
  <w:num w:numId="60">
    <w:abstractNumId w:val="26"/>
  </w:num>
  <w:num w:numId="61">
    <w:abstractNumId w:val="1"/>
    <w:lvlOverride w:ilvl="0">
      <w:startOverride w:val="1"/>
    </w:lvlOverride>
  </w:num>
  <w:num w:numId="62">
    <w:abstractNumId w:val="1"/>
    <w:lvlOverride w:ilvl="0">
      <w:startOverride w:val="1"/>
    </w:lvlOverride>
  </w:num>
  <w:num w:numId="63">
    <w:abstractNumId w:val="1"/>
    <w:lvlOverride w:ilvl="0">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styleLockTheme/>
  <w:styleLockQFSet/>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9EF"/>
    <w:rsid w:val="000017E6"/>
    <w:rsid w:val="000023DB"/>
    <w:rsid w:val="0000680A"/>
    <w:rsid w:val="00013771"/>
    <w:rsid w:val="00014087"/>
    <w:rsid w:val="00014661"/>
    <w:rsid w:val="000164E8"/>
    <w:rsid w:val="00016958"/>
    <w:rsid w:val="000217D6"/>
    <w:rsid w:val="00021A9A"/>
    <w:rsid w:val="00023D39"/>
    <w:rsid w:val="00027BF6"/>
    <w:rsid w:val="00031D9F"/>
    <w:rsid w:val="000323B6"/>
    <w:rsid w:val="0003292E"/>
    <w:rsid w:val="00034E49"/>
    <w:rsid w:val="0003513C"/>
    <w:rsid w:val="00036283"/>
    <w:rsid w:val="000402A4"/>
    <w:rsid w:val="00042563"/>
    <w:rsid w:val="00042612"/>
    <w:rsid w:val="00043891"/>
    <w:rsid w:val="00047A75"/>
    <w:rsid w:val="00047DE2"/>
    <w:rsid w:val="00050375"/>
    <w:rsid w:val="00050AC5"/>
    <w:rsid w:val="00051315"/>
    <w:rsid w:val="000522BD"/>
    <w:rsid w:val="00052973"/>
    <w:rsid w:val="00052ED1"/>
    <w:rsid w:val="00052F25"/>
    <w:rsid w:val="0005355F"/>
    <w:rsid w:val="000535DB"/>
    <w:rsid w:val="00060855"/>
    <w:rsid w:val="0006100D"/>
    <w:rsid w:val="0006129F"/>
    <w:rsid w:val="00061EA1"/>
    <w:rsid w:val="00061EA7"/>
    <w:rsid w:val="000621AF"/>
    <w:rsid w:val="00063185"/>
    <w:rsid w:val="00063BC4"/>
    <w:rsid w:val="00064675"/>
    <w:rsid w:val="0006529B"/>
    <w:rsid w:val="00065E71"/>
    <w:rsid w:val="00065F58"/>
    <w:rsid w:val="00066339"/>
    <w:rsid w:val="000679C2"/>
    <w:rsid w:val="00070A4A"/>
    <w:rsid w:val="00071C89"/>
    <w:rsid w:val="00074907"/>
    <w:rsid w:val="00075AC3"/>
    <w:rsid w:val="00075F5F"/>
    <w:rsid w:val="00076A85"/>
    <w:rsid w:val="000812AD"/>
    <w:rsid w:val="00081653"/>
    <w:rsid w:val="0008202B"/>
    <w:rsid w:val="00083807"/>
    <w:rsid w:val="00083C1C"/>
    <w:rsid w:val="000842E3"/>
    <w:rsid w:val="00084A66"/>
    <w:rsid w:val="00086588"/>
    <w:rsid w:val="00087032"/>
    <w:rsid w:val="00091546"/>
    <w:rsid w:val="00093FDE"/>
    <w:rsid w:val="00094915"/>
    <w:rsid w:val="000956E6"/>
    <w:rsid w:val="000962A1"/>
    <w:rsid w:val="00096662"/>
    <w:rsid w:val="000A339B"/>
    <w:rsid w:val="000A3DD7"/>
    <w:rsid w:val="000A3F75"/>
    <w:rsid w:val="000A69E0"/>
    <w:rsid w:val="000B06F0"/>
    <w:rsid w:val="000B1B45"/>
    <w:rsid w:val="000B3432"/>
    <w:rsid w:val="000B5509"/>
    <w:rsid w:val="000C0D60"/>
    <w:rsid w:val="000C159E"/>
    <w:rsid w:val="000C2083"/>
    <w:rsid w:val="000C74AA"/>
    <w:rsid w:val="000C7898"/>
    <w:rsid w:val="000D2FDB"/>
    <w:rsid w:val="000D76EE"/>
    <w:rsid w:val="000D787B"/>
    <w:rsid w:val="000E0243"/>
    <w:rsid w:val="000E25E2"/>
    <w:rsid w:val="000E58CE"/>
    <w:rsid w:val="000E66E1"/>
    <w:rsid w:val="000F09B1"/>
    <w:rsid w:val="000F1ECC"/>
    <w:rsid w:val="000F27C3"/>
    <w:rsid w:val="000F45E3"/>
    <w:rsid w:val="000F4771"/>
    <w:rsid w:val="000F506B"/>
    <w:rsid w:val="000F582A"/>
    <w:rsid w:val="000F5E99"/>
    <w:rsid w:val="000F7B61"/>
    <w:rsid w:val="00100F0A"/>
    <w:rsid w:val="0010399F"/>
    <w:rsid w:val="00104E96"/>
    <w:rsid w:val="0010642B"/>
    <w:rsid w:val="0010710B"/>
    <w:rsid w:val="00111A40"/>
    <w:rsid w:val="0011252D"/>
    <w:rsid w:val="001130E8"/>
    <w:rsid w:val="001138C3"/>
    <w:rsid w:val="00116EF5"/>
    <w:rsid w:val="00117339"/>
    <w:rsid w:val="0012170A"/>
    <w:rsid w:val="00122A4F"/>
    <w:rsid w:val="00122E0D"/>
    <w:rsid w:val="00123654"/>
    <w:rsid w:val="00124C68"/>
    <w:rsid w:val="00127502"/>
    <w:rsid w:val="00130ACC"/>
    <w:rsid w:val="00131654"/>
    <w:rsid w:val="001318F6"/>
    <w:rsid w:val="00132AFD"/>
    <w:rsid w:val="001347A6"/>
    <w:rsid w:val="001366C5"/>
    <w:rsid w:val="00136CCB"/>
    <w:rsid w:val="001375D7"/>
    <w:rsid w:val="00137698"/>
    <w:rsid w:val="001378F8"/>
    <w:rsid w:val="0014025C"/>
    <w:rsid w:val="001402E8"/>
    <w:rsid w:val="00140A78"/>
    <w:rsid w:val="00141C63"/>
    <w:rsid w:val="00142641"/>
    <w:rsid w:val="00143570"/>
    <w:rsid w:val="00143FCC"/>
    <w:rsid w:val="00144EAA"/>
    <w:rsid w:val="001450B1"/>
    <w:rsid w:val="00151D1C"/>
    <w:rsid w:val="00153E95"/>
    <w:rsid w:val="0015519B"/>
    <w:rsid w:val="001553AE"/>
    <w:rsid w:val="00155B1B"/>
    <w:rsid w:val="00157C85"/>
    <w:rsid w:val="00160185"/>
    <w:rsid w:val="00160A0D"/>
    <w:rsid w:val="00160E23"/>
    <w:rsid w:val="0016119B"/>
    <w:rsid w:val="00161E88"/>
    <w:rsid w:val="00162C01"/>
    <w:rsid w:val="001630AF"/>
    <w:rsid w:val="001656C3"/>
    <w:rsid w:val="00166A69"/>
    <w:rsid w:val="00166F3F"/>
    <w:rsid w:val="001673C0"/>
    <w:rsid w:val="00167C72"/>
    <w:rsid w:val="0017096B"/>
    <w:rsid w:val="00171186"/>
    <w:rsid w:val="0017359F"/>
    <w:rsid w:val="00174706"/>
    <w:rsid w:val="001754FC"/>
    <w:rsid w:val="0017623C"/>
    <w:rsid w:val="00176D89"/>
    <w:rsid w:val="00176FFA"/>
    <w:rsid w:val="0018220D"/>
    <w:rsid w:val="00182364"/>
    <w:rsid w:val="00184367"/>
    <w:rsid w:val="0018460F"/>
    <w:rsid w:val="00186773"/>
    <w:rsid w:val="0019450F"/>
    <w:rsid w:val="00194AD8"/>
    <w:rsid w:val="00194C0F"/>
    <w:rsid w:val="0019594A"/>
    <w:rsid w:val="00196544"/>
    <w:rsid w:val="001968C3"/>
    <w:rsid w:val="001A0008"/>
    <w:rsid w:val="001A2FCD"/>
    <w:rsid w:val="001A4463"/>
    <w:rsid w:val="001B1403"/>
    <w:rsid w:val="001B1D4E"/>
    <w:rsid w:val="001B20A6"/>
    <w:rsid w:val="001B2F9B"/>
    <w:rsid w:val="001B31A1"/>
    <w:rsid w:val="001B3845"/>
    <w:rsid w:val="001B3DD4"/>
    <w:rsid w:val="001B40C7"/>
    <w:rsid w:val="001B454B"/>
    <w:rsid w:val="001B5193"/>
    <w:rsid w:val="001B56C8"/>
    <w:rsid w:val="001C39D1"/>
    <w:rsid w:val="001C6ADA"/>
    <w:rsid w:val="001C7245"/>
    <w:rsid w:val="001D0175"/>
    <w:rsid w:val="001D16CD"/>
    <w:rsid w:val="001D22FE"/>
    <w:rsid w:val="001D3887"/>
    <w:rsid w:val="001D3896"/>
    <w:rsid w:val="001D39EE"/>
    <w:rsid w:val="001D4217"/>
    <w:rsid w:val="001D52A0"/>
    <w:rsid w:val="001E0333"/>
    <w:rsid w:val="001E09FD"/>
    <w:rsid w:val="001E0B3F"/>
    <w:rsid w:val="001E1B27"/>
    <w:rsid w:val="001E22B6"/>
    <w:rsid w:val="001E2C16"/>
    <w:rsid w:val="001E2FC7"/>
    <w:rsid w:val="001E3B2E"/>
    <w:rsid w:val="001E4A77"/>
    <w:rsid w:val="001E6B7B"/>
    <w:rsid w:val="001F137E"/>
    <w:rsid w:val="001F17C8"/>
    <w:rsid w:val="001F1F2C"/>
    <w:rsid w:val="001F507B"/>
    <w:rsid w:val="001F5C16"/>
    <w:rsid w:val="001F6295"/>
    <w:rsid w:val="001F7A08"/>
    <w:rsid w:val="001F7B08"/>
    <w:rsid w:val="0020096E"/>
    <w:rsid w:val="0020212C"/>
    <w:rsid w:val="00202222"/>
    <w:rsid w:val="00202F20"/>
    <w:rsid w:val="002038C5"/>
    <w:rsid w:val="00203A78"/>
    <w:rsid w:val="002051ED"/>
    <w:rsid w:val="00205364"/>
    <w:rsid w:val="0021020D"/>
    <w:rsid w:val="002169F6"/>
    <w:rsid w:val="00216B54"/>
    <w:rsid w:val="00217DFA"/>
    <w:rsid w:val="0022000F"/>
    <w:rsid w:val="00221015"/>
    <w:rsid w:val="002210F1"/>
    <w:rsid w:val="002216DF"/>
    <w:rsid w:val="00222814"/>
    <w:rsid w:val="00223843"/>
    <w:rsid w:val="002240F1"/>
    <w:rsid w:val="002277A0"/>
    <w:rsid w:val="002300DD"/>
    <w:rsid w:val="0023197E"/>
    <w:rsid w:val="00231FF3"/>
    <w:rsid w:val="002328FE"/>
    <w:rsid w:val="00233AAA"/>
    <w:rsid w:val="00241CF2"/>
    <w:rsid w:val="00244AC1"/>
    <w:rsid w:val="002514A0"/>
    <w:rsid w:val="00253C88"/>
    <w:rsid w:val="00253E7C"/>
    <w:rsid w:val="002559A6"/>
    <w:rsid w:val="00255A76"/>
    <w:rsid w:val="002563F5"/>
    <w:rsid w:val="00256665"/>
    <w:rsid w:val="00257EB5"/>
    <w:rsid w:val="00261D49"/>
    <w:rsid w:val="00262E10"/>
    <w:rsid w:val="00264C01"/>
    <w:rsid w:val="0026508D"/>
    <w:rsid w:val="0026563E"/>
    <w:rsid w:val="002661EC"/>
    <w:rsid w:val="002662D9"/>
    <w:rsid w:val="00266398"/>
    <w:rsid w:val="002671B4"/>
    <w:rsid w:val="00270265"/>
    <w:rsid w:val="0027261E"/>
    <w:rsid w:val="00273744"/>
    <w:rsid w:val="00273FA6"/>
    <w:rsid w:val="00274856"/>
    <w:rsid w:val="002749F3"/>
    <w:rsid w:val="002758A4"/>
    <w:rsid w:val="002764B2"/>
    <w:rsid w:val="00276C0F"/>
    <w:rsid w:val="00277E9A"/>
    <w:rsid w:val="0028049C"/>
    <w:rsid w:val="0028399E"/>
    <w:rsid w:val="00284242"/>
    <w:rsid w:val="0028600C"/>
    <w:rsid w:val="002919BE"/>
    <w:rsid w:val="00291E0A"/>
    <w:rsid w:val="00292C8A"/>
    <w:rsid w:val="0029322D"/>
    <w:rsid w:val="002974E6"/>
    <w:rsid w:val="00297EE4"/>
    <w:rsid w:val="002A04C7"/>
    <w:rsid w:val="002A0C8E"/>
    <w:rsid w:val="002A1D77"/>
    <w:rsid w:val="002A203C"/>
    <w:rsid w:val="002A3608"/>
    <w:rsid w:val="002A3A54"/>
    <w:rsid w:val="002A3EEE"/>
    <w:rsid w:val="002A4AFF"/>
    <w:rsid w:val="002A537D"/>
    <w:rsid w:val="002A5B9B"/>
    <w:rsid w:val="002A64F7"/>
    <w:rsid w:val="002A69AB"/>
    <w:rsid w:val="002A6BD6"/>
    <w:rsid w:val="002A7D62"/>
    <w:rsid w:val="002A7E92"/>
    <w:rsid w:val="002A7FC6"/>
    <w:rsid w:val="002B0A1C"/>
    <w:rsid w:val="002B1C7D"/>
    <w:rsid w:val="002B2606"/>
    <w:rsid w:val="002B43CA"/>
    <w:rsid w:val="002C01F0"/>
    <w:rsid w:val="002C2009"/>
    <w:rsid w:val="002C7FCC"/>
    <w:rsid w:val="002D250F"/>
    <w:rsid w:val="002D3048"/>
    <w:rsid w:val="002D3DB9"/>
    <w:rsid w:val="002D563E"/>
    <w:rsid w:val="002D5EC9"/>
    <w:rsid w:val="002E03EF"/>
    <w:rsid w:val="002E06A4"/>
    <w:rsid w:val="002E0839"/>
    <w:rsid w:val="002E2545"/>
    <w:rsid w:val="002E2888"/>
    <w:rsid w:val="002E303B"/>
    <w:rsid w:val="002E3BAB"/>
    <w:rsid w:val="002E4112"/>
    <w:rsid w:val="002E413D"/>
    <w:rsid w:val="002E5092"/>
    <w:rsid w:val="002E50A2"/>
    <w:rsid w:val="002E7184"/>
    <w:rsid w:val="002E73CE"/>
    <w:rsid w:val="002F1D02"/>
    <w:rsid w:val="002F1F0F"/>
    <w:rsid w:val="002F2488"/>
    <w:rsid w:val="002F2CB3"/>
    <w:rsid w:val="002F2F11"/>
    <w:rsid w:val="002F545F"/>
    <w:rsid w:val="002F582A"/>
    <w:rsid w:val="002F5AA8"/>
    <w:rsid w:val="002F78E9"/>
    <w:rsid w:val="00300E8C"/>
    <w:rsid w:val="0030202E"/>
    <w:rsid w:val="00302902"/>
    <w:rsid w:val="00304F93"/>
    <w:rsid w:val="00306728"/>
    <w:rsid w:val="00306790"/>
    <w:rsid w:val="00307D3B"/>
    <w:rsid w:val="003109EB"/>
    <w:rsid w:val="003122A1"/>
    <w:rsid w:val="003122F0"/>
    <w:rsid w:val="00313D56"/>
    <w:rsid w:val="00316421"/>
    <w:rsid w:val="00323336"/>
    <w:rsid w:val="00323506"/>
    <w:rsid w:val="003249F2"/>
    <w:rsid w:val="003318A6"/>
    <w:rsid w:val="0033455F"/>
    <w:rsid w:val="00336883"/>
    <w:rsid w:val="003373D0"/>
    <w:rsid w:val="00341CE4"/>
    <w:rsid w:val="0034241E"/>
    <w:rsid w:val="00344366"/>
    <w:rsid w:val="003444D2"/>
    <w:rsid w:val="00344C95"/>
    <w:rsid w:val="00344FC2"/>
    <w:rsid w:val="00345804"/>
    <w:rsid w:val="00346673"/>
    <w:rsid w:val="00346E4E"/>
    <w:rsid w:val="00347CB4"/>
    <w:rsid w:val="00347ED1"/>
    <w:rsid w:val="00350867"/>
    <w:rsid w:val="0035127A"/>
    <w:rsid w:val="00351638"/>
    <w:rsid w:val="00354F01"/>
    <w:rsid w:val="003555A5"/>
    <w:rsid w:val="00356829"/>
    <w:rsid w:val="0035765A"/>
    <w:rsid w:val="003609B9"/>
    <w:rsid w:val="00361CA1"/>
    <w:rsid w:val="003640C5"/>
    <w:rsid w:val="003642AA"/>
    <w:rsid w:val="00364440"/>
    <w:rsid w:val="00366129"/>
    <w:rsid w:val="00370946"/>
    <w:rsid w:val="00370989"/>
    <w:rsid w:val="00371019"/>
    <w:rsid w:val="003713D5"/>
    <w:rsid w:val="003719CE"/>
    <w:rsid w:val="00373718"/>
    <w:rsid w:val="00373F48"/>
    <w:rsid w:val="00374225"/>
    <w:rsid w:val="00374B58"/>
    <w:rsid w:val="00380ECB"/>
    <w:rsid w:val="003867E7"/>
    <w:rsid w:val="00387772"/>
    <w:rsid w:val="003879F7"/>
    <w:rsid w:val="00387CBE"/>
    <w:rsid w:val="00391FC7"/>
    <w:rsid w:val="00393395"/>
    <w:rsid w:val="00394112"/>
    <w:rsid w:val="0039473A"/>
    <w:rsid w:val="00396BC4"/>
    <w:rsid w:val="003A4F41"/>
    <w:rsid w:val="003A67D8"/>
    <w:rsid w:val="003A772B"/>
    <w:rsid w:val="003B3436"/>
    <w:rsid w:val="003B3A0B"/>
    <w:rsid w:val="003B3CFA"/>
    <w:rsid w:val="003B62B1"/>
    <w:rsid w:val="003C162F"/>
    <w:rsid w:val="003C1F67"/>
    <w:rsid w:val="003C4688"/>
    <w:rsid w:val="003C4D4E"/>
    <w:rsid w:val="003C51AB"/>
    <w:rsid w:val="003C5484"/>
    <w:rsid w:val="003C6AC7"/>
    <w:rsid w:val="003C74C9"/>
    <w:rsid w:val="003D1A4F"/>
    <w:rsid w:val="003D33AB"/>
    <w:rsid w:val="003D4044"/>
    <w:rsid w:val="003D4ACB"/>
    <w:rsid w:val="003D5F8C"/>
    <w:rsid w:val="003D626B"/>
    <w:rsid w:val="003E100C"/>
    <w:rsid w:val="003E117E"/>
    <w:rsid w:val="003E1544"/>
    <w:rsid w:val="003E20DE"/>
    <w:rsid w:val="003E39FB"/>
    <w:rsid w:val="003E59EA"/>
    <w:rsid w:val="003E64B8"/>
    <w:rsid w:val="003E6799"/>
    <w:rsid w:val="003E7966"/>
    <w:rsid w:val="003F0185"/>
    <w:rsid w:val="003F105D"/>
    <w:rsid w:val="003F3AD3"/>
    <w:rsid w:val="003F4083"/>
    <w:rsid w:val="003F4426"/>
    <w:rsid w:val="003F494C"/>
    <w:rsid w:val="003F4FB0"/>
    <w:rsid w:val="003F50E8"/>
    <w:rsid w:val="003F79DE"/>
    <w:rsid w:val="00400336"/>
    <w:rsid w:val="00401DFB"/>
    <w:rsid w:val="0040356F"/>
    <w:rsid w:val="004049FC"/>
    <w:rsid w:val="004061E5"/>
    <w:rsid w:val="0041025B"/>
    <w:rsid w:val="00410421"/>
    <w:rsid w:val="00412434"/>
    <w:rsid w:val="00415041"/>
    <w:rsid w:val="004206B0"/>
    <w:rsid w:val="00420DE6"/>
    <w:rsid w:val="00421DAC"/>
    <w:rsid w:val="00423EC7"/>
    <w:rsid w:val="00424738"/>
    <w:rsid w:val="00426780"/>
    <w:rsid w:val="0042766E"/>
    <w:rsid w:val="004301AF"/>
    <w:rsid w:val="0043068A"/>
    <w:rsid w:val="00430E9D"/>
    <w:rsid w:val="00431BDE"/>
    <w:rsid w:val="0043600A"/>
    <w:rsid w:val="00437A1F"/>
    <w:rsid w:val="00437F5F"/>
    <w:rsid w:val="00437FF2"/>
    <w:rsid w:val="004408F6"/>
    <w:rsid w:val="004410A4"/>
    <w:rsid w:val="00441371"/>
    <w:rsid w:val="004417F3"/>
    <w:rsid w:val="004428CC"/>
    <w:rsid w:val="004431BA"/>
    <w:rsid w:val="00444285"/>
    <w:rsid w:val="00444D96"/>
    <w:rsid w:val="00446017"/>
    <w:rsid w:val="00447F76"/>
    <w:rsid w:val="00450C1F"/>
    <w:rsid w:val="004533CD"/>
    <w:rsid w:val="004547E0"/>
    <w:rsid w:val="00454CF8"/>
    <w:rsid w:val="00454DF8"/>
    <w:rsid w:val="00455419"/>
    <w:rsid w:val="00456553"/>
    <w:rsid w:val="00457D8D"/>
    <w:rsid w:val="00460037"/>
    <w:rsid w:val="00460C3B"/>
    <w:rsid w:val="004615D0"/>
    <w:rsid w:val="00465F75"/>
    <w:rsid w:val="00466409"/>
    <w:rsid w:val="00466BAA"/>
    <w:rsid w:val="00466CD0"/>
    <w:rsid w:val="00466FCE"/>
    <w:rsid w:val="00470152"/>
    <w:rsid w:val="004713B0"/>
    <w:rsid w:val="0047489C"/>
    <w:rsid w:val="0047587C"/>
    <w:rsid w:val="00475B57"/>
    <w:rsid w:val="0047604A"/>
    <w:rsid w:val="004768BA"/>
    <w:rsid w:val="00477044"/>
    <w:rsid w:val="00477147"/>
    <w:rsid w:val="004773CF"/>
    <w:rsid w:val="00481E0F"/>
    <w:rsid w:val="00481E42"/>
    <w:rsid w:val="0048293B"/>
    <w:rsid w:val="0048299E"/>
    <w:rsid w:val="00484474"/>
    <w:rsid w:val="00484A48"/>
    <w:rsid w:val="00485361"/>
    <w:rsid w:val="00490741"/>
    <w:rsid w:val="00490B12"/>
    <w:rsid w:val="00490B2A"/>
    <w:rsid w:val="00490D7E"/>
    <w:rsid w:val="00491214"/>
    <w:rsid w:val="004917C3"/>
    <w:rsid w:val="00493FA0"/>
    <w:rsid w:val="00496CD5"/>
    <w:rsid w:val="004A087A"/>
    <w:rsid w:val="004A1344"/>
    <w:rsid w:val="004A1399"/>
    <w:rsid w:val="004A13B8"/>
    <w:rsid w:val="004A39D3"/>
    <w:rsid w:val="004A3AA5"/>
    <w:rsid w:val="004B5421"/>
    <w:rsid w:val="004B656C"/>
    <w:rsid w:val="004B6823"/>
    <w:rsid w:val="004C0826"/>
    <w:rsid w:val="004C0905"/>
    <w:rsid w:val="004C0CB7"/>
    <w:rsid w:val="004C1D5F"/>
    <w:rsid w:val="004C2D38"/>
    <w:rsid w:val="004C3C24"/>
    <w:rsid w:val="004C3E5F"/>
    <w:rsid w:val="004C443C"/>
    <w:rsid w:val="004C5A2C"/>
    <w:rsid w:val="004D0434"/>
    <w:rsid w:val="004D1060"/>
    <w:rsid w:val="004D4A33"/>
    <w:rsid w:val="004D5093"/>
    <w:rsid w:val="004D518D"/>
    <w:rsid w:val="004D66D8"/>
    <w:rsid w:val="004D6E27"/>
    <w:rsid w:val="004E2B89"/>
    <w:rsid w:val="004E3BDC"/>
    <w:rsid w:val="004E3C14"/>
    <w:rsid w:val="004E5252"/>
    <w:rsid w:val="004E5333"/>
    <w:rsid w:val="004E688C"/>
    <w:rsid w:val="004F19D5"/>
    <w:rsid w:val="004F1B1F"/>
    <w:rsid w:val="004F329B"/>
    <w:rsid w:val="004F42A3"/>
    <w:rsid w:val="004F482B"/>
    <w:rsid w:val="004F4E2F"/>
    <w:rsid w:val="004F7683"/>
    <w:rsid w:val="005002D7"/>
    <w:rsid w:val="00501087"/>
    <w:rsid w:val="00501CC8"/>
    <w:rsid w:val="00501E45"/>
    <w:rsid w:val="0050272B"/>
    <w:rsid w:val="00502D97"/>
    <w:rsid w:val="005035A1"/>
    <w:rsid w:val="00504672"/>
    <w:rsid w:val="00504857"/>
    <w:rsid w:val="00504869"/>
    <w:rsid w:val="0050590B"/>
    <w:rsid w:val="00507917"/>
    <w:rsid w:val="005101BD"/>
    <w:rsid w:val="0051077E"/>
    <w:rsid w:val="005117F0"/>
    <w:rsid w:val="00512118"/>
    <w:rsid w:val="00513D3A"/>
    <w:rsid w:val="005148C8"/>
    <w:rsid w:val="0051542D"/>
    <w:rsid w:val="00516295"/>
    <w:rsid w:val="005172DB"/>
    <w:rsid w:val="005179E1"/>
    <w:rsid w:val="0052052F"/>
    <w:rsid w:val="005207BC"/>
    <w:rsid w:val="00520FC2"/>
    <w:rsid w:val="00521A7B"/>
    <w:rsid w:val="00521AE2"/>
    <w:rsid w:val="00523239"/>
    <w:rsid w:val="00523312"/>
    <w:rsid w:val="005246BD"/>
    <w:rsid w:val="005262CD"/>
    <w:rsid w:val="005275DA"/>
    <w:rsid w:val="005277C3"/>
    <w:rsid w:val="00530CFF"/>
    <w:rsid w:val="00535CD8"/>
    <w:rsid w:val="00536576"/>
    <w:rsid w:val="00537D30"/>
    <w:rsid w:val="00537F94"/>
    <w:rsid w:val="00543075"/>
    <w:rsid w:val="00543B80"/>
    <w:rsid w:val="00543EC5"/>
    <w:rsid w:val="00545999"/>
    <w:rsid w:val="00546053"/>
    <w:rsid w:val="00546589"/>
    <w:rsid w:val="005479A7"/>
    <w:rsid w:val="00547C1A"/>
    <w:rsid w:val="00551A53"/>
    <w:rsid w:val="005526A1"/>
    <w:rsid w:val="00552D4C"/>
    <w:rsid w:val="00552F96"/>
    <w:rsid w:val="00552FE4"/>
    <w:rsid w:val="00553D3C"/>
    <w:rsid w:val="00555948"/>
    <w:rsid w:val="00557B1F"/>
    <w:rsid w:val="0056030E"/>
    <w:rsid w:val="005624C1"/>
    <w:rsid w:val="00562DE7"/>
    <w:rsid w:val="00563D07"/>
    <w:rsid w:val="005645A6"/>
    <w:rsid w:val="00564608"/>
    <w:rsid w:val="00565389"/>
    <w:rsid w:val="0056599B"/>
    <w:rsid w:val="00567CF9"/>
    <w:rsid w:val="00570A0A"/>
    <w:rsid w:val="005719C5"/>
    <w:rsid w:val="00571A19"/>
    <w:rsid w:val="00576B04"/>
    <w:rsid w:val="00577ABA"/>
    <w:rsid w:val="00580908"/>
    <w:rsid w:val="00581FE8"/>
    <w:rsid w:val="0058237E"/>
    <w:rsid w:val="00584F2F"/>
    <w:rsid w:val="00586128"/>
    <w:rsid w:val="00587664"/>
    <w:rsid w:val="00590A70"/>
    <w:rsid w:val="00591FF1"/>
    <w:rsid w:val="0059213A"/>
    <w:rsid w:val="00592746"/>
    <w:rsid w:val="00592D81"/>
    <w:rsid w:val="00595644"/>
    <w:rsid w:val="0059677D"/>
    <w:rsid w:val="00596C74"/>
    <w:rsid w:val="00597C42"/>
    <w:rsid w:val="005A0275"/>
    <w:rsid w:val="005A1D54"/>
    <w:rsid w:val="005A3184"/>
    <w:rsid w:val="005B0055"/>
    <w:rsid w:val="005B2574"/>
    <w:rsid w:val="005B3BA0"/>
    <w:rsid w:val="005B4C4B"/>
    <w:rsid w:val="005B545D"/>
    <w:rsid w:val="005B576D"/>
    <w:rsid w:val="005B5F1B"/>
    <w:rsid w:val="005B6A86"/>
    <w:rsid w:val="005B731E"/>
    <w:rsid w:val="005C03B8"/>
    <w:rsid w:val="005C5740"/>
    <w:rsid w:val="005D004B"/>
    <w:rsid w:val="005D004C"/>
    <w:rsid w:val="005D0755"/>
    <w:rsid w:val="005D178B"/>
    <w:rsid w:val="005D2202"/>
    <w:rsid w:val="005D2265"/>
    <w:rsid w:val="005D28BD"/>
    <w:rsid w:val="005D60AB"/>
    <w:rsid w:val="005D617C"/>
    <w:rsid w:val="005D7FF8"/>
    <w:rsid w:val="005E0601"/>
    <w:rsid w:val="005E0EFD"/>
    <w:rsid w:val="005E12C6"/>
    <w:rsid w:val="005E1779"/>
    <w:rsid w:val="005E59B0"/>
    <w:rsid w:val="005E5A3C"/>
    <w:rsid w:val="005E702F"/>
    <w:rsid w:val="005F1023"/>
    <w:rsid w:val="005F2314"/>
    <w:rsid w:val="005F2A3D"/>
    <w:rsid w:val="005F36B0"/>
    <w:rsid w:val="005F4829"/>
    <w:rsid w:val="005F4BDB"/>
    <w:rsid w:val="005F4C43"/>
    <w:rsid w:val="005F67D6"/>
    <w:rsid w:val="005F7356"/>
    <w:rsid w:val="005F7B17"/>
    <w:rsid w:val="005F7EEB"/>
    <w:rsid w:val="005F7FAB"/>
    <w:rsid w:val="0060059A"/>
    <w:rsid w:val="00601AD3"/>
    <w:rsid w:val="00601CB2"/>
    <w:rsid w:val="00601DBD"/>
    <w:rsid w:val="00601E62"/>
    <w:rsid w:val="00602E97"/>
    <w:rsid w:val="0060304C"/>
    <w:rsid w:val="00603909"/>
    <w:rsid w:val="006050F1"/>
    <w:rsid w:val="006052C7"/>
    <w:rsid w:val="0060553F"/>
    <w:rsid w:val="0060601B"/>
    <w:rsid w:val="006062EA"/>
    <w:rsid w:val="0060716E"/>
    <w:rsid w:val="006076CC"/>
    <w:rsid w:val="00610014"/>
    <w:rsid w:val="00611005"/>
    <w:rsid w:val="006116D5"/>
    <w:rsid w:val="00611CAB"/>
    <w:rsid w:val="00611DCF"/>
    <w:rsid w:val="00612D59"/>
    <w:rsid w:val="00612DE2"/>
    <w:rsid w:val="00615F2B"/>
    <w:rsid w:val="006179F4"/>
    <w:rsid w:val="00617FAB"/>
    <w:rsid w:val="00620E98"/>
    <w:rsid w:val="006216A3"/>
    <w:rsid w:val="0062240C"/>
    <w:rsid w:val="006237FD"/>
    <w:rsid w:val="00625053"/>
    <w:rsid w:val="00625FC3"/>
    <w:rsid w:val="0062649A"/>
    <w:rsid w:val="006266C0"/>
    <w:rsid w:val="0062686E"/>
    <w:rsid w:val="006305C2"/>
    <w:rsid w:val="0063225A"/>
    <w:rsid w:val="00632DE1"/>
    <w:rsid w:val="0063429B"/>
    <w:rsid w:val="006345C1"/>
    <w:rsid w:val="006375DE"/>
    <w:rsid w:val="00640329"/>
    <w:rsid w:val="00643142"/>
    <w:rsid w:val="006475A9"/>
    <w:rsid w:val="006476D3"/>
    <w:rsid w:val="00650069"/>
    <w:rsid w:val="00650921"/>
    <w:rsid w:val="00651DFE"/>
    <w:rsid w:val="00653B27"/>
    <w:rsid w:val="006547CD"/>
    <w:rsid w:val="00656EF3"/>
    <w:rsid w:val="00661B54"/>
    <w:rsid w:val="006631D5"/>
    <w:rsid w:val="00663C3A"/>
    <w:rsid w:val="006649EF"/>
    <w:rsid w:val="00664BD3"/>
    <w:rsid w:val="00664C91"/>
    <w:rsid w:val="00665A5D"/>
    <w:rsid w:val="006660B1"/>
    <w:rsid w:val="00667E7A"/>
    <w:rsid w:val="0067118E"/>
    <w:rsid w:val="00672009"/>
    <w:rsid w:val="006737A1"/>
    <w:rsid w:val="00675759"/>
    <w:rsid w:val="00676EC7"/>
    <w:rsid w:val="00677328"/>
    <w:rsid w:val="0067789D"/>
    <w:rsid w:val="00680959"/>
    <w:rsid w:val="0068174D"/>
    <w:rsid w:val="0068279F"/>
    <w:rsid w:val="00683794"/>
    <w:rsid w:val="006838E9"/>
    <w:rsid w:val="006844FF"/>
    <w:rsid w:val="0068608E"/>
    <w:rsid w:val="006868B1"/>
    <w:rsid w:val="00686D9E"/>
    <w:rsid w:val="00686E3F"/>
    <w:rsid w:val="006872A9"/>
    <w:rsid w:val="00687485"/>
    <w:rsid w:val="006901E8"/>
    <w:rsid w:val="00691F57"/>
    <w:rsid w:val="00693512"/>
    <w:rsid w:val="006938C4"/>
    <w:rsid w:val="00695DC1"/>
    <w:rsid w:val="00696683"/>
    <w:rsid w:val="006A0847"/>
    <w:rsid w:val="006A2D85"/>
    <w:rsid w:val="006A33B6"/>
    <w:rsid w:val="006A4BE5"/>
    <w:rsid w:val="006A7157"/>
    <w:rsid w:val="006B0D83"/>
    <w:rsid w:val="006B199F"/>
    <w:rsid w:val="006B238A"/>
    <w:rsid w:val="006B2A8A"/>
    <w:rsid w:val="006B467C"/>
    <w:rsid w:val="006B535C"/>
    <w:rsid w:val="006B5A8D"/>
    <w:rsid w:val="006B62DA"/>
    <w:rsid w:val="006B76BB"/>
    <w:rsid w:val="006B79DA"/>
    <w:rsid w:val="006C0A57"/>
    <w:rsid w:val="006C17DC"/>
    <w:rsid w:val="006C2638"/>
    <w:rsid w:val="006C349B"/>
    <w:rsid w:val="006C37B3"/>
    <w:rsid w:val="006C3F50"/>
    <w:rsid w:val="006C5A67"/>
    <w:rsid w:val="006C5F0B"/>
    <w:rsid w:val="006C607B"/>
    <w:rsid w:val="006C7C46"/>
    <w:rsid w:val="006D11BA"/>
    <w:rsid w:val="006D15DF"/>
    <w:rsid w:val="006D29AB"/>
    <w:rsid w:val="006D43D3"/>
    <w:rsid w:val="006D4560"/>
    <w:rsid w:val="006D570F"/>
    <w:rsid w:val="006D7250"/>
    <w:rsid w:val="006E03D8"/>
    <w:rsid w:val="006E0DB6"/>
    <w:rsid w:val="006E3DBB"/>
    <w:rsid w:val="006E4AAD"/>
    <w:rsid w:val="006E4B05"/>
    <w:rsid w:val="006F09FB"/>
    <w:rsid w:val="006F2FC7"/>
    <w:rsid w:val="006F31B4"/>
    <w:rsid w:val="006F48D9"/>
    <w:rsid w:val="00703F4D"/>
    <w:rsid w:val="007055D4"/>
    <w:rsid w:val="007068D3"/>
    <w:rsid w:val="00706F0B"/>
    <w:rsid w:val="007109C2"/>
    <w:rsid w:val="00710D71"/>
    <w:rsid w:val="00711552"/>
    <w:rsid w:val="007115AE"/>
    <w:rsid w:val="00712CEA"/>
    <w:rsid w:val="00713D44"/>
    <w:rsid w:val="00714441"/>
    <w:rsid w:val="00715A1B"/>
    <w:rsid w:val="00716423"/>
    <w:rsid w:val="0071690A"/>
    <w:rsid w:val="00720C59"/>
    <w:rsid w:val="00723D0A"/>
    <w:rsid w:val="0072461A"/>
    <w:rsid w:val="00727A1D"/>
    <w:rsid w:val="0073030C"/>
    <w:rsid w:val="0073416B"/>
    <w:rsid w:val="00734CC0"/>
    <w:rsid w:val="00734CDB"/>
    <w:rsid w:val="00734EC1"/>
    <w:rsid w:val="00735AED"/>
    <w:rsid w:val="00736026"/>
    <w:rsid w:val="007368C8"/>
    <w:rsid w:val="007374F2"/>
    <w:rsid w:val="00737B14"/>
    <w:rsid w:val="00737E8E"/>
    <w:rsid w:val="00740031"/>
    <w:rsid w:val="007405F3"/>
    <w:rsid w:val="00742904"/>
    <w:rsid w:val="00745106"/>
    <w:rsid w:val="007454FD"/>
    <w:rsid w:val="007460C3"/>
    <w:rsid w:val="007471D8"/>
    <w:rsid w:val="00747896"/>
    <w:rsid w:val="007501B3"/>
    <w:rsid w:val="007505C2"/>
    <w:rsid w:val="00750819"/>
    <w:rsid w:val="0075092B"/>
    <w:rsid w:val="0075348A"/>
    <w:rsid w:val="007546EA"/>
    <w:rsid w:val="0075636D"/>
    <w:rsid w:val="0075691E"/>
    <w:rsid w:val="00760D21"/>
    <w:rsid w:val="00763475"/>
    <w:rsid w:val="00763AD3"/>
    <w:rsid w:val="00764049"/>
    <w:rsid w:val="0076503C"/>
    <w:rsid w:val="00765374"/>
    <w:rsid w:val="0076550A"/>
    <w:rsid w:val="0076684F"/>
    <w:rsid w:val="0077001B"/>
    <w:rsid w:val="00772EED"/>
    <w:rsid w:val="00773F0E"/>
    <w:rsid w:val="0077452F"/>
    <w:rsid w:val="00781925"/>
    <w:rsid w:val="00781C8E"/>
    <w:rsid w:val="00782220"/>
    <w:rsid w:val="007828B5"/>
    <w:rsid w:val="00783169"/>
    <w:rsid w:val="0078396C"/>
    <w:rsid w:val="00785168"/>
    <w:rsid w:val="007859FB"/>
    <w:rsid w:val="00785D0E"/>
    <w:rsid w:val="00786EFF"/>
    <w:rsid w:val="007949F6"/>
    <w:rsid w:val="00795D05"/>
    <w:rsid w:val="00796FD8"/>
    <w:rsid w:val="007A03D2"/>
    <w:rsid w:val="007A0AEE"/>
    <w:rsid w:val="007A15E4"/>
    <w:rsid w:val="007A1857"/>
    <w:rsid w:val="007A2210"/>
    <w:rsid w:val="007A2917"/>
    <w:rsid w:val="007A43BA"/>
    <w:rsid w:val="007B3A98"/>
    <w:rsid w:val="007B69E1"/>
    <w:rsid w:val="007C1276"/>
    <w:rsid w:val="007C2C2D"/>
    <w:rsid w:val="007C4044"/>
    <w:rsid w:val="007C4D6E"/>
    <w:rsid w:val="007C54B2"/>
    <w:rsid w:val="007C6138"/>
    <w:rsid w:val="007C70BA"/>
    <w:rsid w:val="007D1A35"/>
    <w:rsid w:val="007D1B67"/>
    <w:rsid w:val="007D31DC"/>
    <w:rsid w:val="007D59AB"/>
    <w:rsid w:val="007D5D71"/>
    <w:rsid w:val="007D60DF"/>
    <w:rsid w:val="007E0F24"/>
    <w:rsid w:val="007E1621"/>
    <w:rsid w:val="007E196B"/>
    <w:rsid w:val="007E3BAE"/>
    <w:rsid w:val="007E52A5"/>
    <w:rsid w:val="007E5B43"/>
    <w:rsid w:val="007E5EB5"/>
    <w:rsid w:val="007F0D67"/>
    <w:rsid w:val="007F145E"/>
    <w:rsid w:val="007F205C"/>
    <w:rsid w:val="007F2123"/>
    <w:rsid w:val="007F2DFA"/>
    <w:rsid w:val="007F3865"/>
    <w:rsid w:val="0080052F"/>
    <w:rsid w:val="00800980"/>
    <w:rsid w:val="00801789"/>
    <w:rsid w:val="00801816"/>
    <w:rsid w:val="0080240F"/>
    <w:rsid w:val="00802742"/>
    <w:rsid w:val="008052E3"/>
    <w:rsid w:val="00805994"/>
    <w:rsid w:val="008061C3"/>
    <w:rsid w:val="008068D9"/>
    <w:rsid w:val="00807842"/>
    <w:rsid w:val="00807E91"/>
    <w:rsid w:val="00811FC7"/>
    <w:rsid w:val="008135EE"/>
    <w:rsid w:val="0081509E"/>
    <w:rsid w:val="00816C03"/>
    <w:rsid w:val="00823B3A"/>
    <w:rsid w:val="008265C8"/>
    <w:rsid w:val="00827AF8"/>
    <w:rsid w:val="00827E2D"/>
    <w:rsid w:val="00830EC4"/>
    <w:rsid w:val="00831233"/>
    <w:rsid w:val="00833FEE"/>
    <w:rsid w:val="00834599"/>
    <w:rsid w:val="0083490A"/>
    <w:rsid w:val="00834AA5"/>
    <w:rsid w:val="00835218"/>
    <w:rsid w:val="00835B6A"/>
    <w:rsid w:val="008365F5"/>
    <w:rsid w:val="00836A05"/>
    <w:rsid w:val="00840CEE"/>
    <w:rsid w:val="00843435"/>
    <w:rsid w:val="008445DD"/>
    <w:rsid w:val="00844DF9"/>
    <w:rsid w:val="00844EE8"/>
    <w:rsid w:val="0084535A"/>
    <w:rsid w:val="00845EAB"/>
    <w:rsid w:val="00847BBC"/>
    <w:rsid w:val="0085170E"/>
    <w:rsid w:val="008544B2"/>
    <w:rsid w:val="008546BD"/>
    <w:rsid w:val="00855BBD"/>
    <w:rsid w:val="00855CE0"/>
    <w:rsid w:val="00855F59"/>
    <w:rsid w:val="00856180"/>
    <w:rsid w:val="00857721"/>
    <w:rsid w:val="008579FC"/>
    <w:rsid w:val="00857F6F"/>
    <w:rsid w:val="008606EB"/>
    <w:rsid w:val="00861310"/>
    <w:rsid w:val="00861E89"/>
    <w:rsid w:val="00862033"/>
    <w:rsid w:val="00863038"/>
    <w:rsid w:val="008637BA"/>
    <w:rsid w:val="00867F2D"/>
    <w:rsid w:val="00871A0B"/>
    <w:rsid w:val="00873F71"/>
    <w:rsid w:val="00874868"/>
    <w:rsid w:val="0087634F"/>
    <w:rsid w:val="00876684"/>
    <w:rsid w:val="00876EEF"/>
    <w:rsid w:val="0088031B"/>
    <w:rsid w:val="00882706"/>
    <w:rsid w:val="00884766"/>
    <w:rsid w:val="008879E5"/>
    <w:rsid w:val="00887A1F"/>
    <w:rsid w:val="00891644"/>
    <w:rsid w:val="008917F7"/>
    <w:rsid w:val="00891D88"/>
    <w:rsid w:val="00893C5B"/>
    <w:rsid w:val="008946E1"/>
    <w:rsid w:val="00894F17"/>
    <w:rsid w:val="00895804"/>
    <w:rsid w:val="00895CC0"/>
    <w:rsid w:val="00895CD4"/>
    <w:rsid w:val="0089629C"/>
    <w:rsid w:val="008A0D3C"/>
    <w:rsid w:val="008A0DE4"/>
    <w:rsid w:val="008A15A0"/>
    <w:rsid w:val="008A278B"/>
    <w:rsid w:val="008A2A5F"/>
    <w:rsid w:val="008A2EF9"/>
    <w:rsid w:val="008A3B51"/>
    <w:rsid w:val="008A49C3"/>
    <w:rsid w:val="008A6FC8"/>
    <w:rsid w:val="008B21A5"/>
    <w:rsid w:val="008B2322"/>
    <w:rsid w:val="008B271A"/>
    <w:rsid w:val="008B2ED0"/>
    <w:rsid w:val="008B6593"/>
    <w:rsid w:val="008C0048"/>
    <w:rsid w:val="008C07F6"/>
    <w:rsid w:val="008C09B5"/>
    <w:rsid w:val="008C0EC5"/>
    <w:rsid w:val="008C1916"/>
    <w:rsid w:val="008C1B89"/>
    <w:rsid w:val="008C1EB6"/>
    <w:rsid w:val="008C351A"/>
    <w:rsid w:val="008C4737"/>
    <w:rsid w:val="008C517B"/>
    <w:rsid w:val="008C5773"/>
    <w:rsid w:val="008C5FCE"/>
    <w:rsid w:val="008C6696"/>
    <w:rsid w:val="008C7057"/>
    <w:rsid w:val="008C76E0"/>
    <w:rsid w:val="008D144B"/>
    <w:rsid w:val="008D1F3E"/>
    <w:rsid w:val="008D3B45"/>
    <w:rsid w:val="008D516F"/>
    <w:rsid w:val="008D56B6"/>
    <w:rsid w:val="008D77C5"/>
    <w:rsid w:val="008D7C70"/>
    <w:rsid w:val="008E0AB0"/>
    <w:rsid w:val="008E1CF7"/>
    <w:rsid w:val="008E5F9C"/>
    <w:rsid w:val="008E6496"/>
    <w:rsid w:val="008E74EE"/>
    <w:rsid w:val="008F016A"/>
    <w:rsid w:val="008F121D"/>
    <w:rsid w:val="008F1ED6"/>
    <w:rsid w:val="008F26D9"/>
    <w:rsid w:val="008F2F60"/>
    <w:rsid w:val="008F31FE"/>
    <w:rsid w:val="008F5145"/>
    <w:rsid w:val="008F51D0"/>
    <w:rsid w:val="008F71CE"/>
    <w:rsid w:val="008F7A17"/>
    <w:rsid w:val="00900617"/>
    <w:rsid w:val="009010BB"/>
    <w:rsid w:val="00901750"/>
    <w:rsid w:val="009017CA"/>
    <w:rsid w:val="0090232C"/>
    <w:rsid w:val="0090278C"/>
    <w:rsid w:val="00903A3B"/>
    <w:rsid w:val="00903E58"/>
    <w:rsid w:val="00904356"/>
    <w:rsid w:val="00905944"/>
    <w:rsid w:val="009071AA"/>
    <w:rsid w:val="009114DF"/>
    <w:rsid w:val="0091395E"/>
    <w:rsid w:val="00915AC6"/>
    <w:rsid w:val="00916D7A"/>
    <w:rsid w:val="00922B5B"/>
    <w:rsid w:val="00923556"/>
    <w:rsid w:val="009241B6"/>
    <w:rsid w:val="00925B20"/>
    <w:rsid w:val="00926215"/>
    <w:rsid w:val="009271B4"/>
    <w:rsid w:val="009314DE"/>
    <w:rsid w:val="00931BAA"/>
    <w:rsid w:val="00931F74"/>
    <w:rsid w:val="009321D6"/>
    <w:rsid w:val="009327B1"/>
    <w:rsid w:val="00933B60"/>
    <w:rsid w:val="009350B9"/>
    <w:rsid w:val="00935BC8"/>
    <w:rsid w:val="00935DDE"/>
    <w:rsid w:val="00935F15"/>
    <w:rsid w:val="0093743B"/>
    <w:rsid w:val="009400B8"/>
    <w:rsid w:val="00940D53"/>
    <w:rsid w:val="0094285D"/>
    <w:rsid w:val="0094399D"/>
    <w:rsid w:val="00947054"/>
    <w:rsid w:val="00947FCD"/>
    <w:rsid w:val="0095119F"/>
    <w:rsid w:val="0095286E"/>
    <w:rsid w:val="009537C4"/>
    <w:rsid w:val="009538F6"/>
    <w:rsid w:val="00956DDB"/>
    <w:rsid w:val="009604EB"/>
    <w:rsid w:val="00960FF7"/>
    <w:rsid w:val="00961B22"/>
    <w:rsid w:val="00964AB4"/>
    <w:rsid w:val="00965509"/>
    <w:rsid w:val="00966348"/>
    <w:rsid w:val="00966E81"/>
    <w:rsid w:val="0096776A"/>
    <w:rsid w:val="00970318"/>
    <w:rsid w:val="00971D78"/>
    <w:rsid w:val="00972912"/>
    <w:rsid w:val="00973E3D"/>
    <w:rsid w:val="009741F3"/>
    <w:rsid w:val="0097520F"/>
    <w:rsid w:val="009756C7"/>
    <w:rsid w:val="00976D0A"/>
    <w:rsid w:val="00977097"/>
    <w:rsid w:val="00977432"/>
    <w:rsid w:val="00981ABF"/>
    <w:rsid w:val="009863A9"/>
    <w:rsid w:val="00987346"/>
    <w:rsid w:val="00987416"/>
    <w:rsid w:val="00987CFD"/>
    <w:rsid w:val="009917B8"/>
    <w:rsid w:val="00991B38"/>
    <w:rsid w:val="0099231B"/>
    <w:rsid w:val="009938C1"/>
    <w:rsid w:val="00993CE4"/>
    <w:rsid w:val="009958E6"/>
    <w:rsid w:val="00996685"/>
    <w:rsid w:val="00997A7D"/>
    <w:rsid w:val="009A027B"/>
    <w:rsid w:val="009A103F"/>
    <w:rsid w:val="009A1135"/>
    <w:rsid w:val="009A12CF"/>
    <w:rsid w:val="009A18DD"/>
    <w:rsid w:val="009A2265"/>
    <w:rsid w:val="009A2482"/>
    <w:rsid w:val="009A2B13"/>
    <w:rsid w:val="009A36C3"/>
    <w:rsid w:val="009A4DB5"/>
    <w:rsid w:val="009A5030"/>
    <w:rsid w:val="009A50E1"/>
    <w:rsid w:val="009A5153"/>
    <w:rsid w:val="009B08FB"/>
    <w:rsid w:val="009B0B9F"/>
    <w:rsid w:val="009B29E3"/>
    <w:rsid w:val="009B49B3"/>
    <w:rsid w:val="009B69BC"/>
    <w:rsid w:val="009C0DA8"/>
    <w:rsid w:val="009C5396"/>
    <w:rsid w:val="009C6034"/>
    <w:rsid w:val="009C665D"/>
    <w:rsid w:val="009C6FAD"/>
    <w:rsid w:val="009D1560"/>
    <w:rsid w:val="009D1849"/>
    <w:rsid w:val="009D1B34"/>
    <w:rsid w:val="009D27D4"/>
    <w:rsid w:val="009D2FA4"/>
    <w:rsid w:val="009D5418"/>
    <w:rsid w:val="009D5661"/>
    <w:rsid w:val="009D734D"/>
    <w:rsid w:val="009E1812"/>
    <w:rsid w:val="009E4837"/>
    <w:rsid w:val="009E50DE"/>
    <w:rsid w:val="009E56D2"/>
    <w:rsid w:val="009E57C8"/>
    <w:rsid w:val="009E6EAE"/>
    <w:rsid w:val="009F2990"/>
    <w:rsid w:val="009F2AF2"/>
    <w:rsid w:val="009F368C"/>
    <w:rsid w:val="009F560F"/>
    <w:rsid w:val="009F614F"/>
    <w:rsid w:val="009F627F"/>
    <w:rsid w:val="009F733F"/>
    <w:rsid w:val="00A00261"/>
    <w:rsid w:val="00A00980"/>
    <w:rsid w:val="00A03A30"/>
    <w:rsid w:val="00A03B80"/>
    <w:rsid w:val="00A04981"/>
    <w:rsid w:val="00A04E0F"/>
    <w:rsid w:val="00A05C85"/>
    <w:rsid w:val="00A0624D"/>
    <w:rsid w:val="00A0635B"/>
    <w:rsid w:val="00A1102D"/>
    <w:rsid w:val="00A1122A"/>
    <w:rsid w:val="00A12D66"/>
    <w:rsid w:val="00A134CA"/>
    <w:rsid w:val="00A155D1"/>
    <w:rsid w:val="00A16B0B"/>
    <w:rsid w:val="00A16DC9"/>
    <w:rsid w:val="00A17266"/>
    <w:rsid w:val="00A176B0"/>
    <w:rsid w:val="00A20188"/>
    <w:rsid w:val="00A20F00"/>
    <w:rsid w:val="00A20F2B"/>
    <w:rsid w:val="00A211DF"/>
    <w:rsid w:val="00A22EA5"/>
    <w:rsid w:val="00A23B8D"/>
    <w:rsid w:val="00A23E61"/>
    <w:rsid w:val="00A24442"/>
    <w:rsid w:val="00A25FFB"/>
    <w:rsid w:val="00A277DD"/>
    <w:rsid w:val="00A3033B"/>
    <w:rsid w:val="00A307F3"/>
    <w:rsid w:val="00A312B9"/>
    <w:rsid w:val="00A33847"/>
    <w:rsid w:val="00A34DD3"/>
    <w:rsid w:val="00A3522E"/>
    <w:rsid w:val="00A35F0B"/>
    <w:rsid w:val="00A360F1"/>
    <w:rsid w:val="00A362ED"/>
    <w:rsid w:val="00A37251"/>
    <w:rsid w:val="00A4161B"/>
    <w:rsid w:val="00A420D2"/>
    <w:rsid w:val="00A43053"/>
    <w:rsid w:val="00A435B5"/>
    <w:rsid w:val="00A4384D"/>
    <w:rsid w:val="00A44324"/>
    <w:rsid w:val="00A45C1E"/>
    <w:rsid w:val="00A462A8"/>
    <w:rsid w:val="00A46E66"/>
    <w:rsid w:val="00A5001F"/>
    <w:rsid w:val="00A50699"/>
    <w:rsid w:val="00A5081C"/>
    <w:rsid w:val="00A517CF"/>
    <w:rsid w:val="00A52D69"/>
    <w:rsid w:val="00A600A6"/>
    <w:rsid w:val="00A61B21"/>
    <w:rsid w:val="00A61C5A"/>
    <w:rsid w:val="00A65D1F"/>
    <w:rsid w:val="00A66040"/>
    <w:rsid w:val="00A669F1"/>
    <w:rsid w:val="00A66E4E"/>
    <w:rsid w:val="00A71807"/>
    <w:rsid w:val="00A73D3E"/>
    <w:rsid w:val="00A7504E"/>
    <w:rsid w:val="00A77323"/>
    <w:rsid w:val="00A77E8B"/>
    <w:rsid w:val="00A8067A"/>
    <w:rsid w:val="00A81990"/>
    <w:rsid w:val="00A848FD"/>
    <w:rsid w:val="00A84F42"/>
    <w:rsid w:val="00A85C7C"/>
    <w:rsid w:val="00A8638A"/>
    <w:rsid w:val="00A86646"/>
    <w:rsid w:val="00A86B57"/>
    <w:rsid w:val="00A91FCC"/>
    <w:rsid w:val="00A95735"/>
    <w:rsid w:val="00A9600E"/>
    <w:rsid w:val="00A9619C"/>
    <w:rsid w:val="00A97E06"/>
    <w:rsid w:val="00AA0B68"/>
    <w:rsid w:val="00AA13FA"/>
    <w:rsid w:val="00AA1A96"/>
    <w:rsid w:val="00AA2363"/>
    <w:rsid w:val="00AA2A48"/>
    <w:rsid w:val="00AA5FD9"/>
    <w:rsid w:val="00AA6679"/>
    <w:rsid w:val="00AB09EC"/>
    <w:rsid w:val="00AB236F"/>
    <w:rsid w:val="00AB6494"/>
    <w:rsid w:val="00AC14A5"/>
    <w:rsid w:val="00AC14C8"/>
    <w:rsid w:val="00AC2649"/>
    <w:rsid w:val="00AC42B4"/>
    <w:rsid w:val="00AC4D45"/>
    <w:rsid w:val="00AC4DA3"/>
    <w:rsid w:val="00AC5947"/>
    <w:rsid w:val="00AC6461"/>
    <w:rsid w:val="00AC6654"/>
    <w:rsid w:val="00AD2F76"/>
    <w:rsid w:val="00AD339F"/>
    <w:rsid w:val="00AD35BF"/>
    <w:rsid w:val="00AD3D97"/>
    <w:rsid w:val="00AD5E6D"/>
    <w:rsid w:val="00AE0C70"/>
    <w:rsid w:val="00AE1086"/>
    <w:rsid w:val="00AE1656"/>
    <w:rsid w:val="00AE187A"/>
    <w:rsid w:val="00AE1FAA"/>
    <w:rsid w:val="00AE216F"/>
    <w:rsid w:val="00AE3BEC"/>
    <w:rsid w:val="00AE45E2"/>
    <w:rsid w:val="00AE4874"/>
    <w:rsid w:val="00AE49A9"/>
    <w:rsid w:val="00AE6338"/>
    <w:rsid w:val="00AF028F"/>
    <w:rsid w:val="00AF26D0"/>
    <w:rsid w:val="00AF4310"/>
    <w:rsid w:val="00AF5CE6"/>
    <w:rsid w:val="00AF710E"/>
    <w:rsid w:val="00AF7A55"/>
    <w:rsid w:val="00B0126E"/>
    <w:rsid w:val="00B01AA4"/>
    <w:rsid w:val="00B031A7"/>
    <w:rsid w:val="00B0354E"/>
    <w:rsid w:val="00B05001"/>
    <w:rsid w:val="00B0768A"/>
    <w:rsid w:val="00B07E4D"/>
    <w:rsid w:val="00B10888"/>
    <w:rsid w:val="00B11172"/>
    <w:rsid w:val="00B127B1"/>
    <w:rsid w:val="00B13B22"/>
    <w:rsid w:val="00B145AC"/>
    <w:rsid w:val="00B15AF7"/>
    <w:rsid w:val="00B16888"/>
    <w:rsid w:val="00B179AD"/>
    <w:rsid w:val="00B20444"/>
    <w:rsid w:val="00B21A29"/>
    <w:rsid w:val="00B23AB2"/>
    <w:rsid w:val="00B23EFC"/>
    <w:rsid w:val="00B243B9"/>
    <w:rsid w:val="00B249B5"/>
    <w:rsid w:val="00B25C64"/>
    <w:rsid w:val="00B25D4F"/>
    <w:rsid w:val="00B263A8"/>
    <w:rsid w:val="00B3004A"/>
    <w:rsid w:val="00B30B8D"/>
    <w:rsid w:val="00B32AF0"/>
    <w:rsid w:val="00B35626"/>
    <w:rsid w:val="00B37084"/>
    <w:rsid w:val="00B37C19"/>
    <w:rsid w:val="00B404A6"/>
    <w:rsid w:val="00B404CD"/>
    <w:rsid w:val="00B41840"/>
    <w:rsid w:val="00B41BAC"/>
    <w:rsid w:val="00B42A60"/>
    <w:rsid w:val="00B43145"/>
    <w:rsid w:val="00B454AD"/>
    <w:rsid w:val="00B456B8"/>
    <w:rsid w:val="00B464DC"/>
    <w:rsid w:val="00B47CDD"/>
    <w:rsid w:val="00B504FA"/>
    <w:rsid w:val="00B52391"/>
    <w:rsid w:val="00B5382D"/>
    <w:rsid w:val="00B557F6"/>
    <w:rsid w:val="00B57363"/>
    <w:rsid w:val="00B6038F"/>
    <w:rsid w:val="00B60586"/>
    <w:rsid w:val="00B60941"/>
    <w:rsid w:val="00B62DB3"/>
    <w:rsid w:val="00B6379E"/>
    <w:rsid w:val="00B65019"/>
    <w:rsid w:val="00B6599E"/>
    <w:rsid w:val="00B668E8"/>
    <w:rsid w:val="00B66B51"/>
    <w:rsid w:val="00B67713"/>
    <w:rsid w:val="00B70EF1"/>
    <w:rsid w:val="00B71967"/>
    <w:rsid w:val="00B71B08"/>
    <w:rsid w:val="00B71CDE"/>
    <w:rsid w:val="00B72250"/>
    <w:rsid w:val="00B72C7E"/>
    <w:rsid w:val="00B737CC"/>
    <w:rsid w:val="00B74DE3"/>
    <w:rsid w:val="00B778A9"/>
    <w:rsid w:val="00B77BC8"/>
    <w:rsid w:val="00B80137"/>
    <w:rsid w:val="00B8053D"/>
    <w:rsid w:val="00B80A21"/>
    <w:rsid w:val="00B81344"/>
    <w:rsid w:val="00B846C1"/>
    <w:rsid w:val="00B85E4F"/>
    <w:rsid w:val="00B86F3F"/>
    <w:rsid w:val="00B87C9E"/>
    <w:rsid w:val="00B9046D"/>
    <w:rsid w:val="00B905E8"/>
    <w:rsid w:val="00B90E8F"/>
    <w:rsid w:val="00B914B5"/>
    <w:rsid w:val="00B916E5"/>
    <w:rsid w:val="00B92A8F"/>
    <w:rsid w:val="00B92E52"/>
    <w:rsid w:val="00BA00B7"/>
    <w:rsid w:val="00BA0569"/>
    <w:rsid w:val="00BA1E28"/>
    <w:rsid w:val="00BA2B99"/>
    <w:rsid w:val="00BA375C"/>
    <w:rsid w:val="00BA531D"/>
    <w:rsid w:val="00BA5A79"/>
    <w:rsid w:val="00BA5C79"/>
    <w:rsid w:val="00BB05A8"/>
    <w:rsid w:val="00BB1ECE"/>
    <w:rsid w:val="00BB4CCC"/>
    <w:rsid w:val="00BB546E"/>
    <w:rsid w:val="00BB5EDE"/>
    <w:rsid w:val="00BB6EAE"/>
    <w:rsid w:val="00BB6F72"/>
    <w:rsid w:val="00BB7F50"/>
    <w:rsid w:val="00BC0EC7"/>
    <w:rsid w:val="00BC2AEA"/>
    <w:rsid w:val="00BC4E53"/>
    <w:rsid w:val="00BC53F5"/>
    <w:rsid w:val="00BC5961"/>
    <w:rsid w:val="00BD0917"/>
    <w:rsid w:val="00BD14BE"/>
    <w:rsid w:val="00BD16B3"/>
    <w:rsid w:val="00BD4796"/>
    <w:rsid w:val="00BD59D2"/>
    <w:rsid w:val="00BD6C7E"/>
    <w:rsid w:val="00BD7F0A"/>
    <w:rsid w:val="00BE08F3"/>
    <w:rsid w:val="00BE2496"/>
    <w:rsid w:val="00BE44EC"/>
    <w:rsid w:val="00BE58C4"/>
    <w:rsid w:val="00BE6BEC"/>
    <w:rsid w:val="00BF0E98"/>
    <w:rsid w:val="00BF1072"/>
    <w:rsid w:val="00BF1947"/>
    <w:rsid w:val="00BF1A01"/>
    <w:rsid w:val="00BF20DA"/>
    <w:rsid w:val="00BF3230"/>
    <w:rsid w:val="00BF3378"/>
    <w:rsid w:val="00BF3D52"/>
    <w:rsid w:val="00BF6C83"/>
    <w:rsid w:val="00BF7776"/>
    <w:rsid w:val="00C00AE3"/>
    <w:rsid w:val="00C021E6"/>
    <w:rsid w:val="00C02994"/>
    <w:rsid w:val="00C03B0F"/>
    <w:rsid w:val="00C03C66"/>
    <w:rsid w:val="00C052AB"/>
    <w:rsid w:val="00C10B55"/>
    <w:rsid w:val="00C12741"/>
    <w:rsid w:val="00C1324E"/>
    <w:rsid w:val="00C149A9"/>
    <w:rsid w:val="00C14F18"/>
    <w:rsid w:val="00C157EA"/>
    <w:rsid w:val="00C15929"/>
    <w:rsid w:val="00C171B6"/>
    <w:rsid w:val="00C2454F"/>
    <w:rsid w:val="00C270CB"/>
    <w:rsid w:val="00C27200"/>
    <w:rsid w:val="00C27AA1"/>
    <w:rsid w:val="00C30151"/>
    <w:rsid w:val="00C31AA9"/>
    <w:rsid w:val="00C31C60"/>
    <w:rsid w:val="00C32BAF"/>
    <w:rsid w:val="00C33528"/>
    <w:rsid w:val="00C33951"/>
    <w:rsid w:val="00C34F48"/>
    <w:rsid w:val="00C35732"/>
    <w:rsid w:val="00C36B00"/>
    <w:rsid w:val="00C36B9C"/>
    <w:rsid w:val="00C4417D"/>
    <w:rsid w:val="00C456A8"/>
    <w:rsid w:val="00C45F8C"/>
    <w:rsid w:val="00C47911"/>
    <w:rsid w:val="00C512EF"/>
    <w:rsid w:val="00C516C0"/>
    <w:rsid w:val="00C536A4"/>
    <w:rsid w:val="00C544C4"/>
    <w:rsid w:val="00C54E8E"/>
    <w:rsid w:val="00C55BF8"/>
    <w:rsid w:val="00C56E40"/>
    <w:rsid w:val="00C622A2"/>
    <w:rsid w:val="00C62459"/>
    <w:rsid w:val="00C627DA"/>
    <w:rsid w:val="00C634B5"/>
    <w:rsid w:val="00C64C90"/>
    <w:rsid w:val="00C64D09"/>
    <w:rsid w:val="00C650E9"/>
    <w:rsid w:val="00C65B7D"/>
    <w:rsid w:val="00C66BAD"/>
    <w:rsid w:val="00C67621"/>
    <w:rsid w:val="00C67F2E"/>
    <w:rsid w:val="00C711E6"/>
    <w:rsid w:val="00C74E4C"/>
    <w:rsid w:val="00C7508C"/>
    <w:rsid w:val="00C764CC"/>
    <w:rsid w:val="00C77A3A"/>
    <w:rsid w:val="00C77CC3"/>
    <w:rsid w:val="00C830FE"/>
    <w:rsid w:val="00C84522"/>
    <w:rsid w:val="00C860F1"/>
    <w:rsid w:val="00C875EE"/>
    <w:rsid w:val="00C90236"/>
    <w:rsid w:val="00C9097F"/>
    <w:rsid w:val="00C931FA"/>
    <w:rsid w:val="00C93F9D"/>
    <w:rsid w:val="00C96380"/>
    <w:rsid w:val="00C96E3D"/>
    <w:rsid w:val="00C9799C"/>
    <w:rsid w:val="00CA1033"/>
    <w:rsid w:val="00CA34C4"/>
    <w:rsid w:val="00CA4B21"/>
    <w:rsid w:val="00CA7904"/>
    <w:rsid w:val="00CA7EBD"/>
    <w:rsid w:val="00CB1C6F"/>
    <w:rsid w:val="00CB1D48"/>
    <w:rsid w:val="00CB1E01"/>
    <w:rsid w:val="00CB3C05"/>
    <w:rsid w:val="00CB41BD"/>
    <w:rsid w:val="00CB5862"/>
    <w:rsid w:val="00CB5EAF"/>
    <w:rsid w:val="00CB7AE8"/>
    <w:rsid w:val="00CC04F9"/>
    <w:rsid w:val="00CC0B24"/>
    <w:rsid w:val="00CC0C7C"/>
    <w:rsid w:val="00CC0F14"/>
    <w:rsid w:val="00CC2667"/>
    <w:rsid w:val="00CC4550"/>
    <w:rsid w:val="00CC4828"/>
    <w:rsid w:val="00CC4CC2"/>
    <w:rsid w:val="00CD0F76"/>
    <w:rsid w:val="00CD1D4D"/>
    <w:rsid w:val="00CD4A88"/>
    <w:rsid w:val="00CD5D65"/>
    <w:rsid w:val="00CD5E72"/>
    <w:rsid w:val="00CD7221"/>
    <w:rsid w:val="00CD7582"/>
    <w:rsid w:val="00CE19C4"/>
    <w:rsid w:val="00CE1D25"/>
    <w:rsid w:val="00CE33F4"/>
    <w:rsid w:val="00CE4177"/>
    <w:rsid w:val="00CE458C"/>
    <w:rsid w:val="00CE4EA6"/>
    <w:rsid w:val="00CE642C"/>
    <w:rsid w:val="00CE6853"/>
    <w:rsid w:val="00CE6ECA"/>
    <w:rsid w:val="00CE79C7"/>
    <w:rsid w:val="00CF06B4"/>
    <w:rsid w:val="00CF10B8"/>
    <w:rsid w:val="00CF1F9C"/>
    <w:rsid w:val="00CF21A9"/>
    <w:rsid w:val="00CF2834"/>
    <w:rsid w:val="00CF3752"/>
    <w:rsid w:val="00CF3E5B"/>
    <w:rsid w:val="00CF4C43"/>
    <w:rsid w:val="00CF4D41"/>
    <w:rsid w:val="00D04633"/>
    <w:rsid w:val="00D049C9"/>
    <w:rsid w:val="00D04F62"/>
    <w:rsid w:val="00D06147"/>
    <w:rsid w:val="00D07276"/>
    <w:rsid w:val="00D07938"/>
    <w:rsid w:val="00D07ED5"/>
    <w:rsid w:val="00D1089B"/>
    <w:rsid w:val="00D1168F"/>
    <w:rsid w:val="00D11FEE"/>
    <w:rsid w:val="00D1324C"/>
    <w:rsid w:val="00D133F4"/>
    <w:rsid w:val="00D13C61"/>
    <w:rsid w:val="00D13D19"/>
    <w:rsid w:val="00D142B1"/>
    <w:rsid w:val="00D14ED6"/>
    <w:rsid w:val="00D157C6"/>
    <w:rsid w:val="00D20469"/>
    <w:rsid w:val="00D22CE2"/>
    <w:rsid w:val="00D24271"/>
    <w:rsid w:val="00D24BF5"/>
    <w:rsid w:val="00D30A18"/>
    <w:rsid w:val="00D30CF1"/>
    <w:rsid w:val="00D31113"/>
    <w:rsid w:val="00D3491C"/>
    <w:rsid w:val="00D349A2"/>
    <w:rsid w:val="00D34ADB"/>
    <w:rsid w:val="00D367D8"/>
    <w:rsid w:val="00D36B8D"/>
    <w:rsid w:val="00D3704A"/>
    <w:rsid w:val="00D370D7"/>
    <w:rsid w:val="00D37807"/>
    <w:rsid w:val="00D37D95"/>
    <w:rsid w:val="00D42A24"/>
    <w:rsid w:val="00D43383"/>
    <w:rsid w:val="00D43E18"/>
    <w:rsid w:val="00D44398"/>
    <w:rsid w:val="00D4577B"/>
    <w:rsid w:val="00D468F6"/>
    <w:rsid w:val="00D46B09"/>
    <w:rsid w:val="00D506F2"/>
    <w:rsid w:val="00D50804"/>
    <w:rsid w:val="00D50877"/>
    <w:rsid w:val="00D5236B"/>
    <w:rsid w:val="00D53D2B"/>
    <w:rsid w:val="00D5771F"/>
    <w:rsid w:val="00D57743"/>
    <w:rsid w:val="00D5791E"/>
    <w:rsid w:val="00D600A8"/>
    <w:rsid w:val="00D656C3"/>
    <w:rsid w:val="00D65E9D"/>
    <w:rsid w:val="00D65FD7"/>
    <w:rsid w:val="00D67151"/>
    <w:rsid w:val="00D67F6C"/>
    <w:rsid w:val="00D70257"/>
    <w:rsid w:val="00D72A20"/>
    <w:rsid w:val="00D742E8"/>
    <w:rsid w:val="00D776E8"/>
    <w:rsid w:val="00D77F74"/>
    <w:rsid w:val="00D80428"/>
    <w:rsid w:val="00D82D44"/>
    <w:rsid w:val="00D831C7"/>
    <w:rsid w:val="00D83717"/>
    <w:rsid w:val="00D85B7F"/>
    <w:rsid w:val="00D85E30"/>
    <w:rsid w:val="00D86923"/>
    <w:rsid w:val="00D910E1"/>
    <w:rsid w:val="00D9242C"/>
    <w:rsid w:val="00D941CC"/>
    <w:rsid w:val="00D96499"/>
    <w:rsid w:val="00D97FEC"/>
    <w:rsid w:val="00DA044C"/>
    <w:rsid w:val="00DA09F4"/>
    <w:rsid w:val="00DA2744"/>
    <w:rsid w:val="00DA2CD0"/>
    <w:rsid w:val="00DA3F37"/>
    <w:rsid w:val="00DA4361"/>
    <w:rsid w:val="00DA4E89"/>
    <w:rsid w:val="00DA57C5"/>
    <w:rsid w:val="00DA5B14"/>
    <w:rsid w:val="00DA7639"/>
    <w:rsid w:val="00DA7ED9"/>
    <w:rsid w:val="00DB0CF1"/>
    <w:rsid w:val="00DB1B5B"/>
    <w:rsid w:val="00DB5D5D"/>
    <w:rsid w:val="00DB651A"/>
    <w:rsid w:val="00DB71A5"/>
    <w:rsid w:val="00DB78FE"/>
    <w:rsid w:val="00DC0E69"/>
    <w:rsid w:val="00DC0F68"/>
    <w:rsid w:val="00DC1823"/>
    <w:rsid w:val="00DC4350"/>
    <w:rsid w:val="00DC489D"/>
    <w:rsid w:val="00DC48F2"/>
    <w:rsid w:val="00DC537F"/>
    <w:rsid w:val="00DC5578"/>
    <w:rsid w:val="00DC5799"/>
    <w:rsid w:val="00DC7217"/>
    <w:rsid w:val="00DD0414"/>
    <w:rsid w:val="00DD0902"/>
    <w:rsid w:val="00DD164D"/>
    <w:rsid w:val="00DD2C59"/>
    <w:rsid w:val="00DD2E54"/>
    <w:rsid w:val="00DD3110"/>
    <w:rsid w:val="00DD798B"/>
    <w:rsid w:val="00DE00E1"/>
    <w:rsid w:val="00DE0256"/>
    <w:rsid w:val="00DE0558"/>
    <w:rsid w:val="00DE1ECD"/>
    <w:rsid w:val="00DE2B9A"/>
    <w:rsid w:val="00DE5E62"/>
    <w:rsid w:val="00DE6A3B"/>
    <w:rsid w:val="00DE7D0E"/>
    <w:rsid w:val="00DF2C45"/>
    <w:rsid w:val="00DF2CC6"/>
    <w:rsid w:val="00DF54C3"/>
    <w:rsid w:val="00DF6577"/>
    <w:rsid w:val="00DF6A26"/>
    <w:rsid w:val="00DF74FF"/>
    <w:rsid w:val="00E01BBA"/>
    <w:rsid w:val="00E063EA"/>
    <w:rsid w:val="00E06C53"/>
    <w:rsid w:val="00E1116E"/>
    <w:rsid w:val="00E14408"/>
    <w:rsid w:val="00E155D5"/>
    <w:rsid w:val="00E16781"/>
    <w:rsid w:val="00E17F71"/>
    <w:rsid w:val="00E21298"/>
    <w:rsid w:val="00E22FDB"/>
    <w:rsid w:val="00E23E47"/>
    <w:rsid w:val="00E30250"/>
    <w:rsid w:val="00E30A0E"/>
    <w:rsid w:val="00E31EA1"/>
    <w:rsid w:val="00E33147"/>
    <w:rsid w:val="00E33964"/>
    <w:rsid w:val="00E34FE0"/>
    <w:rsid w:val="00E35A1B"/>
    <w:rsid w:val="00E430B6"/>
    <w:rsid w:val="00E433B8"/>
    <w:rsid w:val="00E44679"/>
    <w:rsid w:val="00E45FA7"/>
    <w:rsid w:val="00E46584"/>
    <w:rsid w:val="00E4691B"/>
    <w:rsid w:val="00E47311"/>
    <w:rsid w:val="00E4739A"/>
    <w:rsid w:val="00E509DD"/>
    <w:rsid w:val="00E514AB"/>
    <w:rsid w:val="00E53026"/>
    <w:rsid w:val="00E53115"/>
    <w:rsid w:val="00E53DE0"/>
    <w:rsid w:val="00E54D77"/>
    <w:rsid w:val="00E56070"/>
    <w:rsid w:val="00E565F9"/>
    <w:rsid w:val="00E566AE"/>
    <w:rsid w:val="00E56FA1"/>
    <w:rsid w:val="00E578E0"/>
    <w:rsid w:val="00E57C1D"/>
    <w:rsid w:val="00E60605"/>
    <w:rsid w:val="00E61F3F"/>
    <w:rsid w:val="00E62093"/>
    <w:rsid w:val="00E62223"/>
    <w:rsid w:val="00E622E2"/>
    <w:rsid w:val="00E6248F"/>
    <w:rsid w:val="00E649BE"/>
    <w:rsid w:val="00E663F6"/>
    <w:rsid w:val="00E6642B"/>
    <w:rsid w:val="00E66B06"/>
    <w:rsid w:val="00E715E4"/>
    <w:rsid w:val="00E75491"/>
    <w:rsid w:val="00E760CB"/>
    <w:rsid w:val="00E80918"/>
    <w:rsid w:val="00E820F3"/>
    <w:rsid w:val="00E82EA1"/>
    <w:rsid w:val="00E842AB"/>
    <w:rsid w:val="00E8731C"/>
    <w:rsid w:val="00E912B1"/>
    <w:rsid w:val="00E934FD"/>
    <w:rsid w:val="00E95BB9"/>
    <w:rsid w:val="00E96D3C"/>
    <w:rsid w:val="00E97D86"/>
    <w:rsid w:val="00EA15DE"/>
    <w:rsid w:val="00EA189E"/>
    <w:rsid w:val="00EA5A96"/>
    <w:rsid w:val="00EB17EF"/>
    <w:rsid w:val="00EB2024"/>
    <w:rsid w:val="00EB2D1A"/>
    <w:rsid w:val="00EB41AB"/>
    <w:rsid w:val="00EB472B"/>
    <w:rsid w:val="00EB634D"/>
    <w:rsid w:val="00EB7D26"/>
    <w:rsid w:val="00EB7F2F"/>
    <w:rsid w:val="00EC00EE"/>
    <w:rsid w:val="00EC0C96"/>
    <w:rsid w:val="00EC2617"/>
    <w:rsid w:val="00EC270E"/>
    <w:rsid w:val="00EC3E48"/>
    <w:rsid w:val="00EC518B"/>
    <w:rsid w:val="00EC6283"/>
    <w:rsid w:val="00EC7C91"/>
    <w:rsid w:val="00ED1FCA"/>
    <w:rsid w:val="00ED1FEB"/>
    <w:rsid w:val="00ED27DB"/>
    <w:rsid w:val="00ED2FB5"/>
    <w:rsid w:val="00ED4CBB"/>
    <w:rsid w:val="00ED5E57"/>
    <w:rsid w:val="00EE0606"/>
    <w:rsid w:val="00EE2A88"/>
    <w:rsid w:val="00EE49A9"/>
    <w:rsid w:val="00EE58BB"/>
    <w:rsid w:val="00EE73E8"/>
    <w:rsid w:val="00EF2745"/>
    <w:rsid w:val="00EF3F04"/>
    <w:rsid w:val="00EF409F"/>
    <w:rsid w:val="00EF647C"/>
    <w:rsid w:val="00EF6CBE"/>
    <w:rsid w:val="00EF7F54"/>
    <w:rsid w:val="00F0072A"/>
    <w:rsid w:val="00F02371"/>
    <w:rsid w:val="00F032E7"/>
    <w:rsid w:val="00F03D99"/>
    <w:rsid w:val="00F040EC"/>
    <w:rsid w:val="00F051C6"/>
    <w:rsid w:val="00F05E22"/>
    <w:rsid w:val="00F06095"/>
    <w:rsid w:val="00F07D53"/>
    <w:rsid w:val="00F10BD4"/>
    <w:rsid w:val="00F11424"/>
    <w:rsid w:val="00F122EA"/>
    <w:rsid w:val="00F142B1"/>
    <w:rsid w:val="00F144CD"/>
    <w:rsid w:val="00F14612"/>
    <w:rsid w:val="00F154F6"/>
    <w:rsid w:val="00F169B1"/>
    <w:rsid w:val="00F16F96"/>
    <w:rsid w:val="00F17434"/>
    <w:rsid w:val="00F179B8"/>
    <w:rsid w:val="00F200A9"/>
    <w:rsid w:val="00F2183A"/>
    <w:rsid w:val="00F21A4C"/>
    <w:rsid w:val="00F23228"/>
    <w:rsid w:val="00F24BAA"/>
    <w:rsid w:val="00F24E6A"/>
    <w:rsid w:val="00F255F5"/>
    <w:rsid w:val="00F27177"/>
    <w:rsid w:val="00F31BCA"/>
    <w:rsid w:val="00F323D9"/>
    <w:rsid w:val="00F34E20"/>
    <w:rsid w:val="00F3721B"/>
    <w:rsid w:val="00F4065B"/>
    <w:rsid w:val="00F40ADA"/>
    <w:rsid w:val="00F40BD9"/>
    <w:rsid w:val="00F41F13"/>
    <w:rsid w:val="00F42A40"/>
    <w:rsid w:val="00F430A0"/>
    <w:rsid w:val="00F468CB"/>
    <w:rsid w:val="00F503C0"/>
    <w:rsid w:val="00F53CC8"/>
    <w:rsid w:val="00F5518A"/>
    <w:rsid w:val="00F56453"/>
    <w:rsid w:val="00F57A59"/>
    <w:rsid w:val="00F61A8E"/>
    <w:rsid w:val="00F623CB"/>
    <w:rsid w:val="00F62FA9"/>
    <w:rsid w:val="00F64C8A"/>
    <w:rsid w:val="00F652B2"/>
    <w:rsid w:val="00F72A39"/>
    <w:rsid w:val="00F73DAF"/>
    <w:rsid w:val="00F7455E"/>
    <w:rsid w:val="00F74D52"/>
    <w:rsid w:val="00F752F8"/>
    <w:rsid w:val="00F767EE"/>
    <w:rsid w:val="00F768F5"/>
    <w:rsid w:val="00F80132"/>
    <w:rsid w:val="00F804F3"/>
    <w:rsid w:val="00F808ED"/>
    <w:rsid w:val="00F8180E"/>
    <w:rsid w:val="00F84FD3"/>
    <w:rsid w:val="00F8759D"/>
    <w:rsid w:val="00F91F60"/>
    <w:rsid w:val="00F93138"/>
    <w:rsid w:val="00F93BBB"/>
    <w:rsid w:val="00F951A9"/>
    <w:rsid w:val="00F9617C"/>
    <w:rsid w:val="00F96E69"/>
    <w:rsid w:val="00F96EDC"/>
    <w:rsid w:val="00F972EE"/>
    <w:rsid w:val="00FA064F"/>
    <w:rsid w:val="00FA35F4"/>
    <w:rsid w:val="00FA3779"/>
    <w:rsid w:val="00FA396B"/>
    <w:rsid w:val="00FA3B3F"/>
    <w:rsid w:val="00FA444F"/>
    <w:rsid w:val="00FA5E63"/>
    <w:rsid w:val="00FA6355"/>
    <w:rsid w:val="00FB3068"/>
    <w:rsid w:val="00FB5AD1"/>
    <w:rsid w:val="00FB5BB1"/>
    <w:rsid w:val="00FB5BBC"/>
    <w:rsid w:val="00FB61DF"/>
    <w:rsid w:val="00FB7056"/>
    <w:rsid w:val="00FB7654"/>
    <w:rsid w:val="00FC10CD"/>
    <w:rsid w:val="00FC18E3"/>
    <w:rsid w:val="00FC19AC"/>
    <w:rsid w:val="00FC1C3B"/>
    <w:rsid w:val="00FC25F6"/>
    <w:rsid w:val="00FC3528"/>
    <w:rsid w:val="00FC4BAF"/>
    <w:rsid w:val="00FC5A2D"/>
    <w:rsid w:val="00FC5D5F"/>
    <w:rsid w:val="00FC734D"/>
    <w:rsid w:val="00FD302B"/>
    <w:rsid w:val="00FD31C5"/>
    <w:rsid w:val="00FD3200"/>
    <w:rsid w:val="00FD5189"/>
    <w:rsid w:val="00FD7723"/>
    <w:rsid w:val="00FE070D"/>
    <w:rsid w:val="00FE0E37"/>
    <w:rsid w:val="00FE192D"/>
    <w:rsid w:val="00FE3C47"/>
    <w:rsid w:val="00FE55FD"/>
    <w:rsid w:val="00FE5D39"/>
    <w:rsid w:val="00FE6828"/>
    <w:rsid w:val="00FF5764"/>
    <w:rsid w:val="00FF5FE6"/>
    <w:rsid w:val="00FF77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D85C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2"/>
        <w:szCs w:val="22"/>
        <w:lang w:val="en-AU" w:eastAsia="en-US" w:bidi="ar-SA"/>
      </w:rPr>
    </w:rPrDefault>
    <w:pPrDefault/>
  </w:docDefaults>
  <w:latentStyles w:defLockedState="1" w:defUIPriority="99" w:defSemiHidden="0" w:defUnhideWhenUsed="0" w:defQFormat="0" w:count="371">
    <w:lsdException w:name="Normal" w:locked="0" w:uiPriority="0"/>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0"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iPriority="0" w:unhideWhenUsed="1" w:qFormat="1"/>
    <w:lsdException w:name="annotation text" w:semiHidden="1" w:uiPriority="0"/>
    <w:lsdException w:name="header" w:semiHidden="1" w:uiPriority="0" w:unhideWhenUsed="1"/>
    <w:lsdException w:name="footer" w:semiHidden="1" w:uiPriority="3" w:unhideWhenUsed="1" w:qFormat="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iPriority="0"/>
    <w:lsdException w:name="line number" w:semiHidden="1"/>
    <w:lsdException w:name="page number" w:uiPriority="0" w:qFormat="1"/>
    <w:lsdException w:name="endnote reference" w:semiHidden="1"/>
    <w:lsdException w:name="endnote text" w:semiHidden="1"/>
    <w:lsdException w:name="table of authorities" w:semiHidden="1"/>
    <w:lsdException w:name="macro" w:semiHidden="1"/>
    <w:lsdException w:name="List" w:uiPriority="0"/>
    <w:lsdException w:name="List Bullet" w:uiPriority="0"/>
    <w:lsdException w:name="List Number" w:uiPriority="1" w:qFormat="1"/>
    <w:lsdException w:name="List 2" w:semiHidden="1"/>
    <w:lsdException w:name="List 3" w:semiHidden="1"/>
    <w:lsdException w:name="List 4" w:semiHidden="1"/>
    <w:lsdException w:name="List 5" w:semiHidden="1"/>
    <w:lsdException w:name="List Bullet 3" w:semiHidden="1" w:unhideWhenUsed="1"/>
    <w:lsdException w:name="List Bullet 4" w:semiHidden="1"/>
    <w:lsdException w:name="List Bullet 5" w:semiHidden="1"/>
    <w:lsdException w:name="List Number 2" w:semiHidden="1" w:uiPriority="1" w:qFormat="1"/>
    <w:lsdException w:name="List Number 3" w:semiHidden="1" w:uiPriority="1" w:qFormat="1"/>
    <w:lsdException w:name="List Number 4" w:semiHidden="1"/>
    <w:lsdException w:name="List Number 5" w:semiHidden="1"/>
    <w:lsdException w:name="Title" w:uiPriority="0" w:qFormat="1"/>
    <w:lsdException w:name="Closing" w:semiHidden="1"/>
    <w:lsdException w:name="Signature" w:semiHidden="1"/>
    <w:lsdException w:name="Default Paragraph Font" w:locked="0" w:semiHidden="1" w:uiPriority="1" w:unhideWhenUsed="1"/>
    <w:lsdException w:name="Body Text" w:locked="0" w:uiPriority="0" w:qFormat="1"/>
    <w:lsdException w:name="Body Text Indent" w:semiHidden="1" w:uiPriority="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uiPriority="0"/>
    <w:lsdException w:name="Body Text Indent 3" w:semiHidden="1"/>
    <w:lsdException w:name="Block Text" w:semiHidden="1"/>
    <w:lsdException w:name="Hyperlink" w:semiHidden="1" w:unhideWhenUsed="1"/>
    <w:lsdException w:name="FollowedHyperlink" w:semiHidden="1"/>
    <w:lsdException w:name="Strong" w:semiHidden="1"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locked="0" w:semiHidden="1" w:unhideWhenUsed="1"/>
    <w:lsdException w:name="annotation subject" w:semiHidden="1" w:uiPriority="0"/>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uiPriority="33" w:qFormat="1"/>
    <w:lsdException w:name="Bibliography" w:semiHidden="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semiHidden/>
    <w:rsid w:val="00401DFB"/>
  </w:style>
  <w:style w:type="paragraph" w:styleId="Heading1">
    <w:name w:val="heading 1"/>
    <w:basedOn w:val="Normal"/>
    <w:next w:val="BodyText"/>
    <w:link w:val="Heading1Char"/>
    <w:qFormat/>
    <w:rsid w:val="00E430B6"/>
    <w:pPr>
      <w:widowControl w:val="0"/>
      <w:numPr>
        <w:numId w:val="5"/>
      </w:numPr>
      <w:spacing w:before="60" w:after="360"/>
      <w:outlineLvl w:val="0"/>
    </w:pPr>
    <w:rPr>
      <w:rFonts w:eastAsiaTheme="majorEastAsia" w:cstheme="majorBidi"/>
      <w:b/>
      <w:color w:val="000099"/>
      <w:sz w:val="40"/>
      <w:szCs w:val="32"/>
    </w:rPr>
  </w:style>
  <w:style w:type="paragraph" w:styleId="Heading2">
    <w:name w:val="heading 2"/>
    <w:basedOn w:val="Heading1"/>
    <w:next w:val="BodyText"/>
    <w:link w:val="Heading2Char"/>
    <w:qFormat/>
    <w:rsid w:val="00AD35BF"/>
    <w:pPr>
      <w:widowControl/>
      <w:numPr>
        <w:ilvl w:val="1"/>
      </w:numPr>
      <w:spacing w:before="120" w:after="240"/>
      <w:outlineLvl w:val="1"/>
    </w:pPr>
    <w:rPr>
      <w:color w:val="4D4DB8"/>
      <w:sz w:val="28"/>
      <w:szCs w:val="26"/>
    </w:rPr>
  </w:style>
  <w:style w:type="paragraph" w:styleId="Heading3">
    <w:name w:val="heading 3"/>
    <w:basedOn w:val="Heading2"/>
    <w:next w:val="BodyText"/>
    <w:link w:val="Heading3Char"/>
    <w:qFormat/>
    <w:rsid w:val="00E430B6"/>
    <w:pPr>
      <w:numPr>
        <w:ilvl w:val="2"/>
      </w:numPr>
      <w:spacing w:after="120"/>
      <w:outlineLvl w:val="2"/>
    </w:pPr>
    <w:rPr>
      <w:sz w:val="24"/>
    </w:rPr>
  </w:style>
  <w:style w:type="paragraph" w:styleId="Heading4">
    <w:name w:val="heading 4"/>
    <w:basedOn w:val="Heading3"/>
    <w:next w:val="Normal"/>
    <w:link w:val="Heading4Char"/>
    <w:semiHidden/>
    <w:locked/>
    <w:rsid w:val="002D5EC9"/>
    <w:pPr>
      <w:keepNext/>
      <w:keepLines/>
      <w:numPr>
        <w:ilvl w:val="3"/>
        <w:numId w:val="0"/>
      </w:numPr>
      <w:spacing w:before="40" w:after="0"/>
      <w:outlineLvl w:val="3"/>
    </w:pPr>
    <w:rPr>
      <w:i/>
      <w:iCs/>
    </w:rPr>
  </w:style>
  <w:style w:type="paragraph" w:styleId="Heading5">
    <w:name w:val="heading 5"/>
    <w:basedOn w:val="Heading4"/>
    <w:next w:val="Normal"/>
    <w:link w:val="Heading5Char"/>
    <w:uiPriority w:val="99"/>
    <w:semiHidden/>
    <w:locked/>
    <w:rsid w:val="002D5EC9"/>
    <w:pPr>
      <w:numPr>
        <w:ilvl w:val="4"/>
      </w:numPr>
      <w:outlineLvl w:val="4"/>
    </w:pPr>
    <w:rPr>
      <w:i w:val="0"/>
      <w:sz w:val="20"/>
    </w:rPr>
  </w:style>
  <w:style w:type="paragraph" w:styleId="Heading6">
    <w:name w:val="heading 6"/>
    <w:basedOn w:val="Heading5"/>
    <w:next w:val="Normal"/>
    <w:link w:val="Heading6Char"/>
    <w:uiPriority w:val="99"/>
    <w:semiHidden/>
    <w:locked/>
    <w:rsid w:val="002D5EC9"/>
    <w:pPr>
      <w:numPr>
        <w:ilvl w:val="5"/>
      </w:numPr>
      <w:outlineLvl w:val="5"/>
    </w:pPr>
    <w:rPr>
      <w:i/>
    </w:rPr>
  </w:style>
  <w:style w:type="paragraph" w:styleId="Heading7">
    <w:name w:val="heading 7"/>
    <w:basedOn w:val="Heading6"/>
    <w:next w:val="Normal"/>
    <w:link w:val="Heading7Char"/>
    <w:uiPriority w:val="99"/>
    <w:semiHidden/>
    <w:locked/>
    <w:rsid w:val="002D5EC9"/>
    <w:pPr>
      <w:numPr>
        <w:ilvl w:val="6"/>
      </w:numPr>
      <w:outlineLvl w:val="6"/>
    </w:pPr>
    <w:rPr>
      <w:i w:val="0"/>
      <w:iCs w:val="0"/>
    </w:rPr>
  </w:style>
  <w:style w:type="paragraph" w:styleId="Heading8">
    <w:name w:val="heading 8"/>
    <w:basedOn w:val="Heading7"/>
    <w:next w:val="Normal"/>
    <w:link w:val="Heading8Char"/>
    <w:uiPriority w:val="99"/>
    <w:semiHidden/>
    <w:locked/>
    <w:rsid w:val="002D5EC9"/>
    <w:pPr>
      <w:numPr>
        <w:ilvl w:val="7"/>
      </w:numPr>
      <w:outlineLvl w:val="7"/>
    </w:pPr>
    <w:rPr>
      <w:b w:val="0"/>
      <w:szCs w:val="21"/>
    </w:rPr>
  </w:style>
  <w:style w:type="paragraph" w:styleId="Heading9">
    <w:name w:val="heading 9"/>
    <w:basedOn w:val="Heading8"/>
    <w:next w:val="Normal"/>
    <w:link w:val="Heading9Char"/>
    <w:uiPriority w:val="99"/>
    <w:semiHidden/>
    <w:locked/>
    <w:rsid w:val="002D5EC9"/>
    <w:pPr>
      <w:numPr>
        <w:ilvl w:val="8"/>
      </w:numPr>
      <w:outlineLvl w:val="8"/>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locked/>
    <w:rsid w:val="00547C1A"/>
    <w:pPr>
      <w:tabs>
        <w:tab w:val="center" w:pos="4513"/>
        <w:tab w:val="right" w:pos="9026"/>
      </w:tabs>
    </w:pPr>
  </w:style>
  <w:style w:type="character" w:customStyle="1" w:styleId="HeaderChar">
    <w:name w:val="Header Char"/>
    <w:basedOn w:val="DefaultParagraphFont"/>
    <w:link w:val="Header"/>
    <w:rsid w:val="00A7504E"/>
    <w:rPr>
      <w:rFonts w:ascii="Calibri" w:hAnsi="Calibri"/>
    </w:rPr>
  </w:style>
  <w:style w:type="paragraph" w:styleId="Footer">
    <w:name w:val="footer"/>
    <w:basedOn w:val="Normal"/>
    <w:link w:val="FooterChar"/>
    <w:uiPriority w:val="3"/>
    <w:qFormat/>
    <w:locked/>
    <w:rsid w:val="0060601B"/>
    <w:pPr>
      <w:pBdr>
        <w:top w:val="single" w:sz="8" w:space="6" w:color="7F7F7F" w:themeColor="text1" w:themeTint="80"/>
      </w:pBdr>
      <w:tabs>
        <w:tab w:val="right" w:pos="9072"/>
      </w:tabs>
      <w:spacing w:after="60"/>
    </w:pPr>
    <w:rPr>
      <w:rFonts w:ascii="Arial" w:hAnsi="Arial"/>
      <w:color w:val="7F7F7F"/>
      <w:sz w:val="16"/>
    </w:rPr>
  </w:style>
  <w:style w:type="character" w:customStyle="1" w:styleId="FooterChar">
    <w:name w:val="Footer Char"/>
    <w:basedOn w:val="DefaultParagraphFont"/>
    <w:link w:val="Footer"/>
    <w:uiPriority w:val="3"/>
    <w:rsid w:val="00A7504E"/>
    <w:rPr>
      <w:rFonts w:ascii="Arial" w:hAnsi="Arial"/>
      <w:color w:val="7F7F7F"/>
      <w:sz w:val="16"/>
    </w:rPr>
  </w:style>
  <w:style w:type="table" w:styleId="TableGrid">
    <w:name w:val="Table Grid"/>
    <w:basedOn w:val="TableNormal"/>
    <w:uiPriority w:val="59"/>
    <w:locked/>
    <w:rsid w:val="003E20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Date"/>
    <w:link w:val="TitleChar"/>
    <w:semiHidden/>
    <w:qFormat/>
    <w:locked/>
    <w:rsid w:val="00FB3068"/>
    <w:pPr>
      <w:spacing w:line="760" w:lineRule="atLeast"/>
      <w:contextualSpacing/>
    </w:pPr>
    <w:rPr>
      <w:rFonts w:eastAsiaTheme="majorEastAsia" w:cstheme="majorBidi"/>
      <w:b/>
      <w:color w:val="000099"/>
      <w:spacing w:val="-10"/>
      <w:kern w:val="28"/>
      <w:sz w:val="80"/>
      <w:szCs w:val="56"/>
    </w:rPr>
  </w:style>
  <w:style w:type="character" w:customStyle="1" w:styleId="TitleChar">
    <w:name w:val="Title Char"/>
    <w:basedOn w:val="DefaultParagraphFont"/>
    <w:link w:val="Title"/>
    <w:semiHidden/>
    <w:rsid w:val="00A7504E"/>
    <w:rPr>
      <w:rFonts w:ascii="Calibri" w:eastAsiaTheme="majorEastAsia" w:hAnsi="Calibri" w:cstheme="majorBidi"/>
      <w:b/>
      <w:color w:val="000099"/>
      <w:spacing w:val="-10"/>
      <w:kern w:val="28"/>
      <w:sz w:val="80"/>
      <w:szCs w:val="56"/>
    </w:rPr>
  </w:style>
  <w:style w:type="paragraph" w:styleId="Subtitle">
    <w:name w:val="Subtitle"/>
    <w:basedOn w:val="Normal"/>
    <w:next w:val="Title"/>
    <w:link w:val="SubtitleChar"/>
    <w:semiHidden/>
    <w:qFormat/>
    <w:locked/>
    <w:rsid w:val="00FB3068"/>
    <w:pPr>
      <w:numPr>
        <w:ilvl w:val="1"/>
      </w:numPr>
    </w:pPr>
    <w:rPr>
      <w:rFonts w:eastAsiaTheme="minorEastAsia"/>
      <w:color w:val="7F7F7F"/>
      <w:spacing w:val="15"/>
      <w:sz w:val="36"/>
    </w:rPr>
  </w:style>
  <w:style w:type="character" w:customStyle="1" w:styleId="SubtitleChar">
    <w:name w:val="Subtitle Char"/>
    <w:basedOn w:val="DefaultParagraphFont"/>
    <w:link w:val="Subtitle"/>
    <w:semiHidden/>
    <w:rsid w:val="00A7504E"/>
    <w:rPr>
      <w:rFonts w:ascii="Calibri" w:eastAsiaTheme="minorEastAsia" w:hAnsi="Calibri"/>
      <w:color w:val="7F7F7F"/>
      <w:spacing w:val="15"/>
      <w:sz w:val="36"/>
    </w:rPr>
  </w:style>
  <w:style w:type="character" w:styleId="PageNumber">
    <w:name w:val="page number"/>
    <w:basedOn w:val="DefaultParagraphFont"/>
    <w:qFormat/>
    <w:locked/>
    <w:rsid w:val="00FB3068"/>
    <w:rPr>
      <w:rFonts w:ascii="Calibri" w:hAnsi="Calibri"/>
      <w:b/>
      <w:noProof w:val="0"/>
      <w:color w:val="4D4DB8" w:themeColor="accent1"/>
      <w:sz w:val="20"/>
      <w:lang w:val="en-AU"/>
    </w:rPr>
  </w:style>
  <w:style w:type="character" w:styleId="Hyperlink">
    <w:name w:val="Hyperlink"/>
    <w:basedOn w:val="SmartHyperlink"/>
    <w:uiPriority w:val="99"/>
    <w:locked/>
    <w:rsid w:val="00B72250"/>
    <w:rPr>
      <w:rFonts w:ascii="Calibri" w:hAnsi="Calibri"/>
      <w:i/>
      <w:color w:val="0000FF"/>
      <w:sz w:val="22"/>
      <w:u w:val="single"/>
    </w:rPr>
  </w:style>
  <w:style w:type="paragraph" w:styleId="FootnoteText">
    <w:name w:val="footnote text"/>
    <w:basedOn w:val="Normal"/>
    <w:link w:val="FootnoteTextChar"/>
    <w:qFormat/>
    <w:locked/>
    <w:rsid w:val="0033455F"/>
    <w:pPr>
      <w:spacing w:after="60"/>
    </w:pPr>
    <w:rPr>
      <w:rFonts w:eastAsia="Times New Roman" w:cs="Arial"/>
      <w:sz w:val="18"/>
      <w:szCs w:val="18"/>
    </w:rPr>
  </w:style>
  <w:style w:type="character" w:customStyle="1" w:styleId="FootnoteTextChar">
    <w:name w:val="Footnote Text Char"/>
    <w:basedOn w:val="DefaultParagraphFont"/>
    <w:link w:val="FootnoteText"/>
    <w:rsid w:val="00A7504E"/>
    <w:rPr>
      <w:rFonts w:ascii="Calibri" w:eastAsia="Times New Roman" w:hAnsi="Calibri" w:cs="Arial"/>
      <w:sz w:val="18"/>
      <w:szCs w:val="18"/>
    </w:rPr>
  </w:style>
  <w:style w:type="paragraph" w:styleId="Date">
    <w:name w:val="Date"/>
    <w:basedOn w:val="Subtitle"/>
    <w:next w:val="Normal"/>
    <w:link w:val="DateChar"/>
    <w:uiPriority w:val="99"/>
    <w:semiHidden/>
    <w:locked/>
    <w:rsid w:val="00FB3068"/>
    <w:rPr>
      <w:caps/>
      <w:sz w:val="24"/>
      <w:szCs w:val="24"/>
    </w:rPr>
  </w:style>
  <w:style w:type="character" w:customStyle="1" w:styleId="DateChar">
    <w:name w:val="Date Char"/>
    <w:basedOn w:val="DefaultParagraphFont"/>
    <w:link w:val="Date"/>
    <w:uiPriority w:val="99"/>
    <w:semiHidden/>
    <w:rsid w:val="00A7504E"/>
    <w:rPr>
      <w:rFonts w:ascii="Calibri" w:eastAsiaTheme="minorEastAsia" w:hAnsi="Calibri"/>
      <w:caps/>
      <w:color w:val="7F7F7F"/>
      <w:spacing w:val="15"/>
      <w:sz w:val="24"/>
      <w:szCs w:val="24"/>
    </w:rPr>
  </w:style>
  <w:style w:type="paragraph" w:customStyle="1" w:styleId="Disclaimer">
    <w:name w:val="Disclaimer"/>
    <w:basedOn w:val="FootnoteText"/>
    <w:uiPriority w:val="99"/>
    <w:semiHidden/>
    <w:locked/>
    <w:rsid w:val="00FB3068"/>
    <w:pPr>
      <w:spacing w:after="120"/>
    </w:pPr>
  </w:style>
  <w:style w:type="paragraph" w:customStyle="1" w:styleId="Address">
    <w:name w:val="Address"/>
    <w:basedOn w:val="Normal"/>
    <w:uiPriority w:val="99"/>
    <w:semiHidden/>
    <w:locked/>
    <w:rsid w:val="00FB3068"/>
    <w:rPr>
      <w:color w:val="7F7F7F"/>
      <w:sz w:val="18"/>
    </w:rPr>
  </w:style>
  <w:style w:type="character" w:customStyle="1" w:styleId="Heading1Char">
    <w:name w:val="Heading 1 Char"/>
    <w:basedOn w:val="DefaultParagraphFont"/>
    <w:link w:val="Heading1"/>
    <w:rsid w:val="00E430B6"/>
    <w:rPr>
      <w:rFonts w:eastAsiaTheme="majorEastAsia" w:cstheme="majorBidi"/>
      <w:b/>
      <w:color w:val="000099"/>
      <w:sz w:val="40"/>
      <w:szCs w:val="32"/>
    </w:rPr>
  </w:style>
  <w:style w:type="character" w:customStyle="1" w:styleId="Heading2Char">
    <w:name w:val="Heading 2 Char"/>
    <w:basedOn w:val="DefaultParagraphFont"/>
    <w:link w:val="Heading2"/>
    <w:rsid w:val="00AD35BF"/>
    <w:rPr>
      <w:rFonts w:eastAsiaTheme="majorEastAsia" w:cstheme="majorBidi"/>
      <w:b/>
      <w:color w:val="4D4DB8"/>
      <w:sz w:val="28"/>
      <w:szCs w:val="26"/>
    </w:rPr>
  </w:style>
  <w:style w:type="paragraph" w:styleId="List">
    <w:name w:val="List"/>
    <w:basedOn w:val="Normal"/>
    <w:semiHidden/>
    <w:locked/>
    <w:rsid w:val="00580908"/>
    <w:pPr>
      <w:ind w:left="283" w:hanging="283"/>
      <w:contextualSpacing/>
    </w:pPr>
  </w:style>
  <w:style w:type="paragraph" w:styleId="ListNumber">
    <w:name w:val="List Number"/>
    <w:basedOn w:val="Normal"/>
    <w:uiPriority w:val="1"/>
    <w:qFormat/>
    <w:locked/>
    <w:rsid w:val="0080240F"/>
    <w:pPr>
      <w:numPr>
        <w:numId w:val="42"/>
      </w:numPr>
      <w:spacing w:before="60"/>
    </w:pPr>
  </w:style>
  <w:style w:type="character" w:customStyle="1" w:styleId="Heading3Char">
    <w:name w:val="Heading 3 Char"/>
    <w:basedOn w:val="DefaultParagraphFont"/>
    <w:link w:val="Heading3"/>
    <w:rsid w:val="00E430B6"/>
    <w:rPr>
      <w:rFonts w:eastAsiaTheme="majorEastAsia" w:cstheme="majorBidi"/>
      <w:b/>
      <w:color w:val="4D4DB8"/>
      <w:sz w:val="24"/>
      <w:szCs w:val="26"/>
    </w:rPr>
  </w:style>
  <w:style w:type="paragraph" w:styleId="ListBullet">
    <w:name w:val="List Bullet"/>
    <w:basedOn w:val="Bullet1"/>
    <w:locked/>
    <w:rsid w:val="006476D3"/>
    <w:rPr>
      <w:noProof/>
    </w:rPr>
  </w:style>
  <w:style w:type="paragraph" w:styleId="ListBullet2">
    <w:name w:val="List Bullet 2"/>
    <w:basedOn w:val="Bullet2"/>
    <w:uiPriority w:val="99"/>
    <w:semiHidden/>
    <w:locked/>
    <w:rsid w:val="006476D3"/>
    <w:rPr>
      <w:noProof/>
    </w:rPr>
  </w:style>
  <w:style w:type="paragraph" w:customStyle="1" w:styleId="BreakoutBoxText">
    <w:name w:val="Breakout Box Text"/>
    <w:basedOn w:val="Normal"/>
    <w:uiPriority w:val="99"/>
    <w:semiHidden/>
    <w:qFormat/>
    <w:locked/>
    <w:rsid w:val="00FB3068"/>
    <w:pPr>
      <w:spacing w:line="300" w:lineRule="atLeast"/>
    </w:pPr>
    <w:rPr>
      <w:color w:val="808080" w:themeColor="background1" w:themeShade="80"/>
    </w:rPr>
  </w:style>
  <w:style w:type="paragraph" w:customStyle="1" w:styleId="BreakoutBoxHeading">
    <w:name w:val="Breakout Box Heading"/>
    <w:basedOn w:val="Normal"/>
    <w:uiPriority w:val="99"/>
    <w:locked/>
    <w:rsid w:val="00FB3068"/>
    <w:rPr>
      <w:rFonts w:eastAsiaTheme="majorEastAsia" w:cstheme="majorBidi"/>
      <w:caps/>
      <w:color w:val="191919" w:themeColor="text1" w:themeTint="E6"/>
      <w:sz w:val="28"/>
      <w:szCs w:val="36"/>
    </w:rPr>
  </w:style>
  <w:style w:type="paragraph" w:styleId="Caption">
    <w:name w:val="caption"/>
    <w:aliases w:val="Tabelle"/>
    <w:basedOn w:val="Normal"/>
    <w:next w:val="BodyText"/>
    <w:uiPriority w:val="35"/>
    <w:qFormat/>
    <w:locked/>
    <w:rsid w:val="008B21A5"/>
    <w:pPr>
      <w:spacing w:before="240"/>
      <w:ind w:left="1077" w:hanging="1077"/>
    </w:pPr>
    <w:rPr>
      <w:i/>
      <w:iCs/>
      <w:color w:val="4D4DB8"/>
      <w:szCs w:val="18"/>
    </w:rPr>
  </w:style>
  <w:style w:type="paragraph" w:customStyle="1" w:styleId="Notes">
    <w:name w:val="Notes"/>
    <w:basedOn w:val="Caption"/>
    <w:uiPriority w:val="13"/>
    <w:qFormat/>
    <w:rsid w:val="00D57743"/>
    <w:pPr>
      <w:spacing w:before="0"/>
    </w:pPr>
    <w:rPr>
      <w:sz w:val="20"/>
    </w:rPr>
  </w:style>
  <w:style w:type="character" w:styleId="FootnoteReference">
    <w:name w:val="footnote reference"/>
    <w:basedOn w:val="DefaultParagraphFont"/>
    <w:locked/>
    <w:rsid w:val="00493FA0"/>
    <w:rPr>
      <w:vertAlign w:val="superscript"/>
    </w:rPr>
  </w:style>
  <w:style w:type="paragraph" w:styleId="TOAHeading">
    <w:name w:val="toa heading"/>
    <w:basedOn w:val="Heading1"/>
    <w:next w:val="Normal"/>
    <w:uiPriority w:val="99"/>
    <w:semiHidden/>
    <w:locked/>
    <w:rsid w:val="00FB3068"/>
    <w:pPr>
      <w:numPr>
        <w:numId w:val="0"/>
      </w:numPr>
    </w:pPr>
  </w:style>
  <w:style w:type="paragraph" w:styleId="TOC1">
    <w:name w:val="toc 1"/>
    <w:basedOn w:val="Normal"/>
    <w:uiPriority w:val="39"/>
    <w:qFormat/>
    <w:locked/>
    <w:rsid w:val="006D29AB"/>
    <w:pPr>
      <w:tabs>
        <w:tab w:val="left" w:pos="482"/>
        <w:tab w:val="right" w:leader="dot" w:pos="9072"/>
      </w:tabs>
      <w:spacing w:before="240"/>
    </w:pPr>
    <w:rPr>
      <w:b/>
      <w:color w:val="000099"/>
    </w:rPr>
  </w:style>
  <w:style w:type="paragraph" w:styleId="TOC2">
    <w:name w:val="toc 2"/>
    <w:basedOn w:val="TOC1"/>
    <w:uiPriority w:val="39"/>
    <w:qFormat/>
    <w:locked/>
    <w:rsid w:val="005B2574"/>
    <w:pPr>
      <w:tabs>
        <w:tab w:val="clear" w:pos="482"/>
        <w:tab w:val="left" w:pos="1049"/>
        <w:tab w:val="right" w:leader="dot" w:pos="8987"/>
      </w:tabs>
      <w:spacing w:before="0"/>
      <w:ind w:left="952" w:right="567" w:hanging="476"/>
    </w:pPr>
    <w:rPr>
      <w:b w:val="0"/>
      <w:color w:val="4D4DB8"/>
    </w:rPr>
  </w:style>
  <w:style w:type="paragraph" w:styleId="TOC3">
    <w:name w:val="toc 3"/>
    <w:basedOn w:val="TOC2"/>
    <w:uiPriority w:val="39"/>
    <w:semiHidden/>
    <w:qFormat/>
    <w:locked/>
    <w:rsid w:val="009A4DB5"/>
  </w:style>
  <w:style w:type="paragraph" w:styleId="TableofFigures">
    <w:name w:val="table of figures"/>
    <w:basedOn w:val="TOC2"/>
    <w:uiPriority w:val="99"/>
    <w:locked/>
    <w:rsid w:val="005B2574"/>
    <w:pPr>
      <w:tabs>
        <w:tab w:val="clear" w:pos="1049"/>
        <w:tab w:val="left" w:pos="482"/>
      </w:tabs>
      <w:ind w:left="1038" w:right="992" w:hanging="1038"/>
    </w:pPr>
    <w:rPr>
      <w:noProof/>
    </w:rPr>
  </w:style>
  <w:style w:type="paragraph" w:styleId="BalloonText">
    <w:name w:val="Balloon Text"/>
    <w:basedOn w:val="Normal"/>
    <w:link w:val="BalloonTextChar"/>
    <w:semiHidden/>
    <w:locked/>
    <w:rsid w:val="00C875EE"/>
    <w:rPr>
      <w:rFonts w:ascii="Tahoma" w:hAnsi="Tahoma" w:cs="Tahoma"/>
      <w:sz w:val="16"/>
      <w:szCs w:val="16"/>
    </w:rPr>
  </w:style>
  <w:style w:type="character" w:customStyle="1" w:styleId="BalloonTextChar">
    <w:name w:val="Balloon Text Char"/>
    <w:basedOn w:val="DefaultParagraphFont"/>
    <w:link w:val="BalloonText"/>
    <w:semiHidden/>
    <w:rsid w:val="00A7504E"/>
    <w:rPr>
      <w:rFonts w:ascii="Tahoma" w:hAnsi="Tahoma" w:cs="Tahoma"/>
      <w:sz w:val="16"/>
      <w:szCs w:val="16"/>
    </w:rPr>
  </w:style>
  <w:style w:type="paragraph" w:styleId="TOCHeading">
    <w:name w:val="TOC Heading"/>
    <w:basedOn w:val="TOAHeading"/>
    <w:next w:val="Normal"/>
    <w:uiPriority w:val="99"/>
    <w:semiHidden/>
    <w:qFormat/>
    <w:locked/>
    <w:rsid w:val="00FB3068"/>
  </w:style>
  <w:style w:type="paragraph" w:customStyle="1" w:styleId="Bullet1">
    <w:name w:val="Bullet 1"/>
    <w:basedOn w:val="ListParagraph"/>
    <w:link w:val="Bullet1Char"/>
    <w:uiPriority w:val="1"/>
    <w:qFormat/>
    <w:rsid w:val="00BF1A01"/>
    <w:pPr>
      <w:numPr>
        <w:numId w:val="3"/>
      </w:numPr>
      <w:spacing w:before="60"/>
      <w:contextualSpacing w:val="0"/>
    </w:pPr>
    <w:rPr>
      <w:rFonts w:eastAsia="Times New Roman" w:cstheme="minorHAnsi"/>
    </w:rPr>
  </w:style>
  <w:style w:type="character" w:customStyle="1" w:styleId="Bullet1Char">
    <w:name w:val="Bullet 1 Char"/>
    <w:basedOn w:val="DefaultParagraphFont"/>
    <w:link w:val="Bullet1"/>
    <w:uiPriority w:val="1"/>
    <w:rsid w:val="007A43BA"/>
    <w:rPr>
      <w:rFonts w:eastAsia="Times New Roman" w:cstheme="minorHAnsi"/>
    </w:rPr>
  </w:style>
  <w:style w:type="paragraph" w:styleId="ListParagraph">
    <w:name w:val="List Paragraph"/>
    <w:basedOn w:val="Normal"/>
    <w:link w:val="ListParagraphChar"/>
    <w:uiPriority w:val="34"/>
    <w:qFormat/>
    <w:locked/>
    <w:rsid w:val="006476D3"/>
    <w:pPr>
      <w:ind w:left="720"/>
      <w:contextualSpacing/>
    </w:pPr>
  </w:style>
  <w:style w:type="paragraph" w:customStyle="1" w:styleId="Bullet2">
    <w:name w:val="Bullet 2"/>
    <w:basedOn w:val="Bullet1"/>
    <w:link w:val="Bullet2Char1"/>
    <w:uiPriority w:val="1"/>
    <w:qFormat/>
    <w:rsid w:val="00336883"/>
    <w:pPr>
      <w:numPr>
        <w:ilvl w:val="1"/>
      </w:numPr>
      <w:spacing w:before="0"/>
    </w:pPr>
  </w:style>
  <w:style w:type="paragraph" w:customStyle="1" w:styleId="Bullet3">
    <w:name w:val="Bullet 3"/>
    <w:basedOn w:val="Bullet2"/>
    <w:link w:val="Bullet3Char"/>
    <w:uiPriority w:val="1"/>
    <w:qFormat/>
    <w:rsid w:val="00B11172"/>
    <w:pPr>
      <w:numPr>
        <w:ilvl w:val="2"/>
      </w:numPr>
      <w:tabs>
        <w:tab w:val="num" w:pos="360"/>
      </w:tabs>
    </w:pPr>
  </w:style>
  <w:style w:type="character" w:customStyle="1" w:styleId="Bullet2Char1">
    <w:name w:val="Bullet 2 Char1"/>
    <w:basedOn w:val="DefaultParagraphFont"/>
    <w:link w:val="Bullet2"/>
    <w:uiPriority w:val="1"/>
    <w:rsid w:val="007A43BA"/>
    <w:rPr>
      <w:rFonts w:eastAsia="Times New Roman" w:cstheme="minorHAnsi"/>
    </w:rPr>
  </w:style>
  <w:style w:type="character" w:customStyle="1" w:styleId="Bullet3Char">
    <w:name w:val="Bullet 3 Char"/>
    <w:basedOn w:val="Bullet2Char1"/>
    <w:link w:val="Bullet3"/>
    <w:uiPriority w:val="1"/>
    <w:rsid w:val="00B11172"/>
    <w:rPr>
      <w:rFonts w:eastAsia="Times New Roman" w:cstheme="minorHAnsi"/>
    </w:rPr>
  </w:style>
  <w:style w:type="paragraph" w:styleId="ListBullet3">
    <w:name w:val="List Bullet 3"/>
    <w:basedOn w:val="Bullet3"/>
    <w:uiPriority w:val="99"/>
    <w:semiHidden/>
    <w:locked/>
    <w:rsid w:val="006476D3"/>
    <w:pPr>
      <w:tabs>
        <w:tab w:val="clear" w:pos="360"/>
      </w:tabs>
    </w:pPr>
    <w:rPr>
      <w:noProof/>
    </w:rPr>
  </w:style>
  <w:style w:type="paragraph" w:customStyle="1" w:styleId="Number1">
    <w:name w:val="Number 1"/>
    <w:basedOn w:val="ListParagraph"/>
    <w:link w:val="Number1Char"/>
    <w:uiPriority w:val="10"/>
    <w:qFormat/>
    <w:rsid w:val="002A7D62"/>
    <w:pPr>
      <w:numPr>
        <w:numId w:val="4"/>
      </w:numPr>
      <w:spacing w:before="60"/>
      <w:contextualSpacing w:val="0"/>
    </w:pPr>
    <w:rPr>
      <w:rFonts w:eastAsia="Times New Roman" w:cstheme="minorHAnsi"/>
    </w:rPr>
  </w:style>
  <w:style w:type="paragraph" w:customStyle="1" w:styleId="Number2">
    <w:name w:val="Number 2"/>
    <w:basedOn w:val="Number1"/>
    <w:uiPriority w:val="11"/>
    <w:qFormat/>
    <w:rsid w:val="002A7D62"/>
    <w:pPr>
      <w:numPr>
        <w:ilvl w:val="1"/>
      </w:numPr>
      <w:spacing w:before="0"/>
    </w:pPr>
  </w:style>
  <w:style w:type="character" w:customStyle="1" w:styleId="Number1Char">
    <w:name w:val="Number 1 Char"/>
    <w:basedOn w:val="DefaultParagraphFont"/>
    <w:link w:val="Number1"/>
    <w:uiPriority w:val="10"/>
    <w:rsid w:val="002A7D62"/>
    <w:rPr>
      <w:rFonts w:eastAsia="Times New Roman" w:cstheme="minorHAnsi"/>
    </w:rPr>
  </w:style>
  <w:style w:type="paragraph" w:customStyle="1" w:styleId="Number3">
    <w:name w:val="Number 3"/>
    <w:basedOn w:val="Number2"/>
    <w:uiPriority w:val="12"/>
    <w:qFormat/>
    <w:rsid w:val="005172DB"/>
    <w:pPr>
      <w:numPr>
        <w:ilvl w:val="2"/>
      </w:numPr>
      <w:ind w:hanging="272"/>
    </w:pPr>
  </w:style>
  <w:style w:type="paragraph" w:customStyle="1" w:styleId="ClientName">
    <w:name w:val="Client Name"/>
    <w:basedOn w:val="Normal"/>
    <w:uiPriority w:val="99"/>
    <w:semiHidden/>
    <w:locked/>
    <w:rsid w:val="00FB3068"/>
    <w:rPr>
      <w:rFonts w:cstheme="minorHAnsi"/>
      <w:sz w:val="36"/>
      <w:szCs w:val="36"/>
    </w:rPr>
  </w:style>
  <w:style w:type="character" w:customStyle="1" w:styleId="Heading4Char">
    <w:name w:val="Heading 4 Char"/>
    <w:basedOn w:val="DefaultParagraphFont"/>
    <w:link w:val="Heading4"/>
    <w:semiHidden/>
    <w:rsid w:val="00A7504E"/>
    <w:rPr>
      <w:rFonts w:eastAsiaTheme="majorEastAsia" w:cstheme="majorBidi"/>
      <w:b/>
      <w:i/>
      <w:iCs/>
      <w:color w:val="4D4DB8"/>
      <w:sz w:val="24"/>
      <w:szCs w:val="26"/>
    </w:rPr>
  </w:style>
  <w:style w:type="character" w:customStyle="1" w:styleId="Heading5Char">
    <w:name w:val="Heading 5 Char"/>
    <w:basedOn w:val="DefaultParagraphFont"/>
    <w:link w:val="Heading5"/>
    <w:uiPriority w:val="99"/>
    <w:semiHidden/>
    <w:rsid w:val="00A7504E"/>
    <w:rPr>
      <w:rFonts w:eastAsiaTheme="majorEastAsia" w:cstheme="majorBidi"/>
      <w:b/>
      <w:iCs/>
      <w:color w:val="4D4DB8"/>
      <w:sz w:val="20"/>
      <w:szCs w:val="26"/>
    </w:rPr>
  </w:style>
  <w:style w:type="character" w:customStyle="1" w:styleId="Heading6Char">
    <w:name w:val="Heading 6 Char"/>
    <w:basedOn w:val="DefaultParagraphFont"/>
    <w:link w:val="Heading6"/>
    <w:uiPriority w:val="99"/>
    <w:semiHidden/>
    <w:rsid w:val="00A7504E"/>
    <w:rPr>
      <w:rFonts w:eastAsiaTheme="majorEastAsia" w:cstheme="majorBidi"/>
      <w:b/>
      <w:i/>
      <w:iCs/>
      <w:color w:val="4D4DB8"/>
      <w:sz w:val="20"/>
      <w:szCs w:val="26"/>
    </w:rPr>
  </w:style>
  <w:style w:type="character" w:customStyle="1" w:styleId="Heading7Char">
    <w:name w:val="Heading 7 Char"/>
    <w:basedOn w:val="DefaultParagraphFont"/>
    <w:link w:val="Heading7"/>
    <w:uiPriority w:val="99"/>
    <w:semiHidden/>
    <w:rsid w:val="00A7504E"/>
    <w:rPr>
      <w:rFonts w:eastAsiaTheme="majorEastAsia" w:cstheme="majorBidi"/>
      <w:b/>
      <w:color w:val="4D4DB8"/>
      <w:sz w:val="20"/>
      <w:szCs w:val="26"/>
    </w:rPr>
  </w:style>
  <w:style w:type="character" w:customStyle="1" w:styleId="Heading8Char">
    <w:name w:val="Heading 8 Char"/>
    <w:basedOn w:val="DefaultParagraphFont"/>
    <w:link w:val="Heading8"/>
    <w:uiPriority w:val="99"/>
    <w:semiHidden/>
    <w:rsid w:val="00A7504E"/>
    <w:rPr>
      <w:rFonts w:eastAsiaTheme="majorEastAsia" w:cstheme="majorBidi"/>
      <w:color w:val="4D4DB8"/>
      <w:sz w:val="20"/>
      <w:szCs w:val="21"/>
    </w:rPr>
  </w:style>
  <w:style w:type="character" w:customStyle="1" w:styleId="Heading9Char">
    <w:name w:val="Heading 9 Char"/>
    <w:basedOn w:val="DefaultParagraphFont"/>
    <w:link w:val="Heading9"/>
    <w:uiPriority w:val="99"/>
    <w:semiHidden/>
    <w:rsid w:val="00A7504E"/>
    <w:rPr>
      <w:rFonts w:eastAsiaTheme="majorEastAsia" w:cstheme="majorBidi"/>
      <w:iCs/>
      <w:color w:val="4D4DB8"/>
      <w:sz w:val="20"/>
      <w:szCs w:val="21"/>
    </w:rPr>
  </w:style>
  <w:style w:type="paragraph" w:customStyle="1" w:styleId="Heading1nonumber">
    <w:name w:val="Heading 1 no number"/>
    <w:basedOn w:val="Heading1"/>
    <w:next w:val="BodyText"/>
    <w:link w:val="Heading1nonumberChar"/>
    <w:uiPriority w:val="2"/>
    <w:qFormat/>
    <w:rsid w:val="00FB3068"/>
    <w:pPr>
      <w:numPr>
        <w:numId w:val="0"/>
      </w:numPr>
    </w:pPr>
  </w:style>
  <w:style w:type="paragraph" w:customStyle="1" w:styleId="Heading2nonumber">
    <w:name w:val="Heading 2 no number"/>
    <w:basedOn w:val="Heading2"/>
    <w:next w:val="BodyText"/>
    <w:uiPriority w:val="4"/>
    <w:qFormat/>
    <w:rsid w:val="00C66BAD"/>
    <w:pPr>
      <w:numPr>
        <w:ilvl w:val="0"/>
        <w:numId w:val="0"/>
      </w:numPr>
    </w:pPr>
  </w:style>
  <w:style w:type="paragraph" w:customStyle="1" w:styleId="Appendix">
    <w:name w:val="Appendix"/>
    <w:basedOn w:val="Heading1"/>
    <w:uiPriority w:val="99"/>
    <w:semiHidden/>
    <w:qFormat/>
    <w:locked/>
    <w:rsid w:val="0033455F"/>
    <w:pPr>
      <w:numPr>
        <w:numId w:val="6"/>
      </w:numPr>
      <w:spacing w:after="0"/>
    </w:pPr>
  </w:style>
  <w:style w:type="character" w:styleId="PlaceholderText">
    <w:name w:val="Placeholder Text"/>
    <w:basedOn w:val="DefaultParagraphFont"/>
    <w:uiPriority w:val="99"/>
    <w:semiHidden/>
    <w:locked/>
    <w:rsid w:val="00720C59"/>
    <w:rPr>
      <w:color w:val="808080"/>
    </w:rPr>
  </w:style>
  <w:style w:type="paragraph" w:customStyle="1" w:styleId="TableHeading">
    <w:name w:val="Table Heading"/>
    <w:basedOn w:val="Normal"/>
    <w:uiPriority w:val="99"/>
    <w:semiHidden/>
    <w:qFormat/>
    <w:locked/>
    <w:rsid w:val="00401DFB"/>
    <w:pPr>
      <w:framePr w:hSpace="181" w:wrap="around" w:vAnchor="text" w:hAnchor="text" w:y="1"/>
      <w:suppressOverlap/>
    </w:pPr>
    <w:rPr>
      <w:rFonts w:cs="Calibri"/>
      <w:b/>
      <w:color w:val="FFFFFF" w:themeColor="background1"/>
      <w:sz w:val="20"/>
    </w:rPr>
  </w:style>
  <w:style w:type="paragraph" w:customStyle="1" w:styleId="AppendixHeading1">
    <w:name w:val="Appendix Heading 1"/>
    <w:basedOn w:val="Heading1nonumber"/>
    <w:next w:val="Normal"/>
    <w:link w:val="AppendixHeading1Char"/>
    <w:qFormat/>
    <w:locked/>
    <w:rsid w:val="009E6EAE"/>
  </w:style>
  <w:style w:type="paragraph" w:styleId="BodyText">
    <w:name w:val="Body Text"/>
    <w:basedOn w:val="Normal"/>
    <w:link w:val="BodyTextChar"/>
    <w:qFormat/>
    <w:rsid w:val="001F17C8"/>
  </w:style>
  <w:style w:type="character" w:customStyle="1" w:styleId="BodyTextChar">
    <w:name w:val="Body Text Char"/>
    <w:basedOn w:val="DefaultParagraphFont"/>
    <w:link w:val="BodyText"/>
    <w:rsid w:val="007A43BA"/>
    <w:rPr>
      <w:rFonts w:ascii="Calibri" w:hAnsi="Calibri"/>
    </w:rPr>
  </w:style>
  <w:style w:type="paragraph" w:customStyle="1" w:styleId="AppendixHeading">
    <w:name w:val="Appendix Heading"/>
    <w:basedOn w:val="AppendixSubheadings"/>
    <w:link w:val="AppendixHeadingChar"/>
    <w:uiPriority w:val="99"/>
    <w:semiHidden/>
    <w:qFormat/>
    <w:locked/>
    <w:rsid w:val="00BA00B7"/>
    <w:pPr>
      <w:numPr>
        <w:numId w:val="7"/>
      </w:numPr>
    </w:pPr>
    <w:rPr>
      <w:szCs w:val="28"/>
    </w:rPr>
  </w:style>
  <w:style w:type="character" w:customStyle="1" w:styleId="Heading1nonumberChar">
    <w:name w:val="Heading 1 no number Char"/>
    <w:basedOn w:val="Heading1Char"/>
    <w:link w:val="Heading1nonumber"/>
    <w:uiPriority w:val="2"/>
    <w:rsid w:val="007A43BA"/>
    <w:rPr>
      <w:rFonts w:ascii="Calibri" w:eastAsiaTheme="majorEastAsia" w:hAnsi="Calibri" w:cstheme="majorBidi"/>
      <w:b/>
      <w:color w:val="000099"/>
      <w:sz w:val="40"/>
      <w:szCs w:val="32"/>
    </w:rPr>
  </w:style>
  <w:style w:type="character" w:customStyle="1" w:styleId="AppendixHeadingChar">
    <w:name w:val="Appendix Heading Char"/>
    <w:basedOn w:val="Heading1nonumberChar"/>
    <w:link w:val="AppendixHeading"/>
    <w:uiPriority w:val="99"/>
    <w:semiHidden/>
    <w:rsid w:val="00A7504E"/>
    <w:rPr>
      <w:rFonts w:ascii="Calibri" w:eastAsiaTheme="majorEastAsia" w:hAnsi="Calibri" w:cstheme="majorBidi"/>
      <w:b/>
      <w:color w:val="000099"/>
      <w:sz w:val="28"/>
      <w:szCs w:val="28"/>
    </w:rPr>
  </w:style>
  <w:style w:type="character" w:customStyle="1" w:styleId="Mention1">
    <w:name w:val="Mention1"/>
    <w:basedOn w:val="DefaultParagraphFont"/>
    <w:uiPriority w:val="99"/>
    <w:semiHidden/>
    <w:locked/>
    <w:rsid w:val="00D776E8"/>
    <w:rPr>
      <w:color w:val="2B579A"/>
      <w:shd w:val="clear" w:color="auto" w:fill="E6E6E6"/>
    </w:rPr>
  </w:style>
  <w:style w:type="paragraph" w:customStyle="1" w:styleId="AppendixSubheadings">
    <w:name w:val="Appendix Sub headings"/>
    <w:basedOn w:val="Normal"/>
    <w:next w:val="AppendixHeading1"/>
    <w:link w:val="AppendixSubheadingsChar"/>
    <w:uiPriority w:val="99"/>
    <w:semiHidden/>
    <w:locked/>
    <w:rsid w:val="009E6EAE"/>
    <w:rPr>
      <w:b/>
      <w:color w:val="000099"/>
      <w:sz w:val="28"/>
    </w:rPr>
  </w:style>
  <w:style w:type="character" w:customStyle="1" w:styleId="AppendixSubheadingsChar">
    <w:name w:val="Appendix Sub headings Char"/>
    <w:basedOn w:val="DefaultParagraphFont"/>
    <w:link w:val="AppendixSubheadings"/>
    <w:uiPriority w:val="99"/>
    <w:semiHidden/>
    <w:rsid w:val="00A7504E"/>
    <w:rPr>
      <w:rFonts w:ascii="Calibri" w:hAnsi="Calibri"/>
      <w:b/>
      <w:color w:val="000099"/>
      <w:sz w:val="28"/>
    </w:rPr>
  </w:style>
  <w:style w:type="character" w:customStyle="1" w:styleId="Mention">
    <w:name w:val="Mention"/>
    <w:basedOn w:val="DefaultParagraphFont"/>
    <w:uiPriority w:val="99"/>
    <w:semiHidden/>
    <w:locked/>
    <w:rsid w:val="007A1857"/>
    <w:rPr>
      <w:color w:val="2B579A"/>
      <w:shd w:val="clear" w:color="auto" w:fill="E6E6E6"/>
    </w:rPr>
  </w:style>
  <w:style w:type="character" w:styleId="FollowedHyperlink">
    <w:name w:val="FollowedHyperlink"/>
    <w:basedOn w:val="Hyperlink"/>
    <w:uiPriority w:val="99"/>
    <w:locked/>
    <w:rsid w:val="00964AB4"/>
    <w:rPr>
      <w:rFonts w:ascii="Calibri" w:hAnsi="Calibri"/>
      <w:i/>
      <w:color w:val="0000FF"/>
      <w:sz w:val="22"/>
      <w:u w:val="single"/>
    </w:rPr>
  </w:style>
  <w:style w:type="paragraph" w:customStyle="1" w:styleId="B-Table-portrait">
    <w:name w:val="B - Table - portrait"/>
    <w:basedOn w:val="TableHeading"/>
    <w:next w:val="BodyText"/>
    <w:uiPriority w:val="99"/>
    <w:semiHidden/>
    <w:locked/>
    <w:rsid w:val="00C03B0F"/>
    <w:pPr>
      <w:framePr w:wrap="around"/>
    </w:pPr>
  </w:style>
  <w:style w:type="character" w:customStyle="1" w:styleId="SmartHyperlink">
    <w:name w:val="Smart Hyperlink"/>
    <w:basedOn w:val="DefaultParagraphFont"/>
    <w:uiPriority w:val="99"/>
    <w:semiHidden/>
    <w:locked/>
    <w:rsid w:val="00D22CE2"/>
    <w:rPr>
      <w:u w:val="dotted"/>
    </w:rPr>
  </w:style>
  <w:style w:type="paragraph" w:customStyle="1" w:styleId="Heading3-nonumber">
    <w:name w:val="Heading 3 - no number"/>
    <w:basedOn w:val="Heading3"/>
    <w:next w:val="BodyText"/>
    <w:link w:val="Heading3-nonumberChar"/>
    <w:uiPriority w:val="6"/>
    <w:qFormat/>
    <w:rsid w:val="00C33951"/>
    <w:pPr>
      <w:numPr>
        <w:ilvl w:val="0"/>
        <w:numId w:val="0"/>
      </w:numPr>
    </w:pPr>
  </w:style>
  <w:style w:type="paragraph" w:customStyle="1" w:styleId="TextStyle-new">
    <w:name w:val="Text Style - new"/>
    <w:basedOn w:val="BodyText"/>
    <w:link w:val="TextStyle-newChar"/>
    <w:uiPriority w:val="99"/>
    <w:semiHidden/>
    <w:qFormat/>
    <w:locked/>
    <w:rsid w:val="00E30A0E"/>
    <w:pPr>
      <w:spacing w:before="60" w:after="60"/>
    </w:pPr>
    <w:rPr>
      <w:sz w:val="20"/>
    </w:rPr>
  </w:style>
  <w:style w:type="character" w:customStyle="1" w:styleId="Heading3-nonumberChar">
    <w:name w:val="Heading 3 - no number Char"/>
    <w:basedOn w:val="Heading3Char"/>
    <w:link w:val="Heading3-nonumber"/>
    <w:uiPriority w:val="6"/>
    <w:rsid w:val="007A43BA"/>
    <w:rPr>
      <w:rFonts w:ascii="Calibri" w:eastAsiaTheme="majorEastAsia" w:hAnsi="Calibri" w:cstheme="majorBidi"/>
      <w:b/>
      <w:color w:val="4D4DB8"/>
      <w:sz w:val="24"/>
      <w:szCs w:val="26"/>
    </w:rPr>
  </w:style>
  <w:style w:type="character" w:customStyle="1" w:styleId="TextStyle-newChar">
    <w:name w:val="Text Style - new Char"/>
    <w:basedOn w:val="BodyTextChar"/>
    <w:link w:val="TextStyle-new"/>
    <w:uiPriority w:val="99"/>
    <w:semiHidden/>
    <w:rsid w:val="00A7504E"/>
    <w:rPr>
      <w:rFonts w:ascii="Calibri" w:hAnsi="Calibri"/>
      <w:sz w:val="20"/>
    </w:rPr>
  </w:style>
  <w:style w:type="paragraph" w:customStyle="1" w:styleId="AppendixToC">
    <w:name w:val="Appendix ToC"/>
    <w:basedOn w:val="TOC1"/>
    <w:uiPriority w:val="99"/>
    <w:semiHidden/>
    <w:locked/>
    <w:rsid w:val="00A77E8B"/>
    <w:pPr>
      <w:tabs>
        <w:tab w:val="clear" w:pos="482"/>
      </w:tabs>
      <w:ind w:left="1276" w:hanging="1038"/>
    </w:pPr>
    <w:rPr>
      <w:b w:val="0"/>
      <w:noProof/>
      <w:color w:val="4D4DB8"/>
    </w:rPr>
  </w:style>
  <w:style w:type="paragraph" w:styleId="TOC4">
    <w:name w:val="toc 4"/>
    <w:aliases w:val="Table of appendices"/>
    <w:basedOn w:val="Normal"/>
    <w:next w:val="Normal"/>
    <w:autoRedefine/>
    <w:uiPriority w:val="39"/>
    <w:locked/>
    <w:rsid w:val="00496CD5"/>
    <w:pPr>
      <w:tabs>
        <w:tab w:val="left" w:pos="1540"/>
        <w:tab w:val="right" w:leader="dot" w:pos="9022"/>
      </w:tabs>
      <w:spacing w:after="100"/>
      <w:ind w:left="1276" w:hanging="1276"/>
    </w:pPr>
    <w:rPr>
      <w:noProof/>
      <w:color w:val="4D4DB8"/>
    </w:rPr>
  </w:style>
  <w:style w:type="table" w:customStyle="1" w:styleId="BE-table">
    <w:name w:val="BE - table"/>
    <w:basedOn w:val="TableGrid"/>
    <w:uiPriority w:val="99"/>
    <w:rsid w:val="008C1916"/>
    <w:pPr>
      <w:spacing w:before="60" w:after="60"/>
    </w:pPr>
    <w:rPr>
      <w:sz w:val="20"/>
      <w:szCs w:val="20"/>
      <w:lang w:eastAsia="en-AU"/>
    </w:rPr>
    <w:tblPr>
      <w:tbl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insideH w:val="single" w:sz="4" w:space="0" w:color="B7B7E2" w:themeColor="accent1" w:themeTint="66"/>
        <w:insideV w:val="single" w:sz="4" w:space="0" w:color="B7B7E2" w:themeColor="accent1" w:themeTint="66"/>
      </w:tblBorders>
    </w:tblPr>
    <w:tblStylePr w:type="firstRow">
      <w:pPr>
        <w:wordWrap/>
        <w:spacing w:beforeLines="60" w:before="60" w:beforeAutospacing="0" w:afterLines="60" w:after="60" w:afterAutospacing="0" w:line="240" w:lineRule="auto"/>
        <w:ind w:leftChars="0" w:left="0" w:rightChars="0" w:right="0" w:firstLineChars="0" w:firstLine="0"/>
        <w:contextualSpacing w:val="0"/>
        <w:mirrorIndents w:val="0"/>
        <w:jc w:val="left"/>
        <w:outlineLvl w:val="9"/>
      </w:pPr>
      <w:rPr>
        <w:b/>
        <w:color w:val="FFFFFF" w:themeColor="background1"/>
      </w:rPr>
      <w:tblPr/>
      <w:trPr>
        <w:cantSplit/>
        <w:tblHeader/>
      </w:trPr>
      <w:tcPr>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insideH w:val="single" w:sz="4" w:space="0" w:color="B7B7E2" w:themeColor="accent1" w:themeTint="66"/>
          <w:insideV w:val="single" w:sz="4" w:space="0" w:color="B7B7E2" w:themeColor="accent1" w:themeTint="66"/>
          <w:tl2br w:val="nil"/>
          <w:tr2bl w:val="nil"/>
        </w:tcBorders>
        <w:shd w:val="clear" w:color="auto" w:fill="B7B7E2" w:themeFill="accent1" w:themeFillTint="66"/>
      </w:tcPr>
    </w:tblStylePr>
    <w:tblStylePr w:type="lastRow">
      <w:rPr>
        <w:b w:val="0"/>
        <w:bCs/>
        <w:color w:val="auto"/>
      </w:rPr>
      <w:tblPr/>
      <w:tcPr>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insideH w:val="single" w:sz="4" w:space="0" w:color="B7B7E2" w:themeColor="accent1" w:themeTint="66"/>
          <w:insideV w:val="single" w:sz="4" w:space="0" w:color="B7B7E2" w:themeColor="accent1" w:themeTint="66"/>
          <w:tl2br w:val="none" w:sz="0" w:space="0" w:color="auto"/>
          <w:tr2bl w:val="none" w:sz="0" w:space="0" w:color="auto"/>
        </w:tcBorders>
        <w:shd w:val="clear" w:color="auto" w:fill="auto"/>
      </w:tcPr>
    </w:tblStylePr>
    <w:tblStylePr w:type="firstCol">
      <w:pPr>
        <w:jc w:val="left"/>
      </w:pPr>
      <w:tblPr/>
      <w:tcPr>
        <w:vAlign w:val="center"/>
      </w:tcPr>
    </w:tblStylePr>
    <w:tblStylePr w:type="lastCol">
      <w:rPr>
        <w:b w:val="0"/>
        <w:bCs/>
        <w:color w:val="auto"/>
      </w:rPr>
      <w:tblPr/>
      <w:tcPr>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insideH w:val="single" w:sz="4" w:space="0" w:color="B7B7E2" w:themeColor="accent1" w:themeTint="66"/>
          <w:insideV w:val="single" w:sz="4" w:space="0" w:color="B7B7E2" w:themeColor="accent1" w:themeTint="66"/>
          <w:tl2br w:val="nil"/>
          <w:tr2bl w:val="nil"/>
        </w:tcBorders>
        <w:shd w:val="clear" w:color="auto" w:fill="auto"/>
      </w:tcPr>
    </w:tblStylePr>
  </w:style>
  <w:style w:type="table" w:styleId="TableGrid4">
    <w:name w:val="Table Grid 4"/>
    <w:basedOn w:val="TableNormal"/>
    <w:uiPriority w:val="99"/>
    <w:semiHidden/>
    <w:unhideWhenUsed/>
    <w:locked/>
    <w:rsid w:val="00AF028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styleId="ListNumber3">
    <w:name w:val="List Number 3"/>
    <w:basedOn w:val="Normal"/>
    <w:uiPriority w:val="1"/>
    <w:qFormat/>
    <w:locked/>
    <w:rsid w:val="00601CB2"/>
    <w:pPr>
      <w:numPr>
        <w:numId w:val="2"/>
      </w:numPr>
      <w:contextualSpacing/>
    </w:pPr>
  </w:style>
  <w:style w:type="paragraph" w:customStyle="1" w:styleId="PointsBulletsSRU">
    <w:name w:val="_PointsBullets (SRU)"/>
    <w:basedOn w:val="Normal"/>
    <w:link w:val="PointsBulletsSRUChar"/>
    <w:rsid w:val="00601CB2"/>
    <w:pPr>
      <w:keepNext/>
      <w:numPr>
        <w:numId w:val="8"/>
      </w:numPr>
      <w:spacing w:after="120"/>
    </w:pPr>
    <w:rPr>
      <w:rFonts w:eastAsia="Times New Roman" w:cs="Times New Roman"/>
      <w:sz w:val="20"/>
      <w:szCs w:val="20"/>
      <w:lang w:eastAsia="en-AU"/>
    </w:rPr>
  </w:style>
  <w:style w:type="paragraph" w:styleId="BodyTextIndent">
    <w:name w:val="Body Text Indent"/>
    <w:basedOn w:val="Normal"/>
    <w:link w:val="BodyTextIndentChar"/>
    <w:semiHidden/>
    <w:locked/>
    <w:rsid w:val="00601CB2"/>
    <w:pPr>
      <w:tabs>
        <w:tab w:val="left" w:pos="1134"/>
      </w:tabs>
      <w:suppressAutoHyphens/>
      <w:overflowPunct w:val="0"/>
      <w:autoSpaceDE w:val="0"/>
      <w:autoSpaceDN w:val="0"/>
      <w:adjustRightInd w:val="0"/>
      <w:spacing w:before="120" w:line="260" w:lineRule="atLeast"/>
      <w:ind w:left="1134" w:hanging="1134"/>
      <w:jc w:val="both"/>
      <w:textAlignment w:val="baseline"/>
    </w:pPr>
    <w:rPr>
      <w:rFonts w:ascii="Century Schoolbook" w:eastAsia="Times New Roman" w:hAnsi="Century Schoolbook" w:cstheme="minorHAnsi"/>
      <w:color w:val="0D0D0D" w:themeColor="text1" w:themeTint="F2"/>
      <w:spacing w:val="-3"/>
      <w:sz w:val="20"/>
      <w:szCs w:val="20"/>
    </w:rPr>
  </w:style>
  <w:style w:type="character" w:customStyle="1" w:styleId="BodyTextIndentChar">
    <w:name w:val="Body Text Indent Char"/>
    <w:basedOn w:val="DefaultParagraphFont"/>
    <w:link w:val="BodyTextIndent"/>
    <w:semiHidden/>
    <w:rsid w:val="00601CB2"/>
    <w:rPr>
      <w:rFonts w:ascii="Century Schoolbook" w:eastAsia="Times New Roman" w:hAnsi="Century Schoolbook" w:cstheme="minorHAnsi"/>
      <w:color w:val="0D0D0D" w:themeColor="text1" w:themeTint="F2"/>
      <w:spacing w:val="-3"/>
      <w:sz w:val="20"/>
      <w:szCs w:val="20"/>
    </w:rPr>
  </w:style>
  <w:style w:type="paragraph" w:customStyle="1" w:styleId="AppendixSection">
    <w:name w:val="Appendix Section"/>
    <w:basedOn w:val="Normal"/>
    <w:rsid w:val="00601CB2"/>
    <w:pPr>
      <w:jc w:val="both"/>
    </w:pPr>
    <w:rPr>
      <w:rFonts w:ascii="Arial Rounded MT Bold" w:eastAsia="Times New Roman" w:hAnsi="Arial Rounded MT Bold" w:cstheme="minorHAnsi"/>
      <w:color w:val="000099" w:themeColor="text2"/>
      <w:sz w:val="36"/>
      <w:szCs w:val="36"/>
    </w:rPr>
  </w:style>
  <w:style w:type="paragraph" w:styleId="BodyTextIndent2">
    <w:name w:val="Body Text Indent 2"/>
    <w:basedOn w:val="Normal"/>
    <w:link w:val="BodyTextIndent2Char"/>
    <w:semiHidden/>
    <w:locked/>
    <w:rsid w:val="00601CB2"/>
    <w:pPr>
      <w:spacing w:after="120" w:line="480" w:lineRule="auto"/>
      <w:ind w:left="283"/>
    </w:pPr>
    <w:rPr>
      <w:rFonts w:eastAsia="Times New Roman" w:cstheme="minorHAnsi"/>
      <w:color w:val="0D0D0D" w:themeColor="text1" w:themeTint="F2"/>
      <w:sz w:val="20"/>
    </w:rPr>
  </w:style>
  <w:style w:type="character" w:customStyle="1" w:styleId="BodyTextIndent2Char">
    <w:name w:val="Body Text Indent 2 Char"/>
    <w:basedOn w:val="DefaultParagraphFont"/>
    <w:link w:val="BodyTextIndent2"/>
    <w:semiHidden/>
    <w:rsid w:val="00601CB2"/>
    <w:rPr>
      <w:rFonts w:eastAsia="Times New Roman" w:cstheme="minorHAnsi"/>
      <w:color w:val="0D0D0D" w:themeColor="text1" w:themeTint="F2"/>
      <w:sz w:val="20"/>
    </w:rPr>
  </w:style>
  <w:style w:type="table" w:styleId="TableList3">
    <w:name w:val="Table List 3"/>
    <w:basedOn w:val="TableNormal"/>
    <w:locked/>
    <w:rsid w:val="00601CB2"/>
    <w:rPr>
      <w:rFonts w:eastAsia="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AppendixSectionHolder">
    <w:name w:val="Appendix Section Holder"/>
    <w:qFormat/>
    <w:rsid w:val="00601CB2"/>
    <w:pPr>
      <w:pageBreakBefore/>
      <w:spacing w:after="3840"/>
    </w:pPr>
    <w:rPr>
      <w:rFonts w:asciiTheme="minorHAnsi" w:eastAsia="Times New Roman" w:hAnsiTheme="minorHAnsi" w:cs="Arial"/>
      <w:color w:val="000000" w:themeColor="text1"/>
      <w:sz w:val="20"/>
      <w:szCs w:val="36"/>
    </w:rPr>
  </w:style>
  <w:style w:type="paragraph" w:styleId="TOC5">
    <w:name w:val="toc 5"/>
    <w:basedOn w:val="Normal"/>
    <w:next w:val="Normal"/>
    <w:autoRedefine/>
    <w:semiHidden/>
    <w:locked/>
    <w:rsid w:val="00601CB2"/>
    <w:pPr>
      <w:spacing w:line="260" w:lineRule="atLeast"/>
      <w:ind w:left="960"/>
    </w:pPr>
    <w:rPr>
      <w:rFonts w:eastAsia="Times New Roman" w:cstheme="minorHAnsi"/>
      <w:color w:val="0D0D0D" w:themeColor="text1" w:themeTint="F2"/>
      <w:sz w:val="18"/>
      <w:szCs w:val="18"/>
    </w:rPr>
  </w:style>
  <w:style w:type="paragraph" w:styleId="TOC6">
    <w:name w:val="toc 6"/>
    <w:basedOn w:val="Normal"/>
    <w:next w:val="Normal"/>
    <w:autoRedefine/>
    <w:semiHidden/>
    <w:locked/>
    <w:rsid w:val="00601CB2"/>
    <w:pPr>
      <w:spacing w:line="260" w:lineRule="atLeast"/>
      <w:ind w:left="1200"/>
    </w:pPr>
    <w:rPr>
      <w:rFonts w:eastAsia="Times New Roman" w:cstheme="minorHAnsi"/>
      <w:color w:val="0D0D0D" w:themeColor="text1" w:themeTint="F2"/>
      <w:sz w:val="18"/>
      <w:szCs w:val="18"/>
    </w:rPr>
  </w:style>
  <w:style w:type="paragraph" w:styleId="TOC7">
    <w:name w:val="toc 7"/>
    <w:basedOn w:val="Normal"/>
    <w:next w:val="Normal"/>
    <w:autoRedefine/>
    <w:semiHidden/>
    <w:locked/>
    <w:rsid w:val="00601CB2"/>
    <w:pPr>
      <w:spacing w:line="260" w:lineRule="atLeast"/>
      <w:ind w:left="1440"/>
    </w:pPr>
    <w:rPr>
      <w:rFonts w:eastAsia="Times New Roman" w:cstheme="minorHAnsi"/>
      <w:color w:val="0D0D0D" w:themeColor="text1" w:themeTint="F2"/>
      <w:sz w:val="18"/>
      <w:szCs w:val="18"/>
    </w:rPr>
  </w:style>
  <w:style w:type="paragraph" w:styleId="TOC8">
    <w:name w:val="toc 8"/>
    <w:basedOn w:val="Normal"/>
    <w:next w:val="Normal"/>
    <w:autoRedefine/>
    <w:semiHidden/>
    <w:locked/>
    <w:rsid w:val="00601CB2"/>
    <w:pPr>
      <w:spacing w:line="260" w:lineRule="atLeast"/>
      <w:ind w:left="1680"/>
    </w:pPr>
    <w:rPr>
      <w:rFonts w:eastAsia="Times New Roman" w:cstheme="minorHAnsi"/>
      <w:color w:val="0D0D0D" w:themeColor="text1" w:themeTint="F2"/>
      <w:sz w:val="18"/>
      <w:szCs w:val="18"/>
    </w:rPr>
  </w:style>
  <w:style w:type="paragraph" w:styleId="TOC9">
    <w:name w:val="toc 9"/>
    <w:basedOn w:val="Normal"/>
    <w:next w:val="Normal"/>
    <w:autoRedefine/>
    <w:semiHidden/>
    <w:locked/>
    <w:rsid w:val="00601CB2"/>
    <w:pPr>
      <w:spacing w:line="260" w:lineRule="atLeast"/>
      <w:ind w:left="1920"/>
    </w:pPr>
    <w:rPr>
      <w:rFonts w:eastAsia="Times New Roman" w:cstheme="minorHAnsi"/>
      <w:color w:val="0D0D0D" w:themeColor="text1" w:themeTint="F2"/>
      <w:sz w:val="18"/>
      <w:szCs w:val="18"/>
    </w:rPr>
  </w:style>
  <w:style w:type="paragraph" w:styleId="NormalWeb">
    <w:name w:val="Normal (Web)"/>
    <w:basedOn w:val="Normal"/>
    <w:uiPriority w:val="99"/>
    <w:semiHidden/>
    <w:locked/>
    <w:rsid w:val="00601CB2"/>
    <w:pPr>
      <w:spacing w:before="100" w:beforeAutospacing="1" w:after="100" w:afterAutospacing="1" w:line="260" w:lineRule="atLeast"/>
    </w:pPr>
    <w:rPr>
      <w:rFonts w:eastAsia="Times New Roman" w:cstheme="minorHAnsi"/>
      <w:color w:val="0D0D0D" w:themeColor="text1" w:themeTint="F2"/>
      <w:sz w:val="20"/>
    </w:rPr>
  </w:style>
  <w:style w:type="paragraph" w:customStyle="1" w:styleId="Tables">
    <w:name w:val="Tables"/>
    <w:basedOn w:val="Normal"/>
    <w:semiHidden/>
    <w:qFormat/>
    <w:rsid w:val="00601CB2"/>
    <w:pPr>
      <w:tabs>
        <w:tab w:val="left" w:pos="2835"/>
      </w:tabs>
      <w:spacing w:after="120" w:line="260" w:lineRule="atLeast"/>
      <w:ind w:left="1395" w:hanging="1395"/>
    </w:pPr>
    <w:rPr>
      <w:rFonts w:ascii="Arial" w:eastAsia="Times New Roman" w:hAnsi="Arial" w:cstheme="minorHAnsi"/>
      <w:b/>
      <w:color w:val="0000FF"/>
      <w:sz w:val="20"/>
      <w:szCs w:val="20"/>
    </w:rPr>
  </w:style>
  <w:style w:type="paragraph" w:customStyle="1" w:styleId="Figures">
    <w:name w:val="Figures"/>
    <w:basedOn w:val="Tables"/>
    <w:autoRedefine/>
    <w:uiPriority w:val="2"/>
    <w:rsid w:val="00601CB2"/>
    <w:pPr>
      <w:tabs>
        <w:tab w:val="clear" w:pos="2835"/>
      </w:tabs>
      <w:ind w:left="992" w:right="-142" w:hanging="992"/>
    </w:pPr>
    <w:rPr>
      <w:rFonts w:asciiTheme="minorHAnsi" w:hAnsiTheme="minorHAnsi" w:cs="Calibri"/>
      <w:sz w:val="22"/>
      <w:szCs w:val="22"/>
    </w:rPr>
  </w:style>
  <w:style w:type="paragraph" w:customStyle="1" w:styleId="Titlepagetext">
    <w:name w:val="Title page text"/>
    <w:basedOn w:val="Normal"/>
    <w:link w:val="TitlepagetextChar"/>
    <w:semiHidden/>
    <w:qFormat/>
    <w:rsid w:val="00601CB2"/>
    <w:pPr>
      <w:spacing w:before="2280"/>
    </w:pPr>
    <w:rPr>
      <w:rFonts w:ascii="Arial Rounded MT Bold" w:eastAsia="Times New Roman" w:hAnsi="Arial Rounded MT Bold" w:cs="Arial"/>
      <w:b/>
      <w:color w:val="0000FF"/>
      <w:sz w:val="20"/>
      <w:szCs w:val="20"/>
    </w:rPr>
  </w:style>
  <w:style w:type="character" w:customStyle="1" w:styleId="TitlepagetextChar">
    <w:name w:val="Title page text Char"/>
    <w:basedOn w:val="DefaultParagraphFont"/>
    <w:link w:val="Titlepagetext"/>
    <w:semiHidden/>
    <w:rsid w:val="00601CB2"/>
    <w:rPr>
      <w:rFonts w:ascii="Arial Rounded MT Bold" w:eastAsia="Times New Roman" w:hAnsi="Arial Rounded MT Bold" w:cs="Arial"/>
      <w:b/>
      <w:color w:val="0000FF"/>
      <w:sz w:val="20"/>
      <w:szCs w:val="20"/>
    </w:rPr>
  </w:style>
  <w:style w:type="paragraph" w:customStyle="1" w:styleId="Subsubtitle">
    <w:name w:val="Subsubtitle"/>
    <w:link w:val="SubsubtitleChar"/>
    <w:semiHidden/>
    <w:qFormat/>
    <w:rsid w:val="00601CB2"/>
    <w:rPr>
      <w:rFonts w:ascii="Arial Rounded MT Bold" w:eastAsia="Times New Roman" w:hAnsi="Arial Rounded MT Bold" w:cs="Arial"/>
      <w:b/>
      <w:color w:val="0000FF"/>
      <w:sz w:val="20"/>
    </w:rPr>
  </w:style>
  <w:style w:type="paragraph" w:customStyle="1" w:styleId="Contentsheader">
    <w:name w:val="Contents header"/>
    <w:basedOn w:val="Normal"/>
    <w:link w:val="ContentsheaderChar"/>
    <w:rsid w:val="00601CB2"/>
    <w:pPr>
      <w:spacing w:after="240"/>
    </w:pPr>
    <w:rPr>
      <w:rFonts w:ascii="Arial Rounded MT Bold" w:eastAsia="Times New Roman" w:hAnsi="Arial Rounded MT Bold" w:cs="Arial"/>
      <w:b/>
      <w:color w:val="0000FF"/>
      <w:sz w:val="36"/>
      <w:szCs w:val="28"/>
    </w:rPr>
  </w:style>
  <w:style w:type="character" w:customStyle="1" w:styleId="SubsubtitleChar">
    <w:name w:val="Subsubtitle Char"/>
    <w:basedOn w:val="DefaultParagraphFont"/>
    <w:link w:val="Subsubtitle"/>
    <w:semiHidden/>
    <w:rsid w:val="00601CB2"/>
    <w:rPr>
      <w:rFonts w:ascii="Arial Rounded MT Bold" w:eastAsia="Times New Roman" w:hAnsi="Arial Rounded MT Bold" w:cs="Arial"/>
      <w:b/>
      <w:color w:val="0000FF"/>
      <w:sz w:val="20"/>
    </w:rPr>
  </w:style>
  <w:style w:type="character" w:customStyle="1" w:styleId="ContentsheaderChar">
    <w:name w:val="Contents header Char"/>
    <w:basedOn w:val="DefaultParagraphFont"/>
    <w:link w:val="Contentsheader"/>
    <w:rsid w:val="00601CB2"/>
    <w:rPr>
      <w:rFonts w:ascii="Arial Rounded MT Bold" w:eastAsia="Times New Roman" w:hAnsi="Arial Rounded MT Bold" w:cs="Arial"/>
      <w:b/>
      <w:color w:val="0000FF"/>
      <w:sz w:val="36"/>
      <w:szCs w:val="28"/>
    </w:rPr>
  </w:style>
  <w:style w:type="paragraph" w:customStyle="1" w:styleId="BlueEnvironmentblurb">
    <w:name w:val="Blue Environment blurb"/>
    <w:basedOn w:val="Normal"/>
    <w:link w:val="BlueEnvironmentblurbChar"/>
    <w:semiHidden/>
    <w:rsid w:val="00601CB2"/>
    <w:pPr>
      <w:spacing w:line="260" w:lineRule="atLeast"/>
      <w:jc w:val="right"/>
    </w:pPr>
    <w:rPr>
      <w:rFonts w:ascii="Arial Rounded MT Bold" w:eastAsia="Times New Roman" w:hAnsi="Arial Rounded MT Bold" w:cstheme="minorHAnsi"/>
      <w:color w:val="7F7F7F" w:themeColor="text1" w:themeTint="80"/>
      <w:sz w:val="18"/>
      <w:lang w:val="en-GB"/>
    </w:rPr>
  </w:style>
  <w:style w:type="table" w:customStyle="1" w:styleId="BETable1">
    <w:name w:val="BE Table 1"/>
    <w:basedOn w:val="TableNormal"/>
    <w:uiPriority w:val="99"/>
    <w:qFormat/>
    <w:rsid w:val="00601CB2"/>
    <w:rPr>
      <w:rFonts w:eastAsia="Times New Roman" w:cs="Times New Roman"/>
      <w:sz w:val="20"/>
      <w:szCs w:val="20"/>
      <w:lang w:eastAsia="en-AU"/>
    </w:rPr>
    <w:tblPr>
      <w:tblInd w:w="57" w:type="dxa"/>
      <w:tblBorders>
        <w:top w:val="single" w:sz="4" w:space="0" w:color="E7E6E6" w:themeColor="background2"/>
        <w:bottom w:val="single" w:sz="4" w:space="0" w:color="808080" w:themeColor="background1" w:themeShade="80"/>
        <w:insideH w:val="single" w:sz="4" w:space="0" w:color="E7E6E6" w:themeColor="background2"/>
      </w:tblBorders>
      <w:tblCellMar>
        <w:top w:w="28" w:type="dxa"/>
        <w:bottom w:w="28" w:type="dxa"/>
      </w:tblCellMar>
    </w:tblPr>
    <w:tcPr>
      <w:tcMar>
        <w:left w:w="57" w:type="dxa"/>
        <w:right w:w="57" w:type="dxa"/>
      </w:tcMar>
    </w:tcPr>
    <w:tblStylePr w:type="firstRow">
      <w:rPr>
        <w:rFonts w:ascii="Calibri" w:hAnsi="Calibri"/>
        <w:b/>
        <w:i w:val="0"/>
        <w:sz w:val="20"/>
      </w:rPr>
      <w:tblPr/>
      <w:tcPr>
        <w:tcBorders>
          <w:top w:val="single" w:sz="4" w:space="0" w:color="E7E6E6"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E7E6E6" w:themeColor="background2"/>
        </w:tcBorders>
      </w:tcPr>
    </w:tblStylePr>
    <w:tblStylePr w:type="firstCol">
      <w:rPr>
        <w:rFonts w:ascii="Calibri" w:hAnsi="Calibri"/>
        <w:sz w:val="20"/>
      </w:rPr>
    </w:tblStylePr>
  </w:style>
  <w:style w:type="character" w:customStyle="1" w:styleId="BlueEnvironmentblurbChar">
    <w:name w:val="Blue Environment blurb Char"/>
    <w:basedOn w:val="DefaultParagraphFont"/>
    <w:link w:val="BlueEnvironmentblurb"/>
    <w:semiHidden/>
    <w:rsid w:val="00601CB2"/>
    <w:rPr>
      <w:rFonts w:ascii="Arial Rounded MT Bold" w:eastAsia="Times New Roman" w:hAnsi="Arial Rounded MT Bold" w:cstheme="minorHAnsi"/>
      <w:color w:val="7F7F7F" w:themeColor="text1" w:themeTint="80"/>
      <w:sz w:val="18"/>
      <w:lang w:val="en-GB"/>
    </w:rPr>
  </w:style>
  <w:style w:type="paragraph" w:customStyle="1" w:styleId="AppendixHeading2">
    <w:name w:val="Appendix Heading 2"/>
    <w:next w:val="BodyText"/>
    <w:uiPriority w:val="2"/>
    <w:qFormat/>
    <w:rsid w:val="00601CB2"/>
    <w:pPr>
      <w:spacing w:after="240"/>
    </w:pPr>
    <w:rPr>
      <w:rFonts w:ascii="Arial Rounded MT Bold" w:eastAsia="Times New Roman" w:hAnsi="Arial Rounded MT Bold" w:cs="Arial"/>
      <w:color w:val="0000FF"/>
      <w:sz w:val="28"/>
      <w:szCs w:val="28"/>
    </w:rPr>
  </w:style>
  <w:style w:type="paragraph" w:customStyle="1" w:styleId="AppendixHeading3">
    <w:name w:val="Appendix Heading 3"/>
    <w:next w:val="BodyText"/>
    <w:uiPriority w:val="2"/>
    <w:qFormat/>
    <w:rsid w:val="00601CB2"/>
    <w:pPr>
      <w:spacing w:after="120"/>
    </w:pPr>
    <w:rPr>
      <w:rFonts w:ascii="Arial Rounded MT Bold" w:eastAsia="Times New Roman" w:hAnsi="Arial Rounded MT Bold" w:cs="Arial"/>
      <w:color w:val="0000FF"/>
    </w:rPr>
  </w:style>
  <w:style w:type="character" w:customStyle="1" w:styleId="AppendixHeading1Char">
    <w:name w:val="Appendix Heading 1 Char"/>
    <w:basedOn w:val="DefaultParagraphFont"/>
    <w:link w:val="AppendixHeading1"/>
    <w:rsid w:val="00601CB2"/>
    <w:rPr>
      <w:rFonts w:eastAsiaTheme="majorEastAsia" w:cstheme="majorBidi"/>
      <w:b/>
      <w:color w:val="000099"/>
      <w:sz w:val="40"/>
      <w:szCs w:val="32"/>
    </w:rPr>
  </w:style>
  <w:style w:type="character" w:styleId="BookTitle">
    <w:name w:val="Book Title"/>
    <w:basedOn w:val="DefaultParagraphFont"/>
    <w:uiPriority w:val="33"/>
    <w:semiHidden/>
    <w:locked/>
    <w:rsid w:val="00601CB2"/>
    <w:rPr>
      <w:b/>
      <w:bCs/>
      <w:smallCaps/>
      <w:spacing w:val="5"/>
    </w:rPr>
  </w:style>
  <w:style w:type="numbering" w:customStyle="1" w:styleId="Dotpoints">
    <w:name w:val="Dot points"/>
    <w:uiPriority w:val="99"/>
    <w:rsid w:val="00601CB2"/>
    <w:pPr>
      <w:numPr>
        <w:numId w:val="11"/>
      </w:numPr>
    </w:pPr>
  </w:style>
  <w:style w:type="numbering" w:customStyle="1" w:styleId="BEList">
    <w:name w:val="BE_List"/>
    <w:uiPriority w:val="99"/>
    <w:rsid w:val="00601CB2"/>
    <w:pPr>
      <w:numPr>
        <w:numId w:val="12"/>
      </w:numPr>
    </w:pPr>
  </w:style>
  <w:style w:type="character" w:customStyle="1" w:styleId="Bullet2Char">
    <w:name w:val="Bullet 2 Char"/>
    <w:basedOn w:val="DefaultParagraphFont"/>
    <w:rsid w:val="00601CB2"/>
    <w:rPr>
      <w:rFonts w:asciiTheme="minorHAnsi" w:hAnsiTheme="minorHAnsi" w:cstheme="minorHAnsi"/>
      <w:sz w:val="22"/>
      <w:szCs w:val="22"/>
      <w:lang w:eastAsia="en-US"/>
    </w:rPr>
  </w:style>
  <w:style w:type="character" w:customStyle="1" w:styleId="ListParagraphChar">
    <w:name w:val="List Paragraph Char"/>
    <w:basedOn w:val="DefaultParagraphFont"/>
    <w:link w:val="ListParagraph"/>
    <w:uiPriority w:val="34"/>
    <w:rsid w:val="00601CB2"/>
  </w:style>
  <w:style w:type="paragraph" w:customStyle="1" w:styleId="AppendixH1Line2">
    <w:name w:val="Appendix H1 Line 2"/>
    <w:basedOn w:val="BodyText"/>
    <w:uiPriority w:val="3"/>
    <w:rsid w:val="00601CB2"/>
    <w:rPr>
      <w:rFonts w:eastAsia="Times New Roman" w:cstheme="minorHAnsi"/>
      <w:color w:val="080808"/>
    </w:rPr>
  </w:style>
  <w:style w:type="paragraph" w:customStyle="1" w:styleId="AppendixSectionnumber">
    <w:name w:val="Appendix Section number"/>
    <w:link w:val="AppendixSectionnumberChar"/>
    <w:qFormat/>
    <w:rsid w:val="00601CB2"/>
    <w:pPr>
      <w:pBdr>
        <w:bottom w:val="single" w:sz="4" w:space="1" w:color="0000FF"/>
      </w:pBdr>
      <w:ind w:left="851" w:hanging="851"/>
    </w:pPr>
    <w:rPr>
      <w:rFonts w:ascii="Arial Rounded MT Bold" w:eastAsia="Times New Roman" w:hAnsi="Arial Rounded MT Bold" w:cs="Arial"/>
      <w:color w:val="0000FF"/>
      <w:spacing w:val="-10"/>
      <w:kern w:val="28"/>
      <w:sz w:val="36"/>
      <w:szCs w:val="36"/>
    </w:rPr>
  </w:style>
  <w:style w:type="character" w:customStyle="1" w:styleId="AppendixSectionnumberChar">
    <w:name w:val="Appendix Section number Char"/>
    <w:basedOn w:val="TitleChar"/>
    <w:link w:val="AppendixSectionnumber"/>
    <w:rsid w:val="00601CB2"/>
    <w:rPr>
      <w:rFonts w:ascii="Arial Rounded MT Bold" w:eastAsia="Times New Roman" w:hAnsi="Arial Rounded MT Bold" w:cs="Arial"/>
      <w:b w:val="0"/>
      <w:color w:val="0000FF"/>
      <w:spacing w:val="-10"/>
      <w:kern w:val="28"/>
      <w:sz w:val="36"/>
      <w:szCs w:val="36"/>
    </w:rPr>
  </w:style>
  <w:style w:type="character" w:customStyle="1" w:styleId="Grey">
    <w:name w:val="Grey"/>
    <w:basedOn w:val="DefaultParagraphFont"/>
    <w:semiHidden/>
    <w:rsid w:val="00601CB2"/>
    <w:rPr>
      <w:color w:val="A6A6A6" w:themeColor="background1" w:themeShade="A6"/>
    </w:rPr>
  </w:style>
  <w:style w:type="paragraph" w:customStyle="1" w:styleId="Client">
    <w:name w:val="Client"/>
    <w:next w:val="Titlepagetext"/>
    <w:semiHidden/>
    <w:rsid w:val="00601CB2"/>
    <w:pPr>
      <w:spacing w:after="3360"/>
    </w:pPr>
    <w:rPr>
      <w:rFonts w:ascii="Arial Rounded MT Bold" w:eastAsia="Times New Roman" w:hAnsi="Arial Rounded MT Bold" w:cs="Arial"/>
      <w:b/>
      <w:color w:val="000099" w:themeColor="text2"/>
      <w:sz w:val="36"/>
      <w:szCs w:val="36"/>
    </w:rPr>
  </w:style>
  <w:style w:type="paragraph" w:customStyle="1" w:styleId="Title2">
    <w:name w:val="Title2"/>
    <w:semiHidden/>
    <w:qFormat/>
    <w:rsid w:val="00601CB2"/>
    <w:pPr>
      <w:spacing w:after="240" w:line="260" w:lineRule="atLeast"/>
    </w:pPr>
    <w:rPr>
      <w:rFonts w:ascii="Arial Rounded MT Bold" w:eastAsia="Times New Roman" w:hAnsi="Arial Rounded MT Bold" w:cs="Arial"/>
      <w:color w:val="0000FF"/>
      <w:sz w:val="28"/>
      <w:szCs w:val="28"/>
    </w:rPr>
  </w:style>
  <w:style w:type="paragraph" w:customStyle="1" w:styleId="DisclaimerHeading">
    <w:name w:val="Disclaimer Heading"/>
    <w:semiHidden/>
    <w:rsid w:val="00601CB2"/>
    <w:pPr>
      <w:spacing w:before="1080"/>
    </w:pPr>
    <w:rPr>
      <w:rFonts w:eastAsia="Times New Roman" w:cs="Arial"/>
      <w:b/>
      <w:color w:val="0000FF"/>
      <w:sz w:val="20"/>
      <w:szCs w:val="20"/>
    </w:rPr>
  </w:style>
  <w:style w:type="paragraph" w:customStyle="1" w:styleId="DisclaimerText">
    <w:name w:val="Disclaimer Text"/>
    <w:semiHidden/>
    <w:rsid w:val="00601CB2"/>
    <w:pPr>
      <w:spacing w:after="120"/>
    </w:pPr>
    <w:rPr>
      <w:rFonts w:eastAsia="Times New Roman" w:cs="Arial"/>
      <w:sz w:val="18"/>
      <w:szCs w:val="18"/>
    </w:rPr>
  </w:style>
  <w:style w:type="paragraph" w:customStyle="1" w:styleId="Copyright">
    <w:name w:val="Copyright"/>
    <w:semiHidden/>
    <w:rsid w:val="00601CB2"/>
    <w:pPr>
      <w:spacing w:before="840" w:after="560"/>
    </w:pPr>
    <w:rPr>
      <w:rFonts w:eastAsia="Times New Roman" w:cs="Arial"/>
      <w:sz w:val="18"/>
      <w:szCs w:val="18"/>
    </w:rPr>
  </w:style>
  <w:style w:type="paragraph" w:customStyle="1" w:styleId="AuthorHeading">
    <w:name w:val="Author Heading"/>
    <w:basedOn w:val="Titlepagetext"/>
    <w:semiHidden/>
    <w:rsid w:val="00601CB2"/>
    <w:pPr>
      <w:spacing w:before="520"/>
      <w:jc w:val="right"/>
    </w:pPr>
  </w:style>
  <w:style w:type="paragraph" w:customStyle="1" w:styleId="BEAddress">
    <w:name w:val="BE_Address"/>
    <w:semiHidden/>
    <w:rsid w:val="00601CB2"/>
    <w:pPr>
      <w:framePr w:w="8826" w:h="1894" w:hRule="exact" w:hSpace="181" w:wrap="around" w:vAnchor="page" w:hAnchor="page" w:x="1986" w:y="11505"/>
      <w:ind w:right="-47"/>
      <w:jc w:val="right"/>
    </w:pPr>
    <w:rPr>
      <w:rFonts w:eastAsia="Times New Roman" w:cstheme="minorHAnsi"/>
      <w:sz w:val="20"/>
      <w:lang w:val="en-GB"/>
    </w:rPr>
  </w:style>
  <w:style w:type="paragraph" w:customStyle="1" w:styleId="Footernoline">
    <w:name w:val="Footer_no line"/>
    <w:basedOn w:val="Footer"/>
    <w:semiHidden/>
    <w:rsid w:val="00601CB2"/>
    <w:pPr>
      <w:pBdr>
        <w:top w:val="none" w:sz="0" w:space="0" w:color="auto"/>
      </w:pBdr>
      <w:tabs>
        <w:tab w:val="clear" w:pos="9072"/>
        <w:tab w:val="center" w:pos="4678"/>
        <w:tab w:val="right" w:pos="9356"/>
      </w:tabs>
      <w:spacing w:after="0"/>
    </w:pPr>
    <w:rPr>
      <w:rFonts w:ascii="Calibri" w:eastAsia="Times New Roman" w:hAnsi="Calibri" w:cstheme="minorHAnsi"/>
      <w:color w:val="7F7F7F" w:themeColor="text1" w:themeTint="80"/>
    </w:rPr>
  </w:style>
  <w:style w:type="table" w:customStyle="1" w:styleId="BETable2">
    <w:name w:val="BE Table 2"/>
    <w:basedOn w:val="BETable1"/>
    <w:uiPriority w:val="99"/>
    <w:qFormat/>
    <w:rsid w:val="00601CB2"/>
    <w:tblPr>
      <w:tblBorders>
        <w:top w:val="none" w:sz="0" w:space="0" w:color="auto"/>
        <w:left w:val="single" w:sz="4" w:space="0" w:color="E7E6E6" w:themeColor="background2"/>
        <w:bottom w:val="single" w:sz="4" w:space="0" w:color="E7E6E6" w:themeColor="background2"/>
        <w:right w:val="single" w:sz="4" w:space="0" w:color="E7E6E6" w:themeColor="background2"/>
        <w:insideH w:val="none" w:sz="0" w:space="0" w:color="auto"/>
      </w:tblBorders>
      <w:tblCellMar>
        <w:left w:w="57" w:type="dxa"/>
        <w:right w:w="57" w:type="dxa"/>
      </w:tblCellMar>
    </w:tblPr>
    <w:tblStylePr w:type="firstRow">
      <w:rPr>
        <w:rFonts w:ascii="Calibri" w:hAnsi="Calibri"/>
        <w:b/>
        <w:i w:val="0"/>
        <w:sz w:val="20"/>
      </w:rPr>
      <w:tblPr/>
      <w:tcPr>
        <w:tc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nil"/>
          <w:insideV w:val="nil"/>
          <w:tl2br w:val="nil"/>
          <w:tr2bl w:val="nil"/>
        </w:tcBorders>
      </w:tcPr>
    </w:tblStylePr>
    <w:tblStylePr w:type="lastRow">
      <w:rPr>
        <w:rFonts w:ascii="Calibri" w:hAnsi="Calibri"/>
        <w:sz w:val="20"/>
      </w:rPr>
      <w:tblPr/>
      <w:tcPr>
        <w:tcBorders>
          <w:bottom w:val="single" w:sz="4" w:space="0" w:color="E7E6E6" w:themeColor="background2"/>
        </w:tcBorders>
      </w:tcPr>
    </w:tblStylePr>
    <w:tblStylePr w:type="firstCol">
      <w:rPr>
        <w:rFonts w:ascii="Calibri" w:hAnsi="Calibri"/>
        <w:sz w:val="20"/>
      </w:rPr>
      <w:tblPr/>
      <w:tcPr>
        <w:tcMar>
          <w:top w:w="0" w:type="nil"/>
          <w:left w:w="108" w:type="dxa"/>
          <w:bottom w:w="0" w:type="nil"/>
          <w:right w:w="0" w:type="nil"/>
        </w:tcMar>
      </w:tcPr>
    </w:tblStylePr>
  </w:style>
  <w:style w:type="paragraph" w:customStyle="1" w:styleId="SectionHeader">
    <w:name w:val="Section Header"/>
    <w:next w:val="BodyText"/>
    <w:qFormat/>
    <w:rsid w:val="00601CB2"/>
    <w:pPr>
      <w:spacing w:after="360"/>
    </w:pPr>
    <w:rPr>
      <w:rFonts w:ascii="Arial Rounded MT Bold" w:eastAsia="Times New Roman" w:hAnsi="Arial Rounded MT Bold" w:cs="Arial"/>
      <w:color w:val="0000FF"/>
      <w:sz w:val="36"/>
      <w:szCs w:val="36"/>
    </w:rPr>
  </w:style>
  <w:style w:type="paragraph" w:customStyle="1" w:styleId="FigureTableinfo">
    <w:name w:val="Figure/Table info"/>
    <w:uiPriority w:val="2"/>
    <w:rsid w:val="00601CB2"/>
    <w:pPr>
      <w:spacing w:before="80"/>
    </w:pPr>
    <w:rPr>
      <w:rFonts w:eastAsia="Times New Roman" w:cs="Arial"/>
      <w:i/>
      <w:color w:val="0000FF"/>
      <w:sz w:val="20"/>
      <w:szCs w:val="20"/>
    </w:rPr>
  </w:style>
  <w:style w:type="paragraph" w:customStyle="1" w:styleId="FooterLandscape">
    <w:name w:val="Footer Landscape"/>
    <w:basedOn w:val="Footer"/>
    <w:semiHidden/>
    <w:qFormat/>
    <w:rsid w:val="00601CB2"/>
    <w:pPr>
      <w:pBdr>
        <w:top w:val="single" w:sz="4" w:space="1" w:color="808080" w:themeColor="background1" w:themeShade="80"/>
      </w:pBdr>
      <w:tabs>
        <w:tab w:val="clear" w:pos="9072"/>
        <w:tab w:val="center" w:pos="7909"/>
        <w:tab w:val="right" w:pos="14600"/>
      </w:tabs>
      <w:spacing w:after="0"/>
    </w:pPr>
    <w:rPr>
      <w:rFonts w:ascii="Calibri" w:eastAsia="Times New Roman" w:hAnsi="Calibri" w:cstheme="minorHAnsi"/>
      <w:color w:val="7F7F7F" w:themeColor="text1" w:themeTint="80"/>
    </w:rPr>
  </w:style>
  <w:style w:type="paragraph" w:customStyle="1" w:styleId="TOCHeadings">
    <w:name w:val="TOC Headings"/>
    <w:qFormat/>
    <w:rsid w:val="00601CB2"/>
    <w:rPr>
      <w:rFonts w:ascii="Arial Rounded MT Bold" w:eastAsia="Times New Roman" w:hAnsi="Arial Rounded MT Bold" w:cs="Arial"/>
      <w:b/>
      <w:color w:val="0000FF"/>
      <w:sz w:val="20"/>
    </w:rPr>
  </w:style>
  <w:style w:type="paragraph" w:styleId="ListNumber2">
    <w:name w:val="List Number 2"/>
    <w:basedOn w:val="Normal"/>
    <w:uiPriority w:val="1"/>
    <w:qFormat/>
    <w:locked/>
    <w:rsid w:val="00601CB2"/>
    <w:pPr>
      <w:contextualSpacing/>
    </w:pPr>
    <w:rPr>
      <w:rFonts w:eastAsia="Times New Roman" w:cstheme="minorHAnsi"/>
      <w:color w:val="0D0D0D" w:themeColor="text1" w:themeTint="F2"/>
    </w:rPr>
  </w:style>
  <w:style w:type="paragraph" w:customStyle="1" w:styleId="Draft">
    <w:name w:val="Draft"/>
    <w:basedOn w:val="Titlepagetext"/>
    <w:uiPriority w:val="2"/>
    <w:rsid w:val="00601CB2"/>
    <w:pPr>
      <w:spacing w:before="0"/>
    </w:pPr>
  </w:style>
  <w:style w:type="paragraph" w:customStyle="1" w:styleId="Reviewer">
    <w:name w:val="Reviewer"/>
    <w:uiPriority w:val="2"/>
    <w:rsid w:val="00601CB2"/>
    <w:pPr>
      <w:spacing w:before="360"/>
      <w:jc w:val="right"/>
    </w:pPr>
    <w:rPr>
      <w:rFonts w:eastAsia="Times New Roman" w:cs="Arial"/>
      <w:b/>
      <w:color w:val="0000FF"/>
      <w:sz w:val="20"/>
      <w:szCs w:val="20"/>
    </w:rPr>
  </w:style>
  <w:style w:type="paragraph" w:customStyle="1" w:styleId="AuthorName">
    <w:name w:val="Author Name"/>
    <w:uiPriority w:val="2"/>
    <w:rsid w:val="00601CB2"/>
    <w:pPr>
      <w:jc w:val="right"/>
    </w:pPr>
    <w:rPr>
      <w:rFonts w:eastAsia="Times New Roman" w:cstheme="minorHAnsi"/>
      <w:color w:val="0D0D0D" w:themeColor="text1" w:themeTint="F2"/>
      <w:sz w:val="20"/>
    </w:rPr>
  </w:style>
  <w:style w:type="paragraph" w:customStyle="1" w:styleId="Appendixheading0">
    <w:name w:val="Appendix heading"/>
    <w:next w:val="BodyText"/>
    <w:link w:val="AppendixheadingChar0"/>
    <w:qFormat/>
    <w:rsid w:val="00601CB2"/>
    <w:pPr>
      <w:spacing w:after="240"/>
      <w:ind w:left="720" w:hanging="720"/>
    </w:pPr>
    <w:rPr>
      <w:rFonts w:ascii="Arial Rounded MT Bold" w:eastAsia="Times New Roman" w:hAnsi="Arial Rounded MT Bold" w:cs="Arial"/>
      <w:color w:val="0000FF"/>
      <w:sz w:val="36"/>
      <w:szCs w:val="36"/>
    </w:rPr>
  </w:style>
  <w:style w:type="character" w:customStyle="1" w:styleId="AppendixheadingChar0">
    <w:name w:val="Appendix heading Char"/>
    <w:basedOn w:val="DefaultParagraphFont"/>
    <w:link w:val="Appendixheading0"/>
    <w:rsid w:val="00601CB2"/>
    <w:rPr>
      <w:rFonts w:ascii="Arial Rounded MT Bold" w:eastAsia="Times New Roman" w:hAnsi="Arial Rounded MT Bold" w:cs="Arial"/>
      <w:color w:val="0000FF"/>
      <w:sz w:val="36"/>
      <w:szCs w:val="36"/>
    </w:rPr>
  </w:style>
  <w:style w:type="paragraph" w:customStyle="1" w:styleId="ParaIndent">
    <w:name w:val="_ParaIndent"/>
    <w:basedOn w:val="BodyText"/>
    <w:link w:val="ParaIndentChar"/>
    <w:rsid w:val="00601CB2"/>
    <w:pPr>
      <w:spacing w:after="240" w:line="260" w:lineRule="atLeast"/>
      <w:ind w:left="1134"/>
    </w:pPr>
    <w:rPr>
      <w:rFonts w:ascii="Arial" w:eastAsia="Times New Roman" w:hAnsi="Arial" w:cs="Times New Roman"/>
      <w:sz w:val="20"/>
      <w:szCs w:val="20"/>
      <w:lang w:val="en-GB"/>
    </w:rPr>
  </w:style>
  <w:style w:type="character" w:customStyle="1" w:styleId="ParaIndentChar">
    <w:name w:val="_ParaIndent Char"/>
    <w:basedOn w:val="DefaultParagraphFont"/>
    <w:link w:val="ParaIndent"/>
    <w:rsid w:val="00601CB2"/>
    <w:rPr>
      <w:rFonts w:ascii="Arial" w:eastAsia="Times New Roman" w:hAnsi="Arial" w:cs="Times New Roman"/>
      <w:sz w:val="20"/>
      <w:szCs w:val="20"/>
      <w:lang w:val="en-GB"/>
    </w:rPr>
  </w:style>
  <w:style w:type="character" w:customStyle="1" w:styleId="apple-converted-space">
    <w:name w:val="apple-converted-space"/>
    <w:basedOn w:val="DefaultParagraphFont"/>
    <w:rsid w:val="00601CB2"/>
  </w:style>
  <w:style w:type="paragraph" w:customStyle="1" w:styleId="Default">
    <w:name w:val="Default"/>
    <w:rsid w:val="00601CB2"/>
    <w:pPr>
      <w:autoSpaceDE w:val="0"/>
      <w:autoSpaceDN w:val="0"/>
      <w:adjustRightInd w:val="0"/>
    </w:pPr>
    <w:rPr>
      <w:rFonts w:cs="Calibri"/>
      <w:color w:val="000000"/>
      <w:sz w:val="24"/>
      <w:szCs w:val="24"/>
    </w:rPr>
  </w:style>
  <w:style w:type="character" w:styleId="CommentReference">
    <w:name w:val="annotation reference"/>
    <w:basedOn w:val="DefaultParagraphFont"/>
    <w:semiHidden/>
    <w:unhideWhenUsed/>
    <w:locked/>
    <w:rsid w:val="00601CB2"/>
    <w:rPr>
      <w:sz w:val="16"/>
      <w:szCs w:val="16"/>
    </w:rPr>
  </w:style>
  <w:style w:type="paragraph" w:styleId="CommentText">
    <w:name w:val="annotation text"/>
    <w:basedOn w:val="Normal"/>
    <w:link w:val="CommentTextChar"/>
    <w:semiHidden/>
    <w:unhideWhenUsed/>
    <w:locked/>
    <w:rsid w:val="00601CB2"/>
    <w:rPr>
      <w:rFonts w:cs="Times New Roman"/>
      <w:sz w:val="20"/>
      <w:szCs w:val="20"/>
      <w:lang w:val="en-US"/>
    </w:rPr>
  </w:style>
  <w:style w:type="character" w:customStyle="1" w:styleId="CommentTextChar">
    <w:name w:val="Comment Text Char"/>
    <w:basedOn w:val="DefaultParagraphFont"/>
    <w:link w:val="CommentText"/>
    <w:semiHidden/>
    <w:rsid w:val="00601CB2"/>
    <w:rPr>
      <w:rFonts w:cs="Times New Roman"/>
      <w:sz w:val="20"/>
      <w:szCs w:val="20"/>
      <w:lang w:val="en-US"/>
    </w:rPr>
  </w:style>
  <w:style w:type="paragraph" w:styleId="CommentSubject">
    <w:name w:val="annotation subject"/>
    <w:basedOn w:val="CommentText"/>
    <w:next w:val="CommentText"/>
    <w:link w:val="CommentSubjectChar"/>
    <w:semiHidden/>
    <w:locked/>
    <w:rsid w:val="00601CB2"/>
    <w:rPr>
      <w:rFonts w:eastAsia="Times New Roman" w:cstheme="minorHAnsi"/>
      <w:b/>
      <w:bCs/>
      <w:color w:val="0D0D0D" w:themeColor="text1" w:themeTint="F2"/>
      <w:lang w:val="en-AU"/>
    </w:rPr>
  </w:style>
  <w:style w:type="character" w:customStyle="1" w:styleId="CommentSubjectChar">
    <w:name w:val="Comment Subject Char"/>
    <w:basedOn w:val="CommentTextChar"/>
    <w:link w:val="CommentSubject"/>
    <w:semiHidden/>
    <w:rsid w:val="00601CB2"/>
    <w:rPr>
      <w:rFonts w:eastAsia="Times New Roman" w:cstheme="minorHAnsi"/>
      <w:b/>
      <w:bCs/>
      <w:color w:val="0D0D0D" w:themeColor="text1" w:themeTint="F2"/>
      <w:sz w:val="20"/>
      <w:szCs w:val="20"/>
      <w:lang w:val="en-US"/>
    </w:rPr>
  </w:style>
  <w:style w:type="paragraph" w:customStyle="1" w:styleId="xl92">
    <w:name w:val="xl92"/>
    <w:basedOn w:val="Normal"/>
    <w:rsid w:val="00601CB2"/>
    <w:pPr>
      <w:shd w:val="clear" w:color="000000" w:fill="1F497D"/>
      <w:spacing w:before="100" w:beforeAutospacing="1" w:after="100" w:afterAutospacing="1"/>
    </w:pPr>
    <w:rPr>
      <w:rFonts w:ascii="Times New Roman" w:eastAsia="Times New Roman" w:hAnsi="Times New Roman" w:cs="Times New Roman"/>
      <w:color w:val="FFFFFF"/>
      <w:sz w:val="24"/>
      <w:szCs w:val="24"/>
      <w:lang w:eastAsia="en-AU"/>
    </w:rPr>
  </w:style>
  <w:style w:type="paragraph" w:customStyle="1" w:styleId="xl93">
    <w:name w:val="xl93"/>
    <w:basedOn w:val="Normal"/>
    <w:rsid w:val="00601CB2"/>
    <w:pPr>
      <w:pBdr>
        <w:left w:val="single" w:sz="4" w:space="0" w:color="808080"/>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94">
    <w:name w:val="xl94"/>
    <w:basedOn w:val="Normal"/>
    <w:rsid w:val="00601CB2"/>
    <w:pPr>
      <w:shd w:val="clear" w:color="000000" w:fill="F2F2F2"/>
      <w:spacing w:before="100" w:beforeAutospacing="1" w:after="100" w:afterAutospacing="1"/>
    </w:pPr>
    <w:rPr>
      <w:rFonts w:ascii="Times New Roman" w:eastAsia="Times New Roman" w:hAnsi="Times New Roman" w:cs="Times New Roman"/>
      <w:sz w:val="24"/>
      <w:szCs w:val="24"/>
      <w:lang w:eastAsia="en-AU"/>
    </w:rPr>
  </w:style>
  <w:style w:type="paragraph" w:customStyle="1" w:styleId="xl95">
    <w:name w:val="xl95"/>
    <w:basedOn w:val="Normal"/>
    <w:rsid w:val="00601CB2"/>
    <w:pPr>
      <w:shd w:val="clear" w:color="000000" w:fill="F2F2F2"/>
      <w:spacing w:before="100" w:beforeAutospacing="1" w:after="100" w:afterAutospacing="1"/>
      <w:jc w:val="center"/>
      <w:textAlignment w:val="center"/>
    </w:pPr>
    <w:rPr>
      <w:rFonts w:ascii="Times New Roman" w:eastAsia="Times New Roman" w:hAnsi="Times New Roman" w:cs="Times New Roman"/>
      <w:color w:val="000000"/>
      <w:sz w:val="24"/>
      <w:szCs w:val="24"/>
      <w:lang w:eastAsia="en-AU"/>
    </w:rPr>
  </w:style>
  <w:style w:type="paragraph" w:customStyle="1" w:styleId="xl96">
    <w:name w:val="xl96"/>
    <w:basedOn w:val="Normal"/>
    <w:rsid w:val="00601CB2"/>
    <w:pPr>
      <w:shd w:val="clear" w:color="000000" w:fill="F2F2F2"/>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97">
    <w:name w:val="xl97"/>
    <w:basedOn w:val="Normal"/>
    <w:rsid w:val="00601CB2"/>
    <w:pPr>
      <w:pBdr>
        <w:right w:val="single" w:sz="4" w:space="0" w:color="808080"/>
      </w:pBdr>
      <w:shd w:val="clear" w:color="000000" w:fill="F2F2F2"/>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98">
    <w:name w:val="xl98"/>
    <w:basedOn w:val="Normal"/>
    <w:rsid w:val="00601CB2"/>
    <w:pPr>
      <w:shd w:val="clear" w:color="000000" w:fill="F2F2F2"/>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99">
    <w:name w:val="xl99"/>
    <w:basedOn w:val="Normal"/>
    <w:rsid w:val="00601CB2"/>
    <w:pPr>
      <w:shd w:val="clear" w:color="000000" w:fill="F2F2F2"/>
      <w:spacing w:before="100" w:beforeAutospacing="1" w:after="100" w:afterAutospacing="1"/>
      <w:textAlignment w:val="top"/>
    </w:pPr>
    <w:rPr>
      <w:rFonts w:ascii="Times New Roman" w:eastAsia="Times New Roman" w:hAnsi="Times New Roman" w:cs="Times New Roman"/>
      <w:b/>
      <w:bCs/>
      <w:sz w:val="24"/>
      <w:szCs w:val="24"/>
      <w:lang w:eastAsia="en-AU"/>
    </w:rPr>
  </w:style>
  <w:style w:type="paragraph" w:customStyle="1" w:styleId="xl100">
    <w:name w:val="xl100"/>
    <w:basedOn w:val="Normal"/>
    <w:rsid w:val="00601CB2"/>
    <w:pPr>
      <w:shd w:val="clear" w:color="000000" w:fill="F2F2F2"/>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01">
    <w:name w:val="xl101"/>
    <w:basedOn w:val="Normal"/>
    <w:rsid w:val="00601CB2"/>
    <w:pPr>
      <w:shd w:val="clear" w:color="000000" w:fill="F2F2F2"/>
      <w:spacing w:before="100" w:beforeAutospacing="1" w:after="100" w:afterAutospacing="1"/>
      <w:textAlignment w:val="top"/>
    </w:pPr>
    <w:rPr>
      <w:rFonts w:ascii="Times New Roman" w:eastAsia="Times New Roman" w:hAnsi="Times New Roman" w:cs="Times New Roman"/>
      <w:color w:val="000000"/>
      <w:sz w:val="24"/>
      <w:szCs w:val="24"/>
      <w:lang w:eastAsia="en-AU"/>
    </w:rPr>
  </w:style>
  <w:style w:type="paragraph" w:customStyle="1" w:styleId="xl102">
    <w:name w:val="xl102"/>
    <w:basedOn w:val="Normal"/>
    <w:rsid w:val="00601CB2"/>
    <w:pPr>
      <w:shd w:val="clear" w:color="000000" w:fill="F2F2F2"/>
      <w:spacing w:before="100" w:beforeAutospacing="1" w:after="100" w:afterAutospacing="1"/>
      <w:textAlignment w:val="top"/>
    </w:pPr>
    <w:rPr>
      <w:rFonts w:ascii="Times New Roman" w:eastAsia="Times New Roman" w:hAnsi="Times New Roman" w:cs="Times New Roman"/>
      <w:b/>
      <w:bCs/>
      <w:color w:val="1F497D"/>
      <w:sz w:val="24"/>
      <w:szCs w:val="24"/>
      <w:lang w:eastAsia="en-AU"/>
    </w:rPr>
  </w:style>
  <w:style w:type="paragraph" w:customStyle="1" w:styleId="xl103">
    <w:name w:val="xl103"/>
    <w:basedOn w:val="Normal"/>
    <w:rsid w:val="00601CB2"/>
    <w:pP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04">
    <w:name w:val="xl104"/>
    <w:basedOn w:val="Normal"/>
    <w:rsid w:val="00601CB2"/>
    <w:pPr>
      <w:pBdr>
        <w:bottom w:val="single" w:sz="4" w:space="0" w:color="808080"/>
      </w:pBdr>
      <w:shd w:val="clear" w:color="000000" w:fill="F2F2F2"/>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05">
    <w:name w:val="xl105"/>
    <w:basedOn w:val="Normal"/>
    <w:rsid w:val="00601CB2"/>
    <w:pPr>
      <w:pBdr>
        <w:bottom w:val="single" w:sz="4" w:space="0" w:color="808080"/>
        <w:right w:val="single" w:sz="4" w:space="0" w:color="808080"/>
      </w:pBdr>
      <w:shd w:val="clear" w:color="000000" w:fill="F2F2F2"/>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06">
    <w:name w:val="xl106"/>
    <w:basedOn w:val="Normal"/>
    <w:rsid w:val="00601CB2"/>
    <w:pPr>
      <w:pBdr>
        <w:top w:val="single" w:sz="4" w:space="0" w:color="808080"/>
      </w:pBdr>
      <w:shd w:val="clear" w:color="000000" w:fill="F2F2F2"/>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07">
    <w:name w:val="xl107"/>
    <w:basedOn w:val="Normal"/>
    <w:rsid w:val="00601CB2"/>
    <w:pPr>
      <w:pBdr>
        <w:top w:val="single" w:sz="4" w:space="0" w:color="808080"/>
        <w:right w:val="single" w:sz="4" w:space="0" w:color="808080"/>
      </w:pBdr>
      <w:shd w:val="clear" w:color="000000" w:fill="F2F2F2"/>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08">
    <w:name w:val="xl108"/>
    <w:basedOn w:val="Normal"/>
    <w:rsid w:val="00601CB2"/>
    <w:pPr>
      <w:pBdr>
        <w:top w:val="single" w:sz="4" w:space="0" w:color="808080"/>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09">
    <w:name w:val="xl109"/>
    <w:basedOn w:val="Normal"/>
    <w:rsid w:val="00601CB2"/>
    <w:pPr>
      <w:shd w:val="clear" w:color="000000" w:fill="F2F2F2"/>
      <w:spacing w:before="100" w:beforeAutospacing="1" w:after="100" w:afterAutospacing="1"/>
      <w:ind w:firstLineChars="300" w:firstLine="300"/>
      <w:jc w:val="right"/>
      <w:textAlignment w:val="top"/>
    </w:pPr>
    <w:rPr>
      <w:rFonts w:ascii="Times New Roman" w:eastAsia="Times New Roman" w:hAnsi="Times New Roman" w:cs="Times New Roman"/>
      <w:i/>
      <w:iCs/>
      <w:lang w:eastAsia="en-AU"/>
    </w:rPr>
  </w:style>
  <w:style w:type="paragraph" w:customStyle="1" w:styleId="xl110">
    <w:name w:val="xl110"/>
    <w:basedOn w:val="Normal"/>
    <w:rsid w:val="00601CB2"/>
    <w:pPr>
      <w:shd w:val="clear" w:color="000000" w:fill="F2F2F2"/>
      <w:spacing w:before="100" w:beforeAutospacing="1" w:after="100" w:afterAutospacing="1"/>
      <w:jc w:val="right"/>
      <w:textAlignment w:val="center"/>
    </w:pPr>
    <w:rPr>
      <w:rFonts w:ascii="Times New Roman" w:eastAsia="Times New Roman" w:hAnsi="Times New Roman" w:cs="Times New Roman"/>
      <w:color w:val="A6A6A6"/>
      <w:sz w:val="24"/>
      <w:szCs w:val="24"/>
      <w:lang w:eastAsia="en-AU"/>
    </w:rPr>
  </w:style>
  <w:style w:type="paragraph" w:customStyle="1" w:styleId="xl111">
    <w:name w:val="xl111"/>
    <w:basedOn w:val="Normal"/>
    <w:rsid w:val="00601CB2"/>
    <w:pPr>
      <w:pBdr>
        <w:top w:val="single" w:sz="4" w:space="0" w:color="808080"/>
      </w:pBdr>
      <w:shd w:val="clear" w:color="000000" w:fill="F2F2F2"/>
      <w:spacing w:before="100" w:beforeAutospacing="1" w:after="100" w:afterAutospacing="1"/>
      <w:textAlignment w:val="center"/>
    </w:pPr>
    <w:rPr>
      <w:rFonts w:ascii="Times New Roman" w:eastAsia="Times New Roman" w:hAnsi="Times New Roman" w:cs="Times New Roman"/>
      <w:color w:val="A6A6A6"/>
      <w:sz w:val="24"/>
      <w:szCs w:val="24"/>
      <w:lang w:eastAsia="en-AU"/>
    </w:rPr>
  </w:style>
  <w:style w:type="paragraph" w:customStyle="1" w:styleId="xl112">
    <w:name w:val="xl112"/>
    <w:basedOn w:val="Normal"/>
    <w:rsid w:val="00601CB2"/>
    <w:pPr>
      <w:shd w:val="clear" w:color="000000" w:fill="F2F2F2"/>
      <w:spacing w:before="100" w:beforeAutospacing="1" w:after="100" w:afterAutospacing="1"/>
      <w:textAlignment w:val="center"/>
    </w:pPr>
    <w:rPr>
      <w:rFonts w:ascii="Times New Roman" w:eastAsia="Times New Roman" w:hAnsi="Times New Roman" w:cs="Times New Roman"/>
      <w:color w:val="A6A6A6"/>
      <w:sz w:val="24"/>
      <w:szCs w:val="24"/>
      <w:lang w:eastAsia="en-AU"/>
    </w:rPr>
  </w:style>
  <w:style w:type="paragraph" w:customStyle="1" w:styleId="xl113">
    <w:name w:val="xl113"/>
    <w:basedOn w:val="Normal"/>
    <w:rsid w:val="00601CB2"/>
    <w:pPr>
      <w:pBdr>
        <w:top w:val="single" w:sz="4" w:space="0" w:color="808080"/>
        <w:left w:val="single" w:sz="4" w:space="0" w:color="808080"/>
      </w:pBdr>
      <w:shd w:val="clear" w:color="000000" w:fill="F2F2F2"/>
      <w:spacing w:before="100" w:beforeAutospacing="1" w:after="100" w:afterAutospacing="1"/>
      <w:jc w:val="right"/>
      <w:textAlignment w:val="center"/>
    </w:pPr>
    <w:rPr>
      <w:rFonts w:ascii="Times New Roman" w:eastAsia="Times New Roman" w:hAnsi="Times New Roman" w:cs="Times New Roman"/>
      <w:color w:val="A6A6A6"/>
      <w:sz w:val="24"/>
      <w:szCs w:val="24"/>
      <w:lang w:eastAsia="en-AU"/>
    </w:rPr>
  </w:style>
  <w:style w:type="paragraph" w:customStyle="1" w:styleId="xl114">
    <w:name w:val="xl114"/>
    <w:basedOn w:val="Normal"/>
    <w:rsid w:val="00601CB2"/>
    <w:pPr>
      <w:pBdr>
        <w:left w:val="single" w:sz="4" w:space="0" w:color="808080"/>
      </w:pBdr>
      <w:shd w:val="clear" w:color="000000" w:fill="F2F2F2"/>
      <w:spacing w:before="100" w:beforeAutospacing="1" w:after="100" w:afterAutospacing="1"/>
      <w:jc w:val="right"/>
      <w:textAlignment w:val="center"/>
    </w:pPr>
    <w:rPr>
      <w:rFonts w:ascii="Times New Roman" w:eastAsia="Times New Roman" w:hAnsi="Times New Roman" w:cs="Times New Roman"/>
      <w:color w:val="A6A6A6"/>
      <w:sz w:val="24"/>
      <w:szCs w:val="24"/>
      <w:lang w:eastAsia="en-AU"/>
    </w:rPr>
  </w:style>
  <w:style w:type="paragraph" w:customStyle="1" w:styleId="xl115">
    <w:name w:val="xl115"/>
    <w:basedOn w:val="Normal"/>
    <w:rsid w:val="00601CB2"/>
    <w:pPr>
      <w:pBdr>
        <w:bottom w:val="single" w:sz="4" w:space="0" w:color="808080"/>
      </w:pBdr>
      <w:shd w:val="clear" w:color="000000" w:fill="F2F2F2"/>
      <w:spacing w:before="100" w:beforeAutospacing="1" w:after="100" w:afterAutospacing="1"/>
      <w:textAlignment w:val="center"/>
    </w:pPr>
    <w:rPr>
      <w:rFonts w:ascii="Times New Roman" w:eastAsia="Times New Roman" w:hAnsi="Times New Roman" w:cs="Times New Roman"/>
      <w:color w:val="A6A6A6"/>
      <w:sz w:val="24"/>
      <w:szCs w:val="24"/>
      <w:lang w:eastAsia="en-AU"/>
    </w:rPr>
  </w:style>
  <w:style w:type="paragraph" w:customStyle="1" w:styleId="xl116">
    <w:name w:val="xl116"/>
    <w:basedOn w:val="Normal"/>
    <w:rsid w:val="00601CB2"/>
    <w:pPr>
      <w:shd w:val="clear" w:color="000000" w:fill="F2F2F2"/>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117">
    <w:name w:val="xl117"/>
    <w:basedOn w:val="Normal"/>
    <w:rsid w:val="00601CB2"/>
    <w:pPr>
      <w:pBdr>
        <w:left w:val="single" w:sz="4" w:space="0" w:color="FF0000"/>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18">
    <w:name w:val="xl118"/>
    <w:basedOn w:val="Normal"/>
    <w:rsid w:val="00601CB2"/>
    <w:pPr>
      <w:pBdr>
        <w:top w:val="single" w:sz="4" w:space="0" w:color="808080"/>
        <w:left w:val="single" w:sz="4" w:space="0" w:color="808080"/>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19">
    <w:name w:val="xl119"/>
    <w:basedOn w:val="Normal"/>
    <w:rsid w:val="00601CB2"/>
    <w:pPr>
      <w:pBdr>
        <w:top w:val="single" w:sz="4" w:space="0" w:color="FF0000"/>
        <w:bottom w:val="single" w:sz="4" w:space="0" w:color="FF0000"/>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20">
    <w:name w:val="xl120"/>
    <w:basedOn w:val="Normal"/>
    <w:rsid w:val="00601CB2"/>
    <w:pPr>
      <w:pBdr>
        <w:top w:val="single" w:sz="4" w:space="0" w:color="FF0000"/>
        <w:bottom w:val="single" w:sz="4" w:space="0" w:color="FF0000"/>
        <w:right w:val="single" w:sz="4" w:space="0" w:color="FF0000"/>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21">
    <w:name w:val="xl121"/>
    <w:basedOn w:val="Normal"/>
    <w:rsid w:val="00601CB2"/>
    <w:pPr>
      <w:pBdr>
        <w:top w:val="single" w:sz="4" w:space="0" w:color="FF0000"/>
        <w:left w:val="single" w:sz="4" w:space="0" w:color="FF0000"/>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22">
    <w:name w:val="xl122"/>
    <w:basedOn w:val="Normal"/>
    <w:rsid w:val="00601CB2"/>
    <w:pPr>
      <w:pBdr>
        <w:top w:val="single" w:sz="4" w:space="0" w:color="FF0000"/>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23">
    <w:name w:val="xl123"/>
    <w:basedOn w:val="Normal"/>
    <w:rsid w:val="00601CB2"/>
    <w:pPr>
      <w:pBdr>
        <w:top w:val="single" w:sz="4" w:space="0" w:color="FF0000"/>
        <w:right w:val="single" w:sz="4" w:space="0" w:color="FF0000"/>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24">
    <w:name w:val="xl124"/>
    <w:basedOn w:val="Normal"/>
    <w:rsid w:val="00601CB2"/>
    <w:pPr>
      <w:pBdr>
        <w:right w:val="single" w:sz="4" w:space="0" w:color="FF0000"/>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25">
    <w:name w:val="xl125"/>
    <w:basedOn w:val="Normal"/>
    <w:rsid w:val="00601CB2"/>
    <w:pPr>
      <w:pBdr>
        <w:left w:val="single" w:sz="4" w:space="0" w:color="FF0000"/>
        <w:bottom w:val="single" w:sz="4" w:space="0" w:color="FF0000"/>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26">
    <w:name w:val="xl126"/>
    <w:basedOn w:val="Normal"/>
    <w:rsid w:val="00601CB2"/>
    <w:pPr>
      <w:pBdr>
        <w:bottom w:val="single" w:sz="4" w:space="0" w:color="FF0000"/>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27">
    <w:name w:val="xl127"/>
    <w:basedOn w:val="Normal"/>
    <w:rsid w:val="00601CB2"/>
    <w:pPr>
      <w:pBdr>
        <w:bottom w:val="single" w:sz="4" w:space="0" w:color="FF0000"/>
        <w:right w:val="single" w:sz="4" w:space="0" w:color="FF0000"/>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28">
    <w:name w:val="xl128"/>
    <w:basedOn w:val="Normal"/>
    <w:rsid w:val="00601CB2"/>
    <w:pPr>
      <w:pBdr>
        <w:top w:val="single" w:sz="4" w:space="0" w:color="FF0000"/>
        <w:left w:val="single" w:sz="4" w:space="0" w:color="FF0000"/>
        <w:bottom w:val="single" w:sz="4" w:space="0" w:color="FF0000"/>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29">
    <w:name w:val="xl129"/>
    <w:basedOn w:val="Normal"/>
    <w:rsid w:val="00601CB2"/>
    <w:pPr>
      <w:pBdr>
        <w:bottom w:val="single" w:sz="4" w:space="0" w:color="808080"/>
      </w:pBdr>
      <w:shd w:val="clear" w:color="000000" w:fill="F2F2F2"/>
      <w:spacing w:before="100" w:beforeAutospacing="1" w:after="100" w:afterAutospacing="1"/>
      <w:jc w:val="right"/>
      <w:textAlignment w:val="center"/>
    </w:pPr>
    <w:rPr>
      <w:rFonts w:ascii="Times New Roman" w:eastAsia="Times New Roman" w:hAnsi="Times New Roman" w:cs="Times New Roman"/>
      <w:color w:val="A6A6A6"/>
      <w:sz w:val="24"/>
      <w:szCs w:val="24"/>
      <w:lang w:eastAsia="en-AU"/>
    </w:rPr>
  </w:style>
  <w:style w:type="paragraph" w:customStyle="1" w:styleId="xl130">
    <w:name w:val="xl130"/>
    <w:basedOn w:val="Normal"/>
    <w:rsid w:val="00601CB2"/>
    <w:pPr>
      <w:shd w:val="clear" w:color="000000" w:fill="1F497D"/>
      <w:spacing w:before="100" w:beforeAutospacing="1" w:after="100" w:afterAutospacing="1"/>
      <w:textAlignment w:val="center"/>
    </w:pPr>
    <w:rPr>
      <w:rFonts w:ascii="Times New Roman" w:eastAsia="Times New Roman" w:hAnsi="Times New Roman" w:cs="Times New Roman"/>
      <w:b/>
      <w:bCs/>
      <w:color w:val="FFFFFF"/>
      <w:sz w:val="24"/>
      <w:szCs w:val="24"/>
      <w:lang w:eastAsia="en-AU"/>
    </w:rPr>
  </w:style>
  <w:style w:type="paragraph" w:customStyle="1" w:styleId="xl131">
    <w:name w:val="xl131"/>
    <w:basedOn w:val="Normal"/>
    <w:rsid w:val="00601CB2"/>
    <w:pPr>
      <w:shd w:val="clear" w:color="000000" w:fill="1F497D"/>
      <w:spacing w:before="100" w:beforeAutospacing="1" w:after="100" w:afterAutospacing="1"/>
      <w:jc w:val="center"/>
      <w:textAlignment w:val="center"/>
    </w:pPr>
    <w:rPr>
      <w:rFonts w:ascii="Times New Roman" w:eastAsia="Times New Roman" w:hAnsi="Times New Roman" w:cs="Times New Roman"/>
      <w:color w:val="FFFFFF"/>
      <w:sz w:val="24"/>
      <w:szCs w:val="24"/>
      <w:lang w:eastAsia="en-AU"/>
    </w:rPr>
  </w:style>
  <w:style w:type="paragraph" w:customStyle="1" w:styleId="xl132">
    <w:name w:val="xl132"/>
    <w:basedOn w:val="Normal"/>
    <w:rsid w:val="00601CB2"/>
    <w:pPr>
      <w:shd w:val="clear" w:color="000000" w:fill="F2F2F2"/>
      <w:spacing w:before="100" w:beforeAutospacing="1" w:after="100" w:afterAutospacing="1"/>
    </w:pPr>
    <w:rPr>
      <w:rFonts w:ascii="Times New Roman" w:eastAsia="Times New Roman" w:hAnsi="Times New Roman" w:cs="Times New Roman"/>
      <w:color w:val="FFFFFF"/>
      <w:sz w:val="24"/>
      <w:szCs w:val="24"/>
      <w:lang w:eastAsia="en-AU"/>
    </w:rPr>
  </w:style>
  <w:style w:type="character" w:customStyle="1" w:styleId="response-question-title-text">
    <w:name w:val="response-question-title-text"/>
    <w:basedOn w:val="DefaultParagraphFont"/>
    <w:rsid w:val="00601CB2"/>
  </w:style>
  <w:style w:type="character" w:customStyle="1" w:styleId="question-title">
    <w:name w:val="question-title"/>
    <w:basedOn w:val="DefaultParagraphFont"/>
    <w:rsid w:val="00601CB2"/>
  </w:style>
  <w:style w:type="character" w:customStyle="1" w:styleId="pagedelimiter">
    <w:name w:val="page_delimiter"/>
    <w:basedOn w:val="DefaultParagraphFont"/>
    <w:rsid w:val="00601CB2"/>
  </w:style>
  <w:style w:type="paragraph" w:customStyle="1" w:styleId="response-text">
    <w:name w:val="response-text"/>
    <w:basedOn w:val="Normal"/>
    <w:rsid w:val="00601CB2"/>
    <w:pPr>
      <w:spacing w:before="100" w:beforeAutospacing="1" w:after="100" w:afterAutospacing="1"/>
    </w:pPr>
    <w:rPr>
      <w:rFonts w:ascii="Times New Roman" w:eastAsia="Times New Roman" w:hAnsi="Times New Roman" w:cs="Times New Roman"/>
      <w:sz w:val="24"/>
      <w:szCs w:val="24"/>
      <w:lang w:eastAsia="en-AU"/>
    </w:rPr>
  </w:style>
  <w:style w:type="table" w:customStyle="1" w:styleId="BETable11">
    <w:name w:val="BE Table 11"/>
    <w:basedOn w:val="TableNormal"/>
    <w:uiPriority w:val="99"/>
    <w:qFormat/>
    <w:rsid w:val="00601CB2"/>
    <w:rPr>
      <w:rFonts w:eastAsia="Times New Roman" w:cs="Times New Roman"/>
      <w:sz w:val="20"/>
      <w:szCs w:val="20"/>
      <w:lang w:eastAsia="en-AU"/>
    </w:rPr>
    <w:tblPr>
      <w:tblInd w:w="57" w:type="dxa"/>
      <w:tblBorders>
        <w:top w:val="single" w:sz="4" w:space="0" w:color="E7E6E6" w:themeColor="background2"/>
        <w:bottom w:val="single" w:sz="4" w:space="0" w:color="808080" w:themeColor="background1" w:themeShade="80"/>
        <w:insideH w:val="single" w:sz="4" w:space="0" w:color="E7E6E6" w:themeColor="background2"/>
      </w:tblBorders>
      <w:tblCellMar>
        <w:top w:w="28" w:type="dxa"/>
        <w:bottom w:w="28" w:type="dxa"/>
      </w:tblCellMar>
    </w:tblPr>
    <w:tcPr>
      <w:tcMar>
        <w:left w:w="57" w:type="dxa"/>
        <w:right w:w="57" w:type="dxa"/>
      </w:tcMar>
    </w:tcPr>
    <w:tblStylePr w:type="firstRow">
      <w:rPr>
        <w:rFonts w:ascii="Calibri" w:hAnsi="Calibri"/>
        <w:b/>
        <w:i w:val="0"/>
        <w:sz w:val="20"/>
      </w:rPr>
      <w:tblPr/>
      <w:tcPr>
        <w:tcBorders>
          <w:top w:val="single" w:sz="4" w:space="0" w:color="E7E6E6"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E7E6E6" w:themeColor="background2"/>
        </w:tcBorders>
      </w:tcPr>
    </w:tblStylePr>
    <w:tblStylePr w:type="firstCol">
      <w:rPr>
        <w:rFonts w:ascii="Calibri" w:hAnsi="Calibri"/>
        <w:sz w:val="20"/>
      </w:rPr>
    </w:tblStylePr>
  </w:style>
  <w:style w:type="character" w:styleId="EndnoteReference">
    <w:name w:val="endnote reference"/>
    <w:basedOn w:val="DefaultParagraphFont"/>
    <w:uiPriority w:val="99"/>
    <w:semiHidden/>
    <w:unhideWhenUsed/>
    <w:locked/>
    <w:rsid w:val="00601CB2"/>
    <w:rPr>
      <w:vertAlign w:val="superscript"/>
    </w:rPr>
  </w:style>
  <w:style w:type="table" w:customStyle="1" w:styleId="TableGrid1">
    <w:name w:val="Table Grid1"/>
    <w:basedOn w:val="TableNormal"/>
    <w:next w:val="TableGrid"/>
    <w:uiPriority w:val="59"/>
    <w:rsid w:val="00601CB2"/>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
    <w:name w:val="Body Text 4"/>
    <w:basedOn w:val="Normal"/>
    <w:link w:val="BodyText4Char"/>
    <w:rsid w:val="00601CB2"/>
    <w:pPr>
      <w:keepLines/>
      <w:spacing w:before="160" w:line="270" w:lineRule="exact"/>
      <w:jc w:val="both"/>
    </w:pPr>
    <w:rPr>
      <w:rFonts w:ascii="Times New Roman" w:eastAsia="Times New Roman" w:hAnsi="Times New Roman" w:cs="Times New Roman"/>
      <w:b/>
      <w:bCs/>
      <w:szCs w:val="20"/>
    </w:rPr>
  </w:style>
  <w:style w:type="character" w:customStyle="1" w:styleId="BodyText4Char">
    <w:name w:val="Body Text 4 Char"/>
    <w:link w:val="BodyText4"/>
    <w:rsid w:val="00601CB2"/>
    <w:rPr>
      <w:rFonts w:ascii="Times New Roman" w:eastAsia="Times New Roman" w:hAnsi="Times New Roman" w:cs="Times New Roman"/>
      <w:b/>
      <w:bCs/>
      <w:szCs w:val="20"/>
    </w:rPr>
  </w:style>
  <w:style w:type="paragraph" w:customStyle="1" w:styleId="SRUTableHeading">
    <w:name w:val="SRU_Table_Heading"/>
    <w:basedOn w:val="Normal"/>
    <w:next w:val="Normal"/>
    <w:uiPriority w:val="99"/>
    <w:semiHidden/>
    <w:qFormat/>
    <w:rsid w:val="00601CB2"/>
    <w:pPr>
      <w:numPr>
        <w:numId w:val="13"/>
      </w:numPr>
      <w:spacing w:before="60" w:after="60"/>
    </w:pPr>
    <w:rPr>
      <w:rFonts w:eastAsia="Times New Roman" w:cs="Times New Roman"/>
      <w:sz w:val="20"/>
      <w:szCs w:val="20"/>
    </w:rPr>
  </w:style>
  <w:style w:type="paragraph" w:customStyle="1" w:styleId="TableText">
    <w:name w:val="_TableText"/>
    <w:basedOn w:val="Normal"/>
    <w:link w:val="TableTextChar"/>
    <w:qFormat/>
    <w:rsid w:val="00601CB2"/>
    <w:pPr>
      <w:spacing w:before="60" w:after="60"/>
    </w:pPr>
    <w:rPr>
      <w:rFonts w:eastAsia="Times New Roman" w:cs="Times New Roman"/>
      <w:sz w:val="18"/>
      <w:szCs w:val="18"/>
    </w:rPr>
  </w:style>
  <w:style w:type="paragraph" w:customStyle="1" w:styleId="TableHeading0">
    <w:name w:val="_TableHeading"/>
    <w:basedOn w:val="Normal"/>
    <w:link w:val="TableHeadingChar"/>
    <w:qFormat/>
    <w:rsid w:val="00601CB2"/>
    <w:pPr>
      <w:keepNext/>
      <w:tabs>
        <w:tab w:val="left" w:pos="284"/>
      </w:tabs>
      <w:spacing w:before="60" w:after="60"/>
      <w:jc w:val="center"/>
    </w:pPr>
    <w:rPr>
      <w:rFonts w:eastAsia="Times New Roman" w:cs="Times New Roman"/>
      <w:b/>
      <w:sz w:val="20"/>
      <w:szCs w:val="20"/>
    </w:rPr>
  </w:style>
  <w:style w:type="character" w:customStyle="1" w:styleId="TableHeadingChar">
    <w:name w:val="_TableHeading Char"/>
    <w:link w:val="TableHeading0"/>
    <w:locked/>
    <w:rsid w:val="00601CB2"/>
    <w:rPr>
      <w:rFonts w:eastAsia="Times New Roman" w:cs="Times New Roman"/>
      <w:b/>
      <w:sz w:val="20"/>
      <w:szCs w:val="20"/>
    </w:rPr>
  </w:style>
  <w:style w:type="character" w:customStyle="1" w:styleId="TableTextChar">
    <w:name w:val="_TableText Char"/>
    <w:link w:val="TableText"/>
    <w:locked/>
    <w:rsid w:val="00601CB2"/>
    <w:rPr>
      <w:rFonts w:eastAsia="Times New Roman" w:cs="Times New Roman"/>
      <w:sz w:val="18"/>
      <w:szCs w:val="18"/>
    </w:rPr>
  </w:style>
  <w:style w:type="paragraph" w:customStyle="1" w:styleId="RptTable-Heading">
    <w:name w:val="(Rpt) Table - Heading"/>
    <w:link w:val="RptTable-HeadingChar"/>
    <w:rsid w:val="00601CB2"/>
    <w:pPr>
      <w:keepNext/>
      <w:tabs>
        <w:tab w:val="left" w:pos="1080"/>
      </w:tabs>
      <w:ind w:left="1080" w:hanging="1080"/>
    </w:pPr>
    <w:rPr>
      <w:rFonts w:ascii="Arial" w:eastAsia="Times New Roman" w:hAnsi="Arial" w:cs="Times New Roman"/>
      <w:b/>
      <w:bCs/>
      <w:noProof/>
      <w:sz w:val="20"/>
      <w:szCs w:val="20"/>
      <w:lang w:val="en-GB"/>
    </w:rPr>
  </w:style>
  <w:style w:type="character" w:customStyle="1" w:styleId="RptTable-HeadingChar">
    <w:name w:val="(Rpt) Table - Heading Char"/>
    <w:basedOn w:val="DefaultParagraphFont"/>
    <w:link w:val="RptTable-Heading"/>
    <w:rsid w:val="00601CB2"/>
    <w:rPr>
      <w:rFonts w:ascii="Arial" w:eastAsia="Times New Roman" w:hAnsi="Arial" w:cs="Times New Roman"/>
      <w:b/>
      <w:bCs/>
      <w:noProof/>
      <w:sz w:val="20"/>
      <w:szCs w:val="20"/>
      <w:lang w:val="en-GB"/>
    </w:rPr>
  </w:style>
  <w:style w:type="paragraph" w:styleId="Revision">
    <w:name w:val="Revision"/>
    <w:hidden/>
    <w:uiPriority w:val="99"/>
    <w:semiHidden/>
    <w:rsid w:val="00601CB2"/>
    <w:rPr>
      <w:rFonts w:eastAsia="Times New Roman" w:cstheme="minorHAnsi"/>
      <w:color w:val="0D0D0D" w:themeColor="text1" w:themeTint="F2"/>
      <w:sz w:val="20"/>
    </w:rPr>
  </w:style>
  <w:style w:type="character" w:customStyle="1" w:styleId="PointsBulletsSRUChar">
    <w:name w:val="_PointsBullets (SRU) Char"/>
    <w:basedOn w:val="DefaultParagraphFont"/>
    <w:link w:val="PointsBulletsSRU"/>
    <w:locked/>
    <w:rsid w:val="00601CB2"/>
    <w:rPr>
      <w:rFonts w:eastAsia="Times New Roman" w:cs="Times New Roman"/>
      <w:sz w:val="20"/>
      <w:szCs w:val="20"/>
      <w:lang w:eastAsia="en-AU"/>
    </w:rPr>
  </w:style>
  <w:style w:type="paragraph" w:customStyle="1" w:styleId="Level1">
    <w:name w:val="Level 1."/>
    <w:basedOn w:val="Normal"/>
    <w:next w:val="Normal"/>
    <w:rsid w:val="00601CB2"/>
    <w:pPr>
      <w:numPr>
        <w:numId w:val="14"/>
      </w:numPr>
      <w:spacing w:before="240"/>
    </w:pPr>
    <w:rPr>
      <w:rFonts w:ascii="Palatino" w:eastAsia="Times New Roman" w:hAnsi="Palatino" w:cs="Times New Roman"/>
      <w:sz w:val="24"/>
      <w:szCs w:val="20"/>
    </w:rPr>
  </w:style>
  <w:style w:type="paragraph" w:customStyle="1" w:styleId="Level11">
    <w:name w:val="Level 1.1"/>
    <w:basedOn w:val="Normal"/>
    <w:next w:val="Normal"/>
    <w:rsid w:val="00601CB2"/>
    <w:pPr>
      <w:numPr>
        <w:ilvl w:val="1"/>
        <w:numId w:val="14"/>
      </w:numPr>
      <w:spacing w:before="240"/>
    </w:pPr>
    <w:rPr>
      <w:rFonts w:ascii="Arial" w:eastAsia="Times New Roman" w:hAnsi="Arial" w:cs="Times New Roman"/>
      <w:sz w:val="24"/>
      <w:szCs w:val="20"/>
    </w:rPr>
  </w:style>
  <w:style w:type="paragraph" w:customStyle="1" w:styleId="Levela">
    <w:name w:val="Level (a)"/>
    <w:basedOn w:val="Normal"/>
    <w:next w:val="Normal"/>
    <w:rsid w:val="00601CB2"/>
    <w:pPr>
      <w:numPr>
        <w:ilvl w:val="2"/>
        <w:numId w:val="14"/>
      </w:numPr>
      <w:spacing w:before="240"/>
    </w:pPr>
    <w:rPr>
      <w:rFonts w:ascii="Palatino" w:eastAsia="Times New Roman" w:hAnsi="Palatino" w:cs="Times New Roman"/>
      <w:sz w:val="24"/>
      <w:szCs w:val="20"/>
    </w:rPr>
  </w:style>
  <w:style w:type="paragraph" w:customStyle="1" w:styleId="Leveli">
    <w:name w:val="Level (i)"/>
    <w:basedOn w:val="Normal"/>
    <w:next w:val="Normal"/>
    <w:rsid w:val="00601CB2"/>
    <w:pPr>
      <w:numPr>
        <w:ilvl w:val="3"/>
        <w:numId w:val="14"/>
      </w:numPr>
      <w:spacing w:before="240"/>
    </w:pPr>
    <w:rPr>
      <w:rFonts w:ascii="Palatino" w:eastAsia="Times New Roman" w:hAnsi="Palatino" w:cs="Times New Roman"/>
      <w:sz w:val="24"/>
      <w:szCs w:val="20"/>
    </w:rPr>
  </w:style>
  <w:style w:type="paragraph" w:customStyle="1" w:styleId="LevelA0">
    <w:name w:val="Level(A)"/>
    <w:basedOn w:val="Normal"/>
    <w:next w:val="Normal"/>
    <w:rsid w:val="00601CB2"/>
    <w:pPr>
      <w:numPr>
        <w:ilvl w:val="4"/>
        <w:numId w:val="14"/>
      </w:numPr>
      <w:spacing w:before="240"/>
    </w:pPr>
    <w:rPr>
      <w:rFonts w:ascii="Palatino" w:eastAsia="Times New Roman" w:hAnsi="Palatino" w:cs="Times New Roman"/>
      <w:sz w:val="24"/>
      <w:szCs w:val="20"/>
    </w:rPr>
  </w:style>
  <w:style w:type="paragraph" w:customStyle="1" w:styleId="LevelI0">
    <w:name w:val="Level(I)"/>
    <w:basedOn w:val="Normal"/>
    <w:next w:val="Normal"/>
    <w:rsid w:val="00601CB2"/>
    <w:pPr>
      <w:numPr>
        <w:ilvl w:val="5"/>
        <w:numId w:val="14"/>
      </w:numPr>
      <w:spacing w:before="240"/>
    </w:pPr>
    <w:rPr>
      <w:rFonts w:ascii="Palatino" w:eastAsia="Times New Roman" w:hAnsi="Palatino" w:cs="Times New Roman"/>
      <w:sz w:val="24"/>
      <w:szCs w:val="20"/>
    </w:rPr>
  </w:style>
  <w:style w:type="paragraph" w:styleId="NormalIndent">
    <w:name w:val="Normal Indent"/>
    <w:basedOn w:val="Normal"/>
    <w:locked/>
    <w:rsid w:val="00601CB2"/>
    <w:pPr>
      <w:ind w:left="567"/>
      <w:jc w:val="both"/>
    </w:pPr>
    <w:rPr>
      <w:rFonts w:ascii="Times New Roman" w:eastAsia="Times New Roman" w:hAnsi="Times New Roman" w:cs="Times New Roman"/>
      <w:sz w:val="24"/>
      <w:szCs w:val="20"/>
    </w:rPr>
  </w:style>
  <w:style w:type="table" w:customStyle="1" w:styleId="TableGrid2">
    <w:name w:val="Table Grid2"/>
    <w:basedOn w:val="TableNormal"/>
    <w:next w:val="TableGrid"/>
    <w:uiPriority w:val="39"/>
    <w:rsid w:val="00601CB2"/>
    <w:pPr>
      <w:spacing w:before="120" w:after="120" w:line="360" w:lineRule="auto"/>
    </w:pPr>
    <w:rPr>
      <w:rFonts w:eastAsia="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01CB2"/>
  </w:style>
  <w:style w:type="table" w:customStyle="1" w:styleId="TableGrid3">
    <w:name w:val="Table Grid3"/>
    <w:basedOn w:val="TableNormal"/>
    <w:next w:val="TableGrid"/>
    <w:uiPriority w:val="59"/>
    <w:rsid w:val="00601CB2"/>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31">
    <w:name w:val="Table List 31"/>
    <w:basedOn w:val="TableNormal"/>
    <w:next w:val="TableList3"/>
    <w:rsid w:val="00601CB2"/>
    <w:rPr>
      <w:rFonts w:eastAsia="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BETable12">
    <w:name w:val="BE Table 12"/>
    <w:basedOn w:val="TableNormal"/>
    <w:uiPriority w:val="99"/>
    <w:qFormat/>
    <w:rsid w:val="00601CB2"/>
    <w:rPr>
      <w:rFonts w:eastAsia="Times New Roman" w:cs="Times New Roman"/>
      <w:sz w:val="20"/>
      <w:szCs w:val="20"/>
      <w:lang w:eastAsia="en-AU"/>
    </w:rPr>
    <w:tblPr>
      <w:tblInd w:w="57" w:type="dxa"/>
      <w:tblBorders>
        <w:top w:val="single" w:sz="4" w:space="0" w:color="E7E6E6" w:themeColor="background2"/>
        <w:bottom w:val="single" w:sz="4" w:space="0" w:color="808080" w:themeColor="background1" w:themeShade="80"/>
        <w:insideH w:val="single" w:sz="4" w:space="0" w:color="E7E6E6" w:themeColor="background2"/>
      </w:tblBorders>
      <w:tblCellMar>
        <w:top w:w="28" w:type="dxa"/>
        <w:bottom w:w="28" w:type="dxa"/>
      </w:tblCellMar>
    </w:tblPr>
    <w:tcPr>
      <w:tcMar>
        <w:left w:w="57" w:type="dxa"/>
        <w:right w:w="57" w:type="dxa"/>
      </w:tcMar>
    </w:tcPr>
    <w:tblStylePr w:type="firstRow">
      <w:rPr>
        <w:rFonts w:ascii="Calibri" w:hAnsi="Calibri"/>
        <w:b/>
        <w:i w:val="0"/>
        <w:sz w:val="20"/>
      </w:rPr>
      <w:tblPr/>
      <w:tcPr>
        <w:tcBorders>
          <w:top w:val="single" w:sz="4" w:space="0" w:color="E7E6E6"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E7E6E6" w:themeColor="background2"/>
        </w:tcBorders>
      </w:tcPr>
    </w:tblStylePr>
    <w:tblStylePr w:type="firstCol">
      <w:rPr>
        <w:rFonts w:ascii="Calibri" w:hAnsi="Calibri"/>
        <w:sz w:val="20"/>
      </w:rPr>
    </w:tblStylePr>
  </w:style>
  <w:style w:type="table" w:customStyle="1" w:styleId="BETable21">
    <w:name w:val="BE Table 21"/>
    <w:basedOn w:val="BETable1"/>
    <w:uiPriority w:val="99"/>
    <w:qFormat/>
    <w:rsid w:val="00601CB2"/>
    <w:tblPr>
      <w:tblBorders>
        <w:top w:val="none" w:sz="0" w:space="0" w:color="auto"/>
        <w:left w:val="single" w:sz="4" w:space="0" w:color="E7E6E6" w:themeColor="background2"/>
        <w:bottom w:val="single" w:sz="4" w:space="0" w:color="E7E6E6" w:themeColor="background2"/>
        <w:right w:val="single" w:sz="4" w:space="0" w:color="E7E6E6" w:themeColor="background2"/>
        <w:insideH w:val="none" w:sz="0" w:space="0" w:color="auto"/>
      </w:tblBorders>
      <w:tblCellMar>
        <w:left w:w="57" w:type="dxa"/>
        <w:right w:w="57" w:type="dxa"/>
      </w:tblCellMar>
    </w:tblPr>
    <w:tblStylePr w:type="firstRow">
      <w:rPr>
        <w:rFonts w:ascii="Calibri" w:hAnsi="Calibri"/>
        <w:b/>
        <w:i w:val="0"/>
        <w:sz w:val="20"/>
      </w:rPr>
      <w:tblPr/>
      <w:tcPr>
        <w:tc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nil"/>
          <w:insideV w:val="nil"/>
          <w:tl2br w:val="nil"/>
          <w:tr2bl w:val="nil"/>
        </w:tcBorders>
      </w:tcPr>
    </w:tblStylePr>
    <w:tblStylePr w:type="lastRow">
      <w:rPr>
        <w:rFonts w:ascii="Calibri" w:hAnsi="Calibri"/>
        <w:sz w:val="20"/>
      </w:rPr>
      <w:tblPr/>
      <w:tcPr>
        <w:tcBorders>
          <w:bottom w:val="single" w:sz="4" w:space="0" w:color="E7E6E6" w:themeColor="background2"/>
        </w:tcBorders>
      </w:tcPr>
    </w:tblStylePr>
    <w:tblStylePr w:type="firstCol">
      <w:rPr>
        <w:rFonts w:ascii="Calibri" w:hAnsi="Calibri"/>
        <w:sz w:val="20"/>
      </w:rPr>
      <w:tblPr/>
      <w:tcPr>
        <w:tcMar>
          <w:top w:w="0" w:type="nil"/>
          <w:left w:w="108" w:type="dxa"/>
          <w:bottom w:w="0" w:type="nil"/>
          <w:right w:w="0" w:type="nil"/>
        </w:tcMar>
      </w:tcPr>
    </w:tblStylePr>
  </w:style>
  <w:style w:type="table" w:customStyle="1" w:styleId="BETable111">
    <w:name w:val="BE Table 111"/>
    <w:basedOn w:val="TableNormal"/>
    <w:uiPriority w:val="99"/>
    <w:qFormat/>
    <w:rsid w:val="00601CB2"/>
    <w:rPr>
      <w:rFonts w:eastAsia="Times New Roman" w:cs="Times New Roman"/>
      <w:sz w:val="20"/>
      <w:szCs w:val="20"/>
      <w:lang w:eastAsia="en-AU"/>
    </w:rPr>
    <w:tblPr>
      <w:tblInd w:w="57" w:type="dxa"/>
      <w:tblBorders>
        <w:top w:val="single" w:sz="4" w:space="0" w:color="E7E6E6" w:themeColor="background2"/>
        <w:bottom w:val="single" w:sz="4" w:space="0" w:color="808080" w:themeColor="background1" w:themeShade="80"/>
        <w:insideH w:val="single" w:sz="4" w:space="0" w:color="E7E6E6" w:themeColor="background2"/>
      </w:tblBorders>
      <w:tblCellMar>
        <w:top w:w="28" w:type="dxa"/>
        <w:bottom w:w="28" w:type="dxa"/>
      </w:tblCellMar>
    </w:tblPr>
    <w:tcPr>
      <w:tcMar>
        <w:left w:w="57" w:type="dxa"/>
        <w:right w:w="57" w:type="dxa"/>
      </w:tcMar>
    </w:tcPr>
    <w:tblStylePr w:type="firstRow">
      <w:rPr>
        <w:rFonts w:ascii="Calibri" w:hAnsi="Calibri"/>
        <w:b/>
        <w:i w:val="0"/>
        <w:sz w:val="20"/>
      </w:rPr>
      <w:tblPr/>
      <w:tcPr>
        <w:tcBorders>
          <w:top w:val="single" w:sz="4" w:space="0" w:color="E7E6E6"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E7E6E6" w:themeColor="background2"/>
        </w:tcBorders>
      </w:tcPr>
    </w:tblStylePr>
    <w:tblStylePr w:type="firstCol">
      <w:rPr>
        <w:rFonts w:ascii="Calibri" w:hAnsi="Calibri"/>
        <w:sz w:val="20"/>
      </w:rPr>
    </w:tblStylePr>
  </w:style>
  <w:style w:type="table" w:customStyle="1" w:styleId="TableGrid11">
    <w:name w:val="Table Grid11"/>
    <w:basedOn w:val="TableNormal"/>
    <w:next w:val="TableGrid"/>
    <w:uiPriority w:val="59"/>
    <w:rsid w:val="00601CB2"/>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601CB2"/>
    <w:pPr>
      <w:spacing w:before="120" w:after="120" w:line="360" w:lineRule="auto"/>
    </w:pPr>
    <w:rPr>
      <w:rFonts w:eastAsia="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947054"/>
    <w:rPr>
      <w:color w:val="605E5C"/>
      <w:shd w:val="clear" w:color="auto" w:fill="E1DFDD"/>
    </w:rPr>
  </w:style>
  <w:style w:type="character" w:styleId="Emphasis">
    <w:name w:val="Emphasis"/>
    <w:basedOn w:val="DefaultParagraphFont"/>
    <w:uiPriority w:val="20"/>
    <w:qFormat/>
    <w:locked/>
    <w:rsid w:val="00203A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67885">
      <w:bodyDiv w:val="1"/>
      <w:marLeft w:val="0"/>
      <w:marRight w:val="0"/>
      <w:marTop w:val="0"/>
      <w:marBottom w:val="0"/>
      <w:divBdr>
        <w:top w:val="none" w:sz="0" w:space="0" w:color="auto"/>
        <w:left w:val="none" w:sz="0" w:space="0" w:color="auto"/>
        <w:bottom w:val="none" w:sz="0" w:space="0" w:color="auto"/>
        <w:right w:val="none" w:sz="0" w:space="0" w:color="auto"/>
      </w:divBdr>
    </w:div>
    <w:div w:id="50351447">
      <w:bodyDiv w:val="1"/>
      <w:marLeft w:val="0"/>
      <w:marRight w:val="0"/>
      <w:marTop w:val="0"/>
      <w:marBottom w:val="0"/>
      <w:divBdr>
        <w:top w:val="none" w:sz="0" w:space="0" w:color="auto"/>
        <w:left w:val="none" w:sz="0" w:space="0" w:color="auto"/>
        <w:bottom w:val="none" w:sz="0" w:space="0" w:color="auto"/>
        <w:right w:val="none" w:sz="0" w:space="0" w:color="auto"/>
      </w:divBdr>
    </w:div>
    <w:div w:id="51471440">
      <w:bodyDiv w:val="1"/>
      <w:marLeft w:val="0"/>
      <w:marRight w:val="0"/>
      <w:marTop w:val="0"/>
      <w:marBottom w:val="0"/>
      <w:divBdr>
        <w:top w:val="none" w:sz="0" w:space="0" w:color="auto"/>
        <w:left w:val="none" w:sz="0" w:space="0" w:color="auto"/>
        <w:bottom w:val="none" w:sz="0" w:space="0" w:color="auto"/>
        <w:right w:val="none" w:sz="0" w:space="0" w:color="auto"/>
      </w:divBdr>
    </w:div>
    <w:div w:id="63111989">
      <w:bodyDiv w:val="1"/>
      <w:marLeft w:val="0"/>
      <w:marRight w:val="0"/>
      <w:marTop w:val="0"/>
      <w:marBottom w:val="0"/>
      <w:divBdr>
        <w:top w:val="none" w:sz="0" w:space="0" w:color="auto"/>
        <w:left w:val="none" w:sz="0" w:space="0" w:color="auto"/>
        <w:bottom w:val="none" w:sz="0" w:space="0" w:color="auto"/>
        <w:right w:val="none" w:sz="0" w:space="0" w:color="auto"/>
      </w:divBdr>
    </w:div>
    <w:div w:id="94787226">
      <w:bodyDiv w:val="1"/>
      <w:marLeft w:val="0"/>
      <w:marRight w:val="0"/>
      <w:marTop w:val="0"/>
      <w:marBottom w:val="0"/>
      <w:divBdr>
        <w:top w:val="none" w:sz="0" w:space="0" w:color="auto"/>
        <w:left w:val="none" w:sz="0" w:space="0" w:color="auto"/>
        <w:bottom w:val="none" w:sz="0" w:space="0" w:color="auto"/>
        <w:right w:val="none" w:sz="0" w:space="0" w:color="auto"/>
      </w:divBdr>
    </w:div>
    <w:div w:id="150298732">
      <w:bodyDiv w:val="1"/>
      <w:marLeft w:val="0"/>
      <w:marRight w:val="0"/>
      <w:marTop w:val="0"/>
      <w:marBottom w:val="0"/>
      <w:divBdr>
        <w:top w:val="none" w:sz="0" w:space="0" w:color="auto"/>
        <w:left w:val="none" w:sz="0" w:space="0" w:color="auto"/>
        <w:bottom w:val="none" w:sz="0" w:space="0" w:color="auto"/>
        <w:right w:val="none" w:sz="0" w:space="0" w:color="auto"/>
      </w:divBdr>
    </w:div>
    <w:div w:id="165562719">
      <w:bodyDiv w:val="1"/>
      <w:marLeft w:val="0"/>
      <w:marRight w:val="0"/>
      <w:marTop w:val="0"/>
      <w:marBottom w:val="0"/>
      <w:divBdr>
        <w:top w:val="none" w:sz="0" w:space="0" w:color="auto"/>
        <w:left w:val="none" w:sz="0" w:space="0" w:color="auto"/>
        <w:bottom w:val="none" w:sz="0" w:space="0" w:color="auto"/>
        <w:right w:val="none" w:sz="0" w:space="0" w:color="auto"/>
      </w:divBdr>
    </w:div>
    <w:div w:id="171531531">
      <w:bodyDiv w:val="1"/>
      <w:marLeft w:val="0"/>
      <w:marRight w:val="0"/>
      <w:marTop w:val="0"/>
      <w:marBottom w:val="0"/>
      <w:divBdr>
        <w:top w:val="none" w:sz="0" w:space="0" w:color="auto"/>
        <w:left w:val="none" w:sz="0" w:space="0" w:color="auto"/>
        <w:bottom w:val="none" w:sz="0" w:space="0" w:color="auto"/>
        <w:right w:val="none" w:sz="0" w:space="0" w:color="auto"/>
      </w:divBdr>
    </w:div>
    <w:div w:id="248588463">
      <w:bodyDiv w:val="1"/>
      <w:marLeft w:val="0"/>
      <w:marRight w:val="0"/>
      <w:marTop w:val="0"/>
      <w:marBottom w:val="0"/>
      <w:divBdr>
        <w:top w:val="none" w:sz="0" w:space="0" w:color="auto"/>
        <w:left w:val="none" w:sz="0" w:space="0" w:color="auto"/>
        <w:bottom w:val="none" w:sz="0" w:space="0" w:color="auto"/>
        <w:right w:val="none" w:sz="0" w:space="0" w:color="auto"/>
      </w:divBdr>
    </w:div>
    <w:div w:id="250089664">
      <w:bodyDiv w:val="1"/>
      <w:marLeft w:val="0"/>
      <w:marRight w:val="0"/>
      <w:marTop w:val="0"/>
      <w:marBottom w:val="0"/>
      <w:divBdr>
        <w:top w:val="none" w:sz="0" w:space="0" w:color="auto"/>
        <w:left w:val="none" w:sz="0" w:space="0" w:color="auto"/>
        <w:bottom w:val="none" w:sz="0" w:space="0" w:color="auto"/>
        <w:right w:val="none" w:sz="0" w:space="0" w:color="auto"/>
      </w:divBdr>
    </w:div>
    <w:div w:id="271671131">
      <w:bodyDiv w:val="1"/>
      <w:marLeft w:val="0"/>
      <w:marRight w:val="0"/>
      <w:marTop w:val="0"/>
      <w:marBottom w:val="0"/>
      <w:divBdr>
        <w:top w:val="none" w:sz="0" w:space="0" w:color="auto"/>
        <w:left w:val="none" w:sz="0" w:space="0" w:color="auto"/>
        <w:bottom w:val="none" w:sz="0" w:space="0" w:color="auto"/>
        <w:right w:val="none" w:sz="0" w:space="0" w:color="auto"/>
      </w:divBdr>
    </w:div>
    <w:div w:id="279185535">
      <w:bodyDiv w:val="1"/>
      <w:marLeft w:val="0"/>
      <w:marRight w:val="0"/>
      <w:marTop w:val="0"/>
      <w:marBottom w:val="0"/>
      <w:divBdr>
        <w:top w:val="none" w:sz="0" w:space="0" w:color="auto"/>
        <w:left w:val="none" w:sz="0" w:space="0" w:color="auto"/>
        <w:bottom w:val="none" w:sz="0" w:space="0" w:color="auto"/>
        <w:right w:val="none" w:sz="0" w:space="0" w:color="auto"/>
      </w:divBdr>
    </w:div>
    <w:div w:id="280067560">
      <w:bodyDiv w:val="1"/>
      <w:marLeft w:val="0"/>
      <w:marRight w:val="0"/>
      <w:marTop w:val="0"/>
      <w:marBottom w:val="0"/>
      <w:divBdr>
        <w:top w:val="none" w:sz="0" w:space="0" w:color="auto"/>
        <w:left w:val="none" w:sz="0" w:space="0" w:color="auto"/>
        <w:bottom w:val="none" w:sz="0" w:space="0" w:color="auto"/>
        <w:right w:val="none" w:sz="0" w:space="0" w:color="auto"/>
      </w:divBdr>
    </w:div>
    <w:div w:id="287128716">
      <w:bodyDiv w:val="1"/>
      <w:marLeft w:val="0"/>
      <w:marRight w:val="0"/>
      <w:marTop w:val="0"/>
      <w:marBottom w:val="0"/>
      <w:divBdr>
        <w:top w:val="none" w:sz="0" w:space="0" w:color="auto"/>
        <w:left w:val="none" w:sz="0" w:space="0" w:color="auto"/>
        <w:bottom w:val="none" w:sz="0" w:space="0" w:color="auto"/>
        <w:right w:val="none" w:sz="0" w:space="0" w:color="auto"/>
      </w:divBdr>
    </w:div>
    <w:div w:id="362874124">
      <w:bodyDiv w:val="1"/>
      <w:marLeft w:val="0"/>
      <w:marRight w:val="0"/>
      <w:marTop w:val="0"/>
      <w:marBottom w:val="0"/>
      <w:divBdr>
        <w:top w:val="none" w:sz="0" w:space="0" w:color="auto"/>
        <w:left w:val="none" w:sz="0" w:space="0" w:color="auto"/>
        <w:bottom w:val="none" w:sz="0" w:space="0" w:color="auto"/>
        <w:right w:val="none" w:sz="0" w:space="0" w:color="auto"/>
      </w:divBdr>
    </w:div>
    <w:div w:id="429741666">
      <w:bodyDiv w:val="1"/>
      <w:marLeft w:val="0"/>
      <w:marRight w:val="0"/>
      <w:marTop w:val="0"/>
      <w:marBottom w:val="0"/>
      <w:divBdr>
        <w:top w:val="none" w:sz="0" w:space="0" w:color="auto"/>
        <w:left w:val="none" w:sz="0" w:space="0" w:color="auto"/>
        <w:bottom w:val="none" w:sz="0" w:space="0" w:color="auto"/>
        <w:right w:val="none" w:sz="0" w:space="0" w:color="auto"/>
      </w:divBdr>
      <w:divsChild>
        <w:div w:id="146821383">
          <w:marLeft w:val="0"/>
          <w:marRight w:val="0"/>
          <w:marTop w:val="0"/>
          <w:marBottom w:val="0"/>
          <w:divBdr>
            <w:top w:val="none" w:sz="0" w:space="0" w:color="auto"/>
            <w:left w:val="none" w:sz="0" w:space="0" w:color="auto"/>
            <w:bottom w:val="none" w:sz="0" w:space="0" w:color="auto"/>
            <w:right w:val="none" w:sz="0" w:space="0" w:color="auto"/>
          </w:divBdr>
          <w:divsChild>
            <w:div w:id="29961559">
              <w:marLeft w:val="0"/>
              <w:marRight w:val="0"/>
              <w:marTop w:val="0"/>
              <w:marBottom w:val="0"/>
              <w:divBdr>
                <w:top w:val="none" w:sz="0" w:space="0" w:color="auto"/>
                <w:left w:val="none" w:sz="0" w:space="0" w:color="auto"/>
                <w:bottom w:val="none" w:sz="0" w:space="0" w:color="auto"/>
                <w:right w:val="none" w:sz="0" w:space="0" w:color="auto"/>
              </w:divBdr>
              <w:divsChild>
                <w:div w:id="84767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334762">
      <w:bodyDiv w:val="1"/>
      <w:marLeft w:val="0"/>
      <w:marRight w:val="0"/>
      <w:marTop w:val="0"/>
      <w:marBottom w:val="0"/>
      <w:divBdr>
        <w:top w:val="none" w:sz="0" w:space="0" w:color="auto"/>
        <w:left w:val="none" w:sz="0" w:space="0" w:color="auto"/>
        <w:bottom w:val="none" w:sz="0" w:space="0" w:color="auto"/>
        <w:right w:val="none" w:sz="0" w:space="0" w:color="auto"/>
      </w:divBdr>
    </w:div>
    <w:div w:id="478574622">
      <w:bodyDiv w:val="1"/>
      <w:marLeft w:val="0"/>
      <w:marRight w:val="0"/>
      <w:marTop w:val="0"/>
      <w:marBottom w:val="0"/>
      <w:divBdr>
        <w:top w:val="none" w:sz="0" w:space="0" w:color="auto"/>
        <w:left w:val="none" w:sz="0" w:space="0" w:color="auto"/>
        <w:bottom w:val="none" w:sz="0" w:space="0" w:color="auto"/>
        <w:right w:val="none" w:sz="0" w:space="0" w:color="auto"/>
      </w:divBdr>
    </w:div>
    <w:div w:id="505092396">
      <w:bodyDiv w:val="1"/>
      <w:marLeft w:val="0"/>
      <w:marRight w:val="0"/>
      <w:marTop w:val="0"/>
      <w:marBottom w:val="0"/>
      <w:divBdr>
        <w:top w:val="none" w:sz="0" w:space="0" w:color="auto"/>
        <w:left w:val="none" w:sz="0" w:space="0" w:color="auto"/>
        <w:bottom w:val="none" w:sz="0" w:space="0" w:color="auto"/>
        <w:right w:val="none" w:sz="0" w:space="0" w:color="auto"/>
      </w:divBdr>
    </w:div>
    <w:div w:id="517427686">
      <w:bodyDiv w:val="1"/>
      <w:marLeft w:val="0"/>
      <w:marRight w:val="0"/>
      <w:marTop w:val="0"/>
      <w:marBottom w:val="0"/>
      <w:divBdr>
        <w:top w:val="none" w:sz="0" w:space="0" w:color="auto"/>
        <w:left w:val="none" w:sz="0" w:space="0" w:color="auto"/>
        <w:bottom w:val="none" w:sz="0" w:space="0" w:color="auto"/>
        <w:right w:val="none" w:sz="0" w:space="0" w:color="auto"/>
      </w:divBdr>
    </w:div>
    <w:div w:id="550309747">
      <w:bodyDiv w:val="1"/>
      <w:marLeft w:val="0"/>
      <w:marRight w:val="0"/>
      <w:marTop w:val="0"/>
      <w:marBottom w:val="0"/>
      <w:divBdr>
        <w:top w:val="none" w:sz="0" w:space="0" w:color="auto"/>
        <w:left w:val="none" w:sz="0" w:space="0" w:color="auto"/>
        <w:bottom w:val="none" w:sz="0" w:space="0" w:color="auto"/>
        <w:right w:val="none" w:sz="0" w:space="0" w:color="auto"/>
      </w:divBdr>
    </w:div>
    <w:div w:id="571307776">
      <w:bodyDiv w:val="1"/>
      <w:marLeft w:val="0"/>
      <w:marRight w:val="0"/>
      <w:marTop w:val="0"/>
      <w:marBottom w:val="0"/>
      <w:divBdr>
        <w:top w:val="none" w:sz="0" w:space="0" w:color="auto"/>
        <w:left w:val="none" w:sz="0" w:space="0" w:color="auto"/>
        <w:bottom w:val="none" w:sz="0" w:space="0" w:color="auto"/>
        <w:right w:val="none" w:sz="0" w:space="0" w:color="auto"/>
      </w:divBdr>
    </w:div>
    <w:div w:id="598217983">
      <w:bodyDiv w:val="1"/>
      <w:marLeft w:val="0"/>
      <w:marRight w:val="0"/>
      <w:marTop w:val="0"/>
      <w:marBottom w:val="0"/>
      <w:divBdr>
        <w:top w:val="none" w:sz="0" w:space="0" w:color="auto"/>
        <w:left w:val="none" w:sz="0" w:space="0" w:color="auto"/>
        <w:bottom w:val="none" w:sz="0" w:space="0" w:color="auto"/>
        <w:right w:val="none" w:sz="0" w:space="0" w:color="auto"/>
      </w:divBdr>
    </w:div>
    <w:div w:id="629632733">
      <w:bodyDiv w:val="1"/>
      <w:marLeft w:val="0"/>
      <w:marRight w:val="0"/>
      <w:marTop w:val="0"/>
      <w:marBottom w:val="0"/>
      <w:divBdr>
        <w:top w:val="none" w:sz="0" w:space="0" w:color="auto"/>
        <w:left w:val="none" w:sz="0" w:space="0" w:color="auto"/>
        <w:bottom w:val="none" w:sz="0" w:space="0" w:color="auto"/>
        <w:right w:val="none" w:sz="0" w:space="0" w:color="auto"/>
      </w:divBdr>
    </w:div>
    <w:div w:id="663096461">
      <w:bodyDiv w:val="1"/>
      <w:marLeft w:val="0"/>
      <w:marRight w:val="0"/>
      <w:marTop w:val="0"/>
      <w:marBottom w:val="0"/>
      <w:divBdr>
        <w:top w:val="none" w:sz="0" w:space="0" w:color="auto"/>
        <w:left w:val="none" w:sz="0" w:space="0" w:color="auto"/>
        <w:bottom w:val="none" w:sz="0" w:space="0" w:color="auto"/>
        <w:right w:val="none" w:sz="0" w:space="0" w:color="auto"/>
      </w:divBdr>
    </w:div>
    <w:div w:id="664208582">
      <w:bodyDiv w:val="1"/>
      <w:marLeft w:val="0"/>
      <w:marRight w:val="0"/>
      <w:marTop w:val="0"/>
      <w:marBottom w:val="0"/>
      <w:divBdr>
        <w:top w:val="none" w:sz="0" w:space="0" w:color="auto"/>
        <w:left w:val="none" w:sz="0" w:space="0" w:color="auto"/>
        <w:bottom w:val="none" w:sz="0" w:space="0" w:color="auto"/>
        <w:right w:val="none" w:sz="0" w:space="0" w:color="auto"/>
      </w:divBdr>
    </w:div>
    <w:div w:id="684985692">
      <w:bodyDiv w:val="1"/>
      <w:marLeft w:val="0"/>
      <w:marRight w:val="0"/>
      <w:marTop w:val="0"/>
      <w:marBottom w:val="0"/>
      <w:divBdr>
        <w:top w:val="none" w:sz="0" w:space="0" w:color="auto"/>
        <w:left w:val="none" w:sz="0" w:space="0" w:color="auto"/>
        <w:bottom w:val="none" w:sz="0" w:space="0" w:color="auto"/>
        <w:right w:val="none" w:sz="0" w:space="0" w:color="auto"/>
      </w:divBdr>
    </w:div>
    <w:div w:id="690571496">
      <w:bodyDiv w:val="1"/>
      <w:marLeft w:val="0"/>
      <w:marRight w:val="0"/>
      <w:marTop w:val="0"/>
      <w:marBottom w:val="0"/>
      <w:divBdr>
        <w:top w:val="none" w:sz="0" w:space="0" w:color="auto"/>
        <w:left w:val="none" w:sz="0" w:space="0" w:color="auto"/>
        <w:bottom w:val="none" w:sz="0" w:space="0" w:color="auto"/>
        <w:right w:val="none" w:sz="0" w:space="0" w:color="auto"/>
      </w:divBdr>
    </w:div>
    <w:div w:id="731344341">
      <w:bodyDiv w:val="1"/>
      <w:marLeft w:val="0"/>
      <w:marRight w:val="0"/>
      <w:marTop w:val="0"/>
      <w:marBottom w:val="0"/>
      <w:divBdr>
        <w:top w:val="none" w:sz="0" w:space="0" w:color="auto"/>
        <w:left w:val="none" w:sz="0" w:space="0" w:color="auto"/>
        <w:bottom w:val="none" w:sz="0" w:space="0" w:color="auto"/>
        <w:right w:val="none" w:sz="0" w:space="0" w:color="auto"/>
      </w:divBdr>
    </w:div>
    <w:div w:id="744373956">
      <w:bodyDiv w:val="1"/>
      <w:marLeft w:val="0"/>
      <w:marRight w:val="0"/>
      <w:marTop w:val="0"/>
      <w:marBottom w:val="0"/>
      <w:divBdr>
        <w:top w:val="none" w:sz="0" w:space="0" w:color="auto"/>
        <w:left w:val="none" w:sz="0" w:space="0" w:color="auto"/>
        <w:bottom w:val="none" w:sz="0" w:space="0" w:color="auto"/>
        <w:right w:val="none" w:sz="0" w:space="0" w:color="auto"/>
      </w:divBdr>
      <w:divsChild>
        <w:div w:id="774205879">
          <w:marLeft w:val="0"/>
          <w:marRight w:val="0"/>
          <w:marTop w:val="0"/>
          <w:marBottom w:val="0"/>
          <w:divBdr>
            <w:top w:val="none" w:sz="0" w:space="0" w:color="auto"/>
            <w:left w:val="none" w:sz="0" w:space="0" w:color="auto"/>
            <w:bottom w:val="none" w:sz="0" w:space="0" w:color="auto"/>
            <w:right w:val="none" w:sz="0" w:space="0" w:color="auto"/>
          </w:divBdr>
          <w:divsChild>
            <w:div w:id="1225726679">
              <w:marLeft w:val="0"/>
              <w:marRight w:val="0"/>
              <w:marTop w:val="0"/>
              <w:marBottom w:val="0"/>
              <w:divBdr>
                <w:top w:val="none" w:sz="0" w:space="0" w:color="auto"/>
                <w:left w:val="none" w:sz="0" w:space="0" w:color="auto"/>
                <w:bottom w:val="none" w:sz="0" w:space="0" w:color="auto"/>
                <w:right w:val="none" w:sz="0" w:space="0" w:color="auto"/>
              </w:divBdr>
              <w:divsChild>
                <w:div w:id="91740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0664">
      <w:bodyDiv w:val="1"/>
      <w:marLeft w:val="0"/>
      <w:marRight w:val="0"/>
      <w:marTop w:val="0"/>
      <w:marBottom w:val="0"/>
      <w:divBdr>
        <w:top w:val="none" w:sz="0" w:space="0" w:color="auto"/>
        <w:left w:val="none" w:sz="0" w:space="0" w:color="auto"/>
        <w:bottom w:val="none" w:sz="0" w:space="0" w:color="auto"/>
        <w:right w:val="none" w:sz="0" w:space="0" w:color="auto"/>
      </w:divBdr>
    </w:div>
    <w:div w:id="767388372">
      <w:bodyDiv w:val="1"/>
      <w:marLeft w:val="0"/>
      <w:marRight w:val="0"/>
      <w:marTop w:val="0"/>
      <w:marBottom w:val="0"/>
      <w:divBdr>
        <w:top w:val="none" w:sz="0" w:space="0" w:color="auto"/>
        <w:left w:val="none" w:sz="0" w:space="0" w:color="auto"/>
        <w:bottom w:val="none" w:sz="0" w:space="0" w:color="auto"/>
        <w:right w:val="none" w:sz="0" w:space="0" w:color="auto"/>
      </w:divBdr>
    </w:div>
    <w:div w:id="781539224">
      <w:bodyDiv w:val="1"/>
      <w:marLeft w:val="0"/>
      <w:marRight w:val="0"/>
      <w:marTop w:val="0"/>
      <w:marBottom w:val="0"/>
      <w:divBdr>
        <w:top w:val="none" w:sz="0" w:space="0" w:color="auto"/>
        <w:left w:val="none" w:sz="0" w:space="0" w:color="auto"/>
        <w:bottom w:val="none" w:sz="0" w:space="0" w:color="auto"/>
        <w:right w:val="none" w:sz="0" w:space="0" w:color="auto"/>
      </w:divBdr>
    </w:div>
    <w:div w:id="784618338">
      <w:bodyDiv w:val="1"/>
      <w:marLeft w:val="0"/>
      <w:marRight w:val="0"/>
      <w:marTop w:val="0"/>
      <w:marBottom w:val="0"/>
      <w:divBdr>
        <w:top w:val="none" w:sz="0" w:space="0" w:color="auto"/>
        <w:left w:val="none" w:sz="0" w:space="0" w:color="auto"/>
        <w:bottom w:val="none" w:sz="0" w:space="0" w:color="auto"/>
        <w:right w:val="none" w:sz="0" w:space="0" w:color="auto"/>
      </w:divBdr>
    </w:div>
    <w:div w:id="814494693">
      <w:bodyDiv w:val="1"/>
      <w:marLeft w:val="0"/>
      <w:marRight w:val="0"/>
      <w:marTop w:val="0"/>
      <w:marBottom w:val="0"/>
      <w:divBdr>
        <w:top w:val="none" w:sz="0" w:space="0" w:color="auto"/>
        <w:left w:val="none" w:sz="0" w:space="0" w:color="auto"/>
        <w:bottom w:val="none" w:sz="0" w:space="0" w:color="auto"/>
        <w:right w:val="none" w:sz="0" w:space="0" w:color="auto"/>
      </w:divBdr>
    </w:div>
    <w:div w:id="816992338">
      <w:bodyDiv w:val="1"/>
      <w:marLeft w:val="0"/>
      <w:marRight w:val="0"/>
      <w:marTop w:val="0"/>
      <w:marBottom w:val="0"/>
      <w:divBdr>
        <w:top w:val="none" w:sz="0" w:space="0" w:color="auto"/>
        <w:left w:val="none" w:sz="0" w:space="0" w:color="auto"/>
        <w:bottom w:val="none" w:sz="0" w:space="0" w:color="auto"/>
        <w:right w:val="none" w:sz="0" w:space="0" w:color="auto"/>
      </w:divBdr>
    </w:div>
    <w:div w:id="823469515">
      <w:bodyDiv w:val="1"/>
      <w:marLeft w:val="0"/>
      <w:marRight w:val="0"/>
      <w:marTop w:val="0"/>
      <w:marBottom w:val="0"/>
      <w:divBdr>
        <w:top w:val="none" w:sz="0" w:space="0" w:color="auto"/>
        <w:left w:val="none" w:sz="0" w:space="0" w:color="auto"/>
        <w:bottom w:val="none" w:sz="0" w:space="0" w:color="auto"/>
        <w:right w:val="none" w:sz="0" w:space="0" w:color="auto"/>
      </w:divBdr>
    </w:div>
    <w:div w:id="830948454">
      <w:bodyDiv w:val="1"/>
      <w:marLeft w:val="0"/>
      <w:marRight w:val="0"/>
      <w:marTop w:val="0"/>
      <w:marBottom w:val="0"/>
      <w:divBdr>
        <w:top w:val="none" w:sz="0" w:space="0" w:color="auto"/>
        <w:left w:val="none" w:sz="0" w:space="0" w:color="auto"/>
        <w:bottom w:val="none" w:sz="0" w:space="0" w:color="auto"/>
        <w:right w:val="none" w:sz="0" w:space="0" w:color="auto"/>
      </w:divBdr>
    </w:div>
    <w:div w:id="835537746">
      <w:bodyDiv w:val="1"/>
      <w:marLeft w:val="0"/>
      <w:marRight w:val="0"/>
      <w:marTop w:val="0"/>
      <w:marBottom w:val="0"/>
      <w:divBdr>
        <w:top w:val="none" w:sz="0" w:space="0" w:color="auto"/>
        <w:left w:val="none" w:sz="0" w:space="0" w:color="auto"/>
        <w:bottom w:val="none" w:sz="0" w:space="0" w:color="auto"/>
        <w:right w:val="none" w:sz="0" w:space="0" w:color="auto"/>
      </w:divBdr>
    </w:div>
    <w:div w:id="888103388">
      <w:bodyDiv w:val="1"/>
      <w:marLeft w:val="0"/>
      <w:marRight w:val="0"/>
      <w:marTop w:val="0"/>
      <w:marBottom w:val="0"/>
      <w:divBdr>
        <w:top w:val="none" w:sz="0" w:space="0" w:color="auto"/>
        <w:left w:val="none" w:sz="0" w:space="0" w:color="auto"/>
        <w:bottom w:val="none" w:sz="0" w:space="0" w:color="auto"/>
        <w:right w:val="none" w:sz="0" w:space="0" w:color="auto"/>
      </w:divBdr>
    </w:div>
    <w:div w:id="914323236">
      <w:bodyDiv w:val="1"/>
      <w:marLeft w:val="0"/>
      <w:marRight w:val="0"/>
      <w:marTop w:val="0"/>
      <w:marBottom w:val="0"/>
      <w:divBdr>
        <w:top w:val="none" w:sz="0" w:space="0" w:color="auto"/>
        <w:left w:val="none" w:sz="0" w:space="0" w:color="auto"/>
        <w:bottom w:val="none" w:sz="0" w:space="0" w:color="auto"/>
        <w:right w:val="none" w:sz="0" w:space="0" w:color="auto"/>
      </w:divBdr>
    </w:div>
    <w:div w:id="915672578">
      <w:bodyDiv w:val="1"/>
      <w:marLeft w:val="0"/>
      <w:marRight w:val="0"/>
      <w:marTop w:val="0"/>
      <w:marBottom w:val="0"/>
      <w:divBdr>
        <w:top w:val="none" w:sz="0" w:space="0" w:color="auto"/>
        <w:left w:val="none" w:sz="0" w:space="0" w:color="auto"/>
        <w:bottom w:val="none" w:sz="0" w:space="0" w:color="auto"/>
        <w:right w:val="none" w:sz="0" w:space="0" w:color="auto"/>
      </w:divBdr>
    </w:div>
    <w:div w:id="938684913">
      <w:bodyDiv w:val="1"/>
      <w:marLeft w:val="0"/>
      <w:marRight w:val="0"/>
      <w:marTop w:val="0"/>
      <w:marBottom w:val="0"/>
      <w:divBdr>
        <w:top w:val="none" w:sz="0" w:space="0" w:color="auto"/>
        <w:left w:val="none" w:sz="0" w:space="0" w:color="auto"/>
        <w:bottom w:val="none" w:sz="0" w:space="0" w:color="auto"/>
        <w:right w:val="none" w:sz="0" w:space="0" w:color="auto"/>
      </w:divBdr>
      <w:divsChild>
        <w:div w:id="1806003019">
          <w:marLeft w:val="0"/>
          <w:marRight w:val="0"/>
          <w:marTop w:val="0"/>
          <w:marBottom w:val="0"/>
          <w:divBdr>
            <w:top w:val="none" w:sz="0" w:space="0" w:color="auto"/>
            <w:left w:val="none" w:sz="0" w:space="0" w:color="auto"/>
            <w:bottom w:val="none" w:sz="0" w:space="0" w:color="auto"/>
            <w:right w:val="none" w:sz="0" w:space="0" w:color="auto"/>
          </w:divBdr>
          <w:divsChild>
            <w:div w:id="806048446">
              <w:marLeft w:val="0"/>
              <w:marRight w:val="0"/>
              <w:marTop w:val="0"/>
              <w:marBottom w:val="0"/>
              <w:divBdr>
                <w:top w:val="none" w:sz="0" w:space="0" w:color="auto"/>
                <w:left w:val="none" w:sz="0" w:space="0" w:color="auto"/>
                <w:bottom w:val="none" w:sz="0" w:space="0" w:color="auto"/>
                <w:right w:val="none" w:sz="0" w:space="0" w:color="auto"/>
              </w:divBdr>
              <w:divsChild>
                <w:div w:id="335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0754">
      <w:bodyDiv w:val="1"/>
      <w:marLeft w:val="0"/>
      <w:marRight w:val="0"/>
      <w:marTop w:val="0"/>
      <w:marBottom w:val="0"/>
      <w:divBdr>
        <w:top w:val="none" w:sz="0" w:space="0" w:color="auto"/>
        <w:left w:val="none" w:sz="0" w:space="0" w:color="auto"/>
        <w:bottom w:val="none" w:sz="0" w:space="0" w:color="auto"/>
        <w:right w:val="none" w:sz="0" w:space="0" w:color="auto"/>
      </w:divBdr>
    </w:div>
    <w:div w:id="958142420">
      <w:bodyDiv w:val="1"/>
      <w:marLeft w:val="0"/>
      <w:marRight w:val="0"/>
      <w:marTop w:val="0"/>
      <w:marBottom w:val="0"/>
      <w:divBdr>
        <w:top w:val="none" w:sz="0" w:space="0" w:color="auto"/>
        <w:left w:val="none" w:sz="0" w:space="0" w:color="auto"/>
        <w:bottom w:val="none" w:sz="0" w:space="0" w:color="auto"/>
        <w:right w:val="none" w:sz="0" w:space="0" w:color="auto"/>
      </w:divBdr>
    </w:div>
    <w:div w:id="997882870">
      <w:bodyDiv w:val="1"/>
      <w:marLeft w:val="0"/>
      <w:marRight w:val="0"/>
      <w:marTop w:val="0"/>
      <w:marBottom w:val="0"/>
      <w:divBdr>
        <w:top w:val="none" w:sz="0" w:space="0" w:color="auto"/>
        <w:left w:val="none" w:sz="0" w:space="0" w:color="auto"/>
        <w:bottom w:val="none" w:sz="0" w:space="0" w:color="auto"/>
        <w:right w:val="none" w:sz="0" w:space="0" w:color="auto"/>
      </w:divBdr>
    </w:div>
    <w:div w:id="1058478938">
      <w:bodyDiv w:val="1"/>
      <w:marLeft w:val="0"/>
      <w:marRight w:val="0"/>
      <w:marTop w:val="0"/>
      <w:marBottom w:val="0"/>
      <w:divBdr>
        <w:top w:val="none" w:sz="0" w:space="0" w:color="auto"/>
        <w:left w:val="none" w:sz="0" w:space="0" w:color="auto"/>
        <w:bottom w:val="none" w:sz="0" w:space="0" w:color="auto"/>
        <w:right w:val="none" w:sz="0" w:space="0" w:color="auto"/>
      </w:divBdr>
    </w:div>
    <w:div w:id="1067533911">
      <w:bodyDiv w:val="1"/>
      <w:marLeft w:val="0"/>
      <w:marRight w:val="0"/>
      <w:marTop w:val="0"/>
      <w:marBottom w:val="0"/>
      <w:divBdr>
        <w:top w:val="none" w:sz="0" w:space="0" w:color="auto"/>
        <w:left w:val="none" w:sz="0" w:space="0" w:color="auto"/>
        <w:bottom w:val="none" w:sz="0" w:space="0" w:color="auto"/>
        <w:right w:val="none" w:sz="0" w:space="0" w:color="auto"/>
      </w:divBdr>
    </w:div>
    <w:div w:id="1080322764">
      <w:bodyDiv w:val="1"/>
      <w:marLeft w:val="0"/>
      <w:marRight w:val="0"/>
      <w:marTop w:val="0"/>
      <w:marBottom w:val="0"/>
      <w:divBdr>
        <w:top w:val="none" w:sz="0" w:space="0" w:color="auto"/>
        <w:left w:val="none" w:sz="0" w:space="0" w:color="auto"/>
        <w:bottom w:val="none" w:sz="0" w:space="0" w:color="auto"/>
        <w:right w:val="none" w:sz="0" w:space="0" w:color="auto"/>
      </w:divBdr>
    </w:div>
    <w:div w:id="1088235525">
      <w:bodyDiv w:val="1"/>
      <w:marLeft w:val="0"/>
      <w:marRight w:val="0"/>
      <w:marTop w:val="0"/>
      <w:marBottom w:val="0"/>
      <w:divBdr>
        <w:top w:val="none" w:sz="0" w:space="0" w:color="auto"/>
        <w:left w:val="none" w:sz="0" w:space="0" w:color="auto"/>
        <w:bottom w:val="none" w:sz="0" w:space="0" w:color="auto"/>
        <w:right w:val="none" w:sz="0" w:space="0" w:color="auto"/>
      </w:divBdr>
    </w:div>
    <w:div w:id="1100836930">
      <w:bodyDiv w:val="1"/>
      <w:marLeft w:val="0"/>
      <w:marRight w:val="0"/>
      <w:marTop w:val="0"/>
      <w:marBottom w:val="0"/>
      <w:divBdr>
        <w:top w:val="none" w:sz="0" w:space="0" w:color="auto"/>
        <w:left w:val="none" w:sz="0" w:space="0" w:color="auto"/>
        <w:bottom w:val="none" w:sz="0" w:space="0" w:color="auto"/>
        <w:right w:val="none" w:sz="0" w:space="0" w:color="auto"/>
      </w:divBdr>
    </w:div>
    <w:div w:id="1102534707">
      <w:bodyDiv w:val="1"/>
      <w:marLeft w:val="0"/>
      <w:marRight w:val="0"/>
      <w:marTop w:val="0"/>
      <w:marBottom w:val="0"/>
      <w:divBdr>
        <w:top w:val="none" w:sz="0" w:space="0" w:color="auto"/>
        <w:left w:val="none" w:sz="0" w:space="0" w:color="auto"/>
        <w:bottom w:val="none" w:sz="0" w:space="0" w:color="auto"/>
        <w:right w:val="none" w:sz="0" w:space="0" w:color="auto"/>
      </w:divBdr>
    </w:div>
    <w:div w:id="1119881021">
      <w:bodyDiv w:val="1"/>
      <w:marLeft w:val="0"/>
      <w:marRight w:val="0"/>
      <w:marTop w:val="0"/>
      <w:marBottom w:val="0"/>
      <w:divBdr>
        <w:top w:val="none" w:sz="0" w:space="0" w:color="auto"/>
        <w:left w:val="none" w:sz="0" w:space="0" w:color="auto"/>
        <w:bottom w:val="none" w:sz="0" w:space="0" w:color="auto"/>
        <w:right w:val="none" w:sz="0" w:space="0" w:color="auto"/>
      </w:divBdr>
    </w:div>
    <w:div w:id="1144467720">
      <w:bodyDiv w:val="1"/>
      <w:marLeft w:val="0"/>
      <w:marRight w:val="0"/>
      <w:marTop w:val="0"/>
      <w:marBottom w:val="0"/>
      <w:divBdr>
        <w:top w:val="none" w:sz="0" w:space="0" w:color="auto"/>
        <w:left w:val="none" w:sz="0" w:space="0" w:color="auto"/>
        <w:bottom w:val="none" w:sz="0" w:space="0" w:color="auto"/>
        <w:right w:val="none" w:sz="0" w:space="0" w:color="auto"/>
      </w:divBdr>
    </w:div>
    <w:div w:id="1146818254">
      <w:bodyDiv w:val="1"/>
      <w:marLeft w:val="0"/>
      <w:marRight w:val="0"/>
      <w:marTop w:val="0"/>
      <w:marBottom w:val="0"/>
      <w:divBdr>
        <w:top w:val="none" w:sz="0" w:space="0" w:color="auto"/>
        <w:left w:val="none" w:sz="0" w:space="0" w:color="auto"/>
        <w:bottom w:val="none" w:sz="0" w:space="0" w:color="auto"/>
        <w:right w:val="none" w:sz="0" w:space="0" w:color="auto"/>
      </w:divBdr>
    </w:div>
    <w:div w:id="1153915212">
      <w:bodyDiv w:val="1"/>
      <w:marLeft w:val="0"/>
      <w:marRight w:val="0"/>
      <w:marTop w:val="0"/>
      <w:marBottom w:val="0"/>
      <w:divBdr>
        <w:top w:val="none" w:sz="0" w:space="0" w:color="auto"/>
        <w:left w:val="none" w:sz="0" w:space="0" w:color="auto"/>
        <w:bottom w:val="none" w:sz="0" w:space="0" w:color="auto"/>
        <w:right w:val="none" w:sz="0" w:space="0" w:color="auto"/>
      </w:divBdr>
    </w:div>
    <w:div w:id="1161625625">
      <w:bodyDiv w:val="1"/>
      <w:marLeft w:val="0"/>
      <w:marRight w:val="0"/>
      <w:marTop w:val="0"/>
      <w:marBottom w:val="0"/>
      <w:divBdr>
        <w:top w:val="none" w:sz="0" w:space="0" w:color="auto"/>
        <w:left w:val="none" w:sz="0" w:space="0" w:color="auto"/>
        <w:bottom w:val="none" w:sz="0" w:space="0" w:color="auto"/>
        <w:right w:val="none" w:sz="0" w:space="0" w:color="auto"/>
      </w:divBdr>
    </w:div>
    <w:div w:id="1174033820">
      <w:bodyDiv w:val="1"/>
      <w:marLeft w:val="0"/>
      <w:marRight w:val="0"/>
      <w:marTop w:val="0"/>
      <w:marBottom w:val="0"/>
      <w:divBdr>
        <w:top w:val="none" w:sz="0" w:space="0" w:color="auto"/>
        <w:left w:val="none" w:sz="0" w:space="0" w:color="auto"/>
        <w:bottom w:val="none" w:sz="0" w:space="0" w:color="auto"/>
        <w:right w:val="none" w:sz="0" w:space="0" w:color="auto"/>
      </w:divBdr>
    </w:div>
    <w:div w:id="1213034169">
      <w:bodyDiv w:val="1"/>
      <w:marLeft w:val="0"/>
      <w:marRight w:val="0"/>
      <w:marTop w:val="0"/>
      <w:marBottom w:val="0"/>
      <w:divBdr>
        <w:top w:val="none" w:sz="0" w:space="0" w:color="auto"/>
        <w:left w:val="none" w:sz="0" w:space="0" w:color="auto"/>
        <w:bottom w:val="none" w:sz="0" w:space="0" w:color="auto"/>
        <w:right w:val="none" w:sz="0" w:space="0" w:color="auto"/>
      </w:divBdr>
      <w:divsChild>
        <w:div w:id="1696728286">
          <w:marLeft w:val="0"/>
          <w:marRight w:val="0"/>
          <w:marTop w:val="0"/>
          <w:marBottom w:val="0"/>
          <w:divBdr>
            <w:top w:val="none" w:sz="0" w:space="0" w:color="auto"/>
            <w:left w:val="none" w:sz="0" w:space="0" w:color="auto"/>
            <w:bottom w:val="none" w:sz="0" w:space="0" w:color="auto"/>
            <w:right w:val="none" w:sz="0" w:space="0" w:color="auto"/>
          </w:divBdr>
          <w:divsChild>
            <w:div w:id="2091416257">
              <w:marLeft w:val="0"/>
              <w:marRight w:val="0"/>
              <w:marTop w:val="0"/>
              <w:marBottom w:val="0"/>
              <w:divBdr>
                <w:top w:val="none" w:sz="0" w:space="0" w:color="auto"/>
                <w:left w:val="none" w:sz="0" w:space="0" w:color="auto"/>
                <w:bottom w:val="none" w:sz="0" w:space="0" w:color="auto"/>
                <w:right w:val="none" w:sz="0" w:space="0" w:color="auto"/>
              </w:divBdr>
              <w:divsChild>
                <w:div w:id="149645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63011">
      <w:bodyDiv w:val="1"/>
      <w:marLeft w:val="0"/>
      <w:marRight w:val="0"/>
      <w:marTop w:val="0"/>
      <w:marBottom w:val="0"/>
      <w:divBdr>
        <w:top w:val="none" w:sz="0" w:space="0" w:color="auto"/>
        <w:left w:val="none" w:sz="0" w:space="0" w:color="auto"/>
        <w:bottom w:val="none" w:sz="0" w:space="0" w:color="auto"/>
        <w:right w:val="none" w:sz="0" w:space="0" w:color="auto"/>
      </w:divBdr>
    </w:div>
    <w:div w:id="1255747306">
      <w:bodyDiv w:val="1"/>
      <w:marLeft w:val="0"/>
      <w:marRight w:val="0"/>
      <w:marTop w:val="0"/>
      <w:marBottom w:val="0"/>
      <w:divBdr>
        <w:top w:val="none" w:sz="0" w:space="0" w:color="auto"/>
        <w:left w:val="none" w:sz="0" w:space="0" w:color="auto"/>
        <w:bottom w:val="none" w:sz="0" w:space="0" w:color="auto"/>
        <w:right w:val="none" w:sz="0" w:space="0" w:color="auto"/>
      </w:divBdr>
    </w:div>
    <w:div w:id="1308899250">
      <w:bodyDiv w:val="1"/>
      <w:marLeft w:val="0"/>
      <w:marRight w:val="0"/>
      <w:marTop w:val="0"/>
      <w:marBottom w:val="0"/>
      <w:divBdr>
        <w:top w:val="none" w:sz="0" w:space="0" w:color="auto"/>
        <w:left w:val="none" w:sz="0" w:space="0" w:color="auto"/>
        <w:bottom w:val="none" w:sz="0" w:space="0" w:color="auto"/>
        <w:right w:val="none" w:sz="0" w:space="0" w:color="auto"/>
      </w:divBdr>
    </w:div>
    <w:div w:id="1320814076">
      <w:bodyDiv w:val="1"/>
      <w:marLeft w:val="0"/>
      <w:marRight w:val="0"/>
      <w:marTop w:val="0"/>
      <w:marBottom w:val="0"/>
      <w:divBdr>
        <w:top w:val="none" w:sz="0" w:space="0" w:color="auto"/>
        <w:left w:val="none" w:sz="0" w:space="0" w:color="auto"/>
        <w:bottom w:val="none" w:sz="0" w:space="0" w:color="auto"/>
        <w:right w:val="none" w:sz="0" w:space="0" w:color="auto"/>
      </w:divBdr>
    </w:div>
    <w:div w:id="1333558708">
      <w:bodyDiv w:val="1"/>
      <w:marLeft w:val="0"/>
      <w:marRight w:val="0"/>
      <w:marTop w:val="0"/>
      <w:marBottom w:val="0"/>
      <w:divBdr>
        <w:top w:val="none" w:sz="0" w:space="0" w:color="auto"/>
        <w:left w:val="none" w:sz="0" w:space="0" w:color="auto"/>
        <w:bottom w:val="none" w:sz="0" w:space="0" w:color="auto"/>
        <w:right w:val="none" w:sz="0" w:space="0" w:color="auto"/>
      </w:divBdr>
    </w:div>
    <w:div w:id="1410419334">
      <w:bodyDiv w:val="1"/>
      <w:marLeft w:val="0"/>
      <w:marRight w:val="0"/>
      <w:marTop w:val="0"/>
      <w:marBottom w:val="0"/>
      <w:divBdr>
        <w:top w:val="none" w:sz="0" w:space="0" w:color="auto"/>
        <w:left w:val="none" w:sz="0" w:space="0" w:color="auto"/>
        <w:bottom w:val="none" w:sz="0" w:space="0" w:color="auto"/>
        <w:right w:val="none" w:sz="0" w:space="0" w:color="auto"/>
      </w:divBdr>
    </w:div>
    <w:div w:id="1433476842">
      <w:bodyDiv w:val="1"/>
      <w:marLeft w:val="0"/>
      <w:marRight w:val="0"/>
      <w:marTop w:val="0"/>
      <w:marBottom w:val="0"/>
      <w:divBdr>
        <w:top w:val="none" w:sz="0" w:space="0" w:color="auto"/>
        <w:left w:val="none" w:sz="0" w:space="0" w:color="auto"/>
        <w:bottom w:val="none" w:sz="0" w:space="0" w:color="auto"/>
        <w:right w:val="none" w:sz="0" w:space="0" w:color="auto"/>
      </w:divBdr>
    </w:div>
    <w:div w:id="1461872963">
      <w:bodyDiv w:val="1"/>
      <w:marLeft w:val="0"/>
      <w:marRight w:val="0"/>
      <w:marTop w:val="0"/>
      <w:marBottom w:val="0"/>
      <w:divBdr>
        <w:top w:val="none" w:sz="0" w:space="0" w:color="auto"/>
        <w:left w:val="none" w:sz="0" w:space="0" w:color="auto"/>
        <w:bottom w:val="none" w:sz="0" w:space="0" w:color="auto"/>
        <w:right w:val="none" w:sz="0" w:space="0" w:color="auto"/>
      </w:divBdr>
    </w:div>
    <w:div w:id="1479299669">
      <w:bodyDiv w:val="1"/>
      <w:marLeft w:val="0"/>
      <w:marRight w:val="0"/>
      <w:marTop w:val="0"/>
      <w:marBottom w:val="0"/>
      <w:divBdr>
        <w:top w:val="none" w:sz="0" w:space="0" w:color="auto"/>
        <w:left w:val="none" w:sz="0" w:space="0" w:color="auto"/>
        <w:bottom w:val="none" w:sz="0" w:space="0" w:color="auto"/>
        <w:right w:val="none" w:sz="0" w:space="0" w:color="auto"/>
      </w:divBdr>
      <w:divsChild>
        <w:div w:id="1299073855">
          <w:marLeft w:val="0"/>
          <w:marRight w:val="0"/>
          <w:marTop w:val="0"/>
          <w:marBottom w:val="0"/>
          <w:divBdr>
            <w:top w:val="none" w:sz="0" w:space="0" w:color="auto"/>
            <w:left w:val="none" w:sz="0" w:space="0" w:color="auto"/>
            <w:bottom w:val="none" w:sz="0" w:space="0" w:color="auto"/>
            <w:right w:val="none" w:sz="0" w:space="0" w:color="auto"/>
          </w:divBdr>
          <w:divsChild>
            <w:div w:id="847333493">
              <w:marLeft w:val="0"/>
              <w:marRight w:val="0"/>
              <w:marTop w:val="0"/>
              <w:marBottom w:val="0"/>
              <w:divBdr>
                <w:top w:val="none" w:sz="0" w:space="0" w:color="auto"/>
                <w:left w:val="none" w:sz="0" w:space="0" w:color="auto"/>
                <w:bottom w:val="none" w:sz="0" w:space="0" w:color="auto"/>
                <w:right w:val="none" w:sz="0" w:space="0" w:color="auto"/>
              </w:divBdr>
              <w:divsChild>
                <w:div w:id="96300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148638">
      <w:bodyDiv w:val="1"/>
      <w:marLeft w:val="0"/>
      <w:marRight w:val="0"/>
      <w:marTop w:val="0"/>
      <w:marBottom w:val="0"/>
      <w:divBdr>
        <w:top w:val="none" w:sz="0" w:space="0" w:color="auto"/>
        <w:left w:val="none" w:sz="0" w:space="0" w:color="auto"/>
        <w:bottom w:val="none" w:sz="0" w:space="0" w:color="auto"/>
        <w:right w:val="none" w:sz="0" w:space="0" w:color="auto"/>
      </w:divBdr>
    </w:div>
    <w:div w:id="1506820818">
      <w:bodyDiv w:val="1"/>
      <w:marLeft w:val="0"/>
      <w:marRight w:val="0"/>
      <w:marTop w:val="0"/>
      <w:marBottom w:val="0"/>
      <w:divBdr>
        <w:top w:val="none" w:sz="0" w:space="0" w:color="auto"/>
        <w:left w:val="none" w:sz="0" w:space="0" w:color="auto"/>
        <w:bottom w:val="none" w:sz="0" w:space="0" w:color="auto"/>
        <w:right w:val="none" w:sz="0" w:space="0" w:color="auto"/>
      </w:divBdr>
    </w:div>
    <w:div w:id="1512529544">
      <w:bodyDiv w:val="1"/>
      <w:marLeft w:val="0"/>
      <w:marRight w:val="0"/>
      <w:marTop w:val="0"/>
      <w:marBottom w:val="0"/>
      <w:divBdr>
        <w:top w:val="none" w:sz="0" w:space="0" w:color="auto"/>
        <w:left w:val="none" w:sz="0" w:space="0" w:color="auto"/>
        <w:bottom w:val="none" w:sz="0" w:space="0" w:color="auto"/>
        <w:right w:val="none" w:sz="0" w:space="0" w:color="auto"/>
      </w:divBdr>
    </w:div>
    <w:div w:id="1544825955">
      <w:bodyDiv w:val="1"/>
      <w:marLeft w:val="0"/>
      <w:marRight w:val="0"/>
      <w:marTop w:val="0"/>
      <w:marBottom w:val="0"/>
      <w:divBdr>
        <w:top w:val="none" w:sz="0" w:space="0" w:color="auto"/>
        <w:left w:val="none" w:sz="0" w:space="0" w:color="auto"/>
        <w:bottom w:val="none" w:sz="0" w:space="0" w:color="auto"/>
        <w:right w:val="none" w:sz="0" w:space="0" w:color="auto"/>
      </w:divBdr>
    </w:div>
    <w:div w:id="1549218356">
      <w:bodyDiv w:val="1"/>
      <w:marLeft w:val="0"/>
      <w:marRight w:val="0"/>
      <w:marTop w:val="0"/>
      <w:marBottom w:val="0"/>
      <w:divBdr>
        <w:top w:val="none" w:sz="0" w:space="0" w:color="auto"/>
        <w:left w:val="none" w:sz="0" w:space="0" w:color="auto"/>
        <w:bottom w:val="none" w:sz="0" w:space="0" w:color="auto"/>
        <w:right w:val="none" w:sz="0" w:space="0" w:color="auto"/>
      </w:divBdr>
    </w:div>
    <w:div w:id="1553273487">
      <w:bodyDiv w:val="1"/>
      <w:marLeft w:val="0"/>
      <w:marRight w:val="0"/>
      <w:marTop w:val="0"/>
      <w:marBottom w:val="0"/>
      <w:divBdr>
        <w:top w:val="none" w:sz="0" w:space="0" w:color="auto"/>
        <w:left w:val="none" w:sz="0" w:space="0" w:color="auto"/>
        <w:bottom w:val="none" w:sz="0" w:space="0" w:color="auto"/>
        <w:right w:val="none" w:sz="0" w:space="0" w:color="auto"/>
      </w:divBdr>
    </w:div>
    <w:div w:id="1581332811">
      <w:bodyDiv w:val="1"/>
      <w:marLeft w:val="0"/>
      <w:marRight w:val="0"/>
      <w:marTop w:val="0"/>
      <w:marBottom w:val="0"/>
      <w:divBdr>
        <w:top w:val="none" w:sz="0" w:space="0" w:color="auto"/>
        <w:left w:val="none" w:sz="0" w:space="0" w:color="auto"/>
        <w:bottom w:val="none" w:sz="0" w:space="0" w:color="auto"/>
        <w:right w:val="none" w:sz="0" w:space="0" w:color="auto"/>
      </w:divBdr>
      <w:divsChild>
        <w:div w:id="1565221791">
          <w:marLeft w:val="0"/>
          <w:marRight w:val="0"/>
          <w:marTop w:val="0"/>
          <w:marBottom w:val="0"/>
          <w:divBdr>
            <w:top w:val="none" w:sz="0" w:space="0" w:color="auto"/>
            <w:left w:val="none" w:sz="0" w:space="0" w:color="auto"/>
            <w:bottom w:val="none" w:sz="0" w:space="0" w:color="auto"/>
            <w:right w:val="none" w:sz="0" w:space="0" w:color="auto"/>
          </w:divBdr>
          <w:divsChild>
            <w:div w:id="1147086289">
              <w:marLeft w:val="0"/>
              <w:marRight w:val="0"/>
              <w:marTop w:val="0"/>
              <w:marBottom w:val="0"/>
              <w:divBdr>
                <w:top w:val="none" w:sz="0" w:space="0" w:color="auto"/>
                <w:left w:val="none" w:sz="0" w:space="0" w:color="auto"/>
                <w:bottom w:val="none" w:sz="0" w:space="0" w:color="auto"/>
                <w:right w:val="none" w:sz="0" w:space="0" w:color="auto"/>
              </w:divBdr>
              <w:divsChild>
                <w:div w:id="1187479299">
                  <w:marLeft w:val="0"/>
                  <w:marRight w:val="0"/>
                  <w:marTop w:val="0"/>
                  <w:marBottom w:val="0"/>
                  <w:divBdr>
                    <w:top w:val="none" w:sz="0" w:space="0" w:color="auto"/>
                    <w:left w:val="none" w:sz="0" w:space="0" w:color="auto"/>
                    <w:bottom w:val="none" w:sz="0" w:space="0" w:color="auto"/>
                    <w:right w:val="none" w:sz="0" w:space="0" w:color="auto"/>
                  </w:divBdr>
                  <w:divsChild>
                    <w:div w:id="144457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90714">
      <w:bodyDiv w:val="1"/>
      <w:marLeft w:val="0"/>
      <w:marRight w:val="0"/>
      <w:marTop w:val="0"/>
      <w:marBottom w:val="0"/>
      <w:divBdr>
        <w:top w:val="none" w:sz="0" w:space="0" w:color="auto"/>
        <w:left w:val="none" w:sz="0" w:space="0" w:color="auto"/>
        <w:bottom w:val="none" w:sz="0" w:space="0" w:color="auto"/>
        <w:right w:val="none" w:sz="0" w:space="0" w:color="auto"/>
      </w:divBdr>
    </w:div>
    <w:div w:id="1607036804">
      <w:bodyDiv w:val="1"/>
      <w:marLeft w:val="0"/>
      <w:marRight w:val="0"/>
      <w:marTop w:val="0"/>
      <w:marBottom w:val="0"/>
      <w:divBdr>
        <w:top w:val="none" w:sz="0" w:space="0" w:color="auto"/>
        <w:left w:val="none" w:sz="0" w:space="0" w:color="auto"/>
        <w:bottom w:val="none" w:sz="0" w:space="0" w:color="auto"/>
        <w:right w:val="none" w:sz="0" w:space="0" w:color="auto"/>
      </w:divBdr>
    </w:div>
    <w:div w:id="1619991212">
      <w:bodyDiv w:val="1"/>
      <w:marLeft w:val="0"/>
      <w:marRight w:val="0"/>
      <w:marTop w:val="0"/>
      <w:marBottom w:val="0"/>
      <w:divBdr>
        <w:top w:val="none" w:sz="0" w:space="0" w:color="auto"/>
        <w:left w:val="none" w:sz="0" w:space="0" w:color="auto"/>
        <w:bottom w:val="none" w:sz="0" w:space="0" w:color="auto"/>
        <w:right w:val="none" w:sz="0" w:space="0" w:color="auto"/>
      </w:divBdr>
      <w:divsChild>
        <w:div w:id="2129469171">
          <w:marLeft w:val="0"/>
          <w:marRight w:val="0"/>
          <w:marTop w:val="0"/>
          <w:marBottom w:val="0"/>
          <w:divBdr>
            <w:top w:val="none" w:sz="0" w:space="0" w:color="auto"/>
            <w:left w:val="none" w:sz="0" w:space="0" w:color="auto"/>
            <w:bottom w:val="none" w:sz="0" w:space="0" w:color="auto"/>
            <w:right w:val="none" w:sz="0" w:space="0" w:color="auto"/>
          </w:divBdr>
          <w:divsChild>
            <w:div w:id="1644043606">
              <w:marLeft w:val="0"/>
              <w:marRight w:val="0"/>
              <w:marTop w:val="0"/>
              <w:marBottom w:val="0"/>
              <w:divBdr>
                <w:top w:val="none" w:sz="0" w:space="0" w:color="auto"/>
                <w:left w:val="none" w:sz="0" w:space="0" w:color="auto"/>
                <w:bottom w:val="none" w:sz="0" w:space="0" w:color="auto"/>
                <w:right w:val="none" w:sz="0" w:space="0" w:color="auto"/>
              </w:divBdr>
              <w:divsChild>
                <w:div w:id="14384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04484">
      <w:bodyDiv w:val="1"/>
      <w:marLeft w:val="0"/>
      <w:marRight w:val="0"/>
      <w:marTop w:val="0"/>
      <w:marBottom w:val="0"/>
      <w:divBdr>
        <w:top w:val="none" w:sz="0" w:space="0" w:color="auto"/>
        <w:left w:val="none" w:sz="0" w:space="0" w:color="auto"/>
        <w:bottom w:val="none" w:sz="0" w:space="0" w:color="auto"/>
        <w:right w:val="none" w:sz="0" w:space="0" w:color="auto"/>
      </w:divBdr>
    </w:div>
    <w:div w:id="1669408028">
      <w:bodyDiv w:val="1"/>
      <w:marLeft w:val="0"/>
      <w:marRight w:val="0"/>
      <w:marTop w:val="0"/>
      <w:marBottom w:val="0"/>
      <w:divBdr>
        <w:top w:val="none" w:sz="0" w:space="0" w:color="auto"/>
        <w:left w:val="none" w:sz="0" w:space="0" w:color="auto"/>
        <w:bottom w:val="none" w:sz="0" w:space="0" w:color="auto"/>
        <w:right w:val="none" w:sz="0" w:space="0" w:color="auto"/>
      </w:divBdr>
    </w:div>
    <w:div w:id="1680817726">
      <w:bodyDiv w:val="1"/>
      <w:marLeft w:val="0"/>
      <w:marRight w:val="0"/>
      <w:marTop w:val="0"/>
      <w:marBottom w:val="0"/>
      <w:divBdr>
        <w:top w:val="none" w:sz="0" w:space="0" w:color="auto"/>
        <w:left w:val="none" w:sz="0" w:space="0" w:color="auto"/>
        <w:bottom w:val="none" w:sz="0" w:space="0" w:color="auto"/>
        <w:right w:val="none" w:sz="0" w:space="0" w:color="auto"/>
      </w:divBdr>
    </w:div>
    <w:div w:id="1736010692">
      <w:bodyDiv w:val="1"/>
      <w:marLeft w:val="0"/>
      <w:marRight w:val="0"/>
      <w:marTop w:val="0"/>
      <w:marBottom w:val="0"/>
      <w:divBdr>
        <w:top w:val="none" w:sz="0" w:space="0" w:color="auto"/>
        <w:left w:val="none" w:sz="0" w:space="0" w:color="auto"/>
        <w:bottom w:val="none" w:sz="0" w:space="0" w:color="auto"/>
        <w:right w:val="none" w:sz="0" w:space="0" w:color="auto"/>
      </w:divBdr>
    </w:div>
    <w:div w:id="1747065619">
      <w:bodyDiv w:val="1"/>
      <w:marLeft w:val="0"/>
      <w:marRight w:val="0"/>
      <w:marTop w:val="0"/>
      <w:marBottom w:val="0"/>
      <w:divBdr>
        <w:top w:val="none" w:sz="0" w:space="0" w:color="auto"/>
        <w:left w:val="none" w:sz="0" w:space="0" w:color="auto"/>
        <w:bottom w:val="none" w:sz="0" w:space="0" w:color="auto"/>
        <w:right w:val="none" w:sz="0" w:space="0" w:color="auto"/>
      </w:divBdr>
    </w:div>
    <w:div w:id="1850291587">
      <w:bodyDiv w:val="1"/>
      <w:marLeft w:val="0"/>
      <w:marRight w:val="0"/>
      <w:marTop w:val="0"/>
      <w:marBottom w:val="0"/>
      <w:divBdr>
        <w:top w:val="none" w:sz="0" w:space="0" w:color="auto"/>
        <w:left w:val="none" w:sz="0" w:space="0" w:color="auto"/>
        <w:bottom w:val="none" w:sz="0" w:space="0" w:color="auto"/>
        <w:right w:val="none" w:sz="0" w:space="0" w:color="auto"/>
      </w:divBdr>
    </w:div>
    <w:div w:id="1857763996">
      <w:bodyDiv w:val="1"/>
      <w:marLeft w:val="0"/>
      <w:marRight w:val="0"/>
      <w:marTop w:val="0"/>
      <w:marBottom w:val="0"/>
      <w:divBdr>
        <w:top w:val="none" w:sz="0" w:space="0" w:color="auto"/>
        <w:left w:val="none" w:sz="0" w:space="0" w:color="auto"/>
        <w:bottom w:val="none" w:sz="0" w:space="0" w:color="auto"/>
        <w:right w:val="none" w:sz="0" w:space="0" w:color="auto"/>
      </w:divBdr>
      <w:divsChild>
        <w:div w:id="1199510092">
          <w:marLeft w:val="0"/>
          <w:marRight w:val="0"/>
          <w:marTop w:val="0"/>
          <w:marBottom w:val="0"/>
          <w:divBdr>
            <w:top w:val="none" w:sz="0" w:space="0" w:color="auto"/>
            <w:left w:val="none" w:sz="0" w:space="0" w:color="auto"/>
            <w:bottom w:val="none" w:sz="0" w:space="0" w:color="auto"/>
            <w:right w:val="none" w:sz="0" w:space="0" w:color="auto"/>
          </w:divBdr>
          <w:divsChild>
            <w:div w:id="1368722214">
              <w:marLeft w:val="0"/>
              <w:marRight w:val="0"/>
              <w:marTop w:val="0"/>
              <w:marBottom w:val="0"/>
              <w:divBdr>
                <w:top w:val="none" w:sz="0" w:space="0" w:color="auto"/>
                <w:left w:val="none" w:sz="0" w:space="0" w:color="auto"/>
                <w:bottom w:val="none" w:sz="0" w:space="0" w:color="auto"/>
                <w:right w:val="none" w:sz="0" w:space="0" w:color="auto"/>
              </w:divBdr>
              <w:divsChild>
                <w:div w:id="12465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1208">
      <w:bodyDiv w:val="1"/>
      <w:marLeft w:val="0"/>
      <w:marRight w:val="0"/>
      <w:marTop w:val="0"/>
      <w:marBottom w:val="0"/>
      <w:divBdr>
        <w:top w:val="none" w:sz="0" w:space="0" w:color="auto"/>
        <w:left w:val="none" w:sz="0" w:space="0" w:color="auto"/>
        <w:bottom w:val="none" w:sz="0" w:space="0" w:color="auto"/>
        <w:right w:val="none" w:sz="0" w:space="0" w:color="auto"/>
      </w:divBdr>
    </w:div>
    <w:div w:id="1877889226">
      <w:bodyDiv w:val="1"/>
      <w:marLeft w:val="0"/>
      <w:marRight w:val="0"/>
      <w:marTop w:val="0"/>
      <w:marBottom w:val="0"/>
      <w:divBdr>
        <w:top w:val="none" w:sz="0" w:space="0" w:color="auto"/>
        <w:left w:val="none" w:sz="0" w:space="0" w:color="auto"/>
        <w:bottom w:val="none" w:sz="0" w:space="0" w:color="auto"/>
        <w:right w:val="none" w:sz="0" w:space="0" w:color="auto"/>
      </w:divBdr>
    </w:div>
    <w:div w:id="1878739255">
      <w:bodyDiv w:val="1"/>
      <w:marLeft w:val="0"/>
      <w:marRight w:val="0"/>
      <w:marTop w:val="0"/>
      <w:marBottom w:val="0"/>
      <w:divBdr>
        <w:top w:val="none" w:sz="0" w:space="0" w:color="auto"/>
        <w:left w:val="none" w:sz="0" w:space="0" w:color="auto"/>
        <w:bottom w:val="none" w:sz="0" w:space="0" w:color="auto"/>
        <w:right w:val="none" w:sz="0" w:space="0" w:color="auto"/>
      </w:divBdr>
    </w:div>
    <w:div w:id="1917393535">
      <w:bodyDiv w:val="1"/>
      <w:marLeft w:val="0"/>
      <w:marRight w:val="0"/>
      <w:marTop w:val="0"/>
      <w:marBottom w:val="0"/>
      <w:divBdr>
        <w:top w:val="none" w:sz="0" w:space="0" w:color="auto"/>
        <w:left w:val="none" w:sz="0" w:space="0" w:color="auto"/>
        <w:bottom w:val="none" w:sz="0" w:space="0" w:color="auto"/>
        <w:right w:val="none" w:sz="0" w:space="0" w:color="auto"/>
      </w:divBdr>
    </w:div>
    <w:div w:id="1920745833">
      <w:bodyDiv w:val="1"/>
      <w:marLeft w:val="0"/>
      <w:marRight w:val="0"/>
      <w:marTop w:val="0"/>
      <w:marBottom w:val="0"/>
      <w:divBdr>
        <w:top w:val="none" w:sz="0" w:space="0" w:color="auto"/>
        <w:left w:val="none" w:sz="0" w:space="0" w:color="auto"/>
        <w:bottom w:val="none" w:sz="0" w:space="0" w:color="auto"/>
        <w:right w:val="none" w:sz="0" w:space="0" w:color="auto"/>
      </w:divBdr>
    </w:div>
    <w:div w:id="1938521642">
      <w:bodyDiv w:val="1"/>
      <w:marLeft w:val="0"/>
      <w:marRight w:val="0"/>
      <w:marTop w:val="0"/>
      <w:marBottom w:val="0"/>
      <w:divBdr>
        <w:top w:val="none" w:sz="0" w:space="0" w:color="auto"/>
        <w:left w:val="none" w:sz="0" w:space="0" w:color="auto"/>
        <w:bottom w:val="none" w:sz="0" w:space="0" w:color="auto"/>
        <w:right w:val="none" w:sz="0" w:space="0" w:color="auto"/>
      </w:divBdr>
    </w:div>
    <w:div w:id="1978800482">
      <w:bodyDiv w:val="1"/>
      <w:marLeft w:val="0"/>
      <w:marRight w:val="0"/>
      <w:marTop w:val="0"/>
      <w:marBottom w:val="0"/>
      <w:divBdr>
        <w:top w:val="none" w:sz="0" w:space="0" w:color="auto"/>
        <w:left w:val="none" w:sz="0" w:space="0" w:color="auto"/>
        <w:bottom w:val="none" w:sz="0" w:space="0" w:color="auto"/>
        <w:right w:val="none" w:sz="0" w:space="0" w:color="auto"/>
      </w:divBdr>
    </w:div>
    <w:div w:id="2022274428">
      <w:bodyDiv w:val="1"/>
      <w:marLeft w:val="0"/>
      <w:marRight w:val="0"/>
      <w:marTop w:val="0"/>
      <w:marBottom w:val="0"/>
      <w:divBdr>
        <w:top w:val="none" w:sz="0" w:space="0" w:color="auto"/>
        <w:left w:val="none" w:sz="0" w:space="0" w:color="auto"/>
        <w:bottom w:val="none" w:sz="0" w:space="0" w:color="auto"/>
        <w:right w:val="none" w:sz="0" w:space="0" w:color="auto"/>
      </w:divBdr>
    </w:div>
    <w:div w:id="2037846011">
      <w:bodyDiv w:val="1"/>
      <w:marLeft w:val="0"/>
      <w:marRight w:val="0"/>
      <w:marTop w:val="0"/>
      <w:marBottom w:val="0"/>
      <w:divBdr>
        <w:top w:val="none" w:sz="0" w:space="0" w:color="auto"/>
        <w:left w:val="none" w:sz="0" w:space="0" w:color="auto"/>
        <w:bottom w:val="none" w:sz="0" w:space="0" w:color="auto"/>
        <w:right w:val="none" w:sz="0" w:space="0" w:color="auto"/>
      </w:divBdr>
    </w:div>
    <w:div w:id="2051223264">
      <w:bodyDiv w:val="1"/>
      <w:marLeft w:val="0"/>
      <w:marRight w:val="0"/>
      <w:marTop w:val="0"/>
      <w:marBottom w:val="0"/>
      <w:divBdr>
        <w:top w:val="none" w:sz="0" w:space="0" w:color="auto"/>
        <w:left w:val="none" w:sz="0" w:space="0" w:color="auto"/>
        <w:bottom w:val="none" w:sz="0" w:space="0" w:color="auto"/>
        <w:right w:val="none" w:sz="0" w:space="0" w:color="auto"/>
      </w:divBdr>
    </w:div>
    <w:div w:id="2070230104">
      <w:bodyDiv w:val="1"/>
      <w:marLeft w:val="0"/>
      <w:marRight w:val="0"/>
      <w:marTop w:val="0"/>
      <w:marBottom w:val="0"/>
      <w:divBdr>
        <w:top w:val="none" w:sz="0" w:space="0" w:color="auto"/>
        <w:left w:val="none" w:sz="0" w:space="0" w:color="auto"/>
        <w:bottom w:val="none" w:sz="0" w:space="0" w:color="auto"/>
        <w:right w:val="none" w:sz="0" w:space="0" w:color="auto"/>
      </w:divBdr>
    </w:div>
    <w:div w:id="2082092667">
      <w:bodyDiv w:val="1"/>
      <w:marLeft w:val="0"/>
      <w:marRight w:val="0"/>
      <w:marTop w:val="0"/>
      <w:marBottom w:val="0"/>
      <w:divBdr>
        <w:top w:val="none" w:sz="0" w:space="0" w:color="auto"/>
        <w:left w:val="none" w:sz="0" w:space="0" w:color="auto"/>
        <w:bottom w:val="none" w:sz="0" w:space="0" w:color="auto"/>
        <w:right w:val="none" w:sz="0" w:space="0" w:color="auto"/>
      </w:divBdr>
    </w:div>
    <w:div w:id="2089840886">
      <w:bodyDiv w:val="1"/>
      <w:marLeft w:val="0"/>
      <w:marRight w:val="0"/>
      <w:marTop w:val="0"/>
      <w:marBottom w:val="0"/>
      <w:divBdr>
        <w:top w:val="none" w:sz="0" w:space="0" w:color="auto"/>
        <w:left w:val="none" w:sz="0" w:space="0" w:color="auto"/>
        <w:bottom w:val="none" w:sz="0" w:space="0" w:color="auto"/>
        <w:right w:val="none" w:sz="0" w:space="0" w:color="auto"/>
      </w:divBdr>
    </w:div>
    <w:div w:id="2114745956">
      <w:bodyDiv w:val="1"/>
      <w:marLeft w:val="0"/>
      <w:marRight w:val="0"/>
      <w:marTop w:val="0"/>
      <w:marBottom w:val="0"/>
      <w:divBdr>
        <w:top w:val="none" w:sz="0" w:space="0" w:color="auto"/>
        <w:left w:val="none" w:sz="0" w:space="0" w:color="auto"/>
        <w:bottom w:val="none" w:sz="0" w:space="0" w:color="auto"/>
        <w:right w:val="none" w:sz="0" w:space="0" w:color="auto"/>
      </w:divBdr>
    </w:div>
    <w:div w:id="212992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yperlink" Target="https://www.csiro.au/en/Research/EF/Areas/Energy-storage/Battery-recycling" TargetMode="External"/><Relationship Id="rId21" Type="http://schemas.openxmlformats.org/officeDocument/2006/relationships/image" Target="media/image6.png"/><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header" Target="header12.xml"/><Relationship Id="rId68" Type="http://schemas.openxmlformats.org/officeDocument/2006/relationships/image" Target="media/image37.png"/><Relationship Id="rId84" Type="http://schemas.openxmlformats.org/officeDocument/2006/relationships/header" Target="header16.xml"/><Relationship Id="rId89" Type="http://schemas.openxmlformats.org/officeDocument/2006/relationships/image" Target="media/image49.png"/><Relationship Id="rId112" Type="http://schemas.openxmlformats.org/officeDocument/2006/relationships/hyperlink" Target="http://www.budget.gov.au/2017-18/content/myefo/html/" TargetMode="External"/><Relationship Id="rId133" Type="http://schemas.openxmlformats.org/officeDocument/2006/relationships/hyperlink" Target="https://industry.gov.au/Office-of-the-Chief-Economist/Publications/ResourcesandEnergyQuarterlyMarch2018/index.html" TargetMode="External"/><Relationship Id="rId138" Type="http://schemas.openxmlformats.org/officeDocument/2006/relationships/hyperlink" Target="https://www.cg.tas.gov.au/__data/assets/pdf_file/0020/123374/Investment_Guide_-Mining_and_Minerals_INVEST14205.pdf" TargetMode="External"/><Relationship Id="rId16" Type="http://schemas.openxmlformats.org/officeDocument/2006/relationships/header" Target="header3.xml"/><Relationship Id="rId107" Type="http://schemas.openxmlformats.org/officeDocument/2006/relationships/hyperlink" Target="http://wastemanagementreview.com.au/india-bans-solid-plastic-imports/" TargetMode="External"/><Relationship Id="rId11" Type="http://schemas.openxmlformats.org/officeDocument/2006/relationships/image" Target="media/image2.jpeg"/><Relationship Id="rId32" Type="http://schemas.openxmlformats.org/officeDocument/2006/relationships/header" Target="header7.xml"/><Relationship Id="rId37" Type="http://schemas.openxmlformats.org/officeDocument/2006/relationships/image" Target="media/image13.png"/><Relationship Id="rId53" Type="http://schemas.openxmlformats.org/officeDocument/2006/relationships/image" Target="media/image26.png"/><Relationship Id="rId58" Type="http://schemas.openxmlformats.org/officeDocument/2006/relationships/header" Target="header10.xml"/><Relationship Id="rId74" Type="http://schemas.openxmlformats.org/officeDocument/2006/relationships/image" Target="media/image42.png"/><Relationship Id="rId79" Type="http://schemas.openxmlformats.org/officeDocument/2006/relationships/header" Target="header14.xml"/><Relationship Id="rId102" Type="http://schemas.openxmlformats.org/officeDocument/2006/relationships/hyperlink" Target="http://www.nepc.gov.au/publications/annual-reports" TargetMode="External"/><Relationship Id="rId123" Type="http://schemas.openxmlformats.org/officeDocument/2006/relationships/hyperlink" Target="https://www.researchgate.net/publication/270048746_Ausmelt_Technology_for_Treating_Zinc_Residues" TargetMode="External"/><Relationship Id="rId128" Type="http://schemas.openxmlformats.org/officeDocument/2006/relationships/hyperlink" Target="http://www.sustainability.vic.gov.au/~/media/resources/documents/services%20and%20advice/business/paint%20product%20stewardship/study%20into%20stocks%20and%20flows_%20market%20analysis%20and%20processing%20capacity%20of%20waste%20paint%20in%20australia.pdf" TargetMode="External"/><Relationship Id="rId144" Type="http://schemas.openxmlformats.org/officeDocument/2006/relationships/header" Target="header23.xml"/><Relationship Id="rId149" Type="http://schemas.openxmlformats.org/officeDocument/2006/relationships/theme" Target="theme/theme1.xml"/><Relationship Id="rId5" Type="http://schemas.openxmlformats.org/officeDocument/2006/relationships/styles" Target="styles.xml"/><Relationship Id="rId90" Type="http://schemas.openxmlformats.org/officeDocument/2006/relationships/image" Target="media/image50.png"/><Relationship Id="rId95" Type="http://schemas.openxmlformats.org/officeDocument/2006/relationships/header" Target="header18.xml"/><Relationship Id="rId22" Type="http://schemas.openxmlformats.org/officeDocument/2006/relationships/image" Target="media/image7.png"/><Relationship Id="rId27" Type="http://schemas.openxmlformats.org/officeDocument/2006/relationships/hyperlink" Target="http://wastemanagementreview.com.au/india-bans-solid-plastic-imports/" TargetMode="External"/><Relationship Id="rId43" Type="http://schemas.openxmlformats.org/officeDocument/2006/relationships/image" Target="media/image17.png"/><Relationship Id="rId48" Type="http://schemas.openxmlformats.org/officeDocument/2006/relationships/image" Target="media/image22.png"/><Relationship Id="rId64" Type="http://schemas.openxmlformats.org/officeDocument/2006/relationships/image" Target="media/image33.png"/><Relationship Id="rId69" Type="http://schemas.openxmlformats.org/officeDocument/2006/relationships/image" Target="media/image38.png"/><Relationship Id="rId113" Type="http://schemas.openxmlformats.org/officeDocument/2006/relationships/hyperlink" Target="http://www.batteriesinternational.com/problems-for-chinas-lead-acid-tax/" TargetMode="External"/><Relationship Id="rId118" Type="http://schemas.openxmlformats.org/officeDocument/2006/relationships/hyperlink" Target="http://www.defence.gov.au/oscdf/adf-posture-review/docs/interim/AttachD.pdf" TargetMode="External"/><Relationship Id="rId134" Type="http://schemas.openxmlformats.org/officeDocument/2006/relationships/hyperlink" Target="http://www.orica.com/ArticleDocuments/775/20171204_Updated%20HCB%20Fact%20Sheet.pdf.aspx" TargetMode="External"/><Relationship Id="rId139" Type="http://schemas.openxmlformats.org/officeDocument/2006/relationships/hyperlink" Target="http://tasmaniantimes.com/index.php?/weblog/article/more-than-20-years-planning-for-a-c-cell-in-tasmania/" TargetMode="External"/><Relationship Id="rId80" Type="http://schemas.openxmlformats.org/officeDocument/2006/relationships/footer" Target="footer12.xml"/><Relationship Id="rId85" Type="http://schemas.openxmlformats.org/officeDocument/2006/relationships/footer" Target="footer1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emf"/><Relationship Id="rId33" Type="http://schemas.openxmlformats.org/officeDocument/2006/relationships/footer" Target="footer7.xml"/><Relationship Id="rId38" Type="http://schemas.openxmlformats.org/officeDocument/2006/relationships/header" Target="header9.xml"/><Relationship Id="rId46" Type="http://schemas.openxmlformats.org/officeDocument/2006/relationships/image" Target="media/image20.png"/><Relationship Id="rId59" Type="http://schemas.openxmlformats.org/officeDocument/2006/relationships/footer" Target="footer10.xml"/><Relationship Id="rId67" Type="http://schemas.openxmlformats.org/officeDocument/2006/relationships/image" Target="media/image36.png"/><Relationship Id="rId103" Type="http://schemas.openxmlformats.org/officeDocument/2006/relationships/image" Target="media/image53.png"/><Relationship Id="rId108" Type="http://schemas.openxmlformats.org/officeDocument/2006/relationships/hyperlink" Target="http://www.agriculture.gov.au/abares/research-topics/agricultural-commodities/agricultural-commodities-trade-data" TargetMode="External"/><Relationship Id="rId116" Type="http://schemas.openxmlformats.org/officeDocument/2006/relationships/hyperlink" Target="http://www.environment.gov.au/system/files/resources/2cb83be1-2352-484e-b176-bd4328a27c76/files/headline-economic-values-waste-final-report-2017.pdf" TargetMode="External"/><Relationship Id="rId124" Type="http://schemas.openxmlformats.org/officeDocument/2006/relationships/hyperlink" Target="http://www.epa.vic.gov.au/~/media/Files/Your%20environment/Land%20and%20groundwater/PFAS%20in%20Victoria/PFAS%20NEMP/FINAL_PFAS-NEMP-20180110.pdf" TargetMode="External"/><Relationship Id="rId129" Type="http://schemas.openxmlformats.org/officeDocument/2006/relationships/hyperlink" Target="https://nyrstarhobart.com/wp-content/uploads/2015/10/NH-12-14-Public-Env-Report.pdf" TargetMode="External"/><Relationship Id="rId137" Type="http://schemas.openxmlformats.org/officeDocument/2006/relationships/hyperlink" Target="http://www.environment.gov.au/protection/publications/spent-pot-lining-project-feasibility-agreement-based-approach-clear-stockpiles-final" TargetMode="External"/><Relationship Id="rId20" Type="http://schemas.openxmlformats.org/officeDocument/2006/relationships/header" Target="header4.xml"/><Relationship Id="rId41" Type="http://schemas.openxmlformats.org/officeDocument/2006/relationships/image" Target="media/image15.png"/><Relationship Id="rId54" Type="http://schemas.openxmlformats.org/officeDocument/2006/relationships/image" Target="media/image27.png"/><Relationship Id="rId62" Type="http://schemas.openxmlformats.org/officeDocument/2006/relationships/image" Target="media/image32.png"/><Relationship Id="rId70" Type="http://schemas.openxmlformats.org/officeDocument/2006/relationships/image" Target="media/image39.png"/><Relationship Id="rId75" Type="http://schemas.openxmlformats.org/officeDocument/2006/relationships/image" Target="media/image43.png"/><Relationship Id="rId83" Type="http://schemas.openxmlformats.org/officeDocument/2006/relationships/footer" Target="footer13.xml"/><Relationship Id="rId88" Type="http://schemas.openxmlformats.org/officeDocument/2006/relationships/image" Target="media/image48.png"/><Relationship Id="rId91" Type="http://schemas.openxmlformats.org/officeDocument/2006/relationships/image" Target="media/image51.png"/><Relationship Id="rId96" Type="http://schemas.openxmlformats.org/officeDocument/2006/relationships/footer" Target="footer17.xml"/><Relationship Id="rId111" Type="http://schemas.openxmlformats.org/officeDocument/2006/relationships/hyperlink" Target="https://acilallen.com.au/projects/economic-analysis/economic-significance-of-coal-seam-gas-in-queensland" TargetMode="External"/><Relationship Id="rId132" Type="http://schemas.openxmlformats.org/officeDocument/2006/relationships/hyperlink" Target="https://industry.gov.au/Office-of-the-Chief-Economist/Publications/ResourcesandEnergyQuarterlySeptember2017/documents/Resources-and-Energy-Quarterly-September-2017-Aluminium-alumina-and-bauxite.pdf" TargetMode="External"/><Relationship Id="rId140" Type="http://schemas.openxmlformats.org/officeDocument/2006/relationships/hyperlink" Target="http://www.unido.org/fileadmin/user_media/Services/Environmental_Management/Stockholm_Convention/Guidance_Docs/UNEP-POPS-GUID-NIP-2012-PBDEs-Inventory.En.pdf" TargetMode="External"/><Relationship Id="rId145"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eader" Target="header6.xml"/><Relationship Id="rId36" Type="http://schemas.openxmlformats.org/officeDocument/2006/relationships/image" Target="media/image12.png"/><Relationship Id="rId49" Type="http://schemas.openxmlformats.org/officeDocument/2006/relationships/chart" Target="charts/chart1.xml"/><Relationship Id="rId57" Type="http://schemas.openxmlformats.org/officeDocument/2006/relationships/image" Target="media/image30.png"/><Relationship Id="rId106" Type="http://schemas.openxmlformats.org/officeDocument/2006/relationships/footer" Target="footer20.xml"/><Relationship Id="rId114" Type="http://schemas.openxmlformats.org/officeDocument/2006/relationships/hyperlink" Target="http://www.environment.gov.au/protection/waste-resource-recovery/publications/australian-hazardous-waste-data-reporting-standard" TargetMode="External"/><Relationship Id="rId119" Type="http://schemas.openxmlformats.org/officeDocument/2006/relationships/hyperlink" Target="http://lmip.gov.au/default.aspx?LMIP/EmploymentProjections" TargetMode="External"/><Relationship Id="rId127" Type="http://schemas.openxmlformats.org/officeDocument/2006/relationships/hyperlink" Target="http://www.nicnas.gov.au/communications/issues/fracking-hydraulic-fracturing-coal-seam-gas-extraction/information-sheet" TargetMode="External"/><Relationship Id="rId10" Type="http://schemas.openxmlformats.org/officeDocument/2006/relationships/image" Target="media/image1.png"/><Relationship Id="rId31" Type="http://schemas.openxmlformats.org/officeDocument/2006/relationships/hyperlink" Target="http://www.environment.gov.au/protection/waste-resource-recovery/publications/australian-hazardous-waste-data-reporting-standard" TargetMode="External"/><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header" Target="header11.xml"/><Relationship Id="rId65" Type="http://schemas.openxmlformats.org/officeDocument/2006/relationships/image" Target="media/image34.png"/><Relationship Id="rId73" Type="http://schemas.openxmlformats.org/officeDocument/2006/relationships/image" Target="media/image41.png"/><Relationship Id="rId78" Type="http://schemas.openxmlformats.org/officeDocument/2006/relationships/footer" Target="footer11.xml"/><Relationship Id="rId81" Type="http://schemas.openxmlformats.org/officeDocument/2006/relationships/image" Target="media/image45.png"/><Relationship Id="rId86" Type="http://schemas.openxmlformats.org/officeDocument/2006/relationships/image" Target="media/image46.png"/><Relationship Id="rId94" Type="http://schemas.openxmlformats.org/officeDocument/2006/relationships/footer" Target="footer16.xml"/><Relationship Id="rId99" Type="http://schemas.openxmlformats.org/officeDocument/2006/relationships/footer" Target="footer18.xml"/><Relationship Id="rId101" Type="http://schemas.openxmlformats.org/officeDocument/2006/relationships/footer" Target="footer19.xml"/><Relationship Id="rId122" Type="http://schemas.openxmlformats.org/officeDocument/2006/relationships/hyperlink" Target="https://nyrstarhobart.com/wp-content/uploads/2015/10/NH-12-14-Public-Env-Report.pdf" TargetMode="External"/><Relationship Id="rId130" Type="http://schemas.openxmlformats.org/officeDocument/2006/relationships/hyperlink" Target="https://www.nyrstar.com/~/media/Files/N/Nyrstar/resources-and-materials/factsheets/fact-sheet-hobart.pdf" TargetMode="External"/><Relationship Id="rId135" Type="http://schemas.openxmlformats.org/officeDocument/2006/relationships/hyperlink" Target="https://www.sustainability.vic.gov.au/Business/Market-development/Tyre-stewardship" TargetMode="External"/><Relationship Id="rId143" Type="http://schemas.openxmlformats.org/officeDocument/2006/relationships/footer" Target="footer21.xml"/><Relationship Id="rId148"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2.epa.gov/sites/production/files/2014-04/documents/factsheet_contaminant_pfos_pfoa_march2014.pdf" TargetMode="External"/><Relationship Id="rId39" Type="http://schemas.openxmlformats.org/officeDocument/2006/relationships/footer" Target="footer9.xml"/><Relationship Id="rId109" Type="http://schemas.openxmlformats.org/officeDocument/2006/relationships/hyperlink" Target="http://www.abc.net.au/news/2017-10-19/forrestfield-tunnel-toxic-pfas-soil-dump-future-uncertain/9066212" TargetMode="External"/><Relationship Id="rId34" Type="http://schemas.openxmlformats.org/officeDocument/2006/relationships/header" Target="header8.xml"/><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4.png"/><Relationship Id="rId97" Type="http://schemas.openxmlformats.org/officeDocument/2006/relationships/image" Target="media/image52.png"/><Relationship Id="rId104" Type="http://schemas.openxmlformats.org/officeDocument/2006/relationships/image" Target="media/image54.png"/><Relationship Id="rId120" Type="http://schemas.openxmlformats.org/officeDocument/2006/relationships/hyperlink" Target="http://www.climatechange.gov.au/sites/climatechange/files/files/climate-change/projections/aep-waste.pdf" TargetMode="External"/><Relationship Id="rId125" Type="http://schemas.openxmlformats.org/officeDocument/2006/relationships/hyperlink" Target="http://www.nepc.gov.au/resource/stocks-and-fate-end-life-tyres-2013-14-study" TargetMode="External"/><Relationship Id="rId141" Type="http://schemas.openxmlformats.org/officeDocument/2006/relationships/hyperlink" Target="https://knoema.com/ftmgyvg/zinc-prices-forecast-long-term-2017-to-2030-data-and-charts" TargetMode="External"/><Relationship Id="rId146" Type="http://schemas.openxmlformats.org/officeDocument/2006/relationships/image" Target="media/image55.png"/><Relationship Id="rId7" Type="http://schemas.openxmlformats.org/officeDocument/2006/relationships/webSettings" Target="webSettings.xml"/><Relationship Id="rId71" Type="http://schemas.openxmlformats.org/officeDocument/2006/relationships/hyperlink" Target="http://www.environment.gov.au/system/files/resources/2cb83be1-2352-484e-b176-bd4328a27c76/files/headline-economic-values-waste-final-report-2017.pdf" TargetMode="External"/><Relationship Id="rId92" Type="http://schemas.openxmlformats.org/officeDocument/2006/relationships/footer" Target="footer15.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footer" Target="footer5.xm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image" Target="media/image35.png"/><Relationship Id="rId87" Type="http://schemas.openxmlformats.org/officeDocument/2006/relationships/image" Target="media/image47.png"/><Relationship Id="rId110" Type="http://schemas.openxmlformats.org/officeDocument/2006/relationships/hyperlink" Target="http://www.abs.gov.au/AUSSTATS/abs@.nsf/DetailsPage/3222.02012%20(base)%20to%202101?OpenDocument" TargetMode="External"/><Relationship Id="rId115" Type="http://schemas.openxmlformats.org/officeDocument/2006/relationships/hyperlink" Target="http://www.environment.gov.au/protection/hazardous-waste" TargetMode="External"/><Relationship Id="rId131" Type="http://schemas.openxmlformats.org/officeDocument/2006/relationships/hyperlink" Target="https://www.nyrstar.com/~/media/Files/N/Nyrstar/operations/melting/2018%20Fact%20Sheet%20-%20Hobart.pdf" TargetMode="External"/><Relationship Id="rId136" Type="http://schemas.openxmlformats.org/officeDocument/2006/relationships/hyperlink" Target="https://www.environment.gov.au/system/files/resources/dd827a0f-f9fa-4024-b1e0-5b11c2c43748/files/waste-lithium-battery-projections.pdf" TargetMode="External"/><Relationship Id="rId61" Type="http://schemas.openxmlformats.org/officeDocument/2006/relationships/image" Target="media/image31.png"/><Relationship Id="rId82" Type="http://schemas.openxmlformats.org/officeDocument/2006/relationships/header" Target="header15.xml"/><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image" Target="media/image10.png"/><Relationship Id="rId35" Type="http://schemas.openxmlformats.org/officeDocument/2006/relationships/footer" Target="footer8.xml"/><Relationship Id="rId56" Type="http://schemas.openxmlformats.org/officeDocument/2006/relationships/image" Target="media/image29.png"/><Relationship Id="rId77" Type="http://schemas.openxmlformats.org/officeDocument/2006/relationships/header" Target="header13.xml"/><Relationship Id="rId100" Type="http://schemas.openxmlformats.org/officeDocument/2006/relationships/header" Target="header20.xml"/><Relationship Id="rId105" Type="http://schemas.openxmlformats.org/officeDocument/2006/relationships/header" Target="header21.xml"/><Relationship Id="rId126" Type="http://schemas.openxmlformats.org/officeDocument/2006/relationships/hyperlink" Target="http://www.icnvic.org.au/media/documents/water%20industry/melb%20water%20-%20eoi%20-%20beneficial%20use%20of%20biosolids.pdf" TargetMode="External"/><Relationship Id="rId14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4.png"/><Relationship Id="rId72" Type="http://schemas.openxmlformats.org/officeDocument/2006/relationships/image" Target="media/image40.png"/><Relationship Id="rId93" Type="http://schemas.openxmlformats.org/officeDocument/2006/relationships/header" Target="header17.xml"/><Relationship Id="rId98" Type="http://schemas.openxmlformats.org/officeDocument/2006/relationships/header" Target="header19.xml"/><Relationship Id="rId121" Type="http://schemas.openxmlformats.org/officeDocument/2006/relationships/hyperlink" Target="http://www.environment.gov.au/system/files/resources/00a9e787-a1a6-4d80-9ab7-f44e6896110c/files/annual-report-2016-17-appendices.pdf" TargetMode="External"/><Relationship Id="rId142" Type="http://schemas.openxmlformats.org/officeDocument/2006/relationships/header" Target="header22.xml"/></Relationships>
</file>

<file path=word/_rels/foot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3" Type="http://schemas.openxmlformats.org/officeDocument/2006/relationships/hyperlink" Target="http://www.ga.gov.au/scientific-topics/minerals/mineral-resources/aimr/zinc-lead-silver" TargetMode="External"/><Relationship Id="rId2" Type="http://schemas.openxmlformats.org/officeDocument/2006/relationships/hyperlink" Target="http://www.mercuryconvention.org/Convention" TargetMode="External"/><Relationship Id="rId1" Type="http://schemas.openxmlformats.org/officeDocument/2006/relationships/hyperlink" Target="http://www.environment.act.gov.au/__data/assets/pdf_file/0005/585500/wastestandards.pdf" TargetMode="External"/><Relationship Id="rId6" Type="http://schemas.openxmlformats.org/officeDocument/2006/relationships/hyperlink" Target="http://www.epa.vic.gov.au/about-us/news-centre/news-and-updates/news/2015/april/15/epa-tightens-regulations-on-tyre-stockpiling" TargetMode="External"/><Relationship Id="rId5" Type="http://schemas.openxmlformats.org/officeDocument/2006/relationships/hyperlink" Target="http://www.environment.gov.au/protection/publications/hazardous-waste-infrastructure-australia" TargetMode="External"/><Relationship Id="rId4" Type="http://schemas.openxmlformats.org/officeDocument/2006/relationships/hyperlink" Target="https://www.accc.gov.au/system/files/public-registers/documents/AA1000409%20-%20Tyre%20Stewardship%20Australia%20Limited%20-%20Annexure%203%20-%20Appendix%20F%20-%20National%20Market%20Development%20Strategy%20for%20Used%20Tyres%20-%2005.12.17%20-%20PR.pdf" TargetMode="External"/></Relationships>
</file>

<file path=word/_rels/header10.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3.jpeg"/><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png"/><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11.jpeg"/></Relationships>
</file>

<file path=word/_rels/header14.xml.rels><?xml version="1.0" encoding="UTF-8" standalone="yes"?>
<Relationships xmlns="http://schemas.openxmlformats.org/package/2006/relationships"><Relationship Id="rId1" Type="http://schemas.openxmlformats.org/officeDocument/2006/relationships/image" Target="media/image11.jpeg"/></Relationships>
</file>

<file path=word/_rels/header15.xml.rels><?xml version="1.0" encoding="UTF-8" standalone="yes"?>
<Relationships xmlns="http://schemas.openxmlformats.org/package/2006/relationships"><Relationship Id="rId1" Type="http://schemas.openxmlformats.org/officeDocument/2006/relationships/image" Target="media/image11.jpeg"/></Relationships>
</file>

<file path=word/_rels/header16.xml.rels><?xml version="1.0" encoding="UTF-8" standalone="yes"?>
<Relationships xmlns="http://schemas.openxmlformats.org/package/2006/relationships"><Relationship Id="rId1" Type="http://schemas.openxmlformats.org/officeDocument/2006/relationships/image" Target="media/image11.jpeg"/></Relationships>
</file>

<file path=word/_rels/header17.xml.rels><?xml version="1.0" encoding="UTF-8" standalone="yes"?>
<Relationships xmlns="http://schemas.openxmlformats.org/package/2006/relationships"><Relationship Id="rId1" Type="http://schemas.openxmlformats.org/officeDocument/2006/relationships/image" Target="media/image11.jpeg"/></Relationships>
</file>

<file path=word/_rels/header18.xml.rels><?xml version="1.0" encoding="UTF-8" standalone="yes"?>
<Relationships xmlns="http://schemas.openxmlformats.org/package/2006/relationships"><Relationship Id="rId1" Type="http://schemas.openxmlformats.org/officeDocument/2006/relationships/image" Target="media/image11.jpeg"/></Relationships>
</file>

<file path=word/_rels/header19.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png"/><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11.jpeg"/></Relationships>
</file>

<file path=word/_rels/header2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png"/><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1" Type="http://schemas.openxmlformats.org/officeDocument/2006/relationships/image" Target="media/image11.jpeg"/></Relationships>
</file>

<file path=word/_rels/header23.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pn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png"/><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11.jpeg"/></Relationships>
</file>

<file path=word/_rels/header8.xml.rels><?xml version="1.0" encoding="UTF-8" standalone="yes"?>
<Relationships xmlns="http://schemas.openxmlformats.org/package/2006/relationships"><Relationship Id="rId1" Type="http://schemas.openxmlformats.org/officeDocument/2006/relationships/image" Target="media/image11.jpeg"/></Relationships>
</file>

<file path=word/_rels/header9.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oleObject" Target="file:///\\Users\geofflatimer\Documents\Ascend\1.ASCEND\Projects\Blue%20Environment\9.%202017-19%20Data%20&amp;%20reporting\Working\Infrastructure%20&amp;%20projections\P863%20Hazwaste%20needs%20vs%20capacities%20model%202018%20-%20draft%20v0.16.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'Proj. calcs'!$E$7</c:f>
              <c:strCache>
                <c:ptCount val="1"/>
                <c:pt idx="0">
                  <c:v>Best</c:v>
                </c:pt>
              </c:strCache>
            </c:strRef>
          </c:tx>
          <c:marker>
            <c:symbol val="none"/>
          </c:marker>
          <c:cat>
            <c:numRef>
              <c:f>'Proj. calcs'!$F$4:$Z$4</c:f>
              <c:numCache>
                <c:formatCode>General</c:formatCode>
                <c:ptCount val="21"/>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numCache>
            </c:numRef>
          </c:cat>
          <c:val>
            <c:numRef>
              <c:f>'Proj. calcs'!$F$16:$Z$16</c:f>
              <c:numCache>
                <c:formatCode>#,##0</c:formatCode>
                <c:ptCount val="21"/>
                <c:pt idx="0">
                  <c:v>276.49619532572166</c:v>
                </c:pt>
                <c:pt idx="1">
                  <c:v>274.11832804592046</c:v>
                </c:pt>
                <c:pt idx="2">
                  <c:v>271.76091042472552</c:v>
                </c:pt>
                <c:pt idx="3">
                  <c:v>269.42376659507283</c:v>
                </c:pt>
                <c:pt idx="4">
                  <c:v>267.10672220235517</c:v>
                </c:pt>
                <c:pt idx="5">
                  <c:v>264.80960439141495</c:v>
                </c:pt>
                <c:pt idx="6">
                  <c:v>262.53224179364872</c:v>
                </c:pt>
                <c:pt idx="7">
                  <c:v>260.27446451422333</c:v>
                </c:pt>
                <c:pt idx="8">
                  <c:v>258.03610411940099</c:v>
                </c:pt>
                <c:pt idx="9">
                  <c:v>255.81699362397418</c:v>
                </c:pt>
                <c:pt idx="10">
                  <c:v>253.61696747880796</c:v>
                </c:pt>
                <c:pt idx="11">
                  <c:v>251.43586155849022</c:v>
                </c:pt>
                <c:pt idx="12">
                  <c:v>249.27351314908717</c:v>
                </c:pt>
                <c:pt idx="13">
                  <c:v>247.129760936005</c:v>
                </c:pt>
                <c:pt idx="14">
                  <c:v>245.00444499195535</c:v>
                </c:pt>
                <c:pt idx="15">
                  <c:v>242.89740676502453</c:v>
                </c:pt>
                <c:pt idx="16">
                  <c:v>240.80848906684531</c:v>
                </c:pt>
                <c:pt idx="17">
                  <c:v>238.73753606087044</c:v>
                </c:pt>
                <c:pt idx="18">
                  <c:v>236.68439325074695</c:v>
                </c:pt>
                <c:pt idx="19">
                  <c:v>234.6489074687905</c:v>
                </c:pt>
                <c:pt idx="20">
                  <c:v>232.63092686455889</c:v>
                </c:pt>
              </c:numCache>
            </c:numRef>
          </c:val>
          <c:smooth val="0"/>
          <c:extLst xmlns:c16r2="http://schemas.microsoft.com/office/drawing/2015/06/chart">
            <c:ext xmlns:c16="http://schemas.microsoft.com/office/drawing/2014/chart" uri="{C3380CC4-5D6E-409C-BE32-E72D297353CC}">
              <c16:uniqueId val="{00000000-64EF-1247-83B9-5D67736DFADA}"/>
            </c:ext>
          </c:extLst>
        </c:ser>
        <c:ser>
          <c:idx val="2"/>
          <c:order val="1"/>
          <c:tx>
            <c:strRef>
              <c:f>'Proj. calcs'!$E$42</c:f>
              <c:strCache>
                <c:ptCount val="1"/>
                <c:pt idx="0">
                  <c:v>High</c:v>
                </c:pt>
              </c:strCache>
            </c:strRef>
          </c:tx>
          <c:marker>
            <c:symbol val="none"/>
          </c:marker>
          <c:cat>
            <c:numRef>
              <c:f>'Proj. calcs'!$F$4:$Z$4</c:f>
              <c:numCache>
                <c:formatCode>General</c:formatCode>
                <c:ptCount val="21"/>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numCache>
            </c:numRef>
          </c:cat>
          <c:val>
            <c:numRef>
              <c:f>'Proj. calcs'!$F$51:$Z$51</c:f>
              <c:numCache>
                <c:formatCode>#,##0</c:formatCode>
                <c:ptCount val="21"/>
                <c:pt idx="0">
                  <c:v>276.49619532572166</c:v>
                </c:pt>
                <c:pt idx="1">
                  <c:v>276.49619532572166</c:v>
                </c:pt>
                <c:pt idx="2">
                  <c:v>276.49619532572166</c:v>
                </c:pt>
                <c:pt idx="3">
                  <c:v>276.49619532572166</c:v>
                </c:pt>
                <c:pt idx="4">
                  <c:v>276.49619532572166</c:v>
                </c:pt>
                <c:pt idx="5">
                  <c:v>276.49619532572166</c:v>
                </c:pt>
                <c:pt idx="6">
                  <c:v>276.49619532572166</c:v>
                </c:pt>
                <c:pt idx="7">
                  <c:v>276.49619532572166</c:v>
                </c:pt>
                <c:pt idx="8">
                  <c:v>276.49619532572166</c:v>
                </c:pt>
                <c:pt idx="9">
                  <c:v>276.49619532572166</c:v>
                </c:pt>
                <c:pt idx="10">
                  <c:v>276.49619532572166</c:v>
                </c:pt>
                <c:pt idx="11">
                  <c:v>276.49619532572166</c:v>
                </c:pt>
                <c:pt idx="12">
                  <c:v>276.49619532572166</c:v>
                </c:pt>
                <c:pt idx="13">
                  <c:v>276.49619532572166</c:v>
                </c:pt>
                <c:pt idx="14">
                  <c:v>276.49619532572166</c:v>
                </c:pt>
                <c:pt idx="15">
                  <c:v>276.49619532572166</c:v>
                </c:pt>
                <c:pt idx="16">
                  <c:v>276.49619532572166</c:v>
                </c:pt>
                <c:pt idx="17">
                  <c:v>276.49619532572166</c:v>
                </c:pt>
                <c:pt idx="18">
                  <c:v>276.49619532572166</c:v>
                </c:pt>
                <c:pt idx="19">
                  <c:v>276.49619532572166</c:v>
                </c:pt>
                <c:pt idx="20">
                  <c:v>276.49619532572166</c:v>
                </c:pt>
              </c:numCache>
            </c:numRef>
          </c:val>
          <c:smooth val="0"/>
          <c:extLst xmlns:c16r2="http://schemas.microsoft.com/office/drawing/2015/06/chart">
            <c:ext xmlns:c16="http://schemas.microsoft.com/office/drawing/2014/chart" uri="{C3380CC4-5D6E-409C-BE32-E72D297353CC}">
              <c16:uniqueId val="{00000001-64EF-1247-83B9-5D67736DFADA}"/>
            </c:ext>
          </c:extLst>
        </c:ser>
        <c:ser>
          <c:idx val="3"/>
          <c:order val="2"/>
          <c:tx>
            <c:strRef>
              <c:f>'Proj. calcs'!$E$77</c:f>
              <c:strCache>
                <c:ptCount val="1"/>
                <c:pt idx="0">
                  <c:v>Low</c:v>
                </c:pt>
              </c:strCache>
            </c:strRef>
          </c:tx>
          <c:marker>
            <c:symbol val="none"/>
          </c:marker>
          <c:cat>
            <c:numRef>
              <c:f>'Proj. calcs'!$F$4:$Z$4</c:f>
              <c:numCache>
                <c:formatCode>General</c:formatCode>
                <c:ptCount val="21"/>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numCache>
            </c:numRef>
          </c:cat>
          <c:val>
            <c:numRef>
              <c:f>'Proj. calcs'!$F$86:$Z$86</c:f>
              <c:numCache>
                <c:formatCode>#,##0</c:formatCode>
                <c:ptCount val="21"/>
                <c:pt idx="0">
                  <c:v>276.49619532572166</c:v>
                </c:pt>
                <c:pt idx="1">
                  <c:v>271.74046076611927</c:v>
                </c:pt>
                <c:pt idx="2">
                  <c:v>267.06652484094201</c:v>
                </c:pt>
                <c:pt idx="3">
                  <c:v>262.47298061367781</c:v>
                </c:pt>
                <c:pt idx="4">
                  <c:v>257.95844534712256</c:v>
                </c:pt>
                <c:pt idx="5">
                  <c:v>253.52156008715207</c:v>
                </c:pt>
                <c:pt idx="6">
                  <c:v>249.16098925365304</c:v>
                </c:pt>
                <c:pt idx="7">
                  <c:v>244.87542023849022</c:v>
                </c:pt>
                <c:pt idx="8">
                  <c:v>240.6635630103882</c:v>
                </c:pt>
                <c:pt idx="9">
                  <c:v>236.52414972660949</c:v>
                </c:pt>
                <c:pt idx="10">
                  <c:v>232.45593435131181</c:v>
                </c:pt>
                <c:pt idx="11">
                  <c:v>228.45769228046925</c:v>
                </c:pt>
                <c:pt idx="12">
                  <c:v>224.5282199732452</c:v>
                </c:pt>
                <c:pt idx="13">
                  <c:v>220.66633458970534</c:v>
                </c:pt>
                <c:pt idx="14">
                  <c:v>216.87087363476243</c:v>
                </c:pt>
                <c:pt idx="15">
                  <c:v>213.14069460824453</c:v>
                </c:pt>
                <c:pt idx="16">
                  <c:v>209.47467466098271</c:v>
                </c:pt>
                <c:pt idx="17">
                  <c:v>205.8717102568138</c:v>
                </c:pt>
                <c:pt idx="18">
                  <c:v>202.3307168403966</c:v>
                </c:pt>
                <c:pt idx="19">
                  <c:v>198.85062851074179</c:v>
                </c:pt>
                <c:pt idx="20">
                  <c:v>195.43039770035702</c:v>
                </c:pt>
              </c:numCache>
            </c:numRef>
          </c:val>
          <c:smooth val="0"/>
          <c:extLst xmlns:c16r2="http://schemas.microsoft.com/office/drawing/2015/06/chart">
            <c:ext xmlns:c16="http://schemas.microsoft.com/office/drawing/2014/chart" uri="{C3380CC4-5D6E-409C-BE32-E72D297353CC}">
              <c16:uniqueId val="{00000002-64EF-1247-83B9-5D67736DFADA}"/>
            </c:ext>
          </c:extLst>
        </c:ser>
        <c:dLbls>
          <c:showLegendKey val="0"/>
          <c:showVal val="0"/>
          <c:showCatName val="0"/>
          <c:showSerName val="0"/>
          <c:showPercent val="0"/>
          <c:showBubbleSize val="0"/>
        </c:dLbls>
        <c:smooth val="0"/>
        <c:axId val="305418464"/>
        <c:axId val="205795336"/>
      </c:lineChart>
      <c:catAx>
        <c:axId val="305418464"/>
        <c:scaling>
          <c:orientation val="minMax"/>
        </c:scaling>
        <c:delete val="0"/>
        <c:axPos val="b"/>
        <c:numFmt formatCode="General" sourceLinked="1"/>
        <c:majorTickMark val="out"/>
        <c:minorTickMark val="none"/>
        <c:tickLblPos val="nextTo"/>
        <c:crossAx val="205795336"/>
        <c:crosses val="autoZero"/>
        <c:auto val="1"/>
        <c:lblAlgn val="ctr"/>
        <c:lblOffset val="100"/>
        <c:noMultiLvlLbl val="0"/>
      </c:catAx>
      <c:valAx>
        <c:axId val="205795336"/>
        <c:scaling>
          <c:orientation val="minMax"/>
        </c:scaling>
        <c:delete val="0"/>
        <c:axPos val="l"/>
        <c:majorGridlines/>
        <c:title>
          <c:tx>
            <c:rich>
              <a:bodyPr rot="-5400000" vert="horz"/>
              <a:lstStyle/>
              <a:p>
                <a:pPr>
                  <a:defRPr b="0"/>
                </a:pPr>
                <a:r>
                  <a:rPr lang="en-US" b="0"/>
                  <a:t>Tonnes arising</a:t>
                </a:r>
              </a:p>
            </c:rich>
          </c:tx>
          <c:layout>
            <c:manualLayout>
              <c:xMode val="edge"/>
              <c:yMode val="edge"/>
              <c:x val="1.6666666666666701E-2"/>
              <c:y val="0.31752041411490201"/>
            </c:manualLayout>
          </c:layout>
          <c:overlay val="0"/>
        </c:title>
        <c:numFmt formatCode="#,##0" sourceLinked="1"/>
        <c:majorTickMark val="out"/>
        <c:minorTickMark val="none"/>
        <c:tickLblPos val="nextTo"/>
        <c:spPr>
          <a:ln>
            <a:noFill/>
          </a:ln>
        </c:spPr>
        <c:crossAx val="305418464"/>
        <c:crosses val="autoZero"/>
        <c:crossBetween val="midCat"/>
      </c:valAx>
    </c:plotArea>
    <c:legend>
      <c:legendPos val="t"/>
      <c:overlay val="0"/>
    </c:legend>
    <c:plotVisOnly val="1"/>
    <c:dispBlanksAs val="gap"/>
    <c:showDLblsOverMax val="0"/>
  </c:chart>
  <c:spPr>
    <a:ln>
      <a:noFill/>
    </a:ln>
  </c:sp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7BF9C35420B4ED4A142AEB6CE06E739"/>
        <w:category>
          <w:name w:val="General"/>
          <w:gallery w:val="placeholder"/>
        </w:category>
        <w:types>
          <w:type w:val="bbPlcHdr"/>
        </w:types>
        <w:behaviors>
          <w:behavior w:val="content"/>
        </w:behaviors>
        <w:guid w:val="{19014F15-9B3F-49A6-B1FC-AB5D21C2018D}"/>
      </w:docPartPr>
      <w:docPartBody>
        <w:p w:rsidR="00A7212E" w:rsidRDefault="00226116">
          <w:pPr>
            <w:pStyle w:val="97BF9C35420B4ED4A142AEB6CE06E739"/>
          </w:pPr>
          <w:r w:rsidRPr="00F96631">
            <w:rPr>
              <w:rStyle w:val="PlaceholderText"/>
            </w:rPr>
            <w:t>Click here to enter text.</w:t>
          </w:r>
        </w:p>
      </w:docPartBody>
    </w:docPart>
    <w:docPart>
      <w:docPartPr>
        <w:name w:val="0007DA39C98047538E429C2075C16B67"/>
        <w:category>
          <w:name w:val="General"/>
          <w:gallery w:val="placeholder"/>
        </w:category>
        <w:types>
          <w:type w:val="bbPlcHdr"/>
        </w:types>
        <w:behaviors>
          <w:behavior w:val="content"/>
        </w:behaviors>
        <w:guid w:val="{18B927B3-B7A1-4A4A-94BA-696310299408}"/>
      </w:docPartPr>
      <w:docPartBody>
        <w:p w:rsidR="00A7212E" w:rsidRDefault="00226116">
          <w:pPr>
            <w:pStyle w:val="0007DA39C98047538E429C2075C16B67"/>
          </w:pPr>
          <w:r w:rsidRPr="00F96631">
            <w:rPr>
              <w:rStyle w:val="PlaceholderText"/>
            </w:rPr>
            <w:t>Click here to enter a date.</w:t>
          </w:r>
        </w:p>
      </w:docPartBody>
    </w:docPart>
    <w:docPart>
      <w:docPartPr>
        <w:name w:val="F6C11163A25A49C8A2A801255F479597"/>
        <w:category>
          <w:name w:val="General"/>
          <w:gallery w:val="placeholder"/>
        </w:category>
        <w:types>
          <w:type w:val="bbPlcHdr"/>
        </w:types>
        <w:behaviors>
          <w:behavior w:val="content"/>
        </w:behaviors>
        <w:guid w:val="{7E453CEA-A38E-4820-A405-F806ABA1C6A6}"/>
      </w:docPartPr>
      <w:docPartBody>
        <w:p w:rsidR="00A7212E" w:rsidRDefault="00226116">
          <w:pPr>
            <w:pStyle w:val="F6C11163A25A49C8A2A801255F479597"/>
          </w:pPr>
          <w:r w:rsidRPr="00F96631">
            <w:rPr>
              <w:rStyle w:val="PlaceholderText"/>
            </w:rPr>
            <w:t>Click here to enter a date.</w:t>
          </w:r>
        </w:p>
      </w:docPartBody>
    </w:docPart>
    <w:docPart>
      <w:docPartPr>
        <w:name w:val="E9C8F7E74F834F3E80BE414A8F623350"/>
        <w:category>
          <w:name w:val="General"/>
          <w:gallery w:val="placeholder"/>
        </w:category>
        <w:types>
          <w:type w:val="bbPlcHdr"/>
        </w:types>
        <w:behaviors>
          <w:behavior w:val="content"/>
        </w:behaviors>
        <w:guid w:val="{2E905D2F-DAF9-4FFA-9FFF-716BC40C5190}"/>
      </w:docPartPr>
      <w:docPartBody>
        <w:p w:rsidR="00A7212E" w:rsidRDefault="00226116">
          <w:pPr>
            <w:pStyle w:val="E9C8F7E74F834F3E80BE414A8F623350"/>
          </w:pPr>
          <w:r w:rsidRPr="00F96631">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charset w:val="00"/>
    <w:family w:val="auto"/>
    <w:pitch w:val="default"/>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116"/>
    <w:rsid w:val="000323A0"/>
    <w:rsid w:val="00062879"/>
    <w:rsid w:val="00096E89"/>
    <w:rsid w:val="00115DB4"/>
    <w:rsid w:val="00172E5D"/>
    <w:rsid w:val="001F7463"/>
    <w:rsid w:val="00226116"/>
    <w:rsid w:val="0022655E"/>
    <w:rsid w:val="0022742F"/>
    <w:rsid w:val="00323354"/>
    <w:rsid w:val="003574A3"/>
    <w:rsid w:val="003A68E6"/>
    <w:rsid w:val="003C2027"/>
    <w:rsid w:val="003E153C"/>
    <w:rsid w:val="003E5007"/>
    <w:rsid w:val="003E669D"/>
    <w:rsid w:val="0042189A"/>
    <w:rsid w:val="00440573"/>
    <w:rsid w:val="00495647"/>
    <w:rsid w:val="004B16B9"/>
    <w:rsid w:val="004E2AC5"/>
    <w:rsid w:val="004F1874"/>
    <w:rsid w:val="00541CAD"/>
    <w:rsid w:val="005828E8"/>
    <w:rsid w:val="006358D9"/>
    <w:rsid w:val="00652386"/>
    <w:rsid w:val="006C6091"/>
    <w:rsid w:val="00716358"/>
    <w:rsid w:val="00754C98"/>
    <w:rsid w:val="00776372"/>
    <w:rsid w:val="00860D2D"/>
    <w:rsid w:val="00870C3D"/>
    <w:rsid w:val="0093620E"/>
    <w:rsid w:val="00A7212E"/>
    <w:rsid w:val="00AA7EFD"/>
    <w:rsid w:val="00AB786A"/>
    <w:rsid w:val="00B40263"/>
    <w:rsid w:val="00B565D3"/>
    <w:rsid w:val="00B8076D"/>
    <w:rsid w:val="00B93EE0"/>
    <w:rsid w:val="00B96DDF"/>
    <w:rsid w:val="00BF051C"/>
    <w:rsid w:val="00C00971"/>
    <w:rsid w:val="00C00FBC"/>
    <w:rsid w:val="00C67C67"/>
    <w:rsid w:val="00CA192A"/>
    <w:rsid w:val="00CF625B"/>
    <w:rsid w:val="00D1621B"/>
    <w:rsid w:val="00D27089"/>
    <w:rsid w:val="00E254C8"/>
    <w:rsid w:val="00FB03C2"/>
    <w:rsid w:val="00FB0D43"/>
    <w:rsid w:val="00FD5E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0971"/>
    <w:rPr>
      <w:color w:val="808080"/>
    </w:rPr>
  </w:style>
  <w:style w:type="paragraph" w:customStyle="1" w:styleId="0D8270C9F323451E8D80DA0862B3CF22">
    <w:name w:val="0D8270C9F323451E8D80DA0862B3CF22"/>
  </w:style>
  <w:style w:type="paragraph" w:customStyle="1" w:styleId="0E9D2E3D7E894DE7A93E77A6C18FF1A9">
    <w:name w:val="0E9D2E3D7E894DE7A93E77A6C18FF1A9"/>
  </w:style>
  <w:style w:type="paragraph" w:customStyle="1" w:styleId="989DA3D2B641440D8399BFDB04FC0EDE">
    <w:name w:val="989DA3D2B641440D8399BFDB04FC0EDE"/>
  </w:style>
  <w:style w:type="paragraph" w:customStyle="1" w:styleId="6A41485A0056498FB060CE07E1467DDA">
    <w:name w:val="6A41485A0056498FB060CE07E1467DDA"/>
  </w:style>
  <w:style w:type="paragraph" w:customStyle="1" w:styleId="4B373C1F9C704D939F45EE0BC4C350A0">
    <w:name w:val="4B373C1F9C704D939F45EE0BC4C350A0"/>
  </w:style>
  <w:style w:type="paragraph" w:customStyle="1" w:styleId="8363843DC5764AF0A54726073E2BC55F">
    <w:name w:val="8363843DC5764AF0A54726073E2BC55F"/>
  </w:style>
  <w:style w:type="paragraph" w:customStyle="1" w:styleId="786D1353ECC04C7D99C7F7358857D82B">
    <w:name w:val="786D1353ECC04C7D99C7F7358857D82B"/>
  </w:style>
  <w:style w:type="paragraph" w:customStyle="1" w:styleId="45FAE9A6BFA140328463FBCEBC036A73">
    <w:name w:val="45FAE9A6BFA140328463FBCEBC036A73"/>
  </w:style>
  <w:style w:type="paragraph" w:customStyle="1" w:styleId="97BF9C35420B4ED4A142AEB6CE06E739">
    <w:name w:val="97BF9C35420B4ED4A142AEB6CE06E739"/>
  </w:style>
  <w:style w:type="paragraph" w:customStyle="1" w:styleId="7984C9BF57A348D696765B08E79AB932">
    <w:name w:val="7984C9BF57A348D696765B08E79AB932"/>
  </w:style>
  <w:style w:type="paragraph" w:customStyle="1" w:styleId="0007DA39C98047538E429C2075C16B67">
    <w:name w:val="0007DA39C98047538E429C2075C16B67"/>
  </w:style>
  <w:style w:type="paragraph" w:customStyle="1" w:styleId="5C307A68012848348C2CE1E7F5DC8FD2">
    <w:name w:val="5C307A68012848348C2CE1E7F5DC8FD2"/>
  </w:style>
  <w:style w:type="paragraph" w:customStyle="1" w:styleId="CDA3DD305F884B5C838EED12122EBD23">
    <w:name w:val="CDA3DD305F884B5C838EED12122EBD23"/>
  </w:style>
  <w:style w:type="paragraph" w:customStyle="1" w:styleId="F6C11163A25A49C8A2A801255F479597">
    <w:name w:val="F6C11163A25A49C8A2A801255F479597"/>
  </w:style>
  <w:style w:type="paragraph" w:customStyle="1" w:styleId="E9C8F7E74F834F3E80BE414A8F623350">
    <w:name w:val="E9C8F7E74F834F3E80BE414A8F623350"/>
  </w:style>
  <w:style w:type="paragraph" w:customStyle="1" w:styleId="B6BC81DA905340F5815A3DAF5BB9DB53">
    <w:name w:val="B6BC81DA905340F5815A3DAF5BB9DB53"/>
  </w:style>
  <w:style w:type="paragraph" w:customStyle="1" w:styleId="49F0A442C3744953AE48B05E1F382053">
    <w:name w:val="49F0A442C3744953AE48B05E1F382053"/>
  </w:style>
  <w:style w:type="paragraph" w:customStyle="1" w:styleId="6F54841E76034AEDB7BF88C140C412B3">
    <w:name w:val="6F54841E76034AEDB7BF88C140C412B3"/>
  </w:style>
  <w:style w:type="paragraph" w:customStyle="1" w:styleId="59A0FCBC1F1545509C286CAC4F667CFB">
    <w:name w:val="59A0FCBC1F1545509C286CAC4F667CFB"/>
  </w:style>
  <w:style w:type="paragraph" w:customStyle="1" w:styleId="BE384F1FA53B47A489780A2BC3A3983F">
    <w:name w:val="BE384F1FA53B47A489780A2BC3A3983F"/>
  </w:style>
  <w:style w:type="paragraph" w:customStyle="1" w:styleId="D9AC39AACDEE4952A820DAD9410394A3">
    <w:name w:val="D9AC39AACDEE4952A820DAD9410394A3"/>
  </w:style>
  <w:style w:type="paragraph" w:customStyle="1" w:styleId="B5F38FA8936E430C8A3D13FDB36EA394">
    <w:name w:val="B5F38FA8936E430C8A3D13FDB36EA394"/>
  </w:style>
  <w:style w:type="paragraph" w:customStyle="1" w:styleId="AB6C29D0D3F24EFF8187D14719790B70">
    <w:name w:val="AB6C29D0D3F24EFF8187D14719790B70"/>
  </w:style>
  <w:style w:type="paragraph" w:customStyle="1" w:styleId="78EEF571470A48C59A708F47469DB282">
    <w:name w:val="78EEF571470A48C59A708F47469DB282"/>
    <w:rsid w:val="003E5007"/>
  </w:style>
  <w:style w:type="paragraph" w:customStyle="1" w:styleId="16ECB1AC5EBE4705998A412AD09AF330">
    <w:name w:val="16ECB1AC5EBE4705998A412AD09AF330"/>
    <w:rsid w:val="003E5007"/>
  </w:style>
  <w:style w:type="paragraph" w:customStyle="1" w:styleId="18C4DE0672CF4CB88F23ECB2AC07BD16">
    <w:name w:val="18C4DE0672CF4CB88F23ECB2AC07BD16"/>
    <w:rsid w:val="00115DB4"/>
  </w:style>
  <w:style w:type="paragraph" w:customStyle="1" w:styleId="3F33FD639508437BAC849EFFE9EF6EEE">
    <w:name w:val="3F33FD639508437BAC849EFFE9EF6EEE"/>
    <w:rsid w:val="00115DB4"/>
  </w:style>
  <w:style w:type="paragraph" w:customStyle="1" w:styleId="094AB01C20AC4B30979DAEB5784B97FB">
    <w:name w:val="094AB01C20AC4B30979DAEB5784B97FB"/>
    <w:rsid w:val="00115DB4"/>
  </w:style>
  <w:style w:type="paragraph" w:customStyle="1" w:styleId="4A8C85FC511C478497DB2800C85489B4">
    <w:name w:val="4A8C85FC511C478497DB2800C85489B4"/>
    <w:rsid w:val="00115DB4"/>
  </w:style>
  <w:style w:type="paragraph" w:customStyle="1" w:styleId="9CB2337BC7444FA8BDFA24BD27ED79A9">
    <w:name w:val="9CB2337BC7444FA8BDFA24BD27ED79A9"/>
    <w:rsid w:val="00115DB4"/>
  </w:style>
  <w:style w:type="paragraph" w:customStyle="1" w:styleId="3DF24981E8EE49F2B4EC4685B7930C8E">
    <w:name w:val="3DF24981E8EE49F2B4EC4685B7930C8E"/>
    <w:rsid w:val="00115DB4"/>
  </w:style>
  <w:style w:type="paragraph" w:customStyle="1" w:styleId="8B2B368BDE5B4410BCD8AA70C5D53BC7">
    <w:name w:val="8B2B368BDE5B4410BCD8AA70C5D53BC7"/>
    <w:rsid w:val="00115DB4"/>
  </w:style>
  <w:style w:type="paragraph" w:customStyle="1" w:styleId="1F2FD3A25BEB41CD98B02045683D8E04">
    <w:name w:val="1F2FD3A25BEB41CD98B02045683D8E04"/>
    <w:rsid w:val="00115DB4"/>
  </w:style>
  <w:style w:type="paragraph" w:customStyle="1" w:styleId="F664C79CDC8E4493BB89772BC37D8C0F">
    <w:name w:val="F664C79CDC8E4493BB89772BC37D8C0F"/>
    <w:rsid w:val="00440573"/>
  </w:style>
  <w:style w:type="paragraph" w:customStyle="1" w:styleId="46CA8863A4C7484A94D5264BEB85D73F">
    <w:name w:val="46CA8863A4C7484A94D5264BEB85D73F"/>
    <w:rsid w:val="00C00971"/>
  </w:style>
  <w:style w:type="paragraph" w:customStyle="1" w:styleId="7DFDD8D4B05D401F9E25743D61ADC5BB">
    <w:name w:val="7DFDD8D4B05D401F9E25743D61ADC5BB"/>
    <w:rsid w:val="00C00971"/>
  </w:style>
  <w:style w:type="paragraph" w:customStyle="1" w:styleId="96DD620B428B4C9DA96D80B3047E2B3B">
    <w:name w:val="96DD620B428B4C9DA96D80B3047E2B3B"/>
    <w:rsid w:val="00C00971"/>
  </w:style>
  <w:style w:type="paragraph" w:customStyle="1" w:styleId="27BB2F8A5A424E30B978CBB23F080852">
    <w:name w:val="27BB2F8A5A424E30B978CBB23F080852"/>
    <w:rsid w:val="00C009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Blue Environment">
      <a:dk1>
        <a:sysClr val="windowText" lastClr="000000"/>
      </a:dk1>
      <a:lt1>
        <a:sysClr val="window" lastClr="FFFFFF"/>
      </a:lt1>
      <a:dk2>
        <a:srgbClr val="000099"/>
      </a:dk2>
      <a:lt2>
        <a:srgbClr val="E7E6E6"/>
      </a:lt2>
      <a:accent1>
        <a:srgbClr val="4D4DB8"/>
      </a:accent1>
      <a:accent2>
        <a:srgbClr val="B31284"/>
      </a:accent2>
      <a:accent3>
        <a:srgbClr val="12B352"/>
      </a:accent3>
      <a:accent4>
        <a:srgbClr val="F79E00"/>
      </a:accent4>
      <a:accent5>
        <a:srgbClr val="A0D2FA"/>
      </a:accent5>
      <a:accent6>
        <a:srgbClr val="FFF133"/>
      </a:accent6>
      <a:hlink>
        <a:srgbClr val="0000FF"/>
      </a:hlink>
      <a:folHlink>
        <a:srgbClr val="0000FF"/>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root>
  <reviewers>Joe Pickin, Christine Wardle</reviewers>
  <projnumber>P863</projnumber>
  <contractdate>2017-09-20T00:00:00</contractdate>
  <infocurrent>2018-06-01T00:00:00</infocurrent>
  <copyright/>
</root>
</file>

<file path=customXml/item3.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10F670-9325-470C-97D0-A9A4BC3018FA}">
  <ds:schemaRefs/>
</ds:datastoreItem>
</file>

<file path=customXml/itemProps3.xml><?xml version="1.0" encoding="utf-8"?>
<ds:datastoreItem xmlns:ds="http://schemas.openxmlformats.org/officeDocument/2006/customXml" ds:itemID="{D650BF69-AC18-46FA-849C-FB66B4D6E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2FCBAEC6.dotm</Template>
  <TotalTime>0</TotalTime>
  <Pages>200</Pages>
  <Words>67727</Words>
  <Characters>386050</Characters>
  <Application>Microsoft Office Word</Application>
  <DocSecurity>0</DocSecurity>
  <Lines>3217</Lines>
  <Paragraphs>905</Paragraphs>
  <ScaleCrop>false</ScaleCrop>
  <Company/>
  <LinksUpToDate>false</LinksUpToDate>
  <CharactersWithSpaces>452872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hazardous waste infrastructure needs and capacities in Australia 2018</dc:title>
  <dc:subject/>
  <dc:creator/>
  <cp:keywords/>
  <dc:description/>
  <cp:lastModifiedBy/>
  <cp:revision>1</cp:revision>
  <dcterms:created xsi:type="dcterms:W3CDTF">2019-08-19T00:45:00Z</dcterms:created>
  <dcterms:modified xsi:type="dcterms:W3CDTF">2019-08-19T00:45:00Z</dcterms:modified>
  <cp:contentStatus/>
</cp:coreProperties>
</file>